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269" w:rsidRDefault="007D5269">
      <w:pPr>
        <w:pStyle w:val="x00-cover-head-"/>
        <w:rPr>
          <w:rFonts w:cs="Times New Roman"/>
        </w:rPr>
      </w:pPr>
      <w:bookmarkStart w:id="0" w:name="_GoBack"/>
      <w:bookmarkEnd w:id="0"/>
    </w:p>
    <w:p w:rsidR="007D5269" w:rsidRDefault="007D5269">
      <w:pPr>
        <w:pStyle w:val="x00-cover-head-"/>
        <w:rPr>
          <w:rFonts w:cs="Times New Roman"/>
        </w:rPr>
      </w:pPr>
    </w:p>
    <w:p w:rsidR="007D5269" w:rsidRDefault="007D5269">
      <w:pPr>
        <w:pStyle w:val="x00-cover-head-"/>
        <w:rPr>
          <w:rFonts w:cs="Times New Roman"/>
        </w:rPr>
      </w:pPr>
    </w:p>
    <w:p w:rsidR="007D5269" w:rsidRDefault="007D5269">
      <w:pPr>
        <w:pStyle w:val="x00-cover-head-"/>
        <w:rPr>
          <w:rFonts w:cs="Times New Roman"/>
        </w:rPr>
      </w:pPr>
    </w:p>
    <w:p w:rsidR="009F0931" w:rsidRDefault="009F0931">
      <w:pPr>
        <w:pStyle w:val="x00-cover-head-"/>
        <w:rPr>
          <w:rFonts w:cs="Times New Roman"/>
        </w:rPr>
      </w:pPr>
      <w:r>
        <w:rPr>
          <w:rFonts w:cs="Times New Roman"/>
        </w:rPr>
        <w:t xml:space="preserve">Antimicrobial </w:t>
      </w:r>
      <w:r w:rsidRPr="007D5269">
        <w:rPr>
          <w:rFonts w:cs="Times New Roman"/>
        </w:rPr>
        <w:t>Stewardship</w:t>
      </w:r>
      <w:r>
        <w:rPr>
          <w:rFonts w:cs="Times New Roman"/>
        </w:rPr>
        <w:br/>
        <w:t>Clinical Care Standard</w:t>
      </w:r>
    </w:p>
    <w:p w:rsidR="002B318C" w:rsidRDefault="002B318C">
      <w:pPr>
        <w:rPr>
          <w:rFonts w:cs="Times New Roman"/>
        </w:rPr>
      </w:pPr>
      <w:r>
        <w:rPr>
          <w:rFonts w:cs="Times New Roman"/>
        </w:rPr>
        <w:br w:type="page"/>
      </w: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606F13" w:rsidRDefault="00606F13">
      <w:pPr>
        <w:pStyle w:val="x05-citation"/>
        <w:rPr>
          <w:rFonts w:cs="Times New Roman"/>
        </w:rPr>
      </w:pPr>
    </w:p>
    <w:p w:rsidR="00606F13" w:rsidRDefault="00606F13">
      <w:pPr>
        <w:pStyle w:val="x05-citation"/>
        <w:rPr>
          <w:rFonts w:cs="Times New Roman"/>
        </w:rPr>
      </w:pPr>
    </w:p>
    <w:p w:rsidR="00606F13" w:rsidRDefault="00606F13">
      <w:pPr>
        <w:pStyle w:val="x05-citation"/>
        <w:rPr>
          <w:rFonts w:cs="Times New Roman"/>
        </w:rPr>
      </w:pPr>
    </w:p>
    <w:p w:rsidR="00606F13" w:rsidRDefault="00606F13">
      <w:pPr>
        <w:pStyle w:val="x05-citation"/>
        <w:rPr>
          <w:rFonts w:cs="Times New Roman"/>
        </w:rPr>
      </w:pPr>
    </w:p>
    <w:p w:rsidR="007D5269" w:rsidRDefault="007D5269">
      <w:pPr>
        <w:pStyle w:val="x05-citation"/>
        <w:rPr>
          <w:rFonts w:cs="Times New Roman"/>
        </w:rPr>
      </w:pPr>
    </w:p>
    <w:p w:rsidR="007D5269" w:rsidRDefault="007D5269">
      <w:pPr>
        <w:pStyle w:val="x05-citation"/>
        <w:rPr>
          <w:rFonts w:cs="Times New Roman"/>
        </w:rPr>
      </w:pPr>
    </w:p>
    <w:p w:rsidR="009F0931" w:rsidRDefault="009F0931">
      <w:pPr>
        <w:pStyle w:val="x05-citation"/>
        <w:rPr>
          <w:rFonts w:cs="Times New Roman"/>
        </w:rPr>
      </w:pPr>
      <w:r>
        <w:rPr>
          <w:rFonts w:cs="Times New Roman"/>
        </w:rPr>
        <w:t>© Commonwealth of Australia 2014</w:t>
      </w:r>
    </w:p>
    <w:p w:rsidR="009F0931" w:rsidRDefault="009F0931">
      <w:pPr>
        <w:pStyle w:val="x05-citation"/>
        <w:rPr>
          <w:rFonts w:cs="Times New Roman"/>
        </w:rPr>
      </w:pPr>
      <w:r>
        <w:rPr>
          <w:rFonts w:cs="Times New Roman"/>
        </w:rPr>
        <w:t xml:space="preserve">This work is copyright. It may be reproduced in whole or in part for study or training purposes subject to the inclusion of an acknowledgment of the source. Requests and inquiries concerning reproduction and rights for purposes other than those indicated above requires the written permission of the Australian Commission on Safety and Quality in Health Care, GPO Box 5480 Sydney NSW 2001 or </w:t>
      </w:r>
      <w:r>
        <w:rPr>
          <w:rStyle w:val="x02-body-medium"/>
          <w:rFonts w:cs="Times New Roman"/>
        </w:rPr>
        <w:t>mail@safetyandquality.gov.au.</w:t>
      </w:r>
    </w:p>
    <w:p w:rsidR="009F0931" w:rsidRDefault="009F0931">
      <w:pPr>
        <w:pStyle w:val="x05-citation"/>
        <w:rPr>
          <w:rFonts w:cs="Times New Roman"/>
        </w:rPr>
      </w:pPr>
      <w:r>
        <w:rPr>
          <w:rFonts w:cs="Times New Roman"/>
        </w:rPr>
        <w:t xml:space="preserve">ISBN: 978-1-921983-52-8 </w:t>
      </w:r>
    </w:p>
    <w:p w:rsidR="009F0931" w:rsidRDefault="009F0931">
      <w:pPr>
        <w:pStyle w:val="x05-citation-heading"/>
        <w:rPr>
          <w:rFonts w:cs="Times New Roman"/>
        </w:rPr>
      </w:pPr>
      <w:r>
        <w:rPr>
          <w:rFonts w:cs="Times New Roman"/>
        </w:rPr>
        <w:t>Suggested citation</w:t>
      </w:r>
    </w:p>
    <w:p w:rsidR="009F0931" w:rsidRDefault="009F0931">
      <w:pPr>
        <w:pStyle w:val="x05-citation"/>
        <w:rPr>
          <w:rFonts w:cs="Times New Roman"/>
        </w:rPr>
      </w:pPr>
      <w:r>
        <w:rPr>
          <w:rFonts w:cs="Times New Roman"/>
        </w:rPr>
        <w:t>Australian Commission on Safety and Quality in Health Care. Antimicrobial Stewardship Clinical Care Standard. Sydney: ACSQHC, 2014.</w:t>
      </w:r>
    </w:p>
    <w:p w:rsidR="009F0931" w:rsidRDefault="009F0931">
      <w:pPr>
        <w:pStyle w:val="x05-citation-heading"/>
        <w:rPr>
          <w:rFonts w:cs="Times New Roman"/>
        </w:rPr>
      </w:pPr>
      <w:r>
        <w:rPr>
          <w:rFonts w:cs="Times New Roman"/>
        </w:rPr>
        <w:t>Acknowledgements</w:t>
      </w:r>
    </w:p>
    <w:p w:rsidR="009F0931" w:rsidRDefault="009F0931">
      <w:pPr>
        <w:pStyle w:val="x05-citation"/>
        <w:rPr>
          <w:rFonts w:cs="Times New Roman"/>
        </w:rPr>
      </w:pPr>
      <w:r>
        <w:rPr>
          <w:rFonts w:cs="Times New Roman"/>
        </w:rPr>
        <w:t xml:space="preserve">Many individuals and organisations have freely given their time and expertise in the development of this paper. In particular, the Commission wishes to thank the Antimicrobial Stewardship Clinical Care Standard Topic Working Group and other key experts who have given their time and advice. The involvement and willingness of all concerned to share their experience and expertise is greatly appreciated. </w:t>
      </w:r>
    </w:p>
    <w:p w:rsidR="009F0931" w:rsidRDefault="009F0931">
      <w:pPr>
        <w:pStyle w:val="x05-citation"/>
        <w:rPr>
          <w:rFonts w:cs="Times New Roman"/>
        </w:rPr>
      </w:pPr>
      <w:r>
        <w:rPr>
          <w:rFonts w:cs="Times New Roman"/>
        </w:rPr>
        <w:t xml:space="preserve">Members of the Antimicrobial Stewardship Clinical Care Standard Topic Working Group include Dr Marissa Basil, Dr Philippa </w:t>
      </w:r>
      <w:proofErr w:type="spellStart"/>
      <w:r>
        <w:rPr>
          <w:rFonts w:cs="Times New Roman"/>
        </w:rPr>
        <w:t>Binns</w:t>
      </w:r>
      <w:proofErr w:type="spellEnd"/>
      <w:r>
        <w:rPr>
          <w:rFonts w:cs="Times New Roman"/>
        </w:rPr>
        <w:t xml:space="preserve">, Mrs Joanne Bird, Dr Kirsty </w:t>
      </w:r>
      <w:proofErr w:type="spellStart"/>
      <w:r>
        <w:rPr>
          <w:rFonts w:cs="Times New Roman"/>
        </w:rPr>
        <w:t>Buising</w:t>
      </w:r>
      <w:proofErr w:type="spellEnd"/>
      <w:r>
        <w:rPr>
          <w:rFonts w:cs="Times New Roman"/>
        </w:rPr>
        <w:t xml:space="preserve">, Ms Paula Doherty, Mr Chris Freeman, Professor Paul </w:t>
      </w:r>
      <w:proofErr w:type="spellStart"/>
      <w:r>
        <w:rPr>
          <w:rFonts w:cs="Times New Roman"/>
        </w:rPr>
        <w:t>Glasziou</w:t>
      </w:r>
      <w:proofErr w:type="spellEnd"/>
      <w:r>
        <w:rPr>
          <w:rFonts w:cs="Times New Roman"/>
        </w:rPr>
        <w:t xml:space="preserve">, Dr John Hall, Associate Professor Rhonda Stuart, Dr Murray Thomas, Dr Phil </w:t>
      </w:r>
      <w:proofErr w:type="spellStart"/>
      <w:r>
        <w:rPr>
          <w:rFonts w:cs="Times New Roman"/>
        </w:rPr>
        <w:t>Truskett</w:t>
      </w:r>
      <w:proofErr w:type="spellEnd"/>
      <w:r>
        <w:rPr>
          <w:rFonts w:cs="Times New Roman"/>
        </w:rPr>
        <w:t xml:space="preserve"> and Ms Diane Walsh.</w:t>
      </w:r>
    </w:p>
    <w:p w:rsidR="009F0931" w:rsidRDefault="009F0931">
      <w:pPr>
        <w:pStyle w:val="x05-citation-heading"/>
        <w:rPr>
          <w:rFonts w:cs="Times New Roman"/>
        </w:rPr>
      </w:pPr>
      <w:r>
        <w:rPr>
          <w:rFonts w:cs="Times New Roman"/>
        </w:rPr>
        <w:t>Disclaimer</w:t>
      </w:r>
    </w:p>
    <w:p w:rsidR="009F0931" w:rsidRDefault="009F0931">
      <w:pPr>
        <w:pStyle w:val="x05-citation"/>
        <w:rPr>
          <w:rFonts w:cs="Times New Roman"/>
        </w:rPr>
      </w:pPr>
      <w:r>
        <w:rPr>
          <w:rFonts w:cs="Times New Roman"/>
        </w:rPr>
        <w:t xml:space="preserve">The Australian Commission on Safety and Quality in Health Care has produced this Clinical Care Standard to support the delivery of appropriate care for a defined condition and is based on the best evidence available at the time of development. Health care professionals are advised to use clinical discretion and consideration of the circumstances of the individual patient, in consultation with the patient and/or their carer or guardian when applying information contained within the Clinical Care Standard. Consumers should use the information in the Clinical Care Standard as a guide to inform discussions with their health care professional about the applicability of the Clinical Care Standard to their individual condition. </w:t>
      </w:r>
    </w:p>
    <w:p w:rsidR="00445B7E" w:rsidRPr="00073F03" w:rsidRDefault="002B318C" w:rsidP="00511F1E">
      <w:pPr>
        <w:pStyle w:val="x00-cover-head-"/>
        <w:jc w:val="left"/>
        <w:rPr>
          <w:noProof/>
          <w:color w:val="4E504D"/>
          <w:sz w:val="40"/>
        </w:rPr>
      </w:pPr>
      <w:r>
        <w:rPr>
          <w:rStyle w:val="grey"/>
          <w:rFonts w:cs="Times New Roman"/>
        </w:rPr>
        <w:br w:type="page"/>
      </w:r>
      <w:bookmarkStart w:id="1" w:name="_Toc279256591"/>
      <w:r w:rsidR="009F0931" w:rsidRPr="00073F03">
        <w:rPr>
          <w:rStyle w:val="grey"/>
          <w:rFonts w:cs="Times New Roman"/>
          <w:color w:val="4E504D"/>
          <w:sz w:val="40"/>
        </w:rPr>
        <w:lastRenderedPageBreak/>
        <w:t>Contents</w:t>
      </w:r>
      <w:bookmarkEnd w:id="1"/>
      <w:r w:rsidR="001000A2" w:rsidRPr="00073F03">
        <w:rPr>
          <w:rStyle w:val="grey"/>
          <w:color w:val="4E504D"/>
          <w:sz w:val="40"/>
        </w:rPr>
        <w:fldChar w:fldCharType="begin"/>
      </w:r>
      <w:r w:rsidR="00445B7E" w:rsidRPr="00073F03">
        <w:rPr>
          <w:rStyle w:val="grey"/>
          <w:color w:val="4E504D"/>
          <w:sz w:val="40"/>
        </w:rPr>
        <w:instrText xml:space="preserve"> TOC \t "x01-heading-level-1,1" </w:instrText>
      </w:r>
      <w:r w:rsidR="001000A2" w:rsidRPr="00073F03">
        <w:rPr>
          <w:rStyle w:val="grey"/>
          <w:color w:val="4E504D"/>
          <w:sz w:val="40"/>
        </w:rPr>
        <w:fldChar w:fldCharType="separate"/>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Antimicrobial Stewardship Clinical Care Standard</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_Toc279256592 \h </w:instrText>
      </w:r>
      <w:r w:rsidR="001000A2" w:rsidRPr="00511F1E">
        <w:rPr>
          <w:noProof/>
          <w:color w:val="4E504D"/>
        </w:rPr>
      </w:r>
      <w:r w:rsidR="001000A2" w:rsidRPr="00511F1E">
        <w:rPr>
          <w:noProof/>
          <w:color w:val="4E504D"/>
        </w:rPr>
        <w:fldChar w:fldCharType="separate"/>
      </w:r>
      <w:r w:rsidR="004B6FAB">
        <w:rPr>
          <w:noProof/>
          <w:color w:val="4E504D"/>
        </w:rPr>
        <w:t>4</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Introduction</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_Toc279256593 \h </w:instrText>
      </w:r>
      <w:r w:rsidR="001000A2" w:rsidRPr="00511F1E">
        <w:rPr>
          <w:noProof/>
          <w:color w:val="4E504D"/>
        </w:rPr>
      </w:r>
      <w:r w:rsidR="001000A2" w:rsidRPr="00511F1E">
        <w:rPr>
          <w:noProof/>
          <w:color w:val="4E504D"/>
        </w:rPr>
        <w:fldChar w:fldCharType="separate"/>
      </w:r>
      <w:r w:rsidR="004B6FAB">
        <w:rPr>
          <w:noProof/>
          <w:color w:val="4E504D"/>
        </w:rPr>
        <w:t>5</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Quality statement 1 – Life-threatening conditions</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_Toc279256594 \h </w:instrText>
      </w:r>
      <w:r w:rsidR="001000A2" w:rsidRPr="00511F1E">
        <w:rPr>
          <w:noProof/>
          <w:color w:val="4E504D"/>
        </w:rPr>
      </w:r>
      <w:r w:rsidR="001000A2" w:rsidRPr="00511F1E">
        <w:rPr>
          <w:noProof/>
          <w:color w:val="4E504D"/>
        </w:rPr>
        <w:fldChar w:fldCharType="separate"/>
      </w:r>
      <w:r w:rsidR="004B6FAB">
        <w:rPr>
          <w:noProof/>
          <w:color w:val="4E504D"/>
        </w:rPr>
        <w:t>7</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Quality statement 2 – Microbiological testing</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_Toc279256595 \h </w:instrText>
      </w:r>
      <w:r w:rsidR="001000A2" w:rsidRPr="00511F1E">
        <w:rPr>
          <w:noProof/>
          <w:color w:val="4E504D"/>
        </w:rPr>
      </w:r>
      <w:r w:rsidR="001000A2" w:rsidRPr="00511F1E">
        <w:rPr>
          <w:noProof/>
          <w:color w:val="4E504D"/>
        </w:rPr>
        <w:fldChar w:fldCharType="separate"/>
      </w:r>
      <w:r w:rsidR="004B6FAB">
        <w:rPr>
          <w:noProof/>
          <w:color w:val="4E504D"/>
        </w:rPr>
        <w:t>8</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Quality statement 3 – Information on treatment options</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_Toc279256596 \h </w:instrText>
      </w:r>
      <w:r w:rsidR="001000A2" w:rsidRPr="00511F1E">
        <w:rPr>
          <w:noProof/>
          <w:color w:val="4E504D"/>
        </w:rPr>
      </w:r>
      <w:r w:rsidR="001000A2" w:rsidRPr="00511F1E">
        <w:rPr>
          <w:noProof/>
          <w:color w:val="4E504D"/>
        </w:rPr>
        <w:fldChar w:fldCharType="separate"/>
      </w:r>
      <w:r w:rsidR="004B6FAB">
        <w:rPr>
          <w:noProof/>
          <w:color w:val="4E504D"/>
        </w:rPr>
        <w:t>9</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Quality statement 4 – Use of guidelines and clinical condition</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_Toc279256597 \h </w:instrText>
      </w:r>
      <w:r w:rsidR="001000A2" w:rsidRPr="00511F1E">
        <w:rPr>
          <w:noProof/>
          <w:color w:val="4E504D"/>
        </w:rPr>
      </w:r>
      <w:r w:rsidR="001000A2" w:rsidRPr="00511F1E">
        <w:rPr>
          <w:noProof/>
          <w:color w:val="4E504D"/>
        </w:rPr>
        <w:fldChar w:fldCharType="separate"/>
      </w:r>
      <w:r w:rsidR="004B6FAB">
        <w:rPr>
          <w:noProof/>
          <w:color w:val="4E504D"/>
        </w:rPr>
        <w:t>10</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Quality statement 5 – Taking antibiotics as prescribed</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_Toc279256598 \h </w:instrText>
      </w:r>
      <w:r w:rsidR="001000A2" w:rsidRPr="00511F1E">
        <w:rPr>
          <w:noProof/>
          <w:color w:val="4E504D"/>
        </w:rPr>
      </w:r>
      <w:r w:rsidR="001000A2" w:rsidRPr="00511F1E">
        <w:rPr>
          <w:noProof/>
          <w:color w:val="4E504D"/>
        </w:rPr>
        <w:fldChar w:fldCharType="separate"/>
      </w:r>
      <w:r w:rsidR="004B6FAB">
        <w:rPr>
          <w:noProof/>
          <w:color w:val="4E504D"/>
        </w:rPr>
        <w:t>11</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Quality statement 6 – Documentation</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_Toc279256599 \h </w:instrText>
      </w:r>
      <w:r w:rsidR="001000A2" w:rsidRPr="00511F1E">
        <w:rPr>
          <w:noProof/>
          <w:color w:val="4E504D"/>
        </w:rPr>
      </w:r>
      <w:r w:rsidR="001000A2" w:rsidRPr="00511F1E">
        <w:rPr>
          <w:noProof/>
          <w:color w:val="4E504D"/>
        </w:rPr>
        <w:fldChar w:fldCharType="separate"/>
      </w:r>
      <w:r w:rsidR="004B6FAB">
        <w:rPr>
          <w:noProof/>
          <w:color w:val="4E504D"/>
        </w:rPr>
        <w:t>12</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Quality statement 7 – Use of broad-spectrum antibiotics</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_Toc279256600 \h </w:instrText>
      </w:r>
      <w:r w:rsidR="001000A2" w:rsidRPr="00511F1E">
        <w:rPr>
          <w:noProof/>
          <w:color w:val="4E504D"/>
        </w:rPr>
      </w:r>
      <w:r w:rsidR="001000A2" w:rsidRPr="00511F1E">
        <w:rPr>
          <w:noProof/>
          <w:color w:val="4E504D"/>
        </w:rPr>
        <w:fldChar w:fldCharType="separate"/>
      </w:r>
      <w:r w:rsidR="004B6FAB">
        <w:rPr>
          <w:noProof/>
          <w:color w:val="4E504D"/>
        </w:rPr>
        <w:t>13</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Cs w:val="24"/>
          <w:lang w:val="en-US" w:eastAsia="ja-JP"/>
        </w:rPr>
      </w:pPr>
      <w:r w:rsidRPr="00511F1E">
        <w:rPr>
          <w:noProof/>
          <w:color w:val="4E504D"/>
        </w:rPr>
        <w:br/>
      </w:r>
      <w:r w:rsidR="00445B7E" w:rsidRPr="00511F1E">
        <w:rPr>
          <w:noProof/>
          <w:color w:val="4E504D"/>
        </w:rPr>
        <w:t>Quality statement 8 – Review of treatment</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_Toc279256601 \h </w:instrText>
      </w:r>
      <w:r w:rsidR="001000A2" w:rsidRPr="00511F1E">
        <w:rPr>
          <w:noProof/>
          <w:color w:val="4E504D"/>
        </w:rPr>
      </w:r>
      <w:r w:rsidR="001000A2" w:rsidRPr="00511F1E">
        <w:rPr>
          <w:noProof/>
          <w:color w:val="4E504D"/>
        </w:rPr>
        <w:fldChar w:fldCharType="separate"/>
      </w:r>
      <w:r w:rsidR="004B6FAB">
        <w:rPr>
          <w:noProof/>
          <w:color w:val="4E504D"/>
        </w:rPr>
        <w:t>14</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Quality statement 9 – Surgical prophylaxis</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_Toc279256602 \h </w:instrText>
      </w:r>
      <w:r w:rsidR="001000A2" w:rsidRPr="00511F1E">
        <w:rPr>
          <w:noProof/>
          <w:color w:val="4E504D"/>
        </w:rPr>
      </w:r>
      <w:r w:rsidR="001000A2" w:rsidRPr="00511F1E">
        <w:rPr>
          <w:noProof/>
          <w:color w:val="4E504D"/>
        </w:rPr>
        <w:fldChar w:fldCharType="separate"/>
      </w:r>
      <w:r w:rsidR="004B6FAB">
        <w:rPr>
          <w:noProof/>
          <w:color w:val="4E504D"/>
        </w:rPr>
        <w:t>15</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Glossary</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_Toc279256603 \h </w:instrText>
      </w:r>
      <w:r w:rsidR="001000A2" w:rsidRPr="00511F1E">
        <w:rPr>
          <w:noProof/>
          <w:color w:val="4E504D"/>
        </w:rPr>
      </w:r>
      <w:r w:rsidR="001000A2" w:rsidRPr="00511F1E">
        <w:rPr>
          <w:noProof/>
          <w:color w:val="4E504D"/>
        </w:rPr>
        <w:fldChar w:fldCharType="separate"/>
      </w:r>
      <w:r w:rsidR="004B6FAB">
        <w:rPr>
          <w:noProof/>
          <w:color w:val="4E504D"/>
        </w:rPr>
        <w:t>16</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szCs w:val="24"/>
          <w:lang w:val="en-US" w:eastAsia="ja-JP"/>
        </w:rPr>
      </w:pPr>
      <w:r w:rsidRPr="00511F1E">
        <w:rPr>
          <w:noProof/>
          <w:color w:val="4E504D"/>
        </w:rPr>
        <w:br/>
      </w:r>
      <w:r w:rsidR="00445B7E" w:rsidRPr="00511F1E">
        <w:rPr>
          <w:noProof/>
          <w:color w:val="4E504D"/>
        </w:rPr>
        <w:t>Appendix</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_Toc279256604 \h </w:instrText>
      </w:r>
      <w:r w:rsidR="001000A2" w:rsidRPr="00511F1E">
        <w:rPr>
          <w:noProof/>
          <w:color w:val="4E504D"/>
        </w:rPr>
      </w:r>
      <w:r w:rsidR="001000A2" w:rsidRPr="00511F1E">
        <w:rPr>
          <w:noProof/>
          <w:color w:val="4E504D"/>
        </w:rPr>
        <w:fldChar w:fldCharType="separate"/>
      </w:r>
      <w:r w:rsidR="004B6FAB">
        <w:rPr>
          <w:noProof/>
          <w:color w:val="4E504D"/>
        </w:rPr>
        <w:t>18</w:t>
      </w:r>
      <w:r w:rsidR="001000A2" w:rsidRPr="00511F1E">
        <w:rPr>
          <w:noProof/>
          <w:color w:val="4E504D"/>
        </w:rPr>
        <w:fldChar w:fldCharType="end"/>
      </w:r>
      <w:r w:rsidR="00511F1E" w:rsidRPr="00511F1E">
        <w:rPr>
          <w:noProof/>
          <w:color w:val="4E504D"/>
        </w:rPr>
        <w:br/>
      </w:r>
    </w:p>
    <w:p w:rsidR="00445B7E" w:rsidRPr="00511F1E" w:rsidRDefault="00073F03" w:rsidP="00511F1E">
      <w:pPr>
        <w:pStyle w:val="x00-contents-body-with-underline"/>
        <w:pBdr>
          <w:between w:val="dotted" w:sz="12" w:space="1" w:color="666967"/>
        </w:pBdr>
        <w:spacing w:before="0" w:after="0" w:line="240" w:lineRule="auto"/>
        <w:rPr>
          <w:noProof/>
          <w:color w:val="4E504D"/>
          <w:sz w:val="20"/>
        </w:rPr>
      </w:pPr>
      <w:r w:rsidRPr="00511F1E">
        <w:rPr>
          <w:noProof/>
          <w:color w:val="4E504D"/>
        </w:rPr>
        <w:br/>
      </w:r>
      <w:r w:rsidR="00445B7E" w:rsidRPr="00511F1E">
        <w:rPr>
          <w:noProof/>
          <w:color w:val="4E504D"/>
        </w:rPr>
        <w:t>References</w:t>
      </w:r>
      <w:r w:rsidR="00445B7E" w:rsidRPr="00511F1E">
        <w:rPr>
          <w:noProof/>
          <w:color w:val="4E504D"/>
        </w:rPr>
        <w:tab/>
      </w:r>
      <w:r w:rsidR="001000A2" w:rsidRPr="00511F1E">
        <w:rPr>
          <w:noProof/>
          <w:color w:val="4E504D"/>
        </w:rPr>
        <w:fldChar w:fldCharType="begin"/>
      </w:r>
      <w:r w:rsidR="00445B7E" w:rsidRPr="00511F1E">
        <w:rPr>
          <w:noProof/>
          <w:color w:val="4E504D"/>
        </w:rPr>
        <w:instrText xml:space="preserve"> PAGEREF _Toc279256605 \h </w:instrText>
      </w:r>
      <w:r w:rsidR="001000A2" w:rsidRPr="00511F1E">
        <w:rPr>
          <w:noProof/>
          <w:color w:val="4E504D"/>
        </w:rPr>
      </w:r>
      <w:r w:rsidR="001000A2" w:rsidRPr="00511F1E">
        <w:rPr>
          <w:noProof/>
          <w:color w:val="4E504D"/>
        </w:rPr>
        <w:fldChar w:fldCharType="separate"/>
      </w:r>
      <w:r w:rsidR="004B6FAB">
        <w:rPr>
          <w:noProof/>
          <w:color w:val="4E504D"/>
        </w:rPr>
        <w:t>20</w:t>
      </w:r>
      <w:r w:rsidR="001000A2" w:rsidRPr="00511F1E">
        <w:rPr>
          <w:noProof/>
          <w:color w:val="4E504D"/>
        </w:rPr>
        <w:fldChar w:fldCharType="end"/>
      </w:r>
      <w:r w:rsidR="00511F1E" w:rsidRPr="00511F1E">
        <w:rPr>
          <w:noProof/>
          <w:color w:val="4E504D"/>
        </w:rPr>
        <w:br/>
      </w:r>
    </w:p>
    <w:p w:rsidR="009F0931" w:rsidRDefault="001000A2" w:rsidP="00511F1E">
      <w:pPr>
        <w:pStyle w:val="x01-heading-level-1"/>
        <w:spacing w:before="0" w:after="0" w:line="240" w:lineRule="auto"/>
        <w:rPr>
          <w:rFonts w:cs="Times New Roman"/>
        </w:rPr>
      </w:pPr>
      <w:r w:rsidRPr="00073F03">
        <w:rPr>
          <w:rStyle w:val="grey"/>
          <w:color w:val="4E504D"/>
        </w:rPr>
        <w:fldChar w:fldCharType="end"/>
      </w:r>
      <w:r w:rsidR="002B318C">
        <w:rPr>
          <w:rFonts w:cs="Times New Roman"/>
        </w:rPr>
        <w:br w:type="page"/>
      </w:r>
      <w:bookmarkStart w:id="2" w:name="_Toc279256592"/>
      <w:r w:rsidR="009F0931">
        <w:rPr>
          <w:rFonts w:cs="Times New Roman"/>
        </w:rPr>
        <w:lastRenderedPageBreak/>
        <w:t xml:space="preserve">Antimicrobial Stewardship </w:t>
      </w:r>
      <w:r w:rsidR="009F0931" w:rsidRPr="002B318C">
        <w:rPr>
          <w:rFonts w:cs="Times New Roman"/>
        </w:rPr>
        <w:t>Clinical</w:t>
      </w:r>
      <w:r w:rsidR="009F0931">
        <w:rPr>
          <w:rFonts w:cs="Times New Roman"/>
        </w:rPr>
        <w:t xml:space="preserve"> Care Standard</w:t>
      </w:r>
      <w:bookmarkEnd w:id="2"/>
    </w:p>
    <w:tbl>
      <w:tblPr>
        <w:tblW w:w="0" w:type="auto"/>
        <w:tblBorders>
          <w:top w:val="dotted" w:sz="12" w:space="0" w:color="666967"/>
          <w:bottom w:val="dotted" w:sz="12" w:space="0" w:color="666967"/>
          <w:insideH w:val="dotted" w:sz="12" w:space="0" w:color="666967"/>
        </w:tblBorders>
        <w:tblCellMar>
          <w:top w:w="15" w:type="dxa"/>
          <w:left w:w="113" w:type="dxa"/>
          <w:bottom w:w="15" w:type="dxa"/>
          <w:right w:w="113" w:type="dxa"/>
        </w:tblCellMar>
        <w:tblLook w:val="04A0" w:firstRow="1" w:lastRow="0" w:firstColumn="1" w:lastColumn="0" w:noHBand="0" w:noVBand="1"/>
      </w:tblPr>
      <w:tblGrid>
        <w:gridCol w:w="1195"/>
        <w:gridCol w:w="8890"/>
      </w:tblGrid>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66" name="Picture 66" descr="Logo - ambulance" title="Quality statement 1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1</w:t>
            </w:r>
            <w:r>
              <w:rPr>
                <w:rFonts w:cs="Times New Roman"/>
              </w:rPr>
              <w:t xml:space="preserve"> A patient with a life-threatening condition due to a suspected bacterial infection receives prompt antibiotic treatment without waiting for the results of investigations.</w:t>
            </w:r>
          </w:p>
        </w:tc>
      </w:tr>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69" name="Picture 69" descr="Logo - stethoscope" title="Quality statement 2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2</w:t>
            </w:r>
            <w:r>
              <w:rPr>
                <w:rFonts w:cs="Times New Roman"/>
              </w:rPr>
              <w:t xml:space="preserve"> A patient with a suspected bacterial infection has samples taken for microbiology testing as clinically indicated, preferably before starting antibiotic treatment.</w:t>
            </w:r>
          </w:p>
        </w:tc>
      </w:tr>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72" name="Picture 72" descr="Logo - information icon" title="Quality statement 3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3</w:t>
            </w:r>
            <w:r>
              <w:rPr>
                <w:rFonts w:cs="Times New Roman"/>
              </w:rPr>
              <w:t xml:space="preserve"> A patient with a suspected infection, and/or their carer, receives information on their health condition and treatment options in a format and language that they can understand. </w:t>
            </w:r>
          </w:p>
        </w:tc>
      </w:tr>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74" name="Picture 74" descr="Logo - guideline" title="Quality statement 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4</w:t>
            </w:r>
            <w:r>
              <w:rPr>
                <w:rFonts w:cs="Times New Roman"/>
              </w:rPr>
              <w:t xml:space="preserve"> When a patient is prescribed antibiotics, whether empirical or directed, this is done in accordance with the current version of the </w:t>
            </w:r>
            <w:r>
              <w:rPr>
                <w:rStyle w:val="x02-intro-italic"/>
                <w:rFonts w:cs="Times New Roman"/>
              </w:rPr>
              <w:t>Therapeutic Guidelines</w:t>
            </w:r>
            <w:r>
              <w:rPr>
                <w:rStyle w:val="x02-body-superscript"/>
                <w:rFonts w:cs="Times New Roman"/>
              </w:rPr>
              <w:t>1</w:t>
            </w:r>
            <w:r>
              <w:rPr>
                <w:rFonts w:cs="Times New Roman"/>
              </w:rPr>
              <w:t xml:space="preserve"> (or local antibiotic formulary). This is also guided by the patient’s clinical condition and/or the results of microbiology testing.</w:t>
            </w:r>
          </w:p>
        </w:tc>
      </w:tr>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76" name="Picture 76" descr="Logo - people in meeting" title="Quality statement 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5</w:t>
            </w:r>
            <w:r>
              <w:rPr>
                <w:rFonts w:cs="Times New Roman"/>
              </w:rPr>
              <w:t xml:space="preserve"> When a patient is prescribed antibiotics, information about when, how and for how long to take them, as well as potential side effects and a review plan, is discussed with the patient and/or their carer.</w:t>
            </w:r>
          </w:p>
        </w:tc>
      </w:tr>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78" name="Picture 78" descr="Logo - clipboard" title="Quality statement 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6</w:t>
            </w:r>
            <w:r>
              <w:rPr>
                <w:rFonts w:cs="Times New Roman"/>
              </w:rPr>
              <w:t xml:space="preserve"> When a patient is prescribed antibiotics, the reason, drug name, dose, route of administration, intended duration and review plan is documented in the patient’s health record. </w:t>
            </w:r>
          </w:p>
        </w:tc>
      </w:tr>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80" name="Picture 80" descr="Logo - medicines" title="Quality statement 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7</w:t>
            </w:r>
            <w:r>
              <w:rPr>
                <w:rFonts w:cs="Times New Roman"/>
              </w:rPr>
              <w:t xml:space="preserve"> A patient who is treated with broad-spectrum antibiotics has the treatment reviewed and, if indicated, switched to treatment with a narrow-spectrum antibiotic. This is guided by the patient’s clinical condition and the results of microbiology tests. </w:t>
            </w:r>
          </w:p>
        </w:tc>
      </w:tr>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82" name="Picture 82" descr="Ambulance logo " title="Quality statement 8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8</w:t>
            </w:r>
            <w:r>
              <w:rPr>
                <w:rFonts w:cs="Times New Roman"/>
              </w:rPr>
              <w:t xml:space="preserve"> If investigations are conducted for a suspected bacterial infection, the responsible clinician reviews these results in a timely manner (within 24 hours of results being available) and antibiotic therapy is adjusted taking into account the patient’s clinical condition and investigation results. </w:t>
            </w:r>
          </w:p>
        </w:tc>
      </w:tr>
      <w:tr w:rsidR="009F0931">
        <w:trPr>
          <w:divId w:val="70204571"/>
        </w:trPr>
        <w:tc>
          <w:tcPr>
            <w:tcW w:w="0" w:type="auto"/>
            <w:vAlign w:val="center"/>
          </w:tcPr>
          <w:p w:rsidR="009F0931" w:rsidRDefault="007D5269">
            <w:pPr>
              <w:pStyle w:val="x02-body-copy"/>
              <w:rPr>
                <w:rFonts w:cs="Times New Roman"/>
              </w:rPr>
            </w:pPr>
            <w:r>
              <w:rPr>
                <w:rFonts w:cs="Times New Roman"/>
                <w:noProof/>
                <w:lang w:eastAsia="en-AU"/>
              </w:rPr>
              <w:drawing>
                <wp:inline distT="0" distB="0" distL="0" distR="0">
                  <wp:extent cx="615315" cy="615315"/>
                  <wp:effectExtent l="0" t="0" r="0" b="0"/>
                  <wp:docPr id="84" name="Picture 84" descr="Logo - doctor" title="Quality statement 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tc>
        <w:tc>
          <w:tcPr>
            <w:tcW w:w="0" w:type="auto"/>
            <w:vAlign w:val="center"/>
          </w:tcPr>
          <w:p w:rsidR="009F0931" w:rsidRDefault="009F0931" w:rsidP="007D5269">
            <w:pPr>
              <w:pStyle w:val="x00-intro-table"/>
              <w:ind w:left="227" w:hanging="227"/>
              <w:rPr>
                <w:rFonts w:cs="Times New Roman"/>
              </w:rPr>
            </w:pPr>
            <w:r>
              <w:rPr>
                <w:rStyle w:val="x02-gotham-bold--figures-"/>
                <w:rFonts w:cs="Times New Roman"/>
              </w:rPr>
              <w:t>9</w:t>
            </w:r>
            <w:r>
              <w:rPr>
                <w:rFonts w:cs="Times New Roman"/>
              </w:rPr>
              <w:t xml:space="preserve"> If a patient having surgery requires prophylactic antibiotics, the prescription is made in accordance with the current </w:t>
            </w:r>
            <w:r>
              <w:rPr>
                <w:rStyle w:val="char-style-override-2"/>
                <w:rFonts w:cs="Times New Roman"/>
              </w:rPr>
              <w:t>Therapeutic Guidelines</w:t>
            </w:r>
            <w:r>
              <w:rPr>
                <w:rStyle w:val="x02-body-superscript"/>
                <w:rFonts w:cs="Times New Roman"/>
              </w:rPr>
              <w:t>1</w:t>
            </w:r>
            <w:r>
              <w:rPr>
                <w:rFonts w:cs="Times New Roman"/>
              </w:rPr>
              <w:t xml:space="preserve"> (or local antibiotic formulary), and takes into consideration the patient’s clinical condition. </w:t>
            </w:r>
          </w:p>
        </w:tc>
      </w:tr>
    </w:tbl>
    <w:p w:rsidR="009F0931" w:rsidRDefault="009F0931">
      <w:pPr>
        <w:pStyle w:val="x01-heading-level-1"/>
        <w:divId w:val="341012319"/>
        <w:rPr>
          <w:rFonts w:cs="Times New Roman"/>
        </w:rPr>
      </w:pPr>
      <w:bookmarkStart w:id="3" w:name="_Toc279256593"/>
      <w:r>
        <w:rPr>
          <w:rFonts w:cs="Times New Roman"/>
        </w:rPr>
        <w:lastRenderedPageBreak/>
        <w:t>Introduction</w:t>
      </w:r>
      <w:bookmarkEnd w:id="3"/>
    </w:p>
    <w:p w:rsidR="009F0931" w:rsidRPr="00D130FF" w:rsidRDefault="009F0931">
      <w:pPr>
        <w:pStyle w:val="x02-intro"/>
        <w:divId w:val="1312174763"/>
        <w:rPr>
          <w:rFonts w:cs="Times New Roman"/>
          <w:sz w:val="20"/>
        </w:rPr>
      </w:pPr>
      <w:r w:rsidRPr="00D130FF">
        <w:rPr>
          <w:rFonts w:cs="Times New Roman"/>
          <w:sz w:val="20"/>
        </w:rPr>
        <w:t xml:space="preserve">A Clinical Care Standard is a small number of quality statements that describe the clinical care that a patient should be offered for a specific clinical condition. The Clinical Care Standard supports: </w:t>
      </w:r>
    </w:p>
    <w:p w:rsidR="009F0931" w:rsidRDefault="009F0931" w:rsidP="002B318C">
      <w:pPr>
        <w:pStyle w:val="02Bulletslevel1"/>
        <w:divId w:val="1312174763"/>
      </w:pPr>
      <w:r>
        <w:t>people to know what care may be offered by their healthcare system, and to make informed treatment decisions in partnership with their clinician</w:t>
      </w:r>
    </w:p>
    <w:p w:rsidR="009F0931" w:rsidRDefault="009F0931" w:rsidP="002B318C">
      <w:pPr>
        <w:pStyle w:val="02Bulletslevel1"/>
        <w:divId w:val="1312174763"/>
      </w:pPr>
      <w:r>
        <w:t>clinicians to make decisions about appropriate care</w:t>
      </w:r>
    </w:p>
    <w:p w:rsidR="009F0931" w:rsidRDefault="009F0931" w:rsidP="002B318C">
      <w:pPr>
        <w:pStyle w:val="02Bulletslevel1"/>
        <w:divId w:val="1312174763"/>
      </w:pPr>
      <w:proofErr w:type="gramStart"/>
      <w:r>
        <w:t>health</w:t>
      </w:r>
      <w:proofErr w:type="gramEnd"/>
      <w:r>
        <w:t xml:space="preserve"> services to examine the performance of their organisation and make improvements in the care they provide.</w:t>
      </w:r>
    </w:p>
    <w:p w:rsidR="009F0931" w:rsidRDefault="009F0931">
      <w:pPr>
        <w:pStyle w:val="x02-body-copy"/>
        <w:divId w:val="1312174763"/>
        <w:rPr>
          <w:rFonts w:cs="Times New Roman"/>
        </w:rPr>
      </w:pPr>
      <w:r>
        <w:rPr>
          <w:rFonts w:cs="Times New Roman"/>
        </w:rPr>
        <w:t xml:space="preserve">This Clinical Care Standard was developed by the Australian Commission on Safety and Quality in Health Care (the Commission) in collaboration with </w:t>
      </w:r>
      <w:r w:rsidRPr="0079786E">
        <w:t>consumers</w:t>
      </w:r>
      <w:r>
        <w:rPr>
          <w:rFonts w:cs="Times New Roman"/>
        </w:rPr>
        <w:t xml:space="preserve">, clinicians, researchers and health </w:t>
      </w:r>
      <w:proofErr w:type="spellStart"/>
      <w:r>
        <w:rPr>
          <w:rFonts w:cs="Times New Roman"/>
        </w:rPr>
        <w:t>organisations.</w:t>
      </w:r>
      <w:r>
        <w:rPr>
          <w:rStyle w:val="x02-body-superscript"/>
          <w:rFonts w:cs="Times New Roman"/>
        </w:rPr>
        <w:t>a</w:t>
      </w:r>
      <w:proofErr w:type="spellEnd"/>
      <w:r>
        <w:rPr>
          <w:rFonts w:cs="Times New Roman"/>
        </w:rPr>
        <w:t xml:space="preserve"> </w:t>
      </w:r>
      <w:proofErr w:type="gramStart"/>
      <w:r>
        <w:rPr>
          <w:rFonts w:cs="Times New Roman"/>
        </w:rPr>
        <w:t>It</w:t>
      </w:r>
      <w:proofErr w:type="gramEnd"/>
      <w:r>
        <w:rPr>
          <w:rFonts w:cs="Times New Roman"/>
        </w:rPr>
        <w:t xml:space="preserve"> complements existing efforts that support antimicrobial stewardship. </w:t>
      </w:r>
    </w:p>
    <w:p w:rsidR="009F0931" w:rsidRDefault="009F0931">
      <w:pPr>
        <w:pStyle w:val="x02-body-copy"/>
        <w:divId w:val="1312174763"/>
        <w:rPr>
          <w:rFonts w:cs="Times New Roman"/>
        </w:rPr>
      </w:pPr>
      <w:r>
        <w:rPr>
          <w:rFonts w:cs="Times New Roman"/>
        </w:rPr>
        <w:t xml:space="preserve">For more information about the development of this Clinical Care Standard, visit </w:t>
      </w:r>
      <w:r>
        <w:rPr>
          <w:rStyle w:val="x03-web-hyperlink"/>
          <w:rFonts w:cs="Times New Roman"/>
        </w:rPr>
        <w:t>www.safetyandquality.gov.au/ccs</w:t>
      </w:r>
      <w:r>
        <w:rPr>
          <w:rFonts w:cs="Times New Roman"/>
        </w:rPr>
        <w:t>.</w:t>
      </w:r>
    </w:p>
    <w:p w:rsidR="009F0931" w:rsidRDefault="009F0931">
      <w:pPr>
        <w:pStyle w:val="x01-heading-level-3"/>
        <w:divId w:val="1312174763"/>
        <w:rPr>
          <w:rFonts w:cs="Times New Roman"/>
        </w:rPr>
      </w:pPr>
      <w:r>
        <w:rPr>
          <w:rFonts w:cs="Times New Roman"/>
        </w:rPr>
        <w:t>Context</w:t>
      </w:r>
    </w:p>
    <w:p w:rsidR="009F0931" w:rsidRDefault="009F0931">
      <w:pPr>
        <w:pStyle w:val="x02-body-copy"/>
        <w:divId w:val="1312174763"/>
        <w:rPr>
          <w:rFonts w:cs="Times New Roman"/>
        </w:rPr>
      </w:pPr>
      <w:r>
        <w:rPr>
          <w:rFonts w:cs="Times New Roman"/>
        </w:rPr>
        <w:t>Antibiotic resistance poses a significant threat to public health because antibiotics underpin routine clinical practice in a variety of healthcare settings. Bacteria can develop resistance to specific antibiotics, meaning that the antibiotic is no longer effective against those bacteria. Although antibiotic resistance is a natural feature of bacterial evolution, inappropriate use of antibiotics has increased the development of antibiotic-resistant bacteria, not only in hospitals and healthcare services but also in the community.</w:t>
      </w:r>
      <w:r>
        <w:rPr>
          <w:rStyle w:val="x02-body-superscript"/>
          <w:rFonts w:cs="Times New Roman"/>
        </w:rPr>
        <w:t>2</w:t>
      </w:r>
      <w:proofErr w:type="gramStart"/>
      <w:r>
        <w:rPr>
          <w:rStyle w:val="x02-body-superscript"/>
          <w:rFonts w:cs="Times New Roman"/>
        </w:rPr>
        <w:t>,3</w:t>
      </w:r>
      <w:proofErr w:type="gramEnd"/>
      <w:r>
        <w:rPr>
          <w:rStyle w:val="x02-body-superscript"/>
          <w:rFonts w:cs="Times New Roman"/>
        </w:rPr>
        <w:t xml:space="preserve"> </w:t>
      </w:r>
    </w:p>
    <w:p w:rsidR="009F0931" w:rsidRDefault="009F0931">
      <w:pPr>
        <w:pStyle w:val="x02-body-copy"/>
        <w:divId w:val="1312174763"/>
        <w:rPr>
          <w:rFonts w:cs="Times New Roman"/>
        </w:rPr>
      </w:pPr>
      <w:r>
        <w:rPr>
          <w:rFonts w:cs="Times New Roman"/>
        </w:rPr>
        <w:t>To help prevent the development of current and future bacterial resistance, it is important to prescribe antibiotics according to the principles of antimicrobial stewardship, such as prescribing antibiotics only when needed (and not for mild infections such as colds, earache or sore throats).</w:t>
      </w:r>
    </w:p>
    <w:p w:rsidR="009F0931" w:rsidRDefault="009F0931">
      <w:pPr>
        <w:pStyle w:val="x02-body-copy"/>
        <w:divId w:val="1312174763"/>
        <w:rPr>
          <w:rFonts w:cs="Times New Roman"/>
        </w:rPr>
      </w:pPr>
      <w:r>
        <w:rPr>
          <w:rFonts w:cs="Times New Roman"/>
        </w:rPr>
        <w:t xml:space="preserve">The Antimicrobial Stewardship Clinical Care Standard aims to ensure that a patient with a bacterial infection receives optimal treatment with antibiotics. ‘Optimal treatment’ means treating patients with the right antibiotic to treat their condition, the right dose, by the right route, at the right time and for the right duration based on accurate assessment and timely review. </w:t>
      </w:r>
    </w:p>
    <w:p w:rsidR="009F0931" w:rsidRDefault="009F0931">
      <w:pPr>
        <w:pStyle w:val="x02-body-copy"/>
        <w:divId w:val="1312174763"/>
        <w:rPr>
          <w:rFonts w:cs="Times New Roman"/>
        </w:rPr>
      </w:pPr>
      <w:r>
        <w:rPr>
          <w:rFonts w:cs="Times New Roman"/>
        </w:rPr>
        <w:t>Central to the delivery of patient-centred care identified in this Clinical Care Standard is an integrated, systems-based approach supported by health services and networks of services.</w:t>
      </w:r>
    </w:p>
    <w:p w:rsidR="009F0931" w:rsidRDefault="009F0931">
      <w:pPr>
        <w:pStyle w:val="x02-body-copy-before-bullet"/>
        <w:divId w:val="1312174763"/>
        <w:rPr>
          <w:rFonts w:cs="Times New Roman"/>
        </w:rPr>
      </w:pPr>
      <w:r>
        <w:rPr>
          <w:rFonts w:cs="Times New Roman"/>
        </w:rPr>
        <w:t xml:space="preserve">Key elements of this approach include: </w:t>
      </w:r>
    </w:p>
    <w:p w:rsidR="009F0931" w:rsidRDefault="009F0931" w:rsidP="007D5269">
      <w:pPr>
        <w:pStyle w:val="02Bulletslevel1"/>
        <w:divId w:val="1312174763"/>
      </w:pPr>
      <w:r>
        <w:t>an understanding of the capacity and limitations of each component of the health care system across metropolitan, regional and remote settings, including pre-hospital, within and across hospitals, through to community and other support services</w:t>
      </w:r>
    </w:p>
    <w:p w:rsidR="009F0931" w:rsidRDefault="009F0931" w:rsidP="007D5269">
      <w:pPr>
        <w:pStyle w:val="02Bulletslevel1"/>
        <w:divId w:val="1312174763"/>
      </w:pPr>
      <w:r>
        <w:t>clear lines of communication across components of the health care system</w:t>
      </w:r>
    </w:p>
    <w:p w:rsidR="009F0931" w:rsidRDefault="009F0931" w:rsidP="007D5269">
      <w:pPr>
        <w:pStyle w:val="02Bulletslevel1"/>
        <w:divId w:val="1312174763"/>
      </w:pPr>
      <w:proofErr w:type="gramStart"/>
      <w:r>
        <w:t>appropriate</w:t>
      </w:r>
      <w:proofErr w:type="gramEnd"/>
      <w:r>
        <w:t xml:space="preserve"> coordination so that patients receive timely access to optimal care regardless of how or where they enter the system.</w:t>
      </w:r>
    </w:p>
    <w:p w:rsidR="00D130FF" w:rsidRDefault="00D130FF" w:rsidP="00D130FF">
      <w:pPr>
        <w:pStyle w:val="02Bulletslevel1"/>
        <w:numPr>
          <w:ilvl w:val="0"/>
          <w:numId w:val="0"/>
        </w:numPr>
        <w:ind w:left="284"/>
        <w:divId w:val="1312174763"/>
      </w:pPr>
    </w:p>
    <w:p w:rsidR="009F0931" w:rsidRDefault="00D130FF">
      <w:pPr>
        <w:pStyle w:val="x04-footnotes"/>
        <w:divId w:val="1512836738"/>
        <w:rPr>
          <w:rFonts w:cs="Times New Roman"/>
        </w:rPr>
      </w:pPr>
      <w:proofErr w:type="spellStart"/>
      <w:proofErr w:type="gramStart"/>
      <w:r>
        <w:rPr>
          <w:rFonts w:cs="Times New Roman"/>
        </w:rPr>
        <w:t>a</w:t>
      </w:r>
      <w:proofErr w:type="spellEnd"/>
      <w:proofErr w:type="gramEnd"/>
      <w:r>
        <w:rPr>
          <w:rFonts w:cs="Times New Roman"/>
        </w:rPr>
        <w:t xml:space="preserve"> The evidence </w:t>
      </w:r>
      <w:r w:rsidR="009F0931">
        <w:rPr>
          <w:rFonts w:cs="Times New Roman"/>
        </w:rPr>
        <w:t xml:space="preserve">base for these statements is available at </w:t>
      </w:r>
      <w:r w:rsidR="009F0931">
        <w:rPr>
          <w:rStyle w:val="x03-web-hyperlink"/>
          <w:rFonts w:cs="Times New Roman"/>
        </w:rPr>
        <w:t>www.safetyandquality.gov.au/ccs</w:t>
      </w:r>
      <w:r w:rsidR="009F0931">
        <w:rPr>
          <w:rFonts w:cs="Times New Roman"/>
        </w:rPr>
        <w:t>.</w:t>
      </w:r>
    </w:p>
    <w:p w:rsidR="007D5269" w:rsidRDefault="007D5269">
      <w:pPr>
        <w:rPr>
          <w:rFonts w:ascii="Arial" w:hAnsi="Arial" w:cs="Times New Roman"/>
          <w:b/>
          <w:bCs/>
          <w:color w:val="4D4F4D"/>
          <w:sz w:val="28"/>
          <w:szCs w:val="28"/>
        </w:rPr>
      </w:pPr>
      <w:r>
        <w:rPr>
          <w:rFonts w:cs="Times New Roman"/>
        </w:rPr>
        <w:br w:type="page"/>
      </w:r>
    </w:p>
    <w:p w:rsidR="009F0931" w:rsidRDefault="009F0931">
      <w:pPr>
        <w:pStyle w:val="x01-heading-level-3"/>
        <w:rPr>
          <w:rFonts w:cs="Times New Roman"/>
        </w:rPr>
      </w:pPr>
      <w:r>
        <w:rPr>
          <w:rFonts w:cs="Times New Roman"/>
        </w:rPr>
        <w:lastRenderedPageBreak/>
        <w:t>Scope</w:t>
      </w:r>
    </w:p>
    <w:p w:rsidR="009F0931" w:rsidRDefault="009F0931">
      <w:pPr>
        <w:pStyle w:val="x02-body-copy"/>
        <w:rPr>
          <w:rFonts w:cs="Times New Roman"/>
        </w:rPr>
      </w:pPr>
      <w:r>
        <w:rPr>
          <w:rFonts w:cs="Times New Roman"/>
        </w:rPr>
        <w:t>This Clinical Care Standard relates to the care that patients should receive when they have, or are suspected of having, a bacterial infection. It covers the care from the time of diagnosis to cure of an infection. The Antimicrobial Stewardship Clinical Care Standard has been developed for use in a variety of healthcare settings, including hospital, general practice and residential aged-care.</w:t>
      </w:r>
    </w:p>
    <w:p w:rsidR="009F0931" w:rsidRDefault="009F0931">
      <w:pPr>
        <w:pStyle w:val="x01-heading-level-3"/>
        <w:rPr>
          <w:rFonts w:cs="Times New Roman"/>
        </w:rPr>
      </w:pPr>
      <w:r>
        <w:rPr>
          <w:rFonts w:cs="Times New Roman"/>
        </w:rPr>
        <w:t>Goal</w:t>
      </w:r>
    </w:p>
    <w:p w:rsidR="009F0931" w:rsidRDefault="009F0931">
      <w:pPr>
        <w:pStyle w:val="x02-body-copy"/>
        <w:rPr>
          <w:rFonts w:cs="Times New Roman"/>
        </w:rPr>
      </w:pPr>
      <w:r>
        <w:rPr>
          <w:rFonts w:cs="Times New Roman"/>
        </w:rPr>
        <w:t>To ensure the appropriate use and review of antibiotics to optimise a patient’s health outcomes, lessen the risk of adverse effects and reduce the emergence of antibiotic resistance.</w:t>
      </w:r>
      <w:r>
        <w:rPr>
          <w:rStyle w:val="x02-body-superscript"/>
          <w:rFonts w:cs="Times New Roman"/>
        </w:rPr>
        <w:t>4</w:t>
      </w:r>
    </w:p>
    <w:p w:rsidR="009F0931" w:rsidRDefault="009F0931">
      <w:pPr>
        <w:pStyle w:val="x01-heading-level-3"/>
        <w:rPr>
          <w:rFonts w:cs="Times New Roman"/>
        </w:rPr>
      </w:pPr>
      <w:r>
        <w:rPr>
          <w:rFonts w:cs="Times New Roman"/>
        </w:rPr>
        <w:t xml:space="preserve">Monitoring and evaluation </w:t>
      </w:r>
    </w:p>
    <w:p w:rsidR="009F0931" w:rsidRDefault="009F0931">
      <w:pPr>
        <w:pStyle w:val="x02-body-copy"/>
        <w:rPr>
          <w:rFonts w:cs="Times New Roman"/>
        </w:rPr>
      </w:pPr>
      <w:r>
        <w:rPr>
          <w:rFonts w:cs="Times New Roman"/>
        </w:rPr>
        <w:t xml:space="preserve">Monitoring quality of care is an effective way of identifying areas that require improvement. It can tell how well health services satisfy the Clinical Care Standards. </w:t>
      </w:r>
    </w:p>
    <w:p w:rsidR="009F0931" w:rsidRDefault="009F0931">
      <w:pPr>
        <w:pStyle w:val="x02-body-copy"/>
        <w:rPr>
          <w:rFonts w:cs="Times New Roman"/>
        </w:rPr>
      </w:pPr>
      <w:r>
        <w:rPr>
          <w:rFonts w:cs="Times New Roman"/>
        </w:rPr>
        <w:t xml:space="preserve">Monitoring how well the Clinical Care Standards are met is a key part of the National Safety and Quality Health Service (NSQHS) Standards, particularly </w:t>
      </w:r>
      <w:r>
        <w:rPr>
          <w:rStyle w:val="x02-body-italic"/>
          <w:rFonts w:cs="Times New Roman"/>
        </w:rPr>
        <w:t>Standard 1: Governance for Safety and Quality.</w:t>
      </w:r>
      <w:r>
        <w:rPr>
          <w:rFonts w:cs="Times New Roman"/>
        </w:rPr>
        <w:t xml:space="preserve"> </w:t>
      </w:r>
    </w:p>
    <w:p w:rsidR="009F0931" w:rsidRDefault="009F0931">
      <w:pPr>
        <w:pStyle w:val="x02-body-copy"/>
        <w:rPr>
          <w:rFonts w:cs="Times New Roman"/>
        </w:rPr>
      </w:pPr>
      <w:r>
        <w:rPr>
          <w:rFonts w:cs="Times New Roman"/>
        </w:rPr>
        <w:t>Clinical Care Standards can be monitored using a sample set of suggested indicators (see Appendix).</w:t>
      </w:r>
    </w:p>
    <w:p w:rsidR="009F0931" w:rsidRDefault="009F0931">
      <w:pPr>
        <w:pStyle w:val="x01-heading-level-3"/>
        <w:rPr>
          <w:rFonts w:cs="Times New Roman"/>
        </w:rPr>
      </w:pPr>
      <w:r>
        <w:rPr>
          <w:rFonts w:cs="Times New Roman"/>
        </w:rPr>
        <w:t xml:space="preserve">Supporting documentation </w:t>
      </w:r>
    </w:p>
    <w:p w:rsidR="009F0931" w:rsidRDefault="009F0931">
      <w:pPr>
        <w:pStyle w:val="x02-body-copy-before-bullet"/>
        <w:rPr>
          <w:rFonts w:cs="Times New Roman"/>
        </w:rPr>
      </w:pPr>
      <w:r>
        <w:rPr>
          <w:rFonts w:cs="Times New Roman"/>
        </w:rPr>
        <w:t xml:space="preserve">The following supporting information for this Clinical Care Standard is available on the Commission’s web site at </w:t>
      </w:r>
      <w:r>
        <w:rPr>
          <w:rStyle w:val="x03-web-hyperlink"/>
          <w:rFonts w:cs="Times New Roman"/>
        </w:rPr>
        <w:t>www.safetyandquality.gov.au/ccs</w:t>
      </w:r>
      <w:r>
        <w:rPr>
          <w:rFonts w:cs="Times New Roman"/>
        </w:rPr>
        <w:t xml:space="preserve"> </w:t>
      </w:r>
    </w:p>
    <w:p w:rsidR="009F0931" w:rsidRDefault="009F0931" w:rsidP="007D5269">
      <w:pPr>
        <w:pStyle w:val="02Bulletslevel1"/>
      </w:pPr>
      <w:r>
        <w:t xml:space="preserve">a consumer fact sheet </w:t>
      </w:r>
    </w:p>
    <w:p w:rsidR="009F0931" w:rsidRDefault="009F0931" w:rsidP="007D5269">
      <w:pPr>
        <w:pStyle w:val="02Bulletslevel1"/>
      </w:pPr>
      <w:r>
        <w:t xml:space="preserve">a clinician fact sheet </w:t>
      </w:r>
    </w:p>
    <w:p w:rsidR="009F0931" w:rsidRDefault="009F0931" w:rsidP="007D5269">
      <w:pPr>
        <w:pStyle w:val="02Bulletslevel1"/>
      </w:pPr>
      <w:proofErr w:type="gramStart"/>
      <w:r>
        <w:t>indicator</w:t>
      </w:r>
      <w:proofErr w:type="gramEnd"/>
      <w:r>
        <w:t xml:space="preserve"> specification.</w:t>
      </w:r>
    </w:p>
    <w:p w:rsidR="007D5269" w:rsidRDefault="007D5269">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4" w:name="_Toc279256594"/>
      <w:r>
        <w:rPr>
          <w:rFonts w:cs="Times New Roman"/>
        </w:rPr>
        <w:lastRenderedPageBreak/>
        <w:t>Quality statement 1 – Life-threatening conditions</w:t>
      </w:r>
      <w:bookmarkEnd w:id="4"/>
    </w:p>
    <w:p w:rsidR="009F0931" w:rsidRDefault="009F0931">
      <w:pPr>
        <w:pStyle w:val="x02-intro"/>
        <w:rPr>
          <w:rFonts w:cs="Times New Roman"/>
        </w:rPr>
      </w:pPr>
      <w:r>
        <w:rPr>
          <w:rFonts w:cs="Times New Roman"/>
        </w:rPr>
        <w:t xml:space="preserve">A patient with a life-threatening condition due to a suspected bacterial infection receives prompt antibiotic treatment without waiting for the results of investigations. </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 xml:space="preserve">To reduce the time taken to provide antibiotic treatment for suspected life-threatening bacterial infections. </w:t>
      </w:r>
    </w:p>
    <w:p w:rsidR="009F0931" w:rsidRDefault="009F0931">
      <w:pPr>
        <w:pStyle w:val="x01-heading-level-3"/>
        <w:rPr>
          <w:rFonts w:cs="Times New Roman"/>
        </w:rPr>
      </w:pPr>
      <w:r>
        <w:rPr>
          <w:rFonts w:cs="Times New Roman"/>
        </w:rPr>
        <w:t>What the quality statement means</w:t>
      </w:r>
    </w:p>
    <w:p w:rsidR="009F0931" w:rsidRDefault="009F0931" w:rsidP="007D5269">
      <w:pPr>
        <w:pStyle w:val="02Bulletslevel1"/>
      </w:pPr>
      <w:r>
        <w:rPr>
          <w:rStyle w:val="x02-body-bold"/>
        </w:rPr>
        <w:t>For patients.</w:t>
      </w:r>
      <w:r>
        <w:t xml:space="preserve"> If you are extremely unwell with a suspected bacterial infection, you are given antibiotics as soon as possible. </w:t>
      </w:r>
    </w:p>
    <w:p w:rsidR="009F0931" w:rsidRDefault="009F0931" w:rsidP="007D5269">
      <w:pPr>
        <w:pStyle w:val="02Bulletslevel1"/>
      </w:pPr>
      <w:r>
        <w:rPr>
          <w:rStyle w:val="x02-body-bold"/>
        </w:rPr>
        <w:t>For clinicians.</w:t>
      </w:r>
      <w:r>
        <w:t xml:space="preserve"> Prescribe and administer appropriate empirical antibiotic treatment to patients with a suspected life-threatening bacterial infection, obtain clinical specimens as appropriate but do not delay administration of antibiotics or wait for results of investigations. </w:t>
      </w:r>
    </w:p>
    <w:p w:rsidR="009F0931" w:rsidRDefault="009F0931" w:rsidP="007D5269">
      <w:pPr>
        <w:pStyle w:val="02Bulletslevel1"/>
      </w:pPr>
      <w:r>
        <w:rPr>
          <w:rStyle w:val="x02-body-bold"/>
        </w:rPr>
        <w:t>For health services.</w:t>
      </w:r>
      <w:r>
        <w:t xml:space="preserve"> Ensure the availability of relevant clinical pathways and local antibiotic formulary so clinicians give patients with life-threatening bacterial infections appropriate antibiotic treatment without delay. </w:t>
      </w:r>
    </w:p>
    <w:p w:rsidR="009F0931" w:rsidRDefault="007D5269">
      <w:pPr>
        <w:rPr>
          <w:rFonts w:eastAsia="Times New Roman" w:cs="Times New Roman"/>
        </w:rPr>
      </w:pPr>
      <w:r>
        <w:rPr>
          <w:rFonts w:eastAsia="Times New Roman" w:cs="Times New Roman"/>
          <w:noProof/>
          <w:lang w:eastAsia="en-AU"/>
        </w:rPr>
        <w:drawing>
          <wp:inline distT="0" distB="0" distL="0" distR="0">
            <wp:extent cx="3309892" cy="3309892"/>
            <wp:effectExtent l="0" t="0" r="5080" b="5080"/>
            <wp:docPr id="3" name="Picture 3" descr="Logo - ambulance " title="Quality statement 1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png"/>
                    <pic:cNvPicPr/>
                  </pic:nvPicPr>
                  <pic:blipFill>
                    <a:blip r:embed="rId16">
                      <a:alphaModFix amt="27000"/>
                      <a:extLst>
                        <a:ext uri="{28A0092B-C50C-407E-A947-70E740481C1C}">
                          <a14:useLocalDpi xmlns:a14="http://schemas.microsoft.com/office/drawing/2010/main" val="0"/>
                        </a:ext>
                      </a:extLst>
                    </a:blip>
                    <a:stretch>
                      <a:fillRect/>
                    </a:stretch>
                  </pic:blipFill>
                  <pic:spPr>
                    <a:xfrm>
                      <a:off x="0" y="0"/>
                      <a:ext cx="3310544" cy="3310544"/>
                    </a:xfrm>
                    <a:prstGeom prst="rect">
                      <a:avLst/>
                    </a:prstGeom>
                  </pic:spPr>
                </pic:pic>
              </a:graphicData>
            </a:graphic>
          </wp:inline>
        </w:drawing>
      </w:r>
    </w:p>
    <w:p w:rsidR="007D5269" w:rsidRDefault="007D5269">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5" w:name="_Toc279256595"/>
      <w:r>
        <w:rPr>
          <w:rFonts w:cs="Times New Roman"/>
        </w:rPr>
        <w:lastRenderedPageBreak/>
        <w:t>Quality statement 2 – Microbiological testing</w:t>
      </w:r>
      <w:bookmarkEnd w:id="5"/>
    </w:p>
    <w:p w:rsidR="009F0931" w:rsidRDefault="009F0931">
      <w:pPr>
        <w:pStyle w:val="x02-intro"/>
        <w:rPr>
          <w:rFonts w:cs="Times New Roman"/>
        </w:rPr>
      </w:pPr>
      <w:r>
        <w:rPr>
          <w:rFonts w:cs="Times New Roman"/>
        </w:rPr>
        <w:t xml:space="preserve">A patient with a suspected bacterial infection has samples taken for microbiology testing as clinically indicated, preferably before starting antibiotic treatment. </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To support appropriate antibiotic selection through the appropriate use of microbiology testing.</w:t>
      </w:r>
    </w:p>
    <w:p w:rsidR="009F0931" w:rsidRDefault="009F0931">
      <w:pPr>
        <w:pStyle w:val="x02-body-copy"/>
        <w:rPr>
          <w:rFonts w:cs="Times New Roman"/>
        </w:rPr>
      </w:pPr>
      <w:r>
        <w:rPr>
          <w:rFonts w:cs="Times New Roman"/>
        </w:rPr>
        <w:t>In hospitals, microbiology testing routinely occurs before the administration of antibiotic treatment however, this may not be required in general practice and residential aged care settings. This quality statement aims to encourage all clinicians to undertake microbiology testing whenever indicated.</w:t>
      </w:r>
    </w:p>
    <w:p w:rsidR="009F0931" w:rsidRDefault="009F0931">
      <w:pPr>
        <w:pStyle w:val="x01-heading-level-3"/>
        <w:rPr>
          <w:rFonts w:cs="Times New Roman"/>
        </w:rPr>
      </w:pPr>
      <w:r>
        <w:rPr>
          <w:rFonts w:cs="Times New Roman"/>
        </w:rPr>
        <w:t>What the quality statement means</w:t>
      </w:r>
    </w:p>
    <w:p w:rsidR="009F0931" w:rsidRDefault="009F0931" w:rsidP="007D5269">
      <w:pPr>
        <w:pStyle w:val="02Bulletslevel1"/>
      </w:pPr>
      <w:r>
        <w:rPr>
          <w:rStyle w:val="x02-body-bold"/>
        </w:rPr>
        <w:t>For patients.</w:t>
      </w:r>
      <w:r>
        <w:t xml:space="preserve"> Before you are prescribed antibiotics, samples may be taken to try to work out which antibiotic is the best to treat the infection. The samples may include blood tests, urine samples or wound swabs.</w:t>
      </w:r>
    </w:p>
    <w:p w:rsidR="009F0931" w:rsidRDefault="009F0931" w:rsidP="007D5269">
      <w:pPr>
        <w:pStyle w:val="02Bulletslevel1"/>
      </w:pPr>
      <w:r>
        <w:rPr>
          <w:rStyle w:val="x02-body-bold"/>
        </w:rPr>
        <w:t>For clinicians.</w:t>
      </w:r>
      <w:r>
        <w:t xml:space="preserve"> Obtain samples for microbiology testing when clinically indicated and before starting antibiotic therapy whenever possible. This ensures that treatment is specifically directed against the infecting organism. </w:t>
      </w:r>
    </w:p>
    <w:p w:rsidR="009F0931" w:rsidRDefault="009F0931" w:rsidP="007D5269">
      <w:pPr>
        <w:pStyle w:val="02Bulletslevel1"/>
      </w:pPr>
      <w:r>
        <w:rPr>
          <w:rStyle w:val="x02-body-bold"/>
        </w:rPr>
        <w:t>For health services.</w:t>
      </w:r>
      <w:r>
        <w:t xml:space="preserve"> Ensure systems are in place for clinicians to take samples for microbiology testing before starting antibiotic therapy as clinically indicated, and for the results to be available to clinicians in a timely manner.</w:t>
      </w:r>
    </w:p>
    <w:p w:rsidR="009F0931" w:rsidRDefault="007D5269">
      <w:pPr>
        <w:rPr>
          <w:rFonts w:eastAsia="Times New Roman" w:cs="Times New Roman"/>
        </w:rPr>
      </w:pPr>
      <w:r>
        <w:rPr>
          <w:rFonts w:eastAsia="Times New Roman" w:cs="Times New Roman"/>
          <w:noProof/>
          <w:lang w:eastAsia="en-AU"/>
        </w:rPr>
        <w:drawing>
          <wp:inline distT="0" distB="0" distL="0" distR="0">
            <wp:extent cx="3309892" cy="3349484"/>
            <wp:effectExtent l="0" t="0" r="5080" b="3810"/>
            <wp:docPr id="4" name="Picture 4" descr="Logo - stethoscope" title="Quality statement 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e.png"/>
                    <pic:cNvPicPr/>
                  </pic:nvPicPr>
                  <pic:blipFill>
                    <a:blip r:embed="rId17">
                      <a:alphaModFix amt="26000"/>
                      <a:extLst>
                        <a:ext uri="{28A0092B-C50C-407E-A947-70E740481C1C}">
                          <a14:useLocalDpi xmlns:a14="http://schemas.microsoft.com/office/drawing/2010/main" val="0"/>
                        </a:ext>
                      </a:extLst>
                    </a:blip>
                    <a:stretch>
                      <a:fillRect/>
                    </a:stretch>
                  </pic:blipFill>
                  <pic:spPr>
                    <a:xfrm>
                      <a:off x="0" y="0"/>
                      <a:ext cx="3310552" cy="3350152"/>
                    </a:xfrm>
                    <a:prstGeom prst="rect">
                      <a:avLst/>
                    </a:prstGeom>
                  </pic:spPr>
                </pic:pic>
              </a:graphicData>
            </a:graphic>
          </wp:inline>
        </w:drawing>
      </w:r>
    </w:p>
    <w:p w:rsidR="007D5269" w:rsidRDefault="007D5269">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6" w:name="_Toc279256596"/>
      <w:r>
        <w:rPr>
          <w:rFonts w:cs="Times New Roman"/>
        </w:rPr>
        <w:lastRenderedPageBreak/>
        <w:t>Quality statement 3 – Information on treatment options</w:t>
      </w:r>
      <w:bookmarkEnd w:id="6"/>
    </w:p>
    <w:p w:rsidR="009F0931" w:rsidRDefault="009F0931">
      <w:pPr>
        <w:pStyle w:val="x02-intro"/>
        <w:rPr>
          <w:rFonts w:cs="Times New Roman"/>
        </w:rPr>
      </w:pPr>
      <w:r>
        <w:rPr>
          <w:rFonts w:cs="Times New Roman"/>
        </w:rPr>
        <w:t xml:space="preserve">A patient with a suspected infection, and/or their carer, receives information on their health condition and treatment options in a format and language that they can understand. </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To inform patients and/or their carers about their clinical condition so that they can participate in the decision-making process about their treatment, which may or may not include antibiotics.</w:t>
      </w:r>
    </w:p>
    <w:p w:rsidR="009F0931" w:rsidRDefault="009F0931">
      <w:pPr>
        <w:pStyle w:val="x01-heading-level-3"/>
        <w:rPr>
          <w:rFonts w:cs="Times New Roman"/>
        </w:rPr>
      </w:pPr>
      <w:r>
        <w:rPr>
          <w:rFonts w:cs="Times New Roman"/>
        </w:rPr>
        <w:t>What the quality statement means</w:t>
      </w:r>
    </w:p>
    <w:p w:rsidR="009F0931" w:rsidRDefault="009F0931" w:rsidP="00EC1BC4">
      <w:pPr>
        <w:pStyle w:val="02Bulletslevel1"/>
      </w:pPr>
      <w:r>
        <w:rPr>
          <w:rStyle w:val="x02-body-bold"/>
        </w:rPr>
        <w:t>For patients.</w:t>
      </w:r>
      <w:r>
        <w:t xml:space="preserve"> If you are thought to have a bacterial infection, your doctor or nurse discusses treatment options with you and/or your </w:t>
      </w:r>
      <w:proofErr w:type="spellStart"/>
      <w:r>
        <w:t>carer</w:t>
      </w:r>
      <w:proofErr w:type="spellEnd"/>
      <w:r>
        <w:t>, which may or may not include giving you antibiotics.</w:t>
      </w:r>
    </w:p>
    <w:p w:rsidR="009F0931" w:rsidRDefault="009F0931" w:rsidP="00EC1BC4">
      <w:pPr>
        <w:pStyle w:val="02Bulletslevel1"/>
      </w:pPr>
      <w:r>
        <w:rPr>
          <w:rStyle w:val="x02-body-bold"/>
        </w:rPr>
        <w:t>For clinicians.</w:t>
      </w:r>
      <w:r>
        <w:t xml:space="preserve"> Discuss with the patient and/or their carer the progression of the infection and the risks and benefits of the treatment options, which may or may not include antibiotics. This discussion should be inclusive of the patient’s preferences and needs.</w:t>
      </w:r>
    </w:p>
    <w:p w:rsidR="009F0931" w:rsidRDefault="009F0931" w:rsidP="00EC1BC4">
      <w:pPr>
        <w:pStyle w:val="02Bulletslevel1"/>
      </w:pPr>
      <w:r>
        <w:rPr>
          <w:rStyle w:val="x02-body-bold"/>
        </w:rPr>
        <w:t>For health services.</w:t>
      </w:r>
      <w:r>
        <w:t xml:space="preserve"> Ensure systems are in place for clinicians to provide patients and/or their </w:t>
      </w:r>
      <w:proofErr w:type="spellStart"/>
      <w:r>
        <w:t>carers</w:t>
      </w:r>
      <w:proofErr w:type="spellEnd"/>
      <w:r>
        <w:t xml:space="preserve"> with information and advice on antibiotic treatment options.</w:t>
      </w:r>
    </w:p>
    <w:p w:rsidR="009F0931" w:rsidRDefault="00EC1BC4">
      <w:pPr>
        <w:rPr>
          <w:rFonts w:eastAsia="Times New Roman" w:cs="Times New Roman"/>
        </w:rPr>
      </w:pPr>
      <w:r>
        <w:rPr>
          <w:rFonts w:eastAsia="Times New Roman" w:cs="Times New Roman"/>
          <w:noProof/>
          <w:lang w:eastAsia="en-AU"/>
        </w:rPr>
        <w:drawing>
          <wp:inline distT="0" distB="0" distL="0" distR="0">
            <wp:extent cx="3195592" cy="3195592"/>
            <wp:effectExtent l="0" t="0" r="5080" b="5080"/>
            <wp:docPr id="5" name="Picture 5" descr="Logo - information icon" title="Quality statement 3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png"/>
                    <pic:cNvPicPr/>
                  </pic:nvPicPr>
                  <pic:blipFill>
                    <a:blip r:embed="rId18">
                      <a:alphaModFix amt="23000"/>
                      <a:extLst>
                        <a:ext uri="{28A0092B-C50C-407E-A947-70E740481C1C}">
                          <a14:useLocalDpi xmlns:a14="http://schemas.microsoft.com/office/drawing/2010/main" val="0"/>
                        </a:ext>
                      </a:extLst>
                    </a:blip>
                    <a:stretch>
                      <a:fillRect/>
                    </a:stretch>
                  </pic:blipFill>
                  <pic:spPr>
                    <a:xfrm>
                      <a:off x="0" y="0"/>
                      <a:ext cx="3196222" cy="3196222"/>
                    </a:xfrm>
                    <a:prstGeom prst="rect">
                      <a:avLst/>
                    </a:prstGeom>
                  </pic:spPr>
                </pic:pic>
              </a:graphicData>
            </a:graphic>
          </wp:inline>
        </w:drawing>
      </w:r>
    </w:p>
    <w:p w:rsidR="00EC1BC4" w:rsidRDefault="00EC1BC4">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7" w:name="_Toc279256597"/>
      <w:r>
        <w:rPr>
          <w:rFonts w:cs="Times New Roman"/>
        </w:rPr>
        <w:lastRenderedPageBreak/>
        <w:t>Quality statement 4 – Use of guidelines and clinical condition</w:t>
      </w:r>
      <w:bookmarkEnd w:id="7"/>
      <w:r>
        <w:rPr>
          <w:rFonts w:cs="Times New Roman"/>
        </w:rPr>
        <w:t xml:space="preserve"> </w:t>
      </w:r>
    </w:p>
    <w:p w:rsidR="009F0931" w:rsidRDefault="009F0931">
      <w:pPr>
        <w:pStyle w:val="x02-intro"/>
        <w:rPr>
          <w:rFonts w:cs="Times New Roman"/>
        </w:rPr>
      </w:pPr>
      <w:r>
        <w:rPr>
          <w:rFonts w:cs="Times New Roman"/>
        </w:rPr>
        <w:t xml:space="preserve">When a patient is prescribed antibiotics, whether empirical or directed, this is done in accordance with the current version of the </w:t>
      </w:r>
      <w:r>
        <w:rPr>
          <w:rStyle w:val="x02-intro-italic"/>
          <w:rFonts w:cs="Times New Roman"/>
        </w:rPr>
        <w:t>Therapeutic Guidelines</w:t>
      </w:r>
      <w:r>
        <w:rPr>
          <w:rStyle w:val="x02-body-superscript"/>
          <w:rFonts w:cs="Times New Roman"/>
        </w:rPr>
        <w:t>1</w:t>
      </w:r>
      <w:r>
        <w:rPr>
          <w:rFonts w:cs="Times New Roman"/>
        </w:rPr>
        <w:t xml:space="preserve"> (or local antibiotic formulary). This is also guided by the patient’s clinical condition and/or the results of microbiology testing.</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To ensure the right antibiotic treatment is given (i.e. the right drug, dose, route and duration of therapy is chosen).</w:t>
      </w:r>
    </w:p>
    <w:p w:rsidR="009F0931" w:rsidRDefault="009F0931">
      <w:pPr>
        <w:pStyle w:val="x01-heading-level-3"/>
        <w:rPr>
          <w:rFonts w:cs="Times New Roman"/>
        </w:rPr>
      </w:pPr>
      <w:r>
        <w:rPr>
          <w:rFonts w:cs="Times New Roman"/>
        </w:rPr>
        <w:t>What the quality statement means</w:t>
      </w:r>
    </w:p>
    <w:p w:rsidR="009F0931" w:rsidRDefault="009F0931" w:rsidP="00EC1BC4">
      <w:pPr>
        <w:pStyle w:val="02Bulletslevel1"/>
      </w:pPr>
      <w:r>
        <w:rPr>
          <w:rStyle w:val="x02-body-bold"/>
        </w:rPr>
        <w:t>For patients.</w:t>
      </w:r>
      <w:r>
        <w:t xml:space="preserve"> If you are prescribed an antibiotic, your doctor or nurse chooses which one, based on national or local recommendations. They should take into account any allergies and other health conditions you may have.</w:t>
      </w:r>
    </w:p>
    <w:p w:rsidR="009F0931" w:rsidRDefault="009F0931" w:rsidP="00EC1BC4">
      <w:pPr>
        <w:pStyle w:val="02Bulletslevel1"/>
      </w:pPr>
      <w:r>
        <w:rPr>
          <w:rStyle w:val="x02-body-bold"/>
        </w:rPr>
        <w:t xml:space="preserve">For clinicians. </w:t>
      </w:r>
      <w:r>
        <w:t xml:space="preserve">Prescribe an antibiotic according to the current </w:t>
      </w:r>
      <w:r>
        <w:rPr>
          <w:rStyle w:val="x02-body-italic"/>
        </w:rPr>
        <w:t>Therapeutic Guidelines</w:t>
      </w:r>
      <w:r>
        <w:rPr>
          <w:rStyle w:val="x02-body-superscript"/>
        </w:rPr>
        <w:t xml:space="preserve">1 </w:t>
      </w:r>
      <w:r>
        <w:t>(or local antibiotic formulary). Consider the individual patient’s characteristics, such as allergy status, other medicines prescribed and other health conditions.</w:t>
      </w:r>
    </w:p>
    <w:p w:rsidR="009F0931" w:rsidRDefault="009F0931" w:rsidP="00EC1BC4">
      <w:pPr>
        <w:pStyle w:val="02Bulletslevel1"/>
      </w:pPr>
      <w:r>
        <w:rPr>
          <w:rStyle w:val="x02-body-bold"/>
        </w:rPr>
        <w:t xml:space="preserve">For health services. </w:t>
      </w:r>
      <w:r>
        <w:t xml:space="preserve">Ensure clinicians have access to and use the current version of </w:t>
      </w:r>
      <w:r>
        <w:rPr>
          <w:rStyle w:val="x02-body-italic"/>
        </w:rPr>
        <w:t>Therapeutic Guidelines</w:t>
      </w:r>
      <w:r>
        <w:rPr>
          <w:rStyle w:val="x02-body-superscript"/>
        </w:rPr>
        <w:t>1</w:t>
      </w:r>
      <w:r>
        <w:t xml:space="preserve"> or local antibiotic formulary when prescribing antibiotics.</w:t>
      </w:r>
    </w:p>
    <w:p w:rsidR="009F0931" w:rsidRDefault="00EC1BC4">
      <w:pPr>
        <w:rPr>
          <w:rFonts w:eastAsia="Times New Roman" w:cs="Times New Roman"/>
        </w:rPr>
      </w:pPr>
      <w:r>
        <w:rPr>
          <w:rFonts w:eastAsia="Times New Roman" w:cs="Times New Roman"/>
          <w:noProof/>
          <w:lang w:eastAsia="en-AU"/>
        </w:rPr>
        <w:drawing>
          <wp:inline distT="0" distB="0" distL="0" distR="0">
            <wp:extent cx="3195592" cy="3180482"/>
            <wp:effectExtent l="0" t="0" r="5080" b="1270"/>
            <wp:docPr id="7" name="Picture 7" descr="Logo - guideline" title="Quality statement 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png"/>
                    <pic:cNvPicPr/>
                  </pic:nvPicPr>
                  <pic:blipFill>
                    <a:blip r:embed="rId19">
                      <a:alphaModFix amt="25000"/>
                      <a:extLst>
                        <a:ext uri="{28A0092B-C50C-407E-A947-70E740481C1C}">
                          <a14:useLocalDpi xmlns:a14="http://schemas.microsoft.com/office/drawing/2010/main" val="0"/>
                        </a:ext>
                      </a:extLst>
                    </a:blip>
                    <a:stretch>
                      <a:fillRect/>
                    </a:stretch>
                  </pic:blipFill>
                  <pic:spPr>
                    <a:xfrm>
                      <a:off x="0" y="0"/>
                      <a:ext cx="3196858" cy="3181742"/>
                    </a:xfrm>
                    <a:prstGeom prst="rect">
                      <a:avLst/>
                    </a:prstGeom>
                  </pic:spPr>
                </pic:pic>
              </a:graphicData>
            </a:graphic>
          </wp:inline>
        </w:drawing>
      </w:r>
    </w:p>
    <w:p w:rsidR="00EC1BC4" w:rsidRDefault="00EC1BC4">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8" w:name="_Toc279256598"/>
      <w:r>
        <w:rPr>
          <w:rFonts w:cs="Times New Roman"/>
        </w:rPr>
        <w:lastRenderedPageBreak/>
        <w:t>Quality statement 5 – Taking antibiotics as prescribed</w:t>
      </w:r>
      <w:bookmarkEnd w:id="8"/>
      <w:r>
        <w:rPr>
          <w:rFonts w:cs="Times New Roman"/>
        </w:rPr>
        <w:t xml:space="preserve"> </w:t>
      </w:r>
    </w:p>
    <w:p w:rsidR="009F0931" w:rsidRDefault="009F0931">
      <w:pPr>
        <w:pStyle w:val="x02-intro"/>
        <w:rPr>
          <w:rFonts w:cs="Times New Roman"/>
        </w:rPr>
      </w:pPr>
      <w:r>
        <w:rPr>
          <w:rFonts w:cs="Times New Roman"/>
        </w:rPr>
        <w:t xml:space="preserve">When a patient is prescribed antibiotics, information about when, how and for how long to take them, as well as potential side effects and a review plan, is discussed with the patient and/or their carer. </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To improve patients’ compliance to prescribed antibiotic treatment.</w:t>
      </w:r>
    </w:p>
    <w:p w:rsidR="009F0931" w:rsidRDefault="009F0931">
      <w:pPr>
        <w:pStyle w:val="x01-heading-level-3"/>
        <w:rPr>
          <w:rFonts w:cs="Times New Roman"/>
        </w:rPr>
      </w:pPr>
      <w:r>
        <w:rPr>
          <w:rFonts w:cs="Times New Roman"/>
        </w:rPr>
        <w:t>What the quality statement means</w:t>
      </w:r>
    </w:p>
    <w:p w:rsidR="009F0931" w:rsidRDefault="009F0931" w:rsidP="00EC1BC4">
      <w:pPr>
        <w:pStyle w:val="02Bulletslevel1"/>
      </w:pPr>
      <w:r>
        <w:rPr>
          <w:rStyle w:val="x02-body-bold"/>
        </w:rPr>
        <w:t>For patients.</w:t>
      </w:r>
      <w:r>
        <w:t xml:space="preserve"> If you are prescribed antibiotics, your doctor or nurse discusses with you and/or your carer about when and how to take your antibiotics, how long to take them and any potential side effects. You may need to be seen again to review your progress.</w:t>
      </w:r>
    </w:p>
    <w:p w:rsidR="009F0931" w:rsidRDefault="009F0931" w:rsidP="00EC1BC4">
      <w:pPr>
        <w:pStyle w:val="02Bulletslevel1"/>
      </w:pPr>
      <w:r>
        <w:rPr>
          <w:rStyle w:val="x02-body-bold"/>
        </w:rPr>
        <w:t>For clinicians.</w:t>
      </w:r>
      <w:r>
        <w:t xml:space="preserve"> Discuss with the patient and/or their carer the importance of taking antibiotics as prescribed, how long to take them, any potential side effects and whether the treatment will need to be reviewed.</w:t>
      </w:r>
    </w:p>
    <w:p w:rsidR="009F0931" w:rsidRDefault="009F0931" w:rsidP="00EC1BC4">
      <w:pPr>
        <w:pStyle w:val="02Bulletslevel1"/>
      </w:pPr>
      <w:r>
        <w:rPr>
          <w:rStyle w:val="x02-body-bold"/>
        </w:rPr>
        <w:t>For health services.</w:t>
      </w:r>
      <w:r>
        <w:t xml:space="preserve"> Ensure systems are in place so that clinicians discuss with patients and/or their carers the need to take antibiotics as prescribed, how long to take them, any potential side effects and whether their treatment requires review.</w:t>
      </w:r>
    </w:p>
    <w:p w:rsidR="009F0931" w:rsidRDefault="00EC1BC4">
      <w:pPr>
        <w:rPr>
          <w:rFonts w:eastAsia="Times New Roman" w:cs="Times New Roman"/>
        </w:rPr>
      </w:pPr>
      <w:r>
        <w:rPr>
          <w:rFonts w:eastAsia="Times New Roman" w:cs="Times New Roman"/>
          <w:noProof/>
          <w:lang w:eastAsia="en-AU"/>
        </w:rPr>
        <w:drawing>
          <wp:inline distT="0" distB="0" distL="0" distR="0">
            <wp:extent cx="3652792" cy="3652792"/>
            <wp:effectExtent l="0" t="0" r="5080" b="5080"/>
            <wp:docPr id="8" name="Picture 8" descr="Logo - people meeting " title="Quality statement 5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_1.png"/>
                    <pic:cNvPicPr/>
                  </pic:nvPicPr>
                  <pic:blipFill>
                    <a:blip r:embed="rId20">
                      <a:alphaModFix amt="20000"/>
                      <a:extLst>
                        <a:ext uri="{28A0092B-C50C-407E-A947-70E740481C1C}">
                          <a14:useLocalDpi xmlns:a14="http://schemas.microsoft.com/office/drawing/2010/main" val="0"/>
                        </a:ext>
                      </a:extLst>
                    </a:blip>
                    <a:stretch>
                      <a:fillRect/>
                    </a:stretch>
                  </pic:blipFill>
                  <pic:spPr>
                    <a:xfrm>
                      <a:off x="0" y="0"/>
                      <a:ext cx="3653512" cy="3653512"/>
                    </a:xfrm>
                    <a:prstGeom prst="rect">
                      <a:avLst/>
                    </a:prstGeom>
                  </pic:spPr>
                </pic:pic>
              </a:graphicData>
            </a:graphic>
          </wp:inline>
        </w:drawing>
      </w:r>
    </w:p>
    <w:p w:rsidR="00EC1BC4" w:rsidRDefault="00EC1BC4">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9" w:name="_Toc279256599"/>
      <w:r>
        <w:rPr>
          <w:rFonts w:cs="Times New Roman"/>
        </w:rPr>
        <w:lastRenderedPageBreak/>
        <w:t>Quality statement 6 – Documentation</w:t>
      </w:r>
      <w:bookmarkEnd w:id="9"/>
      <w:r>
        <w:rPr>
          <w:rFonts w:cs="Times New Roman"/>
        </w:rPr>
        <w:t xml:space="preserve"> </w:t>
      </w:r>
    </w:p>
    <w:p w:rsidR="009F0931" w:rsidRDefault="009F0931">
      <w:pPr>
        <w:pStyle w:val="x02-intro"/>
        <w:rPr>
          <w:rFonts w:cs="Times New Roman"/>
        </w:rPr>
      </w:pPr>
      <w:r>
        <w:rPr>
          <w:rFonts w:cs="Times New Roman"/>
        </w:rPr>
        <w:t xml:space="preserve">When a patient is prescribed antibiotics, the reason, drug name, dose, route of administration, intended duration and review plan is documented in the patient’s health record. </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To improve communication of antibiotic treatment between clinicians through a variety of mechanisms, including the Personally Controlled Electronic Health Record.</w:t>
      </w:r>
    </w:p>
    <w:p w:rsidR="009F0931" w:rsidRDefault="009F0931">
      <w:pPr>
        <w:pStyle w:val="x01-heading-level-3"/>
        <w:rPr>
          <w:rFonts w:cs="Times New Roman"/>
        </w:rPr>
      </w:pPr>
      <w:r>
        <w:rPr>
          <w:rFonts w:cs="Times New Roman"/>
        </w:rPr>
        <w:t>What the quality statement means</w:t>
      </w:r>
    </w:p>
    <w:p w:rsidR="009F0931" w:rsidRDefault="009F0931" w:rsidP="00EC1BC4">
      <w:pPr>
        <w:pStyle w:val="02Bulletslevel1"/>
      </w:pPr>
      <w:r>
        <w:rPr>
          <w:rStyle w:val="x02-body-bold"/>
        </w:rPr>
        <w:t>For patients.</w:t>
      </w:r>
      <w:r>
        <w:t xml:space="preserve"> Your health record contains the details of your antibiotic treatment. This includes information on why you were prescribed antibiotics, the medicine name, the dose, how you take them (i.e. as tablets or an injection), how long to take them and any plans to review your treatment.</w:t>
      </w:r>
    </w:p>
    <w:p w:rsidR="009F0931" w:rsidRDefault="009F0931" w:rsidP="00EC1BC4">
      <w:pPr>
        <w:pStyle w:val="02Bulletslevel1"/>
      </w:pPr>
      <w:r>
        <w:rPr>
          <w:rStyle w:val="x02-body-bold"/>
        </w:rPr>
        <w:t xml:space="preserve">For clinicians. </w:t>
      </w:r>
      <w:r>
        <w:t xml:space="preserve">When prescribing antibiotics document the clinical reason, the medicine name, the dose, the route of administration, the intended duration and any review plan in the patient’s health record. </w:t>
      </w:r>
    </w:p>
    <w:p w:rsidR="009F0931" w:rsidRDefault="009F0931" w:rsidP="00EC1BC4">
      <w:pPr>
        <w:pStyle w:val="02Bulletslevel1"/>
      </w:pPr>
      <w:r>
        <w:rPr>
          <w:rStyle w:val="x02-body-bold"/>
        </w:rPr>
        <w:t>For health services.</w:t>
      </w:r>
      <w:r>
        <w:t xml:space="preserve"> Ensure a system is in place so that when clinicians prescribe antibiotics they document the clinical reason, the medicine name, dose, route of administration, the intended duration and any treatment review plan in the patient’s health record. </w:t>
      </w:r>
    </w:p>
    <w:p w:rsidR="009F0931" w:rsidRDefault="00EC1BC4">
      <w:pPr>
        <w:rPr>
          <w:rFonts w:eastAsia="Times New Roman" w:cs="Times New Roman"/>
        </w:rPr>
      </w:pPr>
      <w:r>
        <w:rPr>
          <w:rFonts w:eastAsia="Times New Roman" w:cs="Times New Roman"/>
          <w:noProof/>
          <w:lang w:eastAsia="en-AU"/>
        </w:rPr>
        <w:drawing>
          <wp:inline distT="0" distB="0" distL="0" distR="0">
            <wp:extent cx="3424192" cy="3408001"/>
            <wp:effectExtent l="0" t="0" r="5080" b="2540"/>
            <wp:docPr id="9" name="Picture 9" descr="Logo - clipboard" title="Quality statement 6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_Information.png"/>
                    <pic:cNvPicPr/>
                  </pic:nvPicPr>
                  <pic:blipFill>
                    <a:blip r:embed="rId21">
                      <a:alphaModFix amt="25000"/>
                      <a:extLst>
                        <a:ext uri="{28A0092B-C50C-407E-A947-70E740481C1C}">
                          <a14:useLocalDpi xmlns:a14="http://schemas.microsoft.com/office/drawing/2010/main" val="0"/>
                        </a:ext>
                      </a:extLst>
                    </a:blip>
                    <a:stretch>
                      <a:fillRect/>
                    </a:stretch>
                  </pic:blipFill>
                  <pic:spPr>
                    <a:xfrm>
                      <a:off x="0" y="0"/>
                      <a:ext cx="3425548" cy="3409351"/>
                    </a:xfrm>
                    <a:prstGeom prst="rect">
                      <a:avLst/>
                    </a:prstGeom>
                  </pic:spPr>
                </pic:pic>
              </a:graphicData>
            </a:graphic>
          </wp:inline>
        </w:drawing>
      </w:r>
    </w:p>
    <w:p w:rsidR="00EC1BC4" w:rsidRDefault="00EC1BC4">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10" w:name="_Toc279256600"/>
      <w:r>
        <w:rPr>
          <w:rFonts w:cs="Times New Roman"/>
        </w:rPr>
        <w:lastRenderedPageBreak/>
        <w:t>Quality statement 7 – Use of broad-spectrum antibiotics</w:t>
      </w:r>
      <w:bookmarkEnd w:id="10"/>
      <w:r>
        <w:rPr>
          <w:rFonts w:cs="Times New Roman"/>
        </w:rPr>
        <w:t xml:space="preserve"> </w:t>
      </w:r>
    </w:p>
    <w:p w:rsidR="009F0931" w:rsidRDefault="009F0931">
      <w:pPr>
        <w:pStyle w:val="x02-intro"/>
        <w:rPr>
          <w:rFonts w:cs="Times New Roman"/>
        </w:rPr>
      </w:pPr>
      <w:r>
        <w:rPr>
          <w:rFonts w:cs="Times New Roman"/>
        </w:rPr>
        <w:t>A patient who is treated with broad-spectrum antibiotics has the treatment reviewed and, if indicated, switched to treatment with a narrow-spectrum antibiotic. This is guided by the patient’s clinical condition and the results of microbiology tests.</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 xml:space="preserve">To reduce the unnecessary use of broad-spectrum antibiotics, particularly when microbiology tests indicate that a bacterial infection can be treated just as effectively with a narrow-spectrum antibiotic. </w:t>
      </w:r>
    </w:p>
    <w:p w:rsidR="009F0931" w:rsidRDefault="009F0931">
      <w:pPr>
        <w:pStyle w:val="x01-heading-level-3"/>
        <w:rPr>
          <w:rFonts w:cs="Times New Roman"/>
        </w:rPr>
      </w:pPr>
      <w:r>
        <w:rPr>
          <w:rFonts w:cs="Times New Roman"/>
        </w:rPr>
        <w:t>What the quality statement means</w:t>
      </w:r>
    </w:p>
    <w:p w:rsidR="009F0931" w:rsidRDefault="009F0931" w:rsidP="00EC1BC4">
      <w:pPr>
        <w:pStyle w:val="02Bulletslevel1"/>
      </w:pPr>
      <w:r>
        <w:rPr>
          <w:rStyle w:val="x02-body-bold"/>
        </w:rPr>
        <w:t>For patients.</w:t>
      </w:r>
      <w:r>
        <w:t xml:space="preserve"> If it is unclear which bacteria may be causing your infection, you may be prescribed an antibiotic that works against a wide range of bacteria (i.e. a broad-spectrum antibiotic). In this case, your doctor or nurse may order tests to review your progress and, on seeing the results, your treatment may change to a more specific antibiotic (i.e. a narrow-spectrum antibiotic). </w:t>
      </w:r>
    </w:p>
    <w:p w:rsidR="009F0931" w:rsidRDefault="009F0931" w:rsidP="00EC1BC4">
      <w:pPr>
        <w:pStyle w:val="02Bulletslevel1"/>
      </w:pPr>
      <w:r>
        <w:rPr>
          <w:rStyle w:val="x02-body-bold"/>
        </w:rPr>
        <w:t>For clinicians.</w:t>
      </w:r>
      <w:r w:rsidR="00D130FF">
        <w:t xml:space="preserve"> When prescribing a </w:t>
      </w:r>
      <w:r>
        <w:t>broad-spectrum a</w:t>
      </w:r>
      <w:r w:rsidR="00D130FF">
        <w:t xml:space="preserve">ntibiotic, review the patient’s </w:t>
      </w:r>
      <w:r>
        <w:t>clinical status</w:t>
      </w:r>
      <w:r w:rsidR="00D130FF">
        <w:t xml:space="preserve"> and </w:t>
      </w:r>
      <w:r>
        <w:t xml:space="preserve">any microbiology results to determine whether the patient’s treatment can be switched to a narrow-spectrum antibiotic. </w:t>
      </w:r>
    </w:p>
    <w:p w:rsidR="009F0931" w:rsidRDefault="009F0931" w:rsidP="00EC1BC4">
      <w:pPr>
        <w:pStyle w:val="02Bulletslevel1"/>
      </w:pPr>
      <w:r>
        <w:rPr>
          <w:rStyle w:val="x02-body-bold"/>
        </w:rPr>
        <w:t>For health services.</w:t>
      </w:r>
      <w:r>
        <w:t xml:space="preserve"> Ensure processes are in place to support clinicians changing broad-spectrum antibiotics to appropriate narrow-spectrum antibiotics once the pathogen and its susceptibilities are known.</w:t>
      </w:r>
      <w:r>
        <w:rPr>
          <w:rStyle w:val="x02-body-superscript"/>
        </w:rPr>
        <w:t xml:space="preserve">3 </w:t>
      </w:r>
    </w:p>
    <w:p w:rsidR="009F0931" w:rsidRDefault="00EC1BC4">
      <w:pPr>
        <w:rPr>
          <w:rFonts w:eastAsia="Times New Roman" w:cs="Times New Roman"/>
        </w:rPr>
      </w:pPr>
      <w:r>
        <w:rPr>
          <w:rFonts w:eastAsia="Times New Roman" w:cs="Times New Roman"/>
          <w:noProof/>
          <w:lang w:eastAsia="en-AU"/>
        </w:rPr>
        <w:drawing>
          <wp:inline distT="0" distB="0" distL="0" distR="0">
            <wp:extent cx="3424192" cy="3432306"/>
            <wp:effectExtent l="0" t="0" r="5080" b="0"/>
            <wp:docPr id="10" name="Picture 10" descr="Logo - medicines" title="Quality statement 7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yringe.png"/>
                    <pic:cNvPicPr/>
                  </pic:nvPicPr>
                  <pic:blipFill>
                    <a:blip r:embed="rId22">
                      <a:alphaModFix amt="21000"/>
                      <a:extLst>
                        <a:ext uri="{28A0092B-C50C-407E-A947-70E740481C1C}">
                          <a14:useLocalDpi xmlns:a14="http://schemas.microsoft.com/office/drawing/2010/main" val="0"/>
                        </a:ext>
                      </a:extLst>
                    </a:blip>
                    <a:stretch>
                      <a:fillRect/>
                    </a:stretch>
                  </pic:blipFill>
                  <pic:spPr>
                    <a:xfrm>
                      <a:off x="0" y="0"/>
                      <a:ext cx="3425207" cy="3433323"/>
                    </a:xfrm>
                    <a:prstGeom prst="rect">
                      <a:avLst/>
                    </a:prstGeom>
                  </pic:spPr>
                </pic:pic>
              </a:graphicData>
            </a:graphic>
          </wp:inline>
        </w:drawing>
      </w:r>
    </w:p>
    <w:p w:rsidR="00EC1BC4" w:rsidRDefault="00EC1BC4">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11" w:name="_Toc279256601"/>
      <w:r>
        <w:rPr>
          <w:rFonts w:cs="Times New Roman"/>
        </w:rPr>
        <w:lastRenderedPageBreak/>
        <w:t>Quality statement 8 – Review of treatment</w:t>
      </w:r>
      <w:bookmarkEnd w:id="11"/>
    </w:p>
    <w:p w:rsidR="009F0931" w:rsidRDefault="009F0931">
      <w:pPr>
        <w:pStyle w:val="x02-intro"/>
        <w:rPr>
          <w:rFonts w:cs="Times New Roman"/>
        </w:rPr>
      </w:pPr>
      <w:r>
        <w:rPr>
          <w:rFonts w:cs="Times New Roman"/>
        </w:rPr>
        <w:t>If investigation</w:t>
      </w:r>
      <w:r w:rsidRPr="004B6FAB">
        <w:rPr>
          <w:rFonts w:cs="Times New Roman"/>
        </w:rPr>
        <w:t>s</w:t>
      </w:r>
      <w:r>
        <w:rPr>
          <w:rFonts w:cs="Times New Roman"/>
        </w:rPr>
        <w:t xml:space="preserve"> are conducted for a suspected bacterial infection, the responsible clinician reviews these results in a timely manner (within 24 hours of results being available) and antibiotic therapy is adjusted taking into account the patient’s clinical condition and investigation results.</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 xml:space="preserve">To optimise patients’ antibiotic treatment by using clinical assessment and review of microbiology results. </w:t>
      </w:r>
    </w:p>
    <w:p w:rsidR="009F0931" w:rsidRDefault="009F0931">
      <w:pPr>
        <w:pStyle w:val="x01-heading-level-3"/>
        <w:rPr>
          <w:rFonts w:cs="Times New Roman"/>
        </w:rPr>
      </w:pPr>
      <w:r>
        <w:rPr>
          <w:rFonts w:cs="Times New Roman"/>
        </w:rPr>
        <w:t>What the quality statement means</w:t>
      </w:r>
    </w:p>
    <w:p w:rsidR="009F0931" w:rsidRDefault="009F0931" w:rsidP="00EC1BC4">
      <w:pPr>
        <w:pStyle w:val="02Bulletslevel1"/>
      </w:pPr>
      <w:r>
        <w:rPr>
          <w:rStyle w:val="x02-body-bold"/>
        </w:rPr>
        <w:t>For patients.</w:t>
      </w:r>
      <w:r>
        <w:t xml:space="preserve"> If tests have been done to identify a suspected bacterial infection, your doctor or nurse reviews these results as soon as they are available (usually within 24 hours of being available). These results may lead to your antibiotic treatment changing or stopping. </w:t>
      </w:r>
    </w:p>
    <w:p w:rsidR="009F0931" w:rsidRDefault="009F0931" w:rsidP="00EC1BC4">
      <w:pPr>
        <w:pStyle w:val="02Bulletslevel1"/>
      </w:pPr>
      <w:r>
        <w:rPr>
          <w:rStyle w:val="x02-body-bold"/>
        </w:rPr>
        <w:t>For clinicians.</w:t>
      </w:r>
      <w:r>
        <w:t xml:space="preserve"> If microbiology tests are ordered, review the results within 24 hours of them being available, and use this information to consider whether changing or stopping antibiotics is appropriate. </w:t>
      </w:r>
    </w:p>
    <w:p w:rsidR="009F0931" w:rsidRDefault="009F0931" w:rsidP="00EC1BC4">
      <w:pPr>
        <w:pStyle w:val="02Bulletslevel1"/>
      </w:pPr>
      <w:r>
        <w:rPr>
          <w:rStyle w:val="x02-body-bold"/>
        </w:rPr>
        <w:t>For health services.</w:t>
      </w:r>
      <w:r>
        <w:t xml:space="preserve"> Ensure systems are in place so clinicians review microbiology test results as soon as they are available and use the information to guide antibiotic treatment decisions.</w:t>
      </w:r>
    </w:p>
    <w:p w:rsidR="009F0931" w:rsidRDefault="00EC1BC4">
      <w:pPr>
        <w:rPr>
          <w:rFonts w:eastAsia="Times New Roman" w:cs="Times New Roman"/>
        </w:rPr>
      </w:pPr>
      <w:r>
        <w:rPr>
          <w:rFonts w:eastAsia="Times New Roman" w:cs="Times New Roman"/>
          <w:noProof/>
          <w:lang w:eastAsia="en-AU"/>
        </w:rPr>
        <w:drawing>
          <wp:inline distT="0" distB="0" distL="0" distR="0">
            <wp:extent cx="2968874" cy="2954836"/>
            <wp:effectExtent l="0" t="0" r="3175" b="0"/>
            <wp:docPr id="11" name="Picture 11" descr="Logo - vial " title="Quality statement 8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tube.png"/>
                    <pic:cNvPicPr/>
                  </pic:nvPicPr>
                  <pic:blipFill>
                    <a:blip r:embed="rId23">
                      <a:alphaModFix amt="23000"/>
                      <a:extLst>
                        <a:ext uri="{28A0092B-C50C-407E-A947-70E740481C1C}">
                          <a14:useLocalDpi xmlns:a14="http://schemas.microsoft.com/office/drawing/2010/main" val="0"/>
                        </a:ext>
                      </a:extLst>
                    </a:blip>
                    <a:stretch>
                      <a:fillRect/>
                    </a:stretch>
                  </pic:blipFill>
                  <pic:spPr>
                    <a:xfrm>
                      <a:off x="0" y="0"/>
                      <a:ext cx="2970050" cy="2956006"/>
                    </a:xfrm>
                    <a:prstGeom prst="rect">
                      <a:avLst/>
                    </a:prstGeom>
                  </pic:spPr>
                </pic:pic>
              </a:graphicData>
            </a:graphic>
          </wp:inline>
        </w:drawing>
      </w:r>
    </w:p>
    <w:p w:rsidR="00EC1BC4" w:rsidRDefault="00EC1BC4">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12" w:name="_Toc279256602"/>
      <w:r>
        <w:rPr>
          <w:rFonts w:cs="Times New Roman"/>
        </w:rPr>
        <w:lastRenderedPageBreak/>
        <w:t>Quality statement 9 – Surgical prophylaxis</w:t>
      </w:r>
      <w:bookmarkEnd w:id="12"/>
    </w:p>
    <w:p w:rsidR="009F0931" w:rsidRDefault="009F0931">
      <w:pPr>
        <w:pStyle w:val="x02-intro"/>
        <w:rPr>
          <w:rFonts w:cs="Times New Roman"/>
        </w:rPr>
      </w:pPr>
      <w:r>
        <w:rPr>
          <w:rFonts w:cs="Times New Roman"/>
        </w:rPr>
        <w:t xml:space="preserve">If a patient having surgery requires prophylactic antibiotics, the prescription is made in accordance with the current </w:t>
      </w:r>
      <w:r>
        <w:rPr>
          <w:rStyle w:val="x02-intro-italic"/>
          <w:rFonts w:cs="Times New Roman"/>
        </w:rPr>
        <w:t>Therapeutic Guidelines</w:t>
      </w:r>
      <w:r>
        <w:rPr>
          <w:rStyle w:val="x02-body-superscript"/>
          <w:rFonts w:cs="Times New Roman"/>
        </w:rPr>
        <w:t>1</w:t>
      </w:r>
      <w:r>
        <w:rPr>
          <w:rFonts w:cs="Times New Roman"/>
        </w:rPr>
        <w:t xml:space="preserve"> (or local antibiotic formulary), and takes into consideration the patient’s clinical condition. </w:t>
      </w:r>
    </w:p>
    <w:p w:rsidR="009F0931" w:rsidRDefault="009F0931">
      <w:pPr>
        <w:pStyle w:val="x01-heading-level-3"/>
        <w:rPr>
          <w:rFonts w:cs="Times New Roman"/>
        </w:rPr>
      </w:pPr>
      <w:r>
        <w:rPr>
          <w:rFonts w:cs="Times New Roman"/>
        </w:rPr>
        <w:t>Purpose</w:t>
      </w:r>
    </w:p>
    <w:p w:rsidR="009F0931" w:rsidRDefault="009F0931">
      <w:pPr>
        <w:pStyle w:val="x02-body-copy"/>
        <w:rPr>
          <w:rFonts w:cs="Times New Roman"/>
        </w:rPr>
      </w:pPr>
      <w:r>
        <w:rPr>
          <w:rFonts w:cs="Times New Roman"/>
        </w:rPr>
        <w:t>To reduce unwarranted variation in the use of antibiotics for surgical prophylaxis.</w:t>
      </w:r>
    </w:p>
    <w:p w:rsidR="009F0931" w:rsidRDefault="009F0931">
      <w:pPr>
        <w:pStyle w:val="x02-body-copy"/>
        <w:rPr>
          <w:rFonts w:cs="Times New Roman"/>
        </w:rPr>
      </w:pPr>
      <w:r>
        <w:rPr>
          <w:rFonts w:cs="Times New Roman"/>
        </w:rPr>
        <w:t>This quality statement relates to any setting/service that undertakes surgery. The statement has been included due to prevalence of unwarranted variations in the use of antibiotics for surgical prophylaxis. Statistics show that levels of inappropriate use range from 30 per cent to 90 per cent, especially with respect to timing and duration.</w:t>
      </w:r>
      <w:r>
        <w:rPr>
          <w:rStyle w:val="x02-body-superscript"/>
          <w:rFonts w:cs="Times New Roman"/>
        </w:rPr>
        <w:t>1</w:t>
      </w:r>
      <w:r>
        <w:rPr>
          <w:rFonts w:cs="Times New Roman"/>
        </w:rPr>
        <w:t xml:space="preserve"> </w:t>
      </w:r>
    </w:p>
    <w:p w:rsidR="009F0931" w:rsidRDefault="009F0931">
      <w:pPr>
        <w:pStyle w:val="x01-heading-level-3"/>
        <w:rPr>
          <w:rFonts w:cs="Times New Roman"/>
        </w:rPr>
      </w:pPr>
      <w:r>
        <w:rPr>
          <w:rFonts w:cs="Times New Roman"/>
        </w:rPr>
        <w:t>What the quality statement means</w:t>
      </w:r>
    </w:p>
    <w:p w:rsidR="009F0931" w:rsidRDefault="009F0931" w:rsidP="00EC1BC4">
      <w:pPr>
        <w:pStyle w:val="02Bulletslevel1"/>
      </w:pPr>
      <w:r>
        <w:rPr>
          <w:rStyle w:val="x02-body-bold"/>
        </w:rPr>
        <w:t>For patients.</w:t>
      </w:r>
      <w:r>
        <w:t xml:space="preserve"> Antibiotics may be given to you before surgery to reduce the risk of an infection after surgery. The prescription is also based on national or local recommendations.</w:t>
      </w:r>
    </w:p>
    <w:p w:rsidR="009F0931" w:rsidRDefault="009F0931" w:rsidP="00EC1BC4">
      <w:pPr>
        <w:pStyle w:val="02Bulletslevel1"/>
      </w:pPr>
      <w:r>
        <w:rPr>
          <w:rStyle w:val="x02-body-bold"/>
        </w:rPr>
        <w:t>For clinicians.</w:t>
      </w:r>
      <w:r>
        <w:t xml:space="preserve"> Prescribe and administer a surgical prophylactic antibiotic in accordance with the recommendations outlined in current </w:t>
      </w:r>
      <w:r>
        <w:rPr>
          <w:rStyle w:val="x02-body-italic"/>
        </w:rPr>
        <w:t>Therapeutic Guidelines</w:t>
      </w:r>
      <w:r>
        <w:rPr>
          <w:rStyle w:val="x02-body-superscript"/>
        </w:rPr>
        <w:t>1</w:t>
      </w:r>
      <w:r>
        <w:t xml:space="preserve"> (or local antibiotic formulary), and taking into account the patient’s clinical condition. </w:t>
      </w:r>
    </w:p>
    <w:p w:rsidR="009F0931" w:rsidRDefault="009F0931" w:rsidP="00EC1BC4">
      <w:pPr>
        <w:pStyle w:val="02Bulletslevel1"/>
      </w:pPr>
      <w:r>
        <w:rPr>
          <w:rStyle w:val="x02-body-bold"/>
        </w:rPr>
        <w:t>For health services.</w:t>
      </w:r>
      <w:r>
        <w:t xml:space="preserve"> Ensure systems are in place for clinicians to provide appropriate prophylactic antibiotic therapy to patients undergoing surgery, and that this is based on the current </w:t>
      </w:r>
      <w:r>
        <w:rPr>
          <w:rStyle w:val="x02-body-italic"/>
        </w:rPr>
        <w:t>Therapeutic Guidelines</w:t>
      </w:r>
      <w:r>
        <w:rPr>
          <w:rStyle w:val="x02-body-superscript"/>
        </w:rPr>
        <w:t>1</w:t>
      </w:r>
      <w:r>
        <w:t xml:space="preserve"> (or local antibiotic formulary).</w:t>
      </w:r>
    </w:p>
    <w:p w:rsidR="00EC1BC4" w:rsidRDefault="00EC1BC4">
      <w:pPr>
        <w:rPr>
          <w:rStyle w:val="x02-body-bold"/>
          <w:rFonts w:cs="Times New Roman"/>
        </w:rPr>
      </w:pPr>
      <w:r>
        <w:rPr>
          <w:rFonts w:ascii="Arial" w:hAnsi="Arial" w:cs="Times New Roman"/>
          <w:b/>
          <w:noProof/>
          <w:lang w:eastAsia="en-AU"/>
        </w:rPr>
        <w:drawing>
          <wp:inline distT="0" distB="0" distL="0" distR="0">
            <wp:extent cx="3081292" cy="3074008"/>
            <wp:effectExtent l="0" t="0" r="5080" b="0"/>
            <wp:docPr id="12" name="Picture 12" descr="Logo - doctor" title="Quality statement 9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png"/>
                    <pic:cNvPicPr/>
                  </pic:nvPicPr>
                  <pic:blipFill>
                    <a:blip r:embed="rId24">
                      <a:alphaModFix amt="25000"/>
                      <a:extLst>
                        <a:ext uri="{28A0092B-C50C-407E-A947-70E740481C1C}">
                          <a14:useLocalDpi xmlns:a14="http://schemas.microsoft.com/office/drawing/2010/main" val="0"/>
                        </a:ext>
                      </a:extLst>
                    </a:blip>
                    <a:stretch>
                      <a:fillRect/>
                    </a:stretch>
                  </pic:blipFill>
                  <pic:spPr>
                    <a:xfrm>
                      <a:off x="0" y="0"/>
                      <a:ext cx="3082205" cy="3074919"/>
                    </a:xfrm>
                    <a:prstGeom prst="rect">
                      <a:avLst/>
                    </a:prstGeom>
                  </pic:spPr>
                </pic:pic>
              </a:graphicData>
            </a:graphic>
          </wp:inline>
        </w:drawing>
      </w:r>
      <w:r>
        <w:rPr>
          <w:rStyle w:val="x02-body-bold"/>
          <w:rFonts w:cs="Times New Roman"/>
        </w:rPr>
        <w:br w:type="page"/>
      </w:r>
    </w:p>
    <w:p w:rsidR="00EC1BC4" w:rsidRPr="00EC1BC4" w:rsidRDefault="00EC1BC4" w:rsidP="00EC1BC4">
      <w:pPr>
        <w:pStyle w:val="x01-heading-level-1"/>
        <w:rPr>
          <w:rStyle w:val="x02-body-bold"/>
          <w:b/>
          <w:bCs w:val="0"/>
          <w:color w:val="auto"/>
          <w:sz w:val="20"/>
          <w:szCs w:val="20"/>
        </w:rPr>
      </w:pPr>
      <w:bookmarkStart w:id="13" w:name="_Toc279256603"/>
      <w:r>
        <w:lastRenderedPageBreak/>
        <w:t>Glossary</w:t>
      </w:r>
      <w:bookmarkEnd w:id="13"/>
    </w:p>
    <w:p w:rsidR="009F0931" w:rsidRDefault="009F0931">
      <w:pPr>
        <w:pStyle w:val="x02-body-copy"/>
        <w:rPr>
          <w:rFonts w:cs="Times New Roman"/>
        </w:rPr>
      </w:pPr>
      <w:r>
        <w:rPr>
          <w:rStyle w:val="x02-body-bold"/>
          <w:rFonts w:cs="Times New Roman"/>
        </w:rPr>
        <w:t>Antibiotic:</w:t>
      </w:r>
      <w:r>
        <w:rPr>
          <w:rFonts w:cs="Times New Roman"/>
        </w:rPr>
        <w:t xml:space="preserve"> A substance that kills or inhibits the growth of bacteria.</w:t>
      </w:r>
      <w:r>
        <w:rPr>
          <w:rStyle w:val="x02-body-superscript"/>
          <w:rFonts w:cs="Times New Roman"/>
        </w:rPr>
        <w:t>5</w:t>
      </w:r>
      <w:r>
        <w:rPr>
          <w:rFonts w:cs="Times New Roman"/>
        </w:rPr>
        <w:t xml:space="preserve"> </w:t>
      </w:r>
    </w:p>
    <w:p w:rsidR="009F0931" w:rsidRDefault="009F0931">
      <w:pPr>
        <w:pStyle w:val="x02-body-copy"/>
        <w:rPr>
          <w:rFonts w:cs="Times New Roman"/>
        </w:rPr>
      </w:pPr>
      <w:r>
        <w:rPr>
          <w:rStyle w:val="x02-body-bold"/>
          <w:rFonts w:cs="Times New Roman"/>
        </w:rPr>
        <w:t>Antibiotic resistance:</w:t>
      </w:r>
      <w:r>
        <w:rPr>
          <w:rFonts w:cs="Times New Roman"/>
        </w:rPr>
        <w:t xml:space="preserve"> Antibiotic resistance happens when bacteria change to protect themselves from an antibiotic. When this happens, antibiotics that previously would have killed the bacteria, or stopped them from multiplying, no longer work against those bacteria.</w:t>
      </w:r>
      <w:r>
        <w:rPr>
          <w:rStyle w:val="x02-body-superscript"/>
          <w:rFonts w:cs="Times New Roman"/>
        </w:rPr>
        <w:t>6</w:t>
      </w:r>
    </w:p>
    <w:p w:rsidR="009F0931" w:rsidRDefault="009F0931">
      <w:pPr>
        <w:pStyle w:val="x02-body-copy"/>
        <w:rPr>
          <w:rFonts w:cs="Times New Roman"/>
        </w:rPr>
      </w:pPr>
      <w:r>
        <w:rPr>
          <w:rStyle w:val="x02-body-bold"/>
          <w:rFonts w:cs="Times New Roman"/>
        </w:rPr>
        <w:t>Antimicrobial:</w:t>
      </w:r>
      <w:r>
        <w:rPr>
          <w:rFonts w:cs="Times New Roman"/>
        </w:rPr>
        <w:t xml:space="preserve"> A chemical substance that kills or inhibits the growth of bacteria, viruses and fungi, including yeasts or moulds.</w:t>
      </w:r>
      <w:r>
        <w:rPr>
          <w:rStyle w:val="x02-body-superscript"/>
          <w:rFonts w:cs="Times New Roman"/>
        </w:rPr>
        <w:t>5</w:t>
      </w:r>
    </w:p>
    <w:p w:rsidR="009F0931" w:rsidRDefault="009F0931">
      <w:pPr>
        <w:pStyle w:val="x02-body-copy"/>
        <w:rPr>
          <w:rFonts w:cs="Times New Roman"/>
        </w:rPr>
      </w:pPr>
      <w:r>
        <w:rPr>
          <w:rStyle w:val="x02-body-bold"/>
          <w:rFonts w:cs="Times New Roman"/>
        </w:rPr>
        <w:t>Antimicrobial stewardship:</w:t>
      </w:r>
      <w:r>
        <w:rPr>
          <w:rFonts w:cs="Times New Roman"/>
        </w:rPr>
        <w:t xml:space="preserve"> An ongoing effort by a health service to optimise antimicrobial use in order to improve patient outcomes, ensure cost-effective therapy and reduce adverse sequelae of antimicrobial use, including antimicrobial resistance.</w:t>
      </w:r>
      <w:r>
        <w:rPr>
          <w:rStyle w:val="x02-body-superscript"/>
          <w:rFonts w:cs="Times New Roman"/>
        </w:rPr>
        <w:t>4</w:t>
      </w:r>
      <w:r>
        <w:rPr>
          <w:rFonts w:cs="Times New Roman"/>
        </w:rPr>
        <w:t xml:space="preserve"> </w:t>
      </w:r>
    </w:p>
    <w:p w:rsidR="009F0931" w:rsidRDefault="009F0931">
      <w:pPr>
        <w:pStyle w:val="x02-body-copy"/>
        <w:rPr>
          <w:rFonts w:cs="Times New Roman"/>
        </w:rPr>
      </w:pPr>
      <w:r>
        <w:rPr>
          <w:rStyle w:val="x02-body-bold"/>
          <w:rFonts w:cs="Times New Roman"/>
        </w:rPr>
        <w:t>Bacteria:</w:t>
      </w:r>
      <w:r>
        <w:rPr>
          <w:rFonts w:cs="Times New Roman"/>
        </w:rPr>
        <w:t xml:space="preserve"> Microscopic living organisms, usually one-celled, that can be found everywhere. Most bacteria are harmless, but they can become dangerous when they cause infections.</w:t>
      </w:r>
      <w:r>
        <w:rPr>
          <w:rStyle w:val="x02-body-superscript"/>
          <w:rFonts w:cs="Times New Roman"/>
        </w:rPr>
        <w:t>7</w:t>
      </w:r>
    </w:p>
    <w:p w:rsidR="009F0931" w:rsidRDefault="009F0931">
      <w:pPr>
        <w:pStyle w:val="x02-body-copy"/>
        <w:rPr>
          <w:rFonts w:cs="Times New Roman"/>
        </w:rPr>
      </w:pPr>
      <w:r>
        <w:rPr>
          <w:rStyle w:val="x02-body-bold"/>
          <w:rFonts w:cs="Times New Roman"/>
        </w:rPr>
        <w:t xml:space="preserve">Broad-spectrum antibiotics: </w:t>
      </w:r>
      <w:r>
        <w:rPr>
          <w:rFonts w:cs="Times New Roman"/>
        </w:rPr>
        <w:t>Antibiotics that are active against a wide range of organisms are referred to as broad-spectrum antibiotics.</w:t>
      </w:r>
      <w:r>
        <w:rPr>
          <w:rStyle w:val="x02-body-superscript"/>
          <w:rFonts w:cs="Times New Roman"/>
        </w:rPr>
        <w:t>8</w:t>
      </w:r>
      <w:r>
        <w:rPr>
          <w:rFonts w:cs="Times New Roman"/>
        </w:rPr>
        <w:t xml:space="preserve"> </w:t>
      </w:r>
      <w:proofErr w:type="gramStart"/>
      <w:r>
        <w:rPr>
          <w:rFonts w:cs="Times New Roman"/>
        </w:rPr>
        <w:t>See</w:t>
      </w:r>
      <w:proofErr w:type="gramEnd"/>
      <w:r>
        <w:rPr>
          <w:rFonts w:cs="Times New Roman"/>
        </w:rPr>
        <w:t xml:space="preserve"> also </w:t>
      </w:r>
      <w:r>
        <w:rPr>
          <w:rStyle w:val="x02-body-italic"/>
          <w:rFonts w:cs="Times New Roman"/>
        </w:rPr>
        <w:t>Narrow-spectrum antibiotics.</w:t>
      </w:r>
    </w:p>
    <w:p w:rsidR="009F0931" w:rsidRDefault="009F0931">
      <w:pPr>
        <w:pStyle w:val="x02-body-copy"/>
        <w:rPr>
          <w:rFonts w:cs="Times New Roman"/>
        </w:rPr>
      </w:pPr>
      <w:r>
        <w:rPr>
          <w:rStyle w:val="x02-body-bold"/>
          <w:rFonts w:cs="Times New Roman"/>
        </w:rPr>
        <w:t>Carers:</w:t>
      </w:r>
      <w:r>
        <w:rPr>
          <w:rFonts w:cs="Times New Roman"/>
        </w:rPr>
        <w:t xml:space="preserve"> People who provide unpaid care and support to family members and friends who have a disease, disability, mental illness, chronic condition, terminal illness or general frailty. Carers include parents and guardians caring for children or older persons.</w:t>
      </w:r>
      <w:r>
        <w:rPr>
          <w:rStyle w:val="x02-body-superscript"/>
          <w:rFonts w:cs="Times New Roman"/>
        </w:rPr>
        <w:t xml:space="preserve">9 </w:t>
      </w:r>
    </w:p>
    <w:p w:rsidR="009F0931" w:rsidRDefault="009F0931">
      <w:pPr>
        <w:pStyle w:val="x02-body-copy"/>
        <w:rPr>
          <w:rFonts w:cs="Times New Roman"/>
        </w:rPr>
      </w:pPr>
      <w:r>
        <w:rPr>
          <w:rStyle w:val="x02-body-bold"/>
          <w:rFonts w:cs="Times New Roman"/>
        </w:rPr>
        <w:t>Clinically indicated:</w:t>
      </w:r>
      <w:r>
        <w:rPr>
          <w:rFonts w:cs="Times New Roman"/>
        </w:rPr>
        <w:t xml:space="preserve"> Having a symptom or condition that makes a particular treatment or procedure advisable.</w:t>
      </w:r>
      <w:r>
        <w:rPr>
          <w:rStyle w:val="x02-body-superscript"/>
          <w:rFonts w:cs="Times New Roman"/>
        </w:rPr>
        <w:t>10</w:t>
      </w:r>
      <w:r>
        <w:rPr>
          <w:rFonts w:cs="Times New Roman"/>
        </w:rPr>
        <w:t xml:space="preserve"> </w:t>
      </w:r>
    </w:p>
    <w:p w:rsidR="009F0931" w:rsidRDefault="009F0931">
      <w:pPr>
        <w:pStyle w:val="x02-body-copy"/>
        <w:rPr>
          <w:rFonts w:cs="Times New Roman"/>
        </w:rPr>
      </w:pPr>
      <w:r>
        <w:rPr>
          <w:rStyle w:val="x02-body-bold"/>
          <w:rFonts w:cs="Times New Roman"/>
        </w:rPr>
        <w:t xml:space="preserve">Clinician: </w:t>
      </w:r>
      <w:r>
        <w:rPr>
          <w:rFonts w:cs="Times New Roman"/>
        </w:rPr>
        <w:t>A healthcare provider, trained as a health professional. Clinicians include registered and non-registered practitioners, or a team of health professionals, who provide direct clinical care.</w:t>
      </w:r>
      <w:r>
        <w:rPr>
          <w:rStyle w:val="x02-body-superscript"/>
          <w:rFonts w:cs="Times New Roman"/>
        </w:rPr>
        <w:t>11</w:t>
      </w:r>
      <w:r>
        <w:rPr>
          <w:rFonts w:cs="Times New Roman"/>
        </w:rPr>
        <w:t xml:space="preserve"> </w:t>
      </w:r>
    </w:p>
    <w:p w:rsidR="009F0931" w:rsidRDefault="009F0931">
      <w:pPr>
        <w:pStyle w:val="x02-body-copy"/>
        <w:rPr>
          <w:rFonts w:cs="Times New Roman"/>
        </w:rPr>
      </w:pPr>
      <w:r>
        <w:rPr>
          <w:rStyle w:val="x02-body-bold"/>
          <w:rFonts w:cs="Times New Roman"/>
        </w:rPr>
        <w:t xml:space="preserve">Dose: </w:t>
      </w:r>
      <w:r>
        <w:rPr>
          <w:rFonts w:cs="Times New Roman"/>
        </w:rPr>
        <w:t>A specified quantity of a therapeutic agent, such as a medicine, prescribed to be taken at one time or at stated intervals.</w:t>
      </w:r>
      <w:r>
        <w:rPr>
          <w:rStyle w:val="x02-body-superscript"/>
          <w:rFonts w:cs="Times New Roman"/>
        </w:rPr>
        <w:t>12</w:t>
      </w:r>
      <w:r>
        <w:rPr>
          <w:rFonts w:cs="Times New Roman"/>
        </w:rPr>
        <w:t xml:space="preserve"> </w:t>
      </w:r>
    </w:p>
    <w:p w:rsidR="009F0931" w:rsidRDefault="009F0931">
      <w:pPr>
        <w:pStyle w:val="x02-body-copy"/>
        <w:rPr>
          <w:rFonts w:cs="Times New Roman"/>
        </w:rPr>
      </w:pPr>
      <w:r>
        <w:rPr>
          <w:rStyle w:val="x02-body-bold"/>
          <w:rFonts w:cs="Times New Roman"/>
        </w:rPr>
        <w:t xml:space="preserve">Guidelines: </w:t>
      </w:r>
      <w:r>
        <w:rPr>
          <w:rFonts w:cs="Times New Roman"/>
        </w:rPr>
        <w:t>Clinical practice guidelines are systematically developed statements to assist practitioner and patient decisions about appropriate health care for specific circumstances.</w:t>
      </w:r>
      <w:r>
        <w:rPr>
          <w:rStyle w:val="x02-body-superscript"/>
          <w:rFonts w:cs="Times New Roman"/>
        </w:rPr>
        <w:t>13</w:t>
      </w:r>
      <w:r>
        <w:rPr>
          <w:rFonts w:cs="Times New Roman"/>
        </w:rPr>
        <w:t xml:space="preserve"> </w:t>
      </w:r>
    </w:p>
    <w:p w:rsidR="009F0931" w:rsidRDefault="009F0931">
      <w:pPr>
        <w:pStyle w:val="x02-body-copy"/>
        <w:rPr>
          <w:rFonts w:cs="Times New Roman"/>
        </w:rPr>
      </w:pPr>
      <w:r>
        <w:rPr>
          <w:rStyle w:val="x02-body-bold"/>
          <w:rFonts w:cs="Times New Roman"/>
        </w:rPr>
        <w:t>Health record:</w:t>
      </w:r>
      <w:r>
        <w:rPr>
          <w:rFonts w:cs="Times New Roman"/>
        </w:rPr>
        <w:t xml:space="preserve"> Information about a patient held in hard or soft copy. The health service record may comprise clinical records (such as medical history, treatment notes, observations, correspondence, investigations, test results, photographs, prescription records, medication charts), administrative records (such as contact and demographic information, legal and occupational health and safety reports) and financial records (such as invoices, payments and insurance information).</w:t>
      </w:r>
      <w:r>
        <w:rPr>
          <w:rStyle w:val="x02-body-superscript"/>
          <w:rFonts w:cs="Times New Roman"/>
        </w:rPr>
        <w:t>11</w:t>
      </w:r>
      <w:r>
        <w:rPr>
          <w:rFonts w:cs="Times New Roman"/>
        </w:rPr>
        <w:t xml:space="preserve"> </w:t>
      </w:r>
    </w:p>
    <w:p w:rsidR="009F0931" w:rsidRDefault="009F0931">
      <w:pPr>
        <w:pStyle w:val="x02-body-copy"/>
        <w:rPr>
          <w:rFonts w:cs="Times New Roman"/>
        </w:rPr>
      </w:pPr>
      <w:r>
        <w:rPr>
          <w:rStyle w:val="x02-body-bold"/>
          <w:rFonts w:cs="Times New Roman"/>
        </w:rPr>
        <w:t>Health service:</w:t>
      </w:r>
      <w:r>
        <w:rPr>
          <w:rFonts w:cs="Times New Roman"/>
        </w:rPr>
        <w:t xml:space="preserve"> A service responsible for the clinical governance, administration and financial management of unit(s) providing health care. A service unit involves a grouping of clinicians and others working in a systematic way to deliver health care to patients and can be in any location or setting, including pharmacies, clinics, outpatient facilities, hospitals, patients’ homes, community settings, practices and clinicians’ rooms.</w:t>
      </w:r>
      <w:r>
        <w:rPr>
          <w:rStyle w:val="x02-body-superscript"/>
          <w:rFonts w:cs="Times New Roman"/>
        </w:rPr>
        <w:t>11</w:t>
      </w:r>
    </w:p>
    <w:p w:rsidR="009F0931" w:rsidRDefault="009F0931">
      <w:pPr>
        <w:pStyle w:val="x02-body-copy"/>
        <w:rPr>
          <w:rFonts w:cs="Times New Roman"/>
        </w:rPr>
      </w:pPr>
      <w:r>
        <w:rPr>
          <w:rStyle w:val="x02-body-bold"/>
          <w:rFonts w:cs="Times New Roman"/>
        </w:rPr>
        <w:t xml:space="preserve">Hospital: </w:t>
      </w:r>
      <w:r>
        <w:rPr>
          <w:rFonts w:cs="Times New Roman"/>
        </w:rPr>
        <w:t>A licensed facility providing healthcare services to patients for short periods of acute illness, injury or recovery.</w:t>
      </w:r>
      <w:r>
        <w:rPr>
          <w:rStyle w:val="x02-body-superscript"/>
          <w:rFonts w:cs="Times New Roman"/>
        </w:rPr>
        <w:t>14</w:t>
      </w:r>
      <w:r>
        <w:rPr>
          <w:rFonts w:cs="Times New Roman"/>
        </w:rPr>
        <w:t xml:space="preserve"> </w:t>
      </w:r>
    </w:p>
    <w:p w:rsidR="009F0931" w:rsidRDefault="009F0931">
      <w:pPr>
        <w:pStyle w:val="x02-body-copy"/>
        <w:rPr>
          <w:rFonts w:cs="Times New Roman"/>
        </w:rPr>
      </w:pPr>
      <w:r>
        <w:rPr>
          <w:rStyle w:val="x02-body-bold"/>
          <w:rFonts w:cs="Times New Roman"/>
        </w:rPr>
        <w:t>Infection:</w:t>
      </w:r>
      <w:r>
        <w:rPr>
          <w:rFonts w:cs="Times New Roman"/>
        </w:rPr>
        <w:t xml:space="preserve"> The invasion and reproduction of pathogenic or disease-causing organisms inside the body. This may cause tissue injury and disease.</w:t>
      </w:r>
      <w:r>
        <w:rPr>
          <w:rStyle w:val="x02-body-superscript"/>
          <w:rFonts w:cs="Times New Roman"/>
        </w:rPr>
        <w:t>15</w:t>
      </w:r>
      <w:r>
        <w:rPr>
          <w:rFonts w:cs="Times New Roman"/>
        </w:rPr>
        <w:t xml:space="preserve"> Infectious agents can include bacteria, viruses, fungi and parasites. </w:t>
      </w:r>
    </w:p>
    <w:p w:rsidR="009F0931" w:rsidRDefault="009F0931">
      <w:pPr>
        <w:pStyle w:val="x02-body-copy"/>
        <w:rPr>
          <w:rFonts w:cs="Times New Roman"/>
        </w:rPr>
      </w:pPr>
      <w:r>
        <w:rPr>
          <w:rStyle w:val="x02-body-bold"/>
          <w:rFonts w:cs="Times New Roman"/>
        </w:rPr>
        <w:lastRenderedPageBreak/>
        <w:t>Life-threatening bacterial infection:</w:t>
      </w:r>
      <w:r>
        <w:rPr>
          <w:rFonts w:cs="Times New Roman"/>
        </w:rPr>
        <w:t xml:space="preserve"> Bacterial infections resulting in life-threatening illnesses that require immediate intervention (e.g. severe sepsis, septic shock, bacterial meningitis or meningococcal septicaemia).</w:t>
      </w:r>
      <w:r>
        <w:rPr>
          <w:rStyle w:val="x02-body-superscript"/>
          <w:rFonts w:cs="Times New Roman"/>
        </w:rPr>
        <w:t xml:space="preserve">1 </w:t>
      </w:r>
    </w:p>
    <w:p w:rsidR="009F0931" w:rsidRDefault="009F0931">
      <w:pPr>
        <w:pStyle w:val="x02-body-copy"/>
        <w:rPr>
          <w:rFonts w:cs="Times New Roman"/>
        </w:rPr>
      </w:pPr>
      <w:r>
        <w:rPr>
          <w:rStyle w:val="x02-body-bold"/>
          <w:rFonts w:cs="Times New Roman"/>
        </w:rPr>
        <w:t>Microbiology testing:</w:t>
      </w:r>
      <w:r>
        <w:rPr>
          <w:rFonts w:cs="Times New Roman"/>
        </w:rPr>
        <w:t xml:space="preserve"> Tests performed on specimens (e.g. a blood sample) in a laboratory to determine the cause of an infection and to identify suitable treatments.</w:t>
      </w:r>
      <w:r>
        <w:rPr>
          <w:rStyle w:val="x02-body-superscript"/>
          <w:rFonts w:cs="Times New Roman"/>
        </w:rPr>
        <w:t>15</w:t>
      </w:r>
      <w:r>
        <w:rPr>
          <w:rFonts w:cs="Times New Roman"/>
        </w:rPr>
        <w:t xml:space="preserve"> </w:t>
      </w:r>
    </w:p>
    <w:p w:rsidR="009F0931" w:rsidRDefault="009F0931">
      <w:pPr>
        <w:pStyle w:val="x02-body-copy"/>
        <w:rPr>
          <w:rFonts w:cs="Times New Roman"/>
        </w:rPr>
      </w:pPr>
      <w:r>
        <w:rPr>
          <w:rStyle w:val="x02-body-bold"/>
          <w:rFonts w:cs="Times New Roman"/>
        </w:rPr>
        <w:t>Narrow-spectrum antibiotics:</w:t>
      </w:r>
      <w:r>
        <w:rPr>
          <w:rFonts w:cs="Times New Roman"/>
        </w:rPr>
        <w:t xml:space="preserve"> Antibiotics that target particular organisms or groups of organisms are referred to as narrow-spectrum antibiotics</w:t>
      </w:r>
      <w:r>
        <w:rPr>
          <w:rStyle w:val="x02-body-superscript"/>
          <w:rFonts w:cs="Times New Roman"/>
        </w:rPr>
        <w:t>8</w:t>
      </w:r>
      <w:r>
        <w:rPr>
          <w:rFonts w:cs="Times New Roman"/>
        </w:rPr>
        <w:t>.</w:t>
      </w:r>
      <w:r w:rsidR="00D130FF">
        <w:rPr>
          <w:rFonts w:cs="Times New Roman"/>
        </w:rPr>
        <w:t xml:space="preserve"> </w:t>
      </w:r>
      <w:r>
        <w:rPr>
          <w:rFonts w:cs="Times New Roman"/>
        </w:rPr>
        <w:t xml:space="preserve">See also </w:t>
      </w:r>
      <w:r>
        <w:rPr>
          <w:rStyle w:val="x02-body-italic"/>
          <w:rFonts w:cs="Times New Roman"/>
        </w:rPr>
        <w:t>Broad-spectrum antibiotics.</w:t>
      </w:r>
    </w:p>
    <w:p w:rsidR="009F0931" w:rsidRDefault="009F0931">
      <w:pPr>
        <w:pStyle w:val="x02-body-copy"/>
        <w:rPr>
          <w:rFonts w:cs="Times New Roman"/>
        </w:rPr>
      </w:pPr>
      <w:r>
        <w:rPr>
          <w:rStyle w:val="x02-body-bold"/>
          <w:rFonts w:cs="Times New Roman"/>
        </w:rPr>
        <w:t xml:space="preserve">Personally Controlled Electronic Health (eHealth) Record: </w:t>
      </w:r>
      <w:r>
        <w:rPr>
          <w:rFonts w:cs="Times New Roman"/>
        </w:rPr>
        <w:t>an electronic record for a patient that contains a summary of their health information.</w:t>
      </w:r>
      <w:r>
        <w:rPr>
          <w:rStyle w:val="x02-body-superscript"/>
          <w:rFonts w:cs="Times New Roman"/>
        </w:rPr>
        <w:t>16</w:t>
      </w:r>
    </w:p>
    <w:p w:rsidR="009F0931" w:rsidRDefault="009F0931">
      <w:pPr>
        <w:pStyle w:val="x02-body-copy"/>
        <w:rPr>
          <w:rFonts w:cs="Times New Roman"/>
        </w:rPr>
      </w:pPr>
      <w:r>
        <w:rPr>
          <w:rStyle w:val="x02-body-bold"/>
          <w:rFonts w:cs="Times New Roman"/>
        </w:rPr>
        <w:t>Prophylactic use:</w:t>
      </w:r>
      <w:r>
        <w:rPr>
          <w:rFonts w:cs="Times New Roman"/>
        </w:rPr>
        <w:t xml:space="preserve"> The use of antibiotics to prevent an infection in clinical situations where there is significant risk of infection occurring.</w:t>
      </w:r>
      <w:r>
        <w:rPr>
          <w:rStyle w:val="x02-body-superscript"/>
          <w:rFonts w:cs="Times New Roman"/>
        </w:rPr>
        <w:t xml:space="preserve">1 </w:t>
      </w:r>
      <w:r>
        <w:rPr>
          <w:rFonts w:cs="Times New Roman"/>
        </w:rPr>
        <w:t xml:space="preserve">For example, antibiotics are sometimes given before surgery as a preventative measure against infection. </w:t>
      </w:r>
    </w:p>
    <w:p w:rsidR="009F0931" w:rsidRDefault="009F0931">
      <w:pPr>
        <w:pStyle w:val="x02-body-copy"/>
        <w:rPr>
          <w:rFonts w:cs="Times New Roman"/>
        </w:rPr>
      </w:pPr>
      <w:r>
        <w:rPr>
          <w:rStyle w:val="x02-body-bold"/>
          <w:rFonts w:cs="Times New Roman"/>
        </w:rPr>
        <w:t>Residential aged care facility:</w:t>
      </w:r>
      <w:r>
        <w:rPr>
          <w:rFonts w:cs="Times New Roman"/>
        </w:rPr>
        <w:t xml:space="preserve"> A special-purpose facility that provides accommodation and other types of support, including assistance with day-to-day living, intensive forms of care, and assistance towards independent living, to frail and aged residents.</w:t>
      </w:r>
      <w:r>
        <w:rPr>
          <w:rStyle w:val="x02-body-superscript"/>
          <w:rFonts w:cs="Times New Roman"/>
        </w:rPr>
        <w:t>17</w:t>
      </w:r>
      <w:r>
        <w:rPr>
          <w:rFonts w:cs="Times New Roman"/>
        </w:rPr>
        <w:t xml:space="preserve"> </w:t>
      </w:r>
    </w:p>
    <w:p w:rsidR="009F0931" w:rsidRDefault="009F0931">
      <w:pPr>
        <w:pStyle w:val="x02-body-copy"/>
        <w:rPr>
          <w:rFonts w:cs="Times New Roman"/>
        </w:rPr>
      </w:pPr>
      <w:r>
        <w:rPr>
          <w:rStyle w:val="x02-body-bold"/>
          <w:rFonts w:cs="Times New Roman"/>
        </w:rPr>
        <w:t>Sepsis:</w:t>
      </w:r>
      <w:r>
        <w:rPr>
          <w:rFonts w:cs="Times New Roman"/>
        </w:rPr>
        <w:t xml:space="preserve"> A serious medical condition that is characterised by a whole-body inflammatory state (called a systemic inflammatory response syndrome) and the presence of a known or suspected infection.</w:t>
      </w:r>
      <w:r>
        <w:rPr>
          <w:rStyle w:val="x02-body-superscript"/>
          <w:rFonts w:cs="Times New Roman"/>
        </w:rPr>
        <w:t>3</w:t>
      </w:r>
    </w:p>
    <w:p w:rsidR="009F0931" w:rsidRDefault="009F0931">
      <w:pPr>
        <w:pStyle w:val="x02-body-copy"/>
        <w:rPr>
          <w:rFonts w:cs="Times New Roman"/>
        </w:rPr>
      </w:pPr>
      <w:r>
        <w:rPr>
          <w:rStyle w:val="x02-body-bold"/>
          <w:rFonts w:cs="Times New Roman"/>
        </w:rPr>
        <w:t>Surgical site infection:</w:t>
      </w:r>
      <w:r>
        <w:rPr>
          <w:rFonts w:cs="Times New Roman"/>
        </w:rPr>
        <w:t xml:space="preserve"> An infection that occurs after surgery in the part of the body where the surgery took place. Surgical site infections can sometimes be superficial infections involving the skin only. Other surgical site infections are more serious and can involve tissues under the skin, organs or implanted material.</w:t>
      </w:r>
      <w:r>
        <w:rPr>
          <w:rStyle w:val="x02-body-superscript"/>
          <w:rFonts w:cs="Times New Roman"/>
        </w:rPr>
        <w:t>18</w:t>
      </w:r>
      <w:r>
        <w:rPr>
          <w:rFonts w:cs="Times New Roman"/>
        </w:rPr>
        <w:t xml:space="preserve"> </w:t>
      </w:r>
    </w:p>
    <w:p w:rsidR="009F0931" w:rsidRDefault="009F0931">
      <w:pPr>
        <w:pStyle w:val="x02-body-copy"/>
        <w:rPr>
          <w:rFonts w:cs="Times New Roman"/>
        </w:rPr>
      </w:pPr>
      <w:r>
        <w:rPr>
          <w:rStyle w:val="x02-body-bold"/>
          <w:rFonts w:cs="Times New Roman"/>
        </w:rPr>
        <w:t>Susceptibility testing:</w:t>
      </w:r>
      <w:r>
        <w:rPr>
          <w:rFonts w:cs="Times New Roman"/>
        </w:rPr>
        <w:t xml:space="preserve"> A microbiology test carried out to determine which antibiotic will be most successful in treating a bacterial infection.</w:t>
      </w:r>
      <w:r>
        <w:rPr>
          <w:rStyle w:val="x02-body-superscript"/>
          <w:rFonts w:cs="Times New Roman"/>
        </w:rPr>
        <w:t>19</w:t>
      </w:r>
    </w:p>
    <w:p w:rsidR="00EC1BC4" w:rsidRDefault="00EC1BC4">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14" w:name="_Toc279256604"/>
      <w:r>
        <w:rPr>
          <w:rFonts w:cs="Times New Roman"/>
        </w:rPr>
        <w:lastRenderedPageBreak/>
        <w:t>Appendix</w:t>
      </w:r>
      <w:bookmarkEnd w:id="14"/>
    </w:p>
    <w:p w:rsidR="009F0931" w:rsidRDefault="009F0931">
      <w:pPr>
        <w:pStyle w:val="x02-intro"/>
        <w:rPr>
          <w:rFonts w:cs="Times New Roman"/>
        </w:rPr>
      </w:pPr>
      <w:r>
        <w:rPr>
          <w:rFonts w:cs="Times New Roman"/>
        </w:rPr>
        <w:t>Monitoring quality of care is an effective way of identifying areas that require improvement. It can tell how well the services satisfy the Clinical Care Standards.</w:t>
      </w:r>
    </w:p>
    <w:p w:rsidR="009F0931" w:rsidRDefault="009F0931">
      <w:pPr>
        <w:pStyle w:val="x02-intro"/>
        <w:rPr>
          <w:rFonts w:cs="Times New Roman"/>
        </w:rPr>
      </w:pPr>
      <w:r>
        <w:rPr>
          <w:rFonts w:cs="Times New Roman"/>
        </w:rPr>
        <w:t xml:space="preserve">Monitoring how well the Clinical Care Standards are met is also a key part of the National Safety and Quality Health Service (NSQHS) Standards, particularly </w:t>
      </w:r>
      <w:r>
        <w:rPr>
          <w:rStyle w:val="x02-intro-italic"/>
          <w:rFonts w:cs="Times New Roman"/>
        </w:rPr>
        <w:t>Standard 1: Governance for Safety and Quality</w:t>
      </w:r>
      <w:r>
        <w:rPr>
          <w:rStyle w:val="x02-body-italic"/>
          <w:rFonts w:cs="Times New Roman"/>
        </w:rPr>
        <w:t>.</w:t>
      </w:r>
      <w:r>
        <w:rPr>
          <w:rFonts w:cs="Times New Roman"/>
        </w:rPr>
        <w:t xml:space="preserve"> </w:t>
      </w:r>
    </w:p>
    <w:p w:rsidR="009F0931" w:rsidRDefault="009F0931">
      <w:pPr>
        <w:pStyle w:val="x02-intro"/>
        <w:rPr>
          <w:rFonts w:cs="Times New Roman"/>
        </w:rPr>
      </w:pPr>
      <w:r>
        <w:rPr>
          <w:rFonts w:cs="Times New Roman"/>
        </w:rPr>
        <w:t xml:space="preserve">Organisations are likely to already have mechanisms in place that monitor care provided. However if additional measures are needed then the indicators below are suggested. </w:t>
      </w:r>
    </w:p>
    <w:p w:rsidR="00B65F8A" w:rsidRDefault="009F0931">
      <w:pPr>
        <w:pStyle w:val="x02-intro"/>
        <w:rPr>
          <w:rFonts w:cs="Times New Roman"/>
        </w:rPr>
      </w:pPr>
      <w:r>
        <w:rPr>
          <w:rFonts w:cs="Times New Roman"/>
        </w:rPr>
        <w:t xml:space="preserve">Full details on these indicators can be found in the Indicator Specification: Antimicrobial Stewardship Clinical Care Standard available from </w:t>
      </w:r>
      <w:hyperlink r:id="rId25" w:history="1">
        <w:r w:rsidR="00B65F8A" w:rsidRPr="00D86CD1">
          <w:rPr>
            <w:rStyle w:val="Hyperlink"/>
            <w:rFonts w:cs="Times New Roman"/>
          </w:rPr>
          <w:t>www.safetyandquality.gov.au/ccs</w:t>
        </w:r>
      </w:hyperlink>
      <w:r>
        <w:rPr>
          <w:rFonts w:cs="Times New Roman"/>
        </w:rPr>
        <w:t>.</w:t>
      </w:r>
    </w:p>
    <w:p w:rsidR="009F0931" w:rsidRDefault="009F0931">
      <w:pPr>
        <w:pStyle w:val="x02-intro"/>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solid" w:color="DBE5F1" w:themeColor="accent1" w:themeTint="33" w:fill="auto"/>
        <w:tblLook w:val="00A0" w:firstRow="1" w:lastRow="0" w:firstColumn="1" w:lastColumn="0" w:noHBand="0" w:noVBand="0"/>
        <w:tblCaption w:val="Indicators - summary "/>
        <w:tblDescription w:val="Indicators for each quality statement"/>
      </w:tblPr>
      <w:tblGrid>
        <w:gridCol w:w="10075"/>
      </w:tblGrid>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t>Quality statement 1 – Life-threatening conditions</w:t>
            </w:r>
          </w:p>
        </w:tc>
      </w:tr>
      <w:tr w:rsidR="00B65F8A" w:rsidRPr="00B65F8A">
        <w:tc>
          <w:tcPr>
            <w:tcW w:w="10075" w:type="dxa"/>
            <w:shd w:val="solid" w:color="DBE5F1" w:themeColor="accent1" w:themeTint="33" w:fill="auto"/>
          </w:tcPr>
          <w:p w:rsidR="00B65F8A" w:rsidRPr="00B65F8A" w:rsidRDefault="00B65F8A" w:rsidP="00EC1BC4">
            <w:pPr>
              <w:pStyle w:val="02Bulletslevel1"/>
            </w:pPr>
            <w:r w:rsidRPr="00B65F8A">
              <w:rPr>
                <w:rStyle w:val="x02-body-bold"/>
              </w:rPr>
              <w:t>1a:</w:t>
            </w:r>
            <w:r w:rsidRPr="00B65F8A">
              <w:t xml:space="preserve"> Median time from first clinical contact to the first dose of antibiotics for patients with suspected bacterial meningitis, or for patients requiring admission to an intensive care unit (ICU) for suspected sepsis.</w:t>
            </w:r>
          </w:p>
        </w:tc>
      </w:tr>
      <w:tr w:rsidR="00B65F8A" w:rsidRPr="00B65F8A">
        <w:tc>
          <w:tcPr>
            <w:tcW w:w="10075" w:type="dxa"/>
            <w:shd w:val="clear" w:color="DBE5F1" w:themeColor="accent1" w:themeTint="33" w:fill="auto"/>
          </w:tcPr>
          <w:p w:rsidR="00B65F8A" w:rsidRPr="00B65F8A" w:rsidRDefault="00B65F8A" w:rsidP="00B65F8A"/>
        </w:tc>
      </w:tr>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t>Quality statement 2 – Microbiological testing</w:t>
            </w:r>
          </w:p>
        </w:tc>
      </w:tr>
      <w:tr w:rsidR="00B65F8A" w:rsidRPr="00B65F8A">
        <w:tc>
          <w:tcPr>
            <w:tcW w:w="10075" w:type="dxa"/>
            <w:shd w:val="solid" w:color="DBE5F1" w:themeColor="accent1" w:themeTint="33" w:fill="auto"/>
          </w:tcPr>
          <w:p w:rsidR="00B65F8A" w:rsidRPr="00B65F8A" w:rsidRDefault="00B65F8A" w:rsidP="00EC1BC4">
            <w:pPr>
              <w:pStyle w:val="02Bulletslevel1"/>
            </w:pPr>
            <w:r w:rsidRPr="00B65F8A">
              <w:rPr>
                <w:rStyle w:val="x02-body-bold"/>
              </w:rPr>
              <w:t>2a:</w:t>
            </w:r>
            <w:r w:rsidRPr="00B65F8A">
              <w:t xml:space="preserve"> No appropriate indicators for this quality statement have been identified.</w:t>
            </w:r>
          </w:p>
        </w:tc>
      </w:tr>
      <w:tr w:rsidR="00B65F8A" w:rsidRPr="00B65F8A">
        <w:tc>
          <w:tcPr>
            <w:tcW w:w="10075" w:type="dxa"/>
            <w:shd w:val="clear" w:color="DBE5F1" w:themeColor="accent1" w:themeTint="33" w:fill="auto"/>
          </w:tcPr>
          <w:p w:rsidR="00B65F8A" w:rsidRPr="00B65F8A" w:rsidRDefault="00B65F8A" w:rsidP="00B65F8A"/>
        </w:tc>
      </w:tr>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t>Quality statement 3 – Information on treatment options</w:t>
            </w:r>
          </w:p>
        </w:tc>
      </w:tr>
      <w:tr w:rsidR="00B65F8A" w:rsidRPr="00B65F8A">
        <w:tc>
          <w:tcPr>
            <w:tcW w:w="10075" w:type="dxa"/>
            <w:shd w:val="solid" w:color="DBE5F1" w:themeColor="accent1" w:themeTint="33" w:fill="auto"/>
          </w:tcPr>
          <w:p w:rsidR="00B65F8A" w:rsidRPr="00B65F8A" w:rsidRDefault="00B65F8A" w:rsidP="00EC1BC4">
            <w:pPr>
              <w:pStyle w:val="02Bulletslevel1"/>
            </w:pPr>
            <w:r w:rsidRPr="00B65F8A">
              <w:rPr>
                <w:rStyle w:val="x02-body-bold"/>
              </w:rPr>
              <w:t>3a:</w:t>
            </w:r>
            <w:r w:rsidRPr="00B65F8A">
              <w:t xml:space="preserve"> No appropriate indicators have been identified for this quality statement. However, patient experience surveys in many cases address the issue of informed consent, and may be used as a measure towards this statement.</w:t>
            </w:r>
          </w:p>
        </w:tc>
      </w:tr>
      <w:tr w:rsidR="00B65F8A" w:rsidRPr="00B65F8A">
        <w:tc>
          <w:tcPr>
            <w:tcW w:w="10075" w:type="dxa"/>
            <w:shd w:val="clear" w:color="DBE5F1" w:themeColor="accent1" w:themeTint="33" w:fill="auto"/>
          </w:tcPr>
          <w:p w:rsidR="00B65F8A" w:rsidRPr="00B65F8A" w:rsidRDefault="00B65F8A" w:rsidP="00B65F8A"/>
        </w:tc>
      </w:tr>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t>Quality statement 4 – Use of guidelines and clinical condition</w:t>
            </w:r>
          </w:p>
        </w:tc>
      </w:tr>
      <w:tr w:rsidR="00B65F8A" w:rsidRPr="00B65F8A">
        <w:tc>
          <w:tcPr>
            <w:tcW w:w="10075" w:type="dxa"/>
            <w:shd w:val="solid" w:color="DBE5F1" w:themeColor="accent1" w:themeTint="33" w:fill="auto"/>
          </w:tcPr>
          <w:p w:rsidR="00B65F8A" w:rsidRPr="00B65F8A" w:rsidRDefault="00B65F8A" w:rsidP="00EC1BC4">
            <w:pPr>
              <w:pStyle w:val="02Bulletslevel1"/>
            </w:pPr>
            <w:r w:rsidRPr="00B65F8A">
              <w:rPr>
                <w:rStyle w:val="x02-body-bold"/>
              </w:rPr>
              <w:t>4a:</w:t>
            </w:r>
            <w:r w:rsidRPr="00B65F8A">
              <w:t xml:space="preserve"> Proportion of antibiotic prescriptions that are in accordance with guidelines.</w:t>
            </w:r>
          </w:p>
        </w:tc>
      </w:tr>
      <w:tr w:rsidR="00B65F8A" w:rsidRPr="00B65F8A">
        <w:tc>
          <w:tcPr>
            <w:tcW w:w="10075" w:type="dxa"/>
            <w:shd w:val="solid" w:color="DBE5F1" w:themeColor="accent1" w:themeTint="33" w:fill="auto"/>
          </w:tcPr>
          <w:p w:rsidR="00B65F8A" w:rsidRPr="00B65F8A" w:rsidRDefault="00B65F8A" w:rsidP="004B6FAB">
            <w:pPr>
              <w:pStyle w:val="02Bulletslevel1"/>
              <w:spacing w:before="120"/>
            </w:pPr>
            <w:r w:rsidRPr="00B65F8A">
              <w:rPr>
                <w:rStyle w:val="x02-body-bold"/>
              </w:rPr>
              <w:t>4b:</w:t>
            </w:r>
            <w:r w:rsidRPr="00B65F8A">
              <w:t xml:space="preserve"> Rate of antibiotic-allergy mismatch in prescribing.</w:t>
            </w:r>
          </w:p>
        </w:tc>
      </w:tr>
      <w:tr w:rsidR="00B65F8A" w:rsidRPr="00B65F8A">
        <w:tc>
          <w:tcPr>
            <w:tcW w:w="10075" w:type="dxa"/>
            <w:shd w:val="clear" w:color="DBE5F1" w:themeColor="accent1" w:themeTint="33" w:fill="auto"/>
          </w:tcPr>
          <w:p w:rsidR="00B65F8A" w:rsidRPr="00B65F8A" w:rsidRDefault="00B65F8A" w:rsidP="00B65F8A"/>
        </w:tc>
      </w:tr>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t>Quality statement 5 – Taking antibiotics as prescribed</w:t>
            </w:r>
          </w:p>
        </w:tc>
      </w:tr>
      <w:tr w:rsidR="00B65F8A" w:rsidRPr="00B65F8A">
        <w:tc>
          <w:tcPr>
            <w:tcW w:w="10075" w:type="dxa"/>
            <w:shd w:val="solid" w:color="DBE5F1" w:themeColor="accent1" w:themeTint="33" w:fill="auto"/>
          </w:tcPr>
          <w:p w:rsidR="00B65F8A" w:rsidRPr="00B65F8A" w:rsidRDefault="00B65F8A" w:rsidP="00EC1BC4">
            <w:pPr>
              <w:pStyle w:val="02Bulletslevel1"/>
            </w:pPr>
            <w:r w:rsidRPr="00B65F8A">
              <w:rPr>
                <w:rStyle w:val="x02-body-bold"/>
              </w:rPr>
              <w:t>5a:</w:t>
            </w:r>
            <w:r w:rsidRPr="00B65F8A">
              <w:t xml:space="preserve"> No appropriate indicators have been identified for this quality statement. However, patient experience surveys in many cases include questions on whether patients felt that their care was adequately explained and discussed, and may be used as measures towards this statement.</w:t>
            </w:r>
          </w:p>
        </w:tc>
      </w:tr>
    </w:tbl>
    <w:p w:rsidR="003E0445" w:rsidRDefault="003E044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solid" w:color="DBE5F1" w:themeColor="accent1" w:themeTint="33" w:fill="auto"/>
        <w:tblLook w:val="00A0" w:firstRow="1" w:lastRow="0" w:firstColumn="1" w:lastColumn="0" w:noHBand="0" w:noVBand="0"/>
        <w:tblCaption w:val="Indicators "/>
        <w:tblDescription w:val="Indicators for quality statements"/>
      </w:tblPr>
      <w:tblGrid>
        <w:gridCol w:w="10075"/>
      </w:tblGrid>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lastRenderedPageBreak/>
              <w:t>Quality statement 6 – Documentation</w:t>
            </w:r>
          </w:p>
        </w:tc>
      </w:tr>
      <w:tr w:rsidR="00B65F8A" w:rsidRPr="00B65F8A">
        <w:tc>
          <w:tcPr>
            <w:tcW w:w="10075" w:type="dxa"/>
            <w:shd w:val="solid" w:color="DBE5F1" w:themeColor="accent1" w:themeTint="33" w:fill="auto"/>
          </w:tcPr>
          <w:p w:rsidR="00B65F8A" w:rsidRPr="00B65F8A" w:rsidRDefault="00B65F8A" w:rsidP="00EC1BC4">
            <w:pPr>
              <w:pStyle w:val="02Bulletslevel1"/>
            </w:pPr>
            <w:r w:rsidRPr="00B65F8A">
              <w:rPr>
                <w:rStyle w:val="x02-body-bold"/>
              </w:rPr>
              <w:t>6a:</w:t>
            </w:r>
            <w:r w:rsidRPr="00B65F8A">
              <w:t xml:space="preserve"> Rate of documentation of clinical reason (or indication) for prescribing antibiotics.</w:t>
            </w:r>
          </w:p>
        </w:tc>
      </w:tr>
      <w:tr w:rsidR="00B65F8A" w:rsidRPr="00B65F8A">
        <w:tc>
          <w:tcPr>
            <w:tcW w:w="10075" w:type="dxa"/>
            <w:shd w:val="clear" w:color="DBE5F1" w:themeColor="accent1" w:themeTint="33" w:fill="auto"/>
          </w:tcPr>
          <w:p w:rsidR="00B65F8A" w:rsidRPr="00B65F8A" w:rsidRDefault="00B65F8A" w:rsidP="00B65F8A"/>
        </w:tc>
      </w:tr>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t>Quality statement 7 – Use of broad-spectrum antibiotics</w:t>
            </w:r>
          </w:p>
        </w:tc>
      </w:tr>
      <w:tr w:rsidR="00B65F8A" w:rsidRPr="00B65F8A">
        <w:tc>
          <w:tcPr>
            <w:tcW w:w="10075" w:type="dxa"/>
            <w:shd w:val="solid" w:color="DBE5F1" w:themeColor="accent1" w:themeTint="33" w:fill="auto"/>
          </w:tcPr>
          <w:p w:rsidR="00B65F8A" w:rsidRPr="00B65F8A" w:rsidRDefault="00B65F8A" w:rsidP="00EC1BC4">
            <w:pPr>
              <w:pStyle w:val="02Bulletslevel1"/>
            </w:pPr>
            <w:r w:rsidRPr="00B65F8A">
              <w:rPr>
                <w:rStyle w:val="x02-body-bold"/>
              </w:rPr>
              <w:t>7a:</w:t>
            </w:r>
            <w:r w:rsidRPr="00B65F8A">
              <w:t xml:space="preserve"> Proportion of patient prescriptions of broad-spectrum antibiotics for which a medical review is documented within 48 hours from first prescription.</w:t>
            </w:r>
          </w:p>
        </w:tc>
      </w:tr>
      <w:tr w:rsidR="00B65F8A" w:rsidRPr="00B65F8A">
        <w:tc>
          <w:tcPr>
            <w:tcW w:w="10075" w:type="dxa"/>
            <w:shd w:val="clear" w:color="DBE5F1" w:themeColor="accent1" w:themeTint="33" w:fill="auto"/>
          </w:tcPr>
          <w:p w:rsidR="00B65F8A" w:rsidRPr="00B65F8A" w:rsidRDefault="00B65F8A" w:rsidP="00B65F8A"/>
        </w:tc>
      </w:tr>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t>Quality statement 8 – Review of treatment</w:t>
            </w:r>
          </w:p>
        </w:tc>
      </w:tr>
      <w:tr w:rsidR="00B65F8A" w:rsidRPr="00B65F8A">
        <w:tc>
          <w:tcPr>
            <w:tcW w:w="10075" w:type="dxa"/>
            <w:shd w:val="solid" w:color="DBE5F1" w:themeColor="accent1" w:themeTint="33" w:fill="auto"/>
          </w:tcPr>
          <w:p w:rsidR="00B65F8A" w:rsidRPr="00B65F8A" w:rsidRDefault="00B65F8A" w:rsidP="004E012E">
            <w:pPr>
              <w:pStyle w:val="02Bulletslevel1"/>
            </w:pPr>
            <w:r w:rsidRPr="00B65F8A">
              <w:rPr>
                <w:rStyle w:val="x02-body-bold"/>
              </w:rPr>
              <w:t>7a:</w:t>
            </w:r>
            <w:r w:rsidRPr="00B65F8A">
              <w:t xml:space="preserve"> is applicable to measure this quality statement.</w:t>
            </w:r>
          </w:p>
        </w:tc>
      </w:tr>
      <w:tr w:rsidR="00B65F8A" w:rsidRPr="00B65F8A">
        <w:tc>
          <w:tcPr>
            <w:tcW w:w="10075" w:type="dxa"/>
            <w:shd w:val="clear" w:color="DBE5F1" w:themeColor="accent1" w:themeTint="33" w:fill="auto"/>
          </w:tcPr>
          <w:p w:rsidR="00B65F8A" w:rsidRPr="00B65F8A" w:rsidRDefault="00B65F8A" w:rsidP="00B65F8A"/>
        </w:tc>
      </w:tr>
      <w:tr w:rsidR="00B65F8A" w:rsidRPr="00B65F8A">
        <w:tc>
          <w:tcPr>
            <w:tcW w:w="10075" w:type="dxa"/>
            <w:shd w:val="solid" w:color="DBE5F1" w:themeColor="accent1" w:themeTint="33" w:fill="auto"/>
          </w:tcPr>
          <w:p w:rsidR="00B65F8A" w:rsidRPr="00B65F8A" w:rsidRDefault="00B65F8A">
            <w:pPr>
              <w:pStyle w:val="x01-heading-level-3-underline"/>
              <w:rPr>
                <w:rFonts w:cs="Times New Roman"/>
              </w:rPr>
            </w:pPr>
            <w:r w:rsidRPr="00B65F8A">
              <w:rPr>
                <w:rFonts w:cs="Times New Roman"/>
              </w:rPr>
              <w:t>Quality statement 9 – Surgical prophylaxis</w:t>
            </w:r>
          </w:p>
        </w:tc>
      </w:tr>
      <w:tr w:rsidR="00B65F8A" w:rsidRPr="00B65F8A">
        <w:tc>
          <w:tcPr>
            <w:tcW w:w="10075" w:type="dxa"/>
            <w:shd w:val="solid" w:color="DBE5F1" w:themeColor="accent1" w:themeTint="33" w:fill="auto"/>
          </w:tcPr>
          <w:p w:rsidR="00B65F8A" w:rsidRPr="00B65F8A" w:rsidRDefault="00B65F8A" w:rsidP="004E012E">
            <w:pPr>
              <w:pStyle w:val="02Bulletslevel1"/>
            </w:pPr>
            <w:r w:rsidRPr="00B65F8A">
              <w:rPr>
                <w:rStyle w:val="x02-body-bold"/>
              </w:rPr>
              <w:t>9a:</w:t>
            </w:r>
            <w:r w:rsidRPr="00B65F8A">
              <w:t xml:space="preserve"> Proportion of patients for whom surgical prophylactic antibiotics were prescribed in accordance with guidelines.</w:t>
            </w:r>
          </w:p>
        </w:tc>
      </w:tr>
      <w:tr w:rsidR="00B65F8A" w:rsidRPr="00B65F8A">
        <w:tc>
          <w:tcPr>
            <w:tcW w:w="10075" w:type="dxa"/>
            <w:shd w:val="solid" w:color="DBE5F1" w:themeColor="accent1" w:themeTint="33" w:fill="auto"/>
          </w:tcPr>
          <w:p w:rsidR="00B65F8A" w:rsidRPr="00B65F8A" w:rsidRDefault="00B65F8A" w:rsidP="004B6FAB">
            <w:pPr>
              <w:pStyle w:val="02Bulletslevel1"/>
              <w:spacing w:before="120"/>
            </w:pPr>
            <w:r w:rsidRPr="00B65F8A">
              <w:rPr>
                <w:rStyle w:val="x02-body-bold"/>
              </w:rPr>
              <w:t>9b:</w:t>
            </w:r>
            <w:r w:rsidRPr="00B65F8A">
              <w:t xml:space="preserve"> Proportion of patients who are administered indicated prophylactic antibiotics within 2 hours before a surgical procedure.</w:t>
            </w:r>
          </w:p>
        </w:tc>
      </w:tr>
      <w:tr w:rsidR="00B65F8A" w:rsidRPr="00B65F8A">
        <w:tc>
          <w:tcPr>
            <w:tcW w:w="10075" w:type="dxa"/>
            <w:shd w:val="solid" w:color="DBE5F1" w:themeColor="accent1" w:themeTint="33" w:fill="auto"/>
          </w:tcPr>
          <w:p w:rsidR="00B65F8A" w:rsidRPr="00B65F8A" w:rsidRDefault="00B65F8A" w:rsidP="004B6FAB">
            <w:pPr>
              <w:pStyle w:val="02Bulletslevel1"/>
              <w:spacing w:before="120"/>
            </w:pPr>
            <w:r w:rsidRPr="00B65F8A">
              <w:rPr>
                <w:rStyle w:val="x02-body-bold"/>
              </w:rPr>
              <w:t>9c:</w:t>
            </w:r>
            <w:r w:rsidRPr="00B65F8A">
              <w:t xml:space="preserve"> Proportion of patients whose prophylactic antibiotics were discontinued within 24 hours after surgery, or 48 hours for vascular surgery.</w:t>
            </w:r>
          </w:p>
        </w:tc>
      </w:tr>
    </w:tbl>
    <w:p w:rsidR="004E012E" w:rsidRDefault="004E012E">
      <w:pPr>
        <w:pStyle w:val="x01-heading-level-1"/>
        <w:rPr>
          <w:rFonts w:cs="Times New Roman"/>
        </w:rPr>
      </w:pPr>
    </w:p>
    <w:p w:rsidR="004E012E" w:rsidRDefault="004E012E">
      <w:pPr>
        <w:rPr>
          <w:rFonts w:ascii="Arial" w:hAnsi="Arial" w:cs="Times New Roman"/>
          <w:b/>
          <w:bCs/>
          <w:color w:val="00988E"/>
          <w:sz w:val="40"/>
          <w:szCs w:val="40"/>
        </w:rPr>
      </w:pPr>
      <w:r>
        <w:rPr>
          <w:rFonts w:cs="Times New Roman"/>
        </w:rPr>
        <w:br w:type="page"/>
      </w:r>
    </w:p>
    <w:p w:rsidR="009F0931" w:rsidRDefault="009F0931">
      <w:pPr>
        <w:pStyle w:val="x01-heading-level-1"/>
        <w:rPr>
          <w:rFonts w:cs="Times New Roman"/>
        </w:rPr>
      </w:pPr>
      <w:bookmarkStart w:id="15" w:name="_Toc279256605"/>
      <w:r>
        <w:rPr>
          <w:rFonts w:cs="Times New Roman"/>
        </w:rPr>
        <w:lastRenderedPageBreak/>
        <w:t>References</w:t>
      </w:r>
      <w:bookmarkEnd w:id="15"/>
    </w:p>
    <w:p w:rsidR="009F0931" w:rsidRDefault="009F0931" w:rsidP="00822271">
      <w:pPr>
        <w:pStyle w:val="x05-references"/>
        <w:tabs>
          <w:tab w:val="left" w:pos="340"/>
        </w:tabs>
        <w:ind w:hanging="340"/>
        <w:rPr>
          <w:rFonts w:cs="Times New Roman"/>
        </w:rPr>
      </w:pPr>
      <w:r>
        <w:rPr>
          <w:rFonts w:cs="Times New Roman"/>
        </w:rPr>
        <w:t xml:space="preserve">1. </w:t>
      </w:r>
      <w:r w:rsidR="00822271">
        <w:rPr>
          <w:rFonts w:cs="Times New Roman"/>
        </w:rPr>
        <w:tab/>
      </w:r>
      <w:r>
        <w:rPr>
          <w:rFonts w:cs="Times New Roman"/>
        </w:rPr>
        <w:t>Antibiotic Expert Groups. Therapeutic guidelines: antibiotic. Version 15. Melbourne: Therapeutic Guidelines Limited; 2014.</w:t>
      </w:r>
    </w:p>
    <w:p w:rsidR="009F0931" w:rsidRDefault="009F0931" w:rsidP="00822271">
      <w:pPr>
        <w:pStyle w:val="x05-references"/>
        <w:tabs>
          <w:tab w:val="left" w:pos="340"/>
        </w:tabs>
        <w:ind w:hanging="340"/>
        <w:rPr>
          <w:rFonts w:cs="Times New Roman"/>
        </w:rPr>
      </w:pPr>
      <w:r>
        <w:rPr>
          <w:rFonts w:cs="Times New Roman"/>
        </w:rPr>
        <w:t xml:space="preserve">2. </w:t>
      </w:r>
      <w:r w:rsidR="00822271">
        <w:rPr>
          <w:rFonts w:cs="Times New Roman"/>
        </w:rPr>
        <w:tab/>
      </w:r>
      <w:r>
        <w:rPr>
          <w:rFonts w:cs="Times New Roman"/>
        </w:rPr>
        <w:t>World Health Organization. The evolving threat of antimicrobial resistance: options for action. Geneva: WHO, 2012.</w:t>
      </w:r>
    </w:p>
    <w:p w:rsidR="009F0931" w:rsidRDefault="009F0931" w:rsidP="00822271">
      <w:pPr>
        <w:pStyle w:val="x05-references"/>
        <w:tabs>
          <w:tab w:val="left" w:pos="340"/>
        </w:tabs>
        <w:ind w:hanging="340"/>
        <w:rPr>
          <w:rFonts w:cs="Times New Roman"/>
        </w:rPr>
      </w:pPr>
      <w:r>
        <w:rPr>
          <w:rFonts w:cs="Times New Roman"/>
        </w:rPr>
        <w:t xml:space="preserve">3. </w:t>
      </w:r>
      <w:r w:rsidR="00822271">
        <w:rPr>
          <w:rFonts w:cs="Times New Roman"/>
        </w:rPr>
        <w:tab/>
      </w:r>
      <w:proofErr w:type="spellStart"/>
      <w:r>
        <w:rPr>
          <w:rFonts w:cs="Times New Roman"/>
        </w:rPr>
        <w:t>Duguid</w:t>
      </w:r>
      <w:proofErr w:type="spellEnd"/>
      <w:r>
        <w:rPr>
          <w:rFonts w:cs="Times New Roman"/>
        </w:rPr>
        <w:t xml:space="preserve"> M, Cruickshank M, editors. Antimicrobial stewardship in Australian hospitals. Sydney: Australian Commission on Safety and Quality in Health Care; 2010.</w:t>
      </w:r>
    </w:p>
    <w:p w:rsidR="009F0931" w:rsidRDefault="009F0931" w:rsidP="00822271">
      <w:pPr>
        <w:pStyle w:val="x05-references"/>
        <w:tabs>
          <w:tab w:val="left" w:pos="340"/>
        </w:tabs>
        <w:ind w:hanging="340"/>
        <w:rPr>
          <w:rFonts w:cs="Times New Roman"/>
        </w:rPr>
      </w:pPr>
      <w:r>
        <w:rPr>
          <w:rFonts w:cs="Times New Roman"/>
        </w:rPr>
        <w:t xml:space="preserve">4. </w:t>
      </w:r>
      <w:r w:rsidR="00822271">
        <w:rPr>
          <w:rFonts w:cs="Times New Roman"/>
        </w:rPr>
        <w:tab/>
      </w:r>
      <w:r>
        <w:rPr>
          <w:rFonts w:cs="Times New Roman"/>
        </w:rPr>
        <w:t>MacDougall C, Polk R. Antimicrobial stewardship programs in health care systems. Clinical Microbiology Review. 2005</w:t>
      </w:r>
      <w:proofErr w:type="gramStart"/>
      <w:r>
        <w:rPr>
          <w:rFonts w:cs="Times New Roman"/>
        </w:rPr>
        <w:t>;18</w:t>
      </w:r>
      <w:proofErr w:type="gramEnd"/>
      <w:r>
        <w:rPr>
          <w:rFonts w:cs="Times New Roman"/>
        </w:rPr>
        <w:t>(4):638–56.</w:t>
      </w:r>
    </w:p>
    <w:p w:rsidR="009F0931" w:rsidRDefault="009F0931" w:rsidP="00822271">
      <w:pPr>
        <w:pStyle w:val="x05-references"/>
        <w:tabs>
          <w:tab w:val="left" w:pos="340"/>
        </w:tabs>
        <w:ind w:hanging="340"/>
        <w:rPr>
          <w:rFonts w:cs="Times New Roman"/>
        </w:rPr>
      </w:pPr>
      <w:r>
        <w:rPr>
          <w:rFonts w:cs="Times New Roman"/>
        </w:rPr>
        <w:t xml:space="preserve">5. </w:t>
      </w:r>
      <w:r w:rsidR="00822271">
        <w:rPr>
          <w:rFonts w:cs="Times New Roman"/>
        </w:rPr>
        <w:tab/>
      </w:r>
      <w:r>
        <w:rPr>
          <w:rFonts w:cs="Times New Roman"/>
        </w:rPr>
        <w:t>Cruickshank M, Ferguson J, editors. Reducing harm to patients from health care associated infection: the role of surveillance. Sydney: Australian Commission on Safety and Quality in Health Care; 2008.</w:t>
      </w:r>
    </w:p>
    <w:p w:rsidR="009F0931" w:rsidRDefault="009F0931" w:rsidP="00822271">
      <w:pPr>
        <w:pStyle w:val="x05-references"/>
        <w:tabs>
          <w:tab w:val="left" w:pos="340"/>
        </w:tabs>
        <w:ind w:hanging="340"/>
        <w:rPr>
          <w:rFonts w:cs="Times New Roman"/>
        </w:rPr>
      </w:pPr>
      <w:r>
        <w:rPr>
          <w:rFonts w:cs="Times New Roman"/>
        </w:rPr>
        <w:t xml:space="preserve">6. </w:t>
      </w:r>
      <w:r w:rsidR="00822271">
        <w:rPr>
          <w:rFonts w:cs="Times New Roman"/>
        </w:rPr>
        <w:tab/>
      </w:r>
      <w:r>
        <w:rPr>
          <w:rFonts w:cs="Times New Roman"/>
        </w:rPr>
        <w:t xml:space="preserve">National Prescribing Service MedicineWise. What is antibiotic resistance? NPS; [cited August 2013]; Available from: </w:t>
      </w:r>
      <w:r>
        <w:rPr>
          <w:rStyle w:val="x03-web-hyperlink"/>
          <w:rFonts w:cs="Times New Roman"/>
        </w:rPr>
        <w:t>http://www.nps.org.au/medicines/infections-and-infestations/antibiotic-medicines/antibiotics-for-respiratory-tract-infections/for-individuals/what-is-antibiotic-resistance</w:t>
      </w:r>
      <w:r>
        <w:rPr>
          <w:rFonts w:cs="Times New Roman"/>
        </w:rPr>
        <w:t>.</w:t>
      </w:r>
    </w:p>
    <w:p w:rsidR="009F0931" w:rsidRDefault="009F0931" w:rsidP="00822271">
      <w:pPr>
        <w:pStyle w:val="x05-references"/>
        <w:tabs>
          <w:tab w:val="left" w:pos="340"/>
        </w:tabs>
        <w:ind w:hanging="340"/>
        <w:rPr>
          <w:rFonts w:cs="Times New Roman"/>
        </w:rPr>
      </w:pPr>
      <w:r>
        <w:rPr>
          <w:rFonts w:cs="Times New Roman"/>
        </w:rPr>
        <w:t xml:space="preserve">7. </w:t>
      </w:r>
      <w:r w:rsidR="00822271">
        <w:rPr>
          <w:rFonts w:cs="Times New Roman"/>
        </w:rPr>
        <w:tab/>
      </w:r>
      <w:r>
        <w:rPr>
          <w:rFonts w:cs="Times New Roman"/>
        </w:rPr>
        <w:t>Vocabulary.com. Bacteria. [</w:t>
      </w:r>
      <w:proofErr w:type="gramStart"/>
      <w:r>
        <w:rPr>
          <w:rFonts w:cs="Times New Roman"/>
        </w:rPr>
        <w:t>cited</w:t>
      </w:r>
      <w:proofErr w:type="gramEnd"/>
      <w:r>
        <w:rPr>
          <w:rFonts w:cs="Times New Roman"/>
        </w:rPr>
        <w:t xml:space="preserve"> September 2013]; Available from:</w:t>
      </w:r>
      <w:r>
        <w:rPr>
          <w:rStyle w:val="x03-web-hyperlink"/>
          <w:rFonts w:cs="Times New Roman"/>
        </w:rPr>
        <w:t xml:space="preserve"> https://www.vocabulary.com/dictionary/bacteria</w:t>
      </w:r>
      <w:r>
        <w:rPr>
          <w:rFonts w:cs="Times New Roman"/>
        </w:rPr>
        <w:t>.</w:t>
      </w:r>
    </w:p>
    <w:p w:rsidR="009F0931" w:rsidRDefault="009F0931" w:rsidP="00822271">
      <w:pPr>
        <w:pStyle w:val="x05-references"/>
        <w:tabs>
          <w:tab w:val="left" w:pos="340"/>
        </w:tabs>
        <w:ind w:hanging="340"/>
        <w:rPr>
          <w:rFonts w:cs="Times New Roman"/>
        </w:rPr>
      </w:pPr>
      <w:r>
        <w:rPr>
          <w:rFonts w:cs="Times New Roman"/>
        </w:rPr>
        <w:t xml:space="preserve">8. </w:t>
      </w:r>
      <w:r w:rsidR="00822271">
        <w:rPr>
          <w:rFonts w:cs="Times New Roman"/>
        </w:rPr>
        <w:tab/>
      </w:r>
      <w:r>
        <w:rPr>
          <w:rFonts w:cs="Times New Roman"/>
        </w:rPr>
        <w:t>Australian Commission on Safety and Quality in Health Care. Australian one health antimicrobial resistance colloquium background paper. Sydney: ACSQHC, 2013.</w:t>
      </w:r>
    </w:p>
    <w:p w:rsidR="009F0931" w:rsidRDefault="009F0931" w:rsidP="00822271">
      <w:pPr>
        <w:pStyle w:val="x05-references"/>
        <w:tabs>
          <w:tab w:val="left" w:pos="340"/>
        </w:tabs>
        <w:ind w:hanging="340"/>
        <w:rPr>
          <w:rFonts w:cs="Times New Roman"/>
        </w:rPr>
      </w:pPr>
      <w:r>
        <w:rPr>
          <w:rFonts w:cs="Times New Roman"/>
        </w:rPr>
        <w:t xml:space="preserve">9. </w:t>
      </w:r>
      <w:r w:rsidR="00822271">
        <w:rPr>
          <w:rFonts w:cs="Times New Roman"/>
        </w:rPr>
        <w:tab/>
      </w:r>
      <w:r>
        <w:rPr>
          <w:rFonts w:cs="Times New Roman"/>
        </w:rPr>
        <w:t>Australian Commission on Safety and Quality in Health Care. National safety and quality health service standards. Sydney: ACSQHC, 2011.</w:t>
      </w:r>
    </w:p>
    <w:p w:rsidR="009F0931" w:rsidRDefault="00822271" w:rsidP="00822271">
      <w:pPr>
        <w:pStyle w:val="x05-references"/>
        <w:tabs>
          <w:tab w:val="left" w:pos="340"/>
        </w:tabs>
        <w:ind w:hanging="340"/>
        <w:rPr>
          <w:rFonts w:cs="Times New Roman"/>
        </w:rPr>
      </w:pPr>
      <w:r>
        <w:rPr>
          <w:rFonts w:cs="Times New Roman"/>
        </w:rPr>
        <w:t>10.</w:t>
      </w:r>
      <w:r>
        <w:rPr>
          <w:rFonts w:cs="Times New Roman"/>
        </w:rPr>
        <w:tab/>
      </w:r>
      <w:r w:rsidR="009F0931">
        <w:rPr>
          <w:rFonts w:cs="Times New Roman"/>
        </w:rPr>
        <w:t>MedicineNet.com. Definition of indication. [</w:t>
      </w:r>
      <w:proofErr w:type="gramStart"/>
      <w:r w:rsidR="009F0931">
        <w:rPr>
          <w:rFonts w:cs="Times New Roman"/>
        </w:rPr>
        <w:t>cited</w:t>
      </w:r>
      <w:proofErr w:type="gramEnd"/>
      <w:r w:rsidR="009F0931">
        <w:rPr>
          <w:rFonts w:cs="Times New Roman"/>
        </w:rPr>
        <w:t xml:space="preserve"> August 2013]; Available from: </w:t>
      </w:r>
      <w:r w:rsidR="009F0931">
        <w:rPr>
          <w:rStyle w:val="x03-web-hyperlink"/>
          <w:rFonts w:cs="Times New Roman"/>
        </w:rPr>
        <w:t>http://www.medterms.com/script/main/art.asp?articlekey=32545</w:t>
      </w:r>
      <w:r w:rsidR="009F0931">
        <w:rPr>
          <w:rFonts w:cs="Times New Roman"/>
        </w:rPr>
        <w:t>.</w:t>
      </w:r>
    </w:p>
    <w:p w:rsidR="009F0931" w:rsidRDefault="00822271" w:rsidP="00822271">
      <w:pPr>
        <w:pStyle w:val="x05-references"/>
        <w:tabs>
          <w:tab w:val="left" w:pos="340"/>
        </w:tabs>
        <w:ind w:hanging="340"/>
        <w:rPr>
          <w:rFonts w:cs="Times New Roman"/>
        </w:rPr>
      </w:pPr>
      <w:r>
        <w:rPr>
          <w:rFonts w:cs="Times New Roman"/>
        </w:rPr>
        <w:t>11.</w:t>
      </w:r>
      <w:r>
        <w:rPr>
          <w:rFonts w:cs="Times New Roman"/>
        </w:rPr>
        <w:tab/>
      </w:r>
      <w:r w:rsidR="009F0931">
        <w:rPr>
          <w:rFonts w:cs="Times New Roman"/>
        </w:rPr>
        <w:t>Australian Commission on Safety and Quality in Health Care. Hospital accreditation workbook. Sydney: ACSQHC, 2012.</w:t>
      </w:r>
    </w:p>
    <w:p w:rsidR="009F0931" w:rsidRDefault="00822271" w:rsidP="00822271">
      <w:pPr>
        <w:pStyle w:val="x05-references"/>
        <w:tabs>
          <w:tab w:val="left" w:pos="340"/>
        </w:tabs>
        <w:ind w:hanging="340"/>
        <w:rPr>
          <w:rFonts w:cs="Times New Roman"/>
        </w:rPr>
      </w:pPr>
      <w:r>
        <w:rPr>
          <w:rFonts w:cs="Times New Roman"/>
        </w:rPr>
        <w:t>12.</w:t>
      </w:r>
      <w:r>
        <w:rPr>
          <w:rFonts w:cs="Times New Roman"/>
        </w:rPr>
        <w:tab/>
      </w:r>
      <w:r w:rsidR="009F0931">
        <w:rPr>
          <w:rFonts w:cs="Times New Roman"/>
        </w:rPr>
        <w:t>The Free Dictionary. Dose. [</w:t>
      </w:r>
      <w:proofErr w:type="gramStart"/>
      <w:r w:rsidR="009F0931">
        <w:rPr>
          <w:rFonts w:cs="Times New Roman"/>
        </w:rPr>
        <w:t>cited</w:t>
      </w:r>
      <w:proofErr w:type="gramEnd"/>
      <w:r w:rsidR="009F0931">
        <w:rPr>
          <w:rFonts w:cs="Times New Roman"/>
        </w:rPr>
        <w:t xml:space="preserve"> August 2013]; Available from: </w:t>
      </w:r>
      <w:r w:rsidR="009F0931">
        <w:rPr>
          <w:rStyle w:val="x03-web-hyperlink"/>
          <w:rFonts w:cs="Times New Roman"/>
        </w:rPr>
        <w:t>http://www.thefreedictionary.com/dose</w:t>
      </w:r>
      <w:r w:rsidR="009F0931">
        <w:rPr>
          <w:rFonts w:cs="Times New Roman"/>
        </w:rPr>
        <w:t>.</w:t>
      </w:r>
    </w:p>
    <w:p w:rsidR="009F0931" w:rsidRDefault="00822271" w:rsidP="00822271">
      <w:pPr>
        <w:pStyle w:val="x05-references"/>
        <w:tabs>
          <w:tab w:val="left" w:pos="340"/>
        </w:tabs>
        <w:ind w:hanging="340"/>
        <w:rPr>
          <w:rFonts w:cs="Times New Roman"/>
        </w:rPr>
      </w:pPr>
      <w:r>
        <w:rPr>
          <w:rFonts w:cs="Times New Roman"/>
        </w:rPr>
        <w:t>13.</w:t>
      </w:r>
      <w:r>
        <w:rPr>
          <w:rFonts w:cs="Times New Roman"/>
        </w:rPr>
        <w:tab/>
      </w:r>
      <w:r w:rsidR="009F0931">
        <w:rPr>
          <w:rFonts w:cs="Times New Roman"/>
        </w:rPr>
        <w:t xml:space="preserve">Field M, </w:t>
      </w:r>
      <w:proofErr w:type="spellStart"/>
      <w:r w:rsidR="009F0931">
        <w:rPr>
          <w:rFonts w:cs="Times New Roman"/>
        </w:rPr>
        <w:t>Lohr</w:t>
      </w:r>
      <w:proofErr w:type="spellEnd"/>
      <w:r w:rsidR="009F0931">
        <w:rPr>
          <w:rFonts w:cs="Times New Roman"/>
        </w:rPr>
        <w:t xml:space="preserve"> K, editors. Guidelines for clinical practice: from development to use. Washington DC: National Academy Press; 1992.</w:t>
      </w:r>
    </w:p>
    <w:p w:rsidR="009F0931" w:rsidRDefault="00822271" w:rsidP="00822271">
      <w:pPr>
        <w:pStyle w:val="x05-references"/>
        <w:tabs>
          <w:tab w:val="left" w:pos="340"/>
        </w:tabs>
        <w:ind w:hanging="340"/>
        <w:rPr>
          <w:rFonts w:cs="Times New Roman"/>
        </w:rPr>
      </w:pPr>
      <w:r>
        <w:rPr>
          <w:rFonts w:cs="Times New Roman"/>
        </w:rPr>
        <w:t>14.</w:t>
      </w:r>
      <w:r>
        <w:rPr>
          <w:rFonts w:cs="Times New Roman"/>
        </w:rPr>
        <w:tab/>
      </w:r>
      <w:r w:rsidR="009F0931">
        <w:rPr>
          <w:rFonts w:cs="Times New Roman"/>
        </w:rPr>
        <w:t>Australian Commission on Safety and Quality in Health Care. National consensus statement: essential elements for recognising and responding to clinical deterioration. Sydney: ACSQHC, 2010.</w:t>
      </w:r>
    </w:p>
    <w:p w:rsidR="009F0931" w:rsidRDefault="00822271" w:rsidP="00822271">
      <w:pPr>
        <w:pStyle w:val="x05-references"/>
        <w:tabs>
          <w:tab w:val="left" w:pos="340"/>
        </w:tabs>
        <w:ind w:hanging="340"/>
        <w:rPr>
          <w:rFonts w:cs="Times New Roman"/>
        </w:rPr>
      </w:pPr>
      <w:r>
        <w:rPr>
          <w:rFonts w:cs="Times New Roman"/>
        </w:rPr>
        <w:t>15.</w:t>
      </w:r>
      <w:r>
        <w:rPr>
          <w:rFonts w:cs="Times New Roman"/>
        </w:rPr>
        <w:tab/>
      </w:r>
      <w:r w:rsidR="009F0931">
        <w:rPr>
          <w:rFonts w:cs="Times New Roman"/>
        </w:rPr>
        <w:t xml:space="preserve">The Royal College of Pathologists of Australasia. Microbiology. RCPA; [cited August 2013]; Available from: </w:t>
      </w:r>
      <w:r w:rsidR="009F0931">
        <w:rPr>
          <w:rStyle w:val="x03-web-hyperlink"/>
          <w:rFonts w:cs="Times New Roman"/>
        </w:rPr>
        <w:t>http://www.rcpa.edu.au/Pathology/Disciplines/MicrobiologyPathology.htm</w:t>
      </w:r>
      <w:r w:rsidR="009F0931">
        <w:rPr>
          <w:rFonts w:cs="Times New Roman"/>
        </w:rPr>
        <w:t>.</w:t>
      </w:r>
    </w:p>
    <w:p w:rsidR="009F0931" w:rsidRDefault="00822271" w:rsidP="00822271">
      <w:pPr>
        <w:pStyle w:val="x05-references"/>
        <w:tabs>
          <w:tab w:val="left" w:pos="340"/>
        </w:tabs>
        <w:ind w:hanging="340"/>
        <w:rPr>
          <w:rFonts w:cs="Times New Roman"/>
        </w:rPr>
      </w:pPr>
      <w:r>
        <w:rPr>
          <w:rFonts w:cs="Times New Roman"/>
        </w:rPr>
        <w:t>16.</w:t>
      </w:r>
      <w:r>
        <w:rPr>
          <w:rFonts w:cs="Times New Roman"/>
        </w:rPr>
        <w:tab/>
      </w:r>
      <w:r w:rsidR="009F0931">
        <w:rPr>
          <w:rFonts w:cs="Times New Roman"/>
        </w:rPr>
        <w:t xml:space="preserve">National E-Health Transition Authority [cited October 2014]; Available from: </w:t>
      </w:r>
      <w:r w:rsidR="009F0931">
        <w:rPr>
          <w:rStyle w:val="x03-web-hyperlink"/>
          <w:rFonts w:cs="Times New Roman"/>
        </w:rPr>
        <w:t>http://www.nehta.gov.au/our-work/pcehr</w:t>
      </w:r>
      <w:r w:rsidR="009F0931">
        <w:rPr>
          <w:rFonts w:cs="Times New Roman"/>
        </w:rPr>
        <w:t>.</w:t>
      </w:r>
    </w:p>
    <w:p w:rsidR="009F0931" w:rsidRDefault="00822271" w:rsidP="00822271">
      <w:pPr>
        <w:pStyle w:val="x05-references"/>
        <w:tabs>
          <w:tab w:val="left" w:pos="340"/>
        </w:tabs>
        <w:ind w:hanging="340"/>
        <w:rPr>
          <w:rFonts w:cs="Times New Roman"/>
        </w:rPr>
      </w:pPr>
      <w:r>
        <w:rPr>
          <w:rFonts w:cs="Times New Roman"/>
        </w:rPr>
        <w:t>17.</w:t>
      </w:r>
      <w:r>
        <w:rPr>
          <w:rFonts w:cs="Times New Roman"/>
        </w:rPr>
        <w:tab/>
      </w:r>
      <w:r w:rsidR="009F0931">
        <w:rPr>
          <w:rFonts w:cs="Times New Roman"/>
        </w:rPr>
        <w:t>Department of Health and Ageing. Guiding principles for medication management in residential aged care facilities. Canberra: Commonwealth of Australia, 2012.</w:t>
      </w:r>
    </w:p>
    <w:p w:rsidR="009F0931" w:rsidRDefault="00822271" w:rsidP="00822271">
      <w:pPr>
        <w:pStyle w:val="x05-references"/>
        <w:tabs>
          <w:tab w:val="left" w:pos="340"/>
        </w:tabs>
        <w:ind w:hanging="340"/>
        <w:rPr>
          <w:rFonts w:cs="Times New Roman"/>
        </w:rPr>
      </w:pPr>
      <w:r>
        <w:rPr>
          <w:rFonts w:cs="Times New Roman"/>
        </w:rPr>
        <w:t>18.</w:t>
      </w:r>
      <w:r>
        <w:rPr>
          <w:rFonts w:cs="Times New Roman"/>
        </w:rPr>
        <w:tab/>
      </w:r>
      <w:r w:rsidR="009F0931">
        <w:rPr>
          <w:rFonts w:cs="Times New Roman"/>
        </w:rPr>
        <w:t xml:space="preserve">National </w:t>
      </w:r>
      <w:r w:rsidR="00D130FF">
        <w:rPr>
          <w:rFonts w:cs="Times New Roman"/>
        </w:rPr>
        <w:t>Institute</w:t>
      </w:r>
      <w:r w:rsidR="009F0931">
        <w:rPr>
          <w:rFonts w:cs="Times New Roman"/>
        </w:rPr>
        <w:t xml:space="preserve"> for Health and Clinical Excellence. Surgical site infection – prevention and treatment of surgical site infection NICE; 2008 [cited June 2013]; Available from: </w:t>
      </w:r>
      <w:r w:rsidR="009F0931">
        <w:rPr>
          <w:rStyle w:val="x03-web-hyperlink"/>
          <w:rFonts w:cs="Times New Roman"/>
        </w:rPr>
        <w:t>http://www.nice.org.uk/nicemedia/pdf/CG74NICEGuideline.pdf</w:t>
      </w:r>
      <w:r w:rsidR="009F0931">
        <w:rPr>
          <w:rFonts w:cs="Times New Roman"/>
        </w:rPr>
        <w:t>.</w:t>
      </w:r>
    </w:p>
    <w:p w:rsidR="004E012E" w:rsidRDefault="00822271" w:rsidP="00822271">
      <w:pPr>
        <w:pStyle w:val="x05-references"/>
        <w:tabs>
          <w:tab w:val="left" w:pos="340"/>
        </w:tabs>
        <w:ind w:hanging="340"/>
        <w:rPr>
          <w:rFonts w:cs="Times New Roman"/>
        </w:rPr>
      </w:pPr>
      <w:r>
        <w:rPr>
          <w:rFonts w:cs="Times New Roman"/>
        </w:rPr>
        <w:lastRenderedPageBreak/>
        <w:t>19.</w:t>
      </w:r>
      <w:r>
        <w:rPr>
          <w:rFonts w:cs="Times New Roman"/>
        </w:rPr>
        <w:tab/>
      </w:r>
      <w:proofErr w:type="spellStart"/>
      <w:r w:rsidR="009F0931">
        <w:rPr>
          <w:rFonts w:cs="Times New Roman"/>
        </w:rPr>
        <w:t>Reller</w:t>
      </w:r>
      <w:proofErr w:type="spellEnd"/>
      <w:r w:rsidR="009F0931">
        <w:rPr>
          <w:rFonts w:cs="Times New Roman"/>
        </w:rPr>
        <w:t xml:space="preserve"> LB, Weinstein M, Jorgensen JH, Ferraro MJ. Antimicrobial susceptibility testing: a review of general principles and contemporary practices. Clinical Infectious Diseases. 2009</w:t>
      </w:r>
      <w:proofErr w:type="gramStart"/>
      <w:r w:rsidR="009F0931">
        <w:rPr>
          <w:rFonts w:cs="Times New Roman"/>
        </w:rPr>
        <w:t>;49</w:t>
      </w:r>
      <w:proofErr w:type="gramEnd"/>
      <w:r w:rsidR="009F0931">
        <w:rPr>
          <w:rFonts w:cs="Times New Roman"/>
        </w:rPr>
        <w:t>(11):1749–55.</w:t>
      </w:r>
    </w:p>
    <w:p w:rsidR="004E012E" w:rsidRDefault="004E012E" w:rsidP="00822271">
      <w:pPr>
        <w:tabs>
          <w:tab w:val="left" w:pos="284"/>
        </w:tabs>
        <w:ind w:hanging="284"/>
        <w:rPr>
          <w:rFonts w:ascii="Arial" w:hAnsi="Arial" w:cs="Times New Roman"/>
        </w:rPr>
      </w:pPr>
      <w:r>
        <w:rPr>
          <w:rFonts w:cs="Times New Roman"/>
        </w:rPr>
        <w:br w:type="page"/>
      </w:r>
    </w:p>
    <w:p w:rsidR="009F0931" w:rsidRDefault="00856B55" w:rsidP="004E012E">
      <w:pPr>
        <w:pStyle w:val="x05-references"/>
        <w:ind w:left="284" w:hanging="284"/>
        <w:rPr>
          <w:rFonts w:cs="Times New Roman"/>
        </w:rPr>
      </w:pPr>
      <w:r>
        <w:rPr>
          <w:rFonts w:cs="Times New Roman"/>
          <w:noProof/>
          <w:lang w:eastAsia="en-AU"/>
        </w:rPr>
        <w:lastRenderedPageBreak/>
        <mc:AlternateContent>
          <mc:Choice Requires="wps">
            <w:drawing>
              <wp:anchor distT="0" distB="0" distL="114300" distR="114300" simplePos="0" relativeHeight="251657728" behindDoc="1" locked="0" layoutInCell="1" allowOverlap="1">
                <wp:simplePos x="0" y="0"/>
                <wp:positionH relativeFrom="column">
                  <wp:posOffset>-685165</wp:posOffset>
                </wp:positionH>
                <wp:positionV relativeFrom="paragraph">
                  <wp:posOffset>-2088515</wp:posOffset>
                </wp:positionV>
                <wp:extent cx="7658100" cy="10890250"/>
                <wp:effectExtent l="0" t="0" r="0" b="635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0" cy="10890250"/>
                        </a:xfrm>
                        <a:prstGeom prst="rect">
                          <a:avLst/>
                        </a:prstGeom>
                        <a:solidFill>
                          <a:schemeClr val="bg1"/>
                        </a:solid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5B7E" w:rsidRDefault="00AA6A45">
                            <w:r w:rsidRPr="00425058">
                              <w:rPr>
                                <w:noProof/>
                                <w:lang w:eastAsia="en-AU"/>
                              </w:rPr>
                              <w:drawing>
                                <wp:inline distT="0" distB="0" distL="0" distR="0">
                                  <wp:extent cx="7555760" cy="9991996"/>
                                  <wp:effectExtent l="0" t="0" r="7620" b="0"/>
                                  <wp:docPr id="13" name="Picture 15" descr="Back cover design" title="Back 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rotWithShape="1">
                                          <a:blip r:embed="rId26">
                                            <a:extLst>
                                              <a:ext uri="{28A0092B-C50C-407E-A947-70E740481C1C}">
                                                <a14:useLocalDpi xmlns:a14="http://schemas.microsoft.com/office/drawing/2010/main" val="0"/>
                                              </a:ext>
                                            </a:extLst>
                                          </a:blip>
                                          <a:srcRect l="-515" t="4730" r="515" b="1820"/>
                                          <a:stretch/>
                                        </pic:blipFill>
                                        <pic:spPr bwMode="auto">
                                          <a:xfrm>
                                            <a:off x="0" y="0"/>
                                            <a:ext cx="7556500" cy="99929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53.95pt;margin-top:-164.45pt;width:603pt;height:8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" fillcolor="white [3212]" stroked="f">
                <v:path arrowok="t"/>
                <v:textbox inset="0,0,0,0">
                  <w:txbxContent>
                    <w:p w:rsidR="00445B7E" w:rsidRDefault="00AA6A45">
                      <w:r w:rsidRPr="00425058">
                        <w:rPr>
                          <w:noProof/>
                          <w:lang w:eastAsia="en-AU"/>
                        </w:rPr>
                        <w:drawing>
                          <wp:inline distT="0" distB="0" distL="0" distR="0">
                            <wp:extent cx="7555760" cy="9991996"/>
                            <wp:effectExtent l="0" t="0" r="7620" b="0"/>
                            <wp:docPr id="13" name="Picture 15" descr="Back cover design" title="Back 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rotWithShape="1">
                                    <a:blip r:embed="rId26">
                                      <a:extLst>
                                        <a:ext uri="{28A0092B-C50C-407E-A947-70E740481C1C}">
                                          <a14:useLocalDpi xmlns:a14="http://schemas.microsoft.com/office/drawing/2010/main" val="0"/>
                                        </a:ext>
                                      </a:extLst>
                                    </a:blip>
                                    <a:srcRect l="-515" t="4730" r="515" b="1820"/>
                                    <a:stretch/>
                                  </pic:blipFill>
                                  <pic:spPr bwMode="auto">
                                    <a:xfrm>
                                      <a:off x="0" y="0"/>
                                      <a:ext cx="7556500" cy="99929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F0931" w:rsidRDefault="009F0931">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45B7E" w:rsidRDefault="00445B7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4E012E" w:rsidRDefault="004E012E">
      <w:pPr>
        <w:rPr>
          <w:rFonts w:eastAsia="Times New Roman" w:cs="Times New Roman"/>
        </w:rPr>
      </w:pPr>
    </w:p>
    <w:p w:rsidR="009F0931" w:rsidRDefault="009F0931">
      <w:pPr>
        <w:rPr>
          <w:rFonts w:eastAsia="Times New Roman" w:cs="Times New Roman"/>
        </w:rPr>
      </w:pPr>
    </w:p>
    <w:p w:rsidR="009F0931" w:rsidRDefault="009F0931" w:rsidP="004E012E">
      <w:pPr>
        <w:pStyle w:val="x04-footnotes"/>
        <w:spacing w:before="0" w:line="240" w:lineRule="auto"/>
        <w:rPr>
          <w:rFonts w:cs="Times New Roman"/>
        </w:rPr>
      </w:pPr>
      <w:r>
        <w:rPr>
          <w:rStyle w:val="x02-gotham-bold--figures-"/>
          <w:rFonts w:cs="Times New Roman"/>
        </w:rPr>
        <w:t>Australian Commission on Safety and Quality in Health Care</w:t>
      </w:r>
    </w:p>
    <w:p w:rsidR="009F0931" w:rsidRDefault="009F0931" w:rsidP="004E012E">
      <w:pPr>
        <w:pStyle w:val="x04-footnotes"/>
        <w:spacing w:before="0" w:line="240" w:lineRule="auto"/>
        <w:rPr>
          <w:rFonts w:cs="Times New Roman"/>
        </w:rPr>
      </w:pPr>
      <w:r>
        <w:rPr>
          <w:rStyle w:val="white"/>
          <w:rFonts w:cs="Times New Roman"/>
        </w:rPr>
        <w:t xml:space="preserve">Level 5, 255 Elizabeth Street, SYDNEY NSW 2000 </w:t>
      </w:r>
      <w:r>
        <w:rPr>
          <w:rFonts w:cs="Times New Roman"/>
        </w:rPr>
        <w:br/>
      </w:r>
      <w:r>
        <w:rPr>
          <w:rStyle w:val="white"/>
          <w:rFonts w:cs="Times New Roman"/>
        </w:rPr>
        <w:t>GPO Box 5480, SYDNEY NSW 2001</w:t>
      </w:r>
    </w:p>
    <w:p w:rsidR="009F0931" w:rsidRDefault="009F0931" w:rsidP="004E012E">
      <w:pPr>
        <w:pStyle w:val="x04-footnotes"/>
        <w:spacing w:before="0" w:line="240" w:lineRule="auto"/>
        <w:rPr>
          <w:rFonts w:cs="Times New Roman"/>
        </w:rPr>
      </w:pPr>
      <w:r>
        <w:rPr>
          <w:rStyle w:val="white"/>
          <w:rFonts w:cs="Times New Roman"/>
        </w:rPr>
        <w:t xml:space="preserve">Telephone: (02) 9126 3600 </w:t>
      </w:r>
      <w:r>
        <w:rPr>
          <w:rFonts w:cs="Times New Roman"/>
        </w:rPr>
        <w:br/>
      </w:r>
      <w:r>
        <w:rPr>
          <w:rStyle w:val="white"/>
          <w:rFonts w:cs="Times New Roman"/>
        </w:rPr>
        <w:t>Fax: (02) 9126 3613</w:t>
      </w:r>
      <w:r w:rsidR="00033A3D">
        <w:rPr>
          <w:rStyle w:val="white"/>
          <w:rFonts w:cs="Times New Roman"/>
        </w:rPr>
        <w:br/>
      </w:r>
      <w:r>
        <w:rPr>
          <w:rStyle w:val="white"/>
          <w:rFonts w:cs="Times New Roman"/>
        </w:rPr>
        <w:t xml:space="preserve">ccs@safetyandquality.gov.au </w:t>
      </w:r>
      <w:r>
        <w:rPr>
          <w:rFonts w:cs="Times New Roman"/>
          <w:b/>
          <w:bCs/>
        </w:rPr>
        <w:br/>
      </w:r>
      <w:r>
        <w:rPr>
          <w:rStyle w:val="white-medium"/>
          <w:rFonts w:cs="Times New Roman"/>
        </w:rPr>
        <w:t>www.safetyandquality.gov.au</w:t>
      </w:r>
    </w:p>
    <w:sectPr w:rsidR="009F0931" w:rsidSect="00215367">
      <w:headerReference w:type="even" r:id="rId27"/>
      <w:headerReference w:type="default" r:id="rId28"/>
      <w:footerReference w:type="even" r:id="rId29"/>
      <w:footerReference w:type="default" r:id="rId30"/>
      <w:headerReference w:type="first" r:id="rId31"/>
      <w:footerReference w:type="first" r:id="rId32"/>
      <w:pgSz w:w="11901" w:h="16840"/>
      <w:pgMar w:top="3119" w:right="1021" w:bottom="130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E2B" w:rsidRDefault="003C0E2B" w:rsidP="009F0931">
      <w:r>
        <w:separator/>
      </w:r>
    </w:p>
  </w:endnote>
  <w:endnote w:type="continuationSeparator" w:id="0">
    <w:p w:rsidR="003C0E2B" w:rsidRDefault="003C0E2B" w:rsidP="009F0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Gotham-Medium">
    <w:altName w:val="Time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7E" w:rsidRDefault="001000A2" w:rsidP="002B318C">
    <w:pPr>
      <w:pStyle w:val="Footer"/>
      <w:framePr w:wrap="around" w:vAnchor="text" w:hAnchor="margin" w:xAlign="right" w:y="1"/>
      <w:rPr>
        <w:rStyle w:val="PageNumber"/>
      </w:rPr>
    </w:pPr>
    <w:r>
      <w:rPr>
        <w:rStyle w:val="PageNumber"/>
      </w:rPr>
      <w:fldChar w:fldCharType="begin"/>
    </w:r>
    <w:r w:rsidR="00445B7E">
      <w:rPr>
        <w:rStyle w:val="PageNumber"/>
      </w:rPr>
      <w:instrText xml:space="preserve">PAGE  </w:instrText>
    </w:r>
    <w:r>
      <w:rPr>
        <w:rStyle w:val="PageNumber"/>
      </w:rPr>
      <w:fldChar w:fldCharType="end"/>
    </w:r>
  </w:p>
  <w:p w:rsidR="00445B7E" w:rsidRDefault="00445B7E" w:rsidP="002B31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7E" w:rsidRPr="002B318C" w:rsidRDefault="001000A2" w:rsidP="002B318C">
    <w:pPr>
      <w:pStyle w:val="Footer"/>
      <w:framePr w:wrap="around" w:vAnchor="text" w:hAnchor="margin" w:xAlign="right" w:y="1"/>
      <w:rPr>
        <w:rStyle w:val="PageNumber"/>
      </w:rPr>
    </w:pPr>
    <w:r w:rsidRPr="002B318C">
      <w:rPr>
        <w:rStyle w:val="PageNumber"/>
      </w:rPr>
      <w:fldChar w:fldCharType="begin"/>
    </w:r>
    <w:r w:rsidR="00445B7E" w:rsidRPr="002B318C">
      <w:rPr>
        <w:rStyle w:val="PageNumber"/>
      </w:rPr>
      <w:instrText xml:space="preserve">PAGE  </w:instrText>
    </w:r>
    <w:r w:rsidRPr="002B318C">
      <w:rPr>
        <w:rStyle w:val="PageNumber"/>
      </w:rPr>
      <w:fldChar w:fldCharType="separate"/>
    </w:r>
    <w:r w:rsidR="00F83BD8">
      <w:rPr>
        <w:rStyle w:val="PageNumber"/>
        <w:noProof/>
      </w:rPr>
      <w:t>21</w:t>
    </w:r>
    <w:r w:rsidRPr="002B318C">
      <w:rPr>
        <w:rStyle w:val="PageNumber"/>
      </w:rPr>
      <w:fldChar w:fldCharType="end"/>
    </w:r>
  </w:p>
  <w:p w:rsidR="00445B7E" w:rsidRDefault="00445B7E" w:rsidP="002B318C">
    <w:pPr>
      <w:pStyle w:val="05Pagefooter"/>
      <w:ind w:right="360"/>
    </w:pPr>
    <w:r>
      <w:t xml:space="preserve">Antimicrobial Stewardship Clinical Care </w:t>
    </w:r>
    <w:r w:rsidRPr="002B318C">
      <w:t>Standard</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13E" w:rsidRDefault="00061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E2B" w:rsidRDefault="003C0E2B" w:rsidP="009F0931">
      <w:r>
        <w:separator/>
      </w:r>
    </w:p>
  </w:footnote>
  <w:footnote w:type="continuationSeparator" w:id="0">
    <w:p w:rsidR="003C0E2B" w:rsidRDefault="003C0E2B" w:rsidP="009F0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13E" w:rsidRDefault="000611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989188" o:spid="_x0000_s6147" type="#_x0000_t136" style="position:absolute;margin-left:0;margin-top:0;width:579.15pt;height:115.8pt;rotation:315;z-index:-251651072;mso-position-horizontal:center;mso-position-horizontal-relative:margin;mso-position-vertical:center;mso-position-vertical-relative:margin" o:allowincell="f" fillcolor="silver" stroked="f">
          <v:fill opacity=".5"/>
          <v:textpath style="font-family:&quot;Times&quot;;font-size:1pt" string="Superseded"/>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7E" w:rsidRDefault="000611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989189" o:spid="_x0000_s6148" type="#_x0000_t136" style="position:absolute;margin-left:0;margin-top:0;width:579.15pt;height:115.8pt;rotation:315;z-index:-251649024;mso-position-horizontal:center;mso-position-horizontal-relative:margin;mso-position-vertical:center;mso-position-vertical-relative:margin" o:allowincell="f" fillcolor="silver" stroked="f">
          <v:fill opacity=".5"/>
          <v:textpath style="font-family:&quot;Times&quot;;font-size:1pt" string="Superseded"/>
        </v:shape>
      </w:pict>
    </w:r>
    <w:r w:rsidR="00445B7E">
      <w:rPr>
        <w:noProof/>
        <w:lang w:eastAsia="en-AU"/>
      </w:rPr>
      <w:drawing>
        <wp:anchor distT="0" distB="0" distL="114300" distR="114300" simplePos="0" relativeHeight="251659264" behindDoc="1" locked="0" layoutInCell="1" allowOverlap="1">
          <wp:simplePos x="0" y="0"/>
          <wp:positionH relativeFrom="column">
            <wp:posOffset>-685800</wp:posOffset>
          </wp:positionH>
          <wp:positionV relativeFrom="paragraph">
            <wp:posOffset>-412750</wp:posOffset>
          </wp:positionV>
          <wp:extent cx="7556500" cy="1447800"/>
          <wp:effectExtent l="0" t="0" r="0" b="0"/>
          <wp:wrapNone/>
          <wp:docPr id="2" name="Picture 2" descr="Clinical Care Standards logo" title="Clinical Care Standard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447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7E" w:rsidRDefault="0006113E" w:rsidP="006F308D">
    <w:pPr>
      <w:pStyle w:val="Header"/>
      <w:tabs>
        <w:tab w:val="clear" w:pos="4320"/>
        <w:tab w:val="clear" w:pos="8640"/>
        <w:tab w:val="right" w:pos="9859"/>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989187" o:spid="_x0000_s6146" type="#_x0000_t136" style="position:absolute;margin-left:0;margin-top:0;width:579.15pt;height:115.8pt;rotation:315;z-index:-251653120;mso-position-horizontal:center;mso-position-horizontal-relative:margin;mso-position-vertical:center;mso-position-vertical-relative:margin" o:allowincell="f" fillcolor="silver" stroked="f">
          <v:fill opacity=".5"/>
          <v:textpath style="font-family:&quot;Times&quot;;font-size:1pt" string="Superseded"/>
        </v:shape>
      </w:pict>
    </w:r>
    <w:r w:rsidR="00606F13" w:rsidRPr="00606F13">
      <w:rPr>
        <w:noProof/>
        <w:lang w:eastAsia="en-AU"/>
      </w:rPr>
      <w:drawing>
        <wp:anchor distT="0" distB="0" distL="114300" distR="114300" simplePos="0" relativeHeight="251661312" behindDoc="1" locked="0" layoutInCell="1" allowOverlap="1" wp14:anchorId="17FE08A7" wp14:editId="079EB5C7">
          <wp:simplePos x="0" y="0"/>
          <wp:positionH relativeFrom="column">
            <wp:posOffset>-686435</wp:posOffset>
          </wp:positionH>
          <wp:positionV relativeFrom="paragraph">
            <wp:posOffset>-450215</wp:posOffset>
          </wp:positionV>
          <wp:extent cx="7658735" cy="10679524"/>
          <wp:effectExtent l="0" t="0" r="0" b="7620"/>
          <wp:wrapNone/>
          <wp:docPr id="6" name="Picture 1" descr="Cover design" title="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658494" cy="106791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6F308D">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30DF"/>
    <w:multiLevelType w:val="multilevel"/>
    <w:tmpl w:val="157E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A32FC"/>
    <w:multiLevelType w:val="multilevel"/>
    <w:tmpl w:val="748C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31E6E"/>
    <w:multiLevelType w:val="multilevel"/>
    <w:tmpl w:val="433E2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650DC"/>
    <w:multiLevelType w:val="multilevel"/>
    <w:tmpl w:val="BA0E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557B6"/>
    <w:multiLevelType w:val="multilevel"/>
    <w:tmpl w:val="564C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22582"/>
    <w:multiLevelType w:val="multilevel"/>
    <w:tmpl w:val="2636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B3F23"/>
    <w:multiLevelType w:val="multilevel"/>
    <w:tmpl w:val="B4A4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B24D8F"/>
    <w:multiLevelType w:val="multilevel"/>
    <w:tmpl w:val="6F8A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720C1C"/>
    <w:multiLevelType w:val="multilevel"/>
    <w:tmpl w:val="76F6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527BA1"/>
    <w:multiLevelType w:val="multilevel"/>
    <w:tmpl w:val="CB389C7C"/>
    <w:lvl w:ilvl="0">
      <w:start w:val="1"/>
      <w:numFmt w:val="bullet"/>
      <w:pStyle w:val="02Bulletslevel1"/>
      <w:lvlText w:val=""/>
      <w:lvlJc w:val="left"/>
      <w:pPr>
        <w:ind w:left="717" w:hanging="360"/>
      </w:pPr>
      <w:rPr>
        <w:rFonts w:ascii="Symbol" w:hAnsi="Symbol" w:hint="default"/>
        <w:color w:val="00988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24061A"/>
    <w:multiLevelType w:val="multilevel"/>
    <w:tmpl w:val="82B4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17A6E"/>
    <w:multiLevelType w:val="multilevel"/>
    <w:tmpl w:val="57F8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780825"/>
    <w:multiLevelType w:val="multilevel"/>
    <w:tmpl w:val="230E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E55D2"/>
    <w:multiLevelType w:val="multilevel"/>
    <w:tmpl w:val="2CA8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803B0"/>
    <w:multiLevelType w:val="multilevel"/>
    <w:tmpl w:val="5398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1560B8"/>
    <w:multiLevelType w:val="multilevel"/>
    <w:tmpl w:val="68FC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1E1F53"/>
    <w:multiLevelType w:val="multilevel"/>
    <w:tmpl w:val="E28C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38797E"/>
    <w:multiLevelType w:val="multilevel"/>
    <w:tmpl w:val="65A4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D30B6A"/>
    <w:multiLevelType w:val="multilevel"/>
    <w:tmpl w:val="0496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0B6022"/>
    <w:multiLevelType w:val="multilevel"/>
    <w:tmpl w:val="756C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4B3C18"/>
    <w:multiLevelType w:val="multilevel"/>
    <w:tmpl w:val="2CE6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26894"/>
    <w:multiLevelType w:val="multilevel"/>
    <w:tmpl w:val="8E46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1"/>
  </w:num>
  <w:num w:numId="4">
    <w:abstractNumId w:val="12"/>
  </w:num>
  <w:num w:numId="5">
    <w:abstractNumId w:val="11"/>
  </w:num>
  <w:num w:numId="6">
    <w:abstractNumId w:val="17"/>
  </w:num>
  <w:num w:numId="7">
    <w:abstractNumId w:val="0"/>
  </w:num>
  <w:num w:numId="8">
    <w:abstractNumId w:val="7"/>
  </w:num>
  <w:num w:numId="9">
    <w:abstractNumId w:val="15"/>
  </w:num>
  <w:num w:numId="10">
    <w:abstractNumId w:val="8"/>
  </w:num>
  <w:num w:numId="11">
    <w:abstractNumId w:val="10"/>
  </w:num>
  <w:num w:numId="12">
    <w:abstractNumId w:val="19"/>
  </w:num>
  <w:num w:numId="13">
    <w:abstractNumId w:val="3"/>
  </w:num>
  <w:num w:numId="14">
    <w:abstractNumId w:val="14"/>
  </w:num>
  <w:num w:numId="15">
    <w:abstractNumId w:val="4"/>
  </w:num>
  <w:num w:numId="16">
    <w:abstractNumId w:val="16"/>
  </w:num>
  <w:num w:numId="17">
    <w:abstractNumId w:val="6"/>
  </w:num>
  <w:num w:numId="18">
    <w:abstractNumId w:val="5"/>
  </w:num>
  <w:num w:numId="19">
    <w:abstractNumId w:val="21"/>
  </w:num>
  <w:num w:numId="20">
    <w:abstractNumId w:val="20"/>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6149"/>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367"/>
    <w:rsid w:val="00033A3D"/>
    <w:rsid w:val="000437D2"/>
    <w:rsid w:val="0006113E"/>
    <w:rsid w:val="00073F03"/>
    <w:rsid w:val="00087B7D"/>
    <w:rsid w:val="001000A2"/>
    <w:rsid w:val="00215367"/>
    <w:rsid w:val="002534E5"/>
    <w:rsid w:val="00267648"/>
    <w:rsid w:val="002B318C"/>
    <w:rsid w:val="002B74C1"/>
    <w:rsid w:val="003C0E2B"/>
    <w:rsid w:val="003E0445"/>
    <w:rsid w:val="00425058"/>
    <w:rsid w:val="00445B7E"/>
    <w:rsid w:val="004B6FAB"/>
    <w:rsid w:val="004E012E"/>
    <w:rsid w:val="00511F1E"/>
    <w:rsid w:val="00554769"/>
    <w:rsid w:val="005A169D"/>
    <w:rsid w:val="00606F13"/>
    <w:rsid w:val="006633FA"/>
    <w:rsid w:val="006F09B4"/>
    <w:rsid w:val="006F308D"/>
    <w:rsid w:val="00794AA9"/>
    <w:rsid w:val="0079786E"/>
    <w:rsid w:val="007D5269"/>
    <w:rsid w:val="00822271"/>
    <w:rsid w:val="00856B55"/>
    <w:rsid w:val="00890957"/>
    <w:rsid w:val="009F0931"/>
    <w:rsid w:val="00AA6A45"/>
    <w:rsid w:val="00B65F8A"/>
    <w:rsid w:val="00BA0CE6"/>
    <w:rsid w:val="00CB0B0B"/>
    <w:rsid w:val="00D130FF"/>
    <w:rsid w:val="00D162A4"/>
    <w:rsid w:val="00D472F8"/>
    <w:rsid w:val="00DA07C4"/>
    <w:rsid w:val="00EC1BC4"/>
    <w:rsid w:val="00F83BD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shapelayout>
  </w:shapeDefaults>
  <w:decimalSymbol w:val="."/>
  <w:listSeparator w:val=","/>
  <w15:docId w15:val="{9C798C4F-A2FF-4A39-B4CE-B3A0E0B45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eastAsiaTheme="minorEastAsia" w:hAnsi="Time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00-cover-head-">
    <w:name w:val="x00-cover-head-"/>
    <w:basedOn w:val="Normal"/>
    <w:rsid w:val="007D5269"/>
    <w:pPr>
      <w:spacing w:before="100" w:beforeAutospacing="1" w:after="100" w:afterAutospacing="1"/>
      <w:jc w:val="right"/>
    </w:pPr>
    <w:rPr>
      <w:rFonts w:ascii="Arial" w:hAnsi="Arial"/>
      <w:b/>
      <w:bCs/>
      <w:color w:val="666967"/>
      <w:sz w:val="48"/>
      <w:szCs w:val="48"/>
    </w:rPr>
  </w:style>
  <w:style w:type="paragraph" w:customStyle="1" w:styleId="x05-citation">
    <w:name w:val="x05-citation"/>
    <w:basedOn w:val="Normal"/>
    <w:rsid w:val="002B318C"/>
    <w:pPr>
      <w:spacing w:after="120" w:line="200" w:lineRule="exact"/>
    </w:pPr>
    <w:rPr>
      <w:rFonts w:ascii="Arial" w:hAnsi="Arial"/>
      <w:sz w:val="16"/>
    </w:rPr>
  </w:style>
  <w:style w:type="character" w:customStyle="1" w:styleId="x02-body-medium">
    <w:name w:val="x02-body-medium"/>
    <w:basedOn w:val="DefaultParagraphFont"/>
    <w:rsid w:val="0079786E"/>
    <w:rPr>
      <w:rFonts w:ascii="Arial" w:hAnsi="Arial"/>
      <w:b/>
    </w:rPr>
  </w:style>
  <w:style w:type="paragraph" w:customStyle="1" w:styleId="x05-citation-heading">
    <w:name w:val="x05-citation-heading"/>
    <w:basedOn w:val="Normal"/>
    <w:rsid w:val="002B318C"/>
    <w:pPr>
      <w:spacing w:before="120" w:line="280" w:lineRule="atLeast"/>
    </w:pPr>
    <w:rPr>
      <w:rFonts w:ascii="Arial" w:hAnsi="Arial"/>
      <w:b/>
    </w:rPr>
  </w:style>
  <w:style w:type="paragraph" w:customStyle="1" w:styleId="x01-heading-level-1">
    <w:name w:val="x01-heading-level-1"/>
    <w:basedOn w:val="Normal"/>
    <w:rsid w:val="002B318C"/>
    <w:pPr>
      <w:spacing w:before="120" w:after="120" w:line="440" w:lineRule="atLeast"/>
    </w:pPr>
    <w:rPr>
      <w:rFonts w:ascii="Arial" w:hAnsi="Arial"/>
      <w:b/>
      <w:bCs/>
      <w:color w:val="00988E"/>
      <w:sz w:val="40"/>
      <w:szCs w:val="40"/>
    </w:rPr>
  </w:style>
  <w:style w:type="character" w:customStyle="1" w:styleId="grey">
    <w:name w:val="grey"/>
    <w:basedOn w:val="DefaultParagraphFont"/>
    <w:rsid w:val="002B318C"/>
    <w:rPr>
      <w:rFonts w:ascii="Arial" w:hAnsi="Arial"/>
      <w:color w:val="666967"/>
    </w:rPr>
  </w:style>
  <w:style w:type="paragraph" w:customStyle="1" w:styleId="x00-contents-body-with-underline">
    <w:name w:val="x00-contents-body-with-underline"/>
    <w:basedOn w:val="Normal"/>
    <w:rsid w:val="00445B7E"/>
    <w:pPr>
      <w:pBdr>
        <w:top w:val="dotted" w:sz="12" w:space="1" w:color="666967"/>
        <w:bottom w:val="dotted" w:sz="12" w:space="1" w:color="666967"/>
      </w:pBdr>
      <w:tabs>
        <w:tab w:val="right" w:pos="9639"/>
      </w:tabs>
      <w:spacing w:before="240" w:after="240" w:line="300" w:lineRule="atLeast"/>
    </w:pPr>
    <w:rPr>
      <w:rFonts w:ascii="Arial" w:hAnsi="Arial"/>
      <w:b/>
      <w:color w:val="4D4F4D"/>
      <w:sz w:val="22"/>
      <w:szCs w:val="22"/>
    </w:rPr>
  </w:style>
  <w:style w:type="paragraph" w:customStyle="1" w:styleId="x02-body-copy">
    <w:name w:val="x02-body-copy"/>
    <w:basedOn w:val="Normal"/>
    <w:rsid w:val="002B318C"/>
    <w:pPr>
      <w:spacing w:after="120" w:line="260" w:lineRule="atLeast"/>
    </w:pPr>
    <w:rPr>
      <w:rFonts w:ascii="Arial" w:hAnsi="Arial"/>
    </w:rPr>
  </w:style>
  <w:style w:type="character" w:customStyle="1" w:styleId="x02-intro-italic">
    <w:name w:val="x02-intro-italic"/>
    <w:basedOn w:val="DefaultParagraphFont"/>
    <w:rsid w:val="0079786E"/>
    <w:rPr>
      <w:rFonts w:ascii="Arial" w:hAnsi="Arial"/>
      <w:i/>
    </w:rPr>
  </w:style>
  <w:style w:type="paragraph" w:customStyle="1" w:styleId="x00-intro-table">
    <w:name w:val="x00-intro-table"/>
    <w:basedOn w:val="Normal"/>
    <w:rsid w:val="002B318C"/>
    <w:pPr>
      <w:spacing w:before="120" w:after="120" w:line="300" w:lineRule="atLeast"/>
    </w:pPr>
    <w:rPr>
      <w:rFonts w:ascii="Arial" w:hAnsi="Arial"/>
      <w:sz w:val="24"/>
    </w:rPr>
  </w:style>
  <w:style w:type="character" w:customStyle="1" w:styleId="x02-gotham-bold--figures-">
    <w:name w:val="x02-gotham-bold--figures-"/>
    <w:basedOn w:val="DefaultParagraphFont"/>
    <w:rsid w:val="002B318C"/>
    <w:rPr>
      <w:rFonts w:ascii="Arial" w:hAnsi="Arial"/>
      <w:b/>
    </w:rPr>
  </w:style>
  <w:style w:type="character" w:customStyle="1" w:styleId="x02-body-superscript">
    <w:name w:val="x02-body-superscript"/>
    <w:basedOn w:val="DefaultParagraphFont"/>
    <w:rsid w:val="0079786E"/>
    <w:rPr>
      <w:rFonts w:ascii="Arial" w:hAnsi="Arial"/>
      <w:caps w:val="0"/>
      <w:smallCaps w:val="0"/>
      <w:strike w:val="0"/>
      <w:dstrike w:val="0"/>
      <w:vanish w:val="0"/>
      <w:vertAlign w:val="superscript"/>
    </w:rPr>
  </w:style>
  <w:style w:type="character" w:customStyle="1" w:styleId="char-style-override-2">
    <w:name w:val="char-style-override-2"/>
    <w:basedOn w:val="DefaultParagraphFont"/>
  </w:style>
  <w:style w:type="paragraph" w:customStyle="1" w:styleId="x02-intro">
    <w:name w:val="x02-intro"/>
    <w:basedOn w:val="Normal"/>
    <w:rsid w:val="002B318C"/>
    <w:pPr>
      <w:spacing w:before="120" w:after="120" w:line="260" w:lineRule="atLeast"/>
    </w:pPr>
    <w:rPr>
      <w:rFonts w:ascii="Arial" w:hAnsi="Arial"/>
      <w:sz w:val="24"/>
    </w:rPr>
  </w:style>
  <w:style w:type="character" w:customStyle="1" w:styleId="x03-web-hyperlink">
    <w:name w:val="x03-web-hyperlink"/>
    <w:basedOn w:val="DefaultParagraphFont"/>
    <w:rsid w:val="0079786E"/>
    <w:rPr>
      <w:rFonts w:ascii="Arial" w:hAnsi="Arial"/>
      <w:b/>
      <w:bCs/>
      <w:color w:val="00988E"/>
    </w:rPr>
  </w:style>
  <w:style w:type="paragraph" w:customStyle="1" w:styleId="x01-heading-level-3">
    <w:name w:val="x01-heading-level-3"/>
    <w:basedOn w:val="Normal"/>
    <w:rsid w:val="0079786E"/>
    <w:pPr>
      <w:spacing w:before="120" w:after="120" w:line="320" w:lineRule="atLeast"/>
    </w:pPr>
    <w:rPr>
      <w:rFonts w:ascii="Arial" w:hAnsi="Arial"/>
      <w:b/>
      <w:bCs/>
      <w:color w:val="4D4F4D"/>
      <w:sz w:val="28"/>
      <w:szCs w:val="28"/>
    </w:rPr>
  </w:style>
  <w:style w:type="paragraph" w:customStyle="1" w:styleId="x02-body-copy-before-bullet">
    <w:name w:val="x02-body-copy-before-bullet"/>
    <w:basedOn w:val="Normal"/>
    <w:rsid w:val="0079786E"/>
    <w:pPr>
      <w:spacing w:line="260" w:lineRule="atLeast"/>
    </w:pPr>
    <w:rPr>
      <w:rFonts w:ascii="Arial" w:hAnsi="Arial"/>
    </w:rPr>
  </w:style>
  <w:style w:type="paragraph" w:customStyle="1" w:styleId="x04-footnotes">
    <w:name w:val="x04-footnotes"/>
    <w:basedOn w:val="Normal"/>
    <w:rsid w:val="0079786E"/>
    <w:pPr>
      <w:spacing w:before="60" w:after="60" w:line="200" w:lineRule="atLeast"/>
    </w:pPr>
    <w:rPr>
      <w:rFonts w:ascii="Arial" w:hAnsi="Arial"/>
      <w:sz w:val="16"/>
    </w:rPr>
  </w:style>
  <w:style w:type="character" w:customStyle="1" w:styleId="x02-body-italic">
    <w:name w:val="x02-body-italic"/>
    <w:basedOn w:val="DefaultParagraphFont"/>
    <w:rsid w:val="0079786E"/>
    <w:rPr>
      <w:rFonts w:ascii="Arial" w:hAnsi="Arial"/>
      <w:i/>
    </w:rPr>
  </w:style>
  <w:style w:type="character" w:customStyle="1" w:styleId="x02-body-bold">
    <w:name w:val="x02-body-bold"/>
    <w:basedOn w:val="DefaultParagraphFont"/>
    <w:rsid w:val="0079786E"/>
    <w:rPr>
      <w:rFonts w:ascii="Arial" w:hAnsi="Arial"/>
      <w:b/>
    </w:rPr>
  </w:style>
  <w:style w:type="paragraph" w:customStyle="1" w:styleId="x01-heading-level-3-underline">
    <w:name w:val="x01-heading-level-3-underline"/>
    <w:basedOn w:val="Normal"/>
    <w:rsid w:val="0079786E"/>
    <w:pPr>
      <w:pBdr>
        <w:bottom w:val="dotted" w:sz="12" w:space="1" w:color="666967"/>
      </w:pBdr>
      <w:spacing w:after="120" w:line="320" w:lineRule="atLeast"/>
    </w:pPr>
    <w:rPr>
      <w:rFonts w:ascii="Arial" w:hAnsi="Arial"/>
      <w:b/>
      <w:bCs/>
      <w:color w:val="4D4F4D"/>
      <w:sz w:val="28"/>
      <w:szCs w:val="28"/>
    </w:rPr>
  </w:style>
  <w:style w:type="paragraph" w:customStyle="1" w:styleId="x03-figure-heading">
    <w:name w:val="x03-figure-heading"/>
    <w:basedOn w:val="Normal"/>
    <w:pPr>
      <w:spacing w:before="100" w:beforeAutospacing="1" w:after="100" w:afterAutospacing="1"/>
    </w:pPr>
  </w:style>
  <w:style w:type="character" w:customStyle="1" w:styleId="white">
    <w:name w:val="white"/>
    <w:basedOn w:val="DefaultParagraphFont"/>
  </w:style>
  <w:style w:type="paragraph" w:customStyle="1" w:styleId="x05-references">
    <w:name w:val="x05-references"/>
    <w:basedOn w:val="Normal"/>
    <w:rsid w:val="004E012E"/>
    <w:pPr>
      <w:spacing w:after="120" w:line="260" w:lineRule="atLeast"/>
    </w:pPr>
    <w:rPr>
      <w:rFonts w:ascii="Arial" w:hAnsi="Arial"/>
    </w:rPr>
  </w:style>
  <w:style w:type="character" w:styleId="Strong">
    <w:name w:val="Strong"/>
    <w:basedOn w:val="DefaultParagraphFont"/>
    <w:uiPriority w:val="22"/>
    <w:qFormat/>
    <w:rPr>
      <w:b/>
      <w:bCs/>
    </w:rPr>
  </w:style>
  <w:style w:type="character" w:customStyle="1" w:styleId="white-medium">
    <w:name w:val="white-medium"/>
    <w:basedOn w:val="DefaultParagraphFont"/>
  </w:style>
  <w:style w:type="paragraph" w:styleId="Header">
    <w:name w:val="header"/>
    <w:basedOn w:val="Normal"/>
    <w:link w:val="HeaderChar"/>
    <w:uiPriority w:val="99"/>
    <w:unhideWhenUsed/>
    <w:rsid w:val="009F0931"/>
    <w:pPr>
      <w:tabs>
        <w:tab w:val="center" w:pos="4320"/>
        <w:tab w:val="right" w:pos="8640"/>
      </w:tabs>
    </w:pPr>
  </w:style>
  <w:style w:type="character" w:customStyle="1" w:styleId="HeaderChar">
    <w:name w:val="Header Char"/>
    <w:basedOn w:val="DefaultParagraphFont"/>
    <w:link w:val="Header"/>
    <w:uiPriority w:val="99"/>
    <w:rsid w:val="009F0931"/>
    <w:rPr>
      <w:rFonts w:ascii="Times" w:eastAsiaTheme="minorEastAsia" w:hAnsi="Times" w:cstheme="minorBidi"/>
    </w:rPr>
  </w:style>
  <w:style w:type="paragraph" w:styleId="Footer">
    <w:name w:val="footer"/>
    <w:basedOn w:val="Normal"/>
    <w:link w:val="FooterChar"/>
    <w:uiPriority w:val="99"/>
    <w:unhideWhenUsed/>
    <w:rsid w:val="009F0931"/>
    <w:pPr>
      <w:tabs>
        <w:tab w:val="center" w:pos="4320"/>
        <w:tab w:val="right" w:pos="8640"/>
      </w:tabs>
    </w:pPr>
  </w:style>
  <w:style w:type="character" w:customStyle="1" w:styleId="FooterChar">
    <w:name w:val="Footer Char"/>
    <w:basedOn w:val="DefaultParagraphFont"/>
    <w:link w:val="Footer"/>
    <w:uiPriority w:val="99"/>
    <w:rsid w:val="009F0931"/>
    <w:rPr>
      <w:rFonts w:ascii="Times" w:eastAsiaTheme="minorEastAsia" w:hAnsi="Times" w:cstheme="minorBidi"/>
    </w:rPr>
  </w:style>
  <w:style w:type="paragraph" w:styleId="BalloonText">
    <w:name w:val="Balloon Text"/>
    <w:basedOn w:val="Normal"/>
    <w:link w:val="BalloonTextChar"/>
    <w:uiPriority w:val="99"/>
    <w:semiHidden/>
    <w:unhideWhenUsed/>
    <w:rsid w:val="009F09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931"/>
    <w:rPr>
      <w:rFonts w:ascii="Lucida Grande" w:eastAsiaTheme="minorEastAsia" w:hAnsi="Lucida Grande" w:cs="Lucida Grande"/>
      <w:sz w:val="18"/>
      <w:szCs w:val="18"/>
    </w:rPr>
  </w:style>
  <w:style w:type="paragraph" w:customStyle="1" w:styleId="05Pagefooter">
    <w:name w:val="05_Page footer"/>
    <w:basedOn w:val="Normal"/>
    <w:uiPriority w:val="99"/>
    <w:rsid w:val="002B318C"/>
    <w:pPr>
      <w:widowControl w:val="0"/>
      <w:tabs>
        <w:tab w:val="left" w:pos="283"/>
        <w:tab w:val="left" w:pos="567"/>
        <w:tab w:val="left" w:pos="850"/>
        <w:tab w:val="left" w:pos="1134"/>
        <w:tab w:val="left" w:pos="1417"/>
        <w:tab w:val="left" w:pos="1701"/>
      </w:tabs>
      <w:suppressAutoHyphens/>
      <w:autoSpaceDE w:val="0"/>
      <w:autoSpaceDN w:val="0"/>
      <w:adjustRightInd w:val="0"/>
      <w:spacing w:after="113" w:line="260" w:lineRule="atLeast"/>
      <w:textAlignment w:val="center"/>
    </w:pPr>
    <w:rPr>
      <w:rFonts w:ascii="Arial" w:eastAsia="Times New Roman" w:hAnsi="Arial" w:cs="HelveticaNeue-Light"/>
      <w:color w:val="4D4F4D"/>
      <w:spacing w:val="2"/>
      <w:sz w:val="18"/>
      <w:szCs w:val="18"/>
      <w:lang w:val="en-GB"/>
    </w:rPr>
  </w:style>
  <w:style w:type="character" w:styleId="PageNumber">
    <w:name w:val="page number"/>
    <w:basedOn w:val="DefaultParagraphFont"/>
    <w:uiPriority w:val="99"/>
    <w:semiHidden/>
    <w:unhideWhenUsed/>
    <w:rsid w:val="002B318C"/>
    <w:rPr>
      <w:rFonts w:ascii="Arial" w:hAnsi="Arial"/>
      <w:color w:val="4D4F4D"/>
      <w:sz w:val="18"/>
      <w:szCs w:val="18"/>
    </w:rPr>
  </w:style>
  <w:style w:type="paragraph" w:customStyle="1" w:styleId="02Bulletslevel1">
    <w:name w:val="02_Bullets level 1"/>
    <w:basedOn w:val="Normal"/>
    <w:qFormat/>
    <w:rsid w:val="002B318C"/>
    <w:pPr>
      <w:numPr>
        <w:numId w:val="1"/>
      </w:numPr>
      <w:spacing w:after="120" w:line="260" w:lineRule="atLeast"/>
      <w:ind w:left="284" w:hanging="284"/>
    </w:pPr>
    <w:rPr>
      <w:rFonts w:ascii="Arial" w:eastAsia="Times New Roman" w:hAnsi="Arial" w:cs="Times New Roman"/>
    </w:rPr>
  </w:style>
  <w:style w:type="paragraph" w:customStyle="1" w:styleId="01Headinglevel1">
    <w:name w:val="01_Heading level 1"/>
    <w:basedOn w:val="Normal"/>
    <w:uiPriority w:val="99"/>
    <w:rsid w:val="00EC1BC4"/>
    <w:pPr>
      <w:widowControl w:val="0"/>
      <w:suppressAutoHyphens/>
      <w:autoSpaceDE w:val="0"/>
      <w:autoSpaceDN w:val="0"/>
      <w:adjustRightInd w:val="0"/>
      <w:spacing w:after="340" w:line="440" w:lineRule="atLeast"/>
      <w:textAlignment w:val="center"/>
    </w:pPr>
    <w:rPr>
      <w:rFonts w:ascii="Gotham-Medium" w:eastAsia="Times New Roman" w:hAnsi="Gotham-Medium" w:cs="Gotham-Medium"/>
      <w:color w:val="21FF9E"/>
      <w:spacing w:val="-4"/>
      <w:sz w:val="40"/>
      <w:szCs w:val="40"/>
      <w:lang w:val="en-GB"/>
    </w:rPr>
  </w:style>
  <w:style w:type="paragraph" w:styleId="TOC1">
    <w:name w:val="toc 1"/>
    <w:basedOn w:val="Normal"/>
    <w:next w:val="Normal"/>
    <w:autoRedefine/>
    <w:uiPriority w:val="39"/>
    <w:unhideWhenUsed/>
    <w:rsid w:val="00445B7E"/>
    <w:pPr>
      <w:spacing w:before="120"/>
    </w:pPr>
    <w:rPr>
      <w:rFonts w:asciiTheme="minorHAnsi" w:hAnsiTheme="minorHAnsi"/>
      <w:b/>
      <w:sz w:val="22"/>
      <w:szCs w:val="22"/>
    </w:rPr>
  </w:style>
  <w:style w:type="paragraph" w:styleId="TOC2">
    <w:name w:val="toc 2"/>
    <w:basedOn w:val="Normal"/>
    <w:next w:val="Normal"/>
    <w:autoRedefine/>
    <w:uiPriority w:val="39"/>
    <w:unhideWhenUsed/>
    <w:rsid w:val="00445B7E"/>
    <w:pPr>
      <w:ind w:left="200"/>
    </w:pPr>
    <w:rPr>
      <w:rFonts w:asciiTheme="minorHAnsi" w:hAnsiTheme="minorHAnsi"/>
      <w:i/>
      <w:sz w:val="22"/>
      <w:szCs w:val="22"/>
    </w:rPr>
  </w:style>
  <w:style w:type="paragraph" w:styleId="TOC3">
    <w:name w:val="toc 3"/>
    <w:basedOn w:val="Normal"/>
    <w:next w:val="Normal"/>
    <w:autoRedefine/>
    <w:uiPriority w:val="39"/>
    <w:unhideWhenUsed/>
    <w:rsid w:val="00445B7E"/>
    <w:pPr>
      <w:ind w:left="400"/>
    </w:pPr>
    <w:rPr>
      <w:rFonts w:asciiTheme="minorHAnsi" w:hAnsiTheme="minorHAnsi"/>
      <w:sz w:val="22"/>
      <w:szCs w:val="22"/>
    </w:rPr>
  </w:style>
  <w:style w:type="paragraph" w:styleId="TOC4">
    <w:name w:val="toc 4"/>
    <w:basedOn w:val="Normal"/>
    <w:next w:val="Normal"/>
    <w:autoRedefine/>
    <w:uiPriority w:val="39"/>
    <w:unhideWhenUsed/>
    <w:rsid w:val="00445B7E"/>
    <w:pPr>
      <w:ind w:left="600"/>
    </w:pPr>
    <w:rPr>
      <w:rFonts w:asciiTheme="minorHAnsi" w:hAnsiTheme="minorHAnsi"/>
    </w:rPr>
  </w:style>
  <w:style w:type="paragraph" w:styleId="TOC5">
    <w:name w:val="toc 5"/>
    <w:basedOn w:val="Normal"/>
    <w:next w:val="Normal"/>
    <w:autoRedefine/>
    <w:uiPriority w:val="39"/>
    <w:unhideWhenUsed/>
    <w:rsid w:val="00445B7E"/>
    <w:pPr>
      <w:ind w:left="800"/>
    </w:pPr>
    <w:rPr>
      <w:rFonts w:asciiTheme="minorHAnsi" w:hAnsiTheme="minorHAnsi"/>
    </w:rPr>
  </w:style>
  <w:style w:type="paragraph" w:styleId="TOC6">
    <w:name w:val="toc 6"/>
    <w:basedOn w:val="Normal"/>
    <w:next w:val="Normal"/>
    <w:autoRedefine/>
    <w:uiPriority w:val="39"/>
    <w:unhideWhenUsed/>
    <w:rsid w:val="00445B7E"/>
    <w:pPr>
      <w:ind w:left="1000"/>
    </w:pPr>
    <w:rPr>
      <w:rFonts w:asciiTheme="minorHAnsi" w:hAnsiTheme="minorHAnsi"/>
    </w:rPr>
  </w:style>
  <w:style w:type="paragraph" w:styleId="TOC7">
    <w:name w:val="toc 7"/>
    <w:basedOn w:val="Normal"/>
    <w:next w:val="Normal"/>
    <w:autoRedefine/>
    <w:uiPriority w:val="39"/>
    <w:unhideWhenUsed/>
    <w:rsid w:val="00445B7E"/>
    <w:pPr>
      <w:ind w:left="1200"/>
    </w:pPr>
    <w:rPr>
      <w:rFonts w:asciiTheme="minorHAnsi" w:hAnsiTheme="minorHAnsi"/>
    </w:rPr>
  </w:style>
  <w:style w:type="paragraph" w:styleId="TOC8">
    <w:name w:val="toc 8"/>
    <w:basedOn w:val="Normal"/>
    <w:next w:val="Normal"/>
    <w:autoRedefine/>
    <w:uiPriority w:val="39"/>
    <w:unhideWhenUsed/>
    <w:rsid w:val="00445B7E"/>
    <w:pPr>
      <w:ind w:left="1400"/>
    </w:pPr>
    <w:rPr>
      <w:rFonts w:asciiTheme="minorHAnsi" w:hAnsiTheme="minorHAnsi"/>
    </w:rPr>
  </w:style>
  <w:style w:type="paragraph" w:styleId="TOC9">
    <w:name w:val="toc 9"/>
    <w:basedOn w:val="Normal"/>
    <w:next w:val="Normal"/>
    <w:autoRedefine/>
    <w:uiPriority w:val="39"/>
    <w:unhideWhenUsed/>
    <w:rsid w:val="00445B7E"/>
    <w:pPr>
      <w:ind w:left="1600"/>
    </w:pPr>
    <w:rPr>
      <w:rFonts w:asciiTheme="minorHAnsi" w:hAnsiTheme="minorHAnsi"/>
    </w:rPr>
  </w:style>
  <w:style w:type="character" w:styleId="Hyperlink">
    <w:name w:val="Hyperlink"/>
    <w:basedOn w:val="DefaultParagraphFont"/>
    <w:uiPriority w:val="99"/>
    <w:semiHidden/>
    <w:unhideWhenUsed/>
    <w:rsid w:val="00B65F8A"/>
    <w:rPr>
      <w:color w:val="0000FF" w:themeColor="hyperlink"/>
      <w:u w:val="single"/>
    </w:rPr>
  </w:style>
  <w:style w:type="table" w:styleId="TableGrid">
    <w:name w:val="Table Grid"/>
    <w:basedOn w:val="TableNormal"/>
    <w:uiPriority w:val="59"/>
    <w:rsid w:val="00B65F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332802">
      <w:marLeft w:val="0"/>
      <w:marRight w:val="0"/>
      <w:marTop w:val="0"/>
      <w:marBottom w:val="0"/>
      <w:divBdr>
        <w:top w:val="none" w:sz="0" w:space="0" w:color="auto"/>
        <w:left w:val="none" w:sz="0" w:space="0" w:color="auto"/>
        <w:bottom w:val="none" w:sz="0" w:space="0" w:color="auto"/>
        <w:right w:val="none" w:sz="0" w:space="0" w:color="auto"/>
      </w:divBdr>
      <w:divsChild>
        <w:div w:id="70204571">
          <w:marLeft w:val="0"/>
          <w:marRight w:val="0"/>
          <w:marTop w:val="0"/>
          <w:marBottom w:val="0"/>
          <w:divBdr>
            <w:top w:val="none" w:sz="0" w:space="0" w:color="auto"/>
            <w:left w:val="none" w:sz="0" w:space="0" w:color="auto"/>
            <w:bottom w:val="none" w:sz="0" w:space="0" w:color="auto"/>
            <w:right w:val="none" w:sz="0" w:space="0" w:color="auto"/>
          </w:divBdr>
        </w:div>
        <w:div w:id="341012319">
          <w:marLeft w:val="0"/>
          <w:marRight w:val="0"/>
          <w:marTop w:val="0"/>
          <w:marBottom w:val="0"/>
          <w:divBdr>
            <w:top w:val="none" w:sz="0" w:space="0" w:color="auto"/>
            <w:left w:val="none" w:sz="0" w:space="0" w:color="auto"/>
            <w:bottom w:val="none" w:sz="0" w:space="0" w:color="auto"/>
            <w:right w:val="none" w:sz="0" w:space="0" w:color="auto"/>
          </w:divBdr>
        </w:div>
        <w:div w:id="1312174763">
          <w:marLeft w:val="0"/>
          <w:marRight w:val="0"/>
          <w:marTop w:val="0"/>
          <w:marBottom w:val="0"/>
          <w:divBdr>
            <w:top w:val="none" w:sz="0" w:space="0" w:color="auto"/>
            <w:left w:val="none" w:sz="0" w:space="0" w:color="auto"/>
            <w:bottom w:val="none" w:sz="0" w:space="0" w:color="auto"/>
            <w:right w:val="none" w:sz="0" w:space="0" w:color="auto"/>
          </w:divBdr>
        </w:div>
        <w:div w:id="151283673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yperlink" Target="http://www.safetyandquality.gov.au/cc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4755</Words>
  <Characters>27109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Untitled-12.html</vt:lpstr>
    </vt:vector>
  </TitlesOfParts>
  <Company>gd</Company>
  <LinksUpToDate>false</LinksUpToDate>
  <CharactersWithSpaces>31801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Untitled-12.html</dc:title>
  <dc:creator>goga dolic</dc:creator>
  <cp:lastModifiedBy>VAN RITTEN, Patricia</cp:lastModifiedBy>
  <cp:revision>2</cp:revision>
  <dcterms:created xsi:type="dcterms:W3CDTF">2020-11-20T00:12:00Z</dcterms:created>
  <dcterms:modified xsi:type="dcterms:W3CDTF">2020-11-20T00:12:00Z</dcterms:modified>
</cp:coreProperties>
</file>