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A54" w:rsidRDefault="00AA5A54" w:rsidP="00AA5A54">
      <w:pPr>
        <w:pStyle w:val="Title"/>
      </w:pPr>
      <w:r>
        <w:t>Antimicrobial prescribing and infections in Australian residential aged care facilities</w:t>
      </w:r>
    </w:p>
    <w:p w:rsidR="00AA5A54" w:rsidRDefault="00AA5A54" w:rsidP="00AA5A54">
      <w:pPr>
        <w:pStyle w:val="Subtitle"/>
      </w:pPr>
      <w:r>
        <w:t>Results of the 2015 Aged Care National Antimicrobial Prescribing Survey pilot</w:t>
      </w:r>
    </w:p>
    <w:p w:rsidR="00183E97" w:rsidRDefault="00AA5A54" w:rsidP="00E23843">
      <w:pPr>
        <w:pStyle w:val="ReportDate"/>
      </w:pPr>
      <w:r>
        <w:t>May 2016</w:t>
      </w:r>
    </w:p>
    <w:p w:rsidR="00F87897" w:rsidRDefault="00AA5A54" w:rsidP="00AA5A54">
      <w:pPr>
        <w:pStyle w:val="ImprintText"/>
      </w:pPr>
      <w:r>
        <w:br w:type="page"/>
      </w:r>
      <w:r w:rsidR="00F87897">
        <w:lastRenderedPageBreak/>
        <w:t>© Commonwealth of Australia 2016</w:t>
      </w:r>
    </w:p>
    <w:p w:rsidR="00F87897" w:rsidRDefault="00F87897">
      <w:pPr>
        <w:pStyle w:val="ImprintText"/>
      </w:pPr>
      <w:r>
        <w:t xml:space="preserve">Antimicrobial prescribing and infections in Australian residential aged care facilities: Results of the 2015 Aged Care National Antimicrobial Prescribing Survey pilot </w:t>
      </w:r>
    </w:p>
    <w:p w:rsidR="00F87897" w:rsidRDefault="00F87897">
      <w:pPr>
        <w:pStyle w:val="ImprintText"/>
      </w:pPr>
      <w:r>
        <w:t>ISBN 978-1-925224-45-0 (print), 978-1-925224-46-7 (online)</w:t>
      </w:r>
    </w:p>
    <w:p w:rsidR="00F87897" w:rsidRDefault="00F87897">
      <w:pPr>
        <w:pStyle w:val="ImprintText"/>
      </w:pPr>
      <w:r>
        <w:t>This report was prepared by:</w:t>
      </w:r>
    </w:p>
    <w:p w:rsidR="00F87897" w:rsidRDefault="00F87897">
      <w:pPr>
        <w:pStyle w:val="ImprintText"/>
      </w:pPr>
      <w:r>
        <w:t>Australian Commission on Safety and Quality in Health Care</w:t>
      </w:r>
      <w:r>
        <w:br/>
        <w:t>Level 5, 255 Elizabeth Street</w:t>
      </w:r>
      <w:r>
        <w:br/>
        <w:t xml:space="preserve">Sydney, New South Wales 2000 </w:t>
      </w:r>
    </w:p>
    <w:p w:rsidR="00F87897" w:rsidRDefault="00F87897">
      <w:pPr>
        <w:pStyle w:val="ImprintText"/>
      </w:pPr>
      <w:r>
        <w:t>in collaboration with:</w:t>
      </w:r>
    </w:p>
    <w:p w:rsidR="00F87897" w:rsidRDefault="00F87897">
      <w:pPr>
        <w:pStyle w:val="ImprintText"/>
      </w:pPr>
      <w:r>
        <w:t>The Centre for Research Excellence – National Centre for Antimicrobial Stewardship</w:t>
      </w:r>
      <w:r>
        <w:br/>
      </w:r>
      <w:r w:rsidR="00137D1C">
        <w:t xml:space="preserve">The </w:t>
      </w:r>
      <w:r>
        <w:t>Peter Doherty Institute</w:t>
      </w:r>
      <w:r w:rsidR="00D00D29">
        <w:t xml:space="preserve"> for Infection and Immunity, a joint venture of the University of Melbourne and The Royal Melbourne Hospital</w:t>
      </w:r>
      <w:r>
        <w:t xml:space="preserve"> </w:t>
      </w:r>
      <w:r>
        <w:br/>
        <w:t xml:space="preserve">Level 5, 792 Elizabeth Street </w:t>
      </w:r>
      <w:r>
        <w:br/>
        <w:t>Melbourne, Victoria 3000</w:t>
      </w:r>
    </w:p>
    <w:p w:rsidR="00F87897" w:rsidRDefault="00F87897">
      <w:pPr>
        <w:pStyle w:val="ImprintText"/>
      </w:pPr>
      <w:r>
        <w:t>Guidance Group</w:t>
      </w:r>
      <w:r>
        <w:br/>
      </w:r>
      <w:r w:rsidR="00D00D29">
        <w:t>The Peter Doherty Institute for Infection and Immunity, a joint venture of the University of Melbourne and The Royal Melbourne Hospital</w:t>
      </w:r>
      <w:r>
        <w:br/>
        <w:t>Level 5, 792 Elizabeth Street</w:t>
      </w:r>
      <w:r>
        <w:br/>
        <w:t>Melbourne, Victoria 3000</w:t>
      </w:r>
    </w:p>
    <w:p w:rsidR="00F87897" w:rsidRDefault="00F87897">
      <w:pPr>
        <w:pStyle w:val="ImprintText"/>
      </w:pPr>
      <w:r>
        <w:t>V</w:t>
      </w:r>
      <w:r w:rsidR="00D00D29">
        <w:t>ictorian Healthcare Associated Infection Surveillance System Coordinating Centre</w:t>
      </w:r>
      <w:r>
        <w:br/>
      </w:r>
      <w:r w:rsidR="00D00D29">
        <w:t>The Peter Doherty Institute for Infection and Immunity, a joint venture of the University of Melbourne and The Royal Melbourne Hospital</w:t>
      </w:r>
      <w:r>
        <w:br/>
        <w:t>Level 5, 792 Elizabeth Street</w:t>
      </w:r>
      <w:r>
        <w:br/>
        <w:t>Melbourne, Victoria 3000</w:t>
      </w:r>
    </w:p>
    <w:p w:rsidR="00F87897" w:rsidRDefault="00F87897">
      <w:pPr>
        <w:pStyle w:val="ImprintText"/>
      </w:pPr>
      <w:r>
        <w:t xml:space="preserve">This report can be accessed on the </w:t>
      </w:r>
      <w:hyperlink r:id="rId9" w:tooltip="National Centre for Antimicrobial Stewardship website" w:history="1">
        <w:r w:rsidRPr="000A2E19">
          <w:rPr>
            <w:rStyle w:val="Hyperlink"/>
            <w:rFonts w:cs="Gotham-Book"/>
          </w:rPr>
          <w:t>National Centre for Ant</w:t>
        </w:r>
        <w:r w:rsidR="000A2E19" w:rsidRPr="000A2E19">
          <w:rPr>
            <w:rStyle w:val="Hyperlink"/>
            <w:rFonts w:cs="Gotham-Book"/>
          </w:rPr>
          <w:t>imicrobial Stewardship website</w:t>
        </w:r>
      </w:hyperlink>
      <w:r w:rsidR="000A2E19">
        <w:t xml:space="preserve"> </w:t>
      </w:r>
      <w:r>
        <w:t xml:space="preserve">and on the </w:t>
      </w:r>
      <w:hyperlink r:id="rId10" w:tooltip="Australian Commission on Safety and Quality in Health Care website" w:history="1">
        <w:r w:rsidRPr="000A2E19">
          <w:rPr>
            <w:rStyle w:val="Hyperlink"/>
            <w:rFonts w:cs="Gotham-Book"/>
          </w:rPr>
          <w:t>Austra</w:t>
        </w:r>
        <w:r w:rsidRPr="000A2E19">
          <w:rPr>
            <w:rStyle w:val="Hyperlink"/>
            <w:rFonts w:cs="Gotham-Book"/>
          </w:rPr>
          <w:t>l</w:t>
        </w:r>
        <w:r w:rsidRPr="000A2E19">
          <w:rPr>
            <w:rStyle w:val="Hyperlink"/>
            <w:rFonts w:cs="Gotham-Book"/>
          </w:rPr>
          <w:t xml:space="preserve">ian Commission on Safety and </w:t>
        </w:r>
        <w:r w:rsidR="000A2E19" w:rsidRPr="000A2E19">
          <w:rPr>
            <w:rStyle w:val="Hyperlink"/>
            <w:rFonts w:cs="Gotham-Book"/>
          </w:rPr>
          <w:t>Quality in Health Care website</w:t>
        </w:r>
      </w:hyperlink>
      <w:r>
        <w:t xml:space="preserve">. </w:t>
      </w:r>
    </w:p>
    <w:p w:rsidR="00F87897" w:rsidRDefault="00F87897">
      <w:pPr>
        <w:pStyle w:val="ImprintText"/>
      </w:pPr>
      <w:r>
        <w:t xml:space="preserve">Disclaimer: The data presented in this report was correct at the time of publication. </w:t>
      </w:r>
    </w:p>
    <w:p w:rsidR="00F87897" w:rsidRDefault="00F87897">
      <w:pPr>
        <w:pStyle w:val="ImprintText"/>
      </w:pPr>
      <w:r>
        <w:t xml:space="preserve">This work is copyright. It may be reproduced in whole or in part for study or training purposes subject to the inclusion of an acknowledgement of the source. Requests and inquiries concerning reproduction and rights for purposes other than those indicated above require the written permission of the Australian Commission on Safety and Quality in Health Care, GPO Box 5480, Sydney, NSW 2001, or </w:t>
      </w:r>
      <w:hyperlink r:id="rId11" w:tooltip="email the Commission" w:history="1">
        <w:r>
          <w:rPr>
            <w:rStyle w:val="Hyperlink"/>
            <w:rFonts w:cs="Gotham-Book"/>
          </w:rPr>
          <w:t>mail@safetyandquality.gov.au</w:t>
        </w:r>
      </w:hyperlink>
      <w:r>
        <w:t xml:space="preserve">. </w:t>
      </w:r>
    </w:p>
    <w:p w:rsidR="00F87897" w:rsidRDefault="00F87897">
      <w:pPr>
        <w:pStyle w:val="ImprintText"/>
      </w:pPr>
      <w:r>
        <w:t>This publication is part of the work being conducted by the Australian Commission on Safety and Quality in Health Care to establish a national antimicrobial resistance and usage surveillance system. This work is being undertaken through the Antimicrobial Use and Resistance in Australia (AURA) project.</w:t>
      </w:r>
    </w:p>
    <w:p w:rsidR="00F87897" w:rsidRDefault="00F87897">
      <w:pPr>
        <w:pStyle w:val="ImprintText"/>
      </w:pPr>
      <w:r>
        <w:t>The Australian Commission on Safety and Quality in Health Care wishes to thank and gratefully acknowledge the important contribution to this report of the residential aged care facilities and multipurpose services that participated in the 2015 pilot Aged Care National Antimicrobial Prescribing Survey.</w:t>
      </w:r>
    </w:p>
    <w:p w:rsidR="00F87897" w:rsidRDefault="00F87897">
      <w:pPr>
        <w:pStyle w:val="ImprintText"/>
      </w:pPr>
      <w:r>
        <w:t>Suggested citation: National Centre for Antimicrobial Stewardship and Australian Commission on Safety and Quality in Health Care. Antimicrobial prescribing and infections in Australian residential aged care facilities: Results of the 2015 Aged Care National Antimicrobial Prescribing Survey pilot. Sydney: ACSQHC, 2016.</w:t>
      </w:r>
    </w:p>
    <w:p w:rsidR="00F87897" w:rsidRDefault="00F87897">
      <w:pPr>
        <w:pStyle w:val="ImprintText"/>
      </w:pPr>
      <w:r>
        <w:t>For further details about the Aged Care National Antimicrobial Prescribing Sur</w:t>
      </w:r>
      <w:r w:rsidR="000A2E19">
        <w:t>vey</w:t>
      </w:r>
      <w:r>
        <w:t>,</w:t>
      </w:r>
      <w:r w:rsidR="000A2E19">
        <w:t xml:space="preserve"> visit the </w:t>
      </w:r>
      <w:hyperlink r:id="rId12" w:tooltip="Aged Care National Antimicrobial Prescribing survey website" w:history="1">
        <w:r w:rsidR="000A2E19" w:rsidRPr="000A2E19">
          <w:rPr>
            <w:rStyle w:val="Hyperlink"/>
            <w:rFonts w:cs="Gotham-Book"/>
          </w:rPr>
          <w:t>website</w:t>
        </w:r>
      </w:hyperlink>
      <w:r w:rsidR="00E52D7D">
        <w:t>,</w:t>
      </w:r>
      <w:r>
        <w:t xml:space="preserve"> </w:t>
      </w:r>
      <w:r>
        <w:br/>
      </w:r>
      <w:r w:rsidR="00E52D7D">
        <w:t xml:space="preserve">send an </w:t>
      </w:r>
      <w:hyperlink r:id="rId13" w:tooltip="email the Aged Care National Antimicrobial Prescribing Survey" w:history="1">
        <w:r w:rsidRPr="000A2E19">
          <w:rPr>
            <w:rStyle w:val="Hyperlink"/>
            <w:rFonts w:cs="Gotham-Book"/>
          </w:rPr>
          <w:t>email</w:t>
        </w:r>
      </w:hyperlink>
      <w:r>
        <w:t xml:space="preserve"> or phone (03) 9342 9415.</w:t>
      </w:r>
    </w:p>
    <w:p w:rsidR="00E16DB7" w:rsidRDefault="00E16DB7">
      <w:pPr>
        <w:pStyle w:val="ImprintText"/>
      </w:pPr>
      <w:r>
        <w:t>Front cover photo courtesy of DoseAid</w:t>
      </w:r>
    </w:p>
    <w:p w:rsidR="00183E97" w:rsidRDefault="00183E97" w:rsidP="00183E97">
      <w:pPr>
        <w:pStyle w:val="Heading1"/>
      </w:pPr>
      <w:r>
        <w:lastRenderedPageBreak/>
        <w:t xml:space="preserve">Contents </w:t>
      </w:r>
    </w:p>
    <w:p w:rsidR="00183E97" w:rsidRDefault="00183E97">
      <w:pPr>
        <w:pStyle w:val="TOC1"/>
        <w:rPr>
          <w:rFonts w:asciiTheme="minorHAnsi" w:eastAsiaTheme="minorEastAsia" w:hAnsiTheme="minorHAnsi" w:cstheme="minorBidi"/>
          <w:b w:val="0"/>
          <w:bCs w:val="0"/>
          <w:color w:val="auto"/>
          <w:szCs w:val="22"/>
        </w:rPr>
      </w:pPr>
      <w:r>
        <w:rPr>
          <w:b w:val="0"/>
          <w:bCs w:val="0"/>
        </w:rPr>
        <w:fldChar w:fldCharType="begin"/>
      </w:r>
      <w:r>
        <w:rPr>
          <w:b w:val="0"/>
          <w:bCs w:val="0"/>
        </w:rPr>
        <w:instrText xml:space="preserve"> TOC \o "1-3" \t "SectionTitle,1" </w:instrText>
      </w:r>
      <w:r>
        <w:rPr>
          <w:b w:val="0"/>
          <w:bCs w:val="0"/>
        </w:rPr>
        <w:fldChar w:fldCharType="separate"/>
      </w:r>
      <w:r>
        <w:t>Abbreviations</w:t>
      </w:r>
      <w:r>
        <w:tab/>
      </w:r>
      <w:r>
        <w:fldChar w:fldCharType="begin"/>
      </w:r>
      <w:r>
        <w:instrText xml:space="preserve"> PAGEREF _Toc451169561 \h </w:instrText>
      </w:r>
      <w:r>
        <w:fldChar w:fldCharType="separate"/>
      </w:r>
      <w:r>
        <w:t>v</w:t>
      </w:r>
      <w:r>
        <w:fldChar w:fldCharType="end"/>
      </w:r>
    </w:p>
    <w:p w:rsidR="00183E97" w:rsidRDefault="00183E97">
      <w:pPr>
        <w:pStyle w:val="TOC1"/>
        <w:rPr>
          <w:rFonts w:asciiTheme="minorHAnsi" w:eastAsiaTheme="minorEastAsia" w:hAnsiTheme="minorHAnsi" w:cstheme="minorBidi"/>
          <w:b w:val="0"/>
          <w:bCs w:val="0"/>
          <w:color w:val="auto"/>
          <w:szCs w:val="22"/>
        </w:rPr>
      </w:pPr>
      <w:r>
        <w:t>Executive summary</w:t>
      </w:r>
      <w:r>
        <w:tab/>
      </w:r>
      <w:r>
        <w:fldChar w:fldCharType="begin"/>
      </w:r>
      <w:r>
        <w:instrText xml:space="preserve"> PAGEREF _Toc451169562 \h </w:instrText>
      </w:r>
      <w:r>
        <w:fldChar w:fldCharType="separate"/>
      </w:r>
      <w:r>
        <w:t>vi</w:t>
      </w:r>
      <w:r>
        <w:fldChar w:fldCharType="end"/>
      </w:r>
    </w:p>
    <w:p w:rsidR="00183E97" w:rsidRDefault="00183E97">
      <w:pPr>
        <w:pStyle w:val="TOC1"/>
        <w:rPr>
          <w:rFonts w:asciiTheme="minorHAnsi" w:eastAsiaTheme="minorEastAsia" w:hAnsiTheme="minorHAnsi" w:cstheme="minorBidi"/>
          <w:b w:val="0"/>
          <w:bCs w:val="0"/>
          <w:color w:val="auto"/>
          <w:szCs w:val="22"/>
        </w:rPr>
      </w:pPr>
      <w:r>
        <w:t>Background</w:t>
      </w:r>
      <w:r>
        <w:tab/>
      </w:r>
      <w:r>
        <w:fldChar w:fldCharType="begin"/>
      </w:r>
      <w:r>
        <w:instrText xml:space="preserve"> PAGEREF _Toc451169563 \h </w:instrText>
      </w:r>
      <w:r>
        <w:fldChar w:fldCharType="separate"/>
      </w:r>
      <w:r>
        <w:t>1</w:t>
      </w:r>
      <w:r>
        <w:fldChar w:fldCharType="end"/>
      </w:r>
    </w:p>
    <w:p w:rsidR="00183E97" w:rsidRDefault="00183E97">
      <w:pPr>
        <w:pStyle w:val="TOC2"/>
        <w:rPr>
          <w:rFonts w:asciiTheme="minorHAnsi" w:eastAsiaTheme="minorEastAsia" w:hAnsiTheme="minorHAnsi" w:cstheme="minorBidi"/>
          <w:noProof/>
          <w:color w:val="auto"/>
          <w:szCs w:val="22"/>
        </w:rPr>
      </w:pPr>
      <w:r>
        <w:rPr>
          <w:noProof/>
        </w:rPr>
        <w:t>Antimicrobial resistance</w:t>
      </w:r>
      <w:r>
        <w:rPr>
          <w:noProof/>
        </w:rPr>
        <w:tab/>
      </w:r>
      <w:r>
        <w:rPr>
          <w:noProof/>
        </w:rPr>
        <w:fldChar w:fldCharType="begin"/>
      </w:r>
      <w:r>
        <w:rPr>
          <w:noProof/>
        </w:rPr>
        <w:instrText xml:space="preserve"> PAGEREF _Toc451169564 \h </w:instrText>
      </w:r>
      <w:r>
        <w:rPr>
          <w:noProof/>
        </w:rPr>
      </w:r>
      <w:r>
        <w:rPr>
          <w:noProof/>
        </w:rPr>
        <w:fldChar w:fldCharType="separate"/>
      </w:r>
      <w:r>
        <w:rPr>
          <w:noProof/>
        </w:rPr>
        <w:t>1</w:t>
      </w:r>
      <w:r>
        <w:rPr>
          <w:noProof/>
        </w:rPr>
        <w:fldChar w:fldCharType="end"/>
      </w:r>
    </w:p>
    <w:p w:rsidR="00183E97" w:rsidRDefault="00183E97">
      <w:pPr>
        <w:pStyle w:val="TOC2"/>
        <w:rPr>
          <w:rFonts w:asciiTheme="minorHAnsi" w:eastAsiaTheme="minorEastAsia" w:hAnsiTheme="minorHAnsi" w:cstheme="minorBidi"/>
          <w:noProof/>
          <w:color w:val="auto"/>
          <w:szCs w:val="22"/>
        </w:rPr>
      </w:pPr>
      <w:r>
        <w:rPr>
          <w:noProof/>
        </w:rPr>
        <w:t>Antimicrobial stewardship programs</w:t>
      </w:r>
      <w:r>
        <w:rPr>
          <w:noProof/>
        </w:rPr>
        <w:tab/>
      </w:r>
      <w:r>
        <w:rPr>
          <w:noProof/>
        </w:rPr>
        <w:fldChar w:fldCharType="begin"/>
      </w:r>
      <w:r>
        <w:rPr>
          <w:noProof/>
        </w:rPr>
        <w:instrText xml:space="preserve"> PAGEREF _Toc451169565 \h </w:instrText>
      </w:r>
      <w:r>
        <w:rPr>
          <w:noProof/>
        </w:rPr>
      </w:r>
      <w:r>
        <w:rPr>
          <w:noProof/>
        </w:rPr>
        <w:fldChar w:fldCharType="separate"/>
      </w:r>
      <w:r>
        <w:rPr>
          <w:noProof/>
        </w:rPr>
        <w:t>1</w:t>
      </w:r>
      <w:r>
        <w:rPr>
          <w:noProof/>
        </w:rPr>
        <w:fldChar w:fldCharType="end"/>
      </w:r>
    </w:p>
    <w:p w:rsidR="00183E97" w:rsidRDefault="00183E97">
      <w:pPr>
        <w:pStyle w:val="TOC2"/>
        <w:rPr>
          <w:rFonts w:asciiTheme="minorHAnsi" w:eastAsiaTheme="minorEastAsia" w:hAnsiTheme="minorHAnsi" w:cstheme="minorBidi"/>
          <w:noProof/>
          <w:color w:val="auto"/>
          <w:szCs w:val="22"/>
        </w:rPr>
      </w:pPr>
      <w:r>
        <w:rPr>
          <w:noProof/>
        </w:rPr>
        <w:t>Aged Care National Antimicrobial Prescribing Survey</w:t>
      </w:r>
      <w:r>
        <w:rPr>
          <w:noProof/>
        </w:rPr>
        <w:tab/>
      </w:r>
      <w:r>
        <w:rPr>
          <w:noProof/>
        </w:rPr>
        <w:fldChar w:fldCharType="begin"/>
      </w:r>
      <w:r>
        <w:rPr>
          <w:noProof/>
        </w:rPr>
        <w:instrText xml:space="preserve"> PAGEREF _Toc451169566 \h </w:instrText>
      </w:r>
      <w:r>
        <w:rPr>
          <w:noProof/>
        </w:rPr>
      </w:r>
      <w:r>
        <w:rPr>
          <w:noProof/>
        </w:rPr>
        <w:fldChar w:fldCharType="separate"/>
      </w:r>
      <w:r>
        <w:rPr>
          <w:noProof/>
        </w:rPr>
        <w:t>2</w:t>
      </w:r>
      <w:r>
        <w:rPr>
          <w:noProof/>
        </w:rPr>
        <w:fldChar w:fldCharType="end"/>
      </w:r>
    </w:p>
    <w:p w:rsidR="00183E97" w:rsidRDefault="00183E97">
      <w:pPr>
        <w:pStyle w:val="TOC1"/>
        <w:rPr>
          <w:rFonts w:asciiTheme="minorHAnsi" w:eastAsiaTheme="minorEastAsia" w:hAnsiTheme="minorHAnsi" w:cstheme="minorBidi"/>
          <w:b w:val="0"/>
          <w:bCs w:val="0"/>
          <w:color w:val="auto"/>
          <w:szCs w:val="22"/>
        </w:rPr>
      </w:pPr>
      <w:r>
        <w:t>Methods</w:t>
      </w:r>
      <w:r>
        <w:tab/>
      </w:r>
      <w:r>
        <w:fldChar w:fldCharType="begin"/>
      </w:r>
      <w:r>
        <w:instrText xml:space="preserve"> PAGEREF _Toc451169567 \h </w:instrText>
      </w:r>
      <w:r>
        <w:fldChar w:fldCharType="separate"/>
      </w:r>
      <w:r>
        <w:t>3</w:t>
      </w:r>
      <w:r>
        <w:fldChar w:fldCharType="end"/>
      </w:r>
    </w:p>
    <w:p w:rsidR="00183E97" w:rsidRDefault="00183E97">
      <w:pPr>
        <w:pStyle w:val="TOC2"/>
        <w:rPr>
          <w:rFonts w:asciiTheme="minorHAnsi" w:eastAsiaTheme="minorEastAsia" w:hAnsiTheme="minorHAnsi" w:cstheme="minorBidi"/>
          <w:noProof/>
          <w:color w:val="auto"/>
          <w:szCs w:val="22"/>
        </w:rPr>
      </w:pPr>
      <w:r>
        <w:rPr>
          <w:noProof/>
        </w:rPr>
        <w:t>Recruitment</w:t>
      </w:r>
      <w:r>
        <w:rPr>
          <w:noProof/>
        </w:rPr>
        <w:tab/>
      </w:r>
      <w:r>
        <w:rPr>
          <w:noProof/>
        </w:rPr>
        <w:fldChar w:fldCharType="begin"/>
      </w:r>
      <w:r>
        <w:rPr>
          <w:noProof/>
        </w:rPr>
        <w:instrText xml:space="preserve"> PAGEREF _Toc451169568 \h </w:instrText>
      </w:r>
      <w:r>
        <w:rPr>
          <w:noProof/>
        </w:rPr>
      </w:r>
      <w:r>
        <w:rPr>
          <w:noProof/>
        </w:rPr>
        <w:fldChar w:fldCharType="separate"/>
      </w:r>
      <w:r>
        <w:rPr>
          <w:noProof/>
        </w:rPr>
        <w:t>3</w:t>
      </w:r>
      <w:r>
        <w:rPr>
          <w:noProof/>
        </w:rPr>
        <w:fldChar w:fldCharType="end"/>
      </w:r>
    </w:p>
    <w:p w:rsidR="00183E97" w:rsidRDefault="00183E97">
      <w:pPr>
        <w:pStyle w:val="TOC2"/>
        <w:rPr>
          <w:rFonts w:asciiTheme="minorHAnsi" w:eastAsiaTheme="minorEastAsia" w:hAnsiTheme="minorHAnsi" w:cstheme="minorBidi"/>
          <w:noProof/>
          <w:color w:val="auto"/>
          <w:szCs w:val="22"/>
        </w:rPr>
      </w:pPr>
      <w:r>
        <w:rPr>
          <w:noProof/>
        </w:rPr>
        <w:t>Survey questions</w:t>
      </w:r>
      <w:r>
        <w:rPr>
          <w:noProof/>
        </w:rPr>
        <w:tab/>
      </w:r>
      <w:r>
        <w:rPr>
          <w:noProof/>
        </w:rPr>
        <w:fldChar w:fldCharType="begin"/>
      </w:r>
      <w:r>
        <w:rPr>
          <w:noProof/>
        </w:rPr>
        <w:instrText xml:space="preserve"> PAGEREF _Toc451169569 \h </w:instrText>
      </w:r>
      <w:r>
        <w:rPr>
          <w:noProof/>
        </w:rPr>
      </w:r>
      <w:r>
        <w:rPr>
          <w:noProof/>
        </w:rPr>
        <w:fldChar w:fldCharType="separate"/>
      </w:r>
      <w:r>
        <w:rPr>
          <w:noProof/>
        </w:rPr>
        <w:t>4</w:t>
      </w:r>
      <w:r>
        <w:rPr>
          <w:noProof/>
        </w:rPr>
        <w:fldChar w:fldCharType="end"/>
      </w:r>
    </w:p>
    <w:p w:rsidR="00183E97" w:rsidRDefault="00183E97">
      <w:pPr>
        <w:pStyle w:val="TOC3"/>
        <w:rPr>
          <w:rFonts w:asciiTheme="minorHAnsi" w:eastAsiaTheme="minorEastAsia" w:hAnsiTheme="minorHAnsi" w:cstheme="minorBidi"/>
          <w:noProof/>
          <w:color w:val="auto"/>
          <w:szCs w:val="22"/>
        </w:rPr>
      </w:pPr>
      <w:r>
        <w:rPr>
          <w:noProof/>
        </w:rPr>
        <w:t>Infection definitions</w:t>
      </w:r>
      <w:r>
        <w:rPr>
          <w:noProof/>
        </w:rPr>
        <w:tab/>
      </w:r>
      <w:r>
        <w:rPr>
          <w:noProof/>
        </w:rPr>
        <w:fldChar w:fldCharType="begin"/>
      </w:r>
      <w:r>
        <w:rPr>
          <w:noProof/>
        </w:rPr>
        <w:instrText xml:space="preserve"> PAGEREF _Toc451169570 \h </w:instrText>
      </w:r>
      <w:r>
        <w:rPr>
          <w:noProof/>
        </w:rPr>
      </w:r>
      <w:r>
        <w:rPr>
          <w:noProof/>
        </w:rPr>
        <w:fldChar w:fldCharType="separate"/>
      </w:r>
      <w:r>
        <w:rPr>
          <w:noProof/>
        </w:rPr>
        <w:t>5</w:t>
      </w:r>
      <w:r>
        <w:rPr>
          <w:noProof/>
        </w:rPr>
        <w:fldChar w:fldCharType="end"/>
      </w:r>
    </w:p>
    <w:p w:rsidR="00183E97" w:rsidRDefault="00183E97">
      <w:pPr>
        <w:pStyle w:val="TOC1"/>
        <w:rPr>
          <w:rFonts w:asciiTheme="minorHAnsi" w:eastAsiaTheme="minorEastAsia" w:hAnsiTheme="minorHAnsi" w:cstheme="minorBidi"/>
          <w:b w:val="0"/>
          <w:bCs w:val="0"/>
          <w:color w:val="auto"/>
          <w:szCs w:val="22"/>
        </w:rPr>
      </w:pPr>
      <w:r>
        <w:t>Results</w:t>
      </w:r>
      <w:r>
        <w:tab/>
      </w:r>
      <w:r w:rsidR="00E52D7D">
        <w:tab/>
      </w:r>
      <w:r>
        <w:fldChar w:fldCharType="begin"/>
      </w:r>
      <w:r>
        <w:instrText xml:space="preserve"> PAGEREF _Toc451169571 \h </w:instrText>
      </w:r>
      <w:r>
        <w:fldChar w:fldCharType="separate"/>
      </w:r>
      <w:r>
        <w:t>7</w:t>
      </w:r>
      <w:r>
        <w:fldChar w:fldCharType="end"/>
      </w:r>
    </w:p>
    <w:p w:rsidR="00183E97" w:rsidRDefault="00183E97">
      <w:pPr>
        <w:pStyle w:val="TOC2"/>
        <w:rPr>
          <w:rFonts w:asciiTheme="minorHAnsi" w:eastAsiaTheme="minorEastAsia" w:hAnsiTheme="minorHAnsi" w:cstheme="minorBidi"/>
          <w:noProof/>
          <w:color w:val="auto"/>
          <w:szCs w:val="22"/>
        </w:rPr>
      </w:pPr>
      <w:r>
        <w:rPr>
          <w:noProof/>
        </w:rPr>
        <w:t>Participating facilities</w:t>
      </w:r>
      <w:r>
        <w:rPr>
          <w:noProof/>
        </w:rPr>
        <w:tab/>
      </w:r>
      <w:r>
        <w:rPr>
          <w:noProof/>
        </w:rPr>
        <w:fldChar w:fldCharType="begin"/>
      </w:r>
      <w:r>
        <w:rPr>
          <w:noProof/>
        </w:rPr>
        <w:instrText xml:space="preserve"> PAGEREF _Toc451169572 \h </w:instrText>
      </w:r>
      <w:r>
        <w:rPr>
          <w:noProof/>
        </w:rPr>
      </w:r>
      <w:r>
        <w:rPr>
          <w:noProof/>
        </w:rPr>
        <w:fldChar w:fldCharType="separate"/>
      </w:r>
      <w:r>
        <w:rPr>
          <w:noProof/>
        </w:rPr>
        <w:t>7</w:t>
      </w:r>
      <w:r>
        <w:rPr>
          <w:noProof/>
        </w:rPr>
        <w:fldChar w:fldCharType="end"/>
      </w:r>
    </w:p>
    <w:p w:rsidR="00183E97" w:rsidRDefault="00183E97">
      <w:pPr>
        <w:pStyle w:val="TOC2"/>
        <w:rPr>
          <w:rFonts w:asciiTheme="minorHAnsi" w:eastAsiaTheme="minorEastAsia" w:hAnsiTheme="minorHAnsi" w:cstheme="minorBidi"/>
          <w:noProof/>
          <w:color w:val="auto"/>
          <w:szCs w:val="22"/>
        </w:rPr>
      </w:pPr>
      <w:r>
        <w:rPr>
          <w:noProof/>
        </w:rPr>
        <w:t>Surveyors</w:t>
      </w:r>
      <w:r>
        <w:rPr>
          <w:noProof/>
        </w:rPr>
        <w:tab/>
      </w:r>
      <w:r>
        <w:rPr>
          <w:noProof/>
        </w:rPr>
        <w:fldChar w:fldCharType="begin"/>
      </w:r>
      <w:r>
        <w:rPr>
          <w:noProof/>
        </w:rPr>
        <w:instrText xml:space="preserve"> PAGEREF _Toc451169573 \h </w:instrText>
      </w:r>
      <w:r>
        <w:rPr>
          <w:noProof/>
        </w:rPr>
      </w:r>
      <w:r>
        <w:rPr>
          <w:noProof/>
        </w:rPr>
        <w:fldChar w:fldCharType="separate"/>
      </w:r>
      <w:r>
        <w:rPr>
          <w:noProof/>
        </w:rPr>
        <w:t>9</w:t>
      </w:r>
      <w:r>
        <w:rPr>
          <w:noProof/>
        </w:rPr>
        <w:fldChar w:fldCharType="end"/>
      </w:r>
    </w:p>
    <w:p w:rsidR="00183E97" w:rsidRDefault="00183E97">
      <w:pPr>
        <w:pStyle w:val="TOC2"/>
        <w:rPr>
          <w:rFonts w:asciiTheme="minorHAnsi" w:eastAsiaTheme="minorEastAsia" w:hAnsiTheme="minorHAnsi" w:cstheme="minorBidi"/>
          <w:noProof/>
          <w:color w:val="auto"/>
          <w:szCs w:val="22"/>
        </w:rPr>
      </w:pPr>
      <w:r>
        <w:rPr>
          <w:noProof/>
        </w:rPr>
        <w:t>Resident data analyses</w:t>
      </w:r>
      <w:r>
        <w:rPr>
          <w:noProof/>
        </w:rPr>
        <w:tab/>
      </w:r>
      <w:r>
        <w:rPr>
          <w:noProof/>
        </w:rPr>
        <w:fldChar w:fldCharType="begin"/>
      </w:r>
      <w:r>
        <w:rPr>
          <w:noProof/>
        </w:rPr>
        <w:instrText xml:space="preserve"> PAGEREF _Toc451169574 \h </w:instrText>
      </w:r>
      <w:r>
        <w:rPr>
          <w:noProof/>
        </w:rPr>
      </w:r>
      <w:r>
        <w:rPr>
          <w:noProof/>
        </w:rPr>
        <w:fldChar w:fldCharType="separate"/>
      </w:r>
      <w:r>
        <w:rPr>
          <w:noProof/>
        </w:rPr>
        <w:t>9</w:t>
      </w:r>
      <w:r>
        <w:rPr>
          <w:noProof/>
        </w:rPr>
        <w:fldChar w:fldCharType="end"/>
      </w:r>
    </w:p>
    <w:p w:rsidR="00183E97" w:rsidRDefault="00183E97">
      <w:pPr>
        <w:pStyle w:val="TOC2"/>
        <w:rPr>
          <w:rFonts w:asciiTheme="minorHAnsi" w:eastAsiaTheme="minorEastAsia" w:hAnsiTheme="minorHAnsi" w:cstheme="minorBidi"/>
          <w:noProof/>
          <w:color w:val="auto"/>
          <w:szCs w:val="22"/>
        </w:rPr>
      </w:pPr>
      <w:r>
        <w:rPr>
          <w:noProof/>
        </w:rPr>
        <w:t>Prevalence of infections</w:t>
      </w:r>
      <w:r>
        <w:rPr>
          <w:noProof/>
        </w:rPr>
        <w:tab/>
      </w:r>
      <w:r>
        <w:rPr>
          <w:noProof/>
        </w:rPr>
        <w:fldChar w:fldCharType="begin"/>
      </w:r>
      <w:r>
        <w:rPr>
          <w:noProof/>
        </w:rPr>
        <w:instrText xml:space="preserve"> PAGEREF _Toc451169575 \h </w:instrText>
      </w:r>
      <w:r>
        <w:rPr>
          <w:noProof/>
        </w:rPr>
      </w:r>
      <w:r>
        <w:rPr>
          <w:noProof/>
        </w:rPr>
        <w:fldChar w:fldCharType="separate"/>
      </w:r>
      <w:r>
        <w:rPr>
          <w:noProof/>
        </w:rPr>
        <w:t>10</w:t>
      </w:r>
      <w:r>
        <w:rPr>
          <w:noProof/>
        </w:rPr>
        <w:fldChar w:fldCharType="end"/>
      </w:r>
    </w:p>
    <w:p w:rsidR="00183E97" w:rsidRDefault="00183E97">
      <w:pPr>
        <w:pStyle w:val="TOC3"/>
        <w:rPr>
          <w:rFonts w:asciiTheme="minorHAnsi" w:eastAsiaTheme="minorEastAsia" w:hAnsiTheme="minorHAnsi" w:cstheme="minorBidi"/>
          <w:noProof/>
          <w:color w:val="auto"/>
          <w:szCs w:val="22"/>
        </w:rPr>
      </w:pPr>
      <w:r>
        <w:rPr>
          <w:noProof/>
        </w:rPr>
        <w:t>Types of infections</w:t>
      </w:r>
      <w:r>
        <w:rPr>
          <w:noProof/>
        </w:rPr>
        <w:tab/>
      </w:r>
      <w:r>
        <w:rPr>
          <w:noProof/>
        </w:rPr>
        <w:fldChar w:fldCharType="begin"/>
      </w:r>
      <w:r>
        <w:rPr>
          <w:noProof/>
        </w:rPr>
        <w:instrText xml:space="preserve"> PAGEREF _Toc451169576 \h </w:instrText>
      </w:r>
      <w:r>
        <w:rPr>
          <w:noProof/>
        </w:rPr>
      </w:r>
      <w:r>
        <w:rPr>
          <w:noProof/>
        </w:rPr>
        <w:fldChar w:fldCharType="separate"/>
      </w:r>
      <w:r>
        <w:rPr>
          <w:noProof/>
        </w:rPr>
        <w:t>10</w:t>
      </w:r>
      <w:r>
        <w:rPr>
          <w:noProof/>
        </w:rPr>
        <w:fldChar w:fldCharType="end"/>
      </w:r>
    </w:p>
    <w:p w:rsidR="00183E97" w:rsidRDefault="00183E97">
      <w:pPr>
        <w:pStyle w:val="TOC2"/>
        <w:rPr>
          <w:rFonts w:asciiTheme="minorHAnsi" w:eastAsiaTheme="minorEastAsia" w:hAnsiTheme="minorHAnsi" w:cstheme="minorBidi"/>
          <w:noProof/>
          <w:color w:val="auto"/>
          <w:szCs w:val="22"/>
        </w:rPr>
      </w:pPr>
      <w:r>
        <w:rPr>
          <w:noProof/>
        </w:rPr>
        <w:t>Antimicrobial use</w:t>
      </w:r>
      <w:r>
        <w:rPr>
          <w:noProof/>
        </w:rPr>
        <w:tab/>
      </w:r>
      <w:r>
        <w:rPr>
          <w:noProof/>
        </w:rPr>
        <w:fldChar w:fldCharType="begin"/>
      </w:r>
      <w:r>
        <w:rPr>
          <w:noProof/>
        </w:rPr>
        <w:instrText xml:space="preserve"> PAGEREF _Toc451169577 \h </w:instrText>
      </w:r>
      <w:r>
        <w:rPr>
          <w:noProof/>
        </w:rPr>
      </w:r>
      <w:r>
        <w:rPr>
          <w:noProof/>
        </w:rPr>
        <w:fldChar w:fldCharType="separate"/>
      </w:r>
      <w:r>
        <w:rPr>
          <w:noProof/>
        </w:rPr>
        <w:t>11</w:t>
      </w:r>
      <w:r>
        <w:rPr>
          <w:noProof/>
        </w:rPr>
        <w:fldChar w:fldCharType="end"/>
      </w:r>
    </w:p>
    <w:p w:rsidR="00183E97" w:rsidRDefault="00183E97">
      <w:pPr>
        <w:pStyle w:val="TOC3"/>
        <w:rPr>
          <w:rFonts w:asciiTheme="minorHAnsi" w:eastAsiaTheme="minorEastAsia" w:hAnsiTheme="minorHAnsi" w:cstheme="minorBidi"/>
          <w:noProof/>
          <w:color w:val="auto"/>
          <w:szCs w:val="22"/>
        </w:rPr>
      </w:pPr>
      <w:r>
        <w:rPr>
          <w:noProof/>
        </w:rPr>
        <w:t>Key results</w:t>
      </w:r>
      <w:r>
        <w:rPr>
          <w:noProof/>
        </w:rPr>
        <w:tab/>
      </w:r>
      <w:r>
        <w:rPr>
          <w:noProof/>
        </w:rPr>
        <w:fldChar w:fldCharType="begin"/>
      </w:r>
      <w:r>
        <w:rPr>
          <w:noProof/>
        </w:rPr>
        <w:instrText xml:space="preserve"> PAGEREF _Toc451169578 \h </w:instrText>
      </w:r>
      <w:r>
        <w:rPr>
          <w:noProof/>
        </w:rPr>
      </w:r>
      <w:r>
        <w:rPr>
          <w:noProof/>
        </w:rPr>
        <w:fldChar w:fldCharType="separate"/>
      </w:r>
      <w:r>
        <w:rPr>
          <w:noProof/>
        </w:rPr>
        <w:t>11</w:t>
      </w:r>
      <w:r>
        <w:rPr>
          <w:noProof/>
        </w:rPr>
        <w:fldChar w:fldCharType="end"/>
      </w:r>
    </w:p>
    <w:p w:rsidR="00183E97" w:rsidRDefault="00183E97">
      <w:pPr>
        <w:pStyle w:val="TOC3"/>
        <w:rPr>
          <w:rFonts w:asciiTheme="minorHAnsi" w:eastAsiaTheme="minorEastAsia" w:hAnsiTheme="minorHAnsi" w:cstheme="minorBidi"/>
          <w:noProof/>
          <w:color w:val="auto"/>
          <w:szCs w:val="22"/>
        </w:rPr>
      </w:pPr>
      <w:r>
        <w:rPr>
          <w:noProof/>
        </w:rPr>
        <w:t>Prolonged duration of antimicrobial use</w:t>
      </w:r>
      <w:r>
        <w:rPr>
          <w:noProof/>
        </w:rPr>
        <w:tab/>
      </w:r>
      <w:r>
        <w:rPr>
          <w:noProof/>
        </w:rPr>
        <w:fldChar w:fldCharType="begin"/>
      </w:r>
      <w:r>
        <w:rPr>
          <w:noProof/>
        </w:rPr>
        <w:instrText xml:space="preserve"> PAGEREF _Toc451169579 \h </w:instrText>
      </w:r>
      <w:r>
        <w:rPr>
          <w:noProof/>
        </w:rPr>
      </w:r>
      <w:r>
        <w:rPr>
          <w:noProof/>
        </w:rPr>
        <w:fldChar w:fldCharType="separate"/>
      </w:r>
      <w:r>
        <w:rPr>
          <w:noProof/>
        </w:rPr>
        <w:t>12</w:t>
      </w:r>
      <w:r>
        <w:rPr>
          <w:noProof/>
        </w:rPr>
        <w:fldChar w:fldCharType="end"/>
      </w:r>
    </w:p>
    <w:p w:rsidR="00183E97" w:rsidRDefault="00183E97">
      <w:pPr>
        <w:pStyle w:val="TOC3"/>
        <w:rPr>
          <w:rFonts w:asciiTheme="minorHAnsi" w:eastAsiaTheme="minorEastAsia" w:hAnsiTheme="minorHAnsi" w:cstheme="minorBidi"/>
          <w:noProof/>
          <w:color w:val="auto"/>
          <w:szCs w:val="22"/>
        </w:rPr>
      </w:pPr>
      <w:r>
        <w:rPr>
          <w:noProof/>
        </w:rPr>
        <w:t>Mode of prescription</w:t>
      </w:r>
      <w:r>
        <w:rPr>
          <w:noProof/>
        </w:rPr>
        <w:tab/>
      </w:r>
      <w:r>
        <w:rPr>
          <w:noProof/>
        </w:rPr>
        <w:fldChar w:fldCharType="begin"/>
      </w:r>
      <w:r>
        <w:rPr>
          <w:noProof/>
        </w:rPr>
        <w:instrText xml:space="preserve"> PAGEREF _Toc451169580 \h </w:instrText>
      </w:r>
      <w:r>
        <w:rPr>
          <w:noProof/>
        </w:rPr>
      </w:r>
      <w:r>
        <w:rPr>
          <w:noProof/>
        </w:rPr>
        <w:fldChar w:fldCharType="separate"/>
      </w:r>
      <w:r>
        <w:rPr>
          <w:noProof/>
        </w:rPr>
        <w:t>12</w:t>
      </w:r>
      <w:r>
        <w:rPr>
          <w:noProof/>
        </w:rPr>
        <w:fldChar w:fldCharType="end"/>
      </w:r>
    </w:p>
    <w:p w:rsidR="00183E97" w:rsidRDefault="00183E97">
      <w:pPr>
        <w:pStyle w:val="TOC3"/>
        <w:rPr>
          <w:rFonts w:asciiTheme="minorHAnsi" w:eastAsiaTheme="minorEastAsia" w:hAnsiTheme="minorHAnsi" w:cstheme="minorBidi"/>
          <w:noProof/>
          <w:color w:val="auto"/>
          <w:szCs w:val="22"/>
        </w:rPr>
      </w:pPr>
      <w:r>
        <w:rPr>
          <w:noProof/>
        </w:rPr>
        <w:t>Most commonly prescribed antimicrobials</w:t>
      </w:r>
      <w:r>
        <w:rPr>
          <w:noProof/>
        </w:rPr>
        <w:tab/>
      </w:r>
      <w:r>
        <w:rPr>
          <w:noProof/>
        </w:rPr>
        <w:fldChar w:fldCharType="begin"/>
      </w:r>
      <w:r>
        <w:rPr>
          <w:noProof/>
        </w:rPr>
        <w:instrText xml:space="preserve"> PAGEREF _Toc451169581 \h </w:instrText>
      </w:r>
      <w:r>
        <w:rPr>
          <w:noProof/>
        </w:rPr>
      </w:r>
      <w:r>
        <w:rPr>
          <w:noProof/>
        </w:rPr>
        <w:fldChar w:fldCharType="separate"/>
      </w:r>
      <w:r>
        <w:rPr>
          <w:noProof/>
        </w:rPr>
        <w:t>13</w:t>
      </w:r>
      <w:r>
        <w:rPr>
          <w:noProof/>
        </w:rPr>
        <w:fldChar w:fldCharType="end"/>
      </w:r>
    </w:p>
    <w:p w:rsidR="00183E97" w:rsidRDefault="00183E97">
      <w:pPr>
        <w:pStyle w:val="TOC3"/>
        <w:rPr>
          <w:rFonts w:asciiTheme="minorHAnsi" w:eastAsiaTheme="minorEastAsia" w:hAnsiTheme="minorHAnsi" w:cstheme="minorBidi"/>
          <w:noProof/>
          <w:color w:val="auto"/>
          <w:szCs w:val="22"/>
        </w:rPr>
      </w:pPr>
      <w:r>
        <w:rPr>
          <w:noProof/>
        </w:rPr>
        <w:t>Most common indications for prescribing antimicrobials</w:t>
      </w:r>
      <w:r>
        <w:rPr>
          <w:noProof/>
        </w:rPr>
        <w:tab/>
      </w:r>
      <w:r>
        <w:rPr>
          <w:noProof/>
        </w:rPr>
        <w:fldChar w:fldCharType="begin"/>
      </w:r>
      <w:r>
        <w:rPr>
          <w:noProof/>
        </w:rPr>
        <w:instrText xml:space="preserve"> PAGEREF _Toc451169582 \h </w:instrText>
      </w:r>
      <w:r>
        <w:rPr>
          <w:noProof/>
        </w:rPr>
      </w:r>
      <w:r>
        <w:rPr>
          <w:noProof/>
        </w:rPr>
        <w:fldChar w:fldCharType="separate"/>
      </w:r>
      <w:r>
        <w:rPr>
          <w:noProof/>
        </w:rPr>
        <w:t>14</w:t>
      </w:r>
      <w:r>
        <w:rPr>
          <w:noProof/>
        </w:rPr>
        <w:fldChar w:fldCharType="end"/>
      </w:r>
    </w:p>
    <w:p w:rsidR="00183E97" w:rsidRDefault="00183E97">
      <w:pPr>
        <w:pStyle w:val="TOC3"/>
        <w:rPr>
          <w:rFonts w:asciiTheme="minorHAnsi" w:eastAsiaTheme="minorEastAsia" w:hAnsiTheme="minorHAnsi" w:cstheme="minorBidi"/>
          <w:noProof/>
          <w:color w:val="auto"/>
          <w:szCs w:val="22"/>
        </w:rPr>
      </w:pPr>
      <w:r>
        <w:rPr>
          <w:noProof/>
        </w:rPr>
        <w:t>Microbiology</w:t>
      </w:r>
      <w:r>
        <w:rPr>
          <w:noProof/>
        </w:rPr>
        <w:tab/>
      </w:r>
      <w:r>
        <w:rPr>
          <w:noProof/>
        </w:rPr>
        <w:fldChar w:fldCharType="begin"/>
      </w:r>
      <w:r>
        <w:rPr>
          <w:noProof/>
        </w:rPr>
        <w:instrText xml:space="preserve"> PAGEREF _Toc451169583 \h </w:instrText>
      </w:r>
      <w:r>
        <w:rPr>
          <w:noProof/>
        </w:rPr>
      </w:r>
      <w:r>
        <w:rPr>
          <w:noProof/>
        </w:rPr>
        <w:fldChar w:fldCharType="separate"/>
      </w:r>
      <w:r>
        <w:rPr>
          <w:noProof/>
        </w:rPr>
        <w:t>16</w:t>
      </w:r>
      <w:r>
        <w:rPr>
          <w:noProof/>
        </w:rPr>
        <w:fldChar w:fldCharType="end"/>
      </w:r>
    </w:p>
    <w:p w:rsidR="00183E97" w:rsidRDefault="00183E97">
      <w:pPr>
        <w:pStyle w:val="TOC3"/>
        <w:rPr>
          <w:rFonts w:asciiTheme="minorHAnsi" w:eastAsiaTheme="minorEastAsia" w:hAnsiTheme="minorHAnsi" w:cstheme="minorBidi"/>
          <w:noProof/>
          <w:color w:val="auto"/>
          <w:szCs w:val="22"/>
        </w:rPr>
      </w:pPr>
      <w:r>
        <w:rPr>
          <w:noProof/>
        </w:rPr>
        <w:t>Appropriateness of prescribing</w:t>
      </w:r>
      <w:r>
        <w:rPr>
          <w:noProof/>
        </w:rPr>
        <w:tab/>
      </w:r>
      <w:r>
        <w:rPr>
          <w:noProof/>
        </w:rPr>
        <w:fldChar w:fldCharType="begin"/>
      </w:r>
      <w:r>
        <w:rPr>
          <w:noProof/>
        </w:rPr>
        <w:instrText xml:space="preserve"> PAGEREF _Toc451169584 \h </w:instrText>
      </w:r>
      <w:r>
        <w:rPr>
          <w:noProof/>
        </w:rPr>
      </w:r>
      <w:r>
        <w:rPr>
          <w:noProof/>
        </w:rPr>
        <w:fldChar w:fldCharType="separate"/>
      </w:r>
      <w:r>
        <w:rPr>
          <w:noProof/>
        </w:rPr>
        <w:t>17</w:t>
      </w:r>
      <w:r>
        <w:rPr>
          <w:noProof/>
        </w:rPr>
        <w:fldChar w:fldCharType="end"/>
      </w:r>
    </w:p>
    <w:p w:rsidR="00183E97" w:rsidRDefault="00183E97">
      <w:pPr>
        <w:pStyle w:val="TOC1"/>
        <w:rPr>
          <w:rFonts w:asciiTheme="minorHAnsi" w:eastAsiaTheme="minorEastAsia" w:hAnsiTheme="minorHAnsi" w:cstheme="minorBidi"/>
          <w:b w:val="0"/>
          <w:bCs w:val="0"/>
          <w:color w:val="auto"/>
          <w:szCs w:val="22"/>
        </w:rPr>
      </w:pPr>
      <w:r>
        <w:t>Participant feedback</w:t>
      </w:r>
      <w:r>
        <w:tab/>
      </w:r>
      <w:r>
        <w:fldChar w:fldCharType="begin"/>
      </w:r>
      <w:r>
        <w:instrText xml:space="preserve"> PAGEREF _Toc451169585 \h </w:instrText>
      </w:r>
      <w:r>
        <w:fldChar w:fldCharType="separate"/>
      </w:r>
      <w:r>
        <w:t>19</w:t>
      </w:r>
      <w:r>
        <w:fldChar w:fldCharType="end"/>
      </w:r>
    </w:p>
    <w:p w:rsidR="00183E97" w:rsidRDefault="00183E97">
      <w:pPr>
        <w:pStyle w:val="TOC1"/>
        <w:rPr>
          <w:rFonts w:asciiTheme="minorHAnsi" w:eastAsiaTheme="minorEastAsia" w:hAnsiTheme="minorHAnsi" w:cstheme="minorBidi"/>
          <w:b w:val="0"/>
          <w:bCs w:val="0"/>
          <w:color w:val="auto"/>
          <w:szCs w:val="22"/>
        </w:rPr>
      </w:pPr>
      <w:r>
        <w:t>Conclusion</w:t>
      </w:r>
      <w:r>
        <w:tab/>
      </w:r>
      <w:r>
        <w:fldChar w:fldCharType="begin"/>
      </w:r>
      <w:r>
        <w:instrText xml:space="preserve"> PAGEREF _Toc451169586 \h </w:instrText>
      </w:r>
      <w:r>
        <w:fldChar w:fldCharType="separate"/>
      </w:r>
      <w:r>
        <w:t>20</w:t>
      </w:r>
      <w:r>
        <w:fldChar w:fldCharType="end"/>
      </w:r>
    </w:p>
    <w:p w:rsidR="00183E97" w:rsidRDefault="00183E97">
      <w:pPr>
        <w:pStyle w:val="TOC1"/>
        <w:tabs>
          <w:tab w:val="left" w:pos="1440"/>
        </w:tabs>
        <w:rPr>
          <w:rFonts w:asciiTheme="minorHAnsi" w:eastAsiaTheme="minorEastAsia" w:hAnsiTheme="minorHAnsi" w:cstheme="minorBidi"/>
          <w:b w:val="0"/>
          <w:bCs w:val="0"/>
          <w:color w:val="auto"/>
          <w:szCs w:val="22"/>
        </w:rPr>
      </w:pPr>
      <w:r>
        <w:t>Appendix 1</w:t>
      </w:r>
      <w:r>
        <w:rPr>
          <w:rFonts w:asciiTheme="minorHAnsi" w:eastAsiaTheme="minorEastAsia" w:hAnsiTheme="minorHAnsi" w:cstheme="minorBidi"/>
          <w:b w:val="0"/>
          <w:bCs w:val="0"/>
          <w:color w:val="auto"/>
          <w:szCs w:val="22"/>
        </w:rPr>
        <w:tab/>
      </w:r>
      <w:r>
        <w:t>RACF form</w:t>
      </w:r>
      <w:r>
        <w:tab/>
      </w:r>
      <w:r>
        <w:fldChar w:fldCharType="begin"/>
      </w:r>
      <w:r>
        <w:instrText xml:space="preserve"> PAGEREF _Toc451169587 \h </w:instrText>
      </w:r>
      <w:r>
        <w:fldChar w:fldCharType="separate"/>
      </w:r>
      <w:r>
        <w:t>21</w:t>
      </w:r>
      <w:r>
        <w:fldChar w:fldCharType="end"/>
      </w:r>
    </w:p>
    <w:p w:rsidR="00183E97" w:rsidRDefault="00183E97">
      <w:pPr>
        <w:pStyle w:val="TOC1"/>
        <w:rPr>
          <w:rFonts w:asciiTheme="minorHAnsi" w:eastAsiaTheme="minorEastAsia" w:hAnsiTheme="minorHAnsi" w:cstheme="minorBidi"/>
          <w:b w:val="0"/>
          <w:bCs w:val="0"/>
          <w:color w:val="auto"/>
          <w:szCs w:val="22"/>
        </w:rPr>
      </w:pPr>
      <w:r>
        <w:lastRenderedPageBreak/>
        <w:t>Glossary</w:t>
      </w:r>
      <w:r>
        <w:tab/>
      </w:r>
      <w:r>
        <w:fldChar w:fldCharType="begin"/>
      </w:r>
      <w:r>
        <w:instrText xml:space="preserve"> PAGEREF _Toc451169588 \h </w:instrText>
      </w:r>
      <w:r>
        <w:fldChar w:fldCharType="separate"/>
      </w:r>
      <w:r>
        <w:t>26</w:t>
      </w:r>
      <w:r>
        <w:fldChar w:fldCharType="end"/>
      </w:r>
    </w:p>
    <w:p w:rsidR="00183E97" w:rsidRDefault="00183E97">
      <w:pPr>
        <w:pStyle w:val="TOC1"/>
        <w:rPr>
          <w:rFonts w:asciiTheme="minorHAnsi" w:eastAsiaTheme="minorEastAsia" w:hAnsiTheme="minorHAnsi" w:cstheme="minorBidi"/>
          <w:b w:val="0"/>
          <w:bCs w:val="0"/>
          <w:color w:val="auto"/>
          <w:szCs w:val="22"/>
        </w:rPr>
      </w:pPr>
      <w:r>
        <w:t>References</w:t>
      </w:r>
      <w:r>
        <w:tab/>
      </w:r>
      <w:r>
        <w:fldChar w:fldCharType="begin"/>
      </w:r>
      <w:r>
        <w:instrText xml:space="preserve"> PAGEREF _Toc451169589 \h </w:instrText>
      </w:r>
      <w:r>
        <w:fldChar w:fldCharType="separate"/>
      </w:r>
      <w:r>
        <w:t>29</w:t>
      </w:r>
      <w:r>
        <w:fldChar w:fldCharType="end"/>
      </w:r>
    </w:p>
    <w:p w:rsidR="00F87897" w:rsidRPr="00A136DC" w:rsidRDefault="00183E97" w:rsidP="00183E97">
      <w:pPr>
        <w:pStyle w:val="Heading1"/>
      </w:pPr>
      <w:r>
        <w:rPr>
          <w:b w:val="0"/>
          <w:bCs w:val="0"/>
          <w:noProof/>
        </w:rPr>
        <w:lastRenderedPageBreak/>
        <w:fldChar w:fldCharType="end"/>
      </w:r>
      <w:bookmarkStart w:id="0" w:name="_Toc451169561"/>
      <w:r w:rsidR="00F87897">
        <w:t>Abbreviations</w:t>
      </w:r>
      <w:bookmarkEnd w:id="0"/>
    </w:p>
    <w:p w:rsidR="00A136DC" w:rsidRPr="00A136DC" w:rsidRDefault="00A136DC" w:rsidP="00A136DC">
      <w:r w:rsidRPr="00A136DC">
        <w:t>acNAPS</w:t>
      </w:r>
      <w:r w:rsidRPr="00A136DC">
        <w:tab/>
      </w:r>
      <w:r>
        <w:tab/>
      </w:r>
      <w:r w:rsidRPr="00A136DC">
        <w:t>Aged Care National Antimicrobial Prescribing Survey</w:t>
      </w:r>
    </w:p>
    <w:p w:rsidR="00A136DC" w:rsidRPr="00A136DC" w:rsidRDefault="00A136DC" w:rsidP="00A136DC">
      <w:r w:rsidRPr="00A136DC">
        <w:t>AMR</w:t>
      </w:r>
      <w:r w:rsidRPr="00A136DC">
        <w:tab/>
      </w:r>
      <w:r>
        <w:tab/>
      </w:r>
      <w:r w:rsidRPr="00A136DC">
        <w:t>antimicrobial resistance</w:t>
      </w:r>
    </w:p>
    <w:p w:rsidR="00A136DC" w:rsidRPr="00A136DC" w:rsidRDefault="00A136DC" w:rsidP="00A136DC">
      <w:r w:rsidRPr="00A136DC">
        <w:t>AMS</w:t>
      </w:r>
      <w:r w:rsidRPr="00A136DC">
        <w:tab/>
      </w:r>
      <w:r>
        <w:tab/>
      </w:r>
      <w:r w:rsidRPr="00A136DC">
        <w:t>antimicrobial stewardship</w:t>
      </w:r>
    </w:p>
    <w:p w:rsidR="00A136DC" w:rsidRPr="00A136DC" w:rsidRDefault="00A136DC" w:rsidP="00A136DC">
      <w:r w:rsidRPr="00A136DC">
        <w:t>MPS</w:t>
      </w:r>
      <w:r w:rsidRPr="00A136DC">
        <w:tab/>
      </w:r>
      <w:r>
        <w:tab/>
      </w:r>
      <w:r w:rsidRPr="00A136DC">
        <w:t>multipurpose service</w:t>
      </w:r>
    </w:p>
    <w:p w:rsidR="00A136DC" w:rsidRPr="00A136DC" w:rsidRDefault="00A136DC" w:rsidP="00A136DC">
      <w:r w:rsidRPr="00A136DC">
        <w:t>NCAS</w:t>
      </w:r>
      <w:r w:rsidRPr="00A136DC">
        <w:tab/>
      </w:r>
      <w:r>
        <w:tab/>
      </w:r>
      <w:r w:rsidRPr="00A136DC">
        <w:t>National Centre for Antimicrobial Stewardship</w:t>
      </w:r>
    </w:p>
    <w:p w:rsidR="00A136DC" w:rsidRPr="00A136DC" w:rsidRDefault="00A136DC" w:rsidP="00A136DC">
      <w:r w:rsidRPr="00A136DC">
        <w:t>RACF</w:t>
      </w:r>
      <w:r w:rsidRPr="00A136DC">
        <w:tab/>
      </w:r>
      <w:r>
        <w:tab/>
      </w:r>
      <w:r w:rsidRPr="00A136DC">
        <w:t xml:space="preserve">residential aged care facility </w:t>
      </w:r>
    </w:p>
    <w:p w:rsidR="00A136DC" w:rsidRPr="00A136DC" w:rsidRDefault="00A136DC" w:rsidP="00A136DC">
      <w:r w:rsidRPr="00A136DC">
        <w:t>RICPRAC</w:t>
      </w:r>
      <w:r w:rsidRPr="00A136DC">
        <w:tab/>
        <w:t>Rural Infection Control Practice Group</w:t>
      </w:r>
    </w:p>
    <w:p w:rsidR="00A136DC" w:rsidRDefault="00A136DC" w:rsidP="00A136DC">
      <w:r w:rsidRPr="00A136DC">
        <w:t>VICNISS</w:t>
      </w:r>
      <w:r w:rsidRPr="00A136DC">
        <w:tab/>
      </w:r>
      <w:r w:rsidR="00933CD0">
        <w:tab/>
      </w:r>
      <w:r w:rsidRPr="00A136DC">
        <w:t>Victorian Healthcare Associated Infection Surveillance</w:t>
      </w:r>
    </w:p>
    <w:p w:rsidR="00F87897" w:rsidRDefault="00F87897">
      <w:pPr>
        <w:pStyle w:val="Heading1"/>
      </w:pPr>
      <w:bookmarkStart w:id="1" w:name="_Toc451169562"/>
      <w:r>
        <w:lastRenderedPageBreak/>
        <w:t>Executive summary</w:t>
      </w:r>
      <w:bookmarkEnd w:id="1"/>
    </w:p>
    <w:p w:rsidR="00F87897" w:rsidRDefault="00F87897">
      <w:r>
        <w:t>Antimicrobial resistance (AMR) was recently stated by the World Health Organization to be one of the greatest threats to human health. AMR reduces the effective prevention and treatment of an increasing range of infections caused by bacteria, viruses, parasites and fungi. These include orga</w:t>
      </w:r>
      <w:r>
        <w:t>n</w:t>
      </w:r>
      <w:r>
        <w:t xml:space="preserve">isms causing common infections such as urinary tract infections and pneumonia. </w:t>
      </w:r>
    </w:p>
    <w:p w:rsidR="00F87897" w:rsidRDefault="00F87897">
      <w:r>
        <w:t>Evidence shows a correlation between AMR and antimicrobial use. For this reason, frequent and i</w:t>
      </w:r>
      <w:r>
        <w:t>n</w:t>
      </w:r>
      <w:r>
        <w:t>appropriate use of antimicrobials in residential aged care facilities (RACFs) is especially concerning. In RACFs with high antimicrobial use, there is an increased risk for all residents of acquiring an ant</w:t>
      </w:r>
      <w:r>
        <w:t>i</w:t>
      </w:r>
      <w:r>
        <w:t xml:space="preserve">microbial-resistant infection; this includes residents who are not receiving antimicrobial therapy, because of the potential for cross-transmission among residents. </w:t>
      </w:r>
    </w:p>
    <w:p w:rsidR="00F87897" w:rsidRDefault="00F87897">
      <w:r>
        <w:t xml:space="preserve">Australia’s first </w:t>
      </w:r>
      <w:r>
        <w:rPr>
          <w:rStyle w:val="Emphasis"/>
          <w:rFonts w:cs="Gotham-Book"/>
        </w:rPr>
        <w:t>National Antimicrobial Resistance Strategy (2015–2019)</w:t>
      </w:r>
      <w:r>
        <w:t xml:space="preserve"> acknowledges that action is required in all settings where antimicrobials are used, if the level of AMR in Australia is to be su</w:t>
      </w:r>
      <w:r>
        <w:t>c</w:t>
      </w:r>
      <w:r>
        <w:t xml:space="preserve">cessfully controlled. </w:t>
      </w:r>
    </w:p>
    <w:p w:rsidR="00F87897" w:rsidRDefault="00F87897">
      <w:r>
        <w:rPr>
          <w:spacing w:val="-1"/>
        </w:rPr>
        <w:t>Antimicrobial stewardship (AMS) programs have been introduced in many countries to optimise a</w:t>
      </w:r>
      <w:r>
        <w:rPr>
          <w:spacing w:val="-1"/>
        </w:rPr>
        <w:t>p</w:t>
      </w:r>
      <w:r>
        <w:rPr>
          <w:spacing w:val="-1"/>
        </w:rPr>
        <w:t>propriate antimicrobial use to improve patient outcomes, ensure cost-effective therapy and reduce adverse sequelae of antimicrobial use, including AMR. A core element of AMS programs is survei</w:t>
      </w:r>
      <w:r>
        <w:rPr>
          <w:spacing w:val="-1"/>
        </w:rPr>
        <w:t>l</w:t>
      </w:r>
      <w:r>
        <w:rPr>
          <w:spacing w:val="-1"/>
        </w:rPr>
        <w:t xml:space="preserve">lance of infections and antimicrobial use. Since 2013, Australian hospitals have been able to audit their antimicrobial use using a standardised national survey instrument, the National Antimicrobial Prescribing Survey. </w:t>
      </w:r>
    </w:p>
    <w:p w:rsidR="00F87897" w:rsidRDefault="00F87897">
      <w:r>
        <w:t>The Aged Care National Antimicrobial Prescribing Survey (acNAPS) pilot was a collaborative project between the National Centre for Antimicrobial Stewardship (NCAS), the Guidance Group and the Victorian Healthcare Associated Infection Surveillance Coordinating Centre. The pilot was supported by funding from the Australian Commission on Safety and Quality in Health Care (the Commission) under the Antimicrobial Use and Resistance in Australia project.</w:t>
      </w:r>
    </w:p>
    <w:p w:rsidR="00F87897" w:rsidRDefault="00F87897">
      <w:pPr>
        <w:pStyle w:val="NormalBeforeBullet"/>
      </w:pPr>
      <w:r>
        <w:t>The aim of the acNAPS pilot was to develop a sustainable and standardised survey instrument to monitor the prevalence of infections and antimicrobial use in Australian RACFs. The survey’s long-term aims are to support an AMS program by:</w:t>
      </w:r>
    </w:p>
    <w:p w:rsidR="00F87897" w:rsidRDefault="00F87897" w:rsidP="00E23843">
      <w:pPr>
        <w:pStyle w:val="Bullet"/>
      </w:pPr>
      <w:r>
        <w:t>monitoring the prevalence of infections and antimicrobial prescribing trends at a local, regional, state and national level</w:t>
      </w:r>
    </w:p>
    <w:p w:rsidR="00F87897" w:rsidRDefault="00F87897" w:rsidP="002A1FC0">
      <w:pPr>
        <w:pStyle w:val="BulletLast"/>
      </w:pPr>
      <w:r>
        <w:t>establishing acNAPS as an annual reporting mechanism for AMR in RACFs</w:t>
      </w:r>
      <w:r w:rsidR="00A136DC">
        <w:t xml:space="preserve"> </w:t>
      </w:r>
      <w:r>
        <w:t>identifying priority a</w:t>
      </w:r>
      <w:r>
        <w:t>r</w:t>
      </w:r>
      <w:r>
        <w:t xml:space="preserve">eas for quality </w:t>
      </w:r>
      <w:r w:rsidR="00A136DC">
        <w:t>i</w:t>
      </w:r>
      <w:r>
        <w:t>mprovement interventions to increase the proportion of antimicrobials that are appropriately used.</w:t>
      </w:r>
    </w:p>
    <w:p w:rsidR="00F87897" w:rsidRDefault="00F87897">
      <w:r>
        <w:t>Across Australia, 186 RACFs participated in the acNAPS pilot between June and August 2015. Ind</w:t>
      </w:r>
      <w:r>
        <w:t>i</w:t>
      </w:r>
      <w:r>
        <w:t xml:space="preserve">vidual facilities conducted a single-day (point prevalence) survey. All states, remoteness areas and provider types were represented. Of the participating RACFs, 69.9% were in Victoria. The majority of these Victorian RACFs had previously participated in similar state-based point prevalence surveys coordinated by the VICNISS Coordinating Centre and the Rural Infection Control Practice Group. </w:t>
      </w:r>
    </w:p>
    <w:p w:rsidR="00A136DC" w:rsidRDefault="00F87897">
      <w:r>
        <w:rPr>
          <w:spacing w:val="-1"/>
          <w:w w:val="99"/>
        </w:rPr>
        <w:t>Infection control practitioners (57.5%), nurses (35.5%) and pharmacists (11.0%) were the main surve</w:t>
      </w:r>
      <w:r>
        <w:rPr>
          <w:spacing w:val="-1"/>
          <w:w w:val="99"/>
        </w:rPr>
        <w:t>y</w:t>
      </w:r>
      <w:r>
        <w:rPr>
          <w:spacing w:val="-1"/>
          <w:w w:val="99"/>
        </w:rPr>
        <w:t>ors. All residents were assessed against the inclusion criteria – that is, on the survey day, they had signs or symptoms of a suspected or confirmed infection, and/or a current prescription for antimicrobial therapy. Data was collected from a range of sources (e.g. resident medical histories and medication charts) and submitted to NCAS through the online data entry portal.</w:t>
      </w:r>
    </w:p>
    <w:p w:rsidR="00F87897" w:rsidRDefault="00F87897">
      <w:r>
        <w:lastRenderedPageBreak/>
        <w:t>Summary findings from the 2015 acNAPS pilot show that the prevalence of RACF residents with signs and symptoms of infection was 4.5%. The prevalence of residents prescribed one or more antim</w:t>
      </w:r>
      <w:r>
        <w:t>i</w:t>
      </w:r>
      <w:r>
        <w:t xml:space="preserve">crobials was 11.3%. In total, 975 antimicrobials were prescribed for 824 residents. The five most commonly prescribed antimicrobials were cephalexin (16.7%), clotrimazole (16.5%), amoxicillin–clavulanate (6.5%), trimethoprim (6.5%) and chloramphenicol (6.4%). Topical antimicrobials were frequently prescribed (37.1%). The five most common indications for antimicrobial prescribing were ‘unspecified’ (i.e. not otherwise classified) skin, soft tissue or mucosal infections (17.5%); urinary tract infections (16.7%); lower respiratory tract infections (11.8%); tinea (8.4%); and conjunctivitis (5.2%). </w:t>
      </w:r>
    </w:p>
    <w:p w:rsidR="00F87897" w:rsidRDefault="00F87897">
      <w:pPr>
        <w:pStyle w:val="NormalBeforeBullet"/>
      </w:pPr>
      <w:r>
        <w:t>The 2015 acNAPS results identified three key areas for targeted quality improvement interventions:</w:t>
      </w:r>
    </w:p>
    <w:p w:rsidR="00F87897" w:rsidRPr="00A136DC" w:rsidRDefault="00F87897" w:rsidP="00A136DC">
      <w:pPr>
        <w:pStyle w:val="BulletBeforeDash"/>
      </w:pPr>
      <w:r>
        <w:t>inadequate documentation</w:t>
      </w:r>
    </w:p>
    <w:p w:rsidR="00F87897" w:rsidRDefault="00F87897">
      <w:pPr>
        <w:pStyle w:val="Dash"/>
      </w:pPr>
      <w:r>
        <w:t>31.6% of prescriptions did not have an indication documented justifying their use</w:t>
      </w:r>
    </w:p>
    <w:p w:rsidR="00F87897" w:rsidRDefault="00F87897">
      <w:pPr>
        <w:pStyle w:val="DashLast"/>
      </w:pPr>
      <w:r>
        <w:t>65.0% of prescriptions did not have a review or stop date documented</w:t>
      </w:r>
    </w:p>
    <w:p w:rsidR="00F87897" w:rsidRDefault="00F87897">
      <w:pPr>
        <w:pStyle w:val="BulletBeforeDash"/>
        <w:ind w:left="360" w:hanging="360"/>
      </w:pPr>
      <w:r>
        <w:t>use of antimicrobials for unspecified infections</w:t>
      </w:r>
    </w:p>
    <w:p w:rsidR="00F87897" w:rsidRDefault="00F87897">
      <w:pPr>
        <w:pStyle w:val="DashLast"/>
      </w:pPr>
      <w:r>
        <w:t>17.5% of antimicrobials were being used for unspecified skin infections</w:t>
      </w:r>
    </w:p>
    <w:p w:rsidR="00F87897" w:rsidRDefault="00F87897">
      <w:pPr>
        <w:pStyle w:val="BulletBeforeDash"/>
        <w:ind w:left="360" w:hanging="360"/>
      </w:pPr>
      <w:r>
        <w:t xml:space="preserve">prolonged duration of prescriptions </w:t>
      </w:r>
    </w:p>
    <w:p w:rsidR="00F87897" w:rsidRDefault="00F87897">
      <w:pPr>
        <w:pStyle w:val="DashLastSpace"/>
      </w:pPr>
      <w:r>
        <w:t>31.4% of prescriptions had been prescribed for longer than six months; of these, only 51.0% had an indication documented, and only 2.0% had a review or stop date recorded.</w:t>
      </w:r>
    </w:p>
    <w:p w:rsidR="00F87897" w:rsidRDefault="00F87897">
      <w:pPr>
        <w:pStyle w:val="NormalBeforeBullet"/>
      </w:pPr>
      <w:r>
        <w:t>Additional information regarding microbiology, and infection signs and symptoms was collected for a subset of prescriptions that had a known start date, were prescribed within six months of the survey date and were not prescribed for prophylaxis. Of these 548 prescriptions:</w:t>
      </w:r>
    </w:p>
    <w:p w:rsidR="00F87897" w:rsidRDefault="00F87897">
      <w:pPr>
        <w:pStyle w:val="Bullet"/>
      </w:pPr>
      <w:r>
        <w:t>only 23.9% had a microbiological specimen collected in the week before the antimicrobial start date</w:t>
      </w:r>
    </w:p>
    <w:p w:rsidR="00F87897" w:rsidRDefault="00F87897">
      <w:pPr>
        <w:pStyle w:val="BulletLast"/>
      </w:pPr>
      <w:r>
        <w:t>21.7% were prescribed for residents who did not have any documented signs or symptoms of infection in the week before the antimicrobial start date. For those prescriptions where signs or symptoms were documented, 66.4% did not meet the McGeer infection criteria (a set of inte</w:t>
      </w:r>
      <w:r>
        <w:t>r</w:t>
      </w:r>
      <w:r>
        <w:t xml:space="preserve">nationally recognised infection definitions and criteria specifically developed for use in RACFs). </w:t>
      </w:r>
    </w:p>
    <w:p w:rsidR="00F87897" w:rsidRDefault="00F87897">
      <w:pPr>
        <w:pStyle w:val="NormalBeforeBullet"/>
      </w:pPr>
      <w:r>
        <w:t>Participant feedback was positive. Most RACFs indicated that they would participate in the survey again and were satisfied with the amount of data that they were required to collect. Suggestions for improving the survey included:</w:t>
      </w:r>
    </w:p>
    <w:p w:rsidR="00F87897" w:rsidRDefault="00F87897">
      <w:pPr>
        <w:pStyle w:val="Bullet"/>
      </w:pPr>
      <w:r>
        <w:t>increasing the clarity of the data collection forms</w:t>
      </w:r>
    </w:p>
    <w:p w:rsidR="00F87897" w:rsidRDefault="00F87897">
      <w:pPr>
        <w:pStyle w:val="BulletLast"/>
      </w:pPr>
      <w:r>
        <w:t xml:space="preserve">enhancing the functionality of the online data entry portal. </w:t>
      </w:r>
    </w:p>
    <w:p w:rsidR="00F87897" w:rsidRDefault="00F87897">
      <w:pPr>
        <w:pStyle w:val="NormalBeforeBullet"/>
      </w:pPr>
      <w:r>
        <w:t>Qualitative evaluation revealed that AMS, including collection and analysis of data on antimicrobial use and infection, remains a relatively new concept in Australian RACFs. Increased awareness of AMS, and improved access to AMS program implementation and decision support tools will be fu</w:t>
      </w:r>
      <w:r>
        <w:t>n</w:t>
      </w:r>
      <w:r>
        <w:t>damental for successful AMS programs in RACFs. These tools will also improve the appropriateness of antimicrobial use in this setting. Furthermore, individual facility acNAPS reports, detailing local data, will need to:</w:t>
      </w:r>
    </w:p>
    <w:p w:rsidR="00F87897" w:rsidRDefault="00F87897">
      <w:pPr>
        <w:pStyle w:val="Bullet"/>
      </w:pPr>
      <w:r>
        <w:t>clearly identify areas for quality improvement</w:t>
      </w:r>
    </w:p>
    <w:p w:rsidR="00F87897" w:rsidRDefault="00F87897">
      <w:pPr>
        <w:pStyle w:val="Bullet"/>
      </w:pPr>
      <w:r>
        <w:t>facilitate the use of results for prescribing and cultural change</w:t>
      </w:r>
    </w:p>
    <w:p w:rsidR="00F87897" w:rsidRDefault="00F87897">
      <w:pPr>
        <w:pStyle w:val="BulletLast"/>
      </w:pPr>
      <w:r>
        <w:t xml:space="preserve">illustrate aggregate AMS performance. </w:t>
      </w:r>
    </w:p>
    <w:p w:rsidR="00F87897" w:rsidRDefault="00F87897">
      <w:r>
        <w:lastRenderedPageBreak/>
        <w:t>The acNAPS pilot represents a significant step forward in raising awareness of the importance of AMS in RACFs. Although participating RACFs are now better placed to identify priority areas for local AMS interventions, a coordinated national effort will also assist in advancing AMS in these settings. Further collaboration with key aged care organisations and the Royal Australian College of General Practitioners is required to ensure that such initiatives are sustainable and appropriately tailored for the aged care sector.</w:t>
      </w:r>
    </w:p>
    <w:p w:rsidR="00F87897" w:rsidRDefault="00F87897">
      <w:r>
        <w:t xml:space="preserve">All Australian RACFs and multipurpose services are strongly encouraged to participate in the 2016 acNAPS, which will take place between June and August 2016. </w:t>
      </w:r>
    </w:p>
    <w:p w:rsidR="00183E97" w:rsidRDefault="00183E97">
      <w:pPr>
        <w:sectPr w:rsidR="00183E97" w:rsidSect="00183E97">
          <w:footerReference w:type="default" r:id="rId14"/>
          <w:pgSz w:w="11906" w:h="16838"/>
          <w:pgMar w:top="1440" w:right="1440" w:bottom="1440" w:left="1440" w:header="720" w:footer="720" w:gutter="0"/>
          <w:pgNumType w:fmt="lowerRoman"/>
          <w:cols w:space="720"/>
          <w:noEndnote/>
          <w:titlePg/>
          <w:docGrid w:linePitch="299"/>
        </w:sectPr>
      </w:pPr>
    </w:p>
    <w:p w:rsidR="00F87897" w:rsidRDefault="00F87897">
      <w:pPr>
        <w:pStyle w:val="Heading1"/>
      </w:pPr>
      <w:bookmarkStart w:id="2" w:name="_Toc451169563"/>
      <w:r>
        <w:lastRenderedPageBreak/>
        <w:t>Background</w:t>
      </w:r>
      <w:bookmarkEnd w:id="2"/>
    </w:p>
    <w:p w:rsidR="00F87897" w:rsidRDefault="00F87897">
      <w:pPr>
        <w:pStyle w:val="Heading2"/>
      </w:pPr>
      <w:bookmarkStart w:id="3" w:name="_Toc451169564"/>
      <w:r>
        <w:t>Antimicrobial resistance</w:t>
      </w:r>
      <w:bookmarkEnd w:id="3"/>
    </w:p>
    <w:p w:rsidR="00F87897" w:rsidRDefault="00F87897">
      <w:r>
        <w:t>Antimicrobial resistance (AMR) has been declared by the World Health Organization (WHO) as one of the greatest threats to human health.</w:t>
      </w:r>
      <w:r>
        <w:rPr>
          <w:rStyle w:val="EndnoteReference"/>
          <w:rFonts w:cs="Gotham-Book"/>
        </w:rPr>
        <w:t>1</w:t>
      </w:r>
      <w:r>
        <w:t xml:space="preserve"> The continuous development of new antimicrobials has, until recently, allowed the successful treatment of bacterial, viral, parasitic and fungal infections. However, with the decline in the number of new antimicrobials being developed,</w:t>
      </w:r>
      <w:r>
        <w:rPr>
          <w:rStyle w:val="EndnoteReference"/>
          <w:rFonts w:cs="Gotham-Book"/>
        </w:rPr>
        <w:t>2</w:t>
      </w:r>
      <w:r>
        <w:t xml:space="preserve"> people who d</w:t>
      </w:r>
      <w:r>
        <w:t>e</w:t>
      </w:r>
      <w:r>
        <w:t xml:space="preserve">velop antimicrobial-resistant infections, including common infections such as urinary tract infections and pneumonia, are exposed to an increased risk of morbidity and mortality. </w:t>
      </w:r>
    </w:p>
    <w:p w:rsidR="00F87897" w:rsidRDefault="00F87897">
      <w:r>
        <w:t>Evidence shows a strong correlation between AMR and antimicrobial use – numerous studies ind</w:t>
      </w:r>
      <w:r>
        <w:t>i</w:t>
      </w:r>
      <w:r>
        <w:t>cate that countries, regions and healthcare facilities with the highest levels of antimicrobial use also have the highest rates of AMR.</w:t>
      </w:r>
      <w:r>
        <w:rPr>
          <w:rStyle w:val="EndnoteReference"/>
          <w:rFonts w:cs="Gotham-Book"/>
        </w:rPr>
        <w:t>3</w:t>
      </w:r>
      <w:r>
        <w:t xml:space="preserve"> In Australia, it is estimated that 38% of hospital inpatients are r</w:t>
      </w:r>
      <w:r>
        <w:t>e</w:t>
      </w:r>
      <w:r>
        <w:t>ceiving an antimicrobial on any given day, with approximately 23% of these prescriptions being i</w:t>
      </w:r>
      <w:r>
        <w:t>n</w:t>
      </w:r>
      <w:r>
        <w:t>appropriate.</w:t>
      </w:r>
      <w:r>
        <w:rPr>
          <w:rStyle w:val="EndnoteReference"/>
          <w:rFonts w:cs="Gotham-Book"/>
        </w:rPr>
        <w:t>4</w:t>
      </w:r>
      <w:r>
        <w:t xml:space="preserve"> Although the prevalence of antimicrobial use in residential aged care facilities (RACFs) is lower (5–13%), international studies indicate that a higher proportion of these prescriptions (25–75%) are noncompliant with prescribing guidelines and are inappropriate.</w:t>
      </w:r>
      <w:r>
        <w:rPr>
          <w:rStyle w:val="EndnoteReference"/>
          <w:rFonts w:cs="Gotham-Book"/>
        </w:rPr>
        <w:t>5-10</w:t>
      </w:r>
      <w:r>
        <w:t xml:space="preserve"> In RACFs with high a</w:t>
      </w:r>
      <w:r>
        <w:t>n</w:t>
      </w:r>
      <w:r>
        <w:t>timicrobial use, there is an increased risk for all residents of acquiring an antimicrobial-resistant i</w:t>
      </w:r>
      <w:r>
        <w:t>n</w:t>
      </w:r>
      <w:r>
        <w:t>fection – this includes residents who are not receiving antimicrobial therapy – because of the pote</w:t>
      </w:r>
      <w:r>
        <w:t>n</w:t>
      </w:r>
      <w:r>
        <w:t>tial for cross-transmission.</w:t>
      </w:r>
      <w:r>
        <w:rPr>
          <w:rStyle w:val="EndnoteReference"/>
          <w:rFonts w:cs="Gotham-Book"/>
        </w:rPr>
        <w:t>11</w:t>
      </w:r>
      <w:r>
        <w:t xml:space="preserve"> </w:t>
      </w:r>
    </w:p>
    <w:p w:rsidR="00A136DC" w:rsidRDefault="00F87897">
      <w:r>
        <w:t>In response to the WHO declaration, Australia’s first National Antimicrobial Resistance Strategy (2015–2019) was developed and endorsed by health and agriculture ministers, and the broader Au</w:t>
      </w:r>
      <w:r>
        <w:t>s</w:t>
      </w:r>
      <w:r>
        <w:t>tralian Government in 2015. This strategy is an immediate call for action to improve the appropr</w:t>
      </w:r>
      <w:r>
        <w:t>i</w:t>
      </w:r>
      <w:r>
        <w:t>ateness of antimicrobial use in all settings. It details key objectives, and outlines the required actions to effectively monitor and contain AMR in Australia, including the development of national survei</w:t>
      </w:r>
      <w:r>
        <w:t>l</w:t>
      </w:r>
      <w:r>
        <w:t xml:space="preserve">lance systems for AMR and antimicrobial use. </w:t>
      </w:r>
    </w:p>
    <w:p w:rsidR="00F87897" w:rsidRDefault="00F87897">
      <w:r>
        <w:t>As part of these national responses, the Australian Commission on Safety and Quality in Health Care (the Commission) is establishing the Antimicrobial Use and Resistance in Australia Surveillance Sy</w:t>
      </w:r>
      <w:r>
        <w:t>s</w:t>
      </w:r>
      <w:r>
        <w:t>tem, a nationally coordinated surveillance system to inform policy and strategy development to prevent and contain AMR across the hospital, aged care and community sectors.</w:t>
      </w:r>
    </w:p>
    <w:p w:rsidR="00F87897" w:rsidRDefault="00F87897">
      <w:pPr>
        <w:pStyle w:val="Heading2"/>
      </w:pPr>
      <w:bookmarkStart w:id="4" w:name="_Toc451169565"/>
      <w:r>
        <w:t>Antimicrobial stewardship programs</w:t>
      </w:r>
      <w:bookmarkEnd w:id="4"/>
    </w:p>
    <w:p w:rsidR="00A136DC" w:rsidRDefault="00F87897">
      <w:r>
        <w:t>Antimicrobial stewardship (AMS) programs are a coordinated and multidisciplinary approach to promoting appropriate antimicrobial use. Effective AMS programs have been proven to optimise patient and resident outcomes, improve the cost-effectiveness of therapy and reduce the adverse cycle of antimicrobial use contributing to AMR. Since 2013, the National Safety and Quality Health Service Standards, endorsed by health ministers, have required Australian hospitals – but not RACFs – to have an AMS program in place. Hospitals need to be able to demonstrate that antimicrobial use is monitored, performance of the program is evaluated and actions are taken to improve antimicr</w:t>
      </w:r>
      <w:r>
        <w:t>o</w:t>
      </w:r>
      <w:r>
        <w:t>bial use.</w:t>
      </w:r>
      <w:r>
        <w:rPr>
          <w:rStyle w:val="EndnoteReference"/>
          <w:rFonts w:cs="Gotham-Book"/>
        </w:rPr>
        <w:t>12</w:t>
      </w:r>
    </w:p>
    <w:p w:rsidR="00F87897" w:rsidRDefault="00F87897">
      <w:r>
        <w:t>There are no specific Australian guidelines detailing the actions required to successfully implement and sustain AMS programs in RACFs. In September 2015, the United States Centers for Disease Co</w:t>
      </w:r>
      <w:r>
        <w:t>n</w:t>
      </w:r>
      <w:r>
        <w:t xml:space="preserve">trol and Prevention (CDC) released the first publicly available </w:t>
      </w:r>
      <w:r>
        <w:rPr>
          <w:rStyle w:val="Emphasis"/>
          <w:rFonts w:cs="Gotham-Book"/>
        </w:rPr>
        <w:t xml:space="preserve">The </w:t>
      </w:r>
      <w:r>
        <w:t xml:space="preserve">core </w:t>
      </w:r>
      <w:r>
        <w:rPr>
          <w:rStyle w:val="Emphasis"/>
          <w:rFonts w:cs="Gotham-Book"/>
        </w:rPr>
        <w:t>elements of antibiotic ste</w:t>
      </w:r>
      <w:r>
        <w:rPr>
          <w:rStyle w:val="Emphasis"/>
          <w:rFonts w:cs="Gotham-Book"/>
        </w:rPr>
        <w:t>w</w:t>
      </w:r>
      <w:r>
        <w:rPr>
          <w:rStyle w:val="Emphasis"/>
          <w:rFonts w:cs="Gotham-Book"/>
        </w:rPr>
        <w:lastRenderedPageBreak/>
        <w:t>ardship for nursing homes</w:t>
      </w:r>
      <w:r>
        <w:t>.</w:t>
      </w:r>
      <w:r>
        <w:rPr>
          <w:rStyle w:val="EndnoteReference"/>
          <w:rFonts w:cs="Gotham-Book"/>
        </w:rPr>
        <w:t>13</w:t>
      </w:r>
      <w:r>
        <w:t xml:space="preserve"> The CDC recommends that RACFs add new strategies from each of the seven core elements over time. The core elements include tracking (monitoring of antibiotic pr</w:t>
      </w:r>
      <w:r>
        <w:t>e</w:t>
      </w:r>
      <w:r>
        <w:t>scribing and resistance patterns) and reporting (regular reporting of information on antibiotic use and resistance to doctors, nurses and relevant staff).</w:t>
      </w:r>
    </w:p>
    <w:p w:rsidR="00F87897" w:rsidRDefault="00F87897">
      <w:r>
        <w:t>In Australia, a national survey similar to the hospital National Antimicrobial Prescribing Survey (NAPS) was not available for Australian RACFs before the 2015 pilot of the Aged Care National Ant</w:t>
      </w:r>
      <w:r>
        <w:t>i</w:t>
      </w:r>
      <w:r>
        <w:t>microbial Prescribing Survey (acNAPS). The hospital NAPS, which has been in place since 2013, is a standardised auditing tool designed to assess the quantity and quality of antimicrobial prescribing in Australian hospitals. At a state level, between 2010 and 2014, the Victorian Healthcare Associated Infection Surveillance (VICNISS) Coordinating Centre and the Rural Infection Control Practice Group coordinated annual point prevalence surveys of infections and antimicrobial use in Victorian public</w:t>
      </w:r>
      <w:r w:rsidR="00933CD0">
        <w:t xml:space="preserve"> sector</w:t>
      </w:r>
      <w:r>
        <w:t xml:space="preserve"> RACFs.</w:t>
      </w:r>
      <w:r>
        <w:rPr>
          <w:rStyle w:val="EndnoteReference"/>
          <w:rFonts w:cs="Gotham-Book"/>
        </w:rPr>
        <w:t>10</w:t>
      </w:r>
      <w:r>
        <w:t xml:space="preserve"> The Victorian surveys were based on the 2010 and 2013 European Centre for Disease Prevention and Control point prevalence surveys on infections and antibiotic use in long-term care RACFs.</w:t>
      </w:r>
      <w:r>
        <w:rPr>
          <w:rStyle w:val="EndnoteReference"/>
          <w:rFonts w:cs="Gotham-Book"/>
        </w:rPr>
        <w:t>5</w:t>
      </w:r>
      <w:r>
        <w:t xml:space="preserve"> Similar state-based surveys have not been undertaken in other Australian states or territ</w:t>
      </w:r>
      <w:r>
        <w:t>o</w:t>
      </w:r>
      <w:r>
        <w:t>ries.</w:t>
      </w:r>
    </w:p>
    <w:p w:rsidR="00F87897" w:rsidRDefault="00F87897">
      <w:pPr>
        <w:pStyle w:val="Heading2"/>
      </w:pPr>
      <w:bookmarkStart w:id="5" w:name="_Toc451169566"/>
      <w:r>
        <w:t>Aged Care National Antimicrobial Prescribing Survey</w:t>
      </w:r>
      <w:bookmarkEnd w:id="5"/>
    </w:p>
    <w:p w:rsidR="00F87897" w:rsidRDefault="00F87897">
      <w:r>
        <w:t>The 2015 acNAPS pilot was a collaborative project between the National Centre for Antimicrobial Stewardship (NCAS), the Commission, the Guidance Group and the VICNISS Coordinating Centre. NCAS, the Guidance Group and VICNISS together employ infectious diseases physicians, infection control practitioners, epidemiologists, clinical microbiologists, specialist pharmacists and info</w:t>
      </w:r>
      <w:r>
        <w:t>r</w:t>
      </w:r>
      <w:r>
        <w:t>mation technology officers who are able to provide expert guidance on AMS.</w:t>
      </w:r>
    </w:p>
    <w:p w:rsidR="00F87897" w:rsidRDefault="00F87897">
      <w:pPr>
        <w:pStyle w:val="NormalBeforeBullet"/>
      </w:pPr>
      <w:r>
        <w:t>The aim of the acNAPS pilot was to develop and implement a sustainable and standardised quantit</w:t>
      </w:r>
      <w:r>
        <w:t>a</w:t>
      </w:r>
      <w:r>
        <w:t>tive survey instrument to monitor infections and antimicrobial use in Australian RACFs. The long-term aim of acNAPS is to support AMS in RACFs by:</w:t>
      </w:r>
    </w:p>
    <w:p w:rsidR="00F87897" w:rsidRDefault="00F87897">
      <w:pPr>
        <w:pStyle w:val="Bullet"/>
      </w:pPr>
      <w:r>
        <w:t>monitoring the prevalence of infections and antimicrobial prescribing at a local, regional, state and national level in a sustainable manner</w:t>
      </w:r>
    </w:p>
    <w:p w:rsidR="00F87897" w:rsidRDefault="00F87897">
      <w:pPr>
        <w:pStyle w:val="Bullet"/>
      </w:pPr>
      <w:r>
        <w:t>establishing acNAPS as an annual reporting mechanism for AMR in aged care</w:t>
      </w:r>
    </w:p>
    <w:p w:rsidR="00A136DC" w:rsidRDefault="00F87897">
      <w:pPr>
        <w:pStyle w:val="BulletLast"/>
      </w:pPr>
      <w:r>
        <w:t xml:space="preserve">identifying priority areas for quality improvement interventions to increase the proportion of antimicrobials that are appropriately used. </w:t>
      </w:r>
    </w:p>
    <w:p w:rsidR="00F87897" w:rsidRDefault="00F87897">
      <w:pPr>
        <w:pStyle w:val="Heading1"/>
        <w:spacing w:after="240"/>
      </w:pPr>
      <w:bookmarkStart w:id="6" w:name="_Toc451169567"/>
      <w:r>
        <w:lastRenderedPageBreak/>
        <w:t>Methods</w:t>
      </w:r>
      <w:bookmarkEnd w:id="6"/>
    </w:p>
    <w:p w:rsidR="00F87897" w:rsidRDefault="00F87897">
      <w:r>
        <w:t>To inform the development of the Aged Care National Antimicrobial Prescribing Survey (acNAPS) pilot, a major literature review was conducted and key stakeholders were consulted. The point pre</w:t>
      </w:r>
      <w:r>
        <w:t>v</w:t>
      </w:r>
      <w:r>
        <w:t xml:space="preserve">alence survey of the Victorian Healthcare Associated Infection Surveillance (VICNISS) Coordinating Centre and the Rural Infection Control Practice (RICPRAC) Group was reviewed and modified, and used as the basis for the pilot acNAPS survey form. The acNAPS form included more detailed data fields about antimicrobial use than the VICNISS–RICPRAC survey form. Additional data fields about microbiological specimens were also included. </w:t>
      </w:r>
    </w:p>
    <w:p w:rsidR="00F87897" w:rsidRDefault="00F87897">
      <w:r>
        <w:t>The data collection period ran from 22 June to 31 August 2015. During this period, 186 participating residential aged care facilities (RACFs) and multipurpose services (MPSs) conducted a single-day point prevalence survey. Surveyors included trained infection control practitioners, pharmacists and nurses who worked with senior clinical staff employed at participating RACFs. The supporting r</w:t>
      </w:r>
      <w:r>
        <w:t>e</w:t>
      </w:r>
      <w:r>
        <w:t xml:space="preserve">sources included a user guide, case examples and website instructions. Online training sessions were provided in addition to email and telephone assistance, where requested. </w:t>
      </w:r>
    </w:p>
    <w:p w:rsidR="00A136DC" w:rsidRDefault="00F87897">
      <w:r>
        <w:t>Data sources included resident histories, medication charts, microbiology reports and hospital di</w:t>
      </w:r>
      <w:r>
        <w:t>s</w:t>
      </w:r>
      <w:r>
        <w:t>charge summaries. For some data fields, it was acceptable to ask a senior RACF clinician to provide the necessary detail. Data was submitted online to the National Centre for Antimicrobial Stewar</w:t>
      </w:r>
      <w:r>
        <w:t>d</w:t>
      </w:r>
      <w:r>
        <w:t xml:space="preserve">ship, through the acNAPS data entry portal. </w:t>
      </w:r>
    </w:p>
    <w:p w:rsidR="00F87897" w:rsidRDefault="00F87897">
      <w:pPr>
        <w:pStyle w:val="Heading2"/>
      </w:pPr>
      <w:bookmarkStart w:id="7" w:name="_Toc451169568"/>
      <w:r>
        <w:t>Recruitment</w:t>
      </w:r>
      <w:bookmarkEnd w:id="7"/>
      <w:r>
        <w:t xml:space="preserve"> </w:t>
      </w:r>
    </w:p>
    <w:p w:rsidR="00F87897" w:rsidRDefault="00F87897">
      <w:pPr>
        <w:pStyle w:val="NormalBeforeBullet"/>
      </w:pPr>
      <w:r>
        <w:t xml:space="preserve">All Australian RACFs and MPSs were eligible to participate in the 2015 pilot acNAPS. The aim was to recruit at least: </w:t>
      </w:r>
    </w:p>
    <w:p w:rsidR="00F87897" w:rsidRDefault="00F87897">
      <w:pPr>
        <w:pStyle w:val="Bullet"/>
      </w:pPr>
      <w:r>
        <w:t xml:space="preserve">the Victorian </w:t>
      </w:r>
      <w:r w:rsidR="00933CD0">
        <w:t>public sector</w:t>
      </w:r>
      <w:r>
        <w:t xml:space="preserve"> RACFs that had previously participated in VICNISS–RICPRAC surveys</w:t>
      </w:r>
    </w:p>
    <w:p w:rsidR="00F87897" w:rsidRDefault="00F87897">
      <w:pPr>
        <w:pStyle w:val="BulletLast"/>
      </w:pPr>
      <w:r>
        <w:t xml:space="preserve">a small number of RACFs or MPSs across the various states and territories, remoteness areas and funding types. </w:t>
      </w:r>
    </w:p>
    <w:p w:rsidR="00F87897" w:rsidRDefault="00F87897">
      <w:pPr>
        <w:pStyle w:val="NormalBeforeBullet"/>
      </w:pPr>
      <w:r>
        <w:t xml:space="preserve">Invitations to participate were advertised through: </w:t>
      </w:r>
    </w:p>
    <w:p w:rsidR="00F87897" w:rsidRDefault="00F87897">
      <w:pPr>
        <w:pStyle w:val="Bullet"/>
      </w:pPr>
      <w:r>
        <w:t>newsletters (of the Australasian College for Infection Prevention and Control, the Australian A</w:t>
      </w:r>
      <w:r>
        <w:t>s</w:t>
      </w:r>
      <w:r>
        <w:t>sociation of Consultant Pharmacy, and the Pharmaceutical Society of Australia)</w:t>
      </w:r>
    </w:p>
    <w:p w:rsidR="00F87897" w:rsidRDefault="00F87897">
      <w:pPr>
        <w:pStyle w:val="Bullet"/>
      </w:pPr>
      <w:r>
        <w:t>a Commission communique to large RACF providers, peak aged care bodies (Leading Age Se</w:t>
      </w:r>
      <w:r>
        <w:t>r</w:t>
      </w:r>
      <w:r>
        <w:t>vices Australia and Aged Care Services Australia Group) and New South Wales local health di</w:t>
      </w:r>
      <w:r>
        <w:t>s</w:t>
      </w:r>
      <w:r>
        <w:t>tricts</w:t>
      </w:r>
    </w:p>
    <w:p w:rsidR="00F87897" w:rsidRDefault="00F87897">
      <w:pPr>
        <w:pStyle w:val="Bullet"/>
      </w:pPr>
      <w:r>
        <w:t>a discussion board (Aus-Pharmacist Group)</w:t>
      </w:r>
    </w:p>
    <w:p w:rsidR="00F87897" w:rsidRDefault="00F87897">
      <w:pPr>
        <w:pStyle w:val="Bullet"/>
      </w:pPr>
      <w:r>
        <w:t>an email to Victorian public health services (through VICNISS) and the Victorian Older Persons Nurse Practitioner Collaborative</w:t>
      </w:r>
    </w:p>
    <w:p w:rsidR="00F87897" w:rsidRDefault="00F87897">
      <w:pPr>
        <w:pStyle w:val="Bullet"/>
      </w:pPr>
      <w:r>
        <w:t>personal invitations to six large RACF providers</w:t>
      </w:r>
    </w:p>
    <w:p w:rsidR="00A136DC" w:rsidRDefault="00F87897">
      <w:pPr>
        <w:pStyle w:val="BulletLast"/>
      </w:pPr>
      <w:r>
        <w:t xml:space="preserve">a presentation at a meeting of the Victorian Small Rural Health Service Directors of Nursing. </w:t>
      </w:r>
    </w:p>
    <w:p w:rsidR="00F87897" w:rsidRDefault="00F87897">
      <w:pPr>
        <w:pStyle w:val="Heading2"/>
        <w:ind w:left="576" w:hanging="576"/>
      </w:pPr>
      <w:bookmarkStart w:id="8" w:name="_Toc451169569"/>
      <w:r>
        <w:lastRenderedPageBreak/>
        <w:t>Survey questions</w:t>
      </w:r>
      <w:bookmarkEnd w:id="8"/>
    </w:p>
    <w:p w:rsidR="00F87897" w:rsidRDefault="00F87897">
      <w:pPr>
        <w:pStyle w:val="NormalBeforeBullet"/>
      </w:pPr>
      <w:r>
        <w:t>The survey questions were detailed on three data collection forms:</w:t>
      </w:r>
    </w:p>
    <w:p w:rsidR="00F87897" w:rsidRDefault="00F87897">
      <w:pPr>
        <w:pStyle w:val="Bullet"/>
      </w:pPr>
      <w:r>
        <w:t>RACF Form (Appendix 1)</w:t>
      </w:r>
    </w:p>
    <w:p w:rsidR="00F87897" w:rsidRDefault="00F87897">
      <w:pPr>
        <w:pStyle w:val="Bullet"/>
      </w:pPr>
      <w:r>
        <w:t>Resident Form – infections (Appendix 2)</w:t>
      </w:r>
    </w:p>
    <w:p w:rsidR="00F87897" w:rsidRDefault="00F87897">
      <w:pPr>
        <w:pStyle w:val="BulletLast"/>
      </w:pPr>
      <w:r>
        <w:t>Resident Form – antimicrobials (Appendix 3).</w:t>
      </w:r>
    </w:p>
    <w:p w:rsidR="00F87897" w:rsidRDefault="00F87897">
      <w:r>
        <w:t xml:space="preserve">The RACF Form collected data about the facility’s characteristics, such as level of access to </w:t>
      </w:r>
      <w:r>
        <w:rPr>
          <w:rStyle w:val="Emphasis"/>
          <w:rFonts w:cs="Gotham-Book"/>
        </w:rPr>
        <w:t>Therape</w:t>
      </w:r>
      <w:r>
        <w:rPr>
          <w:rStyle w:val="Emphasis"/>
          <w:rFonts w:cs="Gotham-Book"/>
        </w:rPr>
        <w:t>u</w:t>
      </w:r>
      <w:r>
        <w:rPr>
          <w:rStyle w:val="Emphasis"/>
          <w:rFonts w:cs="Gotham-Book"/>
        </w:rPr>
        <w:t>tic Guidelines: Antibiotic</w:t>
      </w:r>
      <w:r>
        <w:t xml:space="preserve"> and summary demographics of all residents, including gender and age.</w:t>
      </w:r>
    </w:p>
    <w:p w:rsidR="00F87897" w:rsidRDefault="00F87897">
      <w:pPr>
        <w:pStyle w:val="NormalBeforeBullet"/>
      </w:pPr>
      <w:r>
        <w:t>Residents were surveyed to determine whether they met the inclusion criteria. Residents were i</w:t>
      </w:r>
      <w:r>
        <w:t>n</w:t>
      </w:r>
      <w:r>
        <w:t>cluded if, on the survey day, they had:</w:t>
      </w:r>
    </w:p>
    <w:p w:rsidR="00F87897" w:rsidRDefault="00F87897">
      <w:pPr>
        <w:pStyle w:val="Bullet"/>
      </w:pPr>
      <w:r>
        <w:t>signs or symptoms of a suspected or confirmed infection (a Resident Form – infections was co</w:t>
      </w:r>
      <w:r>
        <w:t>m</w:t>
      </w:r>
      <w:r>
        <w:t>pleted), and/or</w:t>
      </w:r>
    </w:p>
    <w:p w:rsidR="00F87897" w:rsidRDefault="00F87897">
      <w:pPr>
        <w:pStyle w:val="BulletLast"/>
      </w:pPr>
      <w:r>
        <w:t>a current prescription for antimicrobial therapy (a Resident Form – antimicrobials was comple</w:t>
      </w:r>
      <w:r>
        <w:t>t</w:t>
      </w:r>
      <w:r>
        <w:t>ed).</w:t>
      </w:r>
    </w:p>
    <w:p w:rsidR="00F87897" w:rsidRDefault="00F87897">
      <w:r>
        <w:t>Table 1 summarises the data fields in the infection and antimicrobial data collection forms.</w:t>
      </w:r>
    </w:p>
    <w:p w:rsidR="00F87897" w:rsidRDefault="00F87897">
      <w:pPr>
        <w:pStyle w:val="TableNameSpan"/>
      </w:pPr>
      <w:r>
        <w:lastRenderedPageBreak/>
        <w:t xml:space="preserve">Table </w:t>
      </w:r>
      <w:r>
        <w:rPr>
          <w:lang w:val="en-US"/>
        </w:rPr>
        <w:t>1</w:t>
      </w:r>
      <w:r>
        <w:tab/>
        <w:t>Survey questions in resident forms</w:t>
      </w:r>
    </w:p>
    <w:tbl>
      <w:tblPr>
        <w:tblW w:w="0" w:type="auto"/>
        <w:tblInd w:w="85" w:type="dxa"/>
        <w:tblLayout w:type="fixed"/>
        <w:tblCellMar>
          <w:left w:w="0" w:type="dxa"/>
          <w:right w:w="0" w:type="dxa"/>
        </w:tblCellMar>
        <w:tblLook w:val="0200" w:firstRow="0" w:lastRow="0" w:firstColumn="0" w:lastColumn="0" w:noHBand="1" w:noVBand="0"/>
      </w:tblPr>
      <w:tblGrid>
        <w:gridCol w:w="4786"/>
        <w:gridCol w:w="2320"/>
        <w:gridCol w:w="2523"/>
      </w:tblGrid>
      <w:tr w:rsidR="00F87897" w:rsidTr="005660B3">
        <w:trPr>
          <w:trHeight w:val="60"/>
          <w:tblHeader/>
        </w:trPr>
        <w:tc>
          <w:tcPr>
            <w:tcW w:w="4786"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center"/>
          </w:tcPr>
          <w:p w:rsidR="00F87897" w:rsidRDefault="00F87897" w:rsidP="005660B3">
            <w:pPr>
              <w:pStyle w:val="TableHeading"/>
            </w:pPr>
            <w:r>
              <w:t>Survey questions</w:t>
            </w:r>
          </w:p>
        </w:tc>
        <w:tc>
          <w:tcPr>
            <w:tcW w:w="2320"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5660B3" w:rsidRDefault="00F87897">
            <w:pPr>
              <w:pStyle w:val="TableHeadingCA"/>
            </w:pPr>
            <w:r>
              <w:t xml:space="preserve">Resident Form – </w:t>
            </w:r>
          </w:p>
          <w:p w:rsidR="00F87897" w:rsidRDefault="00F87897">
            <w:pPr>
              <w:pStyle w:val="TableHeadingCA"/>
            </w:pPr>
            <w:r>
              <w:t>infe</w:t>
            </w:r>
            <w:r>
              <w:t>c</w:t>
            </w:r>
            <w:r>
              <w:t>tions</w:t>
            </w:r>
          </w:p>
        </w:tc>
        <w:tc>
          <w:tcPr>
            <w:tcW w:w="2523"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5660B3" w:rsidRDefault="00F87897">
            <w:pPr>
              <w:pStyle w:val="TableHeadingCA"/>
            </w:pPr>
            <w:r>
              <w:t>Resident Form</w:t>
            </w:r>
            <w:r w:rsidR="002A1FC0">
              <w:t xml:space="preserve"> – </w:t>
            </w:r>
          </w:p>
          <w:p w:rsidR="00F87897" w:rsidRDefault="002A1FC0">
            <w:pPr>
              <w:pStyle w:val="TableHeadingCA"/>
            </w:pPr>
            <w:r>
              <w:t>antim</w:t>
            </w:r>
            <w:r>
              <w:t>i</w:t>
            </w:r>
            <w:r w:rsidR="00F87897">
              <w:t>crobials</w:t>
            </w:r>
          </w:p>
        </w:tc>
      </w:tr>
      <w:tr w:rsidR="00F87897" w:rsidTr="005660B3">
        <w:trPr>
          <w:trHeight w:val="60"/>
        </w:trPr>
        <w:tc>
          <w:tcPr>
            <w:tcW w:w="478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F87897" w:rsidRDefault="00F87897">
            <w:pPr>
              <w:pStyle w:val="TableText"/>
            </w:pPr>
            <w:r>
              <w:t>Antimicrobial details, including name, dose, route and indication. All routes and formulations could be i</w:t>
            </w:r>
            <w:r>
              <w:t>n</w:t>
            </w:r>
            <w:r>
              <w:t>cluded</w:t>
            </w:r>
          </w:p>
        </w:tc>
        <w:tc>
          <w:tcPr>
            <w:tcW w:w="2320"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center"/>
          </w:tcPr>
          <w:p w:rsidR="00F87897" w:rsidRDefault="00F87897">
            <w:pPr>
              <w:pStyle w:val="TableTextCA"/>
            </w:pPr>
            <w:r>
              <w:t>No</w:t>
            </w:r>
          </w:p>
        </w:tc>
        <w:tc>
          <w:tcPr>
            <w:tcW w:w="2523"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center"/>
          </w:tcPr>
          <w:p w:rsidR="00F87897" w:rsidRDefault="00F87897">
            <w:pPr>
              <w:pStyle w:val="TableTextCA"/>
            </w:pPr>
            <w:r>
              <w:t>Yes</w:t>
            </w:r>
          </w:p>
        </w:tc>
      </w:tr>
      <w:tr w:rsidR="00F87897" w:rsidTr="005660B3">
        <w:trPr>
          <w:trHeight w:val="60"/>
        </w:trPr>
        <w:tc>
          <w:tcPr>
            <w:tcW w:w="478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F87897" w:rsidRDefault="00F87897" w:rsidP="00AF29D9">
            <w:pPr>
              <w:pStyle w:val="TableText"/>
            </w:pPr>
            <w:r>
              <w:t>Antimicrobial quality measures, including level of documentation, whether the antimicrobial was for prophylaxis and the initial mode of prescription (e.g. telephone order or written by prescriber)</w:t>
            </w:r>
            <w:r w:rsidR="00AF29D9">
              <w:t xml:space="preserve">. </w:t>
            </w:r>
            <w:r>
              <w:t>For antimicrobials prescribed via a telephone order, i</w:t>
            </w:r>
            <w:r>
              <w:t>n</w:t>
            </w:r>
            <w:r>
              <w:t>formation regarding subsequent clinical review by the prescriber</w:t>
            </w:r>
          </w:p>
        </w:tc>
        <w:tc>
          <w:tcPr>
            <w:tcW w:w="2320"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center"/>
          </w:tcPr>
          <w:p w:rsidR="00F87897" w:rsidRDefault="00F87897">
            <w:pPr>
              <w:pStyle w:val="TableTextCA"/>
            </w:pPr>
            <w:r>
              <w:t>No</w:t>
            </w:r>
          </w:p>
        </w:tc>
        <w:tc>
          <w:tcPr>
            <w:tcW w:w="2523"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center"/>
          </w:tcPr>
          <w:p w:rsidR="00F87897" w:rsidRDefault="00F87897">
            <w:pPr>
              <w:pStyle w:val="TableTextCA"/>
            </w:pPr>
            <w:r>
              <w:t>Yes</w:t>
            </w:r>
          </w:p>
        </w:tc>
      </w:tr>
      <w:tr w:rsidR="00F87897" w:rsidTr="005660B3">
        <w:trPr>
          <w:trHeight w:val="711"/>
        </w:trPr>
        <w:tc>
          <w:tcPr>
            <w:tcW w:w="478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center"/>
          </w:tcPr>
          <w:p w:rsidR="00F87897" w:rsidRDefault="00F87897">
            <w:pPr>
              <w:pStyle w:val="TableText"/>
            </w:pPr>
            <w:r>
              <w:t>Presence of a urinary catheter and whether urinary dipstick tests had been undertaken</w:t>
            </w:r>
          </w:p>
        </w:tc>
        <w:tc>
          <w:tcPr>
            <w:tcW w:w="2320" w:type="dxa"/>
            <w:vMerge w:val="restart"/>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center"/>
          </w:tcPr>
          <w:p w:rsidR="00F87897" w:rsidRDefault="00F87897">
            <w:pPr>
              <w:pStyle w:val="TableTextCA"/>
            </w:pPr>
            <w:r>
              <w:t>Yes</w:t>
            </w:r>
          </w:p>
        </w:tc>
        <w:tc>
          <w:tcPr>
            <w:tcW w:w="2523" w:type="dxa"/>
            <w:vMerge w:val="restart"/>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F87897" w:rsidRDefault="00F87897" w:rsidP="00AF29D9">
            <w:pPr>
              <w:pStyle w:val="TableText"/>
            </w:pPr>
            <w:r>
              <w:t>Yes, if the antimicrobial was for treatment and had a known start date that was &lt;6 months before the survey day.</w:t>
            </w:r>
            <w:r w:rsidR="00AF29D9">
              <w:t xml:space="preserve"> </w:t>
            </w:r>
            <w:r>
              <w:t>Time period: 1 week prior to the antim</w:t>
            </w:r>
            <w:r>
              <w:t>i</w:t>
            </w:r>
            <w:r>
              <w:t>crobial start date</w:t>
            </w:r>
          </w:p>
        </w:tc>
      </w:tr>
      <w:tr w:rsidR="00F87897" w:rsidTr="005660B3">
        <w:trPr>
          <w:trHeight w:val="693"/>
        </w:trPr>
        <w:tc>
          <w:tcPr>
            <w:tcW w:w="478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center"/>
          </w:tcPr>
          <w:p w:rsidR="00F87897" w:rsidRDefault="00F87897">
            <w:pPr>
              <w:pStyle w:val="TableText"/>
            </w:pPr>
            <w:r>
              <w:t>Whether microbiological specimens had been</w:t>
            </w:r>
            <w:r w:rsidR="005660B3">
              <w:t xml:space="preserve"> </w:t>
            </w:r>
            <w:r>
              <w:t>co</w:t>
            </w:r>
            <w:r>
              <w:t>l</w:t>
            </w:r>
            <w:r>
              <w:t>lected and reported</w:t>
            </w:r>
          </w:p>
        </w:tc>
        <w:tc>
          <w:tcPr>
            <w:tcW w:w="2320" w:type="dxa"/>
            <w:vMerge/>
            <w:tcBorders>
              <w:top w:val="single" w:sz="4" w:space="0" w:color="000000"/>
              <w:left w:val="single" w:sz="6" w:space="0" w:color="FFFFFF"/>
              <w:bottom w:val="single" w:sz="4" w:space="0" w:color="000000"/>
              <w:right w:val="single" w:sz="6" w:space="0" w:color="FFFFFF"/>
            </w:tcBorders>
          </w:tcPr>
          <w:p w:rsidR="00F87897" w:rsidRDefault="00F87897">
            <w:pPr>
              <w:pStyle w:val="NoParagraphStyle"/>
              <w:spacing w:line="240" w:lineRule="auto"/>
              <w:textAlignment w:val="auto"/>
              <w:rPr>
                <w:rFonts w:ascii="Gotham-Book" w:hAnsi="Gotham-Book" w:cs="Times New Roman"/>
                <w:color w:val="auto"/>
                <w:lang w:val="en-AU"/>
              </w:rPr>
            </w:pPr>
          </w:p>
        </w:tc>
        <w:tc>
          <w:tcPr>
            <w:tcW w:w="2523" w:type="dxa"/>
            <w:vMerge/>
            <w:tcBorders>
              <w:top w:val="single" w:sz="4" w:space="0" w:color="000000"/>
              <w:left w:val="single" w:sz="6" w:space="0" w:color="FFFFFF"/>
              <w:bottom w:val="single" w:sz="4" w:space="0" w:color="000000"/>
              <w:right w:val="single" w:sz="6" w:space="0" w:color="FFFFFF"/>
            </w:tcBorders>
          </w:tcPr>
          <w:p w:rsidR="00F87897" w:rsidRDefault="00F87897">
            <w:pPr>
              <w:pStyle w:val="NoParagraphStyle"/>
              <w:spacing w:line="240" w:lineRule="auto"/>
              <w:textAlignment w:val="auto"/>
              <w:rPr>
                <w:rFonts w:ascii="Gotham-Book" w:hAnsi="Gotham-Book" w:cs="Times New Roman"/>
                <w:color w:val="auto"/>
                <w:lang w:val="en-AU"/>
              </w:rPr>
            </w:pPr>
          </w:p>
        </w:tc>
      </w:tr>
      <w:tr w:rsidR="00F87897" w:rsidTr="005660B3">
        <w:trPr>
          <w:trHeight w:val="711"/>
        </w:trPr>
        <w:tc>
          <w:tcPr>
            <w:tcW w:w="478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center"/>
          </w:tcPr>
          <w:p w:rsidR="00F87897" w:rsidRDefault="00F87897">
            <w:pPr>
              <w:pStyle w:val="TableText"/>
            </w:pPr>
            <w:r>
              <w:t>Whether the resident had exhibited any signs or symptoms of infection</w:t>
            </w:r>
          </w:p>
        </w:tc>
        <w:tc>
          <w:tcPr>
            <w:tcW w:w="2320" w:type="dxa"/>
            <w:vMerge/>
            <w:tcBorders>
              <w:top w:val="single" w:sz="4" w:space="0" w:color="000000"/>
              <w:left w:val="single" w:sz="6" w:space="0" w:color="FFFFFF"/>
              <w:bottom w:val="single" w:sz="4" w:space="0" w:color="000000"/>
              <w:right w:val="single" w:sz="6" w:space="0" w:color="FFFFFF"/>
            </w:tcBorders>
          </w:tcPr>
          <w:p w:rsidR="00F87897" w:rsidRDefault="00F87897">
            <w:pPr>
              <w:pStyle w:val="NoParagraphStyle"/>
              <w:spacing w:line="240" w:lineRule="auto"/>
              <w:textAlignment w:val="auto"/>
              <w:rPr>
                <w:rFonts w:ascii="Gotham-Book" w:hAnsi="Gotham-Book" w:cs="Times New Roman"/>
                <w:color w:val="auto"/>
                <w:lang w:val="en-AU"/>
              </w:rPr>
            </w:pPr>
          </w:p>
        </w:tc>
        <w:tc>
          <w:tcPr>
            <w:tcW w:w="2523" w:type="dxa"/>
            <w:vMerge/>
            <w:tcBorders>
              <w:top w:val="single" w:sz="4" w:space="0" w:color="000000"/>
              <w:left w:val="single" w:sz="6" w:space="0" w:color="FFFFFF"/>
              <w:bottom w:val="single" w:sz="4" w:space="0" w:color="000000"/>
              <w:right w:val="single" w:sz="6" w:space="0" w:color="FFFFFF"/>
            </w:tcBorders>
          </w:tcPr>
          <w:p w:rsidR="00F87897" w:rsidRDefault="00F87897">
            <w:pPr>
              <w:pStyle w:val="NoParagraphStyle"/>
              <w:spacing w:line="240" w:lineRule="auto"/>
              <w:textAlignment w:val="auto"/>
              <w:rPr>
                <w:rFonts w:ascii="Gotham-Book" w:hAnsi="Gotham-Book" w:cs="Times New Roman"/>
                <w:color w:val="auto"/>
                <w:lang w:val="en-AU"/>
              </w:rPr>
            </w:pPr>
          </w:p>
        </w:tc>
      </w:tr>
    </w:tbl>
    <w:p w:rsidR="00F87897" w:rsidRDefault="00F87897">
      <w:pPr>
        <w:pStyle w:val="Heading3"/>
      </w:pPr>
      <w:bookmarkStart w:id="9" w:name="_Toc451169570"/>
      <w:r>
        <w:t>Infection definitions</w:t>
      </w:r>
      <w:bookmarkEnd w:id="9"/>
      <w:r>
        <w:t xml:space="preserve"> </w:t>
      </w:r>
    </w:p>
    <w:p w:rsidR="00F87897" w:rsidRDefault="00F87897">
      <w:r>
        <w:t>The criteria for an infection were based on the internationally recognised surveillance definitions from McGeer et al.</w:t>
      </w:r>
      <w:r>
        <w:rPr>
          <w:rStyle w:val="EndnoteReference"/>
          <w:rFonts w:cs="Gotham-Book"/>
        </w:rPr>
        <w:t>7</w:t>
      </w:r>
      <w:r>
        <w:t xml:space="preserve"> These definitions were revised by Stone et al. in 2012.</w:t>
      </w:r>
      <w:r>
        <w:rPr>
          <w:rStyle w:val="EndnoteReference"/>
          <w:rFonts w:cs="Gotham-Book"/>
        </w:rPr>
        <w:t>14</w:t>
      </w:r>
      <w:r>
        <w:t xml:space="preserve"> The definitions are largely based on signs and symptoms localising to a specific body system (gastrointestinal tract, re</w:t>
      </w:r>
      <w:r>
        <w:t>s</w:t>
      </w:r>
      <w:r>
        <w:t>piratory tract, skin/soft tissue/mucosal, systemic, and urinary tract). For some definitions, additional microbiological or radiological evidence and use of devices (e.g. urinary catheters) were also a</w:t>
      </w:r>
      <w:r>
        <w:t>s</w:t>
      </w:r>
      <w:r>
        <w:t xml:space="preserve">sessed. </w:t>
      </w:r>
    </w:p>
    <w:p w:rsidR="00A136DC" w:rsidRDefault="00F87897">
      <w:r>
        <w:t>The McGeer criteria were used as a surrogate marker for appropriateness of prescribing of antim</w:t>
      </w:r>
      <w:r>
        <w:t>i</w:t>
      </w:r>
      <w:r>
        <w:t>crobials to support surveyors to make qualitative assessments of prescription compliance with ant</w:t>
      </w:r>
      <w:r>
        <w:t>i</w:t>
      </w:r>
      <w:r>
        <w:t xml:space="preserve">microbial guidelines (e.g. </w:t>
      </w:r>
      <w:r>
        <w:rPr>
          <w:rStyle w:val="Emphasis"/>
          <w:rFonts w:cs="Gotham-Book"/>
        </w:rPr>
        <w:t>Therapeutic Guidelines: Antibiotic</w:t>
      </w:r>
      <w:r>
        <w:t>). Antimicrobials prescribed for residents with signs, symptoms and investigations that met McGeer criteria were deemed ‘appropriate’.</w:t>
      </w:r>
    </w:p>
    <w:p w:rsidR="002A1FC0" w:rsidRDefault="002A1FC0" w:rsidP="005660B3">
      <w:pPr>
        <w:pStyle w:val="BoxName"/>
        <w:pBdr>
          <w:top w:val="none" w:sz="0" w:space="0" w:color="auto"/>
          <w:left w:val="none" w:sz="0" w:space="0" w:color="auto"/>
          <w:bottom w:val="none" w:sz="0" w:space="0" w:color="auto"/>
          <w:right w:val="none" w:sz="0" w:space="0" w:color="auto"/>
        </w:pBdr>
        <w:shd w:val="clear" w:color="auto" w:fill="E7E6E6" w:themeFill="background2"/>
      </w:pPr>
      <w:r>
        <w:t>Limitations in methodology</w:t>
      </w:r>
    </w:p>
    <w:p w:rsidR="002A1FC0" w:rsidRDefault="002A1FC0" w:rsidP="005660B3">
      <w:pPr>
        <w:pStyle w:val="BoxText"/>
        <w:pBdr>
          <w:top w:val="none" w:sz="0" w:space="0" w:color="auto"/>
          <w:left w:val="none" w:sz="0" w:space="0" w:color="auto"/>
          <w:bottom w:val="none" w:sz="0" w:space="0" w:color="auto"/>
          <w:right w:val="none" w:sz="0" w:space="0" w:color="auto"/>
        </w:pBdr>
        <w:shd w:val="clear" w:color="auto" w:fill="E7E6E6" w:themeFill="background2"/>
      </w:pPr>
      <w:r>
        <w:t>The acNAPS pilot results discussed in this report require interpretation in the context of the follo</w:t>
      </w:r>
      <w:r>
        <w:t>w</w:t>
      </w:r>
      <w:r>
        <w:t>ing limitations in the survey methodology.</w:t>
      </w:r>
    </w:p>
    <w:p w:rsidR="002A1FC0" w:rsidRDefault="002A1FC0" w:rsidP="005660B3">
      <w:pPr>
        <w:pStyle w:val="BoxHeading"/>
        <w:pBdr>
          <w:top w:val="none" w:sz="0" w:space="0" w:color="auto"/>
          <w:left w:val="none" w:sz="0" w:space="0" w:color="auto"/>
          <w:bottom w:val="none" w:sz="0" w:space="0" w:color="auto"/>
          <w:right w:val="none" w:sz="0" w:space="0" w:color="auto"/>
        </w:pBdr>
        <w:shd w:val="clear" w:color="auto" w:fill="E7E6E6" w:themeFill="background2"/>
      </w:pPr>
      <w:r>
        <w:t>Sampling and selection bias</w:t>
      </w:r>
    </w:p>
    <w:p w:rsidR="002A1FC0" w:rsidRDefault="002A1FC0" w:rsidP="005660B3">
      <w:pPr>
        <w:pStyle w:val="BoxText"/>
        <w:pBdr>
          <w:top w:val="none" w:sz="0" w:space="0" w:color="auto"/>
          <w:left w:val="none" w:sz="0" w:space="0" w:color="auto"/>
          <w:bottom w:val="none" w:sz="0" w:space="0" w:color="auto"/>
          <w:right w:val="none" w:sz="0" w:space="0" w:color="auto"/>
        </w:pBdr>
        <w:shd w:val="clear" w:color="auto" w:fill="E7E6E6" w:themeFill="background2"/>
      </w:pPr>
      <w:r>
        <w:t>The results may not be generalisable to all Australian RACFs and MPSs because participation was voluntary, and the majority of facilities were from a single state (Victoria) with a history of particip</w:t>
      </w:r>
      <w:r>
        <w:t>a</w:t>
      </w:r>
      <w:r>
        <w:t xml:space="preserve">tion in similar surveys. Additionally, most of the participating RACFs in Victoria were public facilities </w:t>
      </w:r>
      <w:r>
        <w:lastRenderedPageBreak/>
        <w:t>that are associated with acute healthcare facilities – this is not the case in other states and territ</w:t>
      </w:r>
      <w:r>
        <w:t>o</w:t>
      </w:r>
      <w:r>
        <w:t>ries.</w:t>
      </w:r>
    </w:p>
    <w:p w:rsidR="002A1FC0" w:rsidRDefault="002A1FC0" w:rsidP="005660B3">
      <w:pPr>
        <w:pStyle w:val="BoxHeading"/>
        <w:pBdr>
          <w:top w:val="none" w:sz="0" w:space="0" w:color="auto"/>
          <w:left w:val="none" w:sz="0" w:space="0" w:color="auto"/>
          <w:bottom w:val="none" w:sz="0" w:space="0" w:color="auto"/>
          <w:right w:val="none" w:sz="0" w:space="0" w:color="auto"/>
        </w:pBdr>
        <w:shd w:val="clear" w:color="auto" w:fill="E7E6E6" w:themeFill="background2"/>
      </w:pPr>
      <w:r>
        <w:t>Infection definitions</w:t>
      </w:r>
    </w:p>
    <w:p w:rsidR="002A1FC0" w:rsidRDefault="002A1FC0" w:rsidP="005660B3">
      <w:pPr>
        <w:pStyle w:val="BoxText"/>
        <w:pBdr>
          <w:top w:val="none" w:sz="0" w:space="0" w:color="auto"/>
          <w:left w:val="none" w:sz="0" w:space="0" w:color="auto"/>
          <w:bottom w:val="none" w:sz="0" w:space="0" w:color="auto"/>
          <w:right w:val="none" w:sz="0" w:space="0" w:color="auto"/>
        </w:pBdr>
        <w:shd w:val="clear" w:color="auto" w:fill="E7E6E6" w:themeFill="background2"/>
      </w:pPr>
      <w:r>
        <w:t>The McGeer infection surveillance definitions have been designed to increase the likelihood that events captured are confirmed infections. Signs and symptoms of infection in older residents may be atypical, so failure to meet the definitions may not fully exclude the presence of a confirmed infe</w:t>
      </w:r>
      <w:r>
        <w:t>c</w:t>
      </w:r>
      <w:r>
        <w:t>tion. In other words, the definitions have been designed for specificity at the expense of sensitivity – although they will detect very few false positives, some infections may be missed.</w:t>
      </w:r>
    </w:p>
    <w:p w:rsidR="002A1FC0" w:rsidRDefault="002A1FC0" w:rsidP="005660B3">
      <w:pPr>
        <w:pStyle w:val="BoxText"/>
        <w:pBdr>
          <w:top w:val="none" w:sz="0" w:space="0" w:color="auto"/>
          <w:left w:val="none" w:sz="0" w:space="0" w:color="auto"/>
          <w:bottom w:val="none" w:sz="0" w:space="0" w:color="auto"/>
          <w:right w:val="none" w:sz="0" w:space="0" w:color="auto"/>
        </w:pBdr>
        <w:shd w:val="clear" w:color="auto" w:fill="E7E6E6" w:themeFill="background2"/>
      </w:pPr>
      <w:r>
        <w:t>The McGeer definitions require microbiological confirmation for some infections; this means that these infections will not be confirmed unless specimens are taken.</w:t>
      </w:r>
    </w:p>
    <w:p w:rsidR="002A1FC0" w:rsidRDefault="002A1FC0" w:rsidP="005660B3">
      <w:pPr>
        <w:pStyle w:val="BoxHeading"/>
        <w:pBdr>
          <w:top w:val="none" w:sz="0" w:space="0" w:color="auto"/>
          <w:left w:val="none" w:sz="0" w:space="0" w:color="auto"/>
          <w:bottom w:val="none" w:sz="0" w:space="0" w:color="auto"/>
          <w:right w:val="none" w:sz="0" w:space="0" w:color="auto"/>
        </w:pBdr>
        <w:shd w:val="clear" w:color="auto" w:fill="E7E6E6" w:themeFill="background2"/>
      </w:pPr>
      <w:r>
        <w:t>Seasonal variation</w:t>
      </w:r>
    </w:p>
    <w:p w:rsidR="002A1FC0" w:rsidRDefault="002A1FC0" w:rsidP="005660B3">
      <w:pPr>
        <w:pStyle w:val="BoxText"/>
        <w:pBdr>
          <w:top w:val="none" w:sz="0" w:space="0" w:color="auto"/>
          <w:left w:val="none" w:sz="0" w:space="0" w:color="auto"/>
          <w:bottom w:val="none" w:sz="0" w:space="0" w:color="auto"/>
          <w:right w:val="none" w:sz="0" w:space="0" w:color="auto"/>
        </w:pBdr>
        <w:shd w:val="clear" w:color="auto" w:fill="E7E6E6" w:themeFill="background2"/>
      </w:pPr>
      <w:r>
        <w:t>The survey was conducted during winter. The results may have been different in another season.</w:t>
      </w:r>
    </w:p>
    <w:p w:rsidR="002A1FC0" w:rsidRDefault="002A1FC0" w:rsidP="005660B3">
      <w:pPr>
        <w:pStyle w:val="BoxHeading"/>
        <w:pBdr>
          <w:top w:val="none" w:sz="0" w:space="0" w:color="auto"/>
          <w:left w:val="none" w:sz="0" w:space="0" w:color="auto"/>
          <w:bottom w:val="none" w:sz="0" w:space="0" w:color="auto"/>
          <w:right w:val="none" w:sz="0" w:space="0" w:color="auto"/>
        </w:pBdr>
        <w:shd w:val="clear" w:color="auto" w:fill="E7E6E6" w:themeFill="background2"/>
      </w:pPr>
      <w:r>
        <w:t>Validation</w:t>
      </w:r>
    </w:p>
    <w:p w:rsidR="002A1FC0" w:rsidRDefault="002A1FC0" w:rsidP="005660B3">
      <w:pPr>
        <w:pStyle w:val="BoxText"/>
        <w:pBdr>
          <w:top w:val="none" w:sz="0" w:space="0" w:color="auto"/>
          <w:left w:val="none" w:sz="0" w:space="0" w:color="auto"/>
          <w:bottom w:val="none" w:sz="0" w:space="0" w:color="auto"/>
          <w:right w:val="none" w:sz="0" w:space="0" w:color="auto"/>
        </w:pBdr>
        <w:shd w:val="clear" w:color="auto" w:fill="E7E6E6" w:themeFill="background2"/>
      </w:pPr>
      <w:r>
        <w:t>Comprehensive validation and reliability testing is currently under way.</w:t>
      </w:r>
    </w:p>
    <w:p w:rsidR="00F87897" w:rsidRDefault="00F87897">
      <w:pPr>
        <w:pStyle w:val="Heading1"/>
      </w:pPr>
      <w:bookmarkStart w:id="10" w:name="_Toc451169571"/>
      <w:r>
        <w:lastRenderedPageBreak/>
        <w:t>Results</w:t>
      </w:r>
      <w:bookmarkEnd w:id="10"/>
    </w:p>
    <w:p w:rsidR="00F87897" w:rsidRDefault="00F87897">
      <w:pPr>
        <w:pStyle w:val="Heading2"/>
        <w:ind w:left="576" w:hanging="576"/>
      </w:pPr>
      <w:bookmarkStart w:id="11" w:name="_Toc451169572"/>
      <w:r>
        <w:t>Participating facilities</w:t>
      </w:r>
      <w:bookmarkEnd w:id="11"/>
    </w:p>
    <w:p w:rsidR="00A136DC" w:rsidRDefault="00F87897">
      <w:r>
        <w:t>A total of 186 residential aged care facilities (RACFs) and multipurpose services participated in the 2015 pilot Aged Care National Antimicrobial Prescribing Survey (acNAPS). They represented all r</w:t>
      </w:r>
      <w:r>
        <w:t>e</w:t>
      </w:r>
      <w:r>
        <w:t xml:space="preserve">moteness areas, provider types and jurisdictions, except the Australian Capital Territory and the Northern Territory (Table 2). </w:t>
      </w:r>
    </w:p>
    <w:p w:rsidR="00EB0381" w:rsidRDefault="00EB0381" w:rsidP="00EB0381">
      <w:pPr>
        <w:pStyle w:val="TableName"/>
      </w:pPr>
      <w:r>
        <w:t>Table</w:t>
      </w:r>
      <w:r w:rsidR="00AF29D9">
        <w:rPr>
          <w:rStyle w:val="whitetext"/>
        </w:rPr>
        <w:t xml:space="preserve"> </w:t>
      </w:r>
      <w:r>
        <w:t>2</w:t>
      </w:r>
      <w:r>
        <w:tab/>
        <w:t>Participating</w:t>
      </w:r>
      <w:r w:rsidR="002A1FC0">
        <w:rPr>
          <w:rStyle w:val="whitetext"/>
        </w:rPr>
        <w:t xml:space="preserve"> </w:t>
      </w:r>
      <w:r>
        <w:t>RACFs</w:t>
      </w:r>
      <w:r w:rsidR="002A1FC0">
        <w:t xml:space="preserve"> </w:t>
      </w:r>
      <w:r w:rsidR="006F7188">
        <w:t xml:space="preserve">or MPSs </w:t>
      </w:r>
      <w:r>
        <w:t>by</w:t>
      </w:r>
      <w:r w:rsidR="002A1FC0">
        <w:t xml:space="preserve"> </w:t>
      </w:r>
      <w:r>
        <w:t>state,</w:t>
      </w:r>
      <w:r w:rsidR="002A1FC0">
        <w:t xml:space="preserve"> </w:t>
      </w:r>
      <w:r>
        <w:t>remoteness</w:t>
      </w:r>
      <w:r w:rsidR="002A1FC0">
        <w:t xml:space="preserve"> </w:t>
      </w:r>
      <w:r>
        <w:t>and</w:t>
      </w:r>
      <w:r w:rsidR="002A1FC0">
        <w:t xml:space="preserve"> </w:t>
      </w:r>
      <w:r>
        <w:t>provider</w:t>
      </w:r>
      <w:r w:rsidR="002A1FC0">
        <w:t xml:space="preserve"> </w:t>
      </w:r>
      <w:r>
        <w:t>type</w:t>
      </w:r>
    </w:p>
    <w:tbl>
      <w:tblPr>
        <w:tblW w:w="0" w:type="auto"/>
        <w:tblInd w:w="85" w:type="dxa"/>
        <w:tblLayout w:type="fixed"/>
        <w:tblCellMar>
          <w:left w:w="0" w:type="dxa"/>
          <w:right w:w="0" w:type="dxa"/>
        </w:tblCellMar>
        <w:tblLook w:val="0000" w:firstRow="0" w:lastRow="0" w:firstColumn="0" w:lastColumn="0" w:noHBand="0" w:noVBand="0"/>
      </w:tblPr>
      <w:tblGrid>
        <w:gridCol w:w="2602"/>
        <w:gridCol w:w="2636"/>
        <w:gridCol w:w="4400"/>
      </w:tblGrid>
      <w:tr w:rsidR="00EB0381" w:rsidRPr="00EB0381" w:rsidTr="00E81792">
        <w:trPr>
          <w:trHeight w:val="60"/>
          <w:tblHeader/>
        </w:trPr>
        <w:tc>
          <w:tcPr>
            <w:tcW w:w="5238" w:type="dxa"/>
            <w:gridSpan w:val="2"/>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EB0381" w:rsidRDefault="00EB0381" w:rsidP="00E81792">
            <w:pPr>
              <w:pStyle w:val="TableHeading"/>
            </w:pPr>
            <w:r>
              <w:t>Category</w:t>
            </w:r>
          </w:p>
        </w:tc>
        <w:tc>
          <w:tcPr>
            <w:tcW w:w="4400"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EB0381" w:rsidRDefault="00EB0381" w:rsidP="00E81792">
            <w:pPr>
              <w:pStyle w:val="TableHeadingCA"/>
            </w:pPr>
            <w:r>
              <w:t>Number of RACFs (%)</w:t>
            </w:r>
          </w:p>
        </w:tc>
      </w:tr>
      <w:tr w:rsidR="00EB0381" w:rsidRPr="00EB0381" w:rsidTr="00E81792">
        <w:trPr>
          <w:trHeight w:val="60"/>
        </w:trPr>
        <w:tc>
          <w:tcPr>
            <w:tcW w:w="2602" w:type="dxa"/>
            <w:vMerge w:val="restart"/>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EB0381" w:rsidRDefault="00EB0381" w:rsidP="00E81792">
            <w:pPr>
              <w:pStyle w:val="TableText"/>
            </w:pPr>
            <w:r>
              <w:t>State</w:t>
            </w: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NSW</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17</w:t>
            </w:r>
            <w:r>
              <w:rPr>
                <w:rStyle w:val="whitetext"/>
              </w:rPr>
              <w:t>.</w:t>
            </w:r>
            <w:r>
              <w:t>(9.1)</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Qld</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7</w:t>
            </w:r>
            <w:r>
              <w:rPr>
                <w:rStyle w:val="whitetext"/>
              </w:rPr>
              <w:t>.</w:t>
            </w:r>
            <w:r>
              <w:t>(3.8)</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SA</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8</w:t>
            </w:r>
            <w:r w:rsidR="00AF29D9">
              <w:rPr>
                <w:rStyle w:val="whitetext"/>
              </w:rPr>
              <w:t xml:space="preserve"> </w:t>
            </w:r>
            <w:r>
              <w:t>(4.3)</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Tas</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6</w:t>
            </w:r>
            <w:r w:rsidR="00AF29D9">
              <w:rPr>
                <w:rStyle w:val="whitetext"/>
              </w:rPr>
              <w:t xml:space="preserve"> </w:t>
            </w:r>
            <w:r>
              <w:t>(3.2)</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Vic</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130</w:t>
            </w:r>
            <w:r w:rsidR="00AF29D9">
              <w:rPr>
                <w:rStyle w:val="whitetext"/>
              </w:rPr>
              <w:t xml:space="preserve"> </w:t>
            </w:r>
            <w:r>
              <w:t>(69.9)</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WA</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18</w:t>
            </w:r>
            <w:r w:rsidR="00AF29D9">
              <w:rPr>
                <w:rStyle w:val="whitetext"/>
              </w:rPr>
              <w:t xml:space="preserve"> </w:t>
            </w:r>
            <w:r>
              <w:t>(9.7)</w:t>
            </w:r>
          </w:p>
        </w:tc>
      </w:tr>
      <w:tr w:rsidR="00EB0381" w:rsidRPr="00EB0381" w:rsidTr="00E81792">
        <w:trPr>
          <w:trHeight w:val="60"/>
        </w:trPr>
        <w:tc>
          <w:tcPr>
            <w:tcW w:w="2602" w:type="dxa"/>
            <w:vMerge w:val="restart"/>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EB0381" w:rsidRDefault="00EB0381" w:rsidP="00E81792">
            <w:pPr>
              <w:pStyle w:val="TableText"/>
            </w:pPr>
            <w:r>
              <w:t>Remoteness</w:t>
            </w:r>
            <w:r>
              <w:rPr>
                <w:rStyle w:val="Superscript"/>
              </w:rPr>
              <w:t>a</w:t>
            </w: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Major</w:t>
            </w:r>
            <w:r w:rsidR="002A1FC0">
              <w:rPr>
                <w:rStyle w:val="whitetext"/>
              </w:rPr>
              <w:t xml:space="preserve"> </w:t>
            </w:r>
            <w:r>
              <w:t>cities</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51</w:t>
            </w:r>
            <w:r w:rsidR="00AF29D9">
              <w:rPr>
                <w:rStyle w:val="whitetext"/>
              </w:rPr>
              <w:t xml:space="preserve"> </w:t>
            </w:r>
            <w:r>
              <w:t>(27.4)</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2A1FC0">
            <w:pPr>
              <w:pStyle w:val="TableText"/>
            </w:pPr>
            <w:r>
              <w:t>Inner</w:t>
            </w:r>
            <w:r w:rsidR="002A1FC0">
              <w:t xml:space="preserve"> </w:t>
            </w:r>
            <w:r>
              <w:t>regional</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81</w:t>
            </w:r>
            <w:r w:rsidR="00AF29D9">
              <w:rPr>
                <w:rStyle w:val="whitetext"/>
              </w:rPr>
              <w:t xml:space="preserve"> </w:t>
            </w:r>
            <w:r>
              <w:t>(43.5)</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Outer</w:t>
            </w:r>
            <w:r w:rsidR="002A1FC0">
              <w:rPr>
                <w:rStyle w:val="whitetext"/>
              </w:rPr>
              <w:t xml:space="preserve"> </w:t>
            </w:r>
            <w:r>
              <w:t>regional</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45</w:t>
            </w:r>
            <w:r w:rsidR="00AF29D9">
              <w:rPr>
                <w:rStyle w:val="whitetext"/>
              </w:rPr>
              <w:t xml:space="preserve"> </w:t>
            </w:r>
            <w:r>
              <w:t>(24.2)</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Remote</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8</w:t>
            </w:r>
            <w:r w:rsidR="00AF29D9">
              <w:rPr>
                <w:rStyle w:val="whitetext"/>
              </w:rPr>
              <w:t xml:space="preserve"> </w:t>
            </w:r>
            <w:r>
              <w:t>(4.3)</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Very</w:t>
            </w:r>
            <w:r w:rsidR="002A1FC0">
              <w:rPr>
                <w:rStyle w:val="whitetext"/>
              </w:rPr>
              <w:t xml:space="preserve"> </w:t>
            </w:r>
            <w:r>
              <w:t>remote</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1</w:t>
            </w:r>
            <w:r>
              <w:rPr>
                <w:rStyle w:val="whitetext"/>
              </w:rPr>
              <w:t>.</w:t>
            </w:r>
            <w:r>
              <w:t>(0.5)</w:t>
            </w:r>
          </w:p>
        </w:tc>
      </w:tr>
      <w:tr w:rsidR="00EB0381" w:rsidRPr="00EB0381" w:rsidTr="00E81792">
        <w:trPr>
          <w:trHeight w:val="60"/>
        </w:trPr>
        <w:tc>
          <w:tcPr>
            <w:tcW w:w="2602" w:type="dxa"/>
            <w:vMerge w:val="restart"/>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EB0381" w:rsidRDefault="00EB0381" w:rsidP="00E81792">
            <w:pPr>
              <w:pStyle w:val="TableText"/>
            </w:pPr>
            <w:r>
              <w:t>Provider type</w:t>
            </w:r>
          </w:p>
        </w:tc>
        <w:tc>
          <w:tcPr>
            <w:tcW w:w="2636" w:type="dxa"/>
            <w:tcBorders>
              <w:top w:val="single" w:sz="4" w:space="0" w:color="000000"/>
              <w:left w:val="single" w:sz="6" w:space="0" w:color="FFFFFF"/>
              <w:bottom w:val="single" w:sz="6" w:space="0" w:color="000000"/>
              <w:right w:val="single" w:sz="6" w:space="0" w:color="FFFFFF"/>
            </w:tcBorders>
            <w:tcMar>
              <w:top w:w="113" w:type="dxa"/>
              <w:left w:w="85" w:type="dxa"/>
              <w:bottom w:w="113" w:type="dxa"/>
              <w:right w:w="85" w:type="dxa"/>
            </w:tcMar>
            <w:vAlign w:val="bottom"/>
          </w:tcPr>
          <w:p w:rsidR="00EB0381" w:rsidRDefault="00EB0381" w:rsidP="002A1FC0">
            <w:pPr>
              <w:pStyle w:val="TableText"/>
            </w:pPr>
            <w:r>
              <w:t>Not</w:t>
            </w:r>
            <w:r w:rsidR="002A1FC0">
              <w:rPr>
                <w:rStyle w:val="whitetext"/>
              </w:rPr>
              <w:t xml:space="preserve"> </w:t>
            </w:r>
            <w:r>
              <w:t>for</w:t>
            </w:r>
            <w:r w:rsidR="002A1FC0">
              <w:t xml:space="preserve"> </w:t>
            </w:r>
            <w:r>
              <w:t>profit</w:t>
            </w:r>
          </w:p>
        </w:tc>
        <w:tc>
          <w:tcPr>
            <w:tcW w:w="4400" w:type="dxa"/>
            <w:tcBorders>
              <w:top w:val="single" w:sz="4" w:space="0" w:color="000000"/>
              <w:left w:val="single" w:sz="6" w:space="0" w:color="FFFFFF"/>
              <w:bottom w:val="single" w:sz="6" w:space="0" w:color="000000"/>
              <w:right w:val="single" w:sz="6" w:space="0" w:color="FFFFFF"/>
            </w:tcBorders>
            <w:tcMar>
              <w:top w:w="113" w:type="dxa"/>
              <w:left w:w="113" w:type="dxa"/>
              <w:bottom w:w="113" w:type="dxa"/>
              <w:right w:w="283" w:type="dxa"/>
            </w:tcMar>
            <w:vAlign w:val="bottom"/>
          </w:tcPr>
          <w:p w:rsidR="00EB0381" w:rsidRDefault="00EB0381" w:rsidP="00AF29D9">
            <w:pPr>
              <w:pStyle w:val="TableTextDA"/>
            </w:pPr>
            <w:r>
              <w:t>37</w:t>
            </w:r>
            <w:r w:rsidR="00AF29D9">
              <w:t xml:space="preserve"> </w:t>
            </w:r>
            <w:r>
              <w:t>(19.9)</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6" w:space="0" w:color="000000"/>
              <w:left w:val="single" w:sz="6" w:space="0" w:color="FFFFFF"/>
              <w:bottom w:val="single" w:sz="6" w:space="0" w:color="000000"/>
              <w:right w:val="single" w:sz="6" w:space="0" w:color="FFFFFF"/>
            </w:tcBorders>
            <w:tcMar>
              <w:top w:w="113" w:type="dxa"/>
              <w:left w:w="85" w:type="dxa"/>
              <w:bottom w:w="113" w:type="dxa"/>
              <w:right w:w="85" w:type="dxa"/>
            </w:tcMar>
            <w:vAlign w:val="bottom"/>
          </w:tcPr>
          <w:p w:rsidR="00EB0381" w:rsidRDefault="00EB0381" w:rsidP="00E81792">
            <w:pPr>
              <w:pStyle w:val="TableBullet"/>
            </w:pPr>
            <w:r>
              <w:rPr>
                <w:rStyle w:val="Emphasis"/>
                <w:rFonts w:cs="Gotham-Book"/>
              </w:rPr>
              <w:t>charitable</w:t>
            </w:r>
          </w:p>
        </w:tc>
        <w:tc>
          <w:tcPr>
            <w:tcW w:w="4400" w:type="dxa"/>
            <w:tcBorders>
              <w:top w:val="single" w:sz="6" w:space="0" w:color="000000"/>
              <w:left w:val="single" w:sz="6" w:space="0" w:color="FFFFFF"/>
              <w:bottom w:val="single" w:sz="6"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rPr>
                <w:rStyle w:val="Emphasis"/>
                <w:rFonts w:cs="Gotham-Book"/>
              </w:rPr>
              <w:t>9</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6" w:space="0" w:color="000000"/>
              <w:left w:val="single" w:sz="6" w:space="0" w:color="FFFFFF"/>
              <w:bottom w:val="single" w:sz="6" w:space="0" w:color="000000"/>
              <w:right w:val="single" w:sz="6" w:space="0" w:color="FFFFFF"/>
            </w:tcBorders>
            <w:tcMar>
              <w:top w:w="113" w:type="dxa"/>
              <w:left w:w="85" w:type="dxa"/>
              <w:bottom w:w="113" w:type="dxa"/>
              <w:right w:w="85" w:type="dxa"/>
            </w:tcMar>
            <w:vAlign w:val="bottom"/>
          </w:tcPr>
          <w:p w:rsidR="00EB0381" w:rsidRDefault="00EB0381" w:rsidP="00E81792">
            <w:pPr>
              <w:pStyle w:val="TableBullet"/>
            </w:pPr>
            <w:r>
              <w:rPr>
                <w:rStyle w:val="Emphasis"/>
                <w:rFonts w:cs="Gotham-Book"/>
              </w:rPr>
              <w:t>religious</w:t>
            </w:r>
          </w:p>
        </w:tc>
        <w:tc>
          <w:tcPr>
            <w:tcW w:w="4400" w:type="dxa"/>
            <w:tcBorders>
              <w:top w:val="single" w:sz="6" w:space="0" w:color="000000"/>
              <w:left w:val="single" w:sz="6" w:space="0" w:color="FFFFFF"/>
              <w:bottom w:val="single" w:sz="6"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rPr>
                <w:rStyle w:val="Emphasis"/>
                <w:rFonts w:cs="Gotham-Book"/>
              </w:rPr>
              <w:t>20</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6"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Bullet"/>
            </w:pPr>
            <w:r>
              <w:rPr>
                <w:rStyle w:val="Emphasis"/>
                <w:rFonts w:cs="Gotham-Book"/>
              </w:rPr>
              <w:t>community based</w:t>
            </w:r>
          </w:p>
        </w:tc>
        <w:tc>
          <w:tcPr>
            <w:tcW w:w="4400" w:type="dxa"/>
            <w:tcBorders>
              <w:top w:val="single" w:sz="6"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rPr>
                <w:rStyle w:val="Emphasis"/>
                <w:rFonts w:cs="Gotham-Book"/>
              </w:rPr>
              <w:t>8</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4" w:space="0" w:color="000000"/>
              <w:left w:val="single" w:sz="6" w:space="0" w:color="FFFFFF"/>
              <w:bottom w:val="single" w:sz="6"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Government</w:t>
            </w:r>
          </w:p>
        </w:tc>
        <w:tc>
          <w:tcPr>
            <w:tcW w:w="4400" w:type="dxa"/>
            <w:tcBorders>
              <w:top w:val="single" w:sz="4" w:space="0" w:color="000000"/>
              <w:left w:val="single" w:sz="6" w:space="0" w:color="FFFFFF"/>
              <w:bottom w:val="single" w:sz="6"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141</w:t>
            </w:r>
            <w:r>
              <w:rPr>
                <w:rStyle w:val="whitetext"/>
              </w:rPr>
              <w:t>.</w:t>
            </w:r>
            <w:r>
              <w:t>(75.8)</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6" w:space="0" w:color="000000"/>
              <w:left w:val="single" w:sz="6" w:space="0" w:color="FFFFFF"/>
              <w:bottom w:val="single" w:sz="6" w:space="0" w:color="000000"/>
              <w:right w:val="single" w:sz="6" w:space="0" w:color="FFFFFF"/>
            </w:tcBorders>
            <w:tcMar>
              <w:top w:w="113" w:type="dxa"/>
              <w:left w:w="85" w:type="dxa"/>
              <w:bottom w:w="113" w:type="dxa"/>
              <w:right w:w="85" w:type="dxa"/>
            </w:tcMar>
            <w:vAlign w:val="bottom"/>
          </w:tcPr>
          <w:p w:rsidR="00EB0381" w:rsidRDefault="00EB0381" w:rsidP="00E81792">
            <w:pPr>
              <w:pStyle w:val="TableBullet"/>
            </w:pPr>
            <w:r>
              <w:rPr>
                <w:rStyle w:val="Emphasis"/>
                <w:rFonts w:cs="Gotham-Book"/>
              </w:rPr>
              <w:t>state</w:t>
            </w:r>
          </w:p>
        </w:tc>
        <w:tc>
          <w:tcPr>
            <w:tcW w:w="4400" w:type="dxa"/>
            <w:tcBorders>
              <w:top w:val="single" w:sz="6" w:space="0" w:color="000000"/>
              <w:left w:val="single" w:sz="6" w:space="0" w:color="FFFFFF"/>
              <w:bottom w:val="single" w:sz="6"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rPr>
                <w:rStyle w:val="Emphasis"/>
                <w:rFonts w:cs="Gotham-Book"/>
              </w:rPr>
              <w:t>140</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6"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Bullet"/>
            </w:pPr>
            <w:r>
              <w:rPr>
                <w:rStyle w:val="Emphasis"/>
                <w:rFonts w:cs="Gotham-Book"/>
              </w:rPr>
              <w:t>local</w:t>
            </w:r>
          </w:p>
        </w:tc>
        <w:tc>
          <w:tcPr>
            <w:tcW w:w="4400" w:type="dxa"/>
            <w:tcBorders>
              <w:top w:val="single" w:sz="6"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rPr>
                <w:rStyle w:val="Emphasis"/>
                <w:rFonts w:cs="Gotham-Book"/>
              </w:rPr>
              <w:t>1</w:t>
            </w:r>
          </w:p>
        </w:tc>
      </w:tr>
      <w:tr w:rsidR="00EB0381" w:rsidRPr="00EB0381" w:rsidTr="00E81792">
        <w:trPr>
          <w:trHeight w:val="60"/>
        </w:trPr>
        <w:tc>
          <w:tcPr>
            <w:tcW w:w="2602" w:type="dxa"/>
            <w:vMerge/>
            <w:tcBorders>
              <w:top w:val="single" w:sz="4" w:space="0" w:color="000000"/>
              <w:left w:val="single" w:sz="6" w:space="0" w:color="FFFFFF"/>
              <w:bottom w:val="single" w:sz="4" w:space="0" w:color="000000"/>
              <w:right w:val="single" w:sz="6" w:space="0" w:color="FFFFFF"/>
            </w:tcBorders>
          </w:tcPr>
          <w:p w:rsidR="00EB0381" w:rsidRPr="00EB0381" w:rsidRDefault="00EB0381" w:rsidP="00E81792">
            <w:pPr>
              <w:pStyle w:val="NoParagraphStyle"/>
              <w:spacing w:line="240" w:lineRule="auto"/>
              <w:textAlignment w:val="auto"/>
              <w:rPr>
                <w:rFonts w:ascii="Gotham-Book" w:hAnsi="Gotham-Book" w:cs="Times New Roman"/>
                <w:color w:val="auto"/>
                <w:lang w:val="en-AU"/>
              </w:rPr>
            </w:pPr>
          </w:p>
        </w:tc>
        <w:tc>
          <w:tcPr>
            <w:tcW w:w="263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Private</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8</w:t>
            </w:r>
            <w:r>
              <w:rPr>
                <w:rStyle w:val="whitetext"/>
              </w:rPr>
              <w:t>.</w:t>
            </w:r>
            <w:r>
              <w:t>(4.3)</w:t>
            </w:r>
          </w:p>
        </w:tc>
      </w:tr>
      <w:tr w:rsidR="00EB0381" w:rsidRPr="00EB0381" w:rsidTr="00E81792">
        <w:trPr>
          <w:trHeight w:val="60"/>
        </w:trPr>
        <w:tc>
          <w:tcPr>
            <w:tcW w:w="5238" w:type="dxa"/>
            <w:gridSpan w:val="2"/>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EB0381" w:rsidRDefault="00EB0381" w:rsidP="00E81792">
            <w:pPr>
              <w:pStyle w:val="TableText"/>
            </w:pPr>
            <w:r>
              <w:t>Total</w:t>
            </w:r>
          </w:p>
        </w:tc>
        <w:tc>
          <w:tcPr>
            <w:tcW w:w="440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EB0381" w:rsidRDefault="00EB0381" w:rsidP="00E81792">
            <w:pPr>
              <w:pStyle w:val="TableTextDA"/>
            </w:pPr>
            <w:r>
              <w:t>186</w:t>
            </w:r>
          </w:p>
        </w:tc>
      </w:tr>
    </w:tbl>
    <w:p w:rsidR="00EB0381" w:rsidRDefault="00EB0381" w:rsidP="00EB0381">
      <w:pPr>
        <w:pStyle w:val="TFAbbrevs"/>
      </w:pPr>
      <w:r>
        <w:t>NSW = New</w:t>
      </w:r>
      <w:r>
        <w:rPr>
          <w:rStyle w:val="whitetext"/>
        </w:rPr>
        <w:t> </w:t>
      </w:r>
      <w:r>
        <w:t>South Wales;</w:t>
      </w:r>
      <w:r>
        <w:rPr>
          <w:rStyle w:val="whitetext"/>
        </w:rPr>
        <w:t xml:space="preserve"> </w:t>
      </w:r>
      <w:r>
        <w:t>Qld =</w:t>
      </w:r>
      <w:r>
        <w:rPr>
          <w:rStyle w:val="whitetext"/>
        </w:rPr>
        <w:t> </w:t>
      </w:r>
      <w:r>
        <w:t>Queensland; RACF = residential aged care facility; SA = South Australia; Tas = Tasmania; Vic = Victoria; WA = Western</w:t>
      </w:r>
      <w:r w:rsidR="002A1FC0">
        <w:rPr>
          <w:rStyle w:val="whitetext"/>
        </w:rPr>
        <w:t xml:space="preserve"> </w:t>
      </w:r>
      <w:r>
        <w:t>Australia</w:t>
      </w:r>
    </w:p>
    <w:p w:rsidR="00183E97" w:rsidRDefault="00EB0381" w:rsidP="00EB0381">
      <w:pPr>
        <w:pStyle w:val="TFListNotesSpace"/>
      </w:pPr>
      <w:r>
        <w:t>a</w:t>
      </w:r>
      <w:r>
        <w:tab/>
        <w:t>Australian</w:t>
      </w:r>
      <w:r>
        <w:rPr>
          <w:rStyle w:val="whitetext"/>
        </w:rPr>
        <w:t xml:space="preserve"> </w:t>
      </w:r>
      <w:r>
        <w:t>Standard Geographic Classification Remoteness Areas</w:t>
      </w:r>
    </w:p>
    <w:p w:rsidR="00F87897" w:rsidRDefault="00F87897">
      <w:pPr>
        <w:pStyle w:val="NormalBeforeBullet"/>
      </w:pPr>
      <w:r>
        <w:t>Sixty-eight RACFs (36.6%) responded to questions about their level of access to resources and pha</w:t>
      </w:r>
      <w:r>
        <w:t>r</w:t>
      </w:r>
      <w:r>
        <w:t>macy services. Of these:</w:t>
      </w:r>
    </w:p>
    <w:p w:rsidR="00F87897" w:rsidRDefault="00F87897">
      <w:pPr>
        <w:pStyle w:val="Bullet"/>
        <w:rPr>
          <w:spacing w:val="-1"/>
        </w:rPr>
      </w:pPr>
      <w:r>
        <w:rPr>
          <w:spacing w:val="-1"/>
        </w:rPr>
        <w:t>about half (54.4%) used an electronic clinical and administrative resident management system</w:t>
      </w:r>
    </w:p>
    <w:p w:rsidR="00F87897" w:rsidRDefault="00F87897">
      <w:pPr>
        <w:pStyle w:val="Bullet"/>
        <w:rPr>
          <w:rStyle w:val="Emphasis"/>
          <w:rFonts w:cs="Gotham-Book"/>
          <w:spacing w:val="-1"/>
        </w:rPr>
      </w:pPr>
      <w:r>
        <w:rPr>
          <w:spacing w:val="-1"/>
        </w:rPr>
        <w:t xml:space="preserve">14.7% did not have access to </w:t>
      </w:r>
      <w:r>
        <w:rPr>
          <w:rStyle w:val="Emphasis"/>
          <w:rFonts w:cs="Gotham-Book"/>
          <w:spacing w:val="-1"/>
        </w:rPr>
        <w:t>Therapeutic Guidelines: Antibiotic</w:t>
      </w:r>
    </w:p>
    <w:p w:rsidR="00F87897" w:rsidRDefault="00F87897">
      <w:pPr>
        <w:pStyle w:val="Bullet"/>
        <w:rPr>
          <w:spacing w:val="-1"/>
        </w:rPr>
      </w:pPr>
      <w:r>
        <w:rPr>
          <w:spacing w:val="-1"/>
        </w:rPr>
        <w:t>about one-third (32.4%) did not have electronic access to microbiology reports</w:t>
      </w:r>
    </w:p>
    <w:p w:rsidR="00F87897" w:rsidRDefault="00F87897">
      <w:pPr>
        <w:pStyle w:val="BulletLast"/>
      </w:pPr>
      <w:r>
        <w:rPr>
          <w:spacing w:val="-1"/>
        </w:rPr>
        <w:t>about half (48.5%) did not have access to any of the three Quality Use of Medicines (QUM) se</w:t>
      </w:r>
      <w:r>
        <w:rPr>
          <w:spacing w:val="-1"/>
        </w:rPr>
        <w:t>r</w:t>
      </w:r>
      <w:r>
        <w:rPr>
          <w:spacing w:val="-1"/>
        </w:rPr>
        <w:t>vices (education, surveying and medicines review). Only 17% had access to all three. The values for each of the QUM services individually were as shown in Table 3.</w:t>
      </w:r>
    </w:p>
    <w:p w:rsidR="00F87897" w:rsidRDefault="00F87897">
      <w:pPr>
        <w:pStyle w:val="TableName"/>
      </w:pPr>
      <w:r>
        <w:t>Table 3</w:t>
      </w:r>
      <w:r>
        <w:tab/>
        <w:t>Access of facilities to pharmacy services</w:t>
      </w:r>
    </w:p>
    <w:tbl>
      <w:tblPr>
        <w:tblW w:w="0" w:type="auto"/>
        <w:tblInd w:w="85" w:type="dxa"/>
        <w:tblLayout w:type="fixed"/>
        <w:tblCellMar>
          <w:left w:w="0" w:type="dxa"/>
          <w:right w:w="0" w:type="dxa"/>
        </w:tblCellMar>
        <w:tblLook w:val="0000" w:firstRow="0" w:lastRow="0" w:firstColumn="0" w:lastColumn="0" w:noHBand="0" w:noVBand="0"/>
      </w:tblPr>
      <w:tblGrid>
        <w:gridCol w:w="2835"/>
        <w:gridCol w:w="3544"/>
      </w:tblGrid>
      <w:tr w:rsidR="00F87897" w:rsidTr="005660B3">
        <w:trPr>
          <w:trHeight w:val="60"/>
          <w:tblHeader/>
        </w:trPr>
        <w:tc>
          <w:tcPr>
            <w:tcW w:w="2835"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F87897" w:rsidRDefault="00F87897">
            <w:pPr>
              <w:pStyle w:val="TableHeading"/>
            </w:pPr>
            <w:r>
              <w:t>Pharmacy service pr</w:t>
            </w:r>
            <w:r>
              <w:t>o</w:t>
            </w:r>
            <w:r>
              <w:t>vided</w:t>
            </w:r>
          </w:p>
        </w:tc>
        <w:tc>
          <w:tcPr>
            <w:tcW w:w="3544"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F87897" w:rsidRDefault="00F87897">
            <w:pPr>
              <w:pStyle w:val="TableHeadingCA"/>
            </w:pPr>
            <w:r>
              <w:t>Percentage (number) of facil</w:t>
            </w:r>
            <w:r>
              <w:t>i</w:t>
            </w:r>
            <w:r>
              <w:t>ties with access to service</w:t>
            </w:r>
          </w:p>
        </w:tc>
      </w:tr>
      <w:tr w:rsidR="00F87897" w:rsidTr="005660B3">
        <w:trPr>
          <w:trHeight w:val="378"/>
        </w:trPr>
        <w:tc>
          <w:tcPr>
            <w:tcW w:w="2835"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F87897" w:rsidRDefault="00F87897">
            <w:pPr>
              <w:pStyle w:val="TableText"/>
            </w:pPr>
            <w:r>
              <w:t>Education</w:t>
            </w:r>
          </w:p>
        </w:tc>
        <w:tc>
          <w:tcPr>
            <w:tcW w:w="3544"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624" w:type="dxa"/>
            </w:tcMar>
            <w:vAlign w:val="bottom"/>
          </w:tcPr>
          <w:p w:rsidR="00F87897" w:rsidRDefault="00F87897">
            <w:pPr>
              <w:pStyle w:val="TableTextDA"/>
            </w:pPr>
            <w:r>
              <w:t>35.3 (24)</w:t>
            </w:r>
          </w:p>
        </w:tc>
      </w:tr>
      <w:tr w:rsidR="00F87897" w:rsidTr="005660B3">
        <w:trPr>
          <w:trHeight w:val="60"/>
        </w:trPr>
        <w:tc>
          <w:tcPr>
            <w:tcW w:w="2835"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F87897" w:rsidRDefault="00F87897">
            <w:pPr>
              <w:pStyle w:val="TableText"/>
            </w:pPr>
            <w:r>
              <w:t>Surveying</w:t>
            </w:r>
          </w:p>
        </w:tc>
        <w:tc>
          <w:tcPr>
            <w:tcW w:w="3544"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624" w:type="dxa"/>
            </w:tcMar>
            <w:vAlign w:val="bottom"/>
          </w:tcPr>
          <w:p w:rsidR="00F87897" w:rsidRDefault="00F87897">
            <w:pPr>
              <w:pStyle w:val="TableTextDA"/>
            </w:pPr>
            <w:r>
              <w:t>33.8 (23)</w:t>
            </w:r>
          </w:p>
        </w:tc>
      </w:tr>
      <w:tr w:rsidR="00F87897" w:rsidTr="005660B3">
        <w:trPr>
          <w:trHeight w:val="60"/>
        </w:trPr>
        <w:tc>
          <w:tcPr>
            <w:tcW w:w="2835"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F87897" w:rsidRDefault="00F87897">
            <w:pPr>
              <w:pStyle w:val="TableText"/>
            </w:pPr>
            <w:r>
              <w:t>Medicines review</w:t>
            </w:r>
          </w:p>
        </w:tc>
        <w:tc>
          <w:tcPr>
            <w:tcW w:w="3544"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624" w:type="dxa"/>
            </w:tcMar>
            <w:vAlign w:val="bottom"/>
          </w:tcPr>
          <w:p w:rsidR="00F87897" w:rsidRDefault="00F87897">
            <w:pPr>
              <w:pStyle w:val="TableTextDA"/>
            </w:pPr>
            <w:r>
              <w:t>35.3 (24)</w:t>
            </w:r>
          </w:p>
        </w:tc>
      </w:tr>
    </w:tbl>
    <w:p w:rsidR="00F87897" w:rsidRDefault="00F87897">
      <w:r>
        <w:t>Table 4 summarises the data on risk factors for infection for all RACF residents in the acNAPS pilot on the survey day.</w:t>
      </w:r>
    </w:p>
    <w:p w:rsidR="00F87897" w:rsidRDefault="00F87897">
      <w:pPr>
        <w:pStyle w:val="TableName"/>
      </w:pPr>
      <w:r>
        <w:lastRenderedPageBreak/>
        <w:t>Table 4</w:t>
      </w:r>
      <w:r>
        <w:tab/>
        <w:t>Risk factors for infection for all residents present on the survey day (</w:t>
      </w:r>
      <w:r>
        <w:rPr>
          <w:rStyle w:val="Strongemphasis"/>
          <w:rFonts w:cs="Gotham-Medium"/>
          <w:b/>
          <w:bCs/>
        </w:rPr>
        <w:t>n</w:t>
      </w:r>
      <w:r>
        <w:t> = 7589)</w:t>
      </w:r>
    </w:p>
    <w:tbl>
      <w:tblPr>
        <w:tblW w:w="0" w:type="auto"/>
        <w:tblInd w:w="85" w:type="dxa"/>
        <w:tblLayout w:type="fixed"/>
        <w:tblCellMar>
          <w:left w:w="0" w:type="dxa"/>
          <w:right w:w="0" w:type="dxa"/>
        </w:tblCellMar>
        <w:tblLook w:val="0000" w:firstRow="0" w:lastRow="0" w:firstColumn="0" w:lastColumn="0" w:noHBand="0" w:noVBand="0"/>
      </w:tblPr>
      <w:tblGrid>
        <w:gridCol w:w="3593"/>
        <w:gridCol w:w="2126"/>
      </w:tblGrid>
      <w:tr w:rsidR="00F87897" w:rsidTr="00AF29D9">
        <w:trPr>
          <w:trHeight w:val="376"/>
          <w:tblHeader/>
        </w:trPr>
        <w:tc>
          <w:tcPr>
            <w:tcW w:w="3593"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F87897" w:rsidRDefault="00F87897">
            <w:pPr>
              <w:pStyle w:val="TableHeading"/>
            </w:pPr>
            <w:r>
              <w:t>Risk factor for infection</w:t>
            </w:r>
          </w:p>
        </w:tc>
        <w:tc>
          <w:tcPr>
            <w:tcW w:w="2126"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F87897" w:rsidRDefault="00F87897">
            <w:pPr>
              <w:pStyle w:val="TableHeadingCA"/>
            </w:pPr>
            <w:r>
              <w:t>National total (%)</w:t>
            </w:r>
          </w:p>
        </w:tc>
      </w:tr>
      <w:tr w:rsidR="00F87897" w:rsidTr="00AF29D9">
        <w:trPr>
          <w:trHeight w:val="60"/>
        </w:trPr>
        <w:tc>
          <w:tcPr>
            <w:tcW w:w="3593"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F87897" w:rsidRDefault="00F87897">
            <w:pPr>
              <w:pStyle w:val="TableText"/>
            </w:pPr>
            <w:r>
              <w:t>Age &gt;85 years</w:t>
            </w:r>
          </w:p>
        </w:tc>
        <w:tc>
          <w:tcPr>
            <w:tcW w:w="2126"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F87897" w:rsidRDefault="00F87897" w:rsidP="00AF29D9">
            <w:pPr>
              <w:pStyle w:val="TableTextCA"/>
            </w:pPr>
            <w:r>
              <w:t>3968</w:t>
            </w:r>
            <w:r w:rsidR="00EB0381">
              <w:t xml:space="preserve"> </w:t>
            </w:r>
            <w:r>
              <w:t>(52.3)</w:t>
            </w:r>
          </w:p>
        </w:tc>
      </w:tr>
      <w:tr w:rsidR="00F87897" w:rsidTr="00AF29D9">
        <w:trPr>
          <w:trHeight w:val="60"/>
        </w:trPr>
        <w:tc>
          <w:tcPr>
            <w:tcW w:w="3593"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F87897" w:rsidRDefault="00F87897">
            <w:pPr>
              <w:pStyle w:val="TableText"/>
            </w:pPr>
            <w:r>
              <w:t>Female</w:t>
            </w:r>
          </w:p>
        </w:tc>
        <w:tc>
          <w:tcPr>
            <w:tcW w:w="2126"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bottom"/>
          </w:tcPr>
          <w:p w:rsidR="00F87897" w:rsidRDefault="00F87897" w:rsidP="00AF29D9">
            <w:pPr>
              <w:pStyle w:val="TableTextCA"/>
            </w:pPr>
            <w:r>
              <w:t>4977</w:t>
            </w:r>
            <w:r w:rsidR="00EB0381">
              <w:rPr>
                <w:rStyle w:val="whitetext"/>
              </w:rPr>
              <w:t xml:space="preserve"> </w:t>
            </w:r>
            <w:r>
              <w:t>(65.6)</w:t>
            </w:r>
          </w:p>
        </w:tc>
      </w:tr>
      <w:tr w:rsidR="00F87897" w:rsidTr="00AF29D9">
        <w:trPr>
          <w:trHeight w:val="60"/>
        </w:trPr>
        <w:tc>
          <w:tcPr>
            <w:tcW w:w="3593"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F87897" w:rsidRDefault="00F87897">
            <w:pPr>
              <w:pStyle w:val="TableText"/>
            </w:pPr>
            <w:r>
              <w:t>Admitted to hospital in previous 30 days</w:t>
            </w:r>
          </w:p>
        </w:tc>
        <w:tc>
          <w:tcPr>
            <w:tcW w:w="2126"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center"/>
          </w:tcPr>
          <w:p w:rsidR="00F87897" w:rsidRDefault="00F87897" w:rsidP="00AF29D9">
            <w:pPr>
              <w:pStyle w:val="TableTextCA"/>
            </w:pPr>
            <w:r>
              <w:t>277</w:t>
            </w:r>
            <w:r w:rsidR="00EB0381">
              <w:rPr>
                <w:rStyle w:val="whitetext"/>
              </w:rPr>
              <w:t xml:space="preserve"> </w:t>
            </w:r>
            <w:r>
              <w:t>(3.7)</w:t>
            </w:r>
          </w:p>
        </w:tc>
      </w:tr>
      <w:tr w:rsidR="00F87897" w:rsidTr="00AF29D9">
        <w:trPr>
          <w:trHeight w:val="60"/>
        </w:trPr>
        <w:tc>
          <w:tcPr>
            <w:tcW w:w="3593"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F87897" w:rsidRDefault="00F87897">
            <w:pPr>
              <w:pStyle w:val="TableText"/>
            </w:pPr>
            <w:r>
              <w:t>Intravenous catheter present</w:t>
            </w:r>
          </w:p>
        </w:tc>
        <w:tc>
          <w:tcPr>
            <w:tcW w:w="2126"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center"/>
          </w:tcPr>
          <w:p w:rsidR="00F87897" w:rsidRDefault="00F87897" w:rsidP="00AF29D9">
            <w:pPr>
              <w:pStyle w:val="TableTextCA"/>
            </w:pPr>
            <w:r>
              <w:t>7</w:t>
            </w:r>
            <w:r w:rsidR="00EB0381">
              <w:rPr>
                <w:rStyle w:val="whitetext"/>
              </w:rPr>
              <w:t xml:space="preserve"> </w:t>
            </w:r>
            <w:r>
              <w:t>(0.1)</w:t>
            </w:r>
          </w:p>
        </w:tc>
      </w:tr>
      <w:tr w:rsidR="00F87897" w:rsidTr="00AF29D9">
        <w:trPr>
          <w:trHeight w:val="60"/>
        </w:trPr>
        <w:tc>
          <w:tcPr>
            <w:tcW w:w="3593"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F87897" w:rsidRDefault="00F87897">
            <w:pPr>
              <w:pStyle w:val="TableText"/>
            </w:pPr>
            <w:r>
              <w:t>Indwelling urinary catheter present</w:t>
            </w:r>
          </w:p>
        </w:tc>
        <w:tc>
          <w:tcPr>
            <w:tcW w:w="2126"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283" w:type="dxa"/>
            </w:tcMar>
            <w:vAlign w:val="center"/>
          </w:tcPr>
          <w:p w:rsidR="00F87897" w:rsidRDefault="00F87897" w:rsidP="00AF29D9">
            <w:pPr>
              <w:pStyle w:val="TableTextCA"/>
            </w:pPr>
            <w:r>
              <w:t>329</w:t>
            </w:r>
            <w:r w:rsidR="00EB0381">
              <w:rPr>
                <w:rStyle w:val="whitetext"/>
              </w:rPr>
              <w:t xml:space="preserve"> </w:t>
            </w:r>
            <w:r>
              <w:t>(4.3)</w:t>
            </w:r>
          </w:p>
        </w:tc>
      </w:tr>
    </w:tbl>
    <w:p w:rsidR="00F87897" w:rsidRDefault="00F87897">
      <w:pPr>
        <w:pStyle w:val="Heading2"/>
        <w:ind w:left="576" w:hanging="576"/>
      </w:pPr>
      <w:bookmarkStart w:id="12" w:name="_Toc451169573"/>
      <w:r>
        <w:t>Surveyors</w:t>
      </w:r>
      <w:bookmarkEnd w:id="12"/>
    </w:p>
    <w:p w:rsidR="00F87897" w:rsidRDefault="00F87897">
      <w:r>
        <w:t>There were 118 surveyors across the 186 RACFs and MPSs. Most were infection control practitioners (47.5%), nurses (35.6%) or pharmacists (11.0%). About 40% worked in, or collected data from, more than one RACF (range 2 to 15 RACFs per surveyor).</w:t>
      </w:r>
    </w:p>
    <w:p w:rsidR="00F87897" w:rsidRDefault="00F87897">
      <w:pPr>
        <w:pStyle w:val="Heading2"/>
        <w:ind w:left="576" w:hanging="576"/>
      </w:pPr>
      <w:bookmarkStart w:id="13" w:name="_Toc451169574"/>
      <w:r>
        <w:t>Resident data analyses</w:t>
      </w:r>
      <w:bookmarkEnd w:id="13"/>
    </w:p>
    <w:p w:rsidR="00F87897" w:rsidRDefault="00F87897">
      <w:r>
        <w:t>Figure 1 is a summary flow chart of the resident data included in, and excluded from, the analyses of infection prevalence and antimicrobial use.</w:t>
      </w:r>
    </w:p>
    <w:p w:rsidR="00A136DC" w:rsidRDefault="00F87897">
      <w:pPr>
        <w:pStyle w:val="FigureName"/>
      </w:pPr>
      <w:r>
        <w:lastRenderedPageBreak/>
        <w:t>Figure 1</w:t>
      </w:r>
      <w:r>
        <w:tab/>
        <w:t>Inclusion and exclusion of resident data</w:t>
      </w:r>
    </w:p>
    <w:p w:rsidR="00EB0381" w:rsidRDefault="009828FC">
      <w:pPr>
        <w:pStyle w:val="FigureName"/>
      </w:pPr>
      <w:r>
        <w:rPr>
          <w:noProof/>
        </w:rPr>
        <w:drawing>
          <wp:inline distT="0" distB="0" distL="0" distR="0">
            <wp:extent cx="2912745" cy="4419600"/>
            <wp:effectExtent l="0" t="0" r="0" b="0"/>
            <wp:docPr id="9" name="Picture 9" descr="A flowchart describes how the resident data were selected. For infections, 344 residents had symptoms of infection on the survey day, but 22 submitted incomplete data. This left 322 residents’ data to be analysed.&#10;For prescriptions, 859 residents were prescribed an antimicrobial on the survey day, but 35 submitted incomplete data. This left 824 residents’ data to be analy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lowchart describes how the resident data were selected. For infections, 344 residents had symptoms of infection on the survey day, but 22 submitted incomplete data. This left 322 residents’ data to be analysed.&#10;For prescriptions, 859 residents were prescribed an antimicrobial on the survey day, but 35 submitted incomplete data. This left 824 residents’ data to be analysed.&#1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912745" cy="4419600"/>
                    </a:xfrm>
                    <a:prstGeom prst="rect">
                      <a:avLst/>
                    </a:prstGeom>
                    <a:noFill/>
                    <a:ln>
                      <a:noFill/>
                    </a:ln>
                  </pic:spPr>
                </pic:pic>
              </a:graphicData>
            </a:graphic>
          </wp:inline>
        </w:drawing>
      </w:r>
    </w:p>
    <w:p w:rsidR="00F87897" w:rsidRDefault="00F87897">
      <w:pPr>
        <w:pStyle w:val="Heading2"/>
        <w:ind w:left="576" w:hanging="576"/>
      </w:pPr>
      <w:bookmarkStart w:id="14" w:name="_Toc451169575"/>
      <w:r>
        <w:t>Prevalence of infections</w:t>
      </w:r>
      <w:bookmarkEnd w:id="14"/>
    </w:p>
    <w:p w:rsidR="00F87897" w:rsidRDefault="00F87897">
      <w:r>
        <w:t>Overall, 4.5% of residents (344 of 7589) were identified as having signs or symptoms of infection on the survey day. Victoria is the only Australian state that has a history of completing surveys similar in content to acNAPS. The prevalence was lower for Victorian facilities (3.7%; 172 of 4704) than for the non-Victorian facilities (6.0%; 172 of 2885). The result for Victorian sites was consistent with the 2014 Victorian Healthcare Associated Infection Surveillance (VICNISS) –</w:t>
      </w:r>
      <w:r>
        <w:rPr>
          <w:rStyle w:val="Emphasis"/>
          <w:rFonts w:cs="Gotham-Book"/>
        </w:rPr>
        <w:t xml:space="preserve"> </w:t>
      </w:r>
      <w:r>
        <w:t>Rural Infection Control Pra</w:t>
      </w:r>
      <w:r>
        <w:t>c</w:t>
      </w:r>
      <w:r>
        <w:t>tice Group (RICPRAC) point prevalence survey result of 3.7%.</w:t>
      </w:r>
      <w:r>
        <w:rPr>
          <w:rStyle w:val="EndnoteReference"/>
          <w:rFonts w:cs="Gotham-Book"/>
        </w:rPr>
        <w:t>15</w:t>
      </w:r>
      <w:r>
        <w:t xml:space="preserve"> </w:t>
      </w:r>
    </w:p>
    <w:p w:rsidR="00F87897" w:rsidRDefault="00F87897">
      <w:r>
        <w:t>Of the 344 residents identified as having signs or symptoms of infection, 22 had incomplete data entered into the online database. Hence, the remainder of this section describes the results only for the 322 residents with complete data.</w:t>
      </w:r>
    </w:p>
    <w:p w:rsidR="00F87897" w:rsidRDefault="00F87897">
      <w:pPr>
        <w:pStyle w:val="Heading3"/>
      </w:pPr>
      <w:bookmarkStart w:id="15" w:name="_Toc451169576"/>
      <w:r>
        <w:t>Types of infections</w:t>
      </w:r>
      <w:bookmarkEnd w:id="15"/>
    </w:p>
    <w:p w:rsidR="00F87897" w:rsidRDefault="00F87897">
      <w:r>
        <w:t>The vast majority of residents’ signs or symptoms came from the respiratory, urinary, skin and soft tissue, eye, and oral body systems. The breakdown according to each McGeer body system is shown in Figure 2. Note that some residents displayed signs or symptoms from more than one body system, giving a total of 377 body systems.</w:t>
      </w:r>
      <w:r w:rsidR="006F7188">
        <w:t xml:space="preserve"> 15.9% of these signs and symptoms were present (or incubating) when the resident was admitted to the RACF or MPS</w:t>
      </w:r>
      <w:r>
        <w:t xml:space="preserve">. </w:t>
      </w:r>
    </w:p>
    <w:p w:rsidR="00EB0381" w:rsidRDefault="00EB0381" w:rsidP="00EB0381">
      <w:pPr>
        <w:pStyle w:val="FigureName"/>
      </w:pPr>
      <w:r>
        <w:lastRenderedPageBreak/>
        <w:t>Figure 2</w:t>
      </w:r>
      <w:r>
        <w:tab/>
      </w:r>
      <w:r>
        <w:rPr>
          <w:spacing w:val="-1"/>
          <w:w w:val="99"/>
        </w:rPr>
        <w:t>Signs and symptoms of infection, by McGeer body system and association with RACF</w:t>
      </w:r>
    </w:p>
    <w:p w:rsidR="00EB0381" w:rsidRDefault="009828FC" w:rsidP="00EB0381">
      <w:pPr>
        <w:pStyle w:val="TFAbbrevsSpace"/>
      </w:pPr>
      <w:r>
        <w:rPr>
          <w:noProof/>
        </w:rPr>
        <w:drawing>
          <wp:inline distT="0" distB="0" distL="0" distR="0">
            <wp:extent cx="5694045" cy="3225800"/>
            <wp:effectExtent l="0" t="0" r="0" b="0"/>
            <wp:docPr id="10" name="Picture 10" descr="A graph demonstrates that (in order) respiratory (140 residents); skin, soft tissues, eye and oral (125 residents); and urinary tract (100 residents) were the most common systems showing symptoms of infection in aged care residents. Most were associated with RACFs. Gastrointestinal, systemic and other were the other systems looked at, but these showed far fewer symptoms of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demonstrates that (in order) respiratory (140 residents); skin, soft tissues, eye and oral (125 residents); and urinary tract (100 residents) were the most common systems showing symptoms of infection in aged care residents. Most were associated with RACFs. Gastrointestinal, systemic and other were the other systems looked at, but these showed far fewer symptoms of infections."/>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694045" cy="3225800"/>
                    </a:xfrm>
                    <a:prstGeom prst="rect">
                      <a:avLst/>
                    </a:prstGeom>
                    <a:noFill/>
                    <a:ln>
                      <a:noFill/>
                    </a:ln>
                  </pic:spPr>
                </pic:pic>
              </a:graphicData>
            </a:graphic>
          </wp:inline>
        </w:drawing>
      </w:r>
    </w:p>
    <w:p w:rsidR="00EB0381" w:rsidRDefault="00EB0381" w:rsidP="00EB0381">
      <w:pPr>
        <w:pStyle w:val="TFAbbrevsSpace"/>
      </w:pPr>
      <w:r>
        <w:t>RACF = residential aged care facility</w:t>
      </w:r>
    </w:p>
    <w:p w:rsidR="00F87897" w:rsidRDefault="00F87897">
      <w:pPr>
        <w:pStyle w:val="Heading2"/>
        <w:ind w:left="576" w:hanging="576"/>
      </w:pPr>
      <w:bookmarkStart w:id="16" w:name="_Toc451169577"/>
      <w:r>
        <w:t>Antimicrobial use</w:t>
      </w:r>
      <w:bookmarkEnd w:id="16"/>
    </w:p>
    <w:p w:rsidR="00F87897" w:rsidRDefault="00F87897">
      <w:r>
        <w:t>On the survey day, 11.3% (859 of 7589) of residents were prescribed at least one antimicrobial. The value was lower for the Victorian sites (7.1%; 334 of 4704) and substantially higher for the non-Victorian sites (18.2%; 525 of 2885).</w:t>
      </w:r>
    </w:p>
    <w:p w:rsidR="00F87897" w:rsidRDefault="00F87897">
      <w:r>
        <w:t>Excluding topical antimicrobials, the overall prevalence was 7.9% (601 of 7589). The value was lower for Victorian sites (6.4%; 301 of 4704 – slightly higher than the 2014 VICNISS–RICPRAC point prev</w:t>
      </w:r>
      <w:r>
        <w:t>a</w:t>
      </w:r>
      <w:r>
        <w:t>lence survey result of 5.5%</w:t>
      </w:r>
      <w:r>
        <w:rPr>
          <w:rStyle w:val="EndnoteReference"/>
          <w:rFonts w:cs="Gotham-Book"/>
        </w:rPr>
        <w:t>10</w:t>
      </w:r>
      <w:r>
        <w:t xml:space="preserve">) and higher for non-Victorian sites (10.4%; 300 of 2885). </w:t>
      </w:r>
    </w:p>
    <w:p w:rsidR="00F87897" w:rsidRDefault="00F87897">
      <w:r>
        <w:t>Of the 859 identified residents, 35 had incomplete data entered into the online database. Hence, the remainder of this section describes the results only for the 824 residents with complete data.</w:t>
      </w:r>
    </w:p>
    <w:p w:rsidR="00F87897" w:rsidRDefault="00F87897">
      <w:pPr>
        <w:pStyle w:val="Heading3"/>
      </w:pPr>
      <w:bookmarkStart w:id="17" w:name="_Toc451169578"/>
      <w:r>
        <w:t>Key results</w:t>
      </w:r>
      <w:bookmarkEnd w:id="17"/>
    </w:p>
    <w:p w:rsidR="00F87897" w:rsidRDefault="00F87897">
      <w:r>
        <w:t>There was a total of 975 antimicrobial prescriptions for 824 residents. Some residents were pr</w:t>
      </w:r>
      <w:r>
        <w:t>e</w:t>
      </w:r>
      <w:r>
        <w:t>scribed more than one antimicrobial.</w:t>
      </w:r>
    </w:p>
    <w:p w:rsidR="00F87897" w:rsidRDefault="00F87897">
      <w:r>
        <w:t>The results of the two key quality indicators used are summarised in Table 5. The best-practice ta</w:t>
      </w:r>
      <w:r>
        <w:t>r</w:t>
      </w:r>
      <w:r>
        <w:t>get of more than 95% for documentation of indication is based on the European Surveillance of A</w:t>
      </w:r>
      <w:r>
        <w:t>n</w:t>
      </w:r>
      <w:r>
        <w:t>timicrobial Consumption point prevalence survey, designed by the European Centre for Disease Control and Prevention.</w:t>
      </w:r>
      <w:r>
        <w:rPr>
          <w:rStyle w:val="EndnoteReference"/>
          <w:rFonts w:cs="Gotham-Book"/>
        </w:rPr>
        <w:t>16</w:t>
      </w:r>
      <w:r>
        <w:t xml:space="preserve"> There is no published best-practice target for documenting a review or stop date. However, the Antimicrobial Stewardship Clinical Care Standard</w:t>
      </w:r>
      <w:r>
        <w:rPr>
          <w:rStyle w:val="EndnoteReference"/>
          <w:rFonts w:cs="Gotham-Book"/>
        </w:rPr>
        <w:t>17</w:t>
      </w:r>
      <w:r>
        <w:t xml:space="preserve"> requires that all pr</w:t>
      </w:r>
      <w:r>
        <w:t>e</w:t>
      </w:r>
      <w:r>
        <w:t xml:space="preserve">scriptions have the intended duration and review plan documented in the health record. Hence, the same best-practice target of more than 95% was applied to this indicator. </w:t>
      </w:r>
    </w:p>
    <w:p w:rsidR="00F87897" w:rsidRDefault="00F87897">
      <w:r>
        <w:lastRenderedPageBreak/>
        <w:t>Overall, 68.4% of all antimicrobial prescriptions had an indication documented, and 35.0% had a r</w:t>
      </w:r>
      <w:r>
        <w:t>e</w:t>
      </w:r>
      <w:r>
        <w:t>view or stop date documented. Both these results fall well short of the best-practice targets. Doc</w:t>
      </w:r>
      <w:r>
        <w:t>u</w:t>
      </w:r>
      <w:r>
        <w:t>mentation of indication was lowest for topical antimicrobials (58.7%), and documentation of review or stop date was very low for prophylactic and topical antimicrobials (13.0% and 15.2%, respectiv</w:t>
      </w:r>
      <w:r>
        <w:t>e</w:t>
      </w:r>
      <w:r>
        <w:t>ly).</w:t>
      </w:r>
    </w:p>
    <w:p w:rsidR="00F87897" w:rsidRDefault="00F87897">
      <w:pPr>
        <w:pStyle w:val="Heading3"/>
      </w:pPr>
      <w:bookmarkStart w:id="18" w:name="_Toc451169579"/>
      <w:r>
        <w:t>Prolonged duration of antimicrobial use</w:t>
      </w:r>
      <w:bookmarkEnd w:id="18"/>
    </w:p>
    <w:p w:rsidR="00F87897" w:rsidRDefault="00F87897">
      <w:r>
        <w:t>A substantial proportion of antimicrobials (31.4%; 306 of 975) had been prescribed for more than six months before the survey day. Of these, only half (51.0%; 156 of 306) had an indication documen</w:t>
      </w:r>
      <w:r>
        <w:t>t</w:t>
      </w:r>
      <w:r>
        <w:t>ed, and only 2.0% (6 of 306) had a review or stop date documented.</w:t>
      </w:r>
    </w:p>
    <w:p w:rsidR="006E4F8A" w:rsidRDefault="00F87897">
      <w:r>
        <w:t>These prescriptions comprised both topical (58.5%; 179 of 306) and systemic (41.5%; 127 of 306) antimicrobials. Prophylactic use accounted for 40.9% (125 of 306) of prescriptions, and treatment 59.2% (181 of 306) of prescriptions (Figure 3). The majority of the prolonged prophylaxis prescri</w:t>
      </w:r>
      <w:r>
        <w:t>p</w:t>
      </w:r>
      <w:r>
        <w:t>tions were for systemic antimicrobials, where the most common indication was urinary tract infe</w:t>
      </w:r>
      <w:r>
        <w:t>c</w:t>
      </w:r>
      <w:r>
        <w:t xml:space="preserve">tion (43.3%; 55 of 127). Conversely, the majority of the prolonged treatment prescriptions were for topical antimicrobials, where the primary indications were unspecified skin and soft tissue infections (52.3%; 80 of 153), and tinea (32.7%; 50 of 153). </w:t>
      </w:r>
    </w:p>
    <w:p w:rsidR="006E4F8A" w:rsidRDefault="006E4F8A" w:rsidP="006E4F8A">
      <w:pPr>
        <w:pStyle w:val="FigureName"/>
      </w:pPr>
      <w:r>
        <w:t>Figure 3</w:t>
      </w:r>
      <w:r>
        <w:tab/>
        <w:t>Antimicrobials that had been prescribed for more than six months, by prophylaxis versus treatment and systemic versus topical routes</w:t>
      </w:r>
    </w:p>
    <w:p w:rsidR="00F87897" w:rsidRDefault="009828FC">
      <w:r>
        <w:rPr>
          <w:noProof/>
        </w:rPr>
        <w:drawing>
          <wp:inline distT="0" distB="0" distL="0" distR="0">
            <wp:extent cx="2908300" cy="3225800"/>
            <wp:effectExtent l="0" t="0" r="0" b="0"/>
            <wp:docPr id="11" name="Picture 11" descr="A graph demonstrates the reason for antimicrobial prescription and route of administration. 79.2% of residents were administered systemic antimicrobials for prophylaxis, and 20.8% topical antimicrobials. 15.5% of residents were being treated with systemic antimicrobials, compared with 85.4% treated with topical prep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demonstrates the reason for antimicrobial prescription and route of administration. 79.2% of residents were administered systemic antimicrobials for prophylaxis, and 20.8% topical antimicrobials. 15.5% of residents were being treated with systemic antimicrobials, compared with 85.4% treated with topical preparations."/>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908300" cy="3225800"/>
                    </a:xfrm>
                    <a:prstGeom prst="rect">
                      <a:avLst/>
                    </a:prstGeom>
                    <a:noFill/>
                    <a:ln>
                      <a:noFill/>
                    </a:ln>
                  </pic:spPr>
                </pic:pic>
              </a:graphicData>
            </a:graphic>
          </wp:inline>
        </w:drawing>
      </w:r>
    </w:p>
    <w:p w:rsidR="00F87897" w:rsidRDefault="00F87897">
      <w:pPr>
        <w:pStyle w:val="Heading3"/>
      </w:pPr>
      <w:bookmarkStart w:id="19" w:name="_Toc451169580"/>
      <w:r>
        <w:t>Mode of prescription</w:t>
      </w:r>
      <w:bookmarkEnd w:id="19"/>
    </w:p>
    <w:p w:rsidR="00F87897" w:rsidRDefault="00F87897">
      <w:r>
        <w:t xml:space="preserve">For antimicrobial prescriptions where a start date was specified, most (85.0%; 531 of 625) were written by the prescriber. Approximately 8% (51 of 625) were prescribed through a telephone order; of these, 68.6% (35 of 51) were prescribed for residents who had not been seen by the prescriber. </w:t>
      </w:r>
    </w:p>
    <w:p w:rsidR="006E4F8A" w:rsidRDefault="006E4F8A" w:rsidP="006E4F8A">
      <w:pPr>
        <w:pStyle w:val="TableName"/>
      </w:pPr>
      <w:r>
        <w:lastRenderedPageBreak/>
        <w:t>Table 5</w:t>
      </w:r>
      <w:r>
        <w:tab/>
        <w:t>Summary of key quality indicators, as a percentage of prescriptions for each category</w:t>
      </w:r>
    </w:p>
    <w:tbl>
      <w:tblPr>
        <w:tblW w:w="9405" w:type="dxa"/>
        <w:tblInd w:w="85" w:type="dxa"/>
        <w:tblLayout w:type="fixed"/>
        <w:tblCellMar>
          <w:left w:w="0" w:type="dxa"/>
          <w:right w:w="0" w:type="dxa"/>
        </w:tblCellMar>
        <w:tblLook w:val="0000" w:firstRow="0" w:lastRow="0" w:firstColumn="0" w:lastColumn="0" w:noHBand="0" w:noVBand="0"/>
      </w:tblPr>
      <w:tblGrid>
        <w:gridCol w:w="2532"/>
        <w:gridCol w:w="2053"/>
        <w:gridCol w:w="2410"/>
        <w:gridCol w:w="2410"/>
      </w:tblGrid>
      <w:tr w:rsidR="006E4F8A" w:rsidRPr="006E4F8A" w:rsidTr="002A1FC0">
        <w:trPr>
          <w:trHeight w:val="60"/>
          <w:tblHeader/>
        </w:trPr>
        <w:tc>
          <w:tcPr>
            <w:tcW w:w="4585" w:type="dxa"/>
            <w:gridSpan w:val="2"/>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6E4F8A" w:rsidRDefault="006E4F8A" w:rsidP="00E81792">
            <w:pPr>
              <w:pStyle w:val="TableHeading"/>
            </w:pPr>
            <w:r>
              <w:t>Category</w:t>
            </w:r>
          </w:p>
        </w:tc>
        <w:tc>
          <w:tcPr>
            <w:tcW w:w="2410"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6E4F8A" w:rsidRDefault="006E4F8A" w:rsidP="00E81792">
            <w:pPr>
              <w:pStyle w:val="TableHeadingCA"/>
            </w:pPr>
            <w:r>
              <w:t>% indication documented</w:t>
            </w:r>
          </w:p>
          <w:p w:rsidR="006E4F8A" w:rsidRDefault="006E4F8A" w:rsidP="00E81792">
            <w:pPr>
              <w:pStyle w:val="TableHeadingCA"/>
            </w:pPr>
            <w:r>
              <w:t>(best practice &gt;95%)</w:t>
            </w:r>
          </w:p>
        </w:tc>
        <w:tc>
          <w:tcPr>
            <w:tcW w:w="2410"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6E4F8A" w:rsidRDefault="006E4F8A" w:rsidP="00E81792">
            <w:pPr>
              <w:pStyle w:val="TableHeadingCA"/>
            </w:pPr>
            <w:r>
              <w:t>% review or stop date documented</w:t>
            </w:r>
          </w:p>
          <w:p w:rsidR="006E4F8A" w:rsidRDefault="006E4F8A" w:rsidP="00E81792">
            <w:pPr>
              <w:pStyle w:val="TableHeadingCA"/>
            </w:pPr>
            <w:r>
              <w:t>(best practice &gt;95%)</w:t>
            </w:r>
          </w:p>
        </w:tc>
      </w:tr>
      <w:tr w:rsidR="006E4F8A" w:rsidRPr="006E4F8A" w:rsidTr="002A1FC0">
        <w:trPr>
          <w:trHeight w:val="378"/>
        </w:trPr>
        <w:tc>
          <w:tcPr>
            <w:tcW w:w="4585" w:type="dxa"/>
            <w:gridSpan w:val="2"/>
            <w:tcBorders>
              <w:top w:val="single" w:sz="4" w:space="0" w:color="000000"/>
              <w:left w:val="single" w:sz="6" w:space="0" w:color="FFFFFF"/>
              <w:bottom w:val="single" w:sz="4" w:space="0" w:color="000000"/>
              <w:right w:val="nil"/>
            </w:tcBorders>
            <w:tcMar>
              <w:top w:w="113" w:type="dxa"/>
              <w:left w:w="85" w:type="dxa"/>
              <w:bottom w:w="113" w:type="dxa"/>
              <w:right w:w="85" w:type="dxa"/>
            </w:tcMar>
            <w:vAlign w:val="bottom"/>
          </w:tcPr>
          <w:p w:rsidR="006E4F8A" w:rsidRDefault="006E4F8A" w:rsidP="00E81792">
            <w:pPr>
              <w:pStyle w:val="TableText"/>
            </w:pPr>
            <w:r>
              <w:t>All prescriptions (</w:t>
            </w:r>
            <w:r>
              <w:rPr>
                <w:rStyle w:val="Emphasis"/>
                <w:rFonts w:cs="Gotham-Book"/>
              </w:rPr>
              <w:t>n</w:t>
            </w:r>
            <w:r>
              <w:t xml:space="preserve"> = 975)</w:t>
            </w:r>
          </w:p>
        </w:tc>
        <w:tc>
          <w:tcPr>
            <w:tcW w:w="241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850" w:type="dxa"/>
            </w:tcMar>
            <w:vAlign w:val="bottom"/>
          </w:tcPr>
          <w:p w:rsidR="006E4F8A" w:rsidRDefault="006E4F8A" w:rsidP="00E81792">
            <w:pPr>
              <w:pStyle w:val="TableTextDA"/>
            </w:pPr>
            <w:r>
              <w:t>68.4</w:t>
            </w:r>
          </w:p>
        </w:tc>
        <w:tc>
          <w:tcPr>
            <w:tcW w:w="241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907" w:type="dxa"/>
            </w:tcMar>
            <w:vAlign w:val="bottom"/>
          </w:tcPr>
          <w:p w:rsidR="006E4F8A" w:rsidRDefault="006E4F8A" w:rsidP="00E81792">
            <w:pPr>
              <w:pStyle w:val="TableTextDA"/>
            </w:pPr>
            <w:r>
              <w:t>35.0</w:t>
            </w:r>
          </w:p>
        </w:tc>
      </w:tr>
      <w:tr w:rsidR="006E4F8A" w:rsidRPr="006E4F8A" w:rsidTr="002A1FC0">
        <w:trPr>
          <w:trHeight w:val="60"/>
        </w:trPr>
        <w:tc>
          <w:tcPr>
            <w:tcW w:w="2532" w:type="dxa"/>
            <w:vMerge w:val="restart"/>
            <w:tcBorders>
              <w:top w:val="single" w:sz="4" w:space="0" w:color="000000"/>
              <w:left w:val="single" w:sz="6" w:space="0" w:color="FFFFFF"/>
              <w:bottom w:val="single" w:sz="4" w:space="0" w:color="000000"/>
              <w:right w:val="nil"/>
            </w:tcBorders>
            <w:tcMar>
              <w:top w:w="113" w:type="dxa"/>
              <w:left w:w="85" w:type="dxa"/>
              <w:bottom w:w="113" w:type="dxa"/>
              <w:right w:w="85" w:type="dxa"/>
            </w:tcMar>
          </w:tcPr>
          <w:p w:rsidR="006E4F8A" w:rsidRDefault="006E4F8A" w:rsidP="00E81792">
            <w:pPr>
              <w:pStyle w:val="TableText"/>
            </w:pPr>
            <w:r>
              <w:t>Prophylaxis or treatment</w:t>
            </w:r>
          </w:p>
        </w:tc>
        <w:tc>
          <w:tcPr>
            <w:tcW w:w="2053" w:type="dxa"/>
            <w:tcBorders>
              <w:top w:val="single" w:sz="4" w:space="0" w:color="000000"/>
              <w:left w:val="nil"/>
              <w:bottom w:val="single" w:sz="4" w:space="0" w:color="000000"/>
              <w:right w:val="single" w:sz="6" w:space="0" w:color="FFFFFF"/>
            </w:tcBorders>
            <w:tcMar>
              <w:top w:w="113" w:type="dxa"/>
              <w:left w:w="85" w:type="dxa"/>
              <w:bottom w:w="113" w:type="dxa"/>
              <w:right w:w="85" w:type="dxa"/>
            </w:tcMar>
            <w:vAlign w:val="bottom"/>
          </w:tcPr>
          <w:p w:rsidR="006E4F8A" w:rsidRDefault="006E4F8A" w:rsidP="00E81792">
            <w:pPr>
              <w:pStyle w:val="TableText"/>
            </w:pPr>
            <w:r>
              <w:t>Treatment (</w:t>
            </w:r>
            <w:r>
              <w:rPr>
                <w:rStyle w:val="Emphasis"/>
                <w:rFonts w:cs="Gotham-Book"/>
              </w:rPr>
              <w:t>n</w:t>
            </w:r>
            <w:r>
              <w:t xml:space="preserve"> = 752)</w:t>
            </w:r>
          </w:p>
        </w:tc>
        <w:tc>
          <w:tcPr>
            <w:tcW w:w="241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850" w:type="dxa"/>
            </w:tcMar>
            <w:vAlign w:val="bottom"/>
          </w:tcPr>
          <w:p w:rsidR="006E4F8A" w:rsidRDefault="006E4F8A" w:rsidP="00E81792">
            <w:pPr>
              <w:pStyle w:val="TableTextDA"/>
            </w:pPr>
            <w:r>
              <w:t>68.5</w:t>
            </w:r>
          </w:p>
        </w:tc>
        <w:tc>
          <w:tcPr>
            <w:tcW w:w="241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907" w:type="dxa"/>
            </w:tcMar>
            <w:vAlign w:val="bottom"/>
          </w:tcPr>
          <w:p w:rsidR="006E4F8A" w:rsidRDefault="006E4F8A" w:rsidP="00E81792">
            <w:pPr>
              <w:pStyle w:val="TableTextDA"/>
            </w:pPr>
            <w:r>
              <w:t>41.5</w:t>
            </w:r>
          </w:p>
        </w:tc>
      </w:tr>
      <w:tr w:rsidR="006E4F8A" w:rsidRPr="006E4F8A" w:rsidTr="002A1FC0">
        <w:trPr>
          <w:trHeight w:val="60"/>
        </w:trPr>
        <w:tc>
          <w:tcPr>
            <w:tcW w:w="2532" w:type="dxa"/>
            <w:vMerge/>
            <w:tcBorders>
              <w:top w:val="single" w:sz="4" w:space="0" w:color="000000"/>
              <w:left w:val="single" w:sz="6" w:space="0" w:color="FFFFFF"/>
              <w:bottom w:val="single" w:sz="4" w:space="0" w:color="000000"/>
              <w:right w:val="nil"/>
            </w:tcBorders>
          </w:tcPr>
          <w:p w:rsidR="006E4F8A" w:rsidRPr="006E4F8A" w:rsidRDefault="006E4F8A" w:rsidP="00E81792">
            <w:pPr>
              <w:pStyle w:val="NoParagraphStyle"/>
              <w:spacing w:line="240" w:lineRule="auto"/>
              <w:textAlignment w:val="auto"/>
              <w:rPr>
                <w:rFonts w:ascii="Gotham-Book" w:hAnsi="Gotham-Book" w:cs="Times New Roman"/>
                <w:color w:val="auto"/>
                <w:lang w:val="en-AU"/>
              </w:rPr>
            </w:pPr>
          </w:p>
        </w:tc>
        <w:tc>
          <w:tcPr>
            <w:tcW w:w="2053" w:type="dxa"/>
            <w:tcBorders>
              <w:top w:val="single" w:sz="4" w:space="0" w:color="000000"/>
              <w:left w:val="nil"/>
              <w:bottom w:val="single" w:sz="4" w:space="0" w:color="000000"/>
              <w:right w:val="single" w:sz="6" w:space="0" w:color="FFFFFF"/>
            </w:tcBorders>
            <w:tcMar>
              <w:top w:w="113" w:type="dxa"/>
              <w:left w:w="85" w:type="dxa"/>
              <w:bottom w:w="113" w:type="dxa"/>
              <w:right w:w="85" w:type="dxa"/>
            </w:tcMar>
            <w:vAlign w:val="bottom"/>
          </w:tcPr>
          <w:p w:rsidR="006E4F8A" w:rsidRDefault="006E4F8A" w:rsidP="00E81792">
            <w:pPr>
              <w:pStyle w:val="TableText"/>
            </w:pPr>
            <w:r>
              <w:t>Prophylaxis (</w:t>
            </w:r>
            <w:r>
              <w:rPr>
                <w:rStyle w:val="Emphasis"/>
                <w:rFonts w:cs="Gotham-Book"/>
              </w:rPr>
              <w:t>n</w:t>
            </w:r>
            <w:r>
              <w:t xml:space="preserve"> = 223)</w:t>
            </w:r>
          </w:p>
        </w:tc>
        <w:tc>
          <w:tcPr>
            <w:tcW w:w="241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850" w:type="dxa"/>
            </w:tcMar>
            <w:vAlign w:val="bottom"/>
          </w:tcPr>
          <w:p w:rsidR="006E4F8A" w:rsidRDefault="006E4F8A" w:rsidP="00E81792">
            <w:pPr>
              <w:pStyle w:val="TableTextDA"/>
            </w:pPr>
            <w:r>
              <w:t>68.2</w:t>
            </w:r>
          </w:p>
        </w:tc>
        <w:tc>
          <w:tcPr>
            <w:tcW w:w="241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907" w:type="dxa"/>
            </w:tcMar>
            <w:vAlign w:val="bottom"/>
          </w:tcPr>
          <w:p w:rsidR="006E4F8A" w:rsidRDefault="006E4F8A" w:rsidP="00E81792">
            <w:pPr>
              <w:pStyle w:val="TableTextDA"/>
            </w:pPr>
            <w:r>
              <w:t>13.0</w:t>
            </w:r>
          </w:p>
        </w:tc>
      </w:tr>
      <w:tr w:rsidR="006E4F8A" w:rsidRPr="006E4F8A" w:rsidTr="002A1FC0">
        <w:trPr>
          <w:trHeight w:val="60"/>
        </w:trPr>
        <w:tc>
          <w:tcPr>
            <w:tcW w:w="2532" w:type="dxa"/>
            <w:vMerge w:val="restart"/>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6E4F8A" w:rsidRDefault="006E4F8A" w:rsidP="00E81792">
            <w:pPr>
              <w:pStyle w:val="TableText"/>
            </w:pPr>
            <w:r>
              <w:t>Route of administration</w:t>
            </w:r>
          </w:p>
        </w:tc>
        <w:tc>
          <w:tcPr>
            <w:tcW w:w="2053"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6E4F8A" w:rsidRDefault="006E4F8A" w:rsidP="00E81792">
            <w:pPr>
              <w:pStyle w:val="TableText"/>
            </w:pPr>
            <w:r>
              <w:t>Systemic (</w:t>
            </w:r>
            <w:r>
              <w:rPr>
                <w:rStyle w:val="Emphasis"/>
                <w:rFonts w:cs="Gotham-Book"/>
              </w:rPr>
              <w:t>n</w:t>
            </w:r>
            <w:r>
              <w:t xml:space="preserve"> = 612)</w:t>
            </w:r>
          </w:p>
        </w:tc>
        <w:tc>
          <w:tcPr>
            <w:tcW w:w="241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850" w:type="dxa"/>
            </w:tcMar>
            <w:vAlign w:val="bottom"/>
          </w:tcPr>
          <w:p w:rsidR="006E4F8A" w:rsidRDefault="006E4F8A" w:rsidP="00E81792">
            <w:pPr>
              <w:pStyle w:val="TableTextDA"/>
            </w:pPr>
            <w:r>
              <w:t>74.2</w:t>
            </w:r>
          </w:p>
        </w:tc>
        <w:tc>
          <w:tcPr>
            <w:tcW w:w="241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907" w:type="dxa"/>
            </w:tcMar>
            <w:vAlign w:val="bottom"/>
          </w:tcPr>
          <w:p w:rsidR="006E4F8A" w:rsidRDefault="006E4F8A" w:rsidP="00E81792">
            <w:pPr>
              <w:pStyle w:val="TableTextDA"/>
            </w:pPr>
            <w:r>
              <w:t>46.7</w:t>
            </w:r>
          </w:p>
        </w:tc>
      </w:tr>
      <w:tr w:rsidR="006E4F8A" w:rsidRPr="006E4F8A" w:rsidTr="002A1FC0">
        <w:trPr>
          <w:trHeight w:val="60"/>
        </w:trPr>
        <w:tc>
          <w:tcPr>
            <w:tcW w:w="2532" w:type="dxa"/>
            <w:vMerge/>
            <w:tcBorders>
              <w:top w:val="single" w:sz="4" w:space="0" w:color="000000"/>
              <w:left w:val="single" w:sz="6" w:space="0" w:color="FFFFFF"/>
              <w:bottom w:val="single" w:sz="4" w:space="0" w:color="000000"/>
              <w:right w:val="single" w:sz="6" w:space="0" w:color="FFFFFF"/>
            </w:tcBorders>
          </w:tcPr>
          <w:p w:rsidR="006E4F8A" w:rsidRPr="006E4F8A" w:rsidRDefault="006E4F8A" w:rsidP="00E81792">
            <w:pPr>
              <w:pStyle w:val="NoParagraphStyle"/>
              <w:spacing w:line="240" w:lineRule="auto"/>
              <w:textAlignment w:val="auto"/>
              <w:rPr>
                <w:rFonts w:ascii="Gotham-Book" w:hAnsi="Gotham-Book" w:cs="Times New Roman"/>
                <w:color w:val="auto"/>
                <w:lang w:val="en-AU"/>
              </w:rPr>
            </w:pPr>
          </w:p>
        </w:tc>
        <w:tc>
          <w:tcPr>
            <w:tcW w:w="2053"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vAlign w:val="bottom"/>
          </w:tcPr>
          <w:p w:rsidR="006E4F8A" w:rsidRDefault="006E4F8A" w:rsidP="00E81792">
            <w:pPr>
              <w:pStyle w:val="TableText"/>
            </w:pPr>
            <w:r>
              <w:t>Topical (</w:t>
            </w:r>
            <w:r>
              <w:rPr>
                <w:rStyle w:val="Emphasis"/>
                <w:rFonts w:cs="Gotham-Book"/>
              </w:rPr>
              <w:t>n</w:t>
            </w:r>
            <w:r>
              <w:t xml:space="preserve"> = 363)</w:t>
            </w:r>
          </w:p>
        </w:tc>
        <w:tc>
          <w:tcPr>
            <w:tcW w:w="241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850" w:type="dxa"/>
            </w:tcMar>
            <w:vAlign w:val="bottom"/>
          </w:tcPr>
          <w:p w:rsidR="006E4F8A" w:rsidRDefault="006E4F8A" w:rsidP="00E81792">
            <w:pPr>
              <w:pStyle w:val="TableTextDA"/>
            </w:pPr>
            <w:r>
              <w:t>58.7</w:t>
            </w:r>
          </w:p>
        </w:tc>
        <w:tc>
          <w:tcPr>
            <w:tcW w:w="2410" w:type="dxa"/>
            <w:tcBorders>
              <w:top w:val="single" w:sz="4" w:space="0" w:color="000000"/>
              <w:left w:val="single" w:sz="6" w:space="0" w:color="FFFFFF"/>
              <w:bottom w:val="single" w:sz="4" w:space="0" w:color="000000"/>
              <w:right w:val="single" w:sz="6" w:space="0" w:color="FFFFFF"/>
            </w:tcBorders>
            <w:tcMar>
              <w:top w:w="113" w:type="dxa"/>
              <w:left w:w="113" w:type="dxa"/>
              <w:bottom w:w="113" w:type="dxa"/>
              <w:right w:w="907" w:type="dxa"/>
            </w:tcMar>
            <w:vAlign w:val="bottom"/>
          </w:tcPr>
          <w:p w:rsidR="006E4F8A" w:rsidRDefault="006E4F8A" w:rsidP="00E81792">
            <w:pPr>
              <w:pStyle w:val="TableTextDA"/>
            </w:pPr>
            <w:r>
              <w:t>15.2</w:t>
            </w:r>
          </w:p>
        </w:tc>
      </w:tr>
    </w:tbl>
    <w:p w:rsidR="00F87897" w:rsidRDefault="00F87897">
      <w:pPr>
        <w:pStyle w:val="Heading3"/>
      </w:pPr>
      <w:bookmarkStart w:id="20" w:name="_Toc451169581"/>
      <w:r>
        <w:t>Most commonly prescribed antimicrobials</w:t>
      </w:r>
      <w:bookmarkEnd w:id="20"/>
      <w:r>
        <w:t xml:space="preserve"> </w:t>
      </w:r>
    </w:p>
    <w:p w:rsidR="00F87897" w:rsidRDefault="00F87897">
      <w:r>
        <w:t>The five most commonly prescribed antimicrobials were cephalexin, clotrimazole, amoxicillin–clavulanate, trimethoprim and chloramphenicol (Figure 4), accounting for approximately half of all prescriptions. Overall, more than one-third of all prescribing (37.2%; 363 of 975) was for topical a</w:t>
      </w:r>
      <w:r>
        <w:t>n</w:t>
      </w:r>
      <w:r>
        <w:t>timicrobials.</w:t>
      </w:r>
    </w:p>
    <w:p w:rsidR="006E4F8A" w:rsidRDefault="006E4F8A" w:rsidP="006E4F8A">
      <w:pPr>
        <w:pStyle w:val="FigureName"/>
      </w:pPr>
      <w:r>
        <w:lastRenderedPageBreak/>
        <w:t>Figure 4</w:t>
      </w:r>
      <w:r>
        <w:tab/>
        <w:t>The top 20 antimicrobials, as a percentage of total antimicrobial prescriptions (</w:t>
      </w:r>
      <w:r>
        <w:rPr>
          <w:rStyle w:val="Boldemphasis"/>
          <w:rFonts w:cs="Gotham-Medium"/>
          <w:b/>
          <w:bCs/>
        </w:rPr>
        <w:t>n</w:t>
      </w:r>
      <w:r>
        <w:t> = 975)</w:t>
      </w:r>
    </w:p>
    <w:p w:rsidR="00344C42" w:rsidRDefault="009828FC" w:rsidP="006E4F8A">
      <w:pPr>
        <w:pStyle w:val="TFAbbrevs"/>
      </w:pPr>
      <w:r>
        <w:rPr>
          <w:noProof/>
        </w:rPr>
        <w:drawing>
          <wp:inline distT="0" distB="0" distL="0" distR="0">
            <wp:extent cx="5694045" cy="4843145"/>
            <wp:effectExtent l="0" t="0" r="0" b="0"/>
            <wp:docPr id="12" name="Picture 12" descr="The top 20 antimicrobials used in aged care are cephalexin (16.7%), topical clotrimazole (16.5%), trimethoprim (6.5%), amoxicillin–clavulanate (6.5%), topical chloramphenicol (6.4%), doxycycline (4.7%), amoxicillin (4.7%), topical miconazole (3.7%), hexamine hippurate (3.7%), topical mupirocin (3.6%), topical kenacomb (3.4% – note that kenacomb contains triamcinolone, neomycin, nystatin and gramicidin), nitrofurantoin (3.1%), roxithromycin (2.4%), ciprofloxacin (1.9%), flucloxacillin (1.7%), topical ketoconazole (1.2%), trimethoprim–sulfamethoxazole (1.1%), metronidazole (0.9%), clindamycin (0.8%) and topical terbinafine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op 20 antimicrobials used in aged care are cephalexin (16.7%), topical clotrimazole (16.5%), trimethoprim (6.5%), amoxicillin–clavulanate (6.5%), topical chloramphenicol (6.4%), doxycycline (4.7%), amoxicillin (4.7%), topical miconazole (3.7%), hexamine hippurate (3.7%), topical mupirocin (3.6%), topical kenacomb (3.4% – note that kenacomb contains triamcinolone, neomycin, nystatin and gramicidin), nitrofurantoin (3.1%), roxithromycin (2.4%), ciprofloxacin (1.9%), flucloxacillin (1.7%), topical ketoconazole (1.2%), trimethoprim–sulfamethoxazole (1.1%), metronidazole (0.9%), clindamycin (0.8%) and topical terbinafine (0.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694045" cy="4843145"/>
                    </a:xfrm>
                    <a:prstGeom prst="rect">
                      <a:avLst/>
                    </a:prstGeom>
                    <a:noFill/>
                    <a:ln>
                      <a:noFill/>
                    </a:ln>
                  </pic:spPr>
                </pic:pic>
              </a:graphicData>
            </a:graphic>
          </wp:inline>
        </w:drawing>
      </w:r>
    </w:p>
    <w:p w:rsidR="006E4F8A" w:rsidRDefault="006E4F8A" w:rsidP="006E4F8A">
      <w:pPr>
        <w:pStyle w:val="TFAbbrevs"/>
      </w:pPr>
      <w:r>
        <w:t>T = topical</w:t>
      </w:r>
    </w:p>
    <w:p w:rsidR="006E4F8A" w:rsidRDefault="006E4F8A" w:rsidP="006E4F8A">
      <w:pPr>
        <w:pStyle w:val="TFListNotesSpace"/>
      </w:pPr>
      <w:r>
        <w:t>a</w:t>
      </w:r>
      <w:r>
        <w:tab/>
        <w:t>Kenacomb contains triamcinolone, neomycin, nystatin and gramicidin.</w:t>
      </w:r>
    </w:p>
    <w:p w:rsidR="00F87897" w:rsidRDefault="00F87897">
      <w:pPr>
        <w:pStyle w:val="Heading3"/>
      </w:pPr>
      <w:bookmarkStart w:id="21" w:name="_Toc451169582"/>
      <w:r>
        <w:t>Most common indications for prescribing antimicrobials</w:t>
      </w:r>
      <w:bookmarkEnd w:id="21"/>
    </w:p>
    <w:p w:rsidR="00F87897" w:rsidRDefault="00F87897">
      <w:r>
        <w:t>The top five indications were unspecified (i.e. not otherwise classified) skin, soft tissue or mucosal conditions; urinary tract infection (cystitis); lower respiratory tract infection; tinea; and conjunctiv</w:t>
      </w:r>
      <w:r>
        <w:t>i</w:t>
      </w:r>
      <w:r>
        <w:t>tis. These indications accounted for more than half of all prescribing (Figure 5). The indication was unknown for 5.5% (54 of 975) of antimicrobial prescriptions.</w:t>
      </w:r>
    </w:p>
    <w:p w:rsidR="00F87897" w:rsidRDefault="00F87897">
      <w:r>
        <w:t>Figure 5 indicates that almost 20% of the total indications were unspecified skin, soft tissue or m</w:t>
      </w:r>
      <w:r>
        <w:t>u</w:t>
      </w:r>
      <w:r>
        <w:t xml:space="preserve">cosal conditions. This is concerning, particularly as the survey included a number of specific common skin, soft tissue and mucosal indications (such as cellulitis, oral candidiasis and wound infections). Although it is possible that these unspecified indications reflect poor levels of documentation, the reason is currently unclear and will be investigated in future surveys. </w:t>
      </w:r>
    </w:p>
    <w:p w:rsidR="00344C42" w:rsidRDefault="00344C42" w:rsidP="00344C42">
      <w:pPr>
        <w:pStyle w:val="FigureName"/>
      </w:pPr>
      <w:r>
        <w:lastRenderedPageBreak/>
        <w:t>Figure 5</w:t>
      </w:r>
      <w:r>
        <w:tab/>
        <w:t>The 20 most common indications for antimicrobial prescribing,</w:t>
      </w:r>
      <w:r>
        <w:rPr>
          <w:rStyle w:val="Superscript"/>
        </w:rPr>
        <w:t>a</w:t>
      </w:r>
      <w:r>
        <w:t xml:space="preserve"> as a percentage of t</w:t>
      </w:r>
      <w:r>
        <w:t>o</w:t>
      </w:r>
      <w:r>
        <w:t>tal antimicrobial prescriptions (</w:t>
      </w:r>
      <w:r>
        <w:rPr>
          <w:rStyle w:val="Boldemphasis"/>
          <w:rFonts w:cs="Gotham-Medium"/>
          <w:b/>
          <w:bCs/>
        </w:rPr>
        <w:t>n</w:t>
      </w:r>
      <w:r>
        <w:t> = 975)</w:t>
      </w:r>
    </w:p>
    <w:p w:rsidR="00344C42" w:rsidRDefault="009828FC" w:rsidP="00344C42">
      <w:pPr>
        <w:pStyle w:val="TFAbbrevs"/>
      </w:pPr>
      <w:r>
        <w:rPr>
          <w:noProof/>
        </w:rPr>
        <w:drawing>
          <wp:inline distT="0" distB="0" distL="0" distR="0">
            <wp:extent cx="5694045" cy="4694555"/>
            <wp:effectExtent l="0" t="0" r="0" b="0"/>
            <wp:docPr id="13" name="Picture 13" descr="The top 20 indications for antimicrobial prescriptions are unspecified – skin, soft tissue or mucosal (17.5%); urinary tract infection – cystitis (16.7%); lower respiratory tract infection; (pneumonia, chest infection) (11.8%); tinea (8.4%); conjunctivitis (5.2%); wound infection – nonsurgical (4.6%); cellulitis (4.4%); asymptomatic bacteriuria (2.6%); unspecified – respiratory tract (2.1%); unspecified – urinary tract (1.8%); unspecified – eye (1.1%); abscess/boils/folliculitis (1.1%); bronchitis (1.0%); infective exacerbation of chronic obstructive pulmonary disease (1.0%); oral/oesophageal candidiasis (0.9%); unspecified – medical prophylaxis (0.8%); common cold (0.8%); osteomyelitis (0.8%); unspecified – bone and joint (0.8%); ulcers (including pressure, venous and arterial) (0.7%); thrush (0.7%); and catheter-associated infection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op 20 indications for antimicrobial prescriptions are unspecified – skin, soft tissue or mucosal (17.5%); urinary tract infection – cystitis (16.7%); lower respiratory tract infection; (pneumonia, chest infection) (11.8%); tinea (8.4%); conjunctivitis (5.2%); wound infection – nonsurgical (4.6%); cellulitis (4.4%); asymptomatic bacteriuria (2.6%); unspecified – respiratory tract (2.1%); unspecified – urinary tract (1.8%); unspecified – eye (1.1%); abscess/boils/folliculitis (1.1%); bronchitis (1.0%); infective exacerbation of chronic obstructive pulmonary disease (1.0%); oral/oesophageal candidiasis (0.9%); unspecified – medical prophylaxis (0.8%); common cold (0.8%); osteomyelitis (0.8%); unspecified – bone and joint (0.8%); ulcers (including pressure, venous and arterial) (0.7%); thrush (0.7%); and catheter-associated infection (0.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694045" cy="4694555"/>
                    </a:xfrm>
                    <a:prstGeom prst="rect">
                      <a:avLst/>
                    </a:prstGeom>
                    <a:noFill/>
                    <a:ln>
                      <a:noFill/>
                    </a:ln>
                  </pic:spPr>
                </pic:pic>
              </a:graphicData>
            </a:graphic>
          </wp:inline>
        </w:drawing>
      </w:r>
    </w:p>
    <w:p w:rsidR="00344C42" w:rsidRDefault="00344C42" w:rsidP="00344C42">
      <w:pPr>
        <w:pStyle w:val="TFAbbrevs"/>
      </w:pPr>
      <w:r>
        <w:t>COPD = chronic obstructive pulmonary disease; LRTI = lower respiratory tract infection; UTI = urinary tract infection</w:t>
      </w:r>
    </w:p>
    <w:p w:rsidR="00344C42" w:rsidRDefault="00344C42" w:rsidP="00344C42">
      <w:pPr>
        <w:pStyle w:val="TFListNotes"/>
      </w:pPr>
      <w:r>
        <w:t>a</w:t>
      </w:r>
      <w:r>
        <w:tab/>
        <w:t xml:space="preserve">There are 22 indications shown because the 20th, 21st and 22nd indications have the same values. </w:t>
      </w:r>
    </w:p>
    <w:p w:rsidR="00344C42" w:rsidRDefault="00344C42" w:rsidP="00344C42">
      <w:pPr>
        <w:pStyle w:val="TFNoteSourceSpace"/>
      </w:pPr>
      <w:r>
        <w:t>Note:</w:t>
      </w:r>
      <w:r>
        <w:tab/>
        <w:t>Prescriptions marked as ‘Unknown indication’ are not shown.</w:t>
      </w:r>
    </w:p>
    <w:p w:rsidR="00F87897" w:rsidRDefault="00F87897">
      <w:r>
        <w:t>Overall, 22.9% of antimicrobials were prescribed for prophylaxis. A more detailed breakdown of the most common indications by treatment versus prophylaxis is shown in Figure 6. The distribution of treatment indications was reasonably consistent with the overall results shown in Figure 5; however, there was a larger proportion of urinary tract infections in the prophylaxis group (36.3%).</w:t>
      </w:r>
    </w:p>
    <w:p w:rsidR="00344C42" w:rsidRDefault="00344C42" w:rsidP="00344C42">
      <w:pPr>
        <w:pStyle w:val="FigureName"/>
      </w:pPr>
      <w:r>
        <w:lastRenderedPageBreak/>
        <w:t>Figure 6</w:t>
      </w:r>
      <w:r>
        <w:tab/>
        <w:t>The 10 most common indications for treatment (</w:t>
      </w:r>
      <w:r>
        <w:rPr>
          <w:rStyle w:val="Boldemphasis"/>
          <w:rFonts w:cs="Gotham-Medium"/>
          <w:b/>
          <w:bCs/>
        </w:rPr>
        <w:t>n</w:t>
      </w:r>
      <w:r>
        <w:t> = 752) and prophylaxis</w:t>
      </w:r>
      <w:r>
        <w:rPr>
          <w:rStyle w:val="Superscript"/>
        </w:rPr>
        <w:t>a</w:t>
      </w:r>
      <w:r>
        <w:t xml:space="preserve"> (</w:t>
      </w:r>
      <w:r>
        <w:rPr>
          <w:rStyle w:val="Boldemphasis"/>
          <w:rFonts w:cs="Gotham-Medium"/>
          <w:b/>
          <w:bCs/>
        </w:rPr>
        <w:t>n</w:t>
      </w:r>
      <w:r>
        <w:t> = 223)</w:t>
      </w:r>
    </w:p>
    <w:p w:rsidR="00344C42" w:rsidRDefault="009828FC" w:rsidP="00344C42">
      <w:pPr>
        <w:pStyle w:val="TFAbbrevs"/>
      </w:pPr>
      <w:r>
        <w:rPr>
          <w:noProof/>
        </w:rPr>
        <w:drawing>
          <wp:inline distT="0" distB="0" distL="0" distR="0">
            <wp:extent cx="5694045" cy="4343400"/>
            <wp:effectExtent l="0" t="0" r="0" b="0"/>
            <wp:docPr id="14" name="Picture 14" descr="The most common indications for treatment are unspecified – skin, soft tissue or mucosal (19.4%); lower respiratory tract infection; (pneumonia, chest infection) (14.4%); urinary tract infection – cystitis (10.9%); tinea (9.7%); conjunctivitis (6.3%); wound infection –nonsurgical (5.5%); cellulitis (4.9%); unspecified – respiratory tract (2.3%); asymptomatic bacteriuria (2.1%); and abscess/boils/folliculitis (1.3%).&#10;The most common indications for prophylaxis are urinary tract infection – cystitis (36.3%); unspecified – skin, soft tissue or mucosal (11.2%); unspecified – urinary tract (5.4%); tinea (4.0%); asymptomatic bacteriuria (4.0%); unspecified – medical prophylaxis (3.6%); lower respiratory tract infection; (pneumonia, chest infection) (3.6%); cellulitis (2.7%); catheter-associated infection (1.8%); bronchiectasis (1.8%); conjunctivitis (1.8%); and wound infection – nonsurgical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most common indications for treatment are unspecified – skin, soft tissue or mucosal (19.4%); lower respiratory tract infection; (pneumonia, chest infection) (14.4%); urinary tract infection – cystitis (10.9%); tinea (9.7%); conjunctivitis (6.3%); wound infection –nonsurgical (5.5%); cellulitis (4.9%); unspecified – respiratory tract (2.3%); asymptomatic bacteriuria (2.1%); and abscess/boils/folliculitis (1.3%).&#10;The most common indications for prophylaxis are urinary tract infection – cystitis (36.3%); unspecified – skin, soft tissue or mucosal (11.2%); unspecified – urinary tract (5.4%); tinea (4.0%); asymptomatic bacteriuria (4.0%); unspecified – medical prophylaxis (3.6%); lower respiratory tract infection; (pneumonia, chest infection) (3.6%); cellulitis (2.7%); catheter-associated infection (1.8%); bronchiectasis (1.8%); conjunctivitis (1.8%); and wound infection – nonsurgical (1.8%).&#10;"/>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694045" cy="4343400"/>
                    </a:xfrm>
                    <a:prstGeom prst="rect">
                      <a:avLst/>
                    </a:prstGeom>
                    <a:noFill/>
                    <a:ln>
                      <a:noFill/>
                    </a:ln>
                  </pic:spPr>
                </pic:pic>
              </a:graphicData>
            </a:graphic>
          </wp:inline>
        </w:drawing>
      </w:r>
    </w:p>
    <w:p w:rsidR="00344C42" w:rsidRDefault="00344C42" w:rsidP="00344C42">
      <w:pPr>
        <w:pStyle w:val="TFAbbrevs"/>
      </w:pPr>
      <w:r>
        <w:t>COPD = chronic obstructive pulmonary disease; LRTI = lower respiratory tract infection; UTI = urinary tract infection</w:t>
      </w:r>
    </w:p>
    <w:p w:rsidR="00344C42" w:rsidRDefault="00344C42" w:rsidP="00344C42">
      <w:pPr>
        <w:pStyle w:val="TFListNotes"/>
      </w:pPr>
      <w:r>
        <w:t>a</w:t>
      </w:r>
      <w:r>
        <w:tab/>
        <w:t xml:space="preserve">There are 12 prophylaxis indications shown because the 10th, 11th and 12th indications have the same values. </w:t>
      </w:r>
    </w:p>
    <w:p w:rsidR="00344C42" w:rsidRDefault="00344C42" w:rsidP="00344C42">
      <w:pPr>
        <w:pStyle w:val="TFNoteSourceSpace"/>
      </w:pPr>
      <w:r>
        <w:t>Note:</w:t>
      </w:r>
      <w:r>
        <w:tab/>
        <w:t>Prescriptions marked as ‘Unknown indication’ are not shown.</w:t>
      </w:r>
    </w:p>
    <w:p w:rsidR="00F87897" w:rsidRDefault="00F87897">
      <w:pPr>
        <w:pStyle w:val="Heading3"/>
      </w:pPr>
      <w:bookmarkStart w:id="22" w:name="_Toc451169583"/>
      <w:r>
        <w:t>Microbiology</w:t>
      </w:r>
      <w:bookmarkEnd w:id="22"/>
    </w:p>
    <w:p w:rsidR="00F87897" w:rsidRDefault="00F87897">
      <w:r>
        <w:t xml:space="preserve">Microbiology data was collected for a subset of prescriptions that were for treatment indications and had a known start date that was within six months of the survey date (548 from a total of 975). </w:t>
      </w:r>
    </w:p>
    <w:p w:rsidR="00F87897" w:rsidRDefault="00F87897">
      <w:r>
        <w:t>About one-quarter (23.9%; 131 of 548) of these prescriptions were for residents who had a microb</w:t>
      </w:r>
      <w:r>
        <w:t>i</w:t>
      </w:r>
      <w:r>
        <w:t xml:space="preserve">ological specimen collected during the week before the antimicrobial start date. Figure 7 shows the proportion of prescriptions where a specimen was taken, grouped by body system. </w:t>
      </w:r>
    </w:p>
    <w:p w:rsidR="00F87897" w:rsidRDefault="00F87897">
      <w:r>
        <w:t>The majority (63.8%) of prescriptions for urinary tract infections had microbiological specimens ta</w:t>
      </w:r>
      <w:r>
        <w:t>k</w:t>
      </w:r>
      <w:r>
        <w:t>en. Of these urinary specimens, 17.9% were taken for residents with asymptomatic bacteriuria, where screening and treatment with antimicrobials is not recommended except under special ci</w:t>
      </w:r>
      <w:r>
        <w:t>r</w:t>
      </w:r>
      <w:r>
        <w:t>cumstances.</w:t>
      </w:r>
      <w:r>
        <w:rPr>
          <w:rStyle w:val="EndnoteReference"/>
          <w:rFonts w:cs="Gotham-Book"/>
        </w:rPr>
        <w:t>18</w:t>
      </w:r>
      <w:r>
        <w:t xml:space="preserve"> Conversely, all aged care residents with clinical signs or symptoms of a urinary tract infection should have urinary specimens taken.</w:t>
      </w:r>
      <w:r>
        <w:rPr>
          <w:rStyle w:val="EndnoteReference"/>
          <w:rFonts w:cs="Gotham-Book"/>
        </w:rPr>
        <w:t>18</w:t>
      </w:r>
      <w:r>
        <w:t xml:space="preserve"> </w:t>
      </w:r>
    </w:p>
    <w:p w:rsidR="00A136DC" w:rsidRDefault="00F87897">
      <w:r>
        <w:t>Generally, since microbiological specimens may not be required for skin, soft tissue, mucosal or eye infections, the low result in these categories is not unexpected. Similarly, it is difficult to comment on the significance of the respiratory tract result because elderly residents with respiratory tract i</w:t>
      </w:r>
      <w:r>
        <w:t>n</w:t>
      </w:r>
      <w:r>
        <w:t>fections can often display atypical symptoms, and taking microbiological specimens can be challen</w:t>
      </w:r>
      <w:r>
        <w:t>g</w:t>
      </w:r>
      <w:r>
        <w:t>ing in the aged care setting.</w:t>
      </w:r>
    </w:p>
    <w:p w:rsidR="00F87897" w:rsidRDefault="00F87897">
      <w:pPr>
        <w:pStyle w:val="Heading3"/>
      </w:pPr>
      <w:bookmarkStart w:id="23" w:name="_Toc451169584"/>
      <w:r>
        <w:lastRenderedPageBreak/>
        <w:t>Appropriateness of prescribing</w:t>
      </w:r>
      <w:bookmarkEnd w:id="23"/>
    </w:p>
    <w:p w:rsidR="00F87897" w:rsidRDefault="00F87897">
      <w:r>
        <w:rPr>
          <w:spacing w:val="-1"/>
          <w:w w:val="94"/>
        </w:rPr>
        <w:t xml:space="preserve">The McGeer infection criteria were used as a surrogate marker for appropriateness of prescribing, as they are considered to have high specificity for determining the presence of an infection. Data was collected on a subset of 548 of the 975 prescriptions: those that were for treatment, and those that were prescribed within six months of the survey date and had a known start date. </w:t>
      </w:r>
    </w:p>
    <w:p w:rsidR="00F87897" w:rsidRDefault="00F87897">
      <w:r>
        <w:t>Approximately one in five prescriptions (21.7%; 119 of 548) were for residents with no signs or symptoms of infection during the week preceding the commencement of the antimicrobial. Ther</w:t>
      </w:r>
      <w:r>
        <w:t>e</w:t>
      </w:r>
      <w:r>
        <w:t>fore, it is likely that these antimicrobials were inappropriately prescribed.</w:t>
      </w:r>
    </w:p>
    <w:p w:rsidR="00344C42" w:rsidRDefault="00F87897">
      <w:r>
        <w:t>For residents showing signs or symptoms of infections during the week before an antimicrobial was started, only one-third (33.6%; 158 of 470) of prescribing was for indications that met the McGeer infection criteria. Using McGeer infection criteria as a measure of appropriateness, about two-thirds of antimicrobial prescribing in this group of residents was therefore deemed inappropriate. Figure 8 shows the distribution of signs and symptoms, grouped according to the McGeer body systems. Since some residents displayed signs and symptoms from more than one body system, some pr</w:t>
      </w:r>
      <w:r>
        <w:t>e</w:t>
      </w:r>
      <w:r>
        <w:t>scriptions were counted more than once.</w:t>
      </w:r>
    </w:p>
    <w:p w:rsidR="00344C42" w:rsidRDefault="00344C42" w:rsidP="00344C42">
      <w:pPr>
        <w:pStyle w:val="FigureName"/>
      </w:pPr>
      <w:r>
        <w:t>Figure 7</w:t>
      </w:r>
      <w:r>
        <w:tab/>
      </w:r>
      <w:r>
        <w:rPr>
          <w:spacing w:val="-1"/>
          <w:w w:val="98"/>
        </w:rPr>
        <w:t>Percentage of antimicrobial prescriptions where a microbiological specimen was collec</w:t>
      </w:r>
      <w:r>
        <w:rPr>
          <w:spacing w:val="-1"/>
          <w:w w:val="98"/>
        </w:rPr>
        <w:t>t</w:t>
      </w:r>
      <w:r>
        <w:rPr>
          <w:spacing w:val="-1"/>
          <w:w w:val="98"/>
        </w:rPr>
        <w:t>ed during the week before the antimicrobial start date, by McGeer body system</w:t>
      </w:r>
    </w:p>
    <w:p w:rsidR="00344C42" w:rsidRDefault="009828FC" w:rsidP="00344C42">
      <w:pPr>
        <w:pStyle w:val="TFNoteSourceSpace"/>
      </w:pPr>
      <w:r>
        <w:rPr>
          <w:noProof/>
        </w:rPr>
        <w:drawing>
          <wp:inline distT="0" distB="0" distL="0" distR="0">
            <wp:extent cx="5694045" cy="2277745"/>
            <wp:effectExtent l="0" t="0" r="0" b="0"/>
            <wp:docPr id="15" name="Picture 15" descr="The split for prescriptions where a specimen was collected or not collected was:&#10;•_urinary tract – 63.8% collected; 36.2% not collected&#10;•_skin, soft tissue or mucosal –15.5% collected; 84.5% not collected&#10;•_respiratory tract – 10.7% collected; 89.3% not collected&#10;•_eye – 6.0% collected; 94.0% not colle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plit for prescriptions where a specimen was collected or not collected was:&#10;•_urinary tract – 63.8% collected; 36.2% not collected&#10;•_skin, soft tissue or mucosal –15.5% collected; 84.5% not collected&#10;•_respiratory tract – 10.7% collected; 89.3% not collected&#10;•_eye – 6.0% collected; 94.0% not collected.&#1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694045" cy="2277745"/>
                    </a:xfrm>
                    <a:prstGeom prst="rect">
                      <a:avLst/>
                    </a:prstGeom>
                    <a:noFill/>
                    <a:ln>
                      <a:noFill/>
                    </a:ln>
                  </pic:spPr>
                </pic:pic>
              </a:graphicData>
            </a:graphic>
          </wp:inline>
        </w:drawing>
      </w:r>
    </w:p>
    <w:p w:rsidR="00344C42" w:rsidRDefault="00344C42" w:rsidP="00344C42">
      <w:pPr>
        <w:pStyle w:val="TFNoteSourceSpace"/>
      </w:pPr>
      <w:r>
        <w:t>Note:</w:t>
      </w:r>
      <w:r>
        <w:tab/>
        <w:t>Only body systems for which there were 30 or more antimicrobial prescriptions are shown.</w:t>
      </w:r>
    </w:p>
    <w:p w:rsidR="00344C42" w:rsidRDefault="00344C42" w:rsidP="00344C42">
      <w:pPr>
        <w:pStyle w:val="FigureName"/>
      </w:pPr>
      <w:r>
        <w:lastRenderedPageBreak/>
        <w:t>Figure 8</w:t>
      </w:r>
      <w:r>
        <w:tab/>
        <w:t>Number of antimicrobial prescriptions for residents meeting McGeer criteria, by McGeer body system</w:t>
      </w:r>
    </w:p>
    <w:p w:rsidR="00183E97" w:rsidRDefault="009828FC" w:rsidP="00344C42">
      <w:bookmarkStart w:id="24" w:name="_GoBack"/>
      <w:r>
        <w:rPr>
          <w:noProof/>
        </w:rPr>
        <w:drawing>
          <wp:inline distT="0" distB="0" distL="0" distR="0">
            <wp:extent cx="5694045" cy="2560955"/>
            <wp:effectExtent l="0" t="0" r="0" b="0"/>
            <wp:docPr id="16" name="Picture 16" descr="The proportion of infections that met the McGeer criteria was:&#10;•_urinary – 102 did not meet; 20 met&#10;•_respiratory – 99 did not meet; 45 met&#10;•_skin, soft tissue, eye and oral – 105 did not meet; 100 met&#10;•_gastrointestinal – 2 did not meet; 0 met&#10;•_systemic – 1 did not meet; 1 met&#10;•_other – 3 did not meet; 1 m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proportion of infections that met the McGeer criteria was:&#10;•_urinary – 102 did not meet; 20 met&#10;•_respiratory – 99 did not meet; 45 met&#10;•_skin, soft tissue, eye and oral – 105 did not meet; 100 met&#10;•_gastrointestinal – 2 did not meet; 0 met&#10;•_systemic – 1 did not meet; 1 met&#10;•_other – 3 did not meet; 1 met.&#10;"/>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94045" cy="2560955"/>
                    </a:xfrm>
                    <a:prstGeom prst="rect">
                      <a:avLst/>
                    </a:prstGeom>
                    <a:noFill/>
                    <a:ln>
                      <a:noFill/>
                    </a:ln>
                  </pic:spPr>
                </pic:pic>
              </a:graphicData>
            </a:graphic>
          </wp:inline>
        </w:drawing>
      </w:r>
      <w:bookmarkEnd w:id="24"/>
    </w:p>
    <w:p w:rsidR="00F87897" w:rsidRDefault="00F87897">
      <w:pPr>
        <w:pStyle w:val="Heading1"/>
      </w:pPr>
      <w:bookmarkStart w:id="25" w:name="_Toc451169585"/>
      <w:r>
        <w:lastRenderedPageBreak/>
        <w:t>Participant feedback</w:t>
      </w:r>
      <w:bookmarkEnd w:id="25"/>
    </w:p>
    <w:p w:rsidR="00F87897" w:rsidRDefault="00F87897">
      <w:r>
        <w:t>All participating residential aged care facilities (RACFs) were invited to complete an online questio</w:t>
      </w:r>
      <w:r>
        <w:t>n</w:t>
      </w:r>
      <w:r>
        <w:t>naire seeking feedback on the 2015 pilot Aged Care National Antimicrobial Prescribing Survey (a</w:t>
      </w:r>
      <w:r>
        <w:t>c</w:t>
      </w:r>
      <w:r>
        <w:t>NAPS). The response rate was 45.8% (54 surveyors from a total of 118). As well, a small number of participating RACFs (selected from a convenience sample) were visited across five states to obtain further qualitative feedback. A total of 19 participants were interviewed.</w:t>
      </w:r>
    </w:p>
    <w:p w:rsidR="00A136DC" w:rsidRDefault="00F87897">
      <w:r>
        <w:t>Overall, feedback was positive, with most surveyors (96.2%) indicating that they were willing to pa</w:t>
      </w:r>
      <w:r>
        <w:t>r</w:t>
      </w:r>
      <w:r>
        <w:t>ticipate in the survey again. Most (90.6%) felt that the amount of data that was required to be co</w:t>
      </w:r>
      <w:r>
        <w:t>l</w:t>
      </w:r>
      <w:r>
        <w:t>lected was appropriate. Most RACFs (81.2%) completed data collection within one day. It took an average of 30 minutes to collect and enter data for each resident. The most common difficulty was limited documentation – including details of antimicrobial start dates, indications, and signs and symptoms of infection – and limited access to microbiology reports.</w:t>
      </w:r>
    </w:p>
    <w:p w:rsidR="00F87897" w:rsidRDefault="00F87897">
      <w:r>
        <w:t>At a local level, the point prevalence nature of acNAPS resulted in small numbers of residents who met the McGeer infection criteria. Some respondents commented that this limitation affected the RACF’s ability to use the data locally, as the small numbers did not reflect the overall prescribing practices in that facility. One-quarter of respondents indicated that the results were either an ove</w:t>
      </w:r>
      <w:r>
        <w:t>r</w:t>
      </w:r>
      <w:r>
        <w:t>estimate or an underestimate of their usual antimicrobial use and prevalence of infection. However, they did acknowledge that there needed to be a balance between the limitations of the point pre</w:t>
      </w:r>
      <w:r>
        <w:t>v</w:t>
      </w:r>
      <w:r>
        <w:t>alence survey method, and resource requirements and availability.</w:t>
      </w:r>
    </w:p>
    <w:p w:rsidR="00F87897" w:rsidRDefault="00F87897">
      <w:pPr>
        <w:pStyle w:val="NormalBeforeBullet"/>
      </w:pPr>
      <w:r>
        <w:t>Most participants (90.9%; 40 of 44) who entered data through the online portal were satisfied with the website design and functionality. Suggestions for improvements included:</w:t>
      </w:r>
    </w:p>
    <w:p w:rsidR="00F87897" w:rsidRDefault="00F87897">
      <w:pPr>
        <w:pStyle w:val="Bullet"/>
      </w:pPr>
      <w:r>
        <w:t>improving the clarity of the data collection forms</w:t>
      </w:r>
    </w:p>
    <w:p w:rsidR="00F87897" w:rsidRDefault="00F87897">
      <w:pPr>
        <w:pStyle w:val="BulletLast"/>
      </w:pPr>
      <w:r>
        <w:t>enhancing the functionality of the online data portal.</w:t>
      </w:r>
    </w:p>
    <w:p w:rsidR="00F87897" w:rsidRDefault="00F87897">
      <w:r>
        <w:t>Most of the participants who required support or training were satisfied with the level of support from the acNAPS team (97.1%; 34 of 35) and the online training sessions (94.6%; 35 of 37).</w:t>
      </w:r>
    </w:p>
    <w:p w:rsidR="00A136DC" w:rsidRDefault="00F87897">
      <w:r>
        <w:t>During the face-to-face interviews, participants were also asked to discuss issues regarding antim</w:t>
      </w:r>
      <w:r>
        <w:t>i</w:t>
      </w:r>
      <w:r>
        <w:t>crobial resistance, antimicrobial use and antimicrobial stewardship (AMS). Some commented that they did not perceive antimicrobial resistance to be a problem at their facility, but acknowledged that further improvements could be made in ensuring that antimicrobial therapy, particularly prophylaxis, was reviewed more frequently. Several participants mentioned that AMS is an unfami</w:t>
      </w:r>
      <w:r>
        <w:t>l</w:t>
      </w:r>
      <w:r>
        <w:t>iar concept to RACF staff, and that increased awareness of AMS, and access to guidelines and dec</w:t>
      </w:r>
      <w:r>
        <w:t>i</w:t>
      </w:r>
      <w:r>
        <w:t>sion-making tools were required.</w:t>
      </w:r>
    </w:p>
    <w:p w:rsidR="00F87897" w:rsidRDefault="00F87897">
      <w:pPr>
        <w:pStyle w:val="Heading1"/>
      </w:pPr>
      <w:bookmarkStart w:id="26" w:name="_Toc451169586"/>
      <w:r>
        <w:lastRenderedPageBreak/>
        <w:t>Conclusion</w:t>
      </w:r>
      <w:bookmarkEnd w:id="26"/>
    </w:p>
    <w:p w:rsidR="00F87897" w:rsidRDefault="00F87897">
      <w:pPr>
        <w:pStyle w:val="NormalBeforeBullet"/>
      </w:pPr>
      <w:r>
        <w:t xml:space="preserve">Across Australia, a total of 186 residential aged care facilities (RACFs) and multipurpose services (MPSs) participated in the 2015 pilot of the Aged Care National Antimicrobial Prescribing Survey (acNAPS). Analysis of the data collected on infection and antimicrobial use found the following: </w:t>
      </w:r>
    </w:p>
    <w:p w:rsidR="00F87897" w:rsidRDefault="00F87897">
      <w:pPr>
        <w:pStyle w:val="Bullet"/>
      </w:pPr>
      <w:r>
        <w:t xml:space="preserve">Antimicrobials were most commonly prescribed for infections of the skin and soft tissue, urinary tract and lower respiratory tract, and for tinea and conjunctivitis. </w:t>
      </w:r>
    </w:p>
    <w:p w:rsidR="00F87897" w:rsidRDefault="00F87897">
      <w:pPr>
        <w:pStyle w:val="Bullet"/>
      </w:pPr>
      <w:r>
        <w:t xml:space="preserve">Documentation about the indication for prescribing an antimicrobial and antimicrobial review or stop dates was often inadequate. </w:t>
      </w:r>
    </w:p>
    <w:p w:rsidR="00F87897" w:rsidRDefault="00F87897">
      <w:pPr>
        <w:pStyle w:val="Bullet"/>
      </w:pPr>
      <w:r>
        <w:t xml:space="preserve">Antimicrobial prescribing was often inappropriate. Although the surveyors did not directly assess inappropriateness of prescribing, some results indirectly suggested that many prescriptions may be unnecessary – for example, about one in five prescriptions were for residents without signs or symptoms of infection in the week before the antimicrobial was started. </w:t>
      </w:r>
    </w:p>
    <w:p w:rsidR="00F87897" w:rsidRDefault="00F87897">
      <w:pPr>
        <w:pStyle w:val="Bullet"/>
      </w:pPr>
      <w:r>
        <w:t>Treatment courses are unnecessarily prolonged. About one-third of antimicrobials were pr</w:t>
      </w:r>
      <w:r>
        <w:t>e</w:t>
      </w:r>
      <w:r>
        <w:t xml:space="preserve">scribed for more than six months, and half of these did not have an indication documented. </w:t>
      </w:r>
    </w:p>
    <w:p w:rsidR="00F87897" w:rsidRDefault="00F87897">
      <w:pPr>
        <w:pStyle w:val="BulletLast"/>
      </w:pPr>
      <w:r>
        <w:t xml:space="preserve">Topical antimicrobials are frequently used – they account for more than one-third (37%) of all prescriptions. </w:t>
      </w:r>
    </w:p>
    <w:p w:rsidR="00F87897" w:rsidRDefault="00F87897">
      <w:r>
        <w:t>The participant feedback was positive. Importantly, most participants indicated that they would pa</w:t>
      </w:r>
      <w:r>
        <w:t>r</w:t>
      </w:r>
      <w:r>
        <w:t xml:space="preserve">ticipate again in 2016. This suggests that, overall, the method of implementation and survey data requirements may be sustainable. </w:t>
      </w:r>
    </w:p>
    <w:p w:rsidR="00F87897" w:rsidRDefault="00F87897">
      <w:r>
        <w:t xml:space="preserve">The acNAPS pilot proved to be a valuable survey for those participating, and represents a significant step towards recognition of the importance of antimicrobial stewardship (AMS) programs in RACFs. The National Centre for Antimicrobial Stewardship, the Guidance Group, the Victorian Healthcare Associated Infection Surveillance Coordinating Centre, and the Australian Commission on Safety and Quality in Health Care thank the RACFs and MPSs that participated in the 2015 acNAPS pilot, and urge other RACFs and MPSs to participate in acNAPS in the future. </w:t>
      </w:r>
    </w:p>
    <w:p w:rsidR="00F87897" w:rsidRDefault="00F87897">
      <w:r>
        <w:t>By collecting data on infection and antimicrobial use, and interpreting their surveillance reports, f</w:t>
      </w:r>
      <w:r>
        <w:t>a</w:t>
      </w:r>
      <w:r>
        <w:t>cilities are better placed to identify priority areas for any AMS interventions and measure improv</w:t>
      </w:r>
      <w:r>
        <w:t>e</w:t>
      </w:r>
      <w:r>
        <w:t>ments in antimicrobial use. Such activities are important components of any AMS program that aims to improve patient and resident outcomes, ensure cost-effective therapy and reduce adverse s</w:t>
      </w:r>
      <w:r>
        <w:t>e</w:t>
      </w:r>
      <w:r>
        <w:t xml:space="preserve">quelae of antimicrobial use, including the serious threat of antimicrobial resistance. </w:t>
      </w:r>
    </w:p>
    <w:p w:rsidR="00A136DC" w:rsidRDefault="00F87897">
      <w:r>
        <w:t>As acNAPS moves beyond the pilot phase, the acNAPS project team will revise the survey, based on the detailed feedback from the 2015 participants, an updated literature review and further consult</w:t>
      </w:r>
      <w:r>
        <w:t>a</w:t>
      </w:r>
      <w:r>
        <w:t xml:space="preserve">tion with key stakeholders, including the Royal Australian College of General Practitioners. The next acNAPS will take place between June and August 2016. </w:t>
      </w:r>
    </w:p>
    <w:p w:rsidR="00344C42" w:rsidRDefault="00F87897" w:rsidP="00344C42">
      <w:pPr>
        <w:pStyle w:val="Heading1"/>
      </w:pPr>
      <w:bookmarkStart w:id="27" w:name="_Toc451169587"/>
      <w:r>
        <w:lastRenderedPageBreak/>
        <w:t>Appendix 1</w:t>
      </w:r>
      <w:r>
        <w:tab/>
        <w:t xml:space="preserve">RACF </w:t>
      </w:r>
      <w:r w:rsidR="00344C42">
        <w:t>f</w:t>
      </w:r>
      <w:r>
        <w:t>orm</w:t>
      </w:r>
      <w:bookmarkEnd w:id="27"/>
    </w:p>
    <w:p w:rsidR="00183E97" w:rsidRDefault="009828FC" w:rsidP="003B6F9C">
      <w:r>
        <w:rPr>
          <w:noProof/>
        </w:rPr>
        <w:drawing>
          <wp:inline distT="0" distB="0" distL="0" distR="0">
            <wp:extent cx="5059045" cy="7209155"/>
            <wp:effectExtent l="0" t="0" r="0" b="0"/>
            <wp:docPr id="18" name="Picture 18" descr="Form used for data collection in residential aged care facilities, and asks questions about the facility’s characteristics, such as level of access to Therapeutic Guidelines: Antibiotic and summary demographics of all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 used for data collection in residential aged care facilities, and asks questions about the facility’s characteristics, such as level of access to Therapeutic Guidelines: Antibiotic and summary demographics of all resident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59045" cy="7209155"/>
                    </a:xfrm>
                    <a:prstGeom prst="rect">
                      <a:avLst/>
                    </a:prstGeom>
                    <a:noFill/>
                    <a:ln>
                      <a:noFill/>
                    </a:ln>
                  </pic:spPr>
                </pic:pic>
              </a:graphicData>
            </a:graphic>
          </wp:inline>
        </w:drawing>
      </w:r>
    </w:p>
    <w:p w:rsidR="00A136DC" w:rsidRDefault="00F87897" w:rsidP="00E52D7D">
      <w:pPr>
        <w:pStyle w:val="Heading1"/>
      </w:pPr>
      <w:r>
        <w:lastRenderedPageBreak/>
        <w:t>Appendix 2</w:t>
      </w:r>
      <w:r>
        <w:tab/>
        <w:t>Resident Form – infections</w:t>
      </w:r>
    </w:p>
    <w:p w:rsidR="003B6F9C" w:rsidRDefault="009828FC" w:rsidP="003B6F9C">
      <w:r>
        <w:rPr>
          <w:noProof/>
        </w:rPr>
        <w:drawing>
          <wp:inline distT="0" distB="0" distL="0" distR="0">
            <wp:extent cx="5723255" cy="4038600"/>
            <wp:effectExtent l="0" t="0" r="0" b="0"/>
            <wp:docPr id="19" name="Picture 19" descr="Form used for data collection in residential aged care facilities, and asks questions about the symptoms of infections in residents, and if any testing was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 used for data collection in residential aged care facilities, and asks questions about the symptoms of infections in residents, and if any testing was done."/>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23255" cy="4038600"/>
                    </a:xfrm>
                    <a:prstGeom prst="rect">
                      <a:avLst/>
                    </a:prstGeom>
                    <a:noFill/>
                    <a:ln>
                      <a:noFill/>
                    </a:ln>
                  </pic:spPr>
                </pic:pic>
              </a:graphicData>
            </a:graphic>
          </wp:inline>
        </w:drawing>
      </w:r>
    </w:p>
    <w:p w:rsidR="00183E97" w:rsidRDefault="009828FC" w:rsidP="003B6F9C">
      <w:r>
        <w:rPr>
          <w:noProof/>
        </w:rPr>
        <w:lastRenderedPageBreak/>
        <w:drawing>
          <wp:inline distT="0" distB="0" distL="0" distR="0">
            <wp:extent cx="5727700" cy="8107045"/>
            <wp:effectExtent l="0" t="0" r="0" b="0"/>
            <wp:docPr id="20" name="Picture 20" descr="Form used for data collection in residential aged care facilities, and asks questions about the symptoms of infections in residents, and if any testing was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 used for data collection in residential aged care facilities, and asks questions about the symptoms of infections in residents, and if any testing was don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27700" cy="8107045"/>
                    </a:xfrm>
                    <a:prstGeom prst="rect">
                      <a:avLst/>
                    </a:prstGeom>
                    <a:noFill/>
                    <a:ln>
                      <a:noFill/>
                    </a:ln>
                  </pic:spPr>
                </pic:pic>
              </a:graphicData>
            </a:graphic>
          </wp:inline>
        </w:drawing>
      </w:r>
    </w:p>
    <w:p w:rsidR="00A136DC" w:rsidRDefault="00F87897" w:rsidP="00E52D7D">
      <w:pPr>
        <w:pStyle w:val="Heading1"/>
      </w:pPr>
      <w:r>
        <w:lastRenderedPageBreak/>
        <w:t>Appendix 3</w:t>
      </w:r>
      <w:r>
        <w:tab/>
        <w:t>Resident Form – antimicrobials</w:t>
      </w:r>
    </w:p>
    <w:p w:rsidR="003B6F9C" w:rsidRDefault="009828FC" w:rsidP="003B6F9C">
      <w:r>
        <w:rPr>
          <w:noProof/>
        </w:rPr>
        <w:drawing>
          <wp:inline distT="0" distB="0" distL="0" distR="0">
            <wp:extent cx="5727700" cy="4089400"/>
            <wp:effectExtent l="0" t="0" r="0" b="0"/>
            <wp:docPr id="21" name="Picture 21" descr="Form used for data collection in residential aged care facilities, and asks questions about the type of antimicrobial pr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 used for data collection in residential aged care facilities, and asks questions about the type of antimicrobial prescribed."/>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27700" cy="4089400"/>
                    </a:xfrm>
                    <a:prstGeom prst="rect">
                      <a:avLst/>
                    </a:prstGeom>
                    <a:noFill/>
                    <a:ln>
                      <a:noFill/>
                    </a:ln>
                  </pic:spPr>
                </pic:pic>
              </a:graphicData>
            </a:graphic>
          </wp:inline>
        </w:drawing>
      </w:r>
    </w:p>
    <w:p w:rsidR="00183E97" w:rsidRDefault="009828FC" w:rsidP="003B6F9C">
      <w:r>
        <w:rPr>
          <w:noProof/>
        </w:rPr>
        <w:lastRenderedPageBreak/>
        <w:drawing>
          <wp:inline distT="0" distB="0" distL="0" distR="0">
            <wp:extent cx="5727700" cy="8123555"/>
            <wp:effectExtent l="0" t="0" r="0" b="0"/>
            <wp:docPr id="22" name="Picture 22" descr="Form used for data collection in residential aged care facilities, and asks questions about the type of antimicrobial pr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 used for data collection in residential aged care facilities, and asks questions about the type of antimicrobial prescribed."/>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27700" cy="8123555"/>
                    </a:xfrm>
                    <a:prstGeom prst="rect">
                      <a:avLst/>
                    </a:prstGeom>
                    <a:noFill/>
                    <a:ln>
                      <a:noFill/>
                    </a:ln>
                  </pic:spPr>
                </pic:pic>
              </a:graphicData>
            </a:graphic>
          </wp:inline>
        </w:drawing>
      </w:r>
    </w:p>
    <w:p w:rsidR="00F87897" w:rsidRDefault="00F87897">
      <w:pPr>
        <w:pStyle w:val="Heading1"/>
      </w:pPr>
      <w:bookmarkStart w:id="28" w:name="_Toc451169588"/>
      <w:r>
        <w:lastRenderedPageBreak/>
        <w:t>Glossary</w:t>
      </w:r>
      <w:bookmarkEnd w:id="28"/>
    </w:p>
    <w:tbl>
      <w:tblPr>
        <w:tblW w:w="0" w:type="auto"/>
        <w:tblInd w:w="85" w:type="dxa"/>
        <w:tblLayout w:type="fixed"/>
        <w:tblCellMar>
          <w:left w:w="0" w:type="dxa"/>
          <w:right w:w="0" w:type="dxa"/>
        </w:tblCellMar>
        <w:tblLook w:val="0000" w:firstRow="0" w:lastRow="0" w:firstColumn="0" w:lastColumn="0" w:noHBand="0" w:noVBand="0"/>
      </w:tblPr>
      <w:tblGrid>
        <w:gridCol w:w="2296"/>
        <w:gridCol w:w="7597"/>
      </w:tblGrid>
      <w:tr w:rsidR="00F87897">
        <w:trPr>
          <w:trHeight w:val="60"/>
          <w:tblHeader/>
        </w:trPr>
        <w:tc>
          <w:tcPr>
            <w:tcW w:w="2296"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F87897" w:rsidRDefault="00F87897">
            <w:pPr>
              <w:pStyle w:val="TableHeading"/>
            </w:pPr>
            <w:r>
              <w:t>Term</w:t>
            </w:r>
          </w:p>
        </w:tc>
        <w:tc>
          <w:tcPr>
            <w:tcW w:w="7597" w:type="dxa"/>
            <w:tcBorders>
              <w:top w:val="single" w:sz="4" w:space="0" w:color="000000"/>
              <w:left w:val="single" w:sz="6" w:space="0" w:color="FFFFFF"/>
              <w:bottom w:val="single" w:sz="4" w:space="0" w:color="000000"/>
              <w:right w:val="single" w:sz="6" w:space="0" w:color="FFFFFF"/>
            </w:tcBorders>
            <w:shd w:val="solid" w:color="000000" w:fill="auto"/>
            <w:tcMar>
              <w:top w:w="113" w:type="dxa"/>
              <w:left w:w="85" w:type="dxa"/>
              <w:bottom w:w="113" w:type="dxa"/>
              <w:right w:w="85" w:type="dxa"/>
            </w:tcMar>
            <w:vAlign w:val="bottom"/>
          </w:tcPr>
          <w:p w:rsidR="00F87897" w:rsidRDefault="00F87897">
            <w:pPr>
              <w:pStyle w:val="TableHeading"/>
            </w:pPr>
            <w:r>
              <w:t>Definition</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antimicrobial</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 chemical substance that inhibits or destroys bacteria, viruses or fungi, and that can be safely administered to humans or other animals.</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antimicrobial resistance</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Failure of an antimicrobial to inhibit a microorganism at the antimicrobial concentr</w:t>
            </w:r>
            <w:r>
              <w:t>a</w:t>
            </w:r>
            <w:r>
              <w:t>tions usually achieved over time with standard dosing regimens.</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antimicrobial stewar</w:t>
            </w:r>
            <w:r>
              <w:t>d</w:t>
            </w:r>
            <w:r>
              <w:t>ship</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An ongoing effort by an organisation to optimise antimicrobial use to improve patient outcomes, ensure cost-effective therapy and reduce adverse sequelae of antimicrobial use, including antimicrobial resistance.</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Australian Standard G</w:t>
            </w:r>
            <w:r>
              <w:t>e</w:t>
            </w:r>
            <w:r>
              <w:t xml:space="preserve">ographic Classification Remoteness Areas </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The remoteness area categories (major cities, inner regional, outer regional, remote and very remote) are defined in terms of ‘remoteness’ – the physical distance of a l</w:t>
            </w:r>
            <w:r>
              <w:t>o</w:t>
            </w:r>
            <w:r>
              <w:t>cation from the nearest urban centre (access to goods and services), based on popul</w:t>
            </w:r>
            <w:r>
              <w:t>a</w:t>
            </w:r>
            <w:r>
              <w:t xml:space="preserve">tion size. </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clinical indication</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An infection that makes a particular treatment or procedure advisable.</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 xml:space="preserve">Guidance Group </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 group that has partnered with the National Centre for Antimicrobial Stewardship to develop and implement the antimicrobial stewardship (AMS) information technology tools required to sustain AMS improvement and surveillance within various healthcare settings.</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 xml:space="preserve">McGeer criteria </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 set of widely referenced, internationally recognised infection definitions that have been specifically developed for use in residential aged care facilities.</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National Centre for A</w:t>
            </w:r>
            <w:r>
              <w:t>n</w:t>
            </w:r>
            <w:r>
              <w:t xml:space="preserve">timicrobial Stewardship </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 collaboration that provides a coordinated approach to antimicrobial stewardship strategies across diverse healthcare settings, including tertiary hospitals, rural and r</w:t>
            </w:r>
            <w:r>
              <w:t>e</w:t>
            </w:r>
            <w:r>
              <w:t xml:space="preserve">gional health care, aged care, general practice, and the animal sector in Australia. See </w:t>
            </w:r>
            <w:hyperlink r:id="rId28" w:history="1">
              <w:r>
                <w:t>https://ncascre.wordpress.com.</w:t>
              </w:r>
            </w:hyperlink>
            <w:r>
              <w:t xml:space="preserve"> </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National Safety and Quality Health Service (NSQHS) Standards</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Standards developed by the Australian Commission on Safety and Quality in Health Care to drive the implementation of safety and quality systems, and improve the qua</w:t>
            </w:r>
            <w:r>
              <w:t>l</w:t>
            </w:r>
            <w:r>
              <w:t>ity of health care in Australia. The 10 NSQHS Standards provide a nationally consistent statement about the level of care consumers can expect from health service organis</w:t>
            </w:r>
            <w:r>
              <w:t>a</w:t>
            </w:r>
            <w:r>
              <w:t xml:space="preserve">tions. </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 xml:space="preserve">prevalence </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 xml:space="preserve">The number of events of interest in a given population at a given point in time, usually expressed as a prevalence rate (i.e. as a proportion of the defined population size at that time). </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 xml:space="preserve">prophylaxis </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 xml:space="preserve">The use of treatment – for example, administration of an antibiotic – in advance of an actual infection or disease condition because such a condition is expected to occur if </w:t>
            </w:r>
            <w:r>
              <w:lastRenderedPageBreak/>
              <w:t xml:space="preserve">treatment is withheld. </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lastRenderedPageBreak/>
              <w:t xml:space="preserve">Rural Infection Control Practice Group </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 collaborative network of infection control consultants with regional responsibilities in the five nonmetropolitan Department of Health and Human Services regions of Vi</w:t>
            </w:r>
            <w:r>
              <w:t>c</w:t>
            </w:r>
            <w:r>
              <w:t>toria, and one representative from the Department of Health and Human Services.</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rPr>
                <w:rStyle w:val="Emphasis"/>
                <w:rFonts w:cs="Gotham-Book"/>
              </w:rPr>
              <w:t>Therapeutic Guidelines: Antibiotic</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An evidence-based guideline, prepared by an expert group of experienced clinicians, that combines a consensus approach to best practice with critical appraisal of the ev</w:t>
            </w:r>
            <w:r>
              <w:t>i</w:t>
            </w:r>
            <w:r>
              <w:t>dence regarding the treatment and prophylaxis of infections in Australia.</w:t>
            </w:r>
          </w:p>
        </w:tc>
      </w:tr>
      <w:tr w:rsidR="00F87897">
        <w:trPr>
          <w:trHeight w:val="60"/>
        </w:trPr>
        <w:tc>
          <w:tcPr>
            <w:tcW w:w="2296"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Victorian Healthcare Associated Infection Surveillance (VICNISS) Coordinating Centre</w:t>
            </w:r>
          </w:p>
        </w:tc>
        <w:tc>
          <w:tcPr>
            <w:tcW w:w="7597" w:type="dxa"/>
            <w:tcBorders>
              <w:top w:val="single" w:sz="4" w:space="0" w:color="000000"/>
              <w:left w:val="single" w:sz="6" w:space="0" w:color="FFFFFF"/>
              <w:bottom w:val="single" w:sz="4" w:space="0" w:color="000000"/>
              <w:right w:val="single" w:sz="6" w:space="0" w:color="FFFFFF"/>
            </w:tcBorders>
            <w:tcMar>
              <w:top w:w="113" w:type="dxa"/>
              <w:left w:w="85" w:type="dxa"/>
              <w:bottom w:w="113" w:type="dxa"/>
              <w:right w:w="85" w:type="dxa"/>
            </w:tcMar>
          </w:tcPr>
          <w:p w:rsidR="00F87897" w:rsidRDefault="00F87897">
            <w:pPr>
              <w:pStyle w:val="TableText"/>
            </w:pPr>
            <w:r>
              <w:t>The primary aim of the VICNISS Coordinating Centre is to work with Victorian healthcare facilities to reduce healthcare-associated infections.</w:t>
            </w:r>
          </w:p>
        </w:tc>
      </w:tr>
    </w:tbl>
    <w:p w:rsidR="00F87897" w:rsidRDefault="00F87897">
      <w:pPr>
        <w:pStyle w:val="TFIHolderSpan"/>
        <w:rPr>
          <w:sz w:val="60"/>
          <w:szCs w:val="60"/>
        </w:rPr>
      </w:pPr>
    </w:p>
    <w:p w:rsidR="00F87897" w:rsidRDefault="00F87897">
      <w:pPr>
        <w:pStyle w:val="Heading1"/>
      </w:pPr>
      <w:bookmarkStart w:id="29" w:name="_Toc451169589"/>
      <w:r>
        <w:lastRenderedPageBreak/>
        <w:t>References</w:t>
      </w:r>
      <w:bookmarkEnd w:id="29"/>
      <w:r>
        <w:t xml:space="preserve"> </w:t>
      </w:r>
    </w:p>
    <w:p w:rsidR="00F87897" w:rsidRDefault="00F87897">
      <w:pPr>
        <w:pStyle w:val="References"/>
      </w:pPr>
      <w:r>
        <w:t>1.</w:t>
      </w:r>
      <w:r>
        <w:tab/>
        <w:t>World Health Organization. Antimicrobial resistance: no action today, no cure tomorrow. Geneva: WHO Press, 2011.</w:t>
      </w:r>
    </w:p>
    <w:p w:rsidR="00F87897" w:rsidRDefault="00F87897">
      <w:pPr>
        <w:pStyle w:val="References"/>
      </w:pPr>
      <w:r>
        <w:t>2.</w:t>
      </w:r>
      <w:r>
        <w:tab/>
        <w:t>Boucher HW, Talbot GH, Benjamin DK Jr, Bradley J, Guidos RJ, Jones RN, et al. 10 × ‘20 pr</w:t>
      </w:r>
      <w:r>
        <w:t>o</w:t>
      </w:r>
      <w:r>
        <w:t>gress – development of new drugs active against gram-negative bacilli: an update from the Infectious Diseases Society of America. Clin Infect Dis 2013;56(12):1685–94.</w:t>
      </w:r>
    </w:p>
    <w:p w:rsidR="00F87897" w:rsidRDefault="00F87897">
      <w:pPr>
        <w:pStyle w:val="References"/>
      </w:pPr>
      <w:r>
        <w:t>3.</w:t>
      </w:r>
      <w:r>
        <w:tab/>
        <w:t>Boucher HW, Talbot GH, Bradley JS, Edwards JE, Gilbert D, Rice LB, et al. Bad bugs, no drugs: no ESKAPE! An update from the Infectious Diseases Society of America. Clin Infect Dis 2009;48(1):1–12.</w:t>
      </w:r>
    </w:p>
    <w:p w:rsidR="00F87897" w:rsidRDefault="00F87897">
      <w:pPr>
        <w:pStyle w:val="References"/>
      </w:pPr>
      <w:r>
        <w:t>4.</w:t>
      </w:r>
      <w:r>
        <w:tab/>
        <w:t>Australian Commission on Safety and Quality in Health Care. Antimicrobial prescribing pra</w:t>
      </w:r>
      <w:r>
        <w:t>c</w:t>
      </w:r>
      <w:r>
        <w:t xml:space="preserve">tice in Australian hospitals: results of the 2014 National Antimicrobial Prescribing Survey. Sydney: ACSQHC, 2015. </w:t>
      </w:r>
    </w:p>
    <w:p w:rsidR="00F87897" w:rsidRDefault="00F87897">
      <w:pPr>
        <w:pStyle w:val="References"/>
      </w:pPr>
      <w:r>
        <w:t>5.</w:t>
      </w:r>
      <w:r>
        <w:tab/>
        <w:t xml:space="preserve">European Centre for Disease Prevention and Control. Point prevalence survey of healthcare-associate infections and antimicrobial use in European long-term care facilities, April–May 2013. Stockholm: ECDPC, 2014. </w:t>
      </w:r>
    </w:p>
    <w:p w:rsidR="00F87897" w:rsidRDefault="00F87897">
      <w:pPr>
        <w:pStyle w:val="References"/>
      </w:pPr>
      <w:r>
        <w:t>6.</w:t>
      </w:r>
      <w:r>
        <w:tab/>
        <w:t>McClean P, Tunney M, Gilpin D, Parsons C, Hughes C. Antimicrobial prescribing in nursing homes in Northern Ireland: results of two point-prevalence surveys. Drugs Aging 2011;28(10):819-29.</w:t>
      </w:r>
    </w:p>
    <w:p w:rsidR="00F87897" w:rsidRDefault="00F87897">
      <w:pPr>
        <w:pStyle w:val="References"/>
      </w:pPr>
      <w:r>
        <w:t>7.</w:t>
      </w:r>
      <w:r>
        <w:tab/>
        <w:t>McGeer A, Campbell B, Emori TG, Hierholzer WJ, Jackson MM, Nicolle LE, et al. Definitions of infection for surveillance in long-term care facilities. Am J Infect Control 1991;19:1–7.</w:t>
      </w:r>
    </w:p>
    <w:p w:rsidR="00F87897" w:rsidRDefault="00F87897">
      <w:pPr>
        <w:pStyle w:val="References"/>
      </w:pPr>
      <w:r>
        <w:t>8.</w:t>
      </w:r>
      <w:r>
        <w:tab/>
        <w:t>Nicolle LE, Bentley DW, Garibaldi R, Neuhaus EG, Smith PW. Antimicrobial use in long-term-care facilities. SHEA Long-Term-Care Committee. Infect Control Hosp Epidemiol 2000;21(8):537–45.</w:t>
      </w:r>
    </w:p>
    <w:p w:rsidR="00F87897" w:rsidRDefault="00F87897">
      <w:pPr>
        <w:pStyle w:val="References"/>
      </w:pPr>
      <w:r>
        <w:t>9.</w:t>
      </w:r>
      <w:r>
        <w:tab/>
        <w:t>Peron EP, Hirsch AA, Jury LA, Jump RLP, Donskey CJ. Another setting for stewardship: high rate of unnecessary antimicrobial use in a veterans affairs long-term care facility. J Am Ger</w:t>
      </w:r>
      <w:r>
        <w:t>i</w:t>
      </w:r>
      <w:r>
        <w:t>atr Soc 2013;61(2):289–90.</w:t>
      </w:r>
    </w:p>
    <w:p w:rsidR="00F87897" w:rsidRDefault="00F87897">
      <w:pPr>
        <w:pStyle w:val="References"/>
      </w:pPr>
      <w:r>
        <w:t>10.</w:t>
      </w:r>
      <w:r>
        <w:tab/>
        <w:t>Victorian Healthcare Associated Infection Surveillance Coordinating Centre. Aged Care Healthcare Associated Infection and Antimicrobial Use Point Prevalence Survey 2014. Me</w:t>
      </w:r>
      <w:r>
        <w:t>l</w:t>
      </w:r>
      <w:r>
        <w:t>bourne: VICNISS Coordinating Centre, 2015.</w:t>
      </w:r>
    </w:p>
    <w:p w:rsidR="00F87897" w:rsidRDefault="00F87897">
      <w:pPr>
        <w:pStyle w:val="References"/>
      </w:pPr>
      <w:r>
        <w:t>11.</w:t>
      </w:r>
      <w:r>
        <w:tab/>
        <w:t>Daneman N, Bronskill SE, Gruneir A, Newman AM, Fischer HD, Rochon PA, et al. Variability in antibiotic use across nursing homes and the risk of antibiotic-related adverse outcomes for individual residents. JAMA Intern Med 2015;175(8):1331–9.</w:t>
      </w:r>
    </w:p>
    <w:p w:rsidR="00F87897" w:rsidRDefault="00F87897">
      <w:pPr>
        <w:pStyle w:val="References"/>
      </w:pPr>
      <w:r>
        <w:t>12.</w:t>
      </w:r>
      <w:r>
        <w:tab/>
        <w:t>Australian Commission on Safety and Quality in Health Care. National Safety and Quality Health Service Standards. Sydney: ACSQHC, 2011.</w:t>
      </w:r>
    </w:p>
    <w:p w:rsidR="00F87897" w:rsidRDefault="00F87897">
      <w:pPr>
        <w:pStyle w:val="References"/>
      </w:pPr>
      <w:r>
        <w:t>13.</w:t>
      </w:r>
      <w:r>
        <w:tab/>
        <w:t xml:space="preserve">Centers for Disease Control and Prevention. The core elements of antibiotic stewardship for nursing homes. Atlanta: CDC, 2015. </w:t>
      </w:r>
    </w:p>
    <w:p w:rsidR="00F87897" w:rsidRDefault="00F87897">
      <w:pPr>
        <w:pStyle w:val="References"/>
      </w:pPr>
      <w:r>
        <w:lastRenderedPageBreak/>
        <w:t>14.</w:t>
      </w:r>
      <w:r>
        <w:tab/>
        <w:t>Stone ND, Ashraf MS, Calder J, Crnich CJ, Crossley K, Drinka PJ, et al. Surveillance definitions of infections in long-term care facilities: revisiting the McGeer criteria. Infect Control Hosp Epidemiol 2012;33(10):965–77.</w:t>
      </w:r>
    </w:p>
    <w:p w:rsidR="00F87897" w:rsidRDefault="00F87897">
      <w:pPr>
        <w:pStyle w:val="References"/>
      </w:pPr>
      <w:r>
        <w:t>15.</w:t>
      </w:r>
      <w:r>
        <w:tab/>
        <w:t>Victorian Healthcare Associated Infection Surveillance Coordinating Centre [cited 2015 N</w:t>
      </w:r>
      <w:r>
        <w:t>o</w:t>
      </w:r>
      <w:r>
        <w:t>vember]. Available from: www.vicniss.org.au.</w:t>
      </w:r>
    </w:p>
    <w:p w:rsidR="00F87897" w:rsidRDefault="00F87897">
      <w:pPr>
        <w:pStyle w:val="References"/>
      </w:pPr>
      <w:r>
        <w:t>16.</w:t>
      </w:r>
      <w:r>
        <w:tab/>
        <w:t>Ansari F, Erntell M, Goosens H, Davey P. The European Surveillance of Antimicrobial Co</w:t>
      </w:r>
      <w:r>
        <w:t>n</w:t>
      </w:r>
      <w:r>
        <w:t>sumption (ESAC) point-prevalence survey of antibacterial use in 20 European hospitals in 2006. Clin Infect Dis 2009;15(49):1496–504.</w:t>
      </w:r>
    </w:p>
    <w:p w:rsidR="00F87897" w:rsidRDefault="00F87897">
      <w:pPr>
        <w:pStyle w:val="References"/>
      </w:pPr>
      <w:r>
        <w:t>17.</w:t>
      </w:r>
      <w:r>
        <w:tab/>
        <w:t>Australian Commission on Safety and Quality in Health Care. Antimicrobial Stewardship Cli</w:t>
      </w:r>
      <w:r>
        <w:t>n</w:t>
      </w:r>
      <w:r>
        <w:t xml:space="preserve">ical Care Standard. Sydney: ACSQHC, 2014. </w:t>
      </w:r>
    </w:p>
    <w:p w:rsidR="00F87897" w:rsidRDefault="00F87897">
      <w:pPr>
        <w:pStyle w:val="References"/>
      </w:pPr>
      <w:r>
        <w:t>18.</w:t>
      </w:r>
      <w:r>
        <w:tab/>
        <w:t>Antibiotic Expert Groups. Therapeutic Guidelines: Antibiotic. Melbourne: Therapeutic Guid</w:t>
      </w:r>
      <w:r>
        <w:t>e</w:t>
      </w:r>
      <w:r>
        <w:t>lines Limited, 2014.</w:t>
      </w:r>
    </w:p>
    <w:sectPr w:rsidR="00F87897" w:rsidSect="00183E97">
      <w:pgSz w:w="11906" w:h="16838"/>
      <w:pgMar w:top="1440" w:right="1440" w:bottom="1440" w:left="1440" w:header="720" w:footer="720" w:gutter="0"/>
      <w:pgNumType w:start="1"/>
      <w:cols w:space="720"/>
      <w:noEndnote/>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0B3" w:rsidRDefault="005660B3" w:rsidP="00183E97">
      <w:pPr>
        <w:spacing w:after="0"/>
      </w:pPr>
      <w:r>
        <w:separator/>
      </w:r>
    </w:p>
  </w:endnote>
  <w:endnote w:type="continuationSeparator" w:id="0">
    <w:p w:rsidR="005660B3" w:rsidRDefault="005660B3" w:rsidP="00183E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radeGothicLTStd-Cn18">
    <w:panose1 w:val="00000000000000000000"/>
    <w:charset w:val="4D"/>
    <w:family w:val="auto"/>
    <w:notTrueType/>
    <w:pitch w:val="default"/>
    <w:sig w:usb0="00000003" w:usb1="00000000" w:usb2="00000000" w:usb3="00000000" w:csb0="00000001" w:csb1="00000000"/>
  </w:font>
  <w:font w:name="Gotham-Light">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Book">
    <w:panose1 w:val="00000000000000000000"/>
    <w:charset w:val="4D"/>
    <w:family w:val="auto"/>
    <w:notTrueType/>
    <w:pitch w:val="default"/>
    <w:sig w:usb0="00000003" w:usb1="00000000" w:usb2="00000000" w:usb3="00000000" w:csb0="00000001" w:csb1="00000000"/>
  </w:font>
  <w:font w:name="Gotham-Medium">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788092"/>
      <w:docPartObj>
        <w:docPartGallery w:val="Page Numbers (Bottom of Page)"/>
        <w:docPartUnique/>
      </w:docPartObj>
    </w:sdtPr>
    <w:sdtEndPr>
      <w:rPr>
        <w:noProof/>
      </w:rPr>
    </w:sdtEndPr>
    <w:sdtContent>
      <w:p w:rsidR="005660B3" w:rsidRDefault="005660B3">
        <w:pPr>
          <w:pStyle w:val="Footer"/>
          <w:jc w:val="center"/>
        </w:pPr>
        <w:r>
          <w:fldChar w:fldCharType="begin"/>
        </w:r>
        <w:r>
          <w:instrText xml:space="preserve"> PAGE   \* MERGEFORMAT </w:instrText>
        </w:r>
        <w:r>
          <w:fldChar w:fldCharType="separate"/>
        </w:r>
        <w:r w:rsidR="00E4472A">
          <w:rPr>
            <w:noProof/>
          </w:rPr>
          <w:t>15</w:t>
        </w:r>
        <w:r>
          <w:rPr>
            <w:noProof/>
          </w:rPr>
          <w:fldChar w:fldCharType="end"/>
        </w:r>
      </w:p>
    </w:sdtContent>
  </w:sdt>
  <w:p w:rsidR="005660B3" w:rsidRDefault="005660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0B3" w:rsidRDefault="005660B3" w:rsidP="00183E97">
      <w:pPr>
        <w:spacing w:after="0"/>
      </w:pPr>
      <w:r>
        <w:separator/>
      </w:r>
    </w:p>
  </w:footnote>
  <w:footnote w:type="continuationSeparator" w:id="0">
    <w:p w:rsidR="005660B3" w:rsidRDefault="005660B3" w:rsidP="00183E9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1D6EE1C"/>
    <w:lvl w:ilvl="0">
      <w:start w:val="1"/>
      <w:numFmt w:val="decimal"/>
      <w:lvlText w:val="%1."/>
      <w:lvlJc w:val="left"/>
      <w:pPr>
        <w:tabs>
          <w:tab w:val="num" w:pos="1492"/>
        </w:tabs>
        <w:ind w:left="1492" w:hanging="360"/>
      </w:pPr>
    </w:lvl>
  </w:abstractNum>
  <w:abstractNum w:abstractNumId="2">
    <w:nsid w:val="FFFFFF7D"/>
    <w:multiLevelType w:val="singleLevel"/>
    <w:tmpl w:val="C85CF74E"/>
    <w:lvl w:ilvl="0">
      <w:start w:val="1"/>
      <w:numFmt w:val="decimal"/>
      <w:lvlText w:val="%1."/>
      <w:lvlJc w:val="left"/>
      <w:pPr>
        <w:tabs>
          <w:tab w:val="num" w:pos="1209"/>
        </w:tabs>
        <w:ind w:left="1209" w:hanging="360"/>
      </w:pPr>
    </w:lvl>
  </w:abstractNum>
  <w:abstractNum w:abstractNumId="3">
    <w:nsid w:val="FFFFFF7E"/>
    <w:multiLevelType w:val="singleLevel"/>
    <w:tmpl w:val="1AEC4D7A"/>
    <w:lvl w:ilvl="0">
      <w:start w:val="1"/>
      <w:numFmt w:val="decimal"/>
      <w:lvlText w:val="%1."/>
      <w:lvlJc w:val="left"/>
      <w:pPr>
        <w:tabs>
          <w:tab w:val="num" w:pos="926"/>
        </w:tabs>
        <w:ind w:left="926" w:hanging="360"/>
      </w:pPr>
    </w:lvl>
  </w:abstractNum>
  <w:abstractNum w:abstractNumId="4">
    <w:nsid w:val="FFFFFF7F"/>
    <w:multiLevelType w:val="singleLevel"/>
    <w:tmpl w:val="5CB2A3BC"/>
    <w:lvl w:ilvl="0">
      <w:start w:val="1"/>
      <w:numFmt w:val="decimal"/>
      <w:lvlText w:val="%1."/>
      <w:lvlJc w:val="left"/>
      <w:pPr>
        <w:tabs>
          <w:tab w:val="num" w:pos="643"/>
        </w:tabs>
        <w:ind w:left="643" w:hanging="360"/>
      </w:pPr>
    </w:lvl>
  </w:abstractNum>
  <w:abstractNum w:abstractNumId="5">
    <w:nsid w:val="FFFFFF80"/>
    <w:multiLevelType w:val="singleLevel"/>
    <w:tmpl w:val="4CB8821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E56C30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F7C079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FEE70C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A22FBFA"/>
    <w:lvl w:ilvl="0">
      <w:start w:val="1"/>
      <w:numFmt w:val="decimal"/>
      <w:lvlText w:val="%1."/>
      <w:lvlJc w:val="left"/>
      <w:pPr>
        <w:tabs>
          <w:tab w:val="num" w:pos="360"/>
        </w:tabs>
        <w:ind w:left="360" w:hanging="360"/>
      </w:pPr>
    </w:lvl>
  </w:abstractNum>
  <w:abstractNum w:abstractNumId="10">
    <w:nsid w:val="FFFFFF89"/>
    <w:multiLevelType w:val="singleLevel"/>
    <w:tmpl w:val="7430EF82"/>
    <w:lvl w:ilvl="0">
      <w:start w:val="1"/>
      <w:numFmt w:val="bullet"/>
      <w:lvlText w:val=""/>
      <w:lvlJc w:val="left"/>
      <w:pPr>
        <w:tabs>
          <w:tab w:val="num" w:pos="360"/>
        </w:tabs>
        <w:ind w:left="360" w:hanging="360"/>
      </w:pPr>
      <w:rPr>
        <w:rFonts w:ascii="Symbol" w:hAnsi="Symbol" w:hint="default"/>
      </w:rPr>
    </w:lvl>
  </w:abstractNum>
  <w:abstractNum w:abstractNumId="11">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49E5470"/>
    <w:multiLevelType w:val="hybridMultilevel"/>
    <w:tmpl w:val="3334A340"/>
    <w:lvl w:ilvl="0" w:tplc="A7D049E0">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59E014F"/>
    <w:multiLevelType w:val="hybridMultilevel"/>
    <w:tmpl w:val="BE22D6AC"/>
    <w:lvl w:ilvl="0" w:tplc="CC6267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410380E"/>
    <w:multiLevelType w:val="hybridMultilevel"/>
    <w:tmpl w:val="86760364"/>
    <w:lvl w:ilvl="0" w:tplc="094E57E0">
      <w:start w:val="1"/>
      <w:numFmt w:val="bullet"/>
      <w:pStyle w:val="BulletBefore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ED4FF7"/>
    <w:multiLevelType w:val="hybridMultilevel"/>
    <w:tmpl w:val="0060A8CA"/>
    <w:lvl w:ilvl="0" w:tplc="90B6FA38">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nsid w:val="78E81FDC"/>
    <w:multiLevelType w:val="hybridMultilevel"/>
    <w:tmpl w:val="D5C698E8"/>
    <w:lvl w:ilvl="0" w:tplc="A79EC4F8">
      <w:start w:val="1"/>
      <w:numFmt w:val="bullet"/>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7"/>
  </w:num>
  <w:num w:numId="3">
    <w:abstractNumId w:val="21"/>
  </w:num>
  <w:num w:numId="4">
    <w:abstractNumId w:val="23"/>
  </w:num>
  <w:num w:numId="5">
    <w:abstractNumId w:val="28"/>
  </w:num>
  <w:num w:numId="6">
    <w:abstractNumId w:val="12"/>
  </w:num>
  <w:num w:numId="7">
    <w:abstractNumId w:val="11"/>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25"/>
  </w:num>
  <w:num w:numId="19">
    <w:abstractNumId w:val="0"/>
  </w:num>
  <w:num w:numId="20">
    <w:abstractNumId w:val="14"/>
  </w:num>
  <w:num w:numId="21">
    <w:abstractNumId w:val="26"/>
  </w:num>
  <w:num w:numId="22">
    <w:abstractNumId w:val="15"/>
  </w:num>
  <w:num w:numId="23">
    <w:abstractNumId w:val="18"/>
  </w:num>
  <w:num w:numId="24">
    <w:abstractNumId w:val="19"/>
  </w:num>
  <w:num w:numId="25">
    <w:abstractNumId w:val="13"/>
  </w:num>
  <w:num w:numId="26">
    <w:abstractNumId w:val="16"/>
  </w:num>
  <w:num w:numId="27">
    <w:abstractNumId w:val="24"/>
  </w:num>
  <w:num w:numId="28">
    <w:abstractNumId w:val="17"/>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02"/>
    <w:rsid w:val="000A2E19"/>
    <w:rsid w:val="000C20F3"/>
    <w:rsid w:val="00137D1C"/>
    <w:rsid w:val="00183E97"/>
    <w:rsid w:val="002A1FC0"/>
    <w:rsid w:val="00344C42"/>
    <w:rsid w:val="003B6F9C"/>
    <w:rsid w:val="004913E6"/>
    <w:rsid w:val="0053697E"/>
    <w:rsid w:val="005660B3"/>
    <w:rsid w:val="006E4F8A"/>
    <w:rsid w:val="006F7188"/>
    <w:rsid w:val="00933CD0"/>
    <w:rsid w:val="009828FC"/>
    <w:rsid w:val="00A05502"/>
    <w:rsid w:val="00A136DC"/>
    <w:rsid w:val="00AA5A54"/>
    <w:rsid w:val="00AF29D9"/>
    <w:rsid w:val="00D00D29"/>
    <w:rsid w:val="00E16DB7"/>
    <w:rsid w:val="00E23843"/>
    <w:rsid w:val="00E4472A"/>
    <w:rsid w:val="00E52D7D"/>
    <w:rsid w:val="00E81792"/>
    <w:rsid w:val="00EB0381"/>
    <w:rsid w:val="00F87897"/>
    <w:rsid w:val="00F946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3E97"/>
    <w:pPr>
      <w:spacing w:after="240" w:line="240" w:lineRule="auto"/>
    </w:pPr>
    <w:rPr>
      <w:rFonts w:ascii="Calibri" w:eastAsia="Times New Roman" w:hAnsi="Calibri"/>
      <w:color w:val="000000"/>
      <w:szCs w:val="20"/>
    </w:rPr>
  </w:style>
  <w:style w:type="paragraph" w:styleId="Heading1">
    <w:name w:val="heading 1"/>
    <w:basedOn w:val="Normal"/>
    <w:next w:val="Normal"/>
    <w:link w:val="Heading1Char"/>
    <w:qFormat/>
    <w:rsid w:val="002A1FC0"/>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2A1FC0"/>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2A1FC0"/>
    <w:pPr>
      <w:keepNext/>
      <w:spacing w:before="240"/>
      <w:ind w:left="720" w:hanging="720"/>
      <w:outlineLvl w:val="2"/>
    </w:pPr>
    <w:rPr>
      <w:rFonts w:cs="Arial"/>
      <w:b/>
      <w:bCs/>
      <w:szCs w:val="26"/>
    </w:rPr>
  </w:style>
  <w:style w:type="paragraph" w:styleId="Heading4">
    <w:name w:val="heading 4"/>
    <w:basedOn w:val="Normal"/>
    <w:next w:val="Normal"/>
    <w:link w:val="Heading4Char"/>
    <w:rsid w:val="002A1FC0"/>
    <w:pPr>
      <w:keepNext/>
      <w:spacing w:before="120" w:after="120"/>
      <w:outlineLvl w:val="3"/>
    </w:pPr>
    <w:rPr>
      <w:b/>
      <w:bCs/>
      <w:i/>
      <w:szCs w:val="28"/>
    </w:rPr>
  </w:style>
  <w:style w:type="paragraph" w:styleId="Heading5">
    <w:name w:val="heading 5"/>
    <w:basedOn w:val="Normal"/>
    <w:next w:val="Normal"/>
    <w:link w:val="Heading5Char"/>
    <w:rsid w:val="002A1FC0"/>
    <w:pPr>
      <w:keepNext/>
      <w:spacing w:before="6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136DC"/>
    <w:rPr>
      <w:rFonts w:ascii="Calibri" w:eastAsia="Times New Roman" w:hAnsi="Calibri" w:cs="Arial"/>
      <w:b/>
      <w:bCs/>
      <w:color w:val="000000"/>
      <w:kern w:val="32"/>
      <w:sz w:val="40"/>
      <w:szCs w:val="32"/>
    </w:rPr>
  </w:style>
  <w:style w:type="character" w:customStyle="1" w:styleId="Heading2Char">
    <w:name w:val="Heading 2 Char"/>
    <w:basedOn w:val="DefaultParagraphFont"/>
    <w:link w:val="Heading2"/>
    <w:locked/>
    <w:rsid w:val="00EB0381"/>
    <w:rPr>
      <w:rFonts w:ascii="Calibri" w:eastAsia="Times New Roman" w:hAnsi="Calibri" w:cs="Arial"/>
      <w:b/>
      <w:bCs/>
      <w:iCs/>
      <w:color w:val="000000"/>
      <w:sz w:val="28"/>
      <w:szCs w:val="28"/>
    </w:rPr>
  </w:style>
  <w:style w:type="character" w:customStyle="1" w:styleId="Heading3Char">
    <w:name w:val="Heading 3 Char"/>
    <w:basedOn w:val="DefaultParagraphFont"/>
    <w:link w:val="Heading3"/>
    <w:locked/>
    <w:rsid w:val="00EB0381"/>
    <w:rPr>
      <w:rFonts w:ascii="Calibri" w:eastAsia="Times New Roman" w:hAnsi="Calibri" w:cs="Arial"/>
      <w:b/>
      <w:bCs/>
      <w:color w:val="000000"/>
      <w:szCs w:val="26"/>
    </w:rPr>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aseStyle1">
    <w:name w:val="BaseStyle1"/>
    <w:basedOn w:val="NoParagraphStyle"/>
    <w:uiPriority w:val="99"/>
    <w:pPr>
      <w:suppressAutoHyphens/>
    </w:pPr>
    <w:rPr>
      <w:rFonts w:ascii="TradeGothicLTStd-Cn18" w:hAnsi="TradeGothicLTStd-Cn18" w:cs="TradeGothicLTStd-Cn18"/>
      <w:sz w:val="21"/>
      <w:szCs w:val="21"/>
    </w:rPr>
  </w:style>
  <w:style w:type="paragraph" w:customStyle="1" w:styleId="ImprintText">
    <w:name w:val="ImprintText"/>
    <w:basedOn w:val="Normal"/>
    <w:rsid w:val="002A1FC0"/>
    <w:pPr>
      <w:spacing w:after="120"/>
    </w:pPr>
    <w:rPr>
      <w:sz w:val="20"/>
    </w:rPr>
  </w:style>
  <w:style w:type="paragraph" w:customStyle="1" w:styleId="TFIHolder">
    <w:name w:val="TFIHolder"/>
    <w:basedOn w:val="TFAbbrevs"/>
    <w:qFormat/>
    <w:rsid w:val="002A1FC0"/>
    <w:rPr>
      <w:sz w:val="12"/>
    </w:rPr>
  </w:style>
  <w:style w:type="paragraph" w:customStyle="1" w:styleId="TFIHolderSpan">
    <w:name w:val="TFIHolderSpan"/>
    <w:basedOn w:val="TFIHolder"/>
    <w:uiPriority w:val="99"/>
  </w:style>
  <w:style w:type="paragraph" w:customStyle="1" w:styleId="NormalBeforeBullet">
    <w:name w:val="NormalBeforeBullet"/>
    <w:basedOn w:val="Normal"/>
    <w:qFormat/>
    <w:rsid w:val="002A1FC0"/>
    <w:pPr>
      <w:keepNext/>
      <w:spacing w:after="120"/>
    </w:pPr>
  </w:style>
  <w:style w:type="paragraph" w:customStyle="1" w:styleId="BulletBeforeDash">
    <w:name w:val="BulletBeforeDash"/>
    <w:basedOn w:val="Normal"/>
    <w:rsid w:val="00E23843"/>
    <w:pPr>
      <w:numPr>
        <w:numId w:val="29"/>
      </w:numPr>
      <w:tabs>
        <w:tab w:val="num" w:pos="360"/>
      </w:tabs>
      <w:spacing w:after="0"/>
      <w:ind w:left="357" w:hanging="357"/>
    </w:pPr>
  </w:style>
  <w:style w:type="paragraph" w:customStyle="1" w:styleId="Bullet">
    <w:name w:val="Bullet"/>
    <w:basedOn w:val="BulletBeforeDash"/>
    <w:qFormat/>
    <w:rsid w:val="00E23843"/>
    <w:pPr>
      <w:numPr>
        <w:numId w:val="28"/>
      </w:numPr>
      <w:spacing w:after="120"/>
      <w:ind w:left="357" w:hanging="357"/>
    </w:pPr>
  </w:style>
  <w:style w:type="paragraph" w:customStyle="1" w:styleId="BulletLast">
    <w:name w:val="BulletLast"/>
    <w:basedOn w:val="Bullet"/>
    <w:qFormat/>
    <w:rsid w:val="002A1FC0"/>
    <w:pPr>
      <w:spacing w:after="240"/>
    </w:pPr>
  </w:style>
  <w:style w:type="paragraph" w:customStyle="1" w:styleId="Dash">
    <w:name w:val="Dash"/>
    <w:basedOn w:val="Normal"/>
    <w:rsid w:val="002A1FC0"/>
    <w:pPr>
      <w:numPr>
        <w:numId w:val="6"/>
      </w:numPr>
      <w:tabs>
        <w:tab w:val="clear" w:pos="216"/>
        <w:tab w:val="left" w:pos="720"/>
      </w:tabs>
      <w:spacing w:after="0"/>
      <w:ind w:left="720" w:hanging="360"/>
    </w:pPr>
  </w:style>
  <w:style w:type="paragraph" w:customStyle="1" w:styleId="DashLast">
    <w:name w:val="DashLast"/>
    <w:basedOn w:val="Dash"/>
    <w:rsid w:val="002A1FC0"/>
    <w:pPr>
      <w:spacing w:after="120"/>
    </w:pPr>
  </w:style>
  <w:style w:type="paragraph" w:customStyle="1" w:styleId="DashLastSpace">
    <w:name w:val="DashLast+Space"/>
    <w:basedOn w:val="DashLast"/>
    <w:rsid w:val="002A1FC0"/>
    <w:pPr>
      <w:spacing w:after="240"/>
    </w:pPr>
  </w:style>
  <w:style w:type="paragraph" w:customStyle="1" w:styleId="FigureName">
    <w:name w:val="FigureName"/>
    <w:basedOn w:val="FigureNameSpace"/>
    <w:next w:val="Normal"/>
    <w:rsid w:val="002A1FC0"/>
    <w:pPr>
      <w:keepNext/>
      <w:spacing w:after="120"/>
      <w:ind w:left="1077" w:hanging="1077"/>
    </w:pPr>
  </w:style>
  <w:style w:type="paragraph" w:customStyle="1" w:styleId="TableName">
    <w:name w:val="TableName"/>
    <w:basedOn w:val="TableText"/>
    <w:rsid w:val="002A1FC0"/>
    <w:pPr>
      <w:tabs>
        <w:tab w:val="left" w:pos="1080"/>
      </w:tabs>
      <w:spacing w:before="120" w:after="120"/>
      <w:ind w:left="1080" w:hanging="1080"/>
    </w:pPr>
    <w:rPr>
      <w:b/>
      <w:bCs/>
      <w:sz w:val="22"/>
    </w:rPr>
  </w:style>
  <w:style w:type="paragraph" w:customStyle="1" w:styleId="TableNameSpan">
    <w:name w:val="TableNameSpan"/>
    <w:basedOn w:val="TableName"/>
    <w:uiPriority w:val="99"/>
  </w:style>
  <w:style w:type="paragraph" w:customStyle="1" w:styleId="TFIHolderSpace">
    <w:name w:val="TFIHolder+Space"/>
    <w:basedOn w:val="TFIHolder"/>
    <w:qFormat/>
    <w:rsid w:val="002A1FC0"/>
    <w:pPr>
      <w:spacing w:after="240"/>
    </w:pPr>
  </w:style>
  <w:style w:type="paragraph" w:customStyle="1" w:styleId="Heading1App">
    <w:name w:val="Heading 1 App"/>
    <w:basedOn w:val="Heading1"/>
    <w:uiPriority w:val="99"/>
    <w:pPr>
      <w:tabs>
        <w:tab w:val="left" w:pos="3685"/>
      </w:tabs>
      <w:ind w:left="2551" w:hanging="2551"/>
      <w:outlineLvl w:val="9"/>
    </w:pPr>
    <w:rPr>
      <w:sz w:val="38"/>
      <w:szCs w:val="38"/>
    </w:rPr>
  </w:style>
  <w:style w:type="paragraph" w:customStyle="1" w:styleId="References">
    <w:name w:val="References"/>
    <w:basedOn w:val="Normal"/>
    <w:rsid w:val="002A1FC0"/>
    <w:pPr>
      <w:keepLines/>
      <w:ind w:left="720" w:hanging="720"/>
    </w:pPr>
  </w:style>
  <w:style w:type="paragraph" w:customStyle="1" w:styleId="BasicParagraph">
    <w:name w:val="[Basic Paragraph]"/>
    <w:basedOn w:val="NoParagraphStyle"/>
    <w:uiPriority w:val="99"/>
  </w:style>
  <w:style w:type="paragraph" w:customStyle="1" w:styleId="TableHeading">
    <w:name w:val="TableHeading"/>
    <w:basedOn w:val="TableText"/>
    <w:rsid w:val="002A1FC0"/>
    <w:rPr>
      <w:b/>
      <w:bCs/>
      <w:color w:val="FFFFFF" w:themeColor="background1"/>
    </w:rPr>
  </w:style>
  <w:style w:type="paragraph" w:customStyle="1" w:styleId="TableHeadingCA">
    <w:name w:val="TableHeadingCA"/>
    <w:basedOn w:val="TableHeading"/>
    <w:rsid w:val="002A1FC0"/>
    <w:pPr>
      <w:jc w:val="center"/>
    </w:pPr>
  </w:style>
  <w:style w:type="paragraph" w:customStyle="1" w:styleId="TableText">
    <w:name w:val="TableText"/>
    <w:basedOn w:val="Normal"/>
    <w:rsid w:val="002A1FC0"/>
    <w:pPr>
      <w:keepNext/>
      <w:spacing w:before="60" w:after="60"/>
    </w:pPr>
    <w:rPr>
      <w:sz w:val="21"/>
      <w:szCs w:val="21"/>
    </w:rPr>
  </w:style>
  <w:style w:type="paragraph" w:customStyle="1" w:styleId="TableTextDecimalAlign">
    <w:name w:val="TableTextDecimalAlign"/>
    <w:basedOn w:val="TableText"/>
    <w:rsid w:val="002A1FC0"/>
    <w:pPr>
      <w:tabs>
        <w:tab w:val="decimal" w:pos="1119"/>
      </w:tabs>
    </w:pPr>
  </w:style>
  <w:style w:type="paragraph" w:customStyle="1" w:styleId="TableTextCA">
    <w:name w:val="TableTextCA"/>
    <w:basedOn w:val="TableText"/>
    <w:rsid w:val="002A1FC0"/>
    <w:pPr>
      <w:jc w:val="center"/>
    </w:pPr>
  </w:style>
  <w:style w:type="paragraph" w:customStyle="1" w:styleId="TableTextDA">
    <w:name w:val="TableTextDA"/>
    <w:basedOn w:val="TableText"/>
    <w:uiPriority w:val="99"/>
    <w:pPr>
      <w:tabs>
        <w:tab w:val="decimal" w:pos="1960"/>
      </w:tabs>
    </w:pPr>
  </w:style>
  <w:style w:type="paragraph" w:customStyle="1" w:styleId="BaseStyle2">
    <w:name w:val="BaseStyle2"/>
    <w:basedOn w:val="NoParagraphStyle"/>
    <w:uiPriority w:val="99"/>
    <w:pPr>
      <w:suppressAutoHyphens/>
    </w:pPr>
    <w:rPr>
      <w:rFonts w:ascii="Gotham-Light" w:hAnsi="Gotham-Light" w:cs="Gotham-Light"/>
    </w:rPr>
  </w:style>
  <w:style w:type="paragraph" w:styleId="Title">
    <w:name w:val="Title"/>
    <w:basedOn w:val="Normal"/>
    <w:next w:val="Normal"/>
    <w:link w:val="TitleChar"/>
    <w:uiPriority w:val="10"/>
    <w:rsid w:val="002A1FC0"/>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locked/>
    <w:rsid w:val="002A1FC0"/>
    <w:rPr>
      <w:rFonts w:ascii="Calibri" w:eastAsiaTheme="majorEastAsia" w:hAnsi="Calibri" w:cstheme="majorBidi"/>
      <w:b/>
      <w:spacing w:val="5"/>
      <w:kern w:val="28"/>
      <w:sz w:val="48"/>
      <w:szCs w:val="52"/>
    </w:rPr>
  </w:style>
  <w:style w:type="paragraph" w:styleId="Subtitle">
    <w:name w:val="Subtitle"/>
    <w:basedOn w:val="Normal"/>
    <w:next w:val="Normal"/>
    <w:link w:val="SubtitleChar"/>
    <w:uiPriority w:val="11"/>
    <w:rsid w:val="002A1FC0"/>
    <w:pPr>
      <w:numPr>
        <w:ilvl w:val="1"/>
      </w:numPr>
      <w:jc w:val="center"/>
    </w:pPr>
    <w:rPr>
      <w:rFonts w:eastAsiaTheme="majorEastAsia" w:cstheme="majorBidi"/>
      <w:b/>
      <w:iCs/>
      <w:color w:val="auto"/>
      <w:sz w:val="40"/>
      <w:szCs w:val="24"/>
    </w:rPr>
  </w:style>
  <w:style w:type="character" w:customStyle="1" w:styleId="SubtitleChar">
    <w:name w:val="Subtitle Char"/>
    <w:basedOn w:val="DefaultParagraphFont"/>
    <w:link w:val="Subtitle"/>
    <w:uiPriority w:val="11"/>
    <w:locked/>
    <w:rsid w:val="002A1FC0"/>
    <w:rPr>
      <w:rFonts w:ascii="Calibri" w:eastAsiaTheme="majorEastAsia" w:hAnsi="Calibri" w:cstheme="majorBidi"/>
      <w:b/>
      <w:iCs/>
      <w:sz w:val="40"/>
      <w:szCs w:val="24"/>
    </w:rPr>
  </w:style>
  <w:style w:type="paragraph" w:customStyle="1" w:styleId="TFAbbrevs">
    <w:name w:val="TFAbbrevs"/>
    <w:basedOn w:val="TFListNotes"/>
    <w:rsid w:val="002A1FC0"/>
    <w:pPr>
      <w:ind w:left="0" w:firstLine="0"/>
    </w:pPr>
  </w:style>
  <w:style w:type="paragraph" w:customStyle="1" w:styleId="TFListNotes">
    <w:name w:val="TFListNotes"/>
    <w:basedOn w:val="TFListNotesSpace"/>
    <w:rsid w:val="002A1FC0"/>
    <w:pPr>
      <w:keepNext/>
      <w:spacing w:after="0"/>
    </w:pPr>
  </w:style>
  <w:style w:type="paragraph" w:customStyle="1" w:styleId="TFListNotesSpace">
    <w:name w:val="TFListNotes+Space"/>
    <w:basedOn w:val="TableText"/>
    <w:next w:val="Normal"/>
    <w:rsid w:val="002A1FC0"/>
    <w:pPr>
      <w:keepNext w:val="0"/>
      <w:keepLines/>
      <w:spacing w:before="0" w:after="360"/>
      <w:ind w:left="170" w:hanging="170"/>
    </w:pPr>
    <w:rPr>
      <w:sz w:val="18"/>
      <w:szCs w:val="18"/>
    </w:rPr>
  </w:style>
  <w:style w:type="paragraph" w:customStyle="1" w:styleId="TableBullet">
    <w:name w:val="TableBullet"/>
    <w:basedOn w:val="TableText"/>
    <w:rsid w:val="002A1FC0"/>
    <w:pPr>
      <w:numPr>
        <w:numId w:val="3"/>
      </w:numPr>
      <w:tabs>
        <w:tab w:val="clear" w:pos="360"/>
        <w:tab w:val="left" w:pos="216"/>
      </w:tabs>
      <w:ind w:left="216" w:hanging="216"/>
    </w:pPr>
  </w:style>
  <w:style w:type="paragraph" w:customStyle="1" w:styleId="TFAbbrevsSpace">
    <w:name w:val="TFAbbrevs+Space"/>
    <w:basedOn w:val="TFAbbrevs"/>
    <w:next w:val="Normal"/>
    <w:rsid w:val="002A1FC0"/>
    <w:pPr>
      <w:spacing w:after="360"/>
    </w:pPr>
  </w:style>
  <w:style w:type="paragraph" w:customStyle="1" w:styleId="TFNoteSource">
    <w:name w:val="TFNoteSource"/>
    <w:basedOn w:val="TFNoteSourceSpace"/>
    <w:rsid w:val="002A1FC0"/>
    <w:pPr>
      <w:spacing w:after="0"/>
    </w:pPr>
  </w:style>
  <w:style w:type="paragraph" w:customStyle="1" w:styleId="TFNoteSourceSpace">
    <w:name w:val="TFNoteSource+Space"/>
    <w:basedOn w:val="TFListNotesSpace"/>
    <w:next w:val="Normal"/>
    <w:rsid w:val="002A1FC0"/>
    <w:pPr>
      <w:ind w:left="624" w:hanging="624"/>
    </w:pPr>
  </w:style>
  <w:style w:type="character" w:styleId="Hyperlink">
    <w:name w:val="Hyperlink"/>
    <w:basedOn w:val="DefaultParagraphFont"/>
    <w:uiPriority w:val="99"/>
    <w:rsid w:val="00AF29D9"/>
    <w:rPr>
      <w:rFonts w:cs="Times New Roman"/>
      <w:color w:val="0C14B4"/>
      <w:u w:val="single"/>
    </w:rPr>
  </w:style>
  <w:style w:type="character" w:styleId="Emphasis">
    <w:name w:val="Emphasis"/>
    <w:basedOn w:val="DefaultParagraphFont"/>
    <w:uiPriority w:val="20"/>
    <w:qFormat/>
    <w:rsid w:val="002A1FC0"/>
    <w:rPr>
      <w:i/>
      <w:iCs/>
    </w:rPr>
  </w:style>
  <w:style w:type="character" w:styleId="FootnoteReference">
    <w:name w:val="footnote reference"/>
    <w:basedOn w:val="DefaultParagraphFont"/>
    <w:rsid w:val="002A1FC0"/>
    <w:rPr>
      <w:vertAlign w:val="superscript"/>
    </w:rPr>
  </w:style>
  <w:style w:type="character" w:styleId="EndnoteReference">
    <w:name w:val="endnote reference"/>
    <w:basedOn w:val="FootnoteReference"/>
    <w:uiPriority w:val="99"/>
    <w:rPr>
      <w:vertAlign w:val="superscript"/>
    </w:rPr>
  </w:style>
  <w:style w:type="character" w:customStyle="1" w:styleId="Strongemphasis">
    <w:name w:val="Strong emphasis"/>
    <w:basedOn w:val="Emphasis"/>
    <w:uiPriority w:val="99"/>
    <w:rPr>
      <w:b/>
      <w:bCs/>
      <w:i/>
      <w:iCs/>
    </w:rPr>
  </w:style>
  <w:style w:type="character" w:customStyle="1" w:styleId="whitetext">
    <w:name w:val="white text"/>
    <w:uiPriority w:val="99"/>
    <w:rPr>
      <w:outline/>
      <w:color w:val="000000"/>
      <w14:textOutline w14:w="9525" w14:cap="flat" w14:cmpd="sng" w14:algn="ctr">
        <w14:solidFill>
          <w14:srgbClr w14:val="000000"/>
        </w14:solidFill>
        <w14:prstDash w14:val="solid"/>
        <w14:round/>
      </w14:textOutline>
      <w14:textFill>
        <w14:noFill/>
      </w14:textFill>
    </w:rPr>
  </w:style>
  <w:style w:type="character" w:customStyle="1" w:styleId="WordImportedListStyle7StylesforWordRTFImportedLists">
    <w:name w:val="Word Imported List Style7 (Styles for Word/RTF Imported Lists)"/>
    <w:uiPriority w:val="99"/>
    <w:rPr>
      <w:rFonts w:ascii="Calibri" w:hAnsi="Calibri"/>
      <w:w w:val="100"/>
      <w:lang w:val="en-US" w:eastAsia="x-none"/>
    </w:rPr>
  </w:style>
  <w:style w:type="character" w:customStyle="1" w:styleId="Superscript">
    <w:name w:val="Superscript"/>
    <w:basedOn w:val="DefaultParagraphFont"/>
    <w:uiPriority w:val="1"/>
    <w:rsid w:val="002A1FC0"/>
    <w:rPr>
      <w:noProof/>
      <w:vertAlign w:val="superscript"/>
    </w:rPr>
  </w:style>
  <w:style w:type="character" w:customStyle="1" w:styleId="Boldemphasis">
    <w:name w:val="Bold emphasis"/>
    <w:basedOn w:val="Emphasis"/>
    <w:uiPriority w:val="99"/>
    <w:rPr>
      <w:b/>
      <w:bCs/>
      <w:i/>
      <w:iCs/>
    </w:rPr>
  </w:style>
  <w:style w:type="character" w:customStyle="1" w:styleId="Heading4Char">
    <w:name w:val="Heading 4 Char"/>
    <w:basedOn w:val="DefaultParagraphFont"/>
    <w:link w:val="Heading4"/>
    <w:rsid w:val="002A1FC0"/>
    <w:rPr>
      <w:rFonts w:ascii="Calibri" w:eastAsia="Times New Roman" w:hAnsi="Calibri"/>
      <w:b/>
      <w:bCs/>
      <w:i/>
      <w:color w:val="000000"/>
      <w:szCs w:val="28"/>
    </w:rPr>
  </w:style>
  <w:style w:type="character" w:customStyle="1" w:styleId="Heading5Char">
    <w:name w:val="Heading 5 Char"/>
    <w:basedOn w:val="DefaultParagraphFont"/>
    <w:link w:val="Heading5"/>
    <w:rsid w:val="002A1FC0"/>
    <w:rPr>
      <w:rFonts w:ascii="Calibri" w:eastAsia="Times New Roman" w:hAnsi="Calibri"/>
      <w:bCs/>
      <w:i/>
      <w:iCs/>
      <w:color w:val="000000"/>
      <w:szCs w:val="26"/>
    </w:rPr>
  </w:style>
  <w:style w:type="paragraph" w:customStyle="1" w:styleId="PullQuote">
    <w:name w:val="PullQuote"/>
    <w:basedOn w:val="Normal"/>
    <w:next w:val="Normal"/>
    <w:rsid w:val="002A1FC0"/>
    <w:rPr>
      <w:b/>
      <w:color w:val="7B7B7B" w:themeColor="accent3" w:themeShade="BF"/>
    </w:rPr>
  </w:style>
  <w:style w:type="paragraph" w:customStyle="1" w:styleId="ReportDate">
    <w:name w:val="ReportDate"/>
    <w:basedOn w:val="Normal"/>
    <w:rsid w:val="002A1FC0"/>
    <w:pPr>
      <w:jc w:val="center"/>
    </w:pPr>
    <w:rPr>
      <w:sz w:val="40"/>
    </w:rPr>
  </w:style>
  <w:style w:type="paragraph" w:customStyle="1" w:styleId="Heading1a">
    <w:name w:val="Heading 1a"/>
    <w:basedOn w:val="Heading1"/>
    <w:next w:val="Normal"/>
    <w:rsid w:val="002A1FC0"/>
    <w:pPr>
      <w:outlineLvl w:val="9"/>
    </w:pPr>
  </w:style>
  <w:style w:type="paragraph" w:customStyle="1" w:styleId="Heading2a">
    <w:name w:val="Heading 2a"/>
    <w:basedOn w:val="Heading2"/>
    <w:next w:val="Normal"/>
    <w:rsid w:val="002A1FC0"/>
    <w:pPr>
      <w:ind w:left="0" w:firstLine="0"/>
      <w:outlineLvl w:val="9"/>
    </w:pPr>
  </w:style>
  <w:style w:type="paragraph" w:customStyle="1" w:styleId="Heading3a">
    <w:name w:val="Heading 3a"/>
    <w:basedOn w:val="Heading3"/>
    <w:next w:val="Normal"/>
    <w:rsid w:val="002A1FC0"/>
    <w:pPr>
      <w:ind w:left="0" w:firstLine="0"/>
      <w:outlineLvl w:val="9"/>
    </w:pPr>
  </w:style>
  <w:style w:type="paragraph" w:styleId="Header">
    <w:name w:val="header"/>
    <w:basedOn w:val="Normal"/>
    <w:link w:val="HeaderChar"/>
    <w:semiHidden/>
    <w:rsid w:val="002A1FC0"/>
    <w:pPr>
      <w:tabs>
        <w:tab w:val="right" w:pos="9000"/>
      </w:tabs>
      <w:spacing w:after="0"/>
    </w:pPr>
    <w:rPr>
      <w:sz w:val="18"/>
    </w:rPr>
  </w:style>
  <w:style w:type="character" w:customStyle="1" w:styleId="HeaderChar">
    <w:name w:val="Header Char"/>
    <w:basedOn w:val="DefaultParagraphFont"/>
    <w:link w:val="Header"/>
    <w:semiHidden/>
    <w:rsid w:val="002A1FC0"/>
    <w:rPr>
      <w:rFonts w:ascii="Calibri" w:eastAsia="Times New Roman" w:hAnsi="Calibri"/>
      <w:color w:val="000000"/>
      <w:sz w:val="18"/>
      <w:szCs w:val="20"/>
    </w:rPr>
  </w:style>
  <w:style w:type="paragraph" w:styleId="Footer">
    <w:name w:val="footer"/>
    <w:basedOn w:val="Normal"/>
    <w:link w:val="FooterChar"/>
    <w:uiPriority w:val="99"/>
    <w:rsid w:val="002A1FC0"/>
    <w:pPr>
      <w:tabs>
        <w:tab w:val="right" w:pos="9000"/>
      </w:tabs>
      <w:spacing w:after="0"/>
    </w:pPr>
    <w:rPr>
      <w:sz w:val="20"/>
    </w:rPr>
  </w:style>
  <w:style w:type="character" w:customStyle="1" w:styleId="FooterChar">
    <w:name w:val="Footer Char"/>
    <w:basedOn w:val="DefaultParagraphFont"/>
    <w:link w:val="Footer"/>
    <w:uiPriority w:val="99"/>
    <w:rsid w:val="002A1FC0"/>
    <w:rPr>
      <w:rFonts w:ascii="Calibri" w:eastAsia="Times New Roman" w:hAnsi="Calibri"/>
      <w:color w:val="000000"/>
      <w:sz w:val="20"/>
      <w:szCs w:val="20"/>
    </w:rPr>
  </w:style>
  <w:style w:type="character" w:styleId="PageNumber">
    <w:name w:val="page number"/>
    <w:basedOn w:val="DefaultParagraphFont"/>
    <w:semiHidden/>
    <w:rsid w:val="002A1FC0"/>
    <w:rPr>
      <w:rFonts w:ascii="Times New Roman" w:hAnsi="Times New Roman"/>
      <w:b/>
      <w:sz w:val="20"/>
    </w:rPr>
  </w:style>
  <w:style w:type="paragraph" w:customStyle="1" w:styleId="TableDash">
    <w:name w:val="TableDash"/>
    <w:basedOn w:val="TableText"/>
    <w:rsid w:val="002A1FC0"/>
    <w:pPr>
      <w:numPr>
        <w:numId w:val="4"/>
      </w:numPr>
      <w:tabs>
        <w:tab w:val="clear" w:pos="216"/>
        <w:tab w:val="num" w:pos="432"/>
      </w:tabs>
    </w:pPr>
  </w:style>
  <w:style w:type="paragraph" w:styleId="Quote">
    <w:name w:val="Quote"/>
    <w:basedOn w:val="Normal"/>
    <w:link w:val="QuoteChar"/>
    <w:rsid w:val="002A1FC0"/>
    <w:pPr>
      <w:ind w:left="720" w:right="720"/>
    </w:pPr>
    <w:rPr>
      <w:sz w:val="20"/>
    </w:rPr>
  </w:style>
  <w:style w:type="character" w:customStyle="1" w:styleId="QuoteChar">
    <w:name w:val="Quote Char"/>
    <w:basedOn w:val="DefaultParagraphFont"/>
    <w:link w:val="Quote"/>
    <w:rsid w:val="002A1FC0"/>
    <w:rPr>
      <w:rFonts w:ascii="Calibri" w:eastAsia="Times New Roman" w:hAnsi="Calibri"/>
      <w:color w:val="000000"/>
      <w:sz w:val="20"/>
      <w:szCs w:val="20"/>
    </w:rPr>
  </w:style>
  <w:style w:type="paragraph" w:styleId="FootnoteText">
    <w:name w:val="footnote text"/>
    <w:basedOn w:val="Normal"/>
    <w:link w:val="FootnoteTextChar"/>
    <w:semiHidden/>
    <w:rsid w:val="002A1FC0"/>
    <w:pPr>
      <w:spacing w:after="0"/>
      <w:ind w:left="360" w:hanging="360"/>
    </w:pPr>
    <w:rPr>
      <w:sz w:val="20"/>
    </w:rPr>
  </w:style>
  <w:style w:type="character" w:customStyle="1" w:styleId="FootnoteTextChar">
    <w:name w:val="Footnote Text Char"/>
    <w:basedOn w:val="DefaultParagraphFont"/>
    <w:link w:val="FootnoteText"/>
    <w:semiHidden/>
    <w:rsid w:val="002A1FC0"/>
    <w:rPr>
      <w:rFonts w:ascii="Calibri" w:eastAsia="Times New Roman" w:hAnsi="Calibri"/>
      <w:color w:val="000000"/>
      <w:sz w:val="20"/>
      <w:szCs w:val="20"/>
    </w:rPr>
  </w:style>
  <w:style w:type="paragraph" w:customStyle="1" w:styleId="FigTabPara">
    <w:name w:val="FigTabPara"/>
    <w:basedOn w:val="Normal"/>
    <w:next w:val="TFIHolder"/>
    <w:rsid w:val="002A1FC0"/>
    <w:pPr>
      <w:keepNext/>
      <w:spacing w:after="120"/>
      <w:ind w:left="1077"/>
    </w:pPr>
  </w:style>
  <w:style w:type="paragraph" w:customStyle="1" w:styleId="FigureNameSpace">
    <w:name w:val="FigureName+Space"/>
    <w:basedOn w:val="Normal"/>
    <w:next w:val="Normal"/>
    <w:rsid w:val="002A1FC0"/>
    <w:pPr>
      <w:keepLines/>
      <w:tabs>
        <w:tab w:val="left" w:pos="1080"/>
      </w:tabs>
      <w:spacing w:before="120" w:after="360"/>
      <w:ind w:left="1080" w:hanging="1080"/>
    </w:pPr>
    <w:rPr>
      <w:b/>
      <w:bCs/>
    </w:rPr>
  </w:style>
  <w:style w:type="paragraph" w:styleId="TOC1">
    <w:name w:val="toc 1"/>
    <w:basedOn w:val="Normal"/>
    <w:next w:val="Normal"/>
    <w:autoRedefine/>
    <w:uiPriority w:val="39"/>
    <w:rsid w:val="002A1FC0"/>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2A1FC0"/>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2A1FC0"/>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2A1FC0"/>
    <w:pPr>
      <w:tabs>
        <w:tab w:val="left" w:pos="1080"/>
        <w:tab w:val="right" w:leader="dot" w:pos="9000"/>
      </w:tabs>
      <w:spacing w:after="120"/>
      <w:ind w:left="1080" w:right="720" w:hangingChars="450" w:hanging="1080"/>
    </w:pPr>
  </w:style>
  <w:style w:type="paragraph" w:customStyle="1" w:styleId="BoxText">
    <w:name w:val="BoxText"/>
    <w:basedOn w:val="Normal"/>
    <w:qFormat/>
    <w:rsid w:val="002A1FC0"/>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2A1FC0"/>
    <w:pPr>
      <w:spacing w:before="120" w:after="60"/>
    </w:pPr>
    <w:rPr>
      <w:sz w:val="18"/>
    </w:rPr>
  </w:style>
  <w:style w:type="paragraph" w:customStyle="1" w:styleId="BoxName">
    <w:name w:val="BoxName"/>
    <w:basedOn w:val="BoxText"/>
    <w:rsid w:val="002A1FC0"/>
    <w:pPr>
      <w:keepNext/>
      <w:spacing w:before="180"/>
      <w:ind w:left="1080" w:hanging="1080"/>
    </w:pPr>
    <w:rPr>
      <w:b/>
      <w:bCs/>
      <w:sz w:val="24"/>
    </w:rPr>
  </w:style>
  <w:style w:type="paragraph" w:customStyle="1" w:styleId="BoxHeading">
    <w:name w:val="BoxHeading"/>
    <w:basedOn w:val="BoxText"/>
    <w:rsid w:val="002A1FC0"/>
    <w:pPr>
      <w:keepNext/>
      <w:spacing w:before="120" w:after="60"/>
    </w:pPr>
    <w:rPr>
      <w:b/>
      <w:bCs/>
    </w:rPr>
  </w:style>
  <w:style w:type="paragraph" w:customStyle="1" w:styleId="BoxBullet">
    <w:name w:val="BoxBullet"/>
    <w:basedOn w:val="BoxText"/>
    <w:rsid w:val="002A1FC0"/>
    <w:pPr>
      <w:numPr>
        <w:numId w:val="25"/>
      </w:numPr>
    </w:pPr>
  </w:style>
  <w:style w:type="paragraph" w:customStyle="1" w:styleId="BoxDashManual">
    <w:name w:val="BoxDashManual"/>
    <w:basedOn w:val="BoxText"/>
    <w:rsid w:val="002A1FC0"/>
    <w:pPr>
      <w:tabs>
        <w:tab w:val="left" w:pos="360"/>
        <w:tab w:val="left" w:pos="720"/>
      </w:tabs>
      <w:ind w:left="720" w:hanging="720"/>
    </w:pPr>
  </w:style>
  <w:style w:type="paragraph" w:styleId="Index1">
    <w:name w:val="index 1"/>
    <w:basedOn w:val="Normal"/>
    <w:next w:val="Normal"/>
    <w:rsid w:val="002A1FC0"/>
    <w:pPr>
      <w:spacing w:after="0"/>
      <w:ind w:left="518" w:hanging="518"/>
    </w:pPr>
    <w:rPr>
      <w:noProof/>
    </w:rPr>
  </w:style>
  <w:style w:type="paragraph" w:styleId="Index2">
    <w:name w:val="index 2"/>
    <w:basedOn w:val="Index1"/>
    <w:next w:val="Normal"/>
    <w:rsid w:val="002A1FC0"/>
    <w:pPr>
      <w:ind w:left="816" w:hanging="476"/>
    </w:pPr>
  </w:style>
  <w:style w:type="paragraph" w:styleId="TOC4">
    <w:name w:val="toc 4"/>
    <w:basedOn w:val="Normal"/>
    <w:next w:val="Normal"/>
    <w:autoRedefine/>
    <w:semiHidden/>
    <w:rsid w:val="002A1FC0"/>
    <w:pPr>
      <w:tabs>
        <w:tab w:val="right" w:leader="dot" w:pos="9016"/>
      </w:tabs>
      <w:spacing w:after="0"/>
      <w:ind w:left="2160" w:right="720"/>
    </w:pPr>
    <w:rPr>
      <w:noProof/>
      <w:szCs w:val="24"/>
    </w:rPr>
  </w:style>
  <w:style w:type="paragraph" w:customStyle="1" w:styleId="NumberList">
    <w:name w:val="NumberList"/>
    <w:basedOn w:val="Normal"/>
    <w:rsid w:val="002A1FC0"/>
    <w:pPr>
      <w:tabs>
        <w:tab w:val="left" w:pos="360"/>
      </w:tabs>
      <w:ind w:left="360" w:hanging="360"/>
    </w:pPr>
  </w:style>
  <w:style w:type="character" w:customStyle="1" w:styleId="DesignerNotesChar">
    <w:name w:val="DesignerNotesChar"/>
    <w:basedOn w:val="DefaultParagraphFont"/>
    <w:rsid w:val="002A1FC0"/>
    <w:rPr>
      <w:rFonts w:ascii="Arial" w:hAnsi="Arial"/>
      <w:b/>
      <w:color w:val="3366FF"/>
      <w:sz w:val="20"/>
    </w:rPr>
  </w:style>
  <w:style w:type="character" w:styleId="Strong">
    <w:name w:val="Strong"/>
    <w:basedOn w:val="DefaultParagraphFont"/>
    <w:uiPriority w:val="22"/>
    <w:qFormat/>
    <w:rsid w:val="002A1FC0"/>
    <w:rPr>
      <w:b/>
      <w:bCs/>
    </w:rPr>
  </w:style>
  <w:style w:type="character" w:customStyle="1" w:styleId="Roman">
    <w:name w:val="Roman"/>
    <w:uiPriority w:val="1"/>
    <w:rsid w:val="002A1FC0"/>
    <w:rPr>
      <w:b w:val="0"/>
      <w:i/>
    </w:rPr>
  </w:style>
  <w:style w:type="character" w:customStyle="1" w:styleId="PullQuoteOrigin">
    <w:name w:val="PullQuoteOrigin"/>
    <w:basedOn w:val="DefaultParagraphFont"/>
    <w:uiPriority w:val="1"/>
    <w:rsid w:val="002A1FC0"/>
    <w:rPr>
      <w:b/>
      <w:noProof/>
      <w:color w:val="7B7B7B" w:themeColor="accent3" w:themeShade="BF"/>
    </w:rPr>
  </w:style>
  <w:style w:type="table" w:styleId="TableGrid">
    <w:name w:val="Table Grid"/>
    <w:basedOn w:val="TableNormal"/>
    <w:uiPriority w:val="59"/>
    <w:rsid w:val="002A1FC0"/>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ignerNotes">
    <w:name w:val="DesignerNotes"/>
    <w:basedOn w:val="Normal"/>
    <w:rsid w:val="002A1FC0"/>
    <w:rPr>
      <w:rFonts w:ascii="Arial" w:hAnsi="Arial"/>
      <w:b/>
      <w:color w:val="3366FF"/>
      <w:sz w:val="20"/>
    </w:rPr>
  </w:style>
  <w:style w:type="character" w:customStyle="1" w:styleId="Subscript">
    <w:name w:val="Subscript"/>
    <w:basedOn w:val="DefaultParagraphFont"/>
    <w:uiPriority w:val="1"/>
    <w:rsid w:val="002A1FC0"/>
    <w:rPr>
      <w:noProof/>
      <w:vertAlign w:val="subscript"/>
    </w:rPr>
  </w:style>
  <w:style w:type="character" w:customStyle="1" w:styleId="Symbol">
    <w:name w:val="Symbol"/>
    <w:basedOn w:val="DefaultParagraphFont"/>
    <w:uiPriority w:val="1"/>
    <w:rsid w:val="002A1FC0"/>
    <w:rPr>
      <w:noProof/>
    </w:rPr>
  </w:style>
  <w:style w:type="character" w:customStyle="1" w:styleId="NoBreak">
    <w:name w:val="NoBreak"/>
    <w:basedOn w:val="DefaultParagraphFont"/>
    <w:uiPriority w:val="1"/>
    <w:rsid w:val="002A1FC0"/>
    <w:rPr>
      <w:noProof/>
    </w:rPr>
  </w:style>
  <w:style w:type="paragraph" w:customStyle="1" w:styleId="MathEquation">
    <w:name w:val="MathEquation"/>
    <w:basedOn w:val="Normal"/>
    <w:rsid w:val="002A1FC0"/>
    <w:rPr>
      <w:rFonts w:ascii="Cambria Math" w:hAnsi="Cambria Math"/>
      <w:i/>
      <w:noProof/>
    </w:rPr>
  </w:style>
  <w:style w:type="paragraph" w:customStyle="1" w:styleId="ComputerCode">
    <w:name w:val="ComputerCode"/>
    <w:basedOn w:val="Normal"/>
    <w:rsid w:val="002A1FC0"/>
    <w:pPr>
      <w:ind w:left="567"/>
      <w:contextualSpacing/>
    </w:pPr>
    <w:rPr>
      <w:rFonts w:ascii="Courier New" w:hAnsi="Courier New"/>
      <w:color w:val="auto"/>
      <w:sz w:val="20"/>
      <w:szCs w:val="24"/>
    </w:rPr>
  </w:style>
  <w:style w:type="paragraph" w:customStyle="1" w:styleId="BulletChecklist">
    <w:name w:val="BulletChecklist"/>
    <w:basedOn w:val="Bullet"/>
    <w:rsid w:val="002A1FC0"/>
    <w:pPr>
      <w:numPr>
        <w:numId w:val="18"/>
      </w:numPr>
    </w:pPr>
    <w:rPr>
      <w:noProof/>
    </w:rPr>
  </w:style>
  <w:style w:type="paragraph" w:customStyle="1" w:styleId="AltText">
    <w:name w:val="AltText"/>
    <w:basedOn w:val="Normal"/>
    <w:rsid w:val="002A1FC0"/>
    <w:rPr>
      <w:rFonts w:ascii="Arial" w:hAnsi="Arial"/>
      <w:color w:val="538135" w:themeColor="accent6" w:themeShade="BF"/>
      <w:sz w:val="20"/>
    </w:rPr>
  </w:style>
  <w:style w:type="paragraph" w:styleId="Caption">
    <w:name w:val="caption"/>
    <w:basedOn w:val="Normal"/>
    <w:next w:val="Credit"/>
    <w:uiPriority w:val="35"/>
    <w:unhideWhenUsed/>
    <w:rsid w:val="002A1FC0"/>
    <w:pPr>
      <w:spacing w:after="0"/>
    </w:pPr>
    <w:rPr>
      <w:b/>
      <w:bCs/>
      <w:color w:val="auto"/>
      <w:sz w:val="18"/>
      <w:szCs w:val="18"/>
    </w:rPr>
  </w:style>
  <w:style w:type="paragraph" w:customStyle="1" w:styleId="Credit">
    <w:name w:val="Credit"/>
    <w:basedOn w:val="Caption"/>
    <w:next w:val="Normal"/>
    <w:rsid w:val="002A1FC0"/>
    <w:pPr>
      <w:spacing w:after="240"/>
    </w:pPr>
    <w:rPr>
      <w:b w:val="0"/>
      <w:noProof/>
    </w:rPr>
  </w:style>
  <w:style w:type="paragraph" w:customStyle="1" w:styleId="NormalFirstPara">
    <w:name w:val="NormalFirstPara"/>
    <w:basedOn w:val="Normal"/>
    <w:rsid w:val="002A1FC0"/>
    <w:rPr>
      <w:noProof/>
      <w:color w:val="A5A5A5" w:themeColor="accent3"/>
    </w:rPr>
  </w:style>
  <w:style w:type="paragraph" w:customStyle="1" w:styleId="NormalIndent">
    <w:name w:val="NormalIndent"/>
    <w:basedOn w:val="Normal"/>
    <w:rsid w:val="002A1FC0"/>
    <w:pPr>
      <w:ind w:left="357"/>
    </w:pPr>
  </w:style>
  <w:style w:type="paragraph" w:styleId="BalloonText">
    <w:name w:val="Balloon Text"/>
    <w:basedOn w:val="Normal"/>
    <w:link w:val="BalloonTextChar"/>
    <w:uiPriority w:val="99"/>
    <w:semiHidden/>
    <w:unhideWhenUsed/>
    <w:rsid w:val="002A1FC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FC0"/>
    <w:rPr>
      <w:rFonts w:ascii="Tahoma" w:eastAsia="Times New Roman" w:hAnsi="Tahoma" w:cs="Tahoma"/>
      <w:color w:val="000000"/>
      <w:sz w:val="16"/>
      <w:szCs w:val="16"/>
    </w:rPr>
  </w:style>
  <w:style w:type="paragraph" w:customStyle="1" w:styleId="SectionTitle">
    <w:name w:val="SectionTitle"/>
    <w:basedOn w:val="Normal"/>
    <w:next w:val="Normal"/>
    <w:rsid w:val="002A1FC0"/>
    <w:pPr>
      <w:jc w:val="center"/>
    </w:pPr>
    <w:rPr>
      <w:b/>
      <w:sz w:val="40"/>
    </w:rPr>
  </w:style>
  <w:style w:type="paragraph" w:customStyle="1" w:styleId="SectionSubtitle">
    <w:name w:val="SectionSubtitle"/>
    <w:basedOn w:val="Normal"/>
    <w:rsid w:val="002A1FC0"/>
    <w:pPr>
      <w:spacing w:after="0"/>
      <w:jc w:val="center"/>
    </w:pPr>
    <w:rPr>
      <w:sz w:val="32"/>
    </w:rPr>
  </w:style>
  <w:style w:type="paragraph" w:customStyle="1" w:styleId="QuoteNumberList">
    <w:name w:val="QuoteNumberList"/>
    <w:basedOn w:val="Quote"/>
    <w:rsid w:val="002A1FC0"/>
    <w:pPr>
      <w:ind w:left="1117" w:hanging="397"/>
    </w:pPr>
    <w:rPr>
      <w:noProof/>
    </w:rPr>
  </w:style>
  <w:style w:type="paragraph" w:customStyle="1" w:styleId="QuoteBullet">
    <w:name w:val="QuoteBullet"/>
    <w:basedOn w:val="Quote"/>
    <w:rsid w:val="002A1FC0"/>
    <w:pPr>
      <w:numPr>
        <w:numId w:val="20"/>
      </w:numPr>
      <w:ind w:left="1117" w:hanging="397"/>
    </w:pPr>
    <w:rPr>
      <w:noProof/>
    </w:rPr>
  </w:style>
  <w:style w:type="paragraph" w:customStyle="1" w:styleId="BoxDash">
    <w:name w:val="BoxDash"/>
    <w:basedOn w:val="BoxBullet"/>
    <w:rsid w:val="002A1FC0"/>
    <w:pPr>
      <w:numPr>
        <w:numId w:val="7"/>
      </w:numPr>
    </w:pPr>
  </w:style>
  <w:style w:type="character" w:customStyle="1" w:styleId="CrossRef">
    <w:name w:val="CrossRef"/>
    <w:basedOn w:val="DefaultParagraphFont"/>
    <w:uiPriority w:val="1"/>
    <w:rsid w:val="002A1FC0"/>
    <w:rPr>
      <w:rFonts w:ascii="Calibri" w:hAnsi="Calibri"/>
      <w:b/>
      <w:noProof/>
      <w:color w:val="ED7D31" w:themeColor="accent2"/>
      <w:sz w:val="24"/>
    </w:rPr>
  </w:style>
  <w:style w:type="character" w:customStyle="1" w:styleId="StrongEmphasis0">
    <w:name w:val="StrongEmphasis"/>
    <w:basedOn w:val="DefaultParagraphFont"/>
    <w:rsid w:val="002A1FC0"/>
    <w:rPr>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3E97"/>
    <w:pPr>
      <w:spacing w:after="240" w:line="240" w:lineRule="auto"/>
    </w:pPr>
    <w:rPr>
      <w:rFonts w:ascii="Calibri" w:eastAsia="Times New Roman" w:hAnsi="Calibri"/>
      <w:color w:val="000000"/>
      <w:szCs w:val="20"/>
    </w:rPr>
  </w:style>
  <w:style w:type="paragraph" w:styleId="Heading1">
    <w:name w:val="heading 1"/>
    <w:basedOn w:val="Normal"/>
    <w:next w:val="Normal"/>
    <w:link w:val="Heading1Char"/>
    <w:qFormat/>
    <w:rsid w:val="002A1FC0"/>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2A1FC0"/>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2A1FC0"/>
    <w:pPr>
      <w:keepNext/>
      <w:spacing w:before="240"/>
      <w:ind w:left="720" w:hanging="720"/>
      <w:outlineLvl w:val="2"/>
    </w:pPr>
    <w:rPr>
      <w:rFonts w:cs="Arial"/>
      <w:b/>
      <w:bCs/>
      <w:szCs w:val="26"/>
    </w:rPr>
  </w:style>
  <w:style w:type="paragraph" w:styleId="Heading4">
    <w:name w:val="heading 4"/>
    <w:basedOn w:val="Normal"/>
    <w:next w:val="Normal"/>
    <w:link w:val="Heading4Char"/>
    <w:rsid w:val="002A1FC0"/>
    <w:pPr>
      <w:keepNext/>
      <w:spacing w:before="120" w:after="120"/>
      <w:outlineLvl w:val="3"/>
    </w:pPr>
    <w:rPr>
      <w:b/>
      <w:bCs/>
      <w:i/>
      <w:szCs w:val="28"/>
    </w:rPr>
  </w:style>
  <w:style w:type="paragraph" w:styleId="Heading5">
    <w:name w:val="heading 5"/>
    <w:basedOn w:val="Normal"/>
    <w:next w:val="Normal"/>
    <w:link w:val="Heading5Char"/>
    <w:rsid w:val="002A1FC0"/>
    <w:pPr>
      <w:keepNext/>
      <w:spacing w:before="6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136DC"/>
    <w:rPr>
      <w:rFonts w:ascii="Calibri" w:eastAsia="Times New Roman" w:hAnsi="Calibri" w:cs="Arial"/>
      <w:b/>
      <w:bCs/>
      <w:color w:val="000000"/>
      <w:kern w:val="32"/>
      <w:sz w:val="40"/>
      <w:szCs w:val="32"/>
    </w:rPr>
  </w:style>
  <w:style w:type="character" w:customStyle="1" w:styleId="Heading2Char">
    <w:name w:val="Heading 2 Char"/>
    <w:basedOn w:val="DefaultParagraphFont"/>
    <w:link w:val="Heading2"/>
    <w:locked/>
    <w:rsid w:val="00EB0381"/>
    <w:rPr>
      <w:rFonts w:ascii="Calibri" w:eastAsia="Times New Roman" w:hAnsi="Calibri" w:cs="Arial"/>
      <w:b/>
      <w:bCs/>
      <w:iCs/>
      <w:color w:val="000000"/>
      <w:sz w:val="28"/>
      <w:szCs w:val="28"/>
    </w:rPr>
  </w:style>
  <w:style w:type="character" w:customStyle="1" w:styleId="Heading3Char">
    <w:name w:val="Heading 3 Char"/>
    <w:basedOn w:val="DefaultParagraphFont"/>
    <w:link w:val="Heading3"/>
    <w:locked/>
    <w:rsid w:val="00EB0381"/>
    <w:rPr>
      <w:rFonts w:ascii="Calibri" w:eastAsia="Times New Roman" w:hAnsi="Calibri" w:cs="Arial"/>
      <w:b/>
      <w:bCs/>
      <w:color w:val="000000"/>
      <w:szCs w:val="26"/>
    </w:rPr>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aseStyle1">
    <w:name w:val="BaseStyle1"/>
    <w:basedOn w:val="NoParagraphStyle"/>
    <w:uiPriority w:val="99"/>
    <w:pPr>
      <w:suppressAutoHyphens/>
    </w:pPr>
    <w:rPr>
      <w:rFonts w:ascii="TradeGothicLTStd-Cn18" w:hAnsi="TradeGothicLTStd-Cn18" w:cs="TradeGothicLTStd-Cn18"/>
      <w:sz w:val="21"/>
      <w:szCs w:val="21"/>
    </w:rPr>
  </w:style>
  <w:style w:type="paragraph" w:customStyle="1" w:styleId="ImprintText">
    <w:name w:val="ImprintText"/>
    <w:basedOn w:val="Normal"/>
    <w:rsid w:val="002A1FC0"/>
    <w:pPr>
      <w:spacing w:after="120"/>
    </w:pPr>
    <w:rPr>
      <w:sz w:val="20"/>
    </w:rPr>
  </w:style>
  <w:style w:type="paragraph" w:customStyle="1" w:styleId="TFIHolder">
    <w:name w:val="TFIHolder"/>
    <w:basedOn w:val="TFAbbrevs"/>
    <w:qFormat/>
    <w:rsid w:val="002A1FC0"/>
    <w:rPr>
      <w:sz w:val="12"/>
    </w:rPr>
  </w:style>
  <w:style w:type="paragraph" w:customStyle="1" w:styleId="TFIHolderSpan">
    <w:name w:val="TFIHolderSpan"/>
    <w:basedOn w:val="TFIHolder"/>
    <w:uiPriority w:val="99"/>
  </w:style>
  <w:style w:type="paragraph" w:customStyle="1" w:styleId="NormalBeforeBullet">
    <w:name w:val="NormalBeforeBullet"/>
    <w:basedOn w:val="Normal"/>
    <w:qFormat/>
    <w:rsid w:val="002A1FC0"/>
    <w:pPr>
      <w:keepNext/>
      <w:spacing w:after="120"/>
    </w:pPr>
  </w:style>
  <w:style w:type="paragraph" w:customStyle="1" w:styleId="BulletBeforeDash">
    <w:name w:val="BulletBeforeDash"/>
    <w:basedOn w:val="Normal"/>
    <w:rsid w:val="00E23843"/>
    <w:pPr>
      <w:numPr>
        <w:numId w:val="29"/>
      </w:numPr>
      <w:tabs>
        <w:tab w:val="num" w:pos="360"/>
      </w:tabs>
      <w:spacing w:after="0"/>
      <w:ind w:left="357" w:hanging="357"/>
    </w:pPr>
  </w:style>
  <w:style w:type="paragraph" w:customStyle="1" w:styleId="Bullet">
    <w:name w:val="Bullet"/>
    <w:basedOn w:val="BulletBeforeDash"/>
    <w:qFormat/>
    <w:rsid w:val="00E23843"/>
    <w:pPr>
      <w:numPr>
        <w:numId w:val="28"/>
      </w:numPr>
      <w:spacing w:after="120"/>
      <w:ind w:left="357" w:hanging="357"/>
    </w:pPr>
  </w:style>
  <w:style w:type="paragraph" w:customStyle="1" w:styleId="BulletLast">
    <w:name w:val="BulletLast"/>
    <w:basedOn w:val="Bullet"/>
    <w:qFormat/>
    <w:rsid w:val="002A1FC0"/>
    <w:pPr>
      <w:spacing w:after="240"/>
    </w:pPr>
  </w:style>
  <w:style w:type="paragraph" w:customStyle="1" w:styleId="Dash">
    <w:name w:val="Dash"/>
    <w:basedOn w:val="Normal"/>
    <w:rsid w:val="002A1FC0"/>
    <w:pPr>
      <w:numPr>
        <w:numId w:val="6"/>
      </w:numPr>
      <w:tabs>
        <w:tab w:val="clear" w:pos="216"/>
        <w:tab w:val="left" w:pos="720"/>
      </w:tabs>
      <w:spacing w:after="0"/>
      <w:ind w:left="720" w:hanging="360"/>
    </w:pPr>
  </w:style>
  <w:style w:type="paragraph" w:customStyle="1" w:styleId="DashLast">
    <w:name w:val="DashLast"/>
    <w:basedOn w:val="Dash"/>
    <w:rsid w:val="002A1FC0"/>
    <w:pPr>
      <w:spacing w:after="120"/>
    </w:pPr>
  </w:style>
  <w:style w:type="paragraph" w:customStyle="1" w:styleId="DashLastSpace">
    <w:name w:val="DashLast+Space"/>
    <w:basedOn w:val="DashLast"/>
    <w:rsid w:val="002A1FC0"/>
    <w:pPr>
      <w:spacing w:after="240"/>
    </w:pPr>
  </w:style>
  <w:style w:type="paragraph" w:customStyle="1" w:styleId="FigureName">
    <w:name w:val="FigureName"/>
    <w:basedOn w:val="FigureNameSpace"/>
    <w:next w:val="Normal"/>
    <w:rsid w:val="002A1FC0"/>
    <w:pPr>
      <w:keepNext/>
      <w:spacing w:after="120"/>
      <w:ind w:left="1077" w:hanging="1077"/>
    </w:pPr>
  </w:style>
  <w:style w:type="paragraph" w:customStyle="1" w:styleId="TableName">
    <w:name w:val="TableName"/>
    <w:basedOn w:val="TableText"/>
    <w:rsid w:val="002A1FC0"/>
    <w:pPr>
      <w:tabs>
        <w:tab w:val="left" w:pos="1080"/>
      </w:tabs>
      <w:spacing w:before="120" w:after="120"/>
      <w:ind w:left="1080" w:hanging="1080"/>
    </w:pPr>
    <w:rPr>
      <w:b/>
      <w:bCs/>
      <w:sz w:val="22"/>
    </w:rPr>
  </w:style>
  <w:style w:type="paragraph" w:customStyle="1" w:styleId="TableNameSpan">
    <w:name w:val="TableNameSpan"/>
    <w:basedOn w:val="TableName"/>
    <w:uiPriority w:val="99"/>
  </w:style>
  <w:style w:type="paragraph" w:customStyle="1" w:styleId="TFIHolderSpace">
    <w:name w:val="TFIHolder+Space"/>
    <w:basedOn w:val="TFIHolder"/>
    <w:qFormat/>
    <w:rsid w:val="002A1FC0"/>
    <w:pPr>
      <w:spacing w:after="240"/>
    </w:pPr>
  </w:style>
  <w:style w:type="paragraph" w:customStyle="1" w:styleId="Heading1App">
    <w:name w:val="Heading 1 App"/>
    <w:basedOn w:val="Heading1"/>
    <w:uiPriority w:val="99"/>
    <w:pPr>
      <w:tabs>
        <w:tab w:val="left" w:pos="3685"/>
      </w:tabs>
      <w:ind w:left="2551" w:hanging="2551"/>
      <w:outlineLvl w:val="9"/>
    </w:pPr>
    <w:rPr>
      <w:sz w:val="38"/>
      <w:szCs w:val="38"/>
    </w:rPr>
  </w:style>
  <w:style w:type="paragraph" w:customStyle="1" w:styleId="References">
    <w:name w:val="References"/>
    <w:basedOn w:val="Normal"/>
    <w:rsid w:val="002A1FC0"/>
    <w:pPr>
      <w:keepLines/>
      <w:ind w:left="720" w:hanging="720"/>
    </w:pPr>
  </w:style>
  <w:style w:type="paragraph" w:customStyle="1" w:styleId="BasicParagraph">
    <w:name w:val="[Basic Paragraph]"/>
    <w:basedOn w:val="NoParagraphStyle"/>
    <w:uiPriority w:val="99"/>
  </w:style>
  <w:style w:type="paragraph" w:customStyle="1" w:styleId="TableHeading">
    <w:name w:val="TableHeading"/>
    <w:basedOn w:val="TableText"/>
    <w:rsid w:val="002A1FC0"/>
    <w:rPr>
      <w:b/>
      <w:bCs/>
      <w:color w:val="FFFFFF" w:themeColor="background1"/>
    </w:rPr>
  </w:style>
  <w:style w:type="paragraph" w:customStyle="1" w:styleId="TableHeadingCA">
    <w:name w:val="TableHeadingCA"/>
    <w:basedOn w:val="TableHeading"/>
    <w:rsid w:val="002A1FC0"/>
    <w:pPr>
      <w:jc w:val="center"/>
    </w:pPr>
  </w:style>
  <w:style w:type="paragraph" w:customStyle="1" w:styleId="TableText">
    <w:name w:val="TableText"/>
    <w:basedOn w:val="Normal"/>
    <w:rsid w:val="002A1FC0"/>
    <w:pPr>
      <w:keepNext/>
      <w:spacing w:before="60" w:after="60"/>
    </w:pPr>
    <w:rPr>
      <w:sz w:val="21"/>
      <w:szCs w:val="21"/>
    </w:rPr>
  </w:style>
  <w:style w:type="paragraph" w:customStyle="1" w:styleId="TableTextDecimalAlign">
    <w:name w:val="TableTextDecimalAlign"/>
    <w:basedOn w:val="TableText"/>
    <w:rsid w:val="002A1FC0"/>
    <w:pPr>
      <w:tabs>
        <w:tab w:val="decimal" w:pos="1119"/>
      </w:tabs>
    </w:pPr>
  </w:style>
  <w:style w:type="paragraph" w:customStyle="1" w:styleId="TableTextCA">
    <w:name w:val="TableTextCA"/>
    <w:basedOn w:val="TableText"/>
    <w:rsid w:val="002A1FC0"/>
    <w:pPr>
      <w:jc w:val="center"/>
    </w:pPr>
  </w:style>
  <w:style w:type="paragraph" w:customStyle="1" w:styleId="TableTextDA">
    <w:name w:val="TableTextDA"/>
    <w:basedOn w:val="TableText"/>
    <w:uiPriority w:val="99"/>
    <w:pPr>
      <w:tabs>
        <w:tab w:val="decimal" w:pos="1960"/>
      </w:tabs>
    </w:pPr>
  </w:style>
  <w:style w:type="paragraph" w:customStyle="1" w:styleId="BaseStyle2">
    <w:name w:val="BaseStyle2"/>
    <w:basedOn w:val="NoParagraphStyle"/>
    <w:uiPriority w:val="99"/>
    <w:pPr>
      <w:suppressAutoHyphens/>
    </w:pPr>
    <w:rPr>
      <w:rFonts w:ascii="Gotham-Light" w:hAnsi="Gotham-Light" w:cs="Gotham-Light"/>
    </w:rPr>
  </w:style>
  <w:style w:type="paragraph" w:styleId="Title">
    <w:name w:val="Title"/>
    <w:basedOn w:val="Normal"/>
    <w:next w:val="Normal"/>
    <w:link w:val="TitleChar"/>
    <w:uiPriority w:val="10"/>
    <w:rsid w:val="002A1FC0"/>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locked/>
    <w:rsid w:val="002A1FC0"/>
    <w:rPr>
      <w:rFonts w:ascii="Calibri" w:eastAsiaTheme="majorEastAsia" w:hAnsi="Calibri" w:cstheme="majorBidi"/>
      <w:b/>
      <w:spacing w:val="5"/>
      <w:kern w:val="28"/>
      <w:sz w:val="48"/>
      <w:szCs w:val="52"/>
    </w:rPr>
  </w:style>
  <w:style w:type="paragraph" w:styleId="Subtitle">
    <w:name w:val="Subtitle"/>
    <w:basedOn w:val="Normal"/>
    <w:next w:val="Normal"/>
    <w:link w:val="SubtitleChar"/>
    <w:uiPriority w:val="11"/>
    <w:rsid w:val="002A1FC0"/>
    <w:pPr>
      <w:numPr>
        <w:ilvl w:val="1"/>
      </w:numPr>
      <w:jc w:val="center"/>
    </w:pPr>
    <w:rPr>
      <w:rFonts w:eastAsiaTheme="majorEastAsia" w:cstheme="majorBidi"/>
      <w:b/>
      <w:iCs/>
      <w:color w:val="auto"/>
      <w:sz w:val="40"/>
      <w:szCs w:val="24"/>
    </w:rPr>
  </w:style>
  <w:style w:type="character" w:customStyle="1" w:styleId="SubtitleChar">
    <w:name w:val="Subtitle Char"/>
    <w:basedOn w:val="DefaultParagraphFont"/>
    <w:link w:val="Subtitle"/>
    <w:uiPriority w:val="11"/>
    <w:locked/>
    <w:rsid w:val="002A1FC0"/>
    <w:rPr>
      <w:rFonts w:ascii="Calibri" w:eastAsiaTheme="majorEastAsia" w:hAnsi="Calibri" w:cstheme="majorBidi"/>
      <w:b/>
      <w:iCs/>
      <w:sz w:val="40"/>
      <w:szCs w:val="24"/>
    </w:rPr>
  </w:style>
  <w:style w:type="paragraph" w:customStyle="1" w:styleId="TFAbbrevs">
    <w:name w:val="TFAbbrevs"/>
    <w:basedOn w:val="TFListNotes"/>
    <w:rsid w:val="002A1FC0"/>
    <w:pPr>
      <w:ind w:left="0" w:firstLine="0"/>
    </w:pPr>
  </w:style>
  <w:style w:type="paragraph" w:customStyle="1" w:styleId="TFListNotes">
    <w:name w:val="TFListNotes"/>
    <w:basedOn w:val="TFListNotesSpace"/>
    <w:rsid w:val="002A1FC0"/>
    <w:pPr>
      <w:keepNext/>
      <w:spacing w:after="0"/>
    </w:pPr>
  </w:style>
  <w:style w:type="paragraph" w:customStyle="1" w:styleId="TFListNotesSpace">
    <w:name w:val="TFListNotes+Space"/>
    <w:basedOn w:val="TableText"/>
    <w:next w:val="Normal"/>
    <w:rsid w:val="002A1FC0"/>
    <w:pPr>
      <w:keepNext w:val="0"/>
      <w:keepLines/>
      <w:spacing w:before="0" w:after="360"/>
      <w:ind w:left="170" w:hanging="170"/>
    </w:pPr>
    <w:rPr>
      <w:sz w:val="18"/>
      <w:szCs w:val="18"/>
    </w:rPr>
  </w:style>
  <w:style w:type="paragraph" w:customStyle="1" w:styleId="TableBullet">
    <w:name w:val="TableBullet"/>
    <w:basedOn w:val="TableText"/>
    <w:rsid w:val="002A1FC0"/>
    <w:pPr>
      <w:numPr>
        <w:numId w:val="3"/>
      </w:numPr>
      <w:tabs>
        <w:tab w:val="clear" w:pos="360"/>
        <w:tab w:val="left" w:pos="216"/>
      </w:tabs>
      <w:ind w:left="216" w:hanging="216"/>
    </w:pPr>
  </w:style>
  <w:style w:type="paragraph" w:customStyle="1" w:styleId="TFAbbrevsSpace">
    <w:name w:val="TFAbbrevs+Space"/>
    <w:basedOn w:val="TFAbbrevs"/>
    <w:next w:val="Normal"/>
    <w:rsid w:val="002A1FC0"/>
    <w:pPr>
      <w:spacing w:after="360"/>
    </w:pPr>
  </w:style>
  <w:style w:type="paragraph" w:customStyle="1" w:styleId="TFNoteSource">
    <w:name w:val="TFNoteSource"/>
    <w:basedOn w:val="TFNoteSourceSpace"/>
    <w:rsid w:val="002A1FC0"/>
    <w:pPr>
      <w:spacing w:after="0"/>
    </w:pPr>
  </w:style>
  <w:style w:type="paragraph" w:customStyle="1" w:styleId="TFNoteSourceSpace">
    <w:name w:val="TFNoteSource+Space"/>
    <w:basedOn w:val="TFListNotesSpace"/>
    <w:next w:val="Normal"/>
    <w:rsid w:val="002A1FC0"/>
    <w:pPr>
      <w:ind w:left="624" w:hanging="624"/>
    </w:pPr>
  </w:style>
  <w:style w:type="character" w:styleId="Hyperlink">
    <w:name w:val="Hyperlink"/>
    <w:basedOn w:val="DefaultParagraphFont"/>
    <w:uiPriority w:val="99"/>
    <w:rsid w:val="00AF29D9"/>
    <w:rPr>
      <w:rFonts w:cs="Times New Roman"/>
      <w:color w:val="0C14B4"/>
      <w:u w:val="single"/>
    </w:rPr>
  </w:style>
  <w:style w:type="character" w:styleId="Emphasis">
    <w:name w:val="Emphasis"/>
    <w:basedOn w:val="DefaultParagraphFont"/>
    <w:uiPriority w:val="20"/>
    <w:qFormat/>
    <w:rsid w:val="002A1FC0"/>
    <w:rPr>
      <w:i/>
      <w:iCs/>
    </w:rPr>
  </w:style>
  <w:style w:type="character" w:styleId="FootnoteReference">
    <w:name w:val="footnote reference"/>
    <w:basedOn w:val="DefaultParagraphFont"/>
    <w:rsid w:val="002A1FC0"/>
    <w:rPr>
      <w:vertAlign w:val="superscript"/>
    </w:rPr>
  </w:style>
  <w:style w:type="character" w:styleId="EndnoteReference">
    <w:name w:val="endnote reference"/>
    <w:basedOn w:val="FootnoteReference"/>
    <w:uiPriority w:val="99"/>
    <w:rPr>
      <w:vertAlign w:val="superscript"/>
    </w:rPr>
  </w:style>
  <w:style w:type="character" w:customStyle="1" w:styleId="Strongemphasis">
    <w:name w:val="Strong emphasis"/>
    <w:basedOn w:val="Emphasis"/>
    <w:uiPriority w:val="99"/>
    <w:rPr>
      <w:b/>
      <w:bCs/>
      <w:i/>
      <w:iCs/>
    </w:rPr>
  </w:style>
  <w:style w:type="character" w:customStyle="1" w:styleId="whitetext">
    <w:name w:val="white text"/>
    <w:uiPriority w:val="99"/>
    <w:rPr>
      <w:outline/>
      <w:color w:val="000000"/>
      <w14:textOutline w14:w="9525" w14:cap="flat" w14:cmpd="sng" w14:algn="ctr">
        <w14:solidFill>
          <w14:srgbClr w14:val="000000"/>
        </w14:solidFill>
        <w14:prstDash w14:val="solid"/>
        <w14:round/>
      </w14:textOutline>
      <w14:textFill>
        <w14:noFill/>
      </w14:textFill>
    </w:rPr>
  </w:style>
  <w:style w:type="character" w:customStyle="1" w:styleId="WordImportedListStyle7StylesforWordRTFImportedLists">
    <w:name w:val="Word Imported List Style7 (Styles for Word/RTF Imported Lists)"/>
    <w:uiPriority w:val="99"/>
    <w:rPr>
      <w:rFonts w:ascii="Calibri" w:hAnsi="Calibri"/>
      <w:w w:val="100"/>
      <w:lang w:val="en-US" w:eastAsia="x-none"/>
    </w:rPr>
  </w:style>
  <w:style w:type="character" w:customStyle="1" w:styleId="Superscript">
    <w:name w:val="Superscript"/>
    <w:basedOn w:val="DefaultParagraphFont"/>
    <w:uiPriority w:val="1"/>
    <w:rsid w:val="002A1FC0"/>
    <w:rPr>
      <w:noProof/>
      <w:vertAlign w:val="superscript"/>
    </w:rPr>
  </w:style>
  <w:style w:type="character" w:customStyle="1" w:styleId="Boldemphasis">
    <w:name w:val="Bold emphasis"/>
    <w:basedOn w:val="Emphasis"/>
    <w:uiPriority w:val="99"/>
    <w:rPr>
      <w:b/>
      <w:bCs/>
      <w:i/>
      <w:iCs/>
    </w:rPr>
  </w:style>
  <w:style w:type="character" w:customStyle="1" w:styleId="Heading4Char">
    <w:name w:val="Heading 4 Char"/>
    <w:basedOn w:val="DefaultParagraphFont"/>
    <w:link w:val="Heading4"/>
    <w:rsid w:val="002A1FC0"/>
    <w:rPr>
      <w:rFonts w:ascii="Calibri" w:eastAsia="Times New Roman" w:hAnsi="Calibri"/>
      <w:b/>
      <w:bCs/>
      <w:i/>
      <w:color w:val="000000"/>
      <w:szCs w:val="28"/>
    </w:rPr>
  </w:style>
  <w:style w:type="character" w:customStyle="1" w:styleId="Heading5Char">
    <w:name w:val="Heading 5 Char"/>
    <w:basedOn w:val="DefaultParagraphFont"/>
    <w:link w:val="Heading5"/>
    <w:rsid w:val="002A1FC0"/>
    <w:rPr>
      <w:rFonts w:ascii="Calibri" w:eastAsia="Times New Roman" w:hAnsi="Calibri"/>
      <w:bCs/>
      <w:i/>
      <w:iCs/>
      <w:color w:val="000000"/>
      <w:szCs w:val="26"/>
    </w:rPr>
  </w:style>
  <w:style w:type="paragraph" w:customStyle="1" w:styleId="PullQuote">
    <w:name w:val="PullQuote"/>
    <w:basedOn w:val="Normal"/>
    <w:next w:val="Normal"/>
    <w:rsid w:val="002A1FC0"/>
    <w:rPr>
      <w:b/>
      <w:color w:val="7B7B7B" w:themeColor="accent3" w:themeShade="BF"/>
    </w:rPr>
  </w:style>
  <w:style w:type="paragraph" w:customStyle="1" w:styleId="ReportDate">
    <w:name w:val="ReportDate"/>
    <w:basedOn w:val="Normal"/>
    <w:rsid w:val="002A1FC0"/>
    <w:pPr>
      <w:jc w:val="center"/>
    </w:pPr>
    <w:rPr>
      <w:sz w:val="40"/>
    </w:rPr>
  </w:style>
  <w:style w:type="paragraph" w:customStyle="1" w:styleId="Heading1a">
    <w:name w:val="Heading 1a"/>
    <w:basedOn w:val="Heading1"/>
    <w:next w:val="Normal"/>
    <w:rsid w:val="002A1FC0"/>
    <w:pPr>
      <w:outlineLvl w:val="9"/>
    </w:pPr>
  </w:style>
  <w:style w:type="paragraph" w:customStyle="1" w:styleId="Heading2a">
    <w:name w:val="Heading 2a"/>
    <w:basedOn w:val="Heading2"/>
    <w:next w:val="Normal"/>
    <w:rsid w:val="002A1FC0"/>
    <w:pPr>
      <w:ind w:left="0" w:firstLine="0"/>
      <w:outlineLvl w:val="9"/>
    </w:pPr>
  </w:style>
  <w:style w:type="paragraph" w:customStyle="1" w:styleId="Heading3a">
    <w:name w:val="Heading 3a"/>
    <w:basedOn w:val="Heading3"/>
    <w:next w:val="Normal"/>
    <w:rsid w:val="002A1FC0"/>
    <w:pPr>
      <w:ind w:left="0" w:firstLine="0"/>
      <w:outlineLvl w:val="9"/>
    </w:pPr>
  </w:style>
  <w:style w:type="paragraph" w:styleId="Header">
    <w:name w:val="header"/>
    <w:basedOn w:val="Normal"/>
    <w:link w:val="HeaderChar"/>
    <w:semiHidden/>
    <w:rsid w:val="002A1FC0"/>
    <w:pPr>
      <w:tabs>
        <w:tab w:val="right" w:pos="9000"/>
      </w:tabs>
      <w:spacing w:after="0"/>
    </w:pPr>
    <w:rPr>
      <w:sz w:val="18"/>
    </w:rPr>
  </w:style>
  <w:style w:type="character" w:customStyle="1" w:styleId="HeaderChar">
    <w:name w:val="Header Char"/>
    <w:basedOn w:val="DefaultParagraphFont"/>
    <w:link w:val="Header"/>
    <w:semiHidden/>
    <w:rsid w:val="002A1FC0"/>
    <w:rPr>
      <w:rFonts w:ascii="Calibri" w:eastAsia="Times New Roman" w:hAnsi="Calibri"/>
      <w:color w:val="000000"/>
      <w:sz w:val="18"/>
      <w:szCs w:val="20"/>
    </w:rPr>
  </w:style>
  <w:style w:type="paragraph" w:styleId="Footer">
    <w:name w:val="footer"/>
    <w:basedOn w:val="Normal"/>
    <w:link w:val="FooterChar"/>
    <w:uiPriority w:val="99"/>
    <w:rsid w:val="002A1FC0"/>
    <w:pPr>
      <w:tabs>
        <w:tab w:val="right" w:pos="9000"/>
      </w:tabs>
      <w:spacing w:after="0"/>
    </w:pPr>
    <w:rPr>
      <w:sz w:val="20"/>
    </w:rPr>
  </w:style>
  <w:style w:type="character" w:customStyle="1" w:styleId="FooterChar">
    <w:name w:val="Footer Char"/>
    <w:basedOn w:val="DefaultParagraphFont"/>
    <w:link w:val="Footer"/>
    <w:uiPriority w:val="99"/>
    <w:rsid w:val="002A1FC0"/>
    <w:rPr>
      <w:rFonts w:ascii="Calibri" w:eastAsia="Times New Roman" w:hAnsi="Calibri"/>
      <w:color w:val="000000"/>
      <w:sz w:val="20"/>
      <w:szCs w:val="20"/>
    </w:rPr>
  </w:style>
  <w:style w:type="character" w:styleId="PageNumber">
    <w:name w:val="page number"/>
    <w:basedOn w:val="DefaultParagraphFont"/>
    <w:semiHidden/>
    <w:rsid w:val="002A1FC0"/>
    <w:rPr>
      <w:rFonts w:ascii="Times New Roman" w:hAnsi="Times New Roman"/>
      <w:b/>
      <w:sz w:val="20"/>
    </w:rPr>
  </w:style>
  <w:style w:type="paragraph" w:customStyle="1" w:styleId="TableDash">
    <w:name w:val="TableDash"/>
    <w:basedOn w:val="TableText"/>
    <w:rsid w:val="002A1FC0"/>
    <w:pPr>
      <w:numPr>
        <w:numId w:val="4"/>
      </w:numPr>
      <w:tabs>
        <w:tab w:val="clear" w:pos="216"/>
        <w:tab w:val="num" w:pos="432"/>
      </w:tabs>
    </w:pPr>
  </w:style>
  <w:style w:type="paragraph" w:styleId="Quote">
    <w:name w:val="Quote"/>
    <w:basedOn w:val="Normal"/>
    <w:link w:val="QuoteChar"/>
    <w:rsid w:val="002A1FC0"/>
    <w:pPr>
      <w:ind w:left="720" w:right="720"/>
    </w:pPr>
    <w:rPr>
      <w:sz w:val="20"/>
    </w:rPr>
  </w:style>
  <w:style w:type="character" w:customStyle="1" w:styleId="QuoteChar">
    <w:name w:val="Quote Char"/>
    <w:basedOn w:val="DefaultParagraphFont"/>
    <w:link w:val="Quote"/>
    <w:rsid w:val="002A1FC0"/>
    <w:rPr>
      <w:rFonts w:ascii="Calibri" w:eastAsia="Times New Roman" w:hAnsi="Calibri"/>
      <w:color w:val="000000"/>
      <w:sz w:val="20"/>
      <w:szCs w:val="20"/>
    </w:rPr>
  </w:style>
  <w:style w:type="paragraph" w:styleId="FootnoteText">
    <w:name w:val="footnote text"/>
    <w:basedOn w:val="Normal"/>
    <w:link w:val="FootnoteTextChar"/>
    <w:semiHidden/>
    <w:rsid w:val="002A1FC0"/>
    <w:pPr>
      <w:spacing w:after="0"/>
      <w:ind w:left="360" w:hanging="360"/>
    </w:pPr>
    <w:rPr>
      <w:sz w:val="20"/>
    </w:rPr>
  </w:style>
  <w:style w:type="character" w:customStyle="1" w:styleId="FootnoteTextChar">
    <w:name w:val="Footnote Text Char"/>
    <w:basedOn w:val="DefaultParagraphFont"/>
    <w:link w:val="FootnoteText"/>
    <w:semiHidden/>
    <w:rsid w:val="002A1FC0"/>
    <w:rPr>
      <w:rFonts w:ascii="Calibri" w:eastAsia="Times New Roman" w:hAnsi="Calibri"/>
      <w:color w:val="000000"/>
      <w:sz w:val="20"/>
      <w:szCs w:val="20"/>
    </w:rPr>
  </w:style>
  <w:style w:type="paragraph" w:customStyle="1" w:styleId="FigTabPara">
    <w:name w:val="FigTabPara"/>
    <w:basedOn w:val="Normal"/>
    <w:next w:val="TFIHolder"/>
    <w:rsid w:val="002A1FC0"/>
    <w:pPr>
      <w:keepNext/>
      <w:spacing w:after="120"/>
      <w:ind w:left="1077"/>
    </w:pPr>
  </w:style>
  <w:style w:type="paragraph" w:customStyle="1" w:styleId="FigureNameSpace">
    <w:name w:val="FigureName+Space"/>
    <w:basedOn w:val="Normal"/>
    <w:next w:val="Normal"/>
    <w:rsid w:val="002A1FC0"/>
    <w:pPr>
      <w:keepLines/>
      <w:tabs>
        <w:tab w:val="left" w:pos="1080"/>
      </w:tabs>
      <w:spacing w:before="120" w:after="360"/>
      <w:ind w:left="1080" w:hanging="1080"/>
    </w:pPr>
    <w:rPr>
      <w:b/>
      <w:bCs/>
    </w:rPr>
  </w:style>
  <w:style w:type="paragraph" w:styleId="TOC1">
    <w:name w:val="toc 1"/>
    <w:basedOn w:val="Normal"/>
    <w:next w:val="Normal"/>
    <w:autoRedefine/>
    <w:uiPriority w:val="39"/>
    <w:rsid w:val="002A1FC0"/>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2A1FC0"/>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2A1FC0"/>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2A1FC0"/>
    <w:pPr>
      <w:tabs>
        <w:tab w:val="left" w:pos="1080"/>
        <w:tab w:val="right" w:leader="dot" w:pos="9000"/>
      </w:tabs>
      <w:spacing w:after="120"/>
      <w:ind w:left="1080" w:right="720" w:hangingChars="450" w:hanging="1080"/>
    </w:pPr>
  </w:style>
  <w:style w:type="paragraph" w:customStyle="1" w:styleId="BoxText">
    <w:name w:val="BoxText"/>
    <w:basedOn w:val="Normal"/>
    <w:qFormat/>
    <w:rsid w:val="002A1FC0"/>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2A1FC0"/>
    <w:pPr>
      <w:spacing w:before="120" w:after="60"/>
    </w:pPr>
    <w:rPr>
      <w:sz w:val="18"/>
    </w:rPr>
  </w:style>
  <w:style w:type="paragraph" w:customStyle="1" w:styleId="BoxName">
    <w:name w:val="BoxName"/>
    <w:basedOn w:val="BoxText"/>
    <w:rsid w:val="002A1FC0"/>
    <w:pPr>
      <w:keepNext/>
      <w:spacing w:before="180"/>
      <w:ind w:left="1080" w:hanging="1080"/>
    </w:pPr>
    <w:rPr>
      <w:b/>
      <w:bCs/>
      <w:sz w:val="24"/>
    </w:rPr>
  </w:style>
  <w:style w:type="paragraph" w:customStyle="1" w:styleId="BoxHeading">
    <w:name w:val="BoxHeading"/>
    <w:basedOn w:val="BoxText"/>
    <w:rsid w:val="002A1FC0"/>
    <w:pPr>
      <w:keepNext/>
      <w:spacing w:before="120" w:after="60"/>
    </w:pPr>
    <w:rPr>
      <w:b/>
      <w:bCs/>
    </w:rPr>
  </w:style>
  <w:style w:type="paragraph" w:customStyle="1" w:styleId="BoxBullet">
    <w:name w:val="BoxBullet"/>
    <w:basedOn w:val="BoxText"/>
    <w:rsid w:val="002A1FC0"/>
    <w:pPr>
      <w:numPr>
        <w:numId w:val="25"/>
      </w:numPr>
    </w:pPr>
  </w:style>
  <w:style w:type="paragraph" w:customStyle="1" w:styleId="BoxDashManual">
    <w:name w:val="BoxDashManual"/>
    <w:basedOn w:val="BoxText"/>
    <w:rsid w:val="002A1FC0"/>
    <w:pPr>
      <w:tabs>
        <w:tab w:val="left" w:pos="360"/>
        <w:tab w:val="left" w:pos="720"/>
      </w:tabs>
      <w:ind w:left="720" w:hanging="720"/>
    </w:pPr>
  </w:style>
  <w:style w:type="paragraph" w:styleId="Index1">
    <w:name w:val="index 1"/>
    <w:basedOn w:val="Normal"/>
    <w:next w:val="Normal"/>
    <w:rsid w:val="002A1FC0"/>
    <w:pPr>
      <w:spacing w:after="0"/>
      <w:ind w:left="518" w:hanging="518"/>
    </w:pPr>
    <w:rPr>
      <w:noProof/>
    </w:rPr>
  </w:style>
  <w:style w:type="paragraph" w:styleId="Index2">
    <w:name w:val="index 2"/>
    <w:basedOn w:val="Index1"/>
    <w:next w:val="Normal"/>
    <w:rsid w:val="002A1FC0"/>
    <w:pPr>
      <w:ind w:left="816" w:hanging="476"/>
    </w:pPr>
  </w:style>
  <w:style w:type="paragraph" w:styleId="TOC4">
    <w:name w:val="toc 4"/>
    <w:basedOn w:val="Normal"/>
    <w:next w:val="Normal"/>
    <w:autoRedefine/>
    <w:semiHidden/>
    <w:rsid w:val="002A1FC0"/>
    <w:pPr>
      <w:tabs>
        <w:tab w:val="right" w:leader="dot" w:pos="9016"/>
      </w:tabs>
      <w:spacing w:after="0"/>
      <w:ind w:left="2160" w:right="720"/>
    </w:pPr>
    <w:rPr>
      <w:noProof/>
      <w:szCs w:val="24"/>
    </w:rPr>
  </w:style>
  <w:style w:type="paragraph" w:customStyle="1" w:styleId="NumberList">
    <w:name w:val="NumberList"/>
    <w:basedOn w:val="Normal"/>
    <w:rsid w:val="002A1FC0"/>
    <w:pPr>
      <w:tabs>
        <w:tab w:val="left" w:pos="360"/>
      </w:tabs>
      <w:ind w:left="360" w:hanging="360"/>
    </w:pPr>
  </w:style>
  <w:style w:type="character" w:customStyle="1" w:styleId="DesignerNotesChar">
    <w:name w:val="DesignerNotesChar"/>
    <w:basedOn w:val="DefaultParagraphFont"/>
    <w:rsid w:val="002A1FC0"/>
    <w:rPr>
      <w:rFonts w:ascii="Arial" w:hAnsi="Arial"/>
      <w:b/>
      <w:color w:val="3366FF"/>
      <w:sz w:val="20"/>
    </w:rPr>
  </w:style>
  <w:style w:type="character" w:styleId="Strong">
    <w:name w:val="Strong"/>
    <w:basedOn w:val="DefaultParagraphFont"/>
    <w:uiPriority w:val="22"/>
    <w:qFormat/>
    <w:rsid w:val="002A1FC0"/>
    <w:rPr>
      <w:b/>
      <w:bCs/>
    </w:rPr>
  </w:style>
  <w:style w:type="character" w:customStyle="1" w:styleId="Roman">
    <w:name w:val="Roman"/>
    <w:uiPriority w:val="1"/>
    <w:rsid w:val="002A1FC0"/>
    <w:rPr>
      <w:b w:val="0"/>
      <w:i/>
    </w:rPr>
  </w:style>
  <w:style w:type="character" w:customStyle="1" w:styleId="PullQuoteOrigin">
    <w:name w:val="PullQuoteOrigin"/>
    <w:basedOn w:val="DefaultParagraphFont"/>
    <w:uiPriority w:val="1"/>
    <w:rsid w:val="002A1FC0"/>
    <w:rPr>
      <w:b/>
      <w:noProof/>
      <w:color w:val="7B7B7B" w:themeColor="accent3" w:themeShade="BF"/>
    </w:rPr>
  </w:style>
  <w:style w:type="table" w:styleId="TableGrid">
    <w:name w:val="Table Grid"/>
    <w:basedOn w:val="TableNormal"/>
    <w:uiPriority w:val="59"/>
    <w:rsid w:val="002A1FC0"/>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ignerNotes">
    <w:name w:val="DesignerNotes"/>
    <w:basedOn w:val="Normal"/>
    <w:rsid w:val="002A1FC0"/>
    <w:rPr>
      <w:rFonts w:ascii="Arial" w:hAnsi="Arial"/>
      <w:b/>
      <w:color w:val="3366FF"/>
      <w:sz w:val="20"/>
    </w:rPr>
  </w:style>
  <w:style w:type="character" w:customStyle="1" w:styleId="Subscript">
    <w:name w:val="Subscript"/>
    <w:basedOn w:val="DefaultParagraphFont"/>
    <w:uiPriority w:val="1"/>
    <w:rsid w:val="002A1FC0"/>
    <w:rPr>
      <w:noProof/>
      <w:vertAlign w:val="subscript"/>
    </w:rPr>
  </w:style>
  <w:style w:type="character" w:customStyle="1" w:styleId="Symbol">
    <w:name w:val="Symbol"/>
    <w:basedOn w:val="DefaultParagraphFont"/>
    <w:uiPriority w:val="1"/>
    <w:rsid w:val="002A1FC0"/>
    <w:rPr>
      <w:noProof/>
    </w:rPr>
  </w:style>
  <w:style w:type="character" w:customStyle="1" w:styleId="NoBreak">
    <w:name w:val="NoBreak"/>
    <w:basedOn w:val="DefaultParagraphFont"/>
    <w:uiPriority w:val="1"/>
    <w:rsid w:val="002A1FC0"/>
    <w:rPr>
      <w:noProof/>
    </w:rPr>
  </w:style>
  <w:style w:type="paragraph" w:customStyle="1" w:styleId="MathEquation">
    <w:name w:val="MathEquation"/>
    <w:basedOn w:val="Normal"/>
    <w:rsid w:val="002A1FC0"/>
    <w:rPr>
      <w:rFonts w:ascii="Cambria Math" w:hAnsi="Cambria Math"/>
      <w:i/>
      <w:noProof/>
    </w:rPr>
  </w:style>
  <w:style w:type="paragraph" w:customStyle="1" w:styleId="ComputerCode">
    <w:name w:val="ComputerCode"/>
    <w:basedOn w:val="Normal"/>
    <w:rsid w:val="002A1FC0"/>
    <w:pPr>
      <w:ind w:left="567"/>
      <w:contextualSpacing/>
    </w:pPr>
    <w:rPr>
      <w:rFonts w:ascii="Courier New" w:hAnsi="Courier New"/>
      <w:color w:val="auto"/>
      <w:sz w:val="20"/>
      <w:szCs w:val="24"/>
    </w:rPr>
  </w:style>
  <w:style w:type="paragraph" w:customStyle="1" w:styleId="BulletChecklist">
    <w:name w:val="BulletChecklist"/>
    <w:basedOn w:val="Bullet"/>
    <w:rsid w:val="002A1FC0"/>
    <w:pPr>
      <w:numPr>
        <w:numId w:val="18"/>
      </w:numPr>
    </w:pPr>
    <w:rPr>
      <w:noProof/>
    </w:rPr>
  </w:style>
  <w:style w:type="paragraph" w:customStyle="1" w:styleId="AltText">
    <w:name w:val="AltText"/>
    <w:basedOn w:val="Normal"/>
    <w:rsid w:val="002A1FC0"/>
    <w:rPr>
      <w:rFonts w:ascii="Arial" w:hAnsi="Arial"/>
      <w:color w:val="538135" w:themeColor="accent6" w:themeShade="BF"/>
      <w:sz w:val="20"/>
    </w:rPr>
  </w:style>
  <w:style w:type="paragraph" w:styleId="Caption">
    <w:name w:val="caption"/>
    <w:basedOn w:val="Normal"/>
    <w:next w:val="Credit"/>
    <w:uiPriority w:val="35"/>
    <w:unhideWhenUsed/>
    <w:rsid w:val="002A1FC0"/>
    <w:pPr>
      <w:spacing w:after="0"/>
    </w:pPr>
    <w:rPr>
      <w:b/>
      <w:bCs/>
      <w:color w:val="auto"/>
      <w:sz w:val="18"/>
      <w:szCs w:val="18"/>
    </w:rPr>
  </w:style>
  <w:style w:type="paragraph" w:customStyle="1" w:styleId="Credit">
    <w:name w:val="Credit"/>
    <w:basedOn w:val="Caption"/>
    <w:next w:val="Normal"/>
    <w:rsid w:val="002A1FC0"/>
    <w:pPr>
      <w:spacing w:after="240"/>
    </w:pPr>
    <w:rPr>
      <w:b w:val="0"/>
      <w:noProof/>
    </w:rPr>
  </w:style>
  <w:style w:type="paragraph" w:customStyle="1" w:styleId="NormalFirstPara">
    <w:name w:val="NormalFirstPara"/>
    <w:basedOn w:val="Normal"/>
    <w:rsid w:val="002A1FC0"/>
    <w:rPr>
      <w:noProof/>
      <w:color w:val="A5A5A5" w:themeColor="accent3"/>
    </w:rPr>
  </w:style>
  <w:style w:type="paragraph" w:customStyle="1" w:styleId="NormalIndent">
    <w:name w:val="NormalIndent"/>
    <w:basedOn w:val="Normal"/>
    <w:rsid w:val="002A1FC0"/>
    <w:pPr>
      <w:ind w:left="357"/>
    </w:pPr>
  </w:style>
  <w:style w:type="paragraph" w:styleId="BalloonText">
    <w:name w:val="Balloon Text"/>
    <w:basedOn w:val="Normal"/>
    <w:link w:val="BalloonTextChar"/>
    <w:uiPriority w:val="99"/>
    <w:semiHidden/>
    <w:unhideWhenUsed/>
    <w:rsid w:val="002A1FC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FC0"/>
    <w:rPr>
      <w:rFonts w:ascii="Tahoma" w:eastAsia="Times New Roman" w:hAnsi="Tahoma" w:cs="Tahoma"/>
      <w:color w:val="000000"/>
      <w:sz w:val="16"/>
      <w:szCs w:val="16"/>
    </w:rPr>
  </w:style>
  <w:style w:type="paragraph" w:customStyle="1" w:styleId="SectionTitle">
    <w:name w:val="SectionTitle"/>
    <w:basedOn w:val="Normal"/>
    <w:next w:val="Normal"/>
    <w:rsid w:val="002A1FC0"/>
    <w:pPr>
      <w:jc w:val="center"/>
    </w:pPr>
    <w:rPr>
      <w:b/>
      <w:sz w:val="40"/>
    </w:rPr>
  </w:style>
  <w:style w:type="paragraph" w:customStyle="1" w:styleId="SectionSubtitle">
    <w:name w:val="SectionSubtitle"/>
    <w:basedOn w:val="Normal"/>
    <w:rsid w:val="002A1FC0"/>
    <w:pPr>
      <w:spacing w:after="0"/>
      <w:jc w:val="center"/>
    </w:pPr>
    <w:rPr>
      <w:sz w:val="32"/>
    </w:rPr>
  </w:style>
  <w:style w:type="paragraph" w:customStyle="1" w:styleId="QuoteNumberList">
    <w:name w:val="QuoteNumberList"/>
    <w:basedOn w:val="Quote"/>
    <w:rsid w:val="002A1FC0"/>
    <w:pPr>
      <w:ind w:left="1117" w:hanging="397"/>
    </w:pPr>
    <w:rPr>
      <w:noProof/>
    </w:rPr>
  </w:style>
  <w:style w:type="paragraph" w:customStyle="1" w:styleId="QuoteBullet">
    <w:name w:val="QuoteBullet"/>
    <w:basedOn w:val="Quote"/>
    <w:rsid w:val="002A1FC0"/>
    <w:pPr>
      <w:numPr>
        <w:numId w:val="20"/>
      </w:numPr>
      <w:ind w:left="1117" w:hanging="397"/>
    </w:pPr>
    <w:rPr>
      <w:noProof/>
    </w:rPr>
  </w:style>
  <w:style w:type="paragraph" w:customStyle="1" w:styleId="BoxDash">
    <w:name w:val="BoxDash"/>
    <w:basedOn w:val="BoxBullet"/>
    <w:rsid w:val="002A1FC0"/>
    <w:pPr>
      <w:numPr>
        <w:numId w:val="7"/>
      </w:numPr>
    </w:pPr>
  </w:style>
  <w:style w:type="character" w:customStyle="1" w:styleId="CrossRef">
    <w:name w:val="CrossRef"/>
    <w:basedOn w:val="DefaultParagraphFont"/>
    <w:uiPriority w:val="1"/>
    <w:rsid w:val="002A1FC0"/>
    <w:rPr>
      <w:rFonts w:ascii="Calibri" w:hAnsi="Calibri"/>
      <w:b/>
      <w:noProof/>
      <w:color w:val="ED7D31" w:themeColor="accent2"/>
      <w:sz w:val="24"/>
    </w:rPr>
  </w:style>
  <w:style w:type="character" w:customStyle="1" w:styleId="StrongEmphasis0">
    <w:name w:val="StrongEmphasis"/>
    <w:basedOn w:val="DefaultParagraphFont"/>
    <w:rsid w:val="002A1FC0"/>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216"/>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pport@naps.org.a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file:///\\central.health\dfsuserenv\Users\User_18\evener\Desktop\visit%20https:\naps.org.au"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safetyandquality.gov.au"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ncascre.wordpress.com/" TargetMode="External"/><Relationship Id="rId10" Type="http://schemas.openxmlformats.org/officeDocument/2006/relationships/hyperlink" Target="http://www.safetyandquality.gov.a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naps.org.au"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02-Project%20resources\03-Templates%20and%20forms\01-Word%20templates\BT_basic-Calibri(12Mar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94E22-54BA-4845-993B-98C5CDA74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BT_basic-Calibri(12Mar13).dotx</Template>
  <TotalTime>0</TotalTime>
  <Pages>37</Pages>
  <Words>7251</Words>
  <Characters>44943</Characters>
  <Application>Microsoft Office Word</Application>
  <DocSecurity>4</DocSecurity>
  <Lines>374</Lines>
  <Paragraphs>104</Paragraphs>
  <ScaleCrop>false</ScaleCrop>
  <HeadingPairs>
    <vt:vector size="2" baseType="variant">
      <vt:variant>
        <vt:lpstr>Title</vt:lpstr>
      </vt:variant>
      <vt:variant>
        <vt:i4>1</vt:i4>
      </vt:variant>
    </vt:vector>
  </HeadingPairs>
  <TitlesOfParts>
    <vt:vector size="1" baseType="lpstr">
      <vt:lpstr>Antimicrobial prescribing and infections in Australian residential aged care facilities</vt:lpstr>
    </vt:vector>
  </TitlesOfParts>
  <Company>Dept Health And Ageing</Company>
  <LinksUpToDate>false</LinksUpToDate>
  <CharactersWithSpaces>52090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prescribing and infections in Australian residential aged care facilities</dc:title>
  <dc:subject>Infections and antimicrobial use in residential aged care facilities, Australia</dc:subject>
  <dc:creator>Australian Commission on Safety and Quality in Health Care</dc:creator>
  <cp:keywords>Biotext, antimicrobials, resistance, antimicrobial use, infections, residential aged care facilities</cp:keywords>
  <dc:description>Results of the 2015 Aged Care National Antimicrobial Prescribing Survey pilot, published in May 2016</dc:description>
  <cp:lastModifiedBy>MEADOWCROFT, Melissa</cp:lastModifiedBy>
  <cp:revision>2</cp:revision>
  <dcterms:created xsi:type="dcterms:W3CDTF">2016-06-20T04:09:00Z</dcterms:created>
  <dcterms:modified xsi:type="dcterms:W3CDTF">2016-06-20T04:09:00Z</dcterms:modified>
</cp:coreProperties>
</file>