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BFEB3" w14:textId="5F983A5C" w:rsidR="00803E53" w:rsidRPr="00414A6D" w:rsidRDefault="00803E53" w:rsidP="00D147A4">
      <w:pPr>
        <w:jc w:val="both"/>
        <w:rPr>
          <w:rFonts w:ascii="Arial" w:hAnsi="Arial" w:cs="Arial"/>
          <w:sz w:val="16"/>
          <w:szCs w:val="16"/>
        </w:rPr>
      </w:pPr>
      <w:bookmarkStart w:id="0" w:name="_GoBack"/>
      <w:bookmarkEnd w:id="0"/>
    </w:p>
    <w:p w14:paraId="68BA32CE" w14:textId="5483FCE3" w:rsidR="00803E53" w:rsidRPr="006F2E12" w:rsidRDefault="00803E53" w:rsidP="006F2E12">
      <w:pPr>
        <w:spacing w:before="20" w:after="60"/>
        <w:ind w:right="-85"/>
        <w:jc w:val="center"/>
        <w:rPr>
          <w:rFonts w:ascii="Arial" w:hAnsi="Arial" w:cs="Arial"/>
          <w:b/>
          <w:sz w:val="26"/>
          <w:szCs w:val="26"/>
        </w:rPr>
      </w:pPr>
      <w:r w:rsidRPr="006F2E12">
        <w:rPr>
          <w:rFonts w:ascii="Arial" w:hAnsi="Arial" w:cs="Arial"/>
          <w:b/>
          <w:i/>
          <w:sz w:val="26"/>
          <w:szCs w:val="26"/>
        </w:rPr>
        <w:t>Best-practice pricing and clinical quality information on hip fracture care</w:t>
      </w:r>
    </w:p>
    <w:p w14:paraId="6A525D7B" w14:textId="77777777" w:rsidR="008F1C35" w:rsidRPr="00414A6D" w:rsidRDefault="008F1C35" w:rsidP="003B14AB">
      <w:pPr>
        <w:spacing w:before="20" w:after="60"/>
        <w:ind w:right="-85"/>
        <w:jc w:val="both"/>
        <w:rPr>
          <w:rFonts w:ascii="Arial" w:hAnsi="Arial" w:cs="Arial"/>
          <w:b/>
          <w:sz w:val="21"/>
          <w:szCs w:val="21"/>
        </w:rPr>
      </w:pPr>
    </w:p>
    <w:p w14:paraId="71187BC9" w14:textId="77777777" w:rsidR="00940602" w:rsidRDefault="00361981" w:rsidP="00940602">
      <w:pPr>
        <w:pStyle w:val="TOC1"/>
        <w:jc w:val="both"/>
        <w:rPr>
          <w:rFonts w:asciiTheme="minorHAnsi" w:eastAsiaTheme="minorEastAsia" w:hAnsiTheme="minorHAnsi" w:cstheme="minorBidi"/>
          <w:b w:val="0"/>
          <w:bCs w:val="0"/>
          <w:szCs w:val="22"/>
          <w:lang w:val="en-AU" w:eastAsia="en-AU"/>
        </w:rPr>
      </w:pPr>
      <w:r w:rsidRPr="00764E39">
        <w:rPr>
          <w:rFonts w:cs="Arial"/>
        </w:rPr>
        <w:fldChar w:fldCharType="begin"/>
      </w:r>
      <w:r w:rsidRPr="00764E39">
        <w:rPr>
          <w:rFonts w:cs="Arial"/>
        </w:rPr>
        <w:instrText xml:space="preserve"> TOC \o "1-3" \h \z \u </w:instrText>
      </w:r>
      <w:r w:rsidRPr="00764E39">
        <w:rPr>
          <w:rFonts w:cs="Arial"/>
        </w:rPr>
        <w:fldChar w:fldCharType="separate"/>
      </w:r>
      <w:hyperlink w:anchor="_Toc426633796" w:history="1">
        <w:r w:rsidR="00940602" w:rsidRPr="00C301F5">
          <w:rPr>
            <w:rStyle w:val="Hyperlink"/>
          </w:rPr>
          <w:t>Executive Summary</w:t>
        </w:r>
        <w:r w:rsidR="00940602">
          <w:rPr>
            <w:webHidden/>
          </w:rPr>
          <w:tab/>
        </w:r>
        <w:r w:rsidR="00940602">
          <w:rPr>
            <w:webHidden/>
          </w:rPr>
          <w:fldChar w:fldCharType="begin"/>
        </w:r>
        <w:r w:rsidR="00940602">
          <w:rPr>
            <w:webHidden/>
          </w:rPr>
          <w:instrText xml:space="preserve"> PAGEREF _Toc426633796 \h </w:instrText>
        </w:r>
        <w:r w:rsidR="00940602">
          <w:rPr>
            <w:webHidden/>
          </w:rPr>
        </w:r>
        <w:r w:rsidR="00940602">
          <w:rPr>
            <w:webHidden/>
          </w:rPr>
          <w:fldChar w:fldCharType="separate"/>
        </w:r>
        <w:r w:rsidR="001E6291">
          <w:rPr>
            <w:webHidden/>
          </w:rPr>
          <w:t>iv</w:t>
        </w:r>
        <w:r w:rsidR="00940602">
          <w:rPr>
            <w:webHidden/>
          </w:rPr>
          <w:fldChar w:fldCharType="end"/>
        </w:r>
      </w:hyperlink>
    </w:p>
    <w:p w14:paraId="5351D26B"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797" w:history="1">
        <w:r w:rsidR="00940602" w:rsidRPr="00C301F5">
          <w:rPr>
            <w:rStyle w:val="Hyperlink"/>
          </w:rPr>
          <w:t>1.</w:t>
        </w:r>
        <w:r w:rsidR="00940602">
          <w:rPr>
            <w:rFonts w:asciiTheme="minorHAnsi" w:eastAsiaTheme="minorEastAsia" w:hAnsiTheme="minorHAnsi" w:cstheme="minorBidi"/>
            <w:b w:val="0"/>
            <w:bCs w:val="0"/>
            <w:szCs w:val="22"/>
            <w:lang w:val="en-AU" w:eastAsia="en-AU"/>
          </w:rPr>
          <w:tab/>
        </w:r>
        <w:r w:rsidR="00940602" w:rsidRPr="00C301F5">
          <w:rPr>
            <w:rStyle w:val="Hyperlink"/>
          </w:rPr>
          <w:t>Introduction</w:t>
        </w:r>
        <w:r w:rsidR="00940602">
          <w:rPr>
            <w:webHidden/>
          </w:rPr>
          <w:tab/>
        </w:r>
        <w:r w:rsidR="00940602">
          <w:rPr>
            <w:webHidden/>
          </w:rPr>
          <w:fldChar w:fldCharType="begin"/>
        </w:r>
        <w:r w:rsidR="00940602">
          <w:rPr>
            <w:webHidden/>
          </w:rPr>
          <w:instrText xml:space="preserve"> PAGEREF _Toc426633797 \h </w:instrText>
        </w:r>
        <w:r w:rsidR="00940602">
          <w:rPr>
            <w:webHidden/>
          </w:rPr>
        </w:r>
        <w:r w:rsidR="00940602">
          <w:rPr>
            <w:webHidden/>
          </w:rPr>
          <w:fldChar w:fldCharType="separate"/>
        </w:r>
        <w:r w:rsidR="001E6291">
          <w:rPr>
            <w:webHidden/>
          </w:rPr>
          <w:t>1</w:t>
        </w:r>
        <w:r w:rsidR="00940602">
          <w:rPr>
            <w:webHidden/>
          </w:rPr>
          <w:fldChar w:fldCharType="end"/>
        </w:r>
      </w:hyperlink>
    </w:p>
    <w:p w14:paraId="05022B37"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798" w:history="1">
        <w:r w:rsidR="00940602" w:rsidRPr="00C301F5">
          <w:rPr>
            <w:rStyle w:val="Hyperlink"/>
          </w:rPr>
          <w:t>2.</w:t>
        </w:r>
        <w:r w:rsidR="00940602">
          <w:rPr>
            <w:rFonts w:asciiTheme="minorHAnsi" w:eastAsiaTheme="minorEastAsia" w:hAnsiTheme="minorHAnsi" w:cstheme="minorBidi"/>
            <w:b w:val="0"/>
            <w:bCs w:val="0"/>
            <w:szCs w:val="22"/>
            <w:lang w:val="en-AU" w:eastAsia="en-AU"/>
          </w:rPr>
          <w:tab/>
        </w:r>
        <w:r w:rsidR="00940602" w:rsidRPr="00C301F5">
          <w:rPr>
            <w:rStyle w:val="Hyperlink"/>
          </w:rPr>
          <w:t>Background</w:t>
        </w:r>
        <w:r w:rsidR="00940602">
          <w:rPr>
            <w:webHidden/>
          </w:rPr>
          <w:tab/>
        </w:r>
        <w:r w:rsidR="00940602">
          <w:rPr>
            <w:webHidden/>
          </w:rPr>
          <w:fldChar w:fldCharType="begin"/>
        </w:r>
        <w:r w:rsidR="00940602">
          <w:rPr>
            <w:webHidden/>
          </w:rPr>
          <w:instrText xml:space="preserve"> PAGEREF _Toc426633798 \h </w:instrText>
        </w:r>
        <w:r w:rsidR="00940602">
          <w:rPr>
            <w:webHidden/>
          </w:rPr>
        </w:r>
        <w:r w:rsidR="00940602">
          <w:rPr>
            <w:webHidden/>
          </w:rPr>
          <w:fldChar w:fldCharType="separate"/>
        </w:r>
        <w:r w:rsidR="001E6291">
          <w:rPr>
            <w:webHidden/>
          </w:rPr>
          <w:t>2</w:t>
        </w:r>
        <w:r w:rsidR="00940602">
          <w:rPr>
            <w:webHidden/>
          </w:rPr>
          <w:fldChar w:fldCharType="end"/>
        </w:r>
      </w:hyperlink>
    </w:p>
    <w:p w14:paraId="3F409660"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799" w:history="1">
        <w:r w:rsidR="00940602" w:rsidRPr="00C301F5">
          <w:rPr>
            <w:rStyle w:val="Hyperlink"/>
            <w:noProof/>
          </w:rPr>
          <w:t>2.1 Activity Based Funding overview</w:t>
        </w:r>
        <w:r w:rsidR="00940602">
          <w:rPr>
            <w:noProof/>
            <w:webHidden/>
          </w:rPr>
          <w:tab/>
        </w:r>
        <w:r w:rsidR="00940602">
          <w:rPr>
            <w:noProof/>
            <w:webHidden/>
          </w:rPr>
          <w:fldChar w:fldCharType="begin"/>
        </w:r>
        <w:r w:rsidR="00940602">
          <w:rPr>
            <w:noProof/>
            <w:webHidden/>
          </w:rPr>
          <w:instrText xml:space="preserve"> PAGEREF _Toc426633799 \h </w:instrText>
        </w:r>
        <w:r w:rsidR="00940602">
          <w:rPr>
            <w:noProof/>
            <w:webHidden/>
          </w:rPr>
        </w:r>
        <w:r w:rsidR="00940602">
          <w:rPr>
            <w:noProof/>
            <w:webHidden/>
          </w:rPr>
          <w:fldChar w:fldCharType="separate"/>
        </w:r>
        <w:r w:rsidR="001E6291">
          <w:rPr>
            <w:noProof/>
            <w:webHidden/>
          </w:rPr>
          <w:t>2</w:t>
        </w:r>
        <w:r w:rsidR="00940602">
          <w:rPr>
            <w:noProof/>
            <w:webHidden/>
          </w:rPr>
          <w:fldChar w:fldCharType="end"/>
        </w:r>
      </w:hyperlink>
    </w:p>
    <w:p w14:paraId="2BD5BFF6"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0" w:history="1">
        <w:r w:rsidR="00940602" w:rsidRPr="00C301F5">
          <w:rPr>
            <w:rStyle w:val="Hyperlink"/>
            <w:noProof/>
          </w:rPr>
          <w:t>2.2 Joint Working Party between IHPA and the Commission</w:t>
        </w:r>
        <w:r w:rsidR="00940602">
          <w:rPr>
            <w:noProof/>
            <w:webHidden/>
          </w:rPr>
          <w:tab/>
        </w:r>
        <w:r w:rsidR="00940602">
          <w:rPr>
            <w:noProof/>
            <w:webHidden/>
          </w:rPr>
          <w:fldChar w:fldCharType="begin"/>
        </w:r>
        <w:r w:rsidR="00940602">
          <w:rPr>
            <w:noProof/>
            <w:webHidden/>
          </w:rPr>
          <w:instrText xml:space="preserve"> PAGEREF _Toc426633800 \h </w:instrText>
        </w:r>
        <w:r w:rsidR="00940602">
          <w:rPr>
            <w:noProof/>
            <w:webHidden/>
          </w:rPr>
        </w:r>
        <w:r w:rsidR="00940602">
          <w:rPr>
            <w:noProof/>
            <w:webHidden/>
          </w:rPr>
          <w:fldChar w:fldCharType="separate"/>
        </w:r>
        <w:r w:rsidR="001E6291">
          <w:rPr>
            <w:noProof/>
            <w:webHidden/>
          </w:rPr>
          <w:t>2</w:t>
        </w:r>
        <w:r w:rsidR="00940602">
          <w:rPr>
            <w:noProof/>
            <w:webHidden/>
          </w:rPr>
          <w:fldChar w:fldCharType="end"/>
        </w:r>
      </w:hyperlink>
    </w:p>
    <w:p w14:paraId="4232071A"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1" w:history="1">
        <w:r w:rsidR="00940602" w:rsidRPr="00C301F5">
          <w:rPr>
            <w:rStyle w:val="Hyperlink"/>
            <w:noProof/>
          </w:rPr>
          <w:t>2.3 Best-practice pricing principles</w:t>
        </w:r>
        <w:r w:rsidR="00940602">
          <w:rPr>
            <w:noProof/>
            <w:webHidden/>
          </w:rPr>
          <w:tab/>
        </w:r>
        <w:r w:rsidR="00940602">
          <w:rPr>
            <w:noProof/>
            <w:webHidden/>
          </w:rPr>
          <w:fldChar w:fldCharType="begin"/>
        </w:r>
        <w:r w:rsidR="00940602">
          <w:rPr>
            <w:noProof/>
            <w:webHidden/>
          </w:rPr>
          <w:instrText xml:space="preserve"> PAGEREF _Toc426633801 \h </w:instrText>
        </w:r>
        <w:r w:rsidR="00940602">
          <w:rPr>
            <w:noProof/>
            <w:webHidden/>
          </w:rPr>
        </w:r>
        <w:r w:rsidR="00940602">
          <w:rPr>
            <w:noProof/>
            <w:webHidden/>
          </w:rPr>
          <w:fldChar w:fldCharType="separate"/>
        </w:r>
        <w:r w:rsidR="001E6291">
          <w:rPr>
            <w:noProof/>
            <w:webHidden/>
          </w:rPr>
          <w:t>3</w:t>
        </w:r>
        <w:r w:rsidR="00940602">
          <w:rPr>
            <w:noProof/>
            <w:webHidden/>
          </w:rPr>
          <w:fldChar w:fldCharType="end"/>
        </w:r>
      </w:hyperlink>
    </w:p>
    <w:p w14:paraId="144735E8"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802" w:history="1">
        <w:r w:rsidR="00940602" w:rsidRPr="00C301F5">
          <w:rPr>
            <w:rStyle w:val="Hyperlink"/>
          </w:rPr>
          <w:t>3.</w:t>
        </w:r>
        <w:r w:rsidR="00940602">
          <w:rPr>
            <w:rFonts w:asciiTheme="minorHAnsi" w:eastAsiaTheme="minorEastAsia" w:hAnsiTheme="minorHAnsi" w:cstheme="minorBidi"/>
            <w:b w:val="0"/>
            <w:bCs w:val="0"/>
            <w:szCs w:val="22"/>
            <w:lang w:val="en-AU" w:eastAsia="en-AU"/>
          </w:rPr>
          <w:tab/>
        </w:r>
        <w:r w:rsidR="00940602" w:rsidRPr="00C301F5">
          <w:rPr>
            <w:rStyle w:val="Hyperlink"/>
          </w:rPr>
          <w:t>Best-practice in hip fracture care: national consensus</w:t>
        </w:r>
        <w:r w:rsidR="00940602">
          <w:rPr>
            <w:webHidden/>
          </w:rPr>
          <w:tab/>
        </w:r>
        <w:r w:rsidR="00940602">
          <w:rPr>
            <w:webHidden/>
          </w:rPr>
          <w:fldChar w:fldCharType="begin"/>
        </w:r>
        <w:r w:rsidR="00940602">
          <w:rPr>
            <w:webHidden/>
          </w:rPr>
          <w:instrText xml:space="preserve"> PAGEREF _Toc426633802 \h </w:instrText>
        </w:r>
        <w:r w:rsidR="00940602">
          <w:rPr>
            <w:webHidden/>
          </w:rPr>
        </w:r>
        <w:r w:rsidR="00940602">
          <w:rPr>
            <w:webHidden/>
          </w:rPr>
          <w:fldChar w:fldCharType="separate"/>
        </w:r>
        <w:r w:rsidR="001E6291">
          <w:rPr>
            <w:webHidden/>
          </w:rPr>
          <w:t>6</w:t>
        </w:r>
        <w:r w:rsidR="00940602">
          <w:rPr>
            <w:webHidden/>
          </w:rPr>
          <w:fldChar w:fldCharType="end"/>
        </w:r>
      </w:hyperlink>
    </w:p>
    <w:p w14:paraId="0AEBC75F"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3" w:history="1">
        <w:r w:rsidR="00940602" w:rsidRPr="00C301F5">
          <w:rPr>
            <w:rStyle w:val="Hyperlink"/>
            <w:noProof/>
          </w:rPr>
          <w:t>3.1 The Australian and New Zealand Guideline for Hip Fracture Care</w:t>
        </w:r>
        <w:r w:rsidR="00940602">
          <w:rPr>
            <w:noProof/>
            <w:webHidden/>
          </w:rPr>
          <w:tab/>
        </w:r>
        <w:r w:rsidR="00940602">
          <w:rPr>
            <w:noProof/>
            <w:webHidden/>
          </w:rPr>
          <w:fldChar w:fldCharType="begin"/>
        </w:r>
        <w:r w:rsidR="00940602">
          <w:rPr>
            <w:noProof/>
            <w:webHidden/>
          </w:rPr>
          <w:instrText xml:space="preserve"> PAGEREF _Toc426633803 \h </w:instrText>
        </w:r>
        <w:r w:rsidR="00940602">
          <w:rPr>
            <w:noProof/>
            <w:webHidden/>
          </w:rPr>
        </w:r>
        <w:r w:rsidR="00940602">
          <w:rPr>
            <w:noProof/>
            <w:webHidden/>
          </w:rPr>
          <w:fldChar w:fldCharType="separate"/>
        </w:r>
        <w:r w:rsidR="001E6291">
          <w:rPr>
            <w:noProof/>
            <w:webHidden/>
          </w:rPr>
          <w:t>6</w:t>
        </w:r>
        <w:r w:rsidR="00940602">
          <w:rPr>
            <w:noProof/>
            <w:webHidden/>
          </w:rPr>
          <w:fldChar w:fldCharType="end"/>
        </w:r>
      </w:hyperlink>
    </w:p>
    <w:p w14:paraId="124C42EF"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4" w:history="1">
        <w:r w:rsidR="00940602" w:rsidRPr="00C301F5">
          <w:rPr>
            <w:rStyle w:val="Hyperlink"/>
            <w:noProof/>
          </w:rPr>
          <w:t>3.2 The National Hip Fracture CCS</w:t>
        </w:r>
        <w:r w:rsidR="00940602">
          <w:rPr>
            <w:noProof/>
            <w:webHidden/>
          </w:rPr>
          <w:tab/>
        </w:r>
        <w:r w:rsidR="00940602">
          <w:rPr>
            <w:noProof/>
            <w:webHidden/>
          </w:rPr>
          <w:fldChar w:fldCharType="begin"/>
        </w:r>
        <w:r w:rsidR="00940602">
          <w:rPr>
            <w:noProof/>
            <w:webHidden/>
          </w:rPr>
          <w:instrText xml:space="preserve"> PAGEREF _Toc426633804 \h </w:instrText>
        </w:r>
        <w:r w:rsidR="00940602">
          <w:rPr>
            <w:noProof/>
            <w:webHidden/>
          </w:rPr>
        </w:r>
        <w:r w:rsidR="00940602">
          <w:rPr>
            <w:noProof/>
            <w:webHidden/>
          </w:rPr>
          <w:fldChar w:fldCharType="separate"/>
        </w:r>
        <w:r w:rsidR="001E6291">
          <w:rPr>
            <w:noProof/>
            <w:webHidden/>
          </w:rPr>
          <w:t>6</w:t>
        </w:r>
        <w:r w:rsidR="00940602">
          <w:rPr>
            <w:noProof/>
            <w:webHidden/>
          </w:rPr>
          <w:fldChar w:fldCharType="end"/>
        </w:r>
      </w:hyperlink>
    </w:p>
    <w:p w14:paraId="12B07FE0"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805" w:history="1">
        <w:r w:rsidR="00940602" w:rsidRPr="00C301F5">
          <w:rPr>
            <w:rStyle w:val="Hyperlink"/>
          </w:rPr>
          <w:t>4.</w:t>
        </w:r>
        <w:r w:rsidR="00940602">
          <w:rPr>
            <w:rFonts w:asciiTheme="minorHAnsi" w:eastAsiaTheme="minorEastAsia" w:hAnsiTheme="minorHAnsi" w:cstheme="minorBidi"/>
            <w:b w:val="0"/>
            <w:bCs w:val="0"/>
            <w:szCs w:val="22"/>
            <w:lang w:val="en-AU" w:eastAsia="en-AU"/>
          </w:rPr>
          <w:tab/>
        </w:r>
        <w:r w:rsidR="00940602" w:rsidRPr="00C301F5">
          <w:rPr>
            <w:rStyle w:val="Hyperlink"/>
          </w:rPr>
          <w:t>Designing a national best-practice pricing model for hip fracture care</w:t>
        </w:r>
        <w:r w:rsidR="00940602">
          <w:rPr>
            <w:webHidden/>
          </w:rPr>
          <w:tab/>
        </w:r>
        <w:r w:rsidR="00940602">
          <w:rPr>
            <w:webHidden/>
          </w:rPr>
          <w:fldChar w:fldCharType="begin"/>
        </w:r>
        <w:r w:rsidR="00940602">
          <w:rPr>
            <w:webHidden/>
          </w:rPr>
          <w:instrText xml:space="preserve"> PAGEREF _Toc426633805 \h </w:instrText>
        </w:r>
        <w:r w:rsidR="00940602">
          <w:rPr>
            <w:webHidden/>
          </w:rPr>
        </w:r>
        <w:r w:rsidR="00940602">
          <w:rPr>
            <w:webHidden/>
          </w:rPr>
          <w:fldChar w:fldCharType="separate"/>
        </w:r>
        <w:r w:rsidR="001E6291">
          <w:rPr>
            <w:webHidden/>
          </w:rPr>
          <w:t>7</w:t>
        </w:r>
        <w:r w:rsidR="00940602">
          <w:rPr>
            <w:webHidden/>
          </w:rPr>
          <w:fldChar w:fldCharType="end"/>
        </w:r>
      </w:hyperlink>
    </w:p>
    <w:p w14:paraId="18267EEE"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6" w:history="1">
        <w:r w:rsidR="00940602" w:rsidRPr="00C301F5">
          <w:rPr>
            <w:rStyle w:val="Hyperlink"/>
            <w:noProof/>
          </w:rPr>
          <w:t>4.1 Defining the target separations and episodes of care</w:t>
        </w:r>
        <w:r w:rsidR="00940602">
          <w:rPr>
            <w:noProof/>
            <w:webHidden/>
          </w:rPr>
          <w:tab/>
        </w:r>
        <w:r w:rsidR="00940602">
          <w:rPr>
            <w:noProof/>
            <w:webHidden/>
          </w:rPr>
          <w:fldChar w:fldCharType="begin"/>
        </w:r>
        <w:r w:rsidR="00940602">
          <w:rPr>
            <w:noProof/>
            <w:webHidden/>
          </w:rPr>
          <w:instrText xml:space="preserve"> PAGEREF _Toc426633806 \h </w:instrText>
        </w:r>
        <w:r w:rsidR="00940602">
          <w:rPr>
            <w:noProof/>
            <w:webHidden/>
          </w:rPr>
        </w:r>
        <w:r w:rsidR="00940602">
          <w:rPr>
            <w:noProof/>
            <w:webHidden/>
          </w:rPr>
          <w:fldChar w:fldCharType="separate"/>
        </w:r>
        <w:r w:rsidR="001E6291">
          <w:rPr>
            <w:noProof/>
            <w:webHidden/>
          </w:rPr>
          <w:t>7</w:t>
        </w:r>
        <w:r w:rsidR="00940602">
          <w:rPr>
            <w:noProof/>
            <w:webHidden/>
          </w:rPr>
          <w:fldChar w:fldCharType="end"/>
        </w:r>
      </w:hyperlink>
    </w:p>
    <w:p w14:paraId="17E0400A"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7" w:history="1">
        <w:r w:rsidR="00940602" w:rsidRPr="00C301F5">
          <w:rPr>
            <w:rStyle w:val="Hyperlink"/>
            <w:noProof/>
          </w:rPr>
          <w:t>4.2 Defining best-practice hip fracture care for the purposes of pricing</w:t>
        </w:r>
        <w:r w:rsidR="00940602">
          <w:rPr>
            <w:noProof/>
            <w:webHidden/>
          </w:rPr>
          <w:tab/>
        </w:r>
        <w:r w:rsidR="00940602">
          <w:rPr>
            <w:noProof/>
            <w:webHidden/>
          </w:rPr>
          <w:fldChar w:fldCharType="begin"/>
        </w:r>
        <w:r w:rsidR="00940602">
          <w:rPr>
            <w:noProof/>
            <w:webHidden/>
          </w:rPr>
          <w:instrText xml:space="preserve"> PAGEREF _Toc426633807 \h </w:instrText>
        </w:r>
        <w:r w:rsidR="00940602">
          <w:rPr>
            <w:noProof/>
            <w:webHidden/>
          </w:rPr>
        </w:r>
        <w:r w:rsidR="00940602">
          <w:rPr>
            <w:noProof/>
            <w:webHidden/>
          </w:rPr>
          <w:fldChar w:fldCharType="separate"/>
        </w:r>
        <w:r w:rsidR="001E6291">
          <w:rPr>
            <w:noProof/>
            <w:webHidden/>
          </w:rPr>
          <w:t>8</w:t>
        </w:r>
        <w:r w:rsidR="00940602">
          <w:rPr>
            <w:noProof/>
            <w:webHidden/>
          </w:rPr>
          <w:fldChar w:fldCharType="end"/>
        </w:r>
      </w:hyperlink>
    </w:p>
    <w:p w14:paraId="11056F5E"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08" w:history="1">
        <w:r w:rsidR="00940602" w:rsidRPr="00C301F5">
          <w:rPr>
            <w:rStyle w:val="Hyperlink"/>
            <w:noProof/>
          </w:rPr>
          <w:t>4.3 Costing and pricing best-practice hip fracture care</w:t>
        </w:r>
        <w:r w:rsidR="00940602">
          <w:rPr>
            <w:noProof/>
            <w:webHidden/>
          </w:rPr>
          <w:tab/>
        </w:r>
        <w:r w:rsidR="00940602">
          <w:rPr>
            <w:noProof/>
            <w:webHidden/>
          </w:rPr>
          <w:fldChar w:fldCharType="begin"/>
        </w:r>
        <w:r w:rsidR="00940602">
          <w:rPr>
            <w:noProof/>
            <w:webHidden/>
          </w:rPr>
          <w:instrText xml:space="preserve"> PAGEREF _Toc426633808 \h </w:instrText>
        </w:r>
        <w:r w:rsidR="00940602">
          <w:rPr>
            <w:noProof/>
            <w:webHidden/>
          </w:rPr>
        </w:r>
        <w:r w:rsidR="00940602">
          <w:rPr>
            <w:noProof/>
            <w:webHidden/>
          </w:rPr>
          <w:fldChar w:fldCharType="separate"/>
        </w:r>
        <w:r w:rsidR="001E6291">
          <w:rPr>
            <w:noProof/>
            <w:webHidden/>
          </w:rPr>
          <w:t>11</w:t>
        </w:r>
        <w:r w:rsidR="00940602">
          <w:rPr>
            <w:noProof/>
            <w:webHidden/>
          </w:rPr>
          <w:fldChar w:fldCharType="end"/>
        </w:r>
      </w:hyperlink>
    </w:p>
    <w:p w14:paraId="188E1150"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809" w:history="1">
        <w:r w:rsidR="00940602" w:rsidRPr="00C301F5">
          <w:rPr>
            <w:rStyle w:val="Hyperlink"/>
          </w:rPr>
          <w:t>5.</w:t>
        </w:r>
        <w:r w:rsidR="00940602">
          <w:rPr>
            <w:rFonts w:asciiTheme="minorHAnsi" w:eastAsiaTheme="minorEastAsia" w:hAnsiTheme="minorHAnsi" w:cstheme="minorBidi"/>
            <w:b w:val="0"/>
            <w:bCs w:val="0"/>
            <w:szCs w:val="22"/>
            <w:lang w:val="en-AU" w:eastAsia="en-AU"/>
          </w:rPr>
          <w:tab/>
        </w:r>
        <w:r w:rsidR="00940602" w:rsidRPr="00C301F5">
          <w:rPr>
            <w:rStyle w:val="Hyperlink"/>
          </w:rPr>
          <w:t>Providing quality data to drive improvement</w:t>
        </w:r>
        <w:r w:rsidR="00940602">
          <w:rPr>
            <w:webHidden/>
          </w:rPr>
          <w:tab/>
        </w:r>
        <w:r w:rsidR="00940602">
          <w:rPr>
            <w:webHidden/>
          </w:rPr>
          <w:fldChar w:fldCharType="begin"/>
        </w:r>
        <w:r w:rsidR="00940602">
          <w:rPr>
            <w:webHidden/>
          </w:rPr>
          <w:instrText xml:space="preserve"> PAGEREF _Toc426633809 \h </w:instrText>
        </w:r>
        <w:r w:rsidR="00940602">
          <w:rPr>
            <w:webHidden/>
          </w:rPr>
        </w:r>
        <w:r w:rsidR="00940602">
          <w:rPr>
            <w:webHidden/>
          </w:rPr>
          <w:fldChar w:fldCharType="separate"/>
        </w:r>
        <w:r w:rsidR="001E6291">
          <w:rPr>
            <w:webHidden/>
          </w:rPr>
          <w:t>13</w:t>
        </w:r>
        <w:r w:rsidR="00940602">
          <w:rPr>
            <w:webHidden/>
          </w:rPr>
          <w:fldChar w:fldCharType="end"/>
        </w:r>
      </w:hyperlink>
    </w:p>
    <w:p w14:paraId="1D3AEB54"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0" w:history="1">
        <w:r w:rsidR="00940602" w:rsidRPr="00C301F5">
          <w:rPr>
            <w:rStyle w:val="Hyperlink"/>
            <w:noProof/>
          </w:rPr>
          <w:t>5.1 What information is needed to support quality improvement and payment determinations?</w:t>
        </w:r>
        <w:r w:rsidR="00940602">
          <w:rPr>
            <w:noProof/>
            <w:webHidden/>
          </w:rPr>
          <w:tab/>
        </w:r>
        <w:r w:rsidR="00940602">
          <w:rPr>
            <w:noProof/>
            <w:webHidden/>
          </w:rPr>
          <w:fldChar w:fldCharType="begin"/>
        </w:r>
        <w:r w:rsidR="00940602">
          <w:rPr>
            <w:noProof/>
            <w:webHidden/>
          </w:rPr>
          <w:instrText xml:space="preserve"> PAGEREF _Toc426633810 \h </w:instrText>
        </w:r>
        <w:r w:rsidR="00940602">
          <w:rPr>
            <w:noProof/>
            <w:webHidden/>
          </w:rPr>
        </w:r>
        <w:r w:rsidR="00940602">
          <w:rPr>
            <w:noProof/>
            <w:webHidden/>
          </w:rPr>
          <w:fldChar w:fldCharType="separate"/>
        </w:r>
        <w:r w:rsidR="001E6291">
          <w:rPr>
            <w:noProof/>
            <w:webHidden/>
          </w:rPr>
          <w:t>13</w:t>
        </w:r>
        <w:r w:rsidR="00940602">
          <w:rPr>
            <w:noProof/>
            <w:webHidden/>
          </w:rPr>
          <w:fldChar w:fldCharType="end"/>
        </w:r>
      </w:hyperlink>
    </w:p>
    <w:p w14:paraId="7862B101"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1" w:history="1">
        <w:r w:rsidR="00940602" w:rsidRPr="00C301F5">
          <w:rPr>
            <w:rStyle w:val="Hyperlink"/>
            <w:noProof/>
          </w:rPr>
          <w:t>5.2</w:t>
        </w:r>
        <w:r w:rsidR="00940602">
          <w:rPr>
            <w:rFonts w:asciiTheme="minorHAnsi" w:eastAsiaTheme="minorEastAsia" w:hAnsiTheme="minorHAnsi" w:cstheme="minorBidi"/>
            <w:iCs w:val="0"/>
            <w:noProof/>
            <w:sz w:val="22"/>
            <w:szCs w:val="22"/>
            <w:lang w:val="en-AU" w:eastAsia="en-AU"/>
          </w:rPr>
          <w:tab/>
        </w:r>
        <w:r w:rsidR="00940602" w:rsidRPr="00C301F5">
          <w:rPr>
            <w:rStyle w:val="Hyperlink"/>
            <w:noProof/>
          </w:rPr>
          <w:t>The audience and timing of providing quality improvement information</w:t>
        </w:r>
        <w:r w:rsidR="00940602">
          <w:rPr>
            <w:noProof/>
            <w:webHidden/>
          </w:rPr>
          <w:tab/>
        </w:r>
        <w:r w:rsidR="00940602">
          <w:rPr>
            <w:noProof/>
            <w:webHidden/>
          </w:rPr>
          <w:fldChar w:fldCharType="begin"/>
        </w:r>
        <w:r w:rsidR="00940602">
          <w:rPr>
            <w:noProof/>
            <w:webHidden/>
          </w:rPr>
          <w:instrText xml:space="preserve"> PAGEREF _Toc426633811 \h </w:instrText>
        </w:r>
        <w:r w:rsidR="00940602">
          <w:rPr>
            <w:noProof/>
            <w:webHidden/>
          </w:rPr>
        </w:r>
        <w:r w:rsidR="00940602">
          <w:rPr>
            <w:noProof/>
            <w:webHidden/>
          </w:rPr>
          <w:fldChar w:fldCharType="separate"/>
        </w:r>
        <w:r w:rsidR="001E6291">
          <w:rPr>
            <w:noProof/>
            <w:webHidden/>
          </w:rPr>
          <w:t>15</w:t>
        </w:r>
        <w:r w:rsidR="00940602">
          <w:rPr>
            <w:noProof/>
            <w:webHidden/>
          </w:rPr>
          <w:fldChar w:fldCharType="end"/>
        </w:r>
      </w:hyperlink>
    </w:p>
    <w:p w14:paraId="7D2D7C1B"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812" w:history="1">
        <w:r w:rsidR="00940602" w:rsidRPr="00C301F5">
          <w:rPr>
            <w:rStyle w:val="Hyperlink"/>
          </w:rPr>
          <w:t>6.</w:t>
        </w:r>
        <w:r w:rsidR="00940602">
          <w:rPr>
            <w:rFonts w:asciiTheme="minorHAnsi" w:eastAsiaTheme="minorEastAsia" w:hAnsiTheme="minorHAnsi" w:cstheme="minorBidi"/>
            <w:b w:val="0"/>
            <w:bCs w:val="0"/>
            <w:szCs w:val="22"/>
            <w:lang w:val="en-AU" w:eastAsia="en-AU"/>
          </w:rPr>
          <w:tab/>
        </w:r>
        <w:r w:rsidR="00940602" w:rsidRPr="00C301F5">
          <w:rPr>
            <w:rStyle w:val="Hyperlink"/>
          </w:rPr>
          <w:t>Preferred initial national model for best-practice pricing of hip fracture care</w:t>
        </w:r>
        <w:r w:rsidR="00940602">
          <w:rPr>
            <w:webHidden/>
          </w:rPr>
          <w:tab/>
        </w:r>
        <w:r w:rsidR="00940602">
          <w:rPr>
            <w:webHidden/>
          </w:rPr>
          <w:fldChar w:fldCharType="begin"/>
        </w:r>
        <w:r w:rsidR="00940602">
          <w:rPr>
            <w:webHidden/>
          </w:rPr>
          <w:instrText xml:space="preserve"> PAGEREF _Toc426633812 \h </w:instrText>
        </w:r>
        <w:r w:rsidR="00940602">
          <w:rPr>
            <w:webHidden/>
          </w:rPr>
        </w:r>
        <w:r w:rsidR="00940602">
          <w:rPr>
            <w:webHidden/>
          </w:rPr>
          <w:fldChar w:fldCharType="separate"/>
        </w:r>
        <w:r w:rsidR="001E6291">
          <w:rPr>
            <w:webHidden/>
          </w:rPr>
          <w:t>16</w:t>
        </w:r>
        <w:r w:rsidR="00940602">
          <w:rPr>
            <w:webHidden/>
          </w:rPr>
          <w:fldChar w:fldCharType="end"/>
        </w:r>
      </w:hyperlink>
    </w:p>
    <w:p w14:paraId="54FF04AE"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813" w:history="1">
        <w:r w:rsidR="00940602" w:rsidRPr="00C301F5">
          <w:rPr>
            <w:rStyle w:val="Hyperlink"/>
          </w:rPr>
          <w:t>7.</w:t>
        </w:r>
        <w:r w:rsidR="00940602">
          <w:rPr>
            <w:rFonts w:asciiTheme="minorHAnsi" w:eastAsiaTheme="minorEastAsia" w:hAnsiTheme="minorHAnsi" w:cstheme="minorBidi"/>
            <w:b w:val="0"/>
            <w:bCs w:val="0"/>
            <w:szCs w:val="22"/>
            <w:lang w:val="en-AU" w:eastAsia="en-AU"/>
          </w:rPr>
          <w:tab/>
        </w:r>
        <w:r w:rsidR="00940602" w:rsidRPr="00C301F5">
          <w:rPr>
            <w:rStyle w:val="Hyperlink"/>
          </w:rPr>
          <w:t>Implementation approach</w:t>
        </w:r>
        <w:r w:rsidR="00940602">
          <w:rPr>
            <w:webHidden/>
          </w:rPr>
          <w:tab/>
        </w:r>
        <w:r w:rsidR="00940602">
          <w:rPr>
            <w:webHidden/>
          </w:rPr>
          <w:fldChar w:fldCharType="begin"/>
        </w:r>
        <w:r w:rsidR="00940602">
          <w:rPr>
            <w:webHidden/>
          </w:rPr>
          <w:instrText xml:space="preserve"> PAGEREF _Toc426633813 \h </w:instrText>
        </w:r>
        <w:r w:rsidR="00940602">
          <w:rPr>
            <w:webHidden/>
          </w:rPr>
        </w:r>
        <w:r w:rsidR="00940602">
          <w:rPr>
            <w:webHidden/>
          </w:rPr>
          <w:fldChar w:fldCharType="separate"/>
        </w:r>
        <w:r w:rsidR="001E6291">
          <w:rPr>
            <w:webHidden/>
          </w:rPr>
          <w:t>17</w:t>
        </w:r>
        <w:r w:rsidR="00940602">
          <w:rPr>
            <w:webHidden/>
          </w:rPr>
          <w:fldChar w:fldCharType="end"/>
        </w:r>
      </w:hyperlink>
    </w:p>
    <w:p w14:paraId="56635E34"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4" w:history="1">
        <w:r w:rsidR="00940602" w:rsidRPr="00C301F5">
          <w:rPr>
            <w:rStyle w:val="Hyperlink"/>
            <w:noProof/>
          </w:rPr>
          <w:t>7.1 Using existing data to support pricing and quality improvement</w:t>
        </w:r>
        <w:r w:rsidR="00940602">
          <w:rPr>
            <w:noProof/>
            <w:webHidden/>
          </w:rPr>
          <w:tab/>
        </w:r>
        <w:r w:rsidR="00940602">
          <w:rPr>
            <w:noProof/>
            <w:webHidden/>
          </w:rPr>
          <w:fldChar w:fldCharType="begin"/>
        </w:r>
        <w:r w:rsidR="00940602">
          <w:rPr>
            <w:noProof/>
            <w:webHidden/>
          </w:rPr>
          <w:instrText xml:space="preserve"> PAGEREF _Toc426633814 \h </w:instrText>
        </w:r>
        <w:r w:rsidR="00940602">
          <w:rPr>
            <w:noProof/>
            <w:webHidden/>
          </w:rPr>
        </w:r>
        <w:r w:rsidR="00940602">
          <w:rPr>
            <w:noProof/>
            <w:webHidden/>
          </w:rPr>
          <w:fldChar w:fldCharType="separate"/>
        </w:r>
        <w:r w:rsidR="001E6291">
          <w:rPr>
            <w:noProof/>
            <w:webHidden/>
          </w:rPr>
          <w:t>17</w:t>
        </w:r>
        <w:r w:rsidR="00940602">
          <w:rPr>
            <w:noProof/>
            <w:webHidden/>
          </w:rPr>
          <w:fldChar w:fldCharType="end"/>
        </w:r>
      </w:hyperlink>
    </w:p>
    <w:p w14:paraId="3D21C64F"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5" w:history="1">
        <w:r w:rsidR="00940602" w:rsidRPr="00C301F5">
          <w:rPr>
            <w:rStyle w:val="Hyperlink"/>
            <w:noProof/>
          </w:rPr>
          <w:t>7.2 Potential data to support pricing, funding and quality improvement</w:t>
        </w:r>
        <w:r w:rsidR="00940602">
          <w:rPr>
            <w:noProof/>
            <w:webHidden/>
          </w:rPr>
          <w:tab/>
        </w:r>
        <w:r w:rsidR="00940602">
          <w:rPr>
            <w:noProof/>
            <w:webHidden/>
          </w:rPr>
          <w:fldChar w:fldCharType="begin"/>
        </w:r>
        <w:r w:rsidR="00940602">
          <w:rPr>
            <w:noProof/>
            <w:webHidden/>
          </w:rPr>
          <w:instrText xml:space="preserve"> PAGEREF _Toc426633815 \h </w:instrText>
        </w:r>
        <w:r w:rsidR="00940602">
          <w:rPr>
            <w:noProof/>
            <w:webHidden/>
          </w:rPr>
        </w:r>
        <w:r w:rsidR="00940602">
          <w:rPr>
            <w:noProof/>
            <w:webHidden/>
          </w:rPr>
          <w:fldChar w:fldCharType="separate"/>
        </w:r>
        <w:r w:rsidR="001E6291">
          <w:rPr>
            <w:noProof/>
            <w:webHidden/>
          </w:rPr>
          <w:t>17</w:t>
        </w:r>
        <w:r w:rsidR="00940602">
          <w:rPr>
            <w:noProof/>
            <w:webHidden/>
          </w:rPr>
          <w:fldChar w:fldCharType="end"/>
        </w:r>
      </w:hyperlink>
    </w:p>
    <w:p w14:paraId="53C1A13C"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6" w:history="1">
        <w:r w:rsidR="00940602" w:rsidRPr="00C301F5">
          <w:rPr>
            <w:rStyle w:val="Hyperlink"/>
            <w:noProof/>
          </w:rPr>
          <w:t>7.3 Further stakeholder engagement and implementation plans</w:t>
        </w:r>
        <w:r w:rsidR="00940602">
          <w:rPr>
            <w:noProof/>
            <w:webHidden/>
          </w:rPr>
          <w:tab/>
        </w:r>
        <w:r w:rsidR="00940602">
          <w:rPr>
            <w:noProof/>
            <w:webHidden/>
          </w:rPr>
          <w:fldChar w:fldCharType="begin"/>
        </w:r>
        <w:r w:rsidR="00940602">
          <w:rPr>
            <w:noProof/>
            <w:webHidden/>
          </w:rPr>
          <w:instrText xml:space="preserve"> PAGEREF _Toc426633816 \h </w:instrText>
        </w:r>
        <w:r w:rsidR="00940602">
          <w:rPr>
            <w:noProof/>
            <w:webHidden/>
          </w:rPr>
        </w:r>
        <w:r w:rsidR="00940602">
          <w:rPr>
            <w:noProof/>
            <w:webHidden/>
          </w:rPr>
          <w:fldChar w:fldCharType="separate"/>
        </w:r>
        <w:r w:rsidR="001E6291">
          <w:rPr>
            <w:noProof/>
            <w:webHidden/>
          </w:rPr>
          <w:t>18</w:t>
        </w:r>
        <w:r w:rsidR="00940602">
          <w:rPr>
            <w:noProof/>
            <w:webHidden/>
          </w:rPr>
          <w:fldChar w:fldCharType="end"/>
        </w:r>
      </w:hyperlink>
    </w:p>
    <w:p w14:paraId="46536126"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7" w:history="1">
        <w:r w:rsidR="00940602" w:rsidRPr="00C301F5">
          <w:rPr>
            <w:rStyle w:val="Hyperlink"/>
            <w:noProof/>
          </w:rPr>
          <w:t>7.4 Evaluation</w:t>
        </w:r>
        <w:r w:rsidR="00940602">
          <w:rPr>
            <w:noProof/>
            <w:webHidden/>
          </w:rPr>
          <w:tab/>
        </w:r>
        <w:r w:rsidR="00940602">
          <w:rPr>
            <w:noProof/>
            <w:webHidden/>
          </w:rPr>
          <w:fldChar w:fldCharType="begin"/>
        </w:r>
        <w:r w:rsidR="00940602">
          <w:rPr>
            <w:noProof/>
            <w:webHidden/>
          </w:rPr>
          <w:instrText xml:space="preserve"> PAGEREF _Toc426633817 \h </w:instrText>
        </w:r>
        <w:r w:rsidR="00940602">
          <w:rPr>
            <w:noProof/>
            <w:webHidden/>
          </w:rPr>
        </w:r>
        <w:r w:rsidR="00940602">
          <w:rPr>
            <w:noProof/>
            <w:webHidden/>
          </w:rPr>
          <w:fldChar w:fldCharType="separate"/>
        </w:r>
        <w:r w:rsidR="001E6291">
          <w:rPr>
            <w:noProof/>
            <w:webHidden/>
          </w:rPr>
          <w:t>20</w:t>
        </w:r>
        <w:r w:rsidR="00940602">
          <w:rPr>
            <w:noProof/>
            <w:webHidden/>
          </w:rPr>
          <w:fldChar w:fldCharType="end"/>
        </w:r>
      </w:hyperlink>
    </w:p>
    <w:p w14:paraId="07C2CD4B" w14:textId="77777777" w:rsidR="00940602" w:rsidRDefault="00112B2E" w:rsidP="00940602">
      <w:pPr>
        <w:pStyle w:val="TOC1"/>
        <w:jc w:val="both"/>
        <w:rPr>
          <w:rFonts w:asciiTheme="minorHAnsi" w:eastAsiaTheme="minorEastAsia" w:hAnsiTheme="minorHAnsi" w:cstheme="minorBidi"/>
          <w:b w:val="0"/>
          <w:bCs w:val="0"/>
          <w:szCs w:val="22"/>
          <w:lang w:val="en-AU" w:eastAsia="en-AU"/>
        </w:rPr>
      </w:pPr>
      <w:hyperlink w:anchor="_Toc426633818" w:history="1">
        <w:r w:rsidR="00940602" w:rsidRPr="00C301F5">
          <w:rPr>
            <w:rStyle w:val="Hyperlink"/>
          </w:rPr>
          <w:t>8.</w:t>
        </w:r>
        <w:r w:rsidR="00940602">
          <w:rPr>
            <w:rFonts w:asciiTheme="minorHAnsi" w:eastAsiaTheme="minorEastAsia" w:hAnsiTheme="minorHAnsi" w:cstheme="minorBidi"/>
            <w:b w:val="0"/>
            <w:bCs w:val="0"/>
            <w:szCs w:val="22"/>
            <w:lang w:val="en-AU" w:eastAsia="en-AU"/>
          </w:rPr>
          <w:tab/>
        </w:r>
        <w:r w:rsidR="00940602" w:rsidRPr="00C301F5">
          <w:rPr>
            <w:rStyle w:val="Hyperlink"/>
          </w:rPr>
          <w:t>Appendices</w:t>
        </w:r>
        <w:r w:rsidR="00940602">
          <w:rPr>
            <w:webHidden/>
          </w:rPr>
          <w:tab/>
        </w:r>
        <w:r w:rsidR="00940602">
          <w:rPr>
            <w:webHidden/>
          </w:rPr>
          <w:fldChar w:fldCharType="begin"/>
        </w:r>
        <w:r w:rsidR="00940602">
          <w:rPr>
            <w:webHidden/>
          </w:rPr>
          <w:instrText xml:space="preserve"> PAGEREF _Toc426633818 \h </w:instrText>
        </w:r>
        <w:r w:rsidR="00940602">
          <w:rPr>
            <w:webHidden/>
          </w:rPr>
        </w:r>
        <w:r w:rsidR="00940602">
          <w:rPr>
            <w:webHidden/>
          </w:rPr>
          <w:fldChar w:fldCharType="separate"/>
        </w:r>
        <w:r w:rsidR="001E6291">
          <w:rPr>
            <w:webHidden/>
          </w:rPr>
          <w:t>21</w:t>
        </w:r>
        <w:r w:rsidR="00940602">
          <w:rPr>
            <w:webHidden/>
          </w:rPr>
          <w:fldChar w:fldCharType="end"/>
        </w:r>
      </w:hyperlink>
    </w:p>
    <w:p w14:paraId="574A6B98"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19" w:history="1">
        <w:r w:rsidR="00940602" w:rsidRPr="00C301F5">
          <w:rPr>
            <w:rStyle w:val="Hyperlink"/>
            <w:noProof/>
          </w:rPr>
          <w:t>Appendix A. Sub-Committee on Best-practice Pricing and Quality Information Terms of Reference</w:t>
        </w:r>
        <w:r w:rsidR="00940602">
          <w:rPr>
            <w:noProof/>
            <w:webHidden/>
          </w:rPr>
          <w:tab/>
        </w:r>
        <w:r w:rsidR="00940602">
          <w:rPr>
            <w:noProof/>
            <w:webHidden/>
          </w:rPr>
          <w:fldChar w:fldCharType="begin"/>
        </w:r>
        <w:r w:rsidR="00940602">
          <w:rPr>
            <w:noProof/>
            <w:webHidden/>
          </w:rPr>
          <w:instrText xml:space="preserve"> PAGEREF _Toc426633819 \h </w:instrText>
        </w:r>
        <w:r w:rsidR="00940602">
          <w:rPr>
            <w:noProof/>
            <w:webHidden/>
          </w:rPr>
        </w:r>
        <w:r w:rsidR="00940602">
          <w:rPr>
            <w:noProof/>
            <w:webHidden/>
          </w:rPr>
          <w:fldChar w:fldCharType="separate"/>
        </w:r>
        <w:r w:rsidR="001E6291">
          <w:rPr>
            <w:noProof/>
            <w:webHidden/>
          </w:rPr>
          <w:t>22</w:t>
        </w:r>
        <w:r w:rsidR="00940602">
          <w:rPr>
            <w:noProof/>
            <w:webHidden/>
          </w:rPr>
          <w:fldChar w:fldCharType="end"/>
        </w:r>
      </w:hyperlink>
    </w:p>
    <w:p w14:paraId="5D0E8CA5"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0" w:history="1">
        <w:r w:rsidR="00940602" w:rsidRPr="00C301F5">
          <w:rPr>
            <w:rStyle w:val="Hyperlink"/>
            <w:noProof/>
          </w:rPr>
          <w:t>Appendix B. Suggested design improvements to increase impact of pay for performance schemes</w:t>
        </w:r>
        <w:r w:rsidR="00940602">
          <w:rPr>
            <w:noProof/>
            <w:webHidden/>
          </w:rPr>
          <w:tab/>
        </w:r>
        <w:r w:rsidR="00940602">
          <w:rPr>
            <w:noProof/>
            <w:webHidden/>
          </w:rPr>
          <w:fldChar w:fldCharType="begin"/>
        </w:r>
        <w:r w:rsidR="00940602">
          <w:rPr>
            <w:noProof/>
            <w:webHidden/>
          </w:rPr>
          <w:instrText xml:space="preserve"> PAGEREF _Toc426633820 \h </w:instrText>
        </w:r>
        <w:r w:rsidR="00940602">
          <w:rPr>
            <w:noProof/>
            <w:webHidden/>
          </w:rPr>
        </w:r>
        <w:r w:rsidR="00940602">
          <w:rPr>
            <w:noProof/>
            <w:webHidden/>
          </w:rPr>
          <w:fldChar w:fldCharType="separate"/>
        </w:r>
        <w:r w:rsidR="001E6291">
          <w:rPr>
            <w:noProof/>
            <w:webHidden/>
          </w:rPr>
          <w:t>25</w:t>
        </w:r>
        <w:r w:rsidR="00940602">
          <w:rPr>
            <w:noProof/>
            <w:webHidden/>
          </w:rPr>
          <w:fldChar w:fldCharType="end"/>
        </w:r>
      </w:hyperlink>
    </w:p>
    <w:p w14:paraId="12367B66"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1" w:history="1">
        <w:r w:rsidR="00940602" w:rsidRPr="00C301F5">
          <w:rPr>
            <w:rStyle w:val="Hyperlink"/>
            <w:noProof/>
          </w:rPr>
          <w:t>Appendix C. Australian Commission on Safety and Quality in Health Care draft Hip Fracture Clinical Care Standard quality statements</w:t>
        </w:r>
        <w:r w:rsidR="00940602">
          <w:rPr>
            <w:noProof/>
            <w:webHidden/>
          </w:rPr>
          <w:tab/>
        </w:r>
        <w:r w:rsidR="00940602">
          <w:rPr>
            <w:noProof/>
            <w:webHidden/>
          </w:rPr>
          <w:fldChar w:fldCharType="begin"/>
        </w:r>
        <w:r w:rsidR="00940602">
          <w:rPr>
            <w:noProof/>
            <w:webHidden/>
          </w:rPr>
          <w:instrText xml:space="preserve"> PAGEREF _Toc426633821 \h </w:instrText>
        </w:r>
        <w:r w:rsidR="00940602">
          <w:rPr>
            <w:noProof/>
            <w:webHidden/>
          </w:rPr>
        </w:r>
        <w:r w:rsidR="00940602">
          <w:rPr>
            <w:noProof/>
            <w:webHidden/>
          </w:rPr>
          <w:fldChar w:fldCharType="separate"/>
        </w:r>
        <w:r w:rsidR="001E6291">
          <w:rPr>
            <w:noProof/>
            <w:webHidden/>
          </w:rPr>
          <w:t>26</w:t>
        </w:r>
        <w:r w:rsidR="00940602">
          <w:rPr>
            <w:noProof/>
            <w:webHidden/>
          </w:rPr>
          <w:fldChar w:fldCharType="end"/>
        </w:r>
      </w:hyperlink>
    </w:p>
    <w:p w14:paraId="4F28A948"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2" w:history="1">
        <w:r w:rsidR="00940602" w:rsidRPr="00C301F5">
          <w:rPr>
            <w:rStyle w:val="Hyperlink"/>
            <w:noProof/>
          </w:rPr>
          <w:t>Appendix D. Australian Commission on Safety and Quality in Health Care draft Hip Fracture Clinical Care Standard indicators</w:t>
        </w:r>
        <w:r w:rsidR="00940602">
          <w:rPr>
            <w:noProof/>
            <w:webHidden/>
          </w:rPr>
          <w:tab/>
        </w:r>
        <w:r w:rsidR="00940602">
          <w:rPr>
            <w:noProof/>
            <w:webHidden/>
          </w:rPr>
          <w:fldChar w:fldCharType="begin"/>
        </w:r>
        <w:r w:rsidR="00940602">
          <w:rPr>
            <w:noProof/>
            <w:webHidden/>
          </w:rPr>
          <w:instrText xml:space="preserve"> PAGEREF _Toc426633822 \h </w:instrText>
        </w:r>
        <w:r w:rsidR="00940602">
          <w:rPr>
            <w:noProof/>
            <w:webHidden/>
          </w:rPr>
        </w:r>
        <w:r w:rsidR="00940602">
          <w:rPr>
            <w:noProof/>
            <w:webHidden/>
          </w:rPr>
          <w:fldChar w:fldCharType="separate"/>
        </w:r>
        <w:r w:rsidR="001E6291">
          <w:rPr>
            <w:noProof/>
            <w:webHidden/>
          </w:rPr>
          <w:t>27</w:t>
        </w:r>
        <w:r w:rsidR="00940602">
          <w:rPr>
            <w:noProof/>
            <w:webHidden/>
          </w:rPr>
          <w:fldChar w:fldCharType="end"/>
        </w:r>
      </w:hyperlink>
    </w:p>
    <w:p w14:paraId="65F315F5"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3" w:history="1">
        <w:r w:rsidR="00940602" w:rsidRPr="00C301F5">
          <w:rPr>
            <w:rStyle w:val="Hyperlink"/>
            <w:noProof/>
          </w:rPr>
          <w:t>Appendix E. International and Australian Hip Fracture Care Best-Practice Pricing Initiatives</w:t>
        </w:r>
        <w:r w:rsidR="00940602">
          <w:rPr>
            <w:noProof/>
            <w:webHidden/>
          </w:rPr>
          <w:tab/>
        </w:r>
        <w:r w:rsidR="00940602">
          <w:rPr>
            <w:noProof/>
            <w:webHidden/>
          </w:rPr>
          <w:fldChar w:fldCharType="begin"/>
        </w:r>
        <w:r w:rsidR="00940602">
          <w:rPr>
            <w:noProof/>
            <w:webHidden/>
          </w:rPr>
          <w:instrText xml:space="preserve"> PAGEREF _Toc426633823 \h </w:instrText>
        </w:r>
        <w:r w:rsidR="00940602">
          <w:rPr>
            <w:noProof/>
            <w:webHidden/>
          </w:rPr>
        </w:r>
        <w:r w:rsidR="00940602">
          <w:rPr>
            <w:noProof/>
            <w:webHidden/>
          </w:rPr>
          <w:fldChar w:fldCharType="separate"/>
        </w:r>
        <w:r w:rsidR="001E6291">
          <w:rPr>
            <w:noProof/>
            <w:webHidden/>
          </w:rPr>
          <w:t>29</w:t>
        </w:r>
        <w:r w:rsidR="00940602">
          <w:rPr>
            <w:noProof/>
            <w:webHidden/>
          </w:rPr>
          <w:fldChar w:fldCharType="end"/>
        </w:r>
      </w:hyperlink>
    </w:p>
    <w:p w14:paraId="399E39F0"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4" w:history="1">
        <w:r w:rsidR="00940602" w:rsidRPr="00C301F5">
          <w:rPr>
            <w:rStyle w:val="Hyperlink"/>
            <w:noProof/>
          </w:rPr>
          <w:t>Appendix F. Supporting analysis for Chapter 5 - Designing a national best</w:t>
        </w:r>
        <w:r w:rsidR="00940602" w:rsidRPr="00C301F5">
          <w:rPr>
            <w:rStyle w:val="Hyperlink"/>
            <w:noProof/>
          </w:rPr>
          <w:noBreakHyphen/>
          <w:t>practice pricing model for hip fracture care</w:t>
        </w:r>
        <w:r w:rsidR="00940602">
          <w:rPr>
            <w:noProof/>
            <w:webHidden/>
          </w:rPr>
          <w:tab/>
        </w:r>
        <w:r w:rsidR="00940602">
          <w:rPr>
            <w:noProof/>
            <w:webHidden/>
          </w:rPr>
          <w:fldChar w:fldCharType="begin"/>
        </w:r>
        <w:r w:rsidR="00940602">
          <w:rPr>
            <w:noProof/>
            <w:webHidden/>
          </w:rPr>
          <w:instrText xml:space="preserve"> PAGEREF _Toc426633824 \h </w:instrText>
        </w:r>
        <w:r w:rsidR="00940602">
          <w:rPr>
            <w:noProof/>
            <w:webHidden/>
          </w:rPr>
        </w:r>
        <w:r w:rsidR="00940602">
          <w:rPr>
            <w:noProof/>
            <w:webHidden/>
          </w:rPr>
          <w:fldChar w:fldCharType="separate"/>
        </w:r>
        <w:r w:rsidR="001E6291">
          <w:rPr>
            <w:noProof/>
            <w:webHidden/>
          </w:rPr>
          <w:t>35</w:t>
        </w:r>
        <w:r w:rsidR="00940602">
          <w:rPr>
            <w:noProof/>
            <w:webHidden/>
          </w:rPr>
          <w:fldChar w:fldCharType="end"/>
        </w:r>
      </w:hyperlink>
    </w:p>
    <w:p w14:paraId="06216F2D"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5" w:history="1">
        <w:r w:rsidR="00940602" w:rsidRPr="00C301F5">
          <w:rPr>
            <w:rStyle w:val="Hyperlink"/>
            <w:noProof/>
          </w:rPr>
          <w:t>Appendix G. Additional potential measures for consideration in a hip fracture best-practice pricing approach</w:t>
        </w:r>
        <w:r w:rsidR="00940602">
          <w:rPr>
            <w:noProof/>
            <w:webHidden/>
          </w:rPr>
          <w:tab/>
        </w:r>
        <w:r w:rsidR="00940602">
          <w:rPr>
            <w:noProof/>
            <w:webHidden/>
          </w:rPr>
          <w:fldChar w:fldCharType="begin"/>
        </w:r>
        <w:r w:rsidR="00940602">
          <w:rPr>
            <w:noProof/>
            <w:webHidden/>
          </w:rPr>
          <w:instrText xml:space="preserve"> PAGEREF _Toc426633825 \h </w:instrText>
        </w:r>
        <w:r w:rsidR="00940602">
          <w:rPr>
            <w:noProof/>
            <w:webHidden/>
          </w:rPr>
        </w:r>
        <w:r w:rsidR="00940602">
          <w:rPr>
            <w:noProof/>
            <w:webHidden/>
          </w:rPr>
          <w:fldChar w:fldCharType="separate"/>
        </w:r>
        <w:r w:rsidR="001E6291">
          <w:rPr>
            <w:noProof/>
            <w:webHidden/>
          </w:rPr>
          <w:t>40</w:t>
        </w:r>
        <w:r w:rsidR="00940602">
          <w:rPr>
            <w:noProof/>
            <w:webHidden/>
          </w:rPr>
          <w:fldChar w:fldCharType="end"/>
        </w:r>
      </w:hyperlink>
    </w:p>
    <w:p w14:paraId="4BB2D3A9" w14:textId="77777777" w:rsidR="00940602" w:rsidRDefault="00112B2E" w:rsidP="00940602">
      <w:pPr>
        <w:pStyle w:val="TOC2"/>
        <w:jc w:val="both"/>
        <w:rPr>
          <w:rFonts w:asciiTheme="minorHAnsi" w:eastAsiaTheme="minorEastAsia" w:hAnsiTheme="minorHAnsi" w:cstheme="minorBidi"/>
          <w:iCs w:val="0"/>
          <w:noProof/>
          <w:sz w:val="22"/>
          <w:szCs w:val="22"/>
          <w:lang w:val="en-AU" w:eastAsia="en-AU"/>
        </w:rPr>
      </w:pPr>
      <w:hyperlink w:anchor="_Toc426633826" w:history="1">
        <w:r w:rsidR="00940602" w:rsidRPr="00C301F5">
          <w:rPr>
            <w:rStyle w:val="Hyperlink"/>
            <w:noProof/>
          </w:rPr>
          <w:t>Appendix H. References</w:t>
        </w:r>
        <w:r w:rsidR="00940602">
          <w:rPr>
            <w:noProof/>
            <w:webHidden/>
          </w:rPr>
          <w:tab/>
        </w:r>
        <w:r w:rsidR="00940602">
          <w:rPr>
            <w:noProof/>
            <w:webHidden/>
          </w:rPr>
          <w:fldChar w:fldCharType="begin"/>
        </w:r>
        <w:r w:rsidR="00940602">
          <w:rPr>
            <w:noProof/>
            <w:webHidden/>
          </w:rPr>
          <w:instrText xml:space="preserve"> PAGEREF _Toc426633826 \h </w:instrText>
        </w:r>
        <w:r w:rsidR="00940602">
          <w:rPr>
            <w:noProof/>
            <w:webHidden/>
          </w:rPr>
        </w:r>
        <w:r w:rsidR="00940602">
          <w:rPr>
            <w:noProof/>
            <w:webHidden/>
          </w:rPr>
          <w:fldChar w:fldCharType="separate"/>
        </w:r>
        <w:r w:rsidR="001E6291">
          <w:rPr>
            <w:noProof/>
            <w:webHidden/>
          </w:rPr>
          <w:t>42</w:t>
        </w:r>
        <w:r w:rsidR="00940602">
          <w:rPr>
            <w:noProof/>
            <w:webHidden/>
          </w:rPr>
          <w:fldChar w:fldCharType="end"/>
        </w:r>
      </w:hyperlink>
    </w:p>
    <w:p w14:paraId="16D07004" w14:textId="77777777" w:rsidR="00A964C1" w:rsidRDefault="00361981" w:rsidP="003B14AB">
      <w:pPr>
        <w:spacing w:before="20" w:after="60"/>
        <w:ind w:right="-85"/>
        <w:jc w:val="both"/>
        <w:rPr>
          <w:rFonts w:ascii="Arial" w:hAnsi="Arial" w:cs="Arial"/>
          <w:b/>
          <w:sz w:val="22"/>
          <w:szCs w:val="22"/>
        </w:rPr>
      </w:pPr>
      <w:r w:rsidRPr="00764E39">
        <w:rPr>
          <w:rFonts w:ascii="Arial" w:hAnsi="Arial" w:cs="Arial"/>
          <w:b/>
          <w:sz w:val="22"/>
          <w:szCs w:val="22"/>
        </w:rPr>
        <w:fldChar w:fldCharType="end"/>
      </w:r>
    </w:p>
    <w:p w14:paraId="461AB752" w14:textId="77777777" w:rsidR="00A964C1" w:rsidRDefault="00A964C1">
      <w:pPr>
        <w:rPr>
          <w:rFonts w:ascii="Arial" w:hAnsi="Arial" w:cs="Arial"/>
          <w:b/>
          <w:sz w:val="22"/>
          <w:szCs w:val="22"/>
        </w:rPr>
      </w:pPr>
      <w:r>
        <w:rPr>
          <w:rFonts w:ascii="Arial" w:hAnsi="Arial" w:cs="Arial"/>
          <w:b/>
          <w:sz w:val="22"/>
          <w:szCs w:val="22"/>
        </w:rPr>
        <w:br w:type="page"/>
      </w:r>
    </w:p>
    <w:p w14:paraId="78537BAA" w14:textId="556606AB" w:rsidR="00EB6E8A" w:rsidRPr="00414A6D" w:rsidRDefault="00EB6E8A" w:rsidP="00D147A4">
      <w:pPr>
        <w:spacing w:before="20" w:after="60"/>
        <w:ind w:right="-85"/>
        <w:jc w:val="both"/>
        <w:rPr>
          <w:rFonts w:ascii="Arial" w:hAnsi="Arial" w:cs="Arial"/>
          <w:b/>
          <w:sz w:val="21"/>
          <w:szCs w:val="21"/>
        </w:rPr>
      </w:pPr>
      <w:r w:rsidRPr="00414A6D">
        <w:rPr>
          <w:rFonts w:ascii="Arial" w:hAnsi="Arial" w:cs="Arial"/>
          <w:b/>
          <w:sz w:val="21"/>
          <w:szCs w:val="21"/>
        </w:rPr>
        <w:lastRenderedPageBreak/>
        <w:t>Acknowledgements</w:t>
      </w:r>
    </w:p>
    <w:p w14:paraId="35BC187A" w14:textId="77777777" w:rsidR="00EB6E8A" w:rsidRPr="00414A6D" w:rsidRDefault="00EB6E8A" w:rsidP="00D147A4">
      <w:pPr>
        <w:spacing w:before="20" w:after="60"/>
        <w:ind w:right="-85"/>
        <w:jc w:val="both"/>
        <w:rPr>
          <w:rFonts w:ascii="Arial" w:hAnsi="Arial" w:cs="Arial"/>
          <w:sz w:val="21"/>
          <w:szCs w:val="21"/>
        </w:rPr>
      </w:pPr>
      <w:r w:rsidRPr="00414A6D">
        <w:rPr>
          <w:rFonts w:ascii="Arial" w:hAnsi="Arial" w:cs="Arial"/>
          <w:sz w:val="21"/>
          <w:szCs w:val="21"/>
        </w:rPr>
        <w:t xml:space="preserve">This report benefitted from advice from a number of individuals and organisations with interest and expertise in </w:t>
      </w:r>
      <w:r w:rsidR="00346B84" w:rsidRPr="00414A6D">
        <w:rPr>
          <w:rFonts w:ascii="Arial" w:hAnsi="Arial" w:cs="Arial"/>
          <w:sz w:val="21"/>
          <w:szCs w:val="21"/>
        </w:rPr>
        <w:t>best-practice</w:t>
      </w:r>
      <w:r w:rsidRPr="00414A6D">
        <w:rPr>
          <w:rFonts w:ascii="Arial" w:hAnsi="Arial" w:cs="Arial"/>
          <w:sz w:val="21"/>
          <w:szCs w:val="21"/>
        </w:rPr>
        <w:t xml:space="preserve"> pricing and clinical quality information. </w:t>
      </w:r>
    </w:p>
    <w:p w14:paraId="0C03D392" w14:textId="77777777" w:rsidR="00EB6E8A" w:rsidRPr="00414A6D" w:rsidRDefault="00EB6E8A" w:rsidP="00D147A4">
      <w:pPr>
        <w:spacing w:before="20" w:after="60"/>
        <w:ind w:right="-85"/>
        <w:jc w:val="both"/>
        <w:rPr>
          <w:rFonts w:ascii="Arial" w:hAnsi="Arial" w:cs="Arial"/>
          <w:sz w:val="21"/>
          <w:szCs w:val="21"/>
        </w:rPr>
      </w:pPr>
    </w:p>
    <w:p w14:paraId="09D833F3" w14:textId="055F1EAB" w:rsidR="00EB6E8A" w:rsidRPr="00414A6D" w:rsidRDefault="00EB6E8A" w:rsidP="00D147A4">
      <w:pPr>
        <w:spacing w:before="20" w:after="60"/>
        <w:ind w:right="-85"/>
        <w:jc w:val="both"/>
        <w:rPr>
          <w:rFonts w:ascii="Arial" w:hAnsi="Arial" w:cs="Arial"/>
          <w:sz w:val="21"/>
          <w:szCs w:val="21"/>
        </w:rPr>
      </w:pPr>
      <w:r w:rsidRPr="00414A6D">
        <w:rPr>
          <w:rFonts w:ascii="Arial" w:hAnsi="Arial" w:cs="Arial"/>
          <w:sz w:val="21"/>
          <w:szCs w:val="21"/>
        </w:rPr>
        <w:t xml:space="preserve">The Australian Commission for Safety and Quality in Health Care </w:t>
      </w:r>
      <w:r w:rsidR="00FE2288" w:rsidRPr="00414A6D">
        <w:rPr>
          <w:rFonts w:ascii="Arial" w:hAnsi="Arial" w:cs="Arial"/>
          <w:sz w:val="21"/>
          <w:szCs w:val="21"/>
        </w:rPr>
        <w:t xml:space="preserve">(the Commission) </w:t>
      </w:r>
      <w:r w:rsidRPr="00414A6D">
        <w:rPr>
          <w:rFonts w:ascii="Arial" w:hAnsi="Arial" w:cs="Arial"/>
          <w:sz w:val="21"/>
          <w:szCs w:val="21"/>
        </w:rPr>
        <w:t xml:space="preserve">and Independent Hospital Pricing Authority (IHPA) acknowledge the contribution of members of the </w:t>
      </w:r>
      <w:r w:rsidR="007F232E" w:rsidRPr="00414A6D">
        <w:rPr>
          <w:rFonts w:ascii="Arial" w:hAnsi="Arial" w:cs="Arial"/>
          <w:sz w:val="21"/>
          <w:szCs w:val="21"/>
        </w:rPr>
        <w:t>Sub-Committee</w:t>
      </w:r>
      <w:r w:rsidRPr="00414A6D">
        <w:rPr>
          <w:rFonts w:ascii="Arial" w:hAnsi="Arial" w:cs="Arial"/>
          <w:sz w:val="21"/>
          <w:szCs w:val="21"/>
        </w:rPr>
        <w:t xml:space="preserve"> on </w:t>
      </w:r>
      <w:r w:rsidR="00346B84" w:rsidRPr="00414A6D">
        <w:rPr>
          <w:rFonts w:ascii="Arial" w:hAnsi="Arial" w:cs="Arial"/>
          <w:sz w:val="21"/>
          <w:szCs w:val="21"/>
        </w:rPr>
        <w:t>Best</w:t>
      </w:r>
      <w:r w:rsidR="005C7291" w:rsidRPr="00414A6D">
        <w:rPr>
          <w:rFonts w:ascii="Arial" w:hAnsi="Arial" w:cs="Arial"/>
          <w:sz w:val="21"/>
          <w:szCs w:val="21"/>
        </w:rPr>
        <w:noBreakHyphen/>
      </w:r>
      <w:r w:rsidR="00346B84" w:rsidRPr="00414A6D">
        <w:rPr>
          <w:rFonts w:ascii="Arial" w:hAnsi="Arial" w:cs="Arial"/>
          <w:sz w:val="21"/>
          <w:szCs w:val="21"/>
        </w:rPr>
        <w:t>practice</w:t>
      </w:r>
      <w:r w:rsidRPr="00414A6D">
        <w:rPr>
          <w:rFonts w:ascii="Arial" w:hAnsi="Arial" w:cs="Arial"/>
          <w:sz w:val="21"/>
          <w:szCs w:val="21"/>
        </w:rPr>
        <w:t xml:space="preserve"> Pricing and Clinical Quality Information</w:t>
      </w:r>
      <w:r w:rsidR="00235332">
        <w:rPr>
          <w:rFonts w:ascii="Arial" w:hAnsi="Arial" w:cs="Arial"/>
          <w:sz w:val="21"/>
          <w:szCs w:val="21"/>
        </w:rPr>
        <w:t xml:space="preserve"> (the Sub-Committee)</w:t>
      </w:r>
      <w:r w:rsidRPr="00414A6D">
        <w:rPr>
          <w:rFonts w:ascii="Arial" w:hAnsi="Arial" w:cs="Arial"/>
          <w:sz w:val="21"/>
          <w:szCs w:val="21"/>
        </w:rPr>
        <w:t xml:space="preserve"> and staff who contributed to this report. Members were appointed by the Commission and were chosen by the Commission and IHPA on the basis of their individual experience and expertise. The </w:t>
      </w:r>
      <w:r w:rsidR="007F232E" w:rsidRPr="00414A6D">
        <w:rPr>
          <w:rFonts w:ascii="Arial" w:hAnsi="Arial" w:cs="Arial"/>
          <w:sz w:val="21"/>
          <w:szCs w:val="21"/>
        </w:rPr>
        <w:t>Sub-Committee</w:t>
      </w:r>
      <w:r w:rsidRPr="00414A6D">
        <w:rPr>
          <w:rFonts w:ascii="Arial" w:hAnsi="Arial" w:cs="Arial"/>
          <w:sz w:val="21"/>
          <w:szCs w:val="21"/>
        </w:rPr>
        <w:t xml:space="preserve">’s </w:t>
      </w:r>
      <w:r w:rsidR="00FE2288" w:rsidRPr="00414A6D">
        <w:rPr>
          <w:rFonts w:ascii="Arial" w:hAnsi="Arial" w:cs="Arial"/>
          <w:sz w:val="21"/>
          <w:szCs w:val="21"/>
        </w:rPr>
        <w:t>C</w:t>
      </w:r>
      <w:r w:rsidRPr="00414A6D">
        <w:rPr>
          <w:rFonts w:ascii="Arial" w:hAnsi="Arial" w:cs="Arial"/>
          <w:sz w:val="21"/>
          <w:szCs w:val="21"/>
        </w:rPr>
        <w:t>o</w:t>
      </w:r>
      <w:r w:rsidR="00FE2288" w:rsidRPr="00414A6D">
        <w:rPr>
          <w:rFonts w:ascii="Arial" w:hAnsi="Arial" w:cs="Arial"/>
          <w:sz w:val="21"/>
          <w:szCs w:val="21"/>
        </w:rPr>
        <w:noBreakHyphen/>
        <w:t>C</w:t>
      </w:r>
      <w:r w:rsidRPr="00414A6D">
        <w:rPr>
          <w:rFonts w:ascii="Arial" w:hAnsi="Arial" w:cs="Arial"/>
          <w:sz w:val="21"/>
          <w:szCs w:val="21"/>
        </w:rPr>
        <w:t>hairs managed actual or potential conflict</w:t>
      </w:r>
      <w:r w:rsidR="005C7291" w:rsidRPr="00414A6D">
        <w:rPr>
          <w:rFonts w:ascii="Arial" w:hAnsi="Arial" w:cs="Arial"/>
          <w:sz w:val="21"/>
          <w:szCs w:val="21"/>
        </w:rPr>
        <w:t>s</w:t>
      </w:r>
      <w:r w:rsidRPr="00414A6D">
        <w:rPr>
          <w:rFonts w:ascii="Arial" w:hAnsi="Arial" w:cs="Arial"/>
          <w:sz w:val="21"/>
          <w:szCs w:val="21"/>
        </w:rPr>
        <w:t xml:space="preserve"> of interest according to the Commission</w:t>
      </w:r>
      <w:r w:rsidR="00FE2288" w:rsidRPr="00414A6D">
        <w:rPr>
          <w:rFonts w:ascii="Arial" w:hAnsi="Arial" w:cs="Arial"/>
          <w:sz w:val="21"/>
          <w:szCs w:val="21"/>
        </w:rPr>
        <w:t>’s</w:t>
      </w:r>
      <w:r w:rsidRPr="00414A6D">
        <w:rPr>
          <w:rFonts w:ascii="Arial" w:hAnsi="Arial" w:cs="Arial"/>
          <w:sz w:val="21"/>
          <w:szCs w:val="21"/>
        </w:rPr>
        <w:t xml:space="preserve"> Disclosure of Interest Policy.</w:t>
      </w:r>
    </w:p>
    <w:p w14:paraId="464DB5B0" w14:textId="77777777" w:rsidR="00EB6E8A" w:rsidRPr="00414A6D" w:rsidRDefault="00EB6E8A" w:rsidP="00D147A4">
      <w:pPr>
        <w:spacing w:before="20" w:after="60"/>
        <w:ind w:right="-85"/>
        <w:jc w:val="both"/>
        <w:rPr>
          <w:rFonts w:ascii="Arial" w:hAnsi="Arial" w:cs="Arial"/>
          <w:sz w:val="21"/>
          <w:szCs w:val="21"/>
        </w:rPr>
      </w:pPr>
    </w:p>
    <w:p w14:paraId="2E3FF48F" w14:textId="77777777" w:rsidR="00EB6E8A" w:rsidRPr="00414A6D" w:rsidRDefault="00EB6E8A" w:rsidP="00D147A4">
      <w:pPr>
        <w:spacing w:before="20" w:after="60"/>
        <w:ind w:right="-85"/>
        <w:jc w:val="both"/>
        <w:rPr>
          <w:rFonts w:ascii="Arial" w:hAnsi="Arial" w:cs="Arial"/>
          <w:sz w:val="21"/>
          <w:szCs w:val="21"/>
        </w:rPr>
      </w:pPr>
      <w:r w:rsidRPr="00414A6D">
        <w:rPr>
          <w:rFonts w:ascii="Arial" w:hAnsi="Arial" w:cs="Arial"/>
          <w:sz w:val="21"/>
          <w:szCs w:val="21"/>
        </w:rPr>
        <w:t xml:space="preserve">Acknowledgements are extended to experts in South Australia, Queensland, Victoria and Western Australia who made presentations at </w:t>
      </w:r>
      <w:r w:rsidR="007F232E" w:rsidRPr="00414A6D">
        <w:rPr>
          <w:rFonts w:ascii="Arial" w:hAnsi="Arial" w:cs="Arial"/>
          <w:sz w:val="21"/>
          <w:szCs w:val="21"/>
        </w:rPr>
        <w:t>Sub-Committee</w:t>
      </w:r>
      <w:r w:rsidRPr="00414A6D">
        <w:rPr>
          <w:rFonts w:ascii="Arial" w:hAnsi="Arial" w:cs="Arial"/>
          <w:sz w:val="21"/>
          <w:szCs w:val="21"/>
        </w:rPr>
        <w:t xml:space="preserve"> meetings. </w:t>
      </w:r>
    </w:p>
    <w:p w14:paraId="6695E0B2" w14:textId="77777777" w:rsidR="00EB6E8A" w:rsidRPr="00414A6D" w:rsidRDefault="00EB6E8A" w:rsidP="00D147A4">
      <w:pPr>
        <w:spacing w:before="20" w:after="60"/>
        <w:ind w:right="-85"/>
        <w:jc w:val="both"/>
        <w:rPr>
          <w:rFonts w:ascii="Arial" w:hAnsi="Arial" w:cs="Arial"/>
          <w:b/>
          <w:sz w:val="21"/>
          <w:szCs w:val="21"/>
        </w:rPr>
      </w:pP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15"/>
        <w:gridCol w:w="6072"/>
      </w:tblGrid>
      <w:tr w:rsidR="00EB6E8A" w:rsidRPr="00414A6D" w14:paraId="5EB04889"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tcPr>
          <w:p w14:paraId="1EDA0932"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b/>
                <w:bCs/>
                <w:sz w:val="21"/>
                <w:szCs w:val="21"/>
                <w:lang w:val="en-US" w:eastAsia="ja-JP"/>
              </w:rPr>
              <w:t>Member</w:t>
            </w:r>
          </w:p>
        </w:tc>
        <w:tc>
          <w:tcPr>
            <w:tcW w:w="6072" w:type="dxa"/>
            <w:tcBorders>
              <w:top w:val="outset" w:sz="6" w:space="0" w:color="auto"/>
              <w:left w:val="outset" w:sz="6" w:space="0" w:color="auto"/>
              <w:bottom w:val="outset" w:sz="6" w:space="0" w:color="auto"/>
              <w:right w:val="outset" w:sz="6" w:space="0" w:color="auto"/>
            </w:tcBorders>
          </w:tcPr>
          <w:p w14:paraId="2D9F98A9"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b/>
                <w:bCs/>
                <w:sz w:val="21"/>
                <w:szCs w:val="21"/>
                <w:lang w:val="en-US" w:eastAsia="ja-JP"/>
              </w:rPr>
              <w:t>Position</w:t>
            </w:r>
          </w:p>
        </w:tc>
      </w:tr>
      <w:tr w:rsidR="00D627E9" w:rsidRPr="00414A6D" w14:paraId="4FFE181D"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2BDB9201"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Robert Herkes (Co-chair)</w:t>
            </w:r>
          </w:p>
        </w:tc>
        <w:tc>
          <w:tcPr>
            <w:tcW w:w="6072" w:type="dxa"/>
            <w:tcBorders>
              <w:top w:val="outset" w:sz="6" w:space="0" w:color="auto"/>
              <w:left w:val="outset" w:sz="6" w:space="0" w:color="auto"/>
              <w:bottom w:val="outset" w:sz="6" w:space="0" w:color="auto"/>
              <w:right w:val="outset" w:sz="6" w:space="0" w:color="auto"/>
            </w:tcBorders>
            <w:vAlign w:val="center"/>
          </w:tcPr>
          <w:p w14:paraId="217CE8DD"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Clinical Director, Australian Commission for Safety and Quality in Health Care</w:t>
            </w:r>
          </w:p>
        </w:tc>
      </w:tr>
      <w:tr w:rsidR="00EB6E8A" w:rsidRPr="00414A6D" w14:paraId="016E2FF4"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61EFE25B"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Diane Watson (Co-chair)</w:t>
            </w:r>
          </w:p>
        </w:tc>
        <w:tc>
          <w:tcPr>
            <w:tcW w:w="6072" w:type="dxa"/>
            <w:tcBorders>
              <w:top w:val="outset" w:sz="6" w:space="0" w:color="auto"/>
              <w:left w:val="outset" w:sz="6" w:space="0" w:color="auto"/>
              <w:bottom w:val="outset" w:sz="6" w:space="0" w:color="auto"/>
              <w:right w:val="outset" w:sz="6" w:space="0" w:color="auto"/>
            </w:tcBorders>
            <w:vAlign w:val="center"/>
          </w:tcPr>
          <w:p w14:paraId="4ACBA462"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CEO National Health Performance Authority</w:t>
            </w:r>
            <w:r w:rsidR="00FE6FC9" w:rsidRPr="00414A6D">
              <w:rPr>
                <w:rFonts w:ascii="Arial" w:eastAsia="MS Mincho" w:hAnsi="Arial" w:cs="Arial"/>
                <w:sz w:val="21"/>
                <w:szCs w:val="21"/>
                <w:lang w:val="en-US" w:eastAsia="ja-JP"/>
              </w:rPr>
              <w:t xml:space="preserve"> (NHPA)</w:t>
            </w:r>
          </w:p>
        </w:tc>
      </w:tr>
      <w:tr w:rsidR="00D627E9" w:rsidRPr="00414A6D" w14:paraId="2318846E"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7B3249C7"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Ms Janet Anderson</w:t>
            </w:r>
          </w:p>
        </w:tc>
        <w:tc>
          <w:tcPr>
            <w:tcW w:w="6072" w:type="dxa"/>
            <w:tcBorders>
              <w:top w:val="outset" w:sz="6" w:space="0" w:color="auto"/>
              <w:left w:val="outset" w:sz="6" w:space="0" w:color="auto"/>
              <w:bottom w:val="outset" w:sz="6" w:space="0" w:color="auto"/>
              <w:right w:val="outset" w:sz="6" w:space="0" w:color="auto"/>
            </w:tcBorders>
            <w:vAlign w:val="center"/>
          </w:tcPr>
          <w:p w14:paraId="53454297"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hAnsi="Arial" w:cs="Arial"/>
                <w:sz w:val="21"/>
                <w:szCs w:val="21"/>
              </w:rPr>
              <w:t>First Assistant Secretary, Safety, Quality and Research, Commonwealth Department of Health</w:t>
            </w:r>
          </w:p>
        </w:tc>
      </w:tr>
      <w:tr w:rsidR="00EB6E8A" w:rsidRPr="00414A6D" w14:paraId="5C225DBB"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7E9D472D"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Stephen Christley</w:t>
            </w:r>
          </w:p>
        </w:tc>
        <w:tc>
          <w:tcPr>
            <w:tcW w:w="6072" w:type="dxa"/>
            <w:tcBorders>
              <w:top w:val="outset" w:sz="6" w:space="0" w:color="auto"/>
              <w:left w:val="outset" w:sz="6" w:space="0" w:color="auto"/>
              <w:bottom w:val="outset" w:sz="6" w:space="0" w:color="auto"/>
              <w:right w:val="outset" w:sz="6" w:space="0" w:color="auto"/>
            </w:tcBorders>
            <w:vAlign w:val="center"/>
          </w:tcPr>
          <w:p w14:paraId="72C073AB"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Chief Public Health Officer and Executive Director, Public Health and Clinical Systems at SA Health</w:t>
            </w:r>
          </w:p>
        </w:tc>
      </w:tr>
      <w:tr w:rsidR="00D627E9" w:rsidRPr="00414A6D" w14:paraId="3EBDAF6E"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2D72BD74"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Professor Jaqueline Close</w:t>
            </w:r>
          </w:p>
        </w:tc>
        <w:tc>
          <w:tcPr>
            <w:tcW w:w="6072" w:type="dxa"/>
            <w:tcBorders>
              <w:top w:val="outset" w:sz="6" w:space="0" w:color="auto"/>
              <w:left w:val="outset" w:sz="6" w:space="0" w:color="auto"/>
              <w:bottom w:val="outset" w:sz="6" w:space="0" w:color="auto"/>
              <w:right w:val="outset" w:sz="6" w:space="0" w:color="auto"/>
            </w:tcBorders>
            <w:vAlign w:val="center"/>
          </w:tcPr>
          <w:p w14:paraId="25DAE1E9" w14:textId="77777777" w:rsidR="00D627E9" w:rsidRPr="00414A6D" w:rsidRDefault="00D627E9" w:rsidP="00BA0DF3">
            <w:pPr>
              <w:spacing w:before="40" w:after="40"/>
              <w:jc w:val="both"/>
              <w:rPr>
                <w:rFonts w:ascii="Arial" w:hAnsi="Arial" w:cs="Arial"/>
                <w:sz w:val="21"/>
                <w:szCs w:val="21"/>
              </w:rPr>
            </w:pPr>
            <w:r w:rsidRPr="00414A6D">
              <w:rPr>
                <w:rFonts w:ascii="Arial" w:hAnsi="Arial" w:cs="Arial"/>
                <w:sz w:val="21"/>
                <w:szCs w:val="21"/>
              </w:rPr>
              <w:t>Conjoint Professor, UNSW</w:t>
            </w:r>
          </w:p>
          <w:p w14:paraId="59196828" w14:textId="77777777" w:rsidR="00D627E9" w:rsidRPr="00414A6D" w:rsidRDefault="00D627E9" w:rsidP="00BA0DF3">
            <w:pPr>
              <w:spacing w:before="40" w:after="40"/>
              <w:jc w:val="both"/>
              <w:rPr>
                <w:rFonts w:ascii="Arial" w:hAnsi="Arial" w:cs="Arial"/>
                <w:color w:val="333333"/>
                <w:sz w:val="18"/>
                <w:szCs w:val="18"/>
              </w:rPr>
            </w:pPr>
            <w:r w:rsidRPr="00414A6D">
              <w:rPr>
                <w:rFonts w:ascii="Arial" w:hAnsi="Arial" w:cs="Arial"/>
                <w:sz w:val="21"/>
                <w:szCs w:val="21"/>
              </w:rPr>
              <w:t>Consultant Geriatrician, Prince of Wales Hospital</w:t>
            </w:r>
          </w:p>
        </w:tc>
      </w:tr>
      <w:tr w:rsidR="00D627E9" w:rsidRPr="00414A6D" w14:paraId="6E638E36"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0DFFF431"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Ms Frances Diver</w:t>
            </w:r>
          </w:p>
        </w:tc>
        <w:tc>
          <w:tcPr>
            <w:tcW w:w="6072" w:type="dxa"/>
            <w:tcBorders>
              <w:top w:val="outset" w:sz="6" w:space="0" w:color="auto"/>
              <w:left w:val="outset" w:sz="6" w:space="0" w:color="auto"/>
              <w:bottom w:val="outset" w:sz="6" w:space="0" w:color="auto"/>
              <w:right w:val="outset" w:sz="6" w:space="0" w:color="auto"/>
            </w:tcBorders>
            <w:vAlign w:val="center"/>
          </w:tcPr>
          <w:p w14:paraId="2F47BE7D" w14:textId="77777777" w:rsidR="00D627E9" w:rsidRPr="00414A6D" w:rsidRDefault="00D627E9" w:rsidP="00BA0DF3">
            <w:pPr>
              <w:spacing w:before="40" w:after="40"/>
              <w:jc w:val="both"/>
              <w:rPr>
                <w:rFonts w:ascii="Arial" w:hAnsi="Arial" w:cs="Arial"/>
                <w:sz w:val="21"/>
                <w:szCs w:val="21"/>
              </w:rPr>
            </w:pPr>
            <w:r w:rsidRPr="00414A6D">
              <w:rPr>
                <w:rFonts w:ascii="Arial" w:hAnsi="Arial" w:cs="Arial"/>
                <w:sz w:val="21"/>
                <w:szCs w:val="21"/>
              </w:rPr>
              <w:t>Deputy Secretary, Health Service Performance and Programs, Victorian Department of Health</w:t>
            </w:r>
          </w:p>
        </w:tc>
      </w:tr>
      <w:tr w:rsidR="00D627E9" w:rsidRPr="00414A6D" w14:paraId="074AC0A6"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7C538E6C" w14:textId="1FAD46AA"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Professor Ian Harris</w:t>
            </w:r>
            <w:r w:rsidR="00B47800">
              <w:rPr>
                <w:rFonts w:ascii="Arial" w:eastAsia="MS Mincho" w:hAnsi="Arial" w:cs="Arial"/>
                <w:sz w:val="21"/>
                <w:szCs w:val="21"/>
                <w:lang w:val="en-US" w:eastAsia="ja-JP"/>
              </w:rPr>
              <w:t>, AM</w:t>
            </w:r>
          </w:p>
        </w:tc>
        <w:tc>
          <w:tcPr>
            <w:tcW w:w="6072" w:type="dxa"/>
            <w:tcBorders>
              <w:top w:val="outset" w:sz="6" w:space="0" w:color="auto"/>
              <w:left w:val="outset" w:sz="6" w:space="0" w:color="auto"/>
              <w:bottom w:val="outset" w:sz="6" w:space="0" w:color="auto"/>
              <w:right w:val="outset" w:sz="6" w:space="0" w:color="auto"/>
            </w:tcBorders>
            <w:vAlign w:val="center"/>
          </w:tcPr>
          <w:p w14:paraId="2C8BB926"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Professor of </w:t>
            </w:r>
            <w:proofErr w:type="spellStart"/>
            <w:r w:rsidRPr="00414A6D">
              <w:rPr>
                <w:rFonts w:ascii="Arial" w:eastAsia="MS Mincho" w:hAnsi="Arial" w:cs="Arial"/>
                <w:sz w:val="21"/>
                <w:szCs w:val="21"/>
                <w:lang w:val="en-US" w:eastAsia="ja-JP"/>
              </w:rPr>
              <w:t>Orthopaedic</w:t>
            </w:r>
            <w:proofErr w:type="spellEnd"/>
            <w:r w:rsidRPr="00414A6D">
              <w:rPr>
                <w:rFonts w:ascii="Arial" w:eastAsia="MS Mincho" w:hAnsi="Arial" w:cs="Arial"/>
                <w:sz w:val="21"/>
                <w:szCs w:val="21"/>
                <w:lang w:val="en-US" w:eastAsia="ja-JP"/>
              </w:rPr>
              <w:t xml:space="preserve"> Surgery, University of NSW, Director of surgical </w:t>
            </w:r>
            <w:r w:rsidR="00F9155F" w:rsidRPr="00414A6D">
              <w:rPr>
                <w:rFonts w:ascii="Arial" w:eastAsia="MS Mincho" w:hAnsi="Arial" w:cs="Arial"/>
                <w:sz w:val="21"/>
                <w:szCs w:val="21"/>
                <w:lang w:val="en-US" w:eastAsia="ja-JP"/>
              </w:rPr>
              <w:t>specialties</w:t>
            </w:r>
            <w:r w:rsidRPr="00414A6D">
              <w:rPr>
                <w:rFonts w:ascii="Arial" w:eastAsia="MS Mincho" w:hAnsi="Arial" w:cs="Arial"/>
                <w:sz w:val="21"/>
                <w:szCs w:val="21"/>
                <w:lang w:val="en-US" w:eastAsia="ja-JP"/>
              </w:rPr>
              <w:t>, South Western Sydney Local Health District</w:t>
            </w:r>
          </w:p>
        </w:tc>
      </w:tr>
      <w:tr w:rsidR="00D627E9" w:rsidRPr="00414A6D" w14:paraId="6522E6D2"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59CD4B9D"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Karen Luxford</w:t>
            </w:r>
          </w:p>
        </w:tc>
        <w:tc>
          <w:tcPr>
            <w:tcW w:w="6072" w:type="dxa"/>
            <w:tcBorders>
              <w:top w:val="outset" w:sz="6" w:space="0" w:color="auto"/>
              <w:left w:val="outset" w:sz="6" w:space="0" w:color="auto"/>
              <w:bottom w:val="outset" w:sz="6" w:space="0" w:color="auto"/>
              <w:right w:val="outset" w:sz="6" w:space="0" w:color="auto"/>
            </w:tcBorders>
            <w:vAlign w:val="center"/>
          </w:tcPr>
          <w:p w14:paraId="33DA9F6D"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Director Patient Based Care, NSW Clinical Excellence Commission  </w:t>
            </w:r>
          </w:p>
        </w:tc>
      </w:tr>
      <w:tr w:rsidR="00EB6E8A" w:rsidRPr="00414A6D" w14:paraId="305EE85C"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06FDF869"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A/ Professor Brian </w:t>
            </w:r>
            <w:proofErr w:type="spellStart"/>
            <w:r w:rsidRPr="00414A6D">
              <w:rPr>
                <w:rFonts w:ascii="Arial" w:eastAsia="MS Mincho" w:hAnsi="Arial" w:cs="Arial"/>
                <w:sz w:val="21"/>
                <w:szCs w:val="21"/>
                <w:lang w:val="en-US" w:eastAsia="ja-JP"/>
              </w:rPr>
              <w:t>McCaughan</w:t>
            </w:r>
            <w:proofErr w:type="spellEnd"/>
          </w:p>
        </w:tc>
        <w:tc>
          <w:tcPr>
            <w:tcW w:w="6072" w:type="dxa"/>
            <w:tcBorders>
              <w:top w:val="outset" w:sz="6" w:space="0" w:color="auto"/>
              <w:left w:val="outset" w:sz="6" w:space="0" w:color="auto"/>
              <w:bottom w:val="outset" w:sz="6" w:space="0" w:color="auto"/>
              <w:right w:val="outset" w:sz="6" w:space="0" w:color="auto"/>
            </w:tcBorders>
            <w:vAlign w:val="center"/>
          </w:tcPr>
          <w:p w14:paraId="582F79C2" w14:textId="77777777" w:rsidR="00EB6E8A" w:rsidRPr="00414A6D" w:rsidRDefault="00EB6E8A"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Cardiothoracic surgeon, Board Chair, NSW Clinical Excellence Commission and Agency for Clinical Innovation</w:t>
            </w:r>
          </w:p>
        </w:tc>
      </w:tr>
      <w:tr w:rsidR="00D627E9" w:rsidRPr="00414A6D" w14:paraId="1FD75D3F"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4404E5F1"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Ms Cindy Schultz-Ferguson</w:t>
            </w:r>
          </w:p>
        </w:tc>
        <w:tc>
          <w:tcPr>
            <w:tcW w:w="6072" w:type="dxa"/>
            <w:tcBorders>
              <w:top w:val="outset" w:sz="6" w:space="0" w:color="auto"/>
              <w:left w:val="outset" w:sz="6" w:space="0" w:color="auto"/>
              <w:bottom w:val="outset" w:sz="6" w:space="0" w:color="auto"/>
              <w:right w:val="outset" w:sz="6" w:space="0" w:color="auto"/>
            </w:tcBorders>
            <w:vAlign w:val="center"/>
          </w:tcPr>
          <w:p w14:paraId="0AF62433" w14:textId="77777777" w:rsidR="00D627E9" w:rsidRPr="00414A6D" w:rsidRDefault="00D627E9" w:rsidP="00BA0DF3">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Nominee Consumers Health Forum</w:t>
            </w:r>
          </w:p>
        </w:tc>
      </w:tr>
      <w:tr w:rsidR="00D627E9" w:rsidRPr="00414A6D" w14:paraId="48DC67AD"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2420ED84" w14:textId="77777777" w:rsidR="00D627E9" w:rsidRPr="00414A6D" w:rsidRDefault="00D627E9"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A/ Professor Graham Reynolds</w:t>
            </w:r>
          </w:p>
        </w:tc>
        <w:tc>
          <w:tcPr>
            <w:tcW w:w="6072" w:type="dxa"/>
            <w:tcBorders>
              <w:top w:val="outset" w:sz="6" w:space="0" w:color="auto"/>
              <w:left w:val="outset" w:sz="6" w:space="0" w:color="auto"/>
              <w:bottom w:val="outset" w:sz="6" w:space="0" w:color="auto"/>
              <w:right w:val="outset" w:sz="6" w:space="0" w:color="auto"/>
            </w:tcBorders>
            <w:vAlign w:val="center"/>
          </w:tcPr>
          <w:p w14:paraId="1E449A33" w14:textId="77777777" w:rsidR="00D627E9" w:rsidRPr="00414A6D" w:rsidRDefault="00D627E9" w:rsidP="00D147A4">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Consultant </w:t>
            </w:r>
            <w:proofErr w:type="spellStart"/>
            <w:r w:rsidRPr="00414A6D">
              <w:rPr>
                <w:rFonts w:ascii="Arial" w:eastAsia="MS Mincho" w:hAnsi="Arial" w:cs="Arial"/>
                <w:sz w:val="21"/>
                <w:szCs w:val="21"/>
                <w:lang w:val="en-US" w:eastAsia="ja-JP"/>
              </w:rPr>
              <w:t>Paediatrician</w:t>
            </w:r>
            <w:proofErr w:type="spellEnd"/>
            <w:r w:rsidRPr="00414A6D">
              <w:rPr>
                <w:rFonts w:ascii="Arial" w:eastAsia="MS Mincho" w:hAnsi="Arial" w:cs="Arial"/>
                <w:sz w:val="21"/>
                <w:szCs w:val="21"/>
                <w:lang w:val="en-US" w:eastAsia="ja-JP"/>
              </w:rPr>
              <w:t xml:space="preserve"> and Associate Dean (Admissions) Australian National University Medical School</w:t>
            </w:r>
          </w:p>
        </w:tc>
      </w:tr>
      <w:tr w:rsidR="00D627E9" w:rsidRPr="00414A6D" w14:paraId="012A85EB" w14:textId="77777777" w:rsidTr="001E1A91">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4A8226D2" w14:textId="77777777" w:rsidR="00D627E9" w:rsidRPr="00414A6D" w:rsidRDefault="009F247E" w:rsidP="00D627E9">
            <w:pPr>
              <w:spacing w:before="40" w:after="40"/>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w:t>
            </w:r>
            <w:r w:rsidR="00D627E9" w:rsidRPr="00414A6D">
              <w:rPr>
                <w:rFonts w:ascii="Arial" w:eastAsia="MS Mincho" w:hAnsi="Arial" w:cs="Arial"/>
                <w:sz w:val="21"/>
                <w:szCs w:val="21"/>
                <w:lang w:val="en-US" w:eastAsia="ja-JP"/>
              </w:rPr>
              <w:t xml:space="preserve"> Bernard Whitfield</w:t>
            </w:r>
          </w:p>
        </w:tc>
        <w:tc>
          <w:tcPr>
            <w:tcW w:w="6072" w:type="dxa"/>
            <w:tcBorders>
              <w:top w:val="outset" w:sz="6" w:space="0" w:color="auto"/>
              <w:left w:val="outset" w:sz="6" w:space="0" w:color="auto"/>
              <w:bottom w:val="outset" w:sz="6" w:space="0" w:color="auto"/>
              <w:right w:val="outset" w:sz="6" w:space="0" w:color="auto"/>
            </w:tcBorders>
            <w:vAlign w:val="center"/>
          </w:tcPr>
          <w:p w14:paraId="7E18315C" w14:textId="77777777" w:rsidR="00D627E9" w:rsidRPr="00414A6D" w:rsidRDefault="00D627E9" w:rsidP="00D147A4">
            <w:pPr>
              <w:spacing w:before="40" w:after="40"/>
              <w:jc w:val="both"/>
              <w:rPr>
                <w:rFonts w:ascii="Arial" w:hAnsi="Arial" w:cs="Arial"/>
                <w:sz w:val="21"/>
                <w:szCs w:val="21"/>
              </w:rPr>
            </w:pPr>
            <w:r w:rsidRPr="00414A6D">
              <w:rPr>
                <w:rFonts w:ascii="Arial" w:hAnsi="Arial" w:cs="Arial"/>
                <w:sz w:val="21"/>
                <w:szCs w:val="21"/>
              </w:rPr>
              <w:t>Otolaryngology Head and Neck Chair – Royal Australasian College of Surgeons (QLD)</w:t>
            </w:r>
          </w:p>
        </w:tc>
      </w:tr>
    </w:tbl>
    <w:p w14:paraId="576046A3" w14:textId="77777777" w:rsidR="00D627E9" w:rsidRPr="00414A6D" w:rsidRDefault="00D627E9" w:rsidP="00097163">
      <w:pPr>
        <w:pStyle w:val="TOC2"/>
        <w:rPr>
          <w:highlight w:val="yellow"/>
        </w:rPr>
      </w:pPr>
    </w:p>
    <w:p w14:paraId="2382B2E2" w14:textId="2A5911D0" w:rsidR="00F13C47" w:rsidRDefault="00F13C47">
      <w:pPr>
        <w:rPr>
          <w:rFonts w:ascii="Arial" w:hAnsi="Arial" w:cs="Arial"/>
          <w:iCs/>
          <w:sz w:val="20"/>
          <w:szCs w:val="20"/>
          <w:highlight w:val="yellow"/>
          <w:lang w:val="en-US" w:eastAsia="en-US"/>
        </w:rPr>
      </w:pPr>
      <w:r>
        <w:rPr>
          <w:rFonts w:ascii="Arial" w:hAnsi="Arial" w:cs="Arial"/>
          <w:iCs/>
          <w:sz w:val="20"/>
          <w:szCs w:val="20"/>
          <w:highlight w:val="yellow"/>
          <w:lang w:val="en-US" w:eastAsia="en-US"/>
        </w:rPr>
        <w:br w:type="page"/>
      </w:r>
    </w:p>
    <w:p w14:paraId="360D2943" w14:textId="77777777" w:rsidR="00F8406E" w:rsidRPr="00414A6D" w:rsidRDefault="00F8406E" w:rsidP="006C675F">
      <w:pPr>
        <w:rPr>
          <w:rFonts w:ascii="Arial" w:hAnsi="Arial" w:cs="Arial"/>
          <w:iCs/>
          <w:sz w:val="20"/>
          <w:szCs w:val="20"/>
          <w:highlight w:val="yellow"/>
          <w:lang w:val="en-US" w:eastAsia="en-US"/>
        </w:rPr>
      </w:pP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15"/>
        <w:gridCol w:w="5760"/>
      </w:tblGrid>
      <w:tr w:rsidR="008221FD" w:rsidRPr="00414A6D" w14:paraId="1027E845"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68155AF8" w14:textId="77777777" w:rsidR="008221FD" w:rsidRPr="00414A6D" w:rsidRDefault="008221FD" w:rsidP="008221FD">
            <w:pPr>
              <w:spacing w:before="40" w:after="40"/>
              <w:jc w:val="both"/>
              <w:rPr>
                <w:rFonts w:ascii="Arial" w:eastAsia="MS Mincho" w:hAnsi="Arial" w:cs="Arial"/>
                <w:sz w:val="21"/>
                <w:szCs w:val="21"/>
                <w:lang w:val="en-US" w:eastAsia="ja-JP"/>
              </w:rPr>
            </w:pPr>
            <w:r w:rsidRPr="00414A6D">
              <w:rPr>
                <w:rFonts w:ascii="Arial" w:eastAsia="MS Mincho" w:hAnsi="Arial" w:cs="Arial"/>
                <w:b/>
                <w:bCs/>
                <w:sz w:val="21"/>
                <w:szCs w:val="21"/>
                <w:lang w:val="en-US" w:eastAsia="ja-JP"/>
              </w:rPr>
              <w:t>Staff member</w:t>
            </w:r>
          </w:p>
        </w:tc>
        <w:tc>
          <w:tcPr>
            <w:tcW w:w="5760" w:type="dxa"/>
            <w:tcBorders>
              <w:top w:val="outset" w:sz="6" w:space="0" w:color="auto"/>
              <w:left w:val="outset" w:sz="6" w:space="0" w:color="auto"/>
              <w:bottom w:val="outset" w:sz="6" w:space="0" w:color="auto"/>
              <w:right w:val="outset" w:sz="6" w:space="0" w:color="auto"/>
            </w:tcBorders>
          </w:tcPr>
          <w:p w14:paraId="164FD841" w14:textId="77777777" w:rsidR="008221FD" w:rsidRPr="00414A6D" w:rsidRDefault="008221FD" w:rsidP="006C675F">
            <w:pPr>
              <w:spacing w:before="40" w:after="40"/>
              <w:jc w:val="both"/>
              <w:rPr>
                <w:rFonts w:ascii="Arial" w:eastAsia="MS Mincho" w:hAnsi="Arial" w:cs="Arial"/>
                <w:sz w:val="21"/>
                <w:szCs w:val="21"/>
                <w:lang w:val="en-US" w:eastAsia="ja-JP"/>
              </w:rPr>
            </w:pPr>
            <w:r w:rsidRPr="00414A6D">
              <w:rPr>
                <w:rFonts w:ascii="Arial" w:eastAsia="MS Mincho" w:hAnsi="Arial" w:cs="Arial"/>
                <w:b/>
                <w:bCs/>
                <w:sz w:val="21"/>
                <w:szCs w:val="21"/>
                <w:lang w:val="en-US" w:eastAsia="ja-JP"/>
              </w:rPr>
              <w:t>Position</w:t>
            </w:r>
          </w:p>
        </w:tc>
      </w:tr>
      <w:tr w:rsidR="008221FD" w:rsidRPr="00414A6D" w14:paraId="62BC4ED1"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66064A73" w14:textId="77777777" w:rsidR="008221FD" w:rsidRPr="00414A6D" w:rsidRDefault="008221FD" w:rsidP="008221FD">
            <w:pPr>
              <w:spacing w:before="40" w:after="40"/>
              <w:jc w:val="both"/>
              <w:rPr>
                <w:rFonts w:ascii="Arial" w:eastAsia="MS Mincho" w:hAnsi="Arial" w:cs="Arial"/>
                <w:bCs/>
                <w:sz w:val="21"/>
                <w:szCs w:val="21"/>
                <w:lang w:val="en-US" w:eastAsia="ja-JP"/>
              </w:rPr>
            </w:pPr>
            <w:proofErr w:type="spellStart"/>
            <w:r w:rsidRPr="00414A6D">
              <w:rPr>
                <w:rFonts w:ascii="Arial" w:eastAsia="MS Mincho" w:hAnsi="Arial" w:cs="Arial"/>
                <w:bCs/>
                <w:sz w:val="21"/>
                <w:szCs w:val="21"/>
                <w:lang w:val="en-US" w:eastAsia="ja-JP"/>
              </w:rPr>
              <w:t>Mr</w:t>
            </w:r>
            <w:proofErr w:type="spellEnd"/>
            <w:r w:rsidRPr="00414A6D">
              <w:rPr>
                <w:rFonts w:ascii="Arial" w:eastAsia="MS Mincho" w:hAnsi="Arial" w:cs="Arial"/>
                <w:bCs/>
                <w:sz w:val="21"/>
                <w:szCs w:val="21"/>
                <w:lang w:val="en-US" w:eastAsia="ja-JP"/>
              </w:rPr>
              <w:t xml:space="preserve"> Luke Clarke</w:t>
            </w:r>
          </w:p>
        </w:tc>
        <w:tc>
          <w:tcPr>
            <w:tcW w:w="5760" w:type="dxa"/>
            <w:tcBorders>
              <w:top w:val="outset" w:sz="6" w:space="0" w:color="auto"/>
              <w:left w:val="outset" w:sz="6" w:space="0" w:color="auto"/>
              <w:bottom w:val="outset" w:sz="6" w:space="0" w:color="auto"/>
              <w:right w:val="outset" w:sz="6" w:space="0" w:color="auto"/>
            </w:tcBorders>
          </w:tcPr>
          <w:p w14:paraId="1A62FE23" w14:textId="77777777" w:rsidR="008221FD" w:rsidRPr="00414A6D" w:rsidRDefault="006C675F" w:rsidP="006C675F">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Director, Policy Development, IHPA</w:t>
            </w:r>
          </w:p>
        </w:tc>
      </w:tr>
      <w:tr w:rsidR="008221FD" w:rsidRPr="00414A6D" w14:paraId="502A39DE"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6D289A6A" w14:textId="77777777" w:rsidR="008221FD" w:rsidRPr="00414A6D" w:rsidRDefault="008221FD" w:rsidP="008221FD">
            <w:pPr>
              <w:spacing w:before="40" w:after="40"/>
              <w:jc w:val="both"/>
              <w:rPr>
                <w:rFonts w:ascii="Arial" w:eastAsia="MS Mincho" w:hAnsi="Arial" w:cs="Arial"/>
                <w:bCs/>
                <w:sz w:val="21"/>
                <w:szCs w:val="21"/>
                <w:lang w:val="en-US" w:eastAsia="ja-JP"/>
              </w:rPr>
            </w:pPr>
            <w:proofErr w:type="spellStart"/>
            <w:r w:rsidRPr="00414A6D">
              <w:rPr>
                <w:rFonts w:ascii="Arial" w:eastAsia="MS Mincho" w:hAnsi="Arial" w:cs="Arial"/>
                <w:bCs/>
                <w:sz w:val="21"/>
                <w:szCs w:val="21"/>
                <w:lang w:val="en-US" w:eastAsia="ja-JP"/>
              </w:rPr>
              <w:t>Mr</w:t>
            </w:r>
            <w:proofErr w:type="spellEnd"/>
            <w:r w:rsidRPr="00414A6D">
              <w:rPr>
                <w:rFonts w:ascii="Arial" w:eastAsia="MS Mincho" w:hAnsi="Arial" w:cs="Arial"/>
                <w:bCs/>
                <w:sz w:val="21"/>
                <w:szCs w:val="21"/>
                <w:lang w:val="en-US" w:eastAsia="ja-JP"/>
              </w:rPr>
              <w:t xml:space="preserve"> Michael Frost</w:t>
            </w:r>
          </w:p>
        </w:tc>
        <w:tc>
          <w:tcPr>
            <w:tcW w:w="5760" w:type="dxa"/>
            <w:tcBorders>
              <w:top w:val="outset" w:sz="6" w:space="0" w:color="auto"/>
              <w:left w:val="outset" w:sz="6" w:space="0" w:color="auto"/>
              <w:bottom w:val="outset" w:sz="6" w:space="0" w:color="auto"/>
              <w:right w:val="outset" w:sz="6" w:space="0" w:color="auto"/>
            </w:tcBorders>
          </w:tcPr>
          <w:p w14:paraId="49B8C354" w14:textId="77777777" w:rsidR="008221FD" w:rsidRPr="00414A6D" w:rsidRDefault="00FE6FC9" w:rsidP="006C675F">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 xml:space="preserve">Executive </w:t>
            </w:r>
            <w:r w:rsidR="006C675F" w:rsidRPr="00414A6D">
              <w:rPr>
                <w:rFonts w:ascii="Arial" w:eastAsia="MS Mincho" w:hAnsi="Arial" w:cs="Arial"/>
                <w:bCs/>
                <w:sz w:val="21"/>
                <w:szCs w:val="21"/>
                <w:lang w:val="en-US" w:eastAsia="ja-JP"/>
              </w:rPr>
              <w:t xml:space="preserve">Director, </w:t>
            </w:r>
            <w:r w:rsidRPr="00414A6D">
              <w:rPr>
                <w:rFonts w:ascii="Arial" w:eastAsia="MS Mincho" w:hAnsi="Arial" w:cs="Arial"/>
                <w:bCs/>
                <w:sz w:val="21"/>
                <w:szCs w:val="21"/>
                <w:lang w:val="en-US" w:eastAsia="ja-JP"/>
              </w:rPr>
              <w:t>Strategic Initiatives, NHPA</w:t>
            </w:r>
          </w:p>
        </w:tc>
      </w:tr>
      <w:tr w:rsidR="008221FD" w:rsidRPr="00414A6D" w14:paraId="311853F5"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7EFAD701" w14:textId="77777777" w:rsidR="008221FD" w:rsidRPr="00414A6D" w:rsidRDefault="008221FD" w:rsidP="008221FD">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Ms Amanda Mulcahy</w:t>
            </w:r>
          </w:p>
        </w:tc>
        <w:tc>
          <w:tcPr>
            <w:tcW w:w="5760" w:type="dxa"/>
            <w:tcBorders>
              <w:top w:val="outset" w:sz="6" w:space="0" w:color="auto"/>
              <w:left w:val="outset" w:sz="6" w:space="0" w:color="auto"/>
              <w:bottom w:val="outset" w:sz="6" w:space="0" w:color="auto"/>
              <w:right w:val="outset" w:sz="6" w:space="0" w:color="auto"/>
            </w:tcBorders>
          </w:tcPr>
          <w:p w14:paraId="78174E00" w14:textId="77777777" w:rsidR="008221FD" w:rsidRPr="00414A6D" w:rsidRDefault="006C675F" w:rsidP="006C675F">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Senior Program Officer, the Commission</w:t>
            </w:r>
          </w:p>
        </w:tc>
      </w:tr>
      <w:tr w:rsidR="008221FD" w:rsidRPr="00414A6D" w14:paraId="57308E6C"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0D599E85" w14:textId="77777777" w:rsidR="008221FD" w:rsidRPr="00414A6D" w:rsidRDefault="008221FD" w:rsidP="008221FD">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Ms Janelle Painter</w:t>
            </w:r>
          </w:p>
        </w:tc>
        <w:tc>
          <w:tcPr>
            <w:tcW w:w="5760" w:type="dxa"/>
            <w:tcBorders>
              <w:top w:val="outset" w:sz="6" w:space="0" w:color="auto"/>
              <w:left w:val="outset" w:sz="6" w:space="0" w:color="auto"/>
              <w:bottom w:val="outset" w:sz="6" w:space="0" w:color="auto"/>
              <w:right w:val="outset" w:sz="6" w:space="0" w:color="auto"/>
            </w:tcBorders>
          </w:tcPr>
          <w:p w14:paraId="422316DA" w14:textId="77777777" w:rsidR="008221FD" w:rsidRPr="00414A6D" w:rsidRDefault="006C675F" w:rsidP="006C675F">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Senior Policy Officer</w:t>
            </w:r>
            <w:r w:rsidR="0074152C" w:rsidRPr="00414A6D">
              <w:rPr>
                <w:rFonts w:ascii="Arial" w:eastAsia="MS Mincho" w:hAnsi="Arial" w:cs="Arial"/>
                <w:bCs/>
                <w:sz w:val="21"/>
                <w:szCs w:val="21"/>
                <w:lang w:val="en-US" w:eastAsia="ja-JP"/>
              </w:rPr>
              <w:t xml:space="preserve"> Quality and Safety</w:t>
            </w:r>
            <w:r w:rsidRPr="00414A6D">
              <w:rPr>
                <w:rFonts w:ascii="Arial" w:eastAsia="MS Mincho" w:hAnsi="Arial" w:cs="Arial"/>
                <w:bCs/>
                <w:sz w:val="21"/>
                <w:szCs w:val="21"/>
                <w:lang w:val="en-US" w:eastAsia="ja-JP"/>
              </w:rPr>
              <w:t>, IHPA</w:t>
            </w:r>
          </w:p>
        </w:tc>
      </w:tr>
      <w:tr w:rsidR="008221FD" w:rsidRPr="00414A6D" w14:paraId="523971AC"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7CD4AE48" w14:textId="77777777" w:rsidR="008221FD" w:rsidRPr="00414A6D" w:rsidRDefault="008221FD" w:rsidP="008221FD">
            <w:pPr>
              <w:spacing w:before="40" w:after="40"/>
              <w:jc w:val="both"/>
              <w:rPr>
                <w:rFonts w:ascii="Arial" w:eastAsia="MS Mincho" w:hAnsi="Arial" w:cs="Arial"/>
                <w:bCs/>
                <w:sz w:val="21"/>
                <w:szCs w:val="21"/>
                <w:lang w:val="en-US" w:eastAsia="ja-JP"/>
              </w:rPr>
            </w:pPr>
            <w:proofErr w:type="spellStart"/>
            <w:r w:rsidRPr="00414A6D">
              <w:rPr>
                <w:rFonts w:ascii="Arial" w:eastAsia="MS Mincho" w:hAnsi="Arial" w:cs="Arial"/>
                <w:bCs/>
                <w:sz w:val="21"/>
                <w:szCs w:val="21"/>
                <w:lang w:val="en-US" w:eastAsia="ja-JP"/>
              </w:rPr>
              <w:t>Mr</w:t>
            </w:r>
            <w:proofErr w:type="spellEnd"/>
            <w:r w:rsidRPr="00414A6D">
              <w:rPr>
                <w:rFonts w:ascii="Arial" w:eastAsia="MS Mincho" w:hAnsi="Arial" w:cs="Arial"/>
                <w:bCs/>
                <w:sz w:val="21"/>
                <w:szCs w:val="21"/>
                <w:lang w:val="en-US" w:eastAsia="ja-JP"/>
              </w:rPr>
              <w:t xml:space="preserve"> Luke </w:t>
            </w:r>
            <w:proofErr w:type="spellStart"/>
            <w:r w:rsidRPr="00414A6D">
              <w:rPr>
                <w:rFonts w:ascii="Arial" w:eastAsia="MS Mincho" w:hAnsi="Arial" w:cs="Arial"/>
                <w:bCs/>
                <w:sz w:val="21"/>
                <w:szCs w:val="21"/>
                <w:lang w:val="en-US" w:eastAsia="ja-JP"/>
              </w:rPr>
              <w:t>Slawomirski</w:t>
            </w:r>
            <w:proofErr w:type="spellEnd"/>
          </w:p>
        </w:tc>
        <w:tc>
          <w:tcPr>
            <w:tcW w:w="5760" w:type="dxa"/>
            <w:tcBorders>
              <w:top w:val="outset" w:sz="6" w:space="0" w:color="auto"/>
              <w:left w:val="outset" w:sz="6" w:space="0" w:color="auto"/>
              <w:bottom w:val="outset" w:sz="6" w:space="0" w:color="auto"/>
              <w:right w:val="outset" w:sz="6" w:space="0" w:color="auto"/>
            </w:tcBorders>
          </w:tcPr>
          <w:p w14:paraId="062EF353" w14:textId="77777777" w:rsidR="008221FD" w:rsidRPr="00414A6D" w:rsidRDefault="006C675F" w:rsidP="006C675F">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Program Manager, the Commission</w:t>
            </w:r>
          </w:p>
        </w:tc>
      </w:tr>
      <w:tr w:rsidR="006C675F" w:rsidRPr="00414A6D" w14:paraId="71528BCE" w14:textId="77777777" w:rsidTr="006C675F">
        <w:trPr>
          <w:tblCellSpacing w:w="0" w:type="dxa"/>
        </w:trPr>
        <w:tc>
          <w:tcPr>
            <w:tcW w:w="3015" w:type="dxa"/>
            <w:tcBorders>
              <w:top w:val="outset" w:sz="6" w:space="0" w:color="auto"/>
              <w:left w:val="outset" w:sz="6" w:space="0" w:color="auto"/>
              <w:bottom w:val="outset" w:sz="6" w:space="0" w:color="auto"/>
              <w:right w:val="outset" w:sz="6" w:space="0" w:color="auto"/>
            </w:tcBorders>
          </w:tcPr>
          <w:p w14:paraId="00CAA802" w14:textId="40618C0F" w:rsidR="006C675F" w:rsidRPr="00414A6D" w:rsidRDefault="00F13C47" w:rsidP="008221FD">
            <w:pPr>
              <w:spacing w:before="40" w:after="40"/>
              <w:jc w:val="both"/>
              <w:rPr>
                <w:rFonts w:ascii="Arial" w:eastAsia="MS Mincho" w:hAnsi="Arial" w:cs="Arial"/>
                <w:bCs/>
                <w:sz w:val="21"/>
                <w:szCs w:val="21"/>
                <w:lang w:val="en-US" w:eastAsia="ja-JP"/>
              </w:rPr>
            </w:pPr>
            <w:r>
              <w:rPr>
                <w:rFonts w:ascii="Arial" w:eastAsia="MS Mincho" w:hAnsi="Arial" w:cs="Arial"/>
                <w:bCs/>
                <w:sz w:val="21"/>
                <w:szCs w:val="21"/>
                <w:lang w:val="en-US" w:eastAsia="ja-JP"/>
              </w:rPr>
              <w:t>D</w:t>
            </w:r>
            <w:r w:rsidR="006C675F" w:rsidRPr="00414A6D">
              <w:rPr>
                <w:rFonts w:ascii="Arial" w:eastAsia="MS Mincho" w:hAnsi="Arial" w:cs="Arial"/>
                <w:bCs/>
                <w:sz w:val="21"/>
                <w:szCs w:val="21"/>
                <w:lang w:val="en-US" w:eastAsia="ja-JP"/>
              </w:rPr>
              <w:t>r Tony Sherbon</w:t>
            </w:r>
          </w:p>
        </w:tc>
        <w:tc>
          <w:tcPr>
            <w:tcW w:w="5760" w:type="dxa"/>
            <w:tcBorders>
              <w:top w:val="outset" w:sz="6" w:space="0" w:color="auto"/>
              <w:left w:val="outset" w:sz="6" w:space="0" w:color="auto"/>
              <w:bottom w:val="outset" w:sz="6" w:space="0" w:color="auto"/>
              <w:right w:val="outset" w:sz="6" w:space="0" w:color="auto"/>
            </w:tcBorders>
          </w:tcPr>
          <w:p w14:paraId="799C0401" w14:textId="77777777" w:rsidR="006C675F" w:rsidRPr="00414A6D" w:rsidRDefault="006C675F" w:rsidP="006C675F">
            <w:pPr>
              <w:spacing w:before="40" w:after="40"/>
              <w:jc w:val="both"/>
              <w:rPr>
                <w:rFonts w:ascii="Arial" w:eastAsia="MS Mincho" w:hAnsi="Arial" w:cs="Arial"/>
                <w:bCs/>
                <w:sz w:val="21"/>
                <w:szCs w:val="21"/>
                <w:lang w:val="en-US" w:eastAsia="ja-JP"/>
              </w:rPr>
            </w:pPr>
            <w:r w:rsidRPr="00414A6D">
              <w:rPr>
                <w:rFonts w:ascii="Arial" w:eastAsia="MS Mincho" w:hAnsi="Arial" w:cs="Arial"/>
                <w:bCs/>
                <w:sz w:val="21"/>
                <w:szCs w:val="21"/>
                <w:lang w:val="en-US" w:eastAsia="ja-JP"/>
              </w:rPr>
              <w:t>Chief Executive Officer, IHPA</w:t>
            </w:r>
          </w:p>
        </w:tc>
      </w:tr>
    </w:tbl>
    <w:p w14:paraId="06CA435E" w14:textId="77777777" w:rsidR="008221FD" w:rsidRPr="00414A6D" w:rsidRDefault="008221FD" w:rsidP="005C7291">
      <w:pPr>
        <w:rPr>
          <w:rFonts w:ascii="Arial" w:hAnsi="Arial" w:cs="Arial"/>
          <w:sz w:val="20"/>
          <w:szCs w:val="20"/>
          <w:u w:val="single"/>
          <w:lang w:val="en-US" w:eastAsia="en-US"/>
        </w:rPr>
      </w:pPr>
    </w:p>
    <w:p w14:paraId="3BB3411A" w14:textId="77777777" w:rsidR="00CE6448" w:rsidRDefault="00CE6448">
      <w:pPr>
        <w:rPr>
          <w:rFonts w:ascii="Arial" w:hAnsi="Arial" w:cs="Arial"/>
          <w:sz w:val="20"/>
          <w:szCs w:val="20"/>
          <w:u w:val="single"/>
          <w:lang w:val="en-US" w:eastAsia="en-US"/>
        </w:rPr>
      </w:pPr>
    </w:p>
    <w:p w14:paraId="344CA8A7" w14:textId="77777777" w:rsidR="006F2E12" w:rsidRDefault="006F2E12">
      <w:pPr>
        <w:rPr>
          <w:rFonts w:ascii="Arial" w:hAnsi="Arial" w:cs="Arial"/>
          <w:sz w:val="20"/>
          <w:szCs w:val="20"/>
          <w:u w:val="single"/>
          <w:lang w:val="en-US" w:eastAsia="en-US"/>
        </w:rPr>
        <w:sectPr w:rsidR="006F2E12" w:rsidSect="00C3513A">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2694" w:right="1440" w:bottom="1440" w:left="1440" w:header="708" w:footer="708" w:gutter="0"/>
          <w:pgNumType w:fmt="lowerRoman" w:start="1"/>
          <w:cols w:space="708"/>
          <w:docGrid w:linePitch="360"/>
        </w:sectPr>
      </w:pPr>
    </w:p>
    <w:p w14:paraId="13B36386" w14:textId="77777777" w:rsidR="009F247E" w:rsidRPr="00414A6D" w:rsidRDefault="009F247E" w:rsidP="00112D48">
      <w:pPr>
        <w:pStyle w:val="Heading1"/>
        <w:numPr>
          <w:ilvl w:val="0"/>
          <w:numId w:val="0"/>
        </w:numPr>
        <w:jc w:val="both"/>
        <w:rPr>
          <w:szCs w:val="21"/>
        </w:rPr>
      </w:pPr>
      <w:bookmarkStart w:id="1" w:name="_Toc426633796"/>
      <w:r w:rsidRPr="00414A6D">
        <w:rPr>
          <w:szCs w:val="21"/>
        </w:rPr>
        <w:lastRenderedPageBreak/>
        <w:t>Executive Summary</w:t>
      </w:r>
      <w:bookmarkEnd w:id="1"/>
    </w:p>
    <w:p w14:paraId="396B096F" w14:textId="3C1D96B8" w:rsidR="006F2E12" w:rsidRPr="006F2E12" w:rsidRDefault="001219F8" w:rsidP="006F2E12">
      <w:pPr>
        <w:ind w:right="-334"/>
        <w:jc w:val="both"/>
        <w:rPr>
          <w:rFonts w:ascii="Arial" w:hAnsi="Arial" w:cs="Arial"/>
          <w:sz w:val="22"/>
          <w:szCs w:val="22"/>
        </w:rPr>
      </w:pPr>
      <w:r w:rsidRPr="00414A6D">
        <w:rPr>
          <w:rFonts w:ascii="Arial" w:hAnsi="Arial" w:cs="Arial"/>
          <w:sz w:val="22"/>
          <w:szCs w:val="22"/>
        </w:rPr>
        <w:t>This report</w:t>
      </w:r>
      <w:r w:rsidR="00BB6687" w:rsidRPr="00414A6D">
        <w:rPr>
          <w:rFonts w:ascii="Arial" w:hAnsi="Arial" w:cs="Arial"/>
          <w:sz w:val="22"/>
          <w:szCs w:val="22"/>
        </w:rPr>
        <w:t xml:space="preserve"> by the </w:t>
      </w:r>
      <w:r w:rsidR="005D7D98" w:rsidRPr="005D7D98">
        <w:rPr>
          <w:rFonts w:ascii="Arial" w:hAnsi="Arial" w:cs="Arial"/>
          <w:sz w:val="22"/>
          <w:szCs w:val="22"/>
        </w:rPr>
        <w:t>Sub-Committee on Best</w:t>
      </w:r>
      <w:r w:rsidR="00516A15">
        <w:rPr>
          <w:rFonts w:ascii="Arial" w:hAnsi="Arial" w:cs="Arial"/>
          <w:sz w:val="22"/>
          <w:szCs w:val="22"/>
        </w:rPr>
        <w:t>-P</w:t>
      </w:r>
      <w:r w:rsidR="005D7D98" w:rsidRPr="005D7D98">
        <w:rPr>
          <w:rFonts w:ascii="Arial" w:hAnsi="Arial" w:cs="Arial"/>
          <w:sz w:val="22"/>
          <w:szCs w:val="22"/>
        </w:rPr>
        <w:t xml:space="preserve">ractice Pricing and Clinical Quality Information </w:t>
      </w:r>
      <w:r w:rsidR="005D7D98">
        <w:rPr>
          <w:rFonts w:ascii="Arial" w:hAnsi="Arial" w:cs="Arial"/>
          <w:sz w:val="22"/>
          <w:szCs w:val="22"/>
        </w:rPr>
        <w:t xml:space="preserve">(the </w:t>
      </w:r>
      <w:r w:rsidR="00BB6687" w:rsidRPr="00414A6D">
        <w:rPr>
          <w:rFonts w:ascii="Arial" w:hAnsi="Arial" w:cs="Arial"/>
          <w:sz w:val="22"/>
          <w:szCs w:val="22"/>
        </w:rPr>
        <w:t>Sub-Committee</w:t>
      </w:r>
      <w:r w:rsidR="005D7D98">
        <w:rPr>
          <w:rFonts w:ascii="Arial" w:hAnsi="Arial" w:cs="Arial"/>
          <w:sz w:val="22"/>
          <w:szCs w:val="22"/>
        </w:rPr>
        <w:t>)</w:t>
      </w:r>
      <w:r w:rsidRPr="00414A6D">
        <w:rPr>
          <w:rFonts w:ascii="Arial" w:hAnsi="Arial" w:cs="Arial"/>
          <w:sz w:val="22"/>
          <w:szCs w:val="22"/>
        </w:rPr>
        <w:t xml:space="preserve"> </w:t>
      </w:r>
      <w:r w:rsidR="00B9771B">
        <w:rPr>
          <w:rFonts w:ascii="Arial" w:hAnsi="Arial" w:cs="Arial"/>
          <w:sz w:val="22"/>
          <w:szCs w:val="22"/>
        </w:rPr>
        <w:t xml:space="preserve">was endorsed by </w:t>
      </w:r>
      <w:r w:rsidRPr="00414A6D">
        <w:rPr>
          <w:rFonts w:ascii="Arial" w:hAnsi="Arial" w:cs="Arial"/>
          <w:sz w:val="22"/>
          <w:szCs w:val="22"/>
        </w:rPr>
        <w:t xml:space="preserve">the Joint Working Party </w:t>
      </w:r>
      <w:r w:rsidR="00E72D86" w:rsidRPr="00414A6D">
        <w:rPr>
          <w:rFonts w:ascii="Arial" w:hAnsi="Arial" w:cs="Arial"/>
          <w:sz w:val="22"/>
          <w:szCs w:val="22"/>
        </w:rPr>
        <w:t xml:space="preserve">on Pricing for Safety and Quality in Australian Public Hospitals (JWP) </w:t>
      </w:r>
      <w:r w:rsidRPr="00414A6D">
        <w:rPr>
          <w:rFonts w:ascii="Arial" w:hAnsi="Arial" w:cs="Arial"/>
          <w:sz w:val="22"/>
          <w:szCs w:val="22"/>
        </w:rPr>
        <w:t xml:space="preserve">of the Independent Hospital Pricing Authority (IHPA) and the Australian Commission on Safety and Quality in Health Care (the Commission) </w:t>
      </w:r>
      <w:r w:rsidR="00B9771B">
        <w:rPr>
          <w:rFonts w:ascii="Arial" w:hAnsi="Arial" w:cs="Arial"/>
          <w:sz w:val="22"/>
          <w:szCs w:val="22"/>
        </w:rPr>
        <w:t xml:space="preserve">on 29 June 2015. It </w:t>
      </w:r>
      <w:r w:rsidRPr="00414A6D">
        <w:rPr>
          <w:rFonts w:ascii="Arial" w:hAnsi="Arial" w:cs="Arial"/>
          <w:sz w:val="22"/>
          <w:szCs w:val="22"/>
        </w:rPr>
        <w:t xml:space="preserve">outlines the requirements and a potential approach </w:t>
      </w:r>
      <w:r w:rsidR="00E72D86" w:rsidRPr="00414A6D">
        <w:rPr>
          <w:rFonts w:ascii="Arial" w:hAnsi="Arial" w:cs="Arial"/>
          <w:sz w:val="22"/>
          <w:szCs w:val="22"/>
        </w:rPr>
        <w:t xml:space="preserve">to </w:t>
      </w:r>
      <w:r w:rsidRPr="00414A6D">
        <w:rPr>
          <w:rFonts w:ascii="Arial" w:hAnsi="Arial" w:cs="Arial"/>
          <w:sz w:val="22"/>
          <w:szCs w:val="22"/>
        </w:rPr>
        <w:t>implementing national best</w:t>
      </w:r>
      <w:r w:rsidRPr="00414A6D">
        <w:rPr>
          <w:rFonts w:ascii="Arial" w:hAnsi="Arial" w:cs="Arial"/>
          <w:sz w:val="22"/>
          <w:szCs w:val="22"/>
        </w:rPr>
        <w:noBreakHyphen/>
        <w:t xml:space="preserve">practice pricing and the provision of hospital-level safety and quality data for hip fracture care in Australian public hospitals. </w:t>
      </w:r>
      <w:r w:rsidR="006F2E12">
        <w:rPr>
          <w:rFonts w:ascii="Arial" w:hAnsi="Arial" w:cs="Arial"/>
          <w:sz w:val="22"/>
          <w:szCs w:val="22"/>
        </w:rPr>
        <w:t>This report was e</w:t>
      </w:r>
      <w:r w:rsidR="006F2E12" w:rsidRPr="006F2E12">
        <w:rPr>
          <w:rFonts w:ascii="Arial" w:hAnsi="Arial" w:cs="Arial"/>
          <w:sz w:val="22"/>
          <w:szCs w:val="22"/>
        </w:rPr>
        <w:t xml:space="preserve">ndorsed by the </w:t>
      </w:r>
      <w:r w:rsidR="006F2E12">
        <w:rPr>
          <w:rFonts w:ascii="Arial" w:hAnsi="Arial" w:cs="Arial"/>
          <w:sz w:val="22"/>
          <w:szCs w:val="22"/>
        </w:rPr>
        <w:t>JWP</w:t>
      </w:r>
      <w:r w:rsidR="006F2E12" w:rsidRPr="006F2E12">
        <w:rPr>
          <w:rFonts w:ascii="Arial" w:hAnsi="Arial" w:cs="Arial"/>
          <w:sz w:val="22"/>
          <w:szCs w:val="22"/>
        </w:rPr>
        <w:t xml:space="preserve"> on 29 June 2015</w:t>
      </w:r>
      <w:r w:rsidR="006F2E12">
        <w:rPr>
          <w:rFonts w:ascii="Arial" w:hAnsi="Arial" w:cs="Arial"/>
          <w:sz w:val="22"/>
          <w:szCs w:val="22"/>
        </w:rPr>
        <w:t>,</w:t>
      </w:r>
      <w:r w:rsidR="006F2E12" w:rsidRPr="006F2E12">
        <w:rPr>
          <w:rFonts w:ascii="Arial" w:hAnsi="Arial" w:cs="Arial"/>
          <w:sz w:val="22"/>
          <w:szCs w:val="22"/>
        </w:rPr>
        <w:t xml:space="preserve"> and endorsed by the Commission and IHPA Boards in September and August 2015 respectively.</w:t>
      </w:r>
    </w:p>
    <w:p w14:paraId="6DAAA5C4" w14:textId="77777777" w:rsidR="00B9771B" w:rsidRDefault="00B9771B" w:rsidP="00D41ED6">
      <w:pPr>
        <w:ind w:right="-334"/>
        <w:jc w:val="both"/>
        <w:rPr>
          <w:rFonts w:ascii="Arial" w:hAnsi="Arial" w:cs="Arial"/>
          <w:sz w:val="22"/>
          <w:szCs w:val="22"/>
        </w:rPr>
      </w:pPr>
    </w:p>
    <w:p w14:paraId="63FDC380" w14:textId="30C45A7F" w:rsidR="001219F8" w:rsidRPr="00414A6D" w:rsidRDefault="00E72D86" w:rsidP="00D41ED6">
      <w:pPr>
        <w:ind w:right="-334"/>
        <w:jc w:val="both"/>
        <w:rPr>
          <w:rFonts w:ascii="Arial" w:hAnsi="Arial" w:cs="Arial"/>
          <w:sz w:val="22"/>
          <w:szCs w:val="22"/>
        </w:rPr>
      </w:pPr>
      <w:r w:rsidRPr="00414A6D">
        <w:rPr>
          <w:rFonts w:ascii="Arial" w:hAnsi="Arial" w:cs="Arial"/>
          <w:sz w:val="22"/>
          <w:szCs w:val="22"/>
        </w:rPr>
        <w:t xml:space="preserve">The </w:t>
      </w:r>
      <w:r w:rsidR="00BB6687" w:rsidRPr="00414A6D">
        <w:rPr>
          <w:rFonts w:ascii="Arial" w:hAnsi="Arial" w:cs="Arial"/>
          <w:sz w:val="22"/>
          <w:szCs w:val="22"/>
        </w:rPr>
        <w:t>Sub-</w:t>
      </w:r>
      <w:r w:rsidRPr="00414A6D">
        <w:rPr>
          <w:rFonts w:ascii="Arial" w:hAnsi="Arial" w:cs="Arial"/>
          <w:sz w:val="22"/>
          <w:szCs w:val="22"/>
        </w:rPr>
        <w:t>Committee</w:t>
      </w:r>
      <w:r w:rsidR="00BB6687" w:rsidRPr="00414A6D">
        <w:rPr>
          <w:rFonts w:ascii="Arial" w:hAnsi="Arial" w:cs="Arial"/>
          <w:sz w:val="22"/>
          <w:szCs w:val="22"/>
        </w:rPr>
        <w:t>’</w:t>
      </w:r>
      <w:r w:rsidRPr="00414A6D">
        <w:rPr>
          <w:rFonts w:ascii="Arial" w:hAnsi="Arial" w:cs="Arial"/>
          <w:sz w:val="22"/>
          <w:szCs w:val="22"/>
        </w:rPr>
        <w:t xml:space="preserve">s work was informed by </w:t>
      </w:r>
      <w:r w:rsidR="00EC5B88" w:rsidRPr="00414A6D">
        <w:rPr>
          <w:rFonts w:ascii="Arial" w:hAnsi="Arial" w:cs="Arial"/>
          <w:sz w:val="22"/>
          <w:szCs w:val="22"/>
        </w:rPr>
        <w:t xml:space="preserve">domestic and international </w:t>
      </w:r>
      <w:r w:rsidRPr="00414A6D">
        <w:rPr>
          <w:rFonts w:ascii="Arial" w:hAnsi="Arial" w:cs="Arial"/>
          <w:sz w:val="22"/>
          <w:szCs w:val="22"/>
        </w:rPr>
        <w:t xml:space="preserve">consultations, review of literature and analyses of data. </w:t>
      </w:r>
      <w:r w:rsidR="00242ED5" w:rsidRPr="00414A6D">
        <w:rPr>
          <w:rFonts w:ascii="Arial" w:hAnsi="Arial" w:cs="Arial"/>
          <w:sz w:val="22"/>
          <w:szCs w:val="22"/>
        </w:rPr>
        <w:t xml:space="preserve">A summary of recommendations is provided in Table 1, page </w:t>
      </w:r>
      <w:r w:rsidR="00550A03">
        <w:rPr>
          <w:rFonts w:ascii="Arial" w:hAnsi="Arial" w:cs="Arial"/>
          <w:sz w:val="22"/>
          <w:szCs w:val="22"/>
        </w:rPr>
        <w:t>vii</w:t>
      </w:r>
      <w:r w:rsidR="00242ED5" w:rsidRPr="00414A6D">
        <w:rPr>
          <w:rFonts w:ascii="Arial" w:hAnsi="Arial" w:cs="Arial"/>
          <w:sz w:val="22"/>
          <w:szCs w:val="22"/>
        </w:rPr>
        <w:t>.</w:t>
      </w:r>
    </w:p>
    <w:p w14:paraId="1941EBB4" w14:textId="77777777" w:rsidR="00975346" w:rsidRPr="00414A6D" w:rsidRDefault="00975346" w:rsidP="00D41ED6">
      <w:pPr>
        <w:ind w:right="-334"/>
        <w:jc w:val="both"/>
        <w:rPr>
          <w:rFonts w:ascii="Arial" w:hAnsi="Arial" w:cs="Arial"/>
          <w:sz w:val="22"/>
          <w:szCs w:val="22"/>
        </w:rPr>
      </w:pPr>
    </w:p>
    <w:p w14:paraId="10FC28F1" w14:textId="77D0965F" w:rsidR="001219F8" w:rsidRPr="00414A6D" w:rsidRDefault="001219F8" w:rsidP="00D41ED6">
      <w:pPr>
        <w:ind w:right="-334"/>
        <w:jc w:val="both"/>
        <w:rPr>
          <w:rFonts w:ascii="Arial" w:hAnsi="Arial" w:cs="Arial"/>
          <w:sz w:val="22"/>
          <w:szCs w:val="22"/>
        </w:rPr>
      </w:pPr>
      <w:r w:rsidRPr="00414A6D">
        <w:rPr>
          <w:rFonts w:ascii="Arial" w:hAnsi="Arial" w:cs="Arial"/>
          <w:sz w:val="22"/>
          <w:szCs w:val="22"/>
        </w:rPr>
        <w:t>Best-practice</w:t>
      </w:r>
      <w:r w:rsidRPr="00414A6D" w:rsidDel="00191FCB">
        <w:rPr>
          <w:rFonts w:ascii="Arial" w:hAnsi="Arial" w:cs="Arial"/>
          <w:sz w:val="22"/>
          <w:szCs w:val="22"/>
        </w:rPr>
        <w:t xml:space="preserve"> pricing describes </w:t>
      </w:r>
      <w:r w:rsidR="00985093" w:rsidRPr="00414A6D">
        <w:rPr>
          <w:rFonts w:ascii="Arial" w:hAnsi="Arial" w:cs="Arial"/>
          <w:sz w:val="22"/>
          <w:szCs w:val="22"/>
        </w:rPr>
        <w:t xml:space="preserve">an approach to </w:t>
      </w:r>
      <w:r w:rsidRPr="00414A6D" w:rsidDel="00191FCB">
        <w:rPr>
          <w:rFonts w:ascii="Arial" w:hAnsi="Arial" w:cs="Arial"/>
          <w:sz w:val="22"/>
          <w:szCs w:val="22"/>
        </w:rPr>
        <w:t xml:space="preserve">purchasing of healthcare services </w:t>
      </w:r>
      <w:r w:rsidRPr="00414A6D">
        <w:rPr>
          <w:rFonts w:ascii="Arial" w:hAnsi="Arial" w:cs="Arial"/>
          <w:sz w:val="22"/>
          <w:szCs w:val="22"/>
        </w:rPr>
        <w:t xml:space="preserve">for a specific procedure or intervention </w:t>
      </w:r>
      <w:r w:rsidRPr="00414A6D" w:rsidDel="00191FCB">
        <w:rPr>
          <w:rFonts w:ascii="Arial" w:hAnsi="Arial" w:cs="Arial"/>
          <w:sz w:val="22"/>
          <w:szCs w:val="22"/>
        </w:rPr>
        <w:t xml:space="preserve">at a price that reflects </w:t>
      </w:r>
      <w:r w:rsidRPr="00414A6D">
        <w:rPr>
          <w:rFonts w:ascii="Arial" w:hAnsi="Arial" w:cs="Arial"/>
          <w:sz w:val="22"/>
          <w:szCs w:val="22"/>
        </w:rPr>
        <w:t>the elements that constitute best</w:t>
      </w:r>
      <w:r w:rsidR="00F13C47">
        <w:rPr>
          <w:rFonts w:ascii="Arial" w:hAnsi="Arial" w:cs="Arial"/>
          <w:sz w:val="22"/>
          <w:szCs w:val="22"/>
        </w:rPr>
        <w:noBreakHyphen/>
      </w:r>
      <w:r w:rsidRPr="00414A6D">
        <w:rPr>
          <w:rFonts w:ascii="Arial" w:hAnsi="Arial" w:cs="Arial"/>
          <w:sz w:val="22"/>
          <w:szCs w:val="22"/>
        </w:rPr>
        <w:t xml:space="preserve">practice. </w:t>
      </w:r>
      <w:r w:rsidR="00E72D86" w:rsidRPr="00414A6D">
        <w:rPr>
          <w:rFonts w:ascii="Arial" w:hAnsi="Arial" w:cs="Arial"/>
          <w:sz w:val="22"/>
          <w:szCs w:val="22"/>
        </w:rPr>
        <w:t xml:space="preserve">Under a best-practice pricing model, </w:t>
      </w:r>
      <w:r w:rsidR="00EC5B88" w:rsidRPr="00414A6D">
        <w:rPr>
          <w:rFonts w:ascii="Arial" w:hAnsi="Arial" w:cs="Arial"/>
          <w:sz w:val="22"/>
          <w:szCs w:val="22"/>
        </w:rPr>
        <w:t xml:space="preserve">a tariff </w:t>
      </w:r>
      <w:r w:rsidR="00E72D86" w:rsidRPr="00414A6D" w:rsidDel="00191FCB">
        <w:rPr>
          <w:rFonts w:ascii="Arial" w:hAnsi="Arial" w:cs="Arial"/>
          <w:sz w:val="22"/>
          <w:szCs w:val="22"/>
        </w:rPr>
        <w:t>is</w:t>
      </w:r>
      <w:r w:rsidR="00E72D86" w:rsidRPr="00414A6D">
        <w:rPr>
          <w:rFonts w:ascii="Arial" w:hAnsi="Arial" w:cs="Arial"/>
          <w:sz w:val="22"/>
          <w:szCs w:val="22"/>
        </w:rPr>
        <w:t xml:space="preserve"> set proactively,</w:t>
      </w:r>
      <w:r w:rsidR="00E72D86" w:rsidRPr="00414A6D" w:rsidDel="00191FCB">
        <w:rPr>
          <w:rFonts w:ascii="Arial" w:hAnsi="Arial" w:cs="Arial"/>
          <w:sz w:val="22"/>
          <w:szCs w:val="22"/>
        </w:rPr>
        <w:t xml:space="preserve"> based on the expected cost of providing </w:t>
      </w:r>
      <w:r w:rsidR="00EC5B88" w:rsidRPr="00414A6D">
        <w:rPr>
          <w:rFonts w:ascii="Arial" w:hAnsi="Arial" w:cs="Arial"/>
          <w:sz w:val="22"/>
          <w:szCs w:val="22"/>
        </w:rPr>
        <w:t xml:space="preserve">best-practice </w:t>
      </w:r>
      <w:r w:rsidR="00E72D86" w:rsidRPr="00414A6D">
        <w:rPr>
          <w:rFonts w:ascii="Arial" w:hAnsi="Arial" w:cs="Arial"/>
          <w:sz w:val="22"/>
          <w:szCs w:val="22"/>
        </w:rPr>
        <w:t>services</w:t>
      </w:r>
      <w:r w:rsidR="00E72D86" w:rsidRPr="00414A6D" w:rsidDel="00191FCB">
        <w:rPr>
          <w:rFonts w:ascii="Arial" w:hAnsi="Arial" w:cs="Arial"/>
          <w:sz w:val="22"/>
          <w:szCs w:val="22"/>
        </w:rPr>
        <w:t>.</w:t>
      </w:r>
      <w:r w:rsidR="00E72D86" w:rsidRPr="00414A6D">
        <w:rPr>
          <w:rFonts w:ascii="Arial" w:hAnsi="Arial" w:cs="Arial"/>
          <w:sz w:val="22"/>
          <w:szCs w:val="22"/>
        </w:rPr>
        <w:t xml:space="preserve"> </w:t>
      </w:r>
      <w:r w:rsidRPr="00414A6D">
        <w:rPr>
          <w:rFonts w:ascii="Arial" w:hAnsi="Arial" w:cs="Arial"/>
          <w:sz w:val="22"/>
          <w:szCs w:val="22"/>
        </w:rPr>
        <w:t xml:space="preserve">Although financial incentives </w:t>
      </w:r>
      <w:r w:rsidR="00745730" w:rsidRPr="00414A6D">
        <w:rPr>
          <w:rFonts w:ascii="Arial" w:hAnsi="Arial" w:cs="Arial"/>
          <w:sz w:val="22"/>
          <w:szCs w:val="22"/>
        </w:rPr>
        <w:t>are one</w:t>
      </w:r>
      <w:r w:rsidRPr="00414A6D">
        <w:rPr>
          <w:rFonts w:ascii="Arial" w:hAnsi="Arial" w:cs="Arial"/>
          <w:sz w:val="22"/>
          <w:szCs w:val="22"/>
        </w:rPr>
        <w:t xml:space="preserve"> lever</w:t>
      </w:r>
      <w:r w:rsidR="00745730" w:rsidRPr="00414A6D">
        <w:rPr>
          <w:rFonts w:ascii="Arial" w:hAnsi="Arial" w:cs="Arial"/>
          <w:sz w:val="22"/>
          <w:szCs w:val="22"/>
        </w:rPr>
        <w:t xml:space="preserve"> to influence delivery of </w:t>
      </w:r>
      <w:r w:rsidR="00EC5B88" w:rsidRPr="00414A6D">
        <w:rPr>
          <w:rFonts w:ascii="Arial" w:hAnsi="Arial" w:cs="Arial"/>
          <w:sz w:val="22"/>
          <w:szCs w:val="22"/>
        </w:rPr>
        <w:t>care</w:t>
      </w:r>
      <w:r w:rsidRPr="00414A6D">
        <w:rPr>
          <w:rFonts w:ascii="Arial" w:hAnsi="Arial" w:cs="Arial"/>
          <w:sz w:val="22"/>
          <w:szCs w:val="22"/>
        </w:rPr>
        <w:t xml:space="preserve">, evidence points to </w:t>
      </w:r>
      <w:r w:rsidR="00EC5B88" w:rsidRPr="00414A6D">
        <w:rPr>
          <w:rFonts w:ascii="Arial" w:hAnsi="Arial" w:cs="Arial"/>
          <w:sz w:val="22"/>
          <w:szCs w:val="22"/>
        </w:rPr>
        <w:t xml:space="preserve">the utility of providing timely, relevant comparable </w:t>
      </w:r>
      <w:r w:rsidR="002E3E33" w:rsidRPr="00414A6D">
        <w:rPr>
          <w:rFonts w:ascii="Arial" w:hAnsi="Arial" w:cs="Arial"/>
          <w:sz w:val="22"/>
          <w:szCs w:val="22"/>
        </w:rPr>
        <w:t xml:space="preserve">data </w:t>
      </w:r>
      <w:r w:rsidRPr="00414A6D">
        <w:rPr>
          <w:rFonts w:ascii="Arial" w:hAnsi="Arial" w:cs="Arial"/>
          <w:sz w:val="22"/>
          <w:szCs w:val="22"/>
        </w:rPr>
        <w:t xml:space="preserve">to front line clinicians. </w:t>
      </w:r>
    </w:p>
    <w:p w14:paraId="34BB6325" w14:textId="77777777" w:rsidR="001219F8" w:rsidRPr="00414A6D" w:rsidRDefault="001219F8" w:rsidP="00D41ED6">
      <w:pPr>
        <w:ind w:right="-334"/>
        <w:jc w:val="both"/>
        <w:rPr>
          <w:rFonts w:ascii="Arial" w:hAnsi="Arial" w:cs="Arial"/>
          <w:sz w:val="22"/>
          <w:szCs w:val="22"/>
        </w:rPr>
      </w:pPr>
    </w:p>
    <w:p w14:paraId="13D741C2" w14:textId="1825AB5B" w:rsidR="005D3F4A" w:rsidRPr="00414A6D" w:rsidRDefault="001219F8" w:rsidP="00B2151D">
      <w:pPr>
        <w:ind w:right="-334"/>
        <w:jc w:val="both"/>
        <w:rPr>
          <w:rFonts w:ascii="Arial" w:hAnsi="Arial" w:cs="Arial"/>
          <w:sz w:val="22"/>
          <w:szCs w:val="22"/>
        </w:rPr>
      </w:pPr>
      <w:r w:rsidRPr="00414A6D">
        <w:rPr>
          <w:rFonts w:ascii="Arial" w:hAnsi="Arial" w:cs="Arial"/>
          <w:sz w:val="22"/>
          <w:szCs w:val="22"/>
        </w:rPr>
        <w:t xml:space="preserve">There is local and international experience in incentivising best-practice hip fracture care to be drawn on in designing a national </w:t>
      </w:r>
      <w:r w:rsidR="00EC5B88" w:rsidRPr="00414A6D">
        <w:rPr>
          <w:rFonts w:ascii="Arial" w:hAnsi="Arial" w:cs="Arial"/>
          <w:sz w:val="22"/>
          <w:szCs w:val="22"/>
        </w:rPr>
        <w:t xml:space="preserve">best-practice </w:t>
      </w:r>
      <w:r w:rsidRPr="00414A6D">
        <w:rPr>
          <w:rFonts w:ascii="Arial" w:hAnsi="Arial" w:cs="Arial"/>
          <w:sz w:val="22"/>
          <w:szCs w:val="22"/>
        </w:rPr>
        <w:t xml:space="preserve">pricing approach. Two Australian jurisdictions have implemented a hip fracture </w:t>
      </w:r>
      <w:r w:rsidR="00EC5B88" w:rsidRPr="00414A6D">
        <w:rPr>
          <w:rFonts w:ascii="Arial" w:hAnsi="Arial" w:cs="Arial"/>
          <w:sz w:val="22"/>
          <w:szCs w:val="22"/>
        </w:rPr>
        <w:t>pricing scheme</w:t>
      </w:r>
      <w:r w:rsidR="008C0939" w:rsidRPr="00414A6D">
        <w:rPr>
          <w:rFonts w:ascii="Arial" w:hAnsi="Arial" w:cs="Arial"/>
          <w:sz w:val="22"/>
          <w:szCs w:val="22"/>
        </w:rPr>
        <w:t>;</w:t>
      </w:r>
      <w:r w:rsidRPr="00414A6D">
        <w:rPr>
          <w:rFonts w:ascii="Arial" w:hAnsi="Arial" w:cs="Arial"/>
          <w:sz w:val="22"/>
          <w:szCs w:val="22"/>
        </w:rPr>
        <w:t xml:space="preserve"> however, it is early days to assess outcomes. </w:t>
      </w:r>
      <w:r w:rsidR="00BB6687" w:rsidRPr="00414A6D">
        <w:rPr>
          <w:rFonts w:ascii="Arial" w:hAnsi="Arial" w:cs="Arial"/>
          <w:sz w:val="22"/>
          <w:szCs w:val="22"/>
        </w:rPr>
        <w:t xml:space="preserve">One scheme </w:t>
      </w:r>
      <w:r w:rsidR="00975346" w:rsidRPr="00414A6D">
        <w:rPr>
          <w:rFonts w:ascii="Arial" w:hAnsi="Arial" w:cs="Arial"/>
          <w:sz w:val="22"/>
          <w:szCs w:val="22"/>
        </w:rPr>
        <w:t>i</w:t>
      </w:r>
      <w:r w:rsidR="00BB6687" w:rsidRPr="00414A6D">
        <w:rPr>
          <w:rFonts w:ascii="Arial" w:hAnsi="Arial" w:cs="Arial"/>
          <w:sz w:val="22"/>
          <w:szCs w:val="22"/>
        </w:rPr>
        <w:t xml:space="preserve">s based on six </w:t>
      </w:r>
      <w:r w:rsidR="00EC5B88" w:rsidRPr="00414A6D">
        <w:rPr>
          <w:rFonts w:ascii="Arial" w:hAnsi="Arial" w:cs="Arial"/>
          <w:sz w:val="22"/>
          <w:szCs w:val="22"/>
        </w:rPr>
        <w:t xml:space="preserve">best-practice </w:t>
      </w:r>
      <w:r w:rsidR="00BB6687" w:rsidRPr="00414A6D">
        <w:rPr>
          <w:rFonts w:ascii="Arial" w:hAnsi="Arial" w:cs="Arial"/>
          <w:sz w:val="22"/>
          <w:szCs w:val="22"/>
        </w:rPr>
        <w:t>criteria (W</w:t>
      </w:r>
      <w:r w:rsidR="00975346" w:rsidRPr="00414A6D">
        <w:rPr>
          <w:rFonts w:ascii="Arial" w:hAnsi="Arial" w:cs="Arial"/>
          <w:sz w:val="22"/>
          <w:szCs w:val="22"/>
        </w:rPr>
        <w:t xml:space="preserve">estern </w:t>
      </w:r>
      <w:r w:rsidR="00BB6687" w:rsidRPr="00414A6D">
        <w:rPr>
          <w:rFonts w:ascii="Arial" w:hAnsi="Arial" w:cs="Arial"/>
          <w:sz w:val="22"/>
          <w:szCs w:val="22"/>
        </w:rPr>
        <w:t>A</w:t>
      </w:r>
      <w:r w:rsidR="00975346" w:rsidRPr="00414A6D">
        <w:rPr>
          <w:rFonts w:ascii="Arial" w:hAnsi="Arial" w:cs="Arial"/>
          <w:sz w:val="22"/>
          <w:szCs w:val="22"/>
        </w:rPr>
        <w:t>ustralia</w:t>
      </w:r>
      <w:r w:rsidR="00BB6687" w:rsidRPr="00414A6D">
        <w:rPr>
          <w:rFonts w:ascii="Arial" w:hAnsi="Arial" w:cs="Arial"/>
          <w:sz w:val="22"/>
          <w:szCs w:val="22"/>
        </w:rPr>
        <w:t>) and the other (Q</w:t>
      </w:r>
      <w:r w:rsidR="00975346" w:rsidRPr="00414A6D">
        <w:rPr>
          <w:rFonts w:ascii="Arial" w:hAnsi="Arial" w:cs="Arial"/>
          <w:sz w:val="22"/>
          <w:szCs w:val="22"/>
        </w:rPr>
        <w:t>ueensland) i</w:t>
      </w:r>
      <w:r w:rsidR="00BB6687" w:rsidRPr="00414A6D">
        <w:rPr>
          <w:rFonts w:ascii="Arial" w:hAnsi="Arial" w:cs="Arial"/>
          <w:sz w:val="22"/>
          <w:szCs w:val="22"/>
        </w:rPr>
        <w:t>s based on one criteri</w:t>
      </w:r>
      <w:r w:rsidR="002E3E33" w:rsidRPr="00414A6D">
        <w:rPr>
          <w:rFonts w:ascii="Arial" w:hAnsi="Arial" w:cs="Arial"/>
          <w:sz w:val="22"/>
          <w:szCs w:val="22"/>
        </w:rPr>
        <w:t>on</w:t>
      </w:r>
      <w:r w:rsidR="00975346" w:rsidRPr="00414A6D">
        <w:rPr>
          <w:rFonts w:ascii="Arial" w:hAnsi="Arial" w:cs="Arial"/>
          <w:sz w:val="22"/>
          <w:szCs w:val="22"/>
        </w:rPr>
        <w:t xml:space="preserve"> which is </w:t>
      </w:r>
      <w:r w:rsidR="00BB6687" w:rsidRPr="00414A6D">
        <w:rPr>
          <w:rFonts w:ascii="Arial" w:hAnsi="Arial" w:cs="Arial"/>
          <w:sz w:val="22"/>
          <w:szCs w:val="22"/>
        </w:rPr>
        <w:t xml:space="preserve">time to surgery. Internationally, </w:t>
      </w:r>
      <w:r w:rsidR="00EC5B88" w:rsidRPr="00414A6D">
        <w:rPr>
          <w:rFonts w:ascii="Arial" w:hAnsi="Arial" w:cs="Arial"/>
          <w:sz w:val="22"/>
          <w:szCs w:val="22"/>
        </w:rPr>
        <w:t xml:space="preserve">a </w:t>
      </w:r>
      <w:r w:rsidR="00BB6687" w:rsidRPr="00414A6D">
        <w:rPr>
          <w:rFonts w:ascii="Arial" w:hAnsi="Arial" w:cs="Arial"/>
          <w:sz w:val="22"/>
          <w:szCs w:val="22"/>
        </w:rPr>
        <w:t xml:space="preserve">region in Italy </w:t>
      </w:r>
      <w:r w:rsidR="006503A9" w:rsidRPr="00414A6D">
        <w:rPr>
          <w:rFonts w:ascii="Arial" w:hAnsi="Arial" w:cs="Arial"/>
          <w:sz w:val="22"/>
          <w:szCs w:val="22"/>
        </w:rPr>
        <w:t xml:space="preserve">introduced a tariff for </w:t>
      </w:r>
      <w:r w:rsidR="00EC5B88" w:rsidRPr="00414A6D">
        <w:rPr>
          <w:rFonts w:ascii="Arial" w:hAnsi="Arial" w:cs="Arial"/>
          <w:sz w:val="22"/>
          <w:szCs w:val="22"/>
        </w:rPr>
        <w:t xml:space="preserve">hip fracture </w:t>
      </w:r>
      <w:r w:rsidR="006503A9" w:rsidRPr="00414A6D">
        <w:rPr>
          <w:rFonts w:ascii="Arial" w:hAnsi="Arial" w:cs="Arial"/>
          <w:sz w:val="22"/>
          <w:szCs w:val="22"/>
        </w:rPr>
        <w:t xml:space="preserve">patients who underwent surgical treatment within 48 hours of admission. </w:t>
      </w:r>
      <w:r w:rsidRPr="00414A6D">
        <w:rPr>
          <w:rFonts w:ascii="Arial" w:hAnsi="Arial" w:cs="Arial"/>
          <w:sz w:val="22"/>
          <w:szCs w:val="22"/>
        </w:rPr>
        <w:t xml:space="preserve">The United Kingdom’s National Health Service (NHS) </w:t>
      </w:r>
      <w:r w:rsidR="00EC5B88" w:rsidRPr="00414A6D">
        <w:rPr>
          <w:rFonts w:ascii="Arial" w:hAnsi="Arial" w:cs="Arial"/>
          <w:sz w:val="22"/>
          <w:szCs w:val="22"/>
        </w:rPr>
        <w:t xml:space="preserve">also </w:t>
      </w:r>
      <w:r w:rsidRPr="00414A6D">
        <w:rPr>
          <w:rFonts w:ascii="Arial" w:hAnsi="Arial" w:cs="Arial"/>
          <w:sz w:val="22"/>
          <w:szCs w:val="22"/>
        </w:rPr>
        <w:t xml:space="preserve">has a hip fracture </w:t>
      </w:r>
      <w:r w:rsidR="00985093" w:rsidRPr="00414A6D">
        <w:rPr>
          <w:rFonts w:ascii="Arial" w:hAnsi="Arial" w:cs="Arial"/>
          <w:sz w:val="22"/>
          <w:szCs w:val="22"/>
        </w:rPr>
        <w:t>best</w:t>
      </w:r>
      <w:r w:rsidR="00F13C47">
        <w:rPr>
          <w:rFonts w:ascii="Arial" w:hAnsi="Arial" w:cs="Arial"/>
          <w:sz w:val="22"/>
          <w:szCs w:val="22"/>
        </w:rPr>
        <w:noBreakHyphen/>
      </w:r>
      <w:r w:rsidR="00985093" w:rsidRPr="00414A6D">
        <w:rPr>
          <w:rFonts w:ascii="Arial" w:hAnsi="Arial" w:cs="Arial"/>
          <w:sz w:val="22"/>
          <w:szCs w:val="22"/>
        </w:rPr>
        <w:t xml:space="preserve"> practice tariff (</w:t>
      </w:r>
      <w:r w:rsidRPr="00414A6D">
        <w:rPr>
          <w:rFonts w:ascii="Arial" w:hAnsi="Arial" w:cs="Arial"/>
          <w:sz w:val="22"/>
          <w:szCs w:val="22"/>
        </w:rPr>
        <w:t>BPT</w:t>
      </w:r>
      <w:r w:rsidR="00985093" w:rsidRPr="00414A6D">
        <w:rPr>
          <w:rFonts w:ascii="Arial" w:hAnsi="Arial" w:cs="Arial"/>
          <w:sz w:val="22"/>
          <w:szCs w:val="22"/>
        </w:rPr>
        <w:t>)</w:t>
      </w:r>
      <w:r w:rsidRPr="00414A6D">
        <w:rPr>
          <w:rFonts w:ascii="Arial" w:hAnsi="Arial" w:cs="Arial"/>
          <w:sz w:val="22"/>
          <w:szCs w:val="22"/>
        </w:rPr>
        <w:t xml:space="preserve">. This </w:t>
      </w:r>
      <w:r w:rsidR="00985093" w:rsidRPr="00414A6D">
        <w:rPr>
          <w:rFonts w:ascii="Arial" w:hAnsi="Arial" w:cs="Arial"/>
          <w:sz w:val="22"/>
          <w:szCs w:val="22"/>
        </w:rPr>
        <w:t xml:space="preserve">scheme involves payment of </w:t>
      </w:r>
      <w:r w:rsidR="00F13C47">
        <w:rPr>
          <w:rFonts w:ascii="Arial" w:hAnsi="Arial" w:cs="Arial"/>
          <w:sz w:val="22"/>
          <w:szCs w:val="22"/>
        </w:rPr>
        <w:t xml:space="preserve">a </w:t>
      </w:r>
      <w:r w:rsidR="00985093" w:rsidRPr="00414A6D">
        <w:rPr>
          <w:rFonts w:ascii="Arial" w:hAnsi="Arial" w:cs="Arial"/>
          <w:sz w:val="22"/>
          <w:szCs w:val="22"/>
        </w:rPr>
        <w:t>tariff</w:t>
      </w:r>
      <w:r w:rsidRPr="00414A6D">
        <w:rPr>
          <w:rFonts w:ascii="Arial" w:hAnsi="Arial" w:cs="Arial"/>
          <w:sz w:val="22"/>
          <w:szCs w:val="22"/>
        </w:rPr>
        <w:t xml:space="preserve">, </w:t>
      </w:r>
      <w:r w:rsidR="00EC5B88" w:rsidRPr="00414A6D">
        <w:rPr>
          <w:rFonts w:ascii="Arial" w:hAnsi="Arial" w:cs="Arial"/>
          <w:sz w:val="22"/>
          <w:szCs w:val="22"/>
        </w:rPr>
        <w:t>based on 8 criteria. T</w:t>
      </w:r>
      <w:r w:rsidRPr="00414A6D">
        <w:rPr>
          <w:rFonts w:ascii="Arial" w:hAnsi="Arial" w:cs="Arial"/>
          <w:sz w:val="22"/>
          <w:szCs w:val="22"/>
        </w:rPr>
        <w:t xml:space="preserve">he </w:t>
      </w:r>
      <w:r w:rsidR="00EC5B88" w:rsidRPr="00414A6D">
        <w:rPr>
          <w:rFonts w:ascii="Arial" w:hAnsi="Arial" w:cs="Arial"/>
          <w:sz w:val="22"/>
          <w:szCs w:val="22"/>
        </w:rPr>
        <w:t xml:space="preserve">scheme </w:t>
      </w:r>
      <w:r w:rsidRPr="00414A6D">
        <w:rPr>
          <w:rFonts w:ascii="Arial" w:hAnsi="Arial" w:cs="Arial"/>
          <w:sz w:val="22"/>
          <w:szCs w:val="22"/>
        </w:rPr>
        <w:t xml:space="preserve">has </w:t>
      </w:r>
      <w:r w:rsidR="00EC5B88" w:rsidRPr="00414A6D">
        <w:rPr>
          <w:rFonts w:ascii="Arial" w:hAnsi="Arial" w:cs="Arial"/>
          <w:sz w:val="22"/>
          <w:szCs w:val="22"/>
        </w:rPr>
        <w:t>resulted in a re</w:t>
      </w:r>
      <w:r w:rsidRPr="00414A6D">
        <w:rPr>
          <w:rFonts w:ascii="Arial" w:hAnsi="Arial" w:cs="Arial"/>
          <w:sz w:val="22"/>
          <w:szCs w:val="22"/>
        </w:rPr>
        <w:t xml:space="preserve">duction in </w:t>
      </w:r>
      <w:r w:rsidR="00EC5B88" w:rsidRPr="00414A6D">
        <w:rPr>
          <w:rFonts w:ascii="Arial" w:hAnsi="Arial" w:cs="Arial"/>
          <w:sz w:val="22"/>
          <w:szCs w:val="22"/>
        </w:rPr>
        <w:t xml:space="preserve">hip fracture </w:t>
      </w:r>
      <w:r w:rsidRPr="00414A6D">
        <w:rPr>
          <w:rFonts w:ascii="Arial" w:hAnsi="Arial" w:cs="Arial"/>
          <w:sz w:val="22"/>
          <w:szCs w:val="22"/>
        </w:rPr>
        <w:t>mortality.</w:t>
      </w:r>
      <w:r w:rsidR="005D3F4A" w:rsidRPr="00414A6D">
        <w:rPr>
          <w:rFonts w:ascii="Arial" w:hAnsi="Arial" w:cs="Arial"/>
          <w:sz w:val="22"/>
          <w:szCs w:val="22"/>
        </w:rPr>
        <w:t xml:space="preserve"> The simultaneous availability of comparable clinical information was deemed essential to early and successful efforts to </w:t>
      </w:r>
      <w:r w:rsidR="00EC5B88" w:rsidRPr="00414A6D">
        <w:rPr>
          <w:rFonts w:ascii="Arial" w:hAnsi="Arial" w:cs="Arial"/>
          <w:sz w:val="22"/>
          <w:szCs w:val="22"/>
        </w:rPr>
        <w:t xml:space="preserve">achieve these </w:t>
      </w:r>
      <w:r w:rsidR="005D3F4A" w:rsidRPr="00414A6D">
        <w:rPr>
          <w:rFonts w:ascii="Arial" w:hAnsi="Arial" w:cs="Arial"/>
          <w:sz w:val="22"/>
          <w:szCs w:val="22"/>
        </w:rPr>
        <w:t>outcomes.</w:t>
      </w:r>
      <w:hyperlink w:anchor="_ENREF_7" w:tooltip="Charlesworth A, 2014 #152" w:history="1">
        <w:r w:rsidRPr="00414A6D">
          <w:rPr>
            <w:rFonts w:ascii="Arial" w:hAnsi="Arial" w:cs="Arial"/>
            <w:sz w:val="22"/>
            <w:szCs w:val="22"/>
          </w:rPr>
          <w:fldChar w:fldCharType="begin"/>
        </w:r>
        <w:r w:rsidRPr="00414A6D">
          <w:rPr>
            <w:rFonts w:ascii="Arial" w:hAnsi="Arial" w:cs="Arial"/>
            <w:sz w:val="22"/>
            <w:szCs w:val="22"/>
          </w:rPr>
          <w:instrText xml:space="preserve"> ADDIN EN.CITE &lt;EndNote&gt;&lt;Cite&gt;&lt;Author&gt;Charlesworth A&lt;/Author&gt;&lt;Year&gt;2014&lt;/Year&gt;&lt;RecNum&gt;152&lt;/RecNum&gt;&lt;DisplayText&gt;&lt;style face="superscript"&gt;7&lt;/style&gt;&lt;/DisplayText&gt;&lt;record&gt;&lt;rec-number&gt;152&lt;/rec-number&gt;&lt;foreign-keys&gt;&lt;key app="EN" db-id="pxsz0w0wuvwzapeptavv0erkef22f2rwz0w0"&gt;152&lt;/key&gt;&lt;/foreign-keys&gt;&lt;ref-type name="Report"&gt;27&lt;/ref-type&gt;&lt;contributors&gt;&lt;authors&gt;&lt;author&gt;Charlesworth A, &lt;/author&gt;&lt;author&gt;Hawkins L, &lt;/author&gt;&lt;author&gt;Marshall L,&lt;/author&gt;&lt;/authors&gt;&lt;secondary-authors&gt;&lt;author&gt;Nuffield Trust,&lt;/author&gt;&lt;/secondary-authors&gt;&lt;/contributors&gt;&lt;titles&gt;&lt;title&gt;NHS payment reform: lessons from the past and directions for the future&lt;/title&gt;&lt;/titles&gt;&lt;dates&gt;&lt;year&gt;2014&lt;/year&gt;&lt;/dates&gt;&lt;urls&gt;&lt;/urls&gt;&lt;/record&gt;&lt;/Cite&gt;&lt;/EndNote&gt;</w:instrText>
        </w:r>
        <w:r w:rsidRPr="00414A6D">
          <w:rPr>
            <w:rFonts w:ascii="Arial" w:hAnsi="Arial" w:cs="Arial"/>
            <w:sz w:val="22"/>
            <w:szCs w:val="22"/>
          </w:rPr>
          <w:fldChar w:fldCharType="separate"/>
        </w:r>
        <w:r w:rsidRPr="00414A6D">
          <w:rPr>
            <w:rFonts w:ascii="Arial" w:hAnsi="Arial" w:cs="Arial"/>
            <w:noProof/>
            <w:sz w:val="22"/>
            <w:szCs w:val="22"/>
            <w:vertAlign w:val="superscript"/>
          </w:rPr>
          <w:t>7</w:t>
        </w:r>
        <w:r w:rsidRPr="00414A6D">
          <w:rPr>
            <w:rFonts w:ascii="Arial" w:hAnsi="Arial" w:cs="Arial"/>
            <w:sz w:val="22"/>
            <w:szCs w:val="22"/>
          </w:rPr>
          <w:fldChar w:fldCharType="end"/>
        </w:r>
      </w:hyperlink>
      <w:r w:rsidRPr="00414A6D">
        <w:rPr>
          <w:rFonts w:ascii="Arial" w:hAnsi="Arial" w:cs="Arial"/>
          <w:sz w:val="22"/>
          <w:szCs w:val="22"/>
        </w:rPr>
        <w:t xml:space="preserve"> </w:t>
      </w:r>
    </w:p>
    <w:p w14:paraId="4402759C" w14:textId="77777777" w:rsidR="005D3F4A" w:rsidRPr="00414A6D" w:rsidRDefault="005D3F4A" w:rsidP="00B2151D">
      <w:pPr>
        <w:ind w:right="-334"/>
        <w:jc w:val="both"/>
        <w:rPr>
          <w:rFonts w:ascii="Arial" w:hAnsi="Arial" w:cs="Arial"/>
          <w:sz w:val="22"/>
          <w:szCs w:val="22"/>
        </w:rPr>
      </w:pPr>
    </w:p>
    <w:p w14:paraId="2D66BC1D" w14:textId="77777777" w:rsidR="005D3F4A" w:rsidRPr="00414A6D" w:rsidRDefault="005D3F4A" w:rsidP="00B2151D">
      <w:pPr>
        <w:ind w:right="-334"/>
        <w:jc w:val="both"/>
        <w:rPr>
          <w:rFonts w:ascii="Arial" w:hAnsi="Arial" w:cs="Arial"/>
          <w:sz w:val="22"/>
          <w:szCs w:val="22"/>
        </w:rPr>
      </w:pPr>
      <w:r w:rsidRPr="00414A6D">
        <w:rPr>
          <w:rFonts w:ascii="Arial" w:hAnsi="Arial" w:cs="Arial"/>
          <w:sz w:val="22"/>
          <w:szCs w:val="22"/>
        </w:rPr>
        <w:t xml:space="preserve">Accordingly, the Sub-Committee recommends that IHPA, in its national price setting role, should work with the Commission to </w:t>
      </w:r>
      <w:r w:rsidR="00EC5B88" w:rsidRPr="00414A6D">
        <w:rPr>
          <w:rFonts w:ascii="Arial" w:hAnsi="Arial" w:cs="Arial"/>
          <w:sz w:val="22"/>
          <w:szCs w:val="22"/>
        </w:rPr>
        <w:t xml:space="preserve">simultaneously provide </w:t>
      </w:r>
      <w:r w:rsidRPr="00414A6D">
        <w:rPr>
          <w:rFonts w:ascii="Arial" w:hAnsi="Arial" w:cs="Arial"/>
          <w:sz w:val="22"/>
          <w:szCs w:val="22"/>
        </w:rPr>
        <w:t xml:space="preserve">timely, relevant and comparable clinical information </w:t>
      </w:r>
      <w:r w:rsidR="00EC5B88" w:rsidRPr="00414A6D">
        <w:rPr>
          <w:rFonts w:ascii="Arial" w:hAnsi="Arial" w:cs="Arial"/>
          <w:sz w:val="22"/>
          <w:szCs w:val="22"/>
        </w:rPr>
        <w:t>to hospitals should it c</w:t>
      </w:r>
      <w:r w:rsidRPr="00414A6D">
        <w:rPr>
          <w:rFonts w:ascii="Arial" w:hAnsi="Arial" w:cs="Arial"/>
          <w:sz w:val="22"/>
          <w:szCs w:val="22"/>
        </w:rPr>
        <w:t xml:space="preserve">hose to implement a best-practice pricing scheme for hip fracture (see </w:t>
      </w:r>
      <w:r w:rsidRPr="00414A6D">
        <w:rPr>
          <w:rFonts w:ascii="Arial" w:hAnsi="Arial" w:cs="Arial"/>
          <w:b/>
          <w:sz w:val="22"/>
          <w:szCs w:val="22"/>
        </w:rPr>
        <w:t>Recommendation 1</w:t>
      </w:r>
      <w:r w:rsidRPr="00414A6D">
        <w:rPr>
          <w:rFonts w:ascii="Arial" w:hAnsi="Arial" w:cs="Arial"/>
          <w:sz w:val="22"/>
          <w:szCs w:val="22"/>
        </w:rPr>
        <w:t xml:space="preserve">). </w:t>
      </w:r>
    </w:p>
    <w:p w14:paraId="594B613A" w14:textId="77777777" w:rsidR="00975346" w:rsidRPr="00414A6D" w:rsidRDefault="00975346" w:rsidP="00B2151D">
      <w:pPr>
        <w:ind w:right="-334"/>
        <w:jc w:val="both"/>
        <w:rPr>
          <w:rFonts w:ascii="Arial" w:hAnsi="Arial" w:cs="Arial"/>
          <w:sz w:val="22"/>
          <w:szCs w:val="22"/>
        </w:rPr>
      </w:pPr>
    </w:p>
    <w:p w14:paraId="3BDDCCDB" w14:textId="34E3679B" w:rsidR="001219F8" w:rsidRPr="00414A6D" w:rsidRDefault="006503A9" w:rsidP="00D41ED6">
      <w:pPr>
        <w:ind w:right="-334"/>
        <w:jc w:val="both"/>
        <w:rPr>
          <w:rFonts w:ascii="Arial" w:hAnsi="Arial" w:cs="Arial"/>
          <w:sz w:val="22"/>
          <w:szCs w:val="22"/>
        </w:rPr>
      </w:pPr>
      <w:r w:rsidRPr="00414A6D">
        <w:rPr>
          <w:rStyle w:val="IntenseReference"/>
          <w:rFonts w:ascii="Arial" w:hAnsi="Arial" w:cs="Arial"/>
          <w:b w:val="0"/>
          <w:bCs w:val="0"/>
          <w:i w:val="0"/>
          <w:smallCaps w:val="0"/>
          <w:color w:val="auto"/>
          <w:spacing w:val="0"/>
          <w:sz w:val="22"/>
          <w:szCs w:val="22"/>
        </w:rPr>
        <w:t>In Australia, t</w:t>
      </w:r>
      <w:r w:rsidR="001219F8" w:rsidRPr="00414A6D">
        <w:rPr>
          <w:rStyle w:val="IntenseReference"/>
          <w:rFonts w:ascii="Arial" w:hAnsi="Arial" w:cs="Arial"/>
          <w:b w:val="0"/>
          <w:bCs w:val="0"/>
          <w:i w:val="0"/>
          <w:smallCaps w:val="0"/>
          <w:color w:val="auto"/>
          <w:spacing w:val="0"/>
          <w:sz w:val="22"/>
          <w:szCs w:val="22"/>
        </w:rPr>
        <w:t xml:space="preserve">here are existing national clinical guidelines and standards that should be utilised in </w:t>
      </w:r>
      <w:r w:rsidR="00EC5B88" w:rsidRPr="00414A6D">
        <w:rPr>
          <w:rStyle w:val="IntenseReference"/>
          <w:rFonts w:ascii="Arial" w:hAnsi="Arial" w:cs="Arial"/>
          <w:b w:val="0"/>
          <w:bCs w:val="0"/>
          <w:i w:val="0"/>
          <w:smallCaps w:val="0"/>
          <w:color w:val="auto"/>
          <w:spacing w:val="0"/>
          <w:sz w:val="22"/>
          <w:szCs w:val="22"/>
        </w:rPr>
        <w:t xml:space="preserve">defining criteria for </w:t>
      </w:r>
      <w:r w:rsidR="001219F8" w:rsidRPr="00414A6D">
        <w:rPr>
          <w:rStyle w:val="IntenseReference"/>
          <w:rFonts w:ascii="Arial" w:hAnsi="Arial" w:cs="Arial"/>
          <w:b w:val="0"/>
          <w:bCs w:val="0"/>
          <w:i w:val="0"/>
          <w:smallCaps w:val="0"/>
          <w:color w:val="auto"/>
          <w:spacing w:val="0"/>
          <w:sz w:val="22"/>
          <w:szCs w:val="22"/>
        </w:rPr>
        <w:t>a</w:t>
      </w:r>
      <w:r w:rsidRPr="00414A6D">
        <w:rPr>
          <w:rStyle w:val="IntenseReference"/>
          <w:rFonts w:ascii="Arial" w:hAnsi="Arial" w:cs="Arial"/>
          <w:b w:val="0"/>
          <w:bCs w:val="0"/>
          <w:i w:val="0"/>
          <w:smallCaps w:val="0"/>
          <w:color w:val="auto"/>
          <w:spacing w:val="0"/>
          <w:sz w:val="22"/>
          <w:szCs w:val="22"/>
        </w:rPr>
        <w:t xml:space="preserve"> </w:t>
      </w:r>
      <w:r w:rsidR="001219F8" w:rsidRPr="00414A6D">
        <w:rPr>
          <w:rStyle w:val="IntenseReference"/>
          <w:rFonts w:ascii="Arial" w:hAnsi="Arial" w:cs="Arial"/>
          <w:b w:val="0"/>
          <w:bCs w:val="0"/>
          <w:i w:val="0"/>
          <w:smallCaps w:val="0"/>
          <w:color w:val="auto"/>
          <w:spacing w:val="0"/>
          <w:sz w:val="22"/>
          <w:szCs w:val="22"/>
        </w:rPr>
        <w:t>best-practice pricing</w:t>
      </w:r>
      <w:r w:rsidRPr="00414A6D">
        <w:rPr>
          <w:rStyle w:val="IntenseReference"/>
          <w:rFonts w:ascii="Arial" w:hAnsi="Arial" w:cs="Arial"/>
          <w:b w:val="0"/>
          <w:bCs w:val="0"/>
          <w:i w:val="0"/>
          <w:smallCaps w:val="0"/>
          <w:color w:val="auto"/>
          <w:spacing w:val="0"/>
          <w:sz w:val="22"/>
          <w:szCs w:val="22"/>
        </w:rPr>
        <w:t xml:space="preserve"> scheme. </w:t>
      </w:r>
      <w:r w:rsidR="001219F8" w:rsidRPr="00414A6D">
        <w:rPr>
          <w:rFonts w:ascii="Arial" w:hAnsi="Arial" w:cs="Arial"/>
          <w:sz w:val="22"/>
          <w:szCs w:val="22"/>
        </w:rPr>
        <w:t xml:space="preserve">The Sub-Committee </w:t>
      </w:r>
      <w:r w:rsidRPr="00414A6D">
        <w:rPr>
          <w:rFonts w:ascii="Arial" w:hAnsi="Arial" w:cs="Arial"/>
          <w:sz w:val="22"/>
          <w:szCs w:val="22"/>
        </w:rPr>
        <w:t xml:space="preserve">recommends that </w:t>
      </w:r>
      <w:r w:rsidR="001219F8" w:rsidRPr="00414A6D">
        <w:rPr>
          <w:rFonts w:ascii="Arial" w:hAnsi="Arial" w:cs="Arial"/>
          <w:sz w:val="22"/>
          <w:szCs w:val="22"/>
        </w:rPr>
        <w:t>IHPA develop a national best-practice price</w:t>
      </w:r>
      <w:r w:rsidR="007047A6">
        <w:rPr>
          <w:rFonts w:ascii="Arial" w:hAnsi="Arial" w:cs="Arial"/>
          <w:sz w:val="22"/>
          <w:szCs w:val="22"/>
        </w:rPr>
        <w:t xml:space="preserve"> (BPP)</w:t>
      </w:r>
      <w:r w:rsidR="001219F8" w:rsidRPr="00414A6D">
        <w:rPr>
          <w:rFonts w:ascii="Arial" w:hAnsi="Arial" w:cs="Arial"/>
          <w:sz w:val="22"/>
          <w:szCs w:val="22"/>
        </w:rPr>
        <w:t xml:space="preserve"> that incentivises </w:t>
      </w:r>
      <w:r w:rsidRPr="00414A6D">
        <w:rPr>
          <w:rFonts w:ascii="Arial" w:hAnsi="Arial" w:cs="Arial"/>
          <w:sz w:val="22"/>
          <w:szCs w:val="22"/>
        </w:rPr>
        <w:t xml:space="preserve">care that aligns with </w:t>
      </w:r>
      <w:r w:rsidR="001219F8" w:rsidRPr="00414A6D">
        <w:rPr>
          <w:rFonts w:ascii="Arial" w:hAnsi="Arial" w:cs="Arial"/>
          <w:sz w:val="22"/>
          <w:szCs w:val="22"/>
        </w:rPr>
        <w:t xml:space="preserve">the </w:t>
      </w:r>
      <w:r w:rsidRPr="00414A6D">
        <w:rPr>
          <w:rFonts w:ascii="Arial" w:hAnsi="Arial" w:cs="Arial"/>
          <w:sz w:val="22"/>
          <w:szCs w:val="22"/>
        </w:rPr>
        <w:t>Commission’s H</w:t>
      </w:r>
      <w:r w:rsidR="001219F8" w:rsidRPr="00414A6D">
        <w:rPr>
          <w:rFonts w:ascii="Arial" w:hAnsi="Arial" w:cs="Arial"/>
          <w:sz w:val="22"/>
          <w:szCs w:val="22"/>
        </w:rPr>
        <w:t>ip Fracture Clinical Care Standard</w:t>
      </w:r>
      <w:r w:rsidRPr="00414A6D">
        <w:rPr>
          <w:rFonts w:ascii="Arial" w:hAnsi="Arial" w:cs="Arial"/>
          <w:sz w:val="22"/>
          <w:szCs w:val="22"/>
        </w:rPr>
        <w:t xml:space="preserve"> </w:t>
      </w:r>
      <w:r w:rsidR="00906812" w:rsidRPr="00414A6D">
        <w:rPr>
          <w:rFonts w:ascii="Arial" w:hAnsi="Arial" w:cs="Arial"/>
          <w:sz w:val="22"/>
          <w:szCs w:val="22"/>
        </w:rPr>
        <w:t xml:space="preserve">(CCS) </w:t>
      </w:r>
      <w:r w:rsidRPr="00414A6D">
        <w:rPr>
          <w:rFonts w:ascii="Arial" w:hAnsi="Arial" w:cs="Arial"/>
          <w:sz w:val="22"/>
          <w:szCs w:val="22"/>
        </w:rPr>
        <w:t>which has been distributed for community consultation in May 2015</w:t>
      </w:r>
      <w:r w:rsidR="000C5039" w:rsidRPr="00414A6D">
        <w:rPr>
          <w:rFonts w:ascii="Arial" w:hAnsi="Arial" w:cs="Arial"/>
          <w:sz w:val="22"/>
          <w:szCs w:val="22"/>
        </w:rPr>
        <w:t xml:space="preserve"> (see </w:t>
      </w:r>
      <w:r w:rsidR="000C5039" w:rsidRPr="00414A6D">
        <w:rPr>
          <w:rFonts w:ascii="Arial" w:hAnsi="Arial" w:cs="Arial"/>
          <w:b/>
          <w:sz w:val="22"/>
          <w:szCs w:val="22"/>
        </w:rPr>
        <w:t>Recommendation 2</w:t>
      </w:r>
      <w:r w:rsidR="000C5039" w:rsidRPr="00414A6D">
        <w:rPr>
          <w:rFonts w:ascii="Arial" w:hAnsi="Arial" w:cs="Arial"/>
          <w:sz w:val="22"/>
          <w:szCs w:val="22"/>
        </w:rPr>
        <w:t>)</w:t>
      </w:r>
      <w:r w:rsidR="001219F8" w:rsidRPr="00414A6D">
        <w:rPr>
          <w:rFonts w:ascii="Arial" w:hAnsi="Arial" w:cs="Arial"/>
          <w:sz w:val="22"/>
          <w:szCs w:val="22"/>
        </w:rPr>
        <w:t xml:space="preserve">. The </w:t>
      </w:r>
      <w:r w:rsidRPr="00414A6D">
        <w:rPr>
          <w:rFonts w:ascii="Arial" w:hAnsi="Arial" w:cs="Arial"/>
          <w:sz w:val="22"/>
          <w:szCs w:val="22"/>
        </w:rPr>
        <w:t xml:space="preserve">proposed </w:t>
      </w:r>
      <w:r w:rsidR="001219F8" w:rsidRPr="00414A6D">
        <w:rPr>
          <w:rFonts w:ascii="Arial" w:hAnsi="Arial" w:cs="Arial"/>
          <w:sz w:val="22"/>
          <w:szCs w:val="22"/>
        </w:rPr>
        <w:t xml:space="preserve">quality statements are: </w:t>
      </w:r>
    </w:p>
    <w:p w14:paraId="4708BEC8"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1 – Care at presentation</w:t>
      </w:r>
    </w:p>
    <w:p w14:paraId="358BD49A"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2 – Pain management</w:t>
      </w:r>
    </w:p>
    <w:p w14:paraId="5067D888"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 xml:space="preserve">Quality statement 3 – </w:t>
      </w:r>
      <w:proofErr w:type="spellStart"/>
      <w:r w:rsidRPr="00414A6D">
        <w:rPr>
          <w:rFonts w:ascii="Arial" w:hAnsi="Arial" w:cs="Arial"/>
          <w:sz w:val="22"/>
          <w:szCs w:val="22"/>
        </w:rPr>
        <w:t>Orthogeriatric</w:t>
      </w:r>
      <w:proofErr w:type="spellEnd"/>
      <w:r w:rsidRPr="00414A6D">
        <w:rPr>
          <w:rFonts w:ascii="Arial" w:hAnsi="Arial" w:cs="Arial"/>
          <w:sz w:val="22"/>
          <w:szCs w:val="22"/>
        </w:rPr>
        <w:t xml:space="preserve"> model of care</w:t>
      </w:r>
    </w:p>
    <w:p w14:paraId="3AEAC946"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4 – Timing of surgery</w:t>
      </w:r>
    </w:p>
    <w:p w14:paraId="5C386389"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lastRenderedPageBreak/>
        <w:t>Quality statement 5 – Mobilisation and weight bearing</w:t>
      </w:r>
    </w:p>
    <w:p w14:paraId="7A4F6831"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6 – Minimise the risk of another fracture</w:t>
      </w:r>
    </w:p>
    <w:p w14:paraId="535D0F71" w14:textId="77777777" w:rsidR="001219F8" w:rsidRPr="00414A6D" w:rsidRDefault="001219F8"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7 – Transition from hospital care.</w:t>
      </w:r>
    </w:p>
    <w:p w14:paraId="3D8EC090" w14:textId="397375F9" w:rsidR="000C5949" w:rsidRPr="00414A6D" w:rsidRDefault="000C5949" w:rsidP="001219F8">
      <w:pPr>
        <w:jc w:val="both"/>
        <w:rPr>
          <w:rFonts w:ascii="Arial" w:hAnsi="Arial" w:cs="Arial"/>
          <w:sz w:val="22"/>
          <w:szCs w:val="22"/>
        </w:rPr>
      </w:pPr>
      <w:r w:rsidRPr="00414A6D">
        <w:rPr>
          <w:rFonts w:ascii="Arial" w:hAnsi="Arial" w:cs="Arial"/>
          <w:sz w:val="22"/>
          <w:szCs w:val="22"/>
        </w:rPr>
        <w:t>The technical design of a hip fracture best-practice pricing scheme requires c</w:t>
      </w:r>
      <w:r w:rsidR="003A5085" w:rsidRPr="00414A6D">
        <w:rPr>
          <w:rFonts w:ascii="Arial" w:hAnsi="Arial" w:cs="Arial"/>
          <w:sz w:val="22"/>
          <w:szCs w:val="22"/>
        </w:rPr>
        <w:t xml:space="preserve">larity </w:t>
      </w:r>
      <w:r w:rsidR="001219F8" w:rsidRPr="00414A6D">
        <w:rPr>
          <w:rFonts w:ascii="Arial" w:hAnsi="Arial" w:cs="Arial"/>
          <w:sz w:val="22"/>
          <w:szCs w:val="22"/>
        </w:rPr>
        <w:t xml:space="preserve">on </w:t>
      </w:r>
      <w:r w:rsidRPr="00414A6D">
        <w:rPr>
          <w:rFonts w:ascii="Arial" w:hAnsi="Arial" w:cs="Arial"/>
          <w:sz w:val="22"/>
          <w:szCs w:val="22"/>
        </w:rPr>
        <w:t xml:space="preserve">which </w:t>
      </w:r>
      <w:r w:rsidR="00A654A1" w:rsidRPr="00414A6D">
        <w:rPr>
          <w:rFonts w:ascii="Arial" w:hAnsi="Arial" w:cs="Arial"/>
          <w:sz w:val="22"/>
          <w:szCs w:val="22"/>
        </w:rPr>
        <w:t>separations</w:t>
      </w:r>
      <w:r w:rsidRPr="00414A6D">
        <w:rPr>
          <w:rFonts w:ascii="Arial" w:hAnsi="Arial" w:cs="Arial"/>
          <w:sz w:val="22"/>
          <w:szCs w:val="22"/>
        </w:rPr>
        <w:t xml:space="preserve"> are eligible for funding under the scheme, </w:t>
      </w:r>
      <w:r w:rsidR="001219F8" w:rsidRPr="00414A6D">
        <w:rPr>
          <w:rFonts w:ascii="Arial" w:hAnsi="Arial" w:cs="Arial"/>
          <w:sz w:val="22"/>
          <w:szCs w:val="22"/>
        </w:rPr>
        <w:t xml:space="preserve">what aspects of the CCS </w:t>
      </w:r>
      <w:r w:rsidRPr="00414A6D">
        <w:rPr>
          <w:rFonts w:ascii="Arial" w:hAnsi="Arial" w:cs="Arial"/>
          <w:sz w:val="22"/>
          <w:szCs w:val="22"/>
        </w:rPr>
        <w:t xml:space="preserve">are considered </w:t>
      </w:r>
      <w:r w:rsidR="003F6F70" w:rsidRPr="00414A6D">
        <w:rPr>
          <w:rFonts w:ascii="Arial" w:hAnsi="Arial" w:cs="Arial"/>
          <w:sz w:val="22"/>
          <w:szCs w:val="22"/>
        </w:rPr>
        <w:t xml:space="preserve">as criteria </w:t>
      </w:r>
      <w:r w:rsidRPr="00414A6D">
        <w:rPr>
          <w:rFonts w:ascii="Arial" w:hAnsi="Arial" w:cs="Arial"/>
          <w:sz w:val="22"/>
          <w:szCs w:val="22"/>
        </w:rPr>
        <w:t xml:space="preserve">for the </w:t>
      </w:r>
      <w:r w:rsidR="00742A90">
        <w:rPr>
          <w:rFonts w:ascii="Arial" w:hAnsi="Arial" w:cs="Arial"/>
          <w:sz w:val="22"/>
          <w:szCs w:val="22"/>
        </w:rPr>
        <w:t>B</w:t>
      </w:r>
      <w:r w:rsidR="007047A6">
        <w:rPr>
          <w:rFonts w:ascii="Arial" w:hAnsi="Arial" w:cs="Arial"/>
          <w:sz w:val="22"/>
          <w:szCs w:val="22"/>
        </w:rPr>
        <w:t>P</w:t>
      </w:r>
      <w:r w:rsidR="00742A90">
        <w:rPr>
          <w:rFonts w:ascii="Arial" w:hAnsi="Arial" w:cs="Arial"/>
          <w:sz w:val="22"/>
          <w:szCs w:val="22"/>
        </w:rPr>
        <w:t>P</w:t>
      </w:r>
      <w:r w:rsidR="00EC5B88" w:rsidRPr="00414A6D">
        <w:rPr>
          <w:rFonts w:ascii="Arial" w:hAnsi="Arial" w:cs="Arial"/>
          <w:sz w:val="22"/>
          <w:szCs w:val="22"/>
        </w:rPr>
        <w:t>,</w:t>
      </w:r>
      <w:r w:rsidR="003F6F70" w:rsidRPr="00414A6D">
        <w:rPr>
          <w:rFonts w:ascii="Arial" w:hAnsi="Arial" w:cs="Arial"/>
          <w:sz w:val="22"/>
          <w:szCs w:val="22"/>
        </w:rPr>
        <w:t xml:space="preserve"> </w:t>
      </w:r>
      <w:r w:rsidR="001219F8" w:rsidRPr="00414A6D">
        <w:rPr>
          <w:rFonts w:ascii="Arial" w:hAnsi="Arial" w:cs="Arial"/>
          <w:sz w:val="22"/>
          <w:szCs w:val="22"/>
        </w:rPr>
        <w:t xml:space="preserve">and how much </w:t>
      </w:r>
      <w:r w:rsidRPr="00414A6D">
        <w:rPr>
          <w:rFonts w:ascii="Arial" w:hAnsi="Arial" w:cs="Arial"/>
          <w:sz w:val="22"/>
          <w:szCs w:val="22"/>
        </w:rPr>
        <w:t xml:space="preserve">the </w:t>
      </w:r>
      <w:r w:rsidR="00742A90">
        <w:rPr>
          <w:rFonts w:ascii="Arial" w:hAnsi="Arial" w:cs="Arial"/>
          <w:sz w:val="22"/>
          <w:szCs w:val="22"/>
        </w:rPr>
        <w:t>BP</w:t>
      </w:r>
      <w:r w:rsidR="007047A6">
        <w:rPr>
          <w:rFonts w:ascii="Arial" w:hAnsi="Arial" w:cs="Arial"/>
          <w:sz w:val="22"/>
          <w:szCs w:val="22"/>
        </w:rPr>
        <w:t>P</w:t>
      </w:r>
      <w:r w:rsidRPr="00414A6D">
        <w:rPr>
          <w:rFonts w:ascii="Arial" w:hAnsi="Arial" w:cs="Arial"/>
          <w:sz w:val="22"/>
          <w:szCs w:val="22"/>
        </w:rPr>
        <w:t xml:space="preserve"> is. </w:t>
      </w:r>
    </w:p>
    <w:p w14:paraId="287E3A97" w14:textId="77777777" w:rsidR="003F6F70" w:rsidRPr="00414A6D" w:rsidRDefault="003F6F70" w:rsidP="001219F8">
      <w:pPr>
        <w:jc w:val="both"/>
        <w:rPr>
          <w:rFonts w:ascii="Arial" w:hAnsi="Arial" w:cs="Arial"/>
          <w:sz w:val="22"/>
          <w:szCs w:val="22"/>
        </w:rPr>
      </w:pPr>
    </w:p>
    <w:p w14:paraId="0D9A8A60" w14:textId="1D819F9C" w:rsidR="001219F8" w:rsidRPr="00414A6D" w:rsidRDefault="000C5949" w:rsidP="001219F8">
      <w:pPr>
        <w:jc w:val="both"/>
        <w:rPr>
          <w:rFonts w:ascii="Arial" w:hAnsi="Arial" w:cs="Arial"/>
          <w:sz w:val="22"/>
          <w:szCs w:val="22"/>
        </w:rPr>
      </w:pPr>
      <w:r w:rsidRPr="00414A6D">
        <w:rPr>
          <w:rFonts w:ascii="Arial" w:hAnsi="Arial" w:cs="Arial"/>
          <w:sz w:val="22"/>
          <w:szCs w:val="22"/>
        </w:rPr>
        <w:t xml:space="preserve">Accordingly, </w:t>
      </w:r>
      <w:r w:rsidR="003F6F70" w:rsidRPr="00414A6D">
        <w:rPr>
          <w:rFonts w:ascii="Arial" w:hAnsi="Arial" w:cs="Arial"/>
          <w:sz w:val="22"/>
          <w:szCs w:val="22"/>
        </w:rPr>
        <w:t xml:space="preserve">the </w:t>
      </w:r>
      <w:r w:rsidR="001219F8" w:rsidRPr="00414A6D">
        <w:rPr>
          <w:rFonts w:ascii="Arial" w:hAnsi="Arial" w:cs="Arial"/>
          <w:sz w:val="22"/>
          <w:szCs w:val="22"/>
        </w:rPr>
        <w:t xml:space="preserve">Sub-Committee </w:t>
      </w:r>
      <w:r w:rsidRPr="00414A6D">
        <w:rPr>
          <w:rFonts w:ascii="Arial" w:hAnsi="Arial" w:cs="Arial"/>
          <w:sz w:val="22"/>
          <w:szCs w:val="22"/>
        </w:rPr>
        <w:t xml:space="preserve">recommends </w:t>
      </w:r>
      <w:r w:rsidR="00C5078D" w:rsidRPr="00414A6D">
        <w:rPr>
          <w:rFonts w:ascii="Arial" w:hAnsi="Arial" w:cs="Arial"/>
          <w:sz w:val="22"/>
          <w:szCs w:val="22"/>
        </w:rPr>
        <w:t xml:space="preserve">that the </w:t>
      </w:r>
      <w:r w:rsidR="001219F8" w:rsidRPr="00414A6D">
        <w:rPr>
          <w:rFonts w:ascii="Arial" w:hAnsi="Arial" w:cs="Arial"/>
          <w:sz w:val="22"/>
          <w:szCs w:val="22"/>
        </w:rPr>
        <w:t xml:space="preserve">hip fracture cohort </w:t>
      </w:r>
      <w:r w:rsidR="003F6F70" w:rsidRPr="00414A6D">
        <w:rPr>
          <w:rFonts w:ascii="Arial" w:hAnsi="Arial" w:cs="Arial"/>
          <w:sz w:val="22"/>
          <w:szCs w:val="22"/>
        </w:rPr>
        <w:t xml:space="preserve">eligible or targeted for an initial </w:t>
      </w:r>
      <w:r w:rsidR="00321585">
        <w:rPr>
          <w:rFonts w:ascii="Arial" w:hAnsi="Arial" w:cs="Arial"/>
          <w:sz w:val="22"/>
          <w:szCs w:val="22"/>
        </w:rPr>
        <w:t>BP</w:t>
      </w:r>
      <w:r w:rsidR="007047A6">
        <w:rPr>
          <w:rFonts w:ascii="Arial" w:hAnsi="Arial" w:cs="Arial"/>
          <w:sz w:val="22"/>
          <w:szCs w:val="22"/>
        </w:rPr>
        <w:t>P</w:t>
      </w:r>
      <w:r w:rsidR="003F6F70" w:rsidRPr="00414A6D">
        <w:rPr>
          <w:rFonts w:ascii="Arial" w:hAnsi="Arial" w:cs="Arial"/>
          <w:sz w:val="22"/>
          <w:szCs w:val="22"/>
        </w:rPr>
        <w:t xml:space="preserve"> include</w:t>
      </w:r>
      <w:r w:rsidR="001219F8" w:rsidRPr="00414A6D">
        <w:rPr>
          <w:rFonts w:ascii="Arial" w:hAnsi="Arial" w:cs="Arial"/>
          <w:sz w:val="22"/>
          <w:szCs w:val="22"/>
        </w:rPr>
        <w:t>:</w:t>
      </w:r>
    </w:p>
    <w:p w14:paraId="7CBB3E57" w14:textId="20745797" w:rsidR="001219F8" w:rsidRPr="00414A6D" w:rsidRDefault="003F6F70" w:rsidP="007B1510">
      <w:pPr>
        <w:pStyle w:val="ListParagraph"/>
        <w:numPr>
          <w:ilvl w:val="0"/>
          <w:numId w:val="26"/>
        </w:numPr>
        <w:jc w:val="both"/>
        <w:rPr>
          <w:rFonts w:ascii="Arial" w:hAnsi="Arial" w:cs="Arial"/>
          <w:sz w:val="22"/>
          <w:szCs w:val="22"/>
        </w:rPr>
      </w:pPr>
      <w:r w:rsidRPr="00414A6D">
        <w:rPr>
          <w:rFonts w:ascii="Arial" w:hAnsi="Arial" w:cs="Arial"/>
          <w:sz w:val="22"/>
          <w:szCs w:val="22"/>
        </w:rPr>
        <w:t xml:space="preserve">Patients </w:t>
      </w:r>
      <w:r w:rsidR="001219F8" w:rsidRPr="00414A6D">
        <w:rPr>
          <w:rFonts w:ascii="Arial" w:hAnsi="Arial" w:cs="Arial"/>
          <w:sz w:val="22"/>
          <w:szCs w:val="22"/>
        </w:rPr>
        <w:t>age</w:t>
      </w:r>
      <w:r w:rsidR="008A6439" w:rsidRPr="00414A6D">
        <w:rPr>
          <w:rFonts w:ascii="Arial" w:hAnsi="Arial" w:cs="Arial"/>
          <w:sz w:val="22"/>
          <w:szCs w:val="22"/>
        </w:rPr>
        <w:t>d</w:t>
      </w:r>
      <w:r w:rsidR="001219F8" w:rsidRPr="00414A6D">
        <w:rPr>
          <w:rFonts w:ascii="Arial" w:hAnsi="Arial" w:cs="Arial"/>
          <w:sz w:val="22"/>
          <w:szCs w:val="22"/>
        </w:rPr>
        <w:t xml:space="preserve"> 50 years and over</w:t>
      </w:r>
      <w:r w:rsidRPr="00414A6D">
        <w:rPr>
          <w:rFonts w:ascii="Arial" w:hAnsi="Arial" w:cs="Arial"/>
          <w:sz w:val="22"/>
          <w:szCs w:val="22"/>
        </w:rPr>
        <w:t xml:space="preserve"> (</w:t>
      </w:r>
      <w:r w:rsidR="00D6474B" w:rsidRPr="00414A6D">
        <w:rPr>
          <w:rFonts w:ascii="Arial" w:hAnsi="Arial" w:cs="Arial"/>
          <w:sz w:val="22"/>
          <w:szCs w:val="22"/>
        </w:rPr>
        <w:t xml:space="preserve">which represents </w:t>
      </w:r>
      <w:r w:rsidRPr="00414A6D">
        <w:rPr>
          <w:rFonts w:ascii="Arial" w:hAnsi="Arial" w:cs="Arial"/>
          <w:sz w:val="22"/>
          <w:szCs w:val="22"/>
        </w:rPr>
        <w:t>96% of activity and 94% of costs)</w:t>
      </w:r>
    </w:p>
    <w:p w14:paraId="36539C06" w14:textId="77777777" w:rsidR="001219F8" w:rsidRPr="00414A6D" w:rsidRDefault="003F6F70" w:rsidP="007B1510">
      <w:pPr>
        <w:pStyle w:val="ListParagraph"/>
        <w:numPr>
          <w:ilvl w:val="0"/>
          <w:numId w:val="26"/>
        </w:numPr>
        <w:jc w:val="both"/>
        <w:rPr>
          <w:rFonts w:ascii="Arial" w:hAnsi="Arial" w:cs="Arial"/>
          <w:sz w:val="22"/>
          <w:szCs w:val="22"/>
        </w:rPr>
      </w:pPr>
      <w:r w:rsidRPr="00414A6D">
        <w:rPr>
          <w:rFonts w:ascii="Arial" w:hAnsi="Arial" w:cs="Arial"/>
          <w:sz w:val="22"/>
          <w:szCs w:val="22"/>
        </w:rPr>
        <w:t xml:space="preserve">Admissions with a </w:t>
      </w:r>
      <w:r w:rsidR="001219F8" w:rsidRPr="00414A6D">
        <w:rPr>
          <w:rFonts w:ascii="Arial" w:hAnsi="Arial" w:cs="Arial"/>
          <w:sz w:val="22"/>
          <w:szCs w:val="22"/>
        </w:rPr>
        <w:t>care type of acute</w:t>
      </w:r>
      <w:r w:rsidRPr="00414A6D">
        <w:rPr>
          <w:rFonts w:ascii="Arial" w:hAnsi="Arial" w:cs="Arial"/>
          <w:sz w:val="22"/>
          <w:szCs w:val="22"/>
        </w:rPr>
        <w:t xml:space="preserve"> (since the Commissions standards focus on the acute episode and IHPA pays for acute and sub-acute separately)</w:t>
      </w:r>
      <w:r w:rsidRPr="00414A6D">
        <w:rPr>
          <w:rStyle w:val="FootnoteReference"/>
          <w:rFonts w:ascii="Arial" w:hAnsi="Arial" w:cs="Arial"/>
          <w:sz w:val="22"/>
          <w:szCs w:val="22"/>
        </w:rPr>
        <w:footnoteReference w:id="1"/>
      </w:r>
      <w:r w:rsidRPr="00414A6D">
        <w:rPr>
          <w:rFonts w:ascii="Arial" w:hAnsi="Arial" w:cs="Arial"/>
          <w:sz w:val="22"/>
          <w:szCs w:val="22"/>
        </w:rPr>
        <w:t xml:space="preserve"> </w:t>
      </w:r>
    </w:p>
    <w:p w14:paraId="7921EDC7" w14:textId="4DECAA49" w:rsidR="0085186C" w:rsidRPr="00D41ED6" w:rsidRDefault="00DD56F0" w:rsidP="00550A03">
      <w:pPr>
        <w:pStyle w:val="ListParagraph"/>
        <w:numPr>
          <w:ilvl w:val="0"/>
          <w:numId w:val="26"/>
        </w:numPr>
        <w:jc w:val="both"/>
        <w:rPr>
          <w:rFonts w:ascii="Arial" w:hAnsi="Arial" w:cs="Arial"/>
          <w:sz w:val="22"/>
          <w:szCs w:val="22"/>
        </w:rPr>
      </w:pPr>
      <w:r>
        <w:rPr>
          <w:rFonts w:ascii="Arial" w:hAnsi="Arial" w:cs="Arial"/>
          <w:sz w:val="22"/>
          <w:szCs w:val="22"/>
        </w:rPr>
        <w:t>Specified principal</w:t>
      </w:r>
      <w:r w:rsidR="000B6135">
        <w:rPr>
          <w:rFonts w:ascii="Arial" w:hAnsi="Arial" w:cs="Arial"/>
          <w:sz w:val="22"/>
          <w:szCs w:val="22"/>
        </w:rPr>
        <w:t xml:space="preserve"> diagnos</w:t>
      </w:r>
      <w:r w:rsidR="00F13C47">
        <w:rPr>
          <w:rFonts w:ascii="Arial" w:hAnsi="Arial" w:cs="Arial"/>
          <w:sz w:val="22"/>
          <w:szCs w:val="22"/>
        </w:rPr>
        <w:t>e</w:t>
      </w:r>
      <w:r w:rsidR="0085186C" w:rsidRPr="0085186C">
        <w:rPr>
          <w:rFonts w:ascii="Arial" w:hAnsi="Arial" w:cs="Arial"/>
          <w:sz w:val="22"/>
          <w:szCs w:val="22"/>
        </w:rPr>
        <w:t>s (covering 90% of hip fractures and 88% of costs among those aged 50 years or more</w:t>
      </w:r>
      <w:r w:rsidR="000B6135">
        <w:rPr>
          <w:rFonts w:ascii="Arial" w:hAnsi="Arial" w:cs="Arial"/>
          <w:sz w:val="22"/>
          <w:szCs w:val="22"/>
        </w:rPr>
        <w:t>)</w:t>
      </w:r>
      <w:r w:rsidR="00550A03">
        <w:rPr>
          <w:rFonts w:ascii="Arial" w:hAnsi="Arial" w:cs="Arial"/>
          <w:sz w:val="22"/>
          <w:szCs w:val="22"/>
        </w:rPr>
        <w:t>, and e</w:t>
      </w:r>
      <w:r w:rsidR="0085186C" w:rsidRPr="00D41ED6">
        <w:rPr>
          <w:rFonts w:ascii="Arial" w:hAnsi="Arial" w:cs="Arial"/>
          <w:sz w:val="22"/>
          <w:szCs w:val="22"/>
        </w:rPr>
        <w:t>xcluding multiple trauma episodes</w:t>
      </w:r>
      <w:r w:rsidR="000B6135" w:rsidRPr="00D41ED6">
        <w:rPr>
          <w:rFonts w:ascii="Arial" w:hAnsi="Arial" w:cs="Arial"/>
          <w:sz w:val="22"/>
          <w:szCs w:val="22"/>
        </w:rPr>
        <w:t>;</w:t>
      </w:r>
      <w:r w:rsidR="00550A03">
        <w:rPr>
          <w:rFonts w:ascii="Arial" w:hAnsi="Arial" w:cs="Arial"/>
          <w:sz w:val="22"/>
          <w:szCs w:val="22"/>
        </w:rPr>
        <w:t xml:space="preserve"> and</w:t>
      </w:r>
    </w:p>
    <w:p w14:paraId="2973DBAE" w14:textId="7A10E949" w:rsidR="00DD56F0" w:rsidRPr="00D41ED6" w:rsidRDefault="001219F8">
      <w:pPr>
        <w:pStyle w:val="ListParagraph"/>
        <w:numPr>
          <w:ilvl w:val="0"/>
          <w:numId w:val="26"/>
        </w:numPr>
        <w:jc w:val="both"/>
        <w:rPr>
          <w:rFonts w:ascii="Arial" w:hAnsi="Arial" w:cs="Arial"/>
          <w:sz w:val="22"/>
          <w:szCs w:val="22"/>
        </w:rPr>
      </w:pPr>
      <w:r w:rsidRPr="00414A6D">
        <w:rPr>
          <w:rFonts w:ascii="Arial" w:hAnsi="Arial" w:cs="Arial"/>
          <w:sz w:val="22"/>
          <w:szCs w:val="22"/>
        </w:rPr>
        <w:t xml:space="preserve">Specified </w:t>
      </w:r>
      <w:r w:rsidR="00DD56F0">
        <w:rPr>
          <w:rFonts w:ascii="Arial" w:hAnsi="Arial" w:cs="Arial"/>
          <w:sz w:val="22"/>
          <w:szCs w:val="22"/>
        </w:rPr>
        <w:t xml:space="preserve">hip surgery procedure codes and </w:t>
      </w:r>
      <w:r w:rsidRPr="00414A6D">
        <w:rPr>
          <w:rFonts w:ascii="Arial" w:hAnsi="Arial" w:cs="Arial"/>
          <w:sz w:val="22"/>
          <w:szCs w:val="22"/>
        </w:rPr>
        <w:t xml:space="preserve">Australian Refined Diagnosis </w:t>
      </w:r>
      <w:r w:rsidR="00730E57">
        <w:rPr>
          <w:rFonts w:ascii="Arial" w:hAnsi="Arial" w:cs="Arial"/>
          <w:sz w:val="22"/>
          <w:szCs w:val="22"/>
        </w:rPr>
        <w:t xml:space="preserve">Related </w:t>
      </w:r>
      <w:r w:rsidRPr="00414A6D">
        <w:rPr>
          <w:rFonts w:ascii="Arial" w:hAnsi="Arial" w:cs="Arial"/>
          <w:sz w:val="22"/>
          <w:szCs w:val="22"/>
        </w:rPr>
        <w:t>Groups (AR-DR</w:t>
      </w:r>
      <w:r w:rsidRPr="00414A6D">
        <w:rPr>
          <w:rFonts w:ascii="Arial" w:hAnsi="Arial" w:cs="Arial"/>
          <w:sz w:val="22"/>
          <w:szCs w:val="22"/>
        </w:rPr>
        <w:softHyphen/>
        <w:t>Gs)</w:t>
      </w:r>
      <w:r w:rsidR="00DD56F0">
        <w:rPr>
          <w:rFonts w:ascii="Arial" w:hAnsi="Arial" w:cs="Arial"/>
          <w:sz w:val="22"/>
          <w:szCs w:val="22"/>
        </w:rPr>
        <w:t xml:space="preserve"> </w:t>
      </w:r>
      <w:r w:rsidR="00DD56F0" w:rsidRPr="00D41ED6">
        <w:rPr>
          <w:rFonts w:ascii="Arial" w:hAnsi="Arial" w:cs="Arial"/>
          <w:sz w:val="22"/>
          <w:szCs w:val="22"/>
        </w:rPr>
        <w:t xml:space="preserve">(see </w:t>
      </w:r>
      <w:r w:rsidR="00DD56F0" w:rsidRPr="00D41ED6">
        <w:rPr>
          <w:rFonts w:ascii="Arial" w:hAnsi="Arial" w:cs="Arial"/>
          <w:b/>
          <w:sz w:val="22"/>
          <w:szCs w:val="22"/>
        </w:rPr>
        <w:t>Recommendation 3</w:t>
      </w:r>
      <w:r w:rsidR="00DD56F0" w:rsidRPr="00D41ED6">
        <w:rPr>
          <w:rFonts w:ascii="Arial" w:hAnsi="Arial" w:cs="Arial"/>
          <w:sz w:val="22"/>
          <w:szCs w:val="22"/>
        </w:rPr>
        <w:t xml:space="preserve">). </w:t>
      </w:r>
    </w:p>
    <w:p w14:paraId="5FE9A779" w14:textId="77777777" w:rsidR="000D3F49" w:rsidRPr="00414A6D" w:rsidRDefault="000D3F49" w:rsidP="000D3F49">
      <w:pPr>
        <w:jc w:val="both"/>
        <w:rPr>
          <w:rFonts w:ascii="Arial" w:hAnsi="Arial" w:cs="Arial"/>
          <w:sz w:val="22"/>
          <w:szCs w:val="22"/>
        </w:rPr>
      </w:pPr>
    </w:p>
    <w:p w14:paraId="21CAC13F" w14:textId="101678BF" w:rsidR="00A8729D" w:rsidRPr="00414A6D" w:rsidRDefault="00A8729D" w:rsidP="000D3F49">
      <w:pPr>
        <w:jc w:val="both"/>
        <w:rPr>
          <w:rFonts w:ascii="Arial" w:hAnsi="Arial" w:cs="Arial"/>
          <w:sz w:val="22"/>
          <w:szCs w:val="22"/>
        </w:rPr>
      </w:pPr>
      <w:r w:rsidRPr="00414A6D">
        <w:rPr>
          <w:rFonts w:ascii="Arial" w:hAnsi="Arial" w:cs="Arial"/>
          <w:sz w:val="22"/>
          <w:szCs w:val="22"/>
        </w:rPr>
        <w:t xml:space="preserve">Best-practice pricing is recommended for </w:t>
      </w:r>
      <w:r w:rsidR="009B4DD4" w:rsidRPr="00414A6D">
        <w:rPr>
          <w:rFonts w:ascii="Arial" w:hAnsi="Arial" w:cs="Arial"/>
          <w:sz w:val="22"/>
          <w:szCs w:val="22"/>
        </w:rPr>
        <w:t xml:space="preserve">surgical and non-surgical </w:t>
      </w:r>
      <w:r w:rsidRPr="00414A6D">
        <w:rPr>
          <w:rFonts w:ascii="Arial" w:hAnsi="Arial" w:cs="Arial"/>
          <w:sz w:val="22"/>
          <w:szCs w:val="22"/>
        </w:rPr>
        <w:t xml:space="preserve">interventions </w:t>
      </w:r>
      <w:r w:rsidR="009B4DD4" w:rsidRPr="00414A6D">
        <w:rPr>
          <w:rFonts w:ascii="Arial" w:hAnsi="Arial" w:cs="Arial"/>
          <w:sz w:val="22"/>
          <w:szCs w:val="22"/>
        </w:rPr>
        <w:t xml:space="preserve">(two tariffs) </w:t>
      </w:r>
      <w:r w:rsidRPr="00414A6D">
        <w:rPr>
          <w:rFonts w:ascii="Arial" w:hAnsi="Arial" w:cs="Arial"/>
          <w:sz w:val="22"/>
          <w:szCs w:val="22"/>
        </w:rPr>
        <w:t>to prevent unintended incentives toward any particular approach to management of hip fractures.</w:t>
      </w:r>
      <w:r w:rsidR="000D3F49" w:rsidRPr="00414A6D">
        <w:rPr>
          <w:rFonts w:ascii="Arial" w:hAnsi="Arial" w:cs="Arial"/>
          <w:sz w:val="22"/>
          <w:szCs w:val="22"/>
        </w:rPr>
        <w:t xml:space="preserve"> In surgical cases where patients are transferred between hospitals, it is recommended that the operating hospital receive the </w:t>
      </w:r>
      <w:r w:rsidR="00321585">
        <w:rPr>
          <w:rFonts w:ascii="Arial" w:hAnsi="Arial" w:cs="Arial"/>
          <w:sz w:val="22"/>
          <w:szCs w:val="22"/>
        </w:rPr>
        <w:t>BP</w:t>
      </w:r>
      <w:r w:rsidR="007047A6">
        <w:rPr>
          <w:rFonts w:ascii="Arial" w:hAnsi="Arial" w:cs="Arial"/>
          <w:sz w:val="22"/>
          <w:szCs w:val="22"/>
        </w:rPr>
        <w:t>P</w:t>
      </w:r>
      <w:r w:rsidR="000D3F49" w:rsidRPr="00414A6D">
        <w:rPr>
          <w:rFonts w:ascii="Arial" w:hAnsi="Arial" w:cs="Arial"/>
          <w:sz w:val="22"/>
          <w:szCs w:val="22"/>
        </w:rPr>
        <w:t xml:space="preserve"> if criteria are met. More information on the rationale for this target cohort and these recommendations </w:t>
      </w:r>
      <w:r w:rsidR="00F13C47">
        <w:rPr>
          <w:rFonts w:ascii="Arial" w:hAnsi="Arial" w:cs="Arial"/>
          <w:sz w:val="22"/>
          <w:szCs w:val="22"/>
        </w:rPr>
        <w:t>is</w:t>
      </w:r>
      <w:r w:rsidR="000D3F49" w:rsidRPr="00414A6D">
        <w:rPr>
          <w:rFonts w:ascii="Arial" w:hAnsi="Arial" w:cs="Arial"/>
          <w:sz w:val="22"/>
          <w:szCs w:val="22"/>
        </w:rPr>
        <w:t xml:space="preserve"> on pages </w:t>
      </w:r>
      <w:r w:rsidR="00550A03">
        <w:rPr>
          <w:rFonts w:ascii="Arial" w:hAnsi="Arial" w:cs="Arial"/>
          <w:sz w:val="22"/>
          <w:szCs w:val="22"/>
        </w:rPr>
        <w:t>7 to 11.</w:t>
      </w:r>
    </w:p>
    <w:p w14:paraId="7A646420" w14:textId="77777777" w:rsidR="000D3F49" w:rsidRPr="00414A6D" w:rsidRDefault="000D3F49" w:rsidP="00B2151D">
      <w:pPr>
        <w:jc w:val="both"/>
        <w:rPr>
          <w:rFonts w:ascii="Arial" w:hAnsi="Arial" w:cs="Arial"/>
          <w:sz w:val="22"/>
          <w:szCs w:val="22"/>
        </w:rPr>
      </w:pPr>
    </w:p>
    <w:p w14:paraId="78622272" w14:textId="27518BED" w:rsidR="00A8729D" w:rsidRPr="00414A6D" w:rsidRDefault="00A8729D" w:rsidP="00B2151D">
      <w:pPr>
        <w:jc w:val="both"/>
        <w:rPr>
          <w:rFonts w:ascii="Arial" w:hAnsi="Arial" w:cs="Arial"/>
          <w:sz w:val="22"/>
          <w:szCs w:val="22"/>
        </w:rPr>
      </w:pPr>
      <w:r w:rsidRPr="00414A6D">
        <w:rPr>
          <w:rFonts w:ascii="Arial" w:hAnsi="Arial" w:cs="Arial"/>
          <w:sz w:val="22"/>
          <w:szCs w:val="22"/>
        </w:rPr>
        <w:t xml:space="preserve">In Australia, there are approximately 21,000 hip fracture </w:t>
      </w:r>
      <w:r w:rsidR="002E3E33" w:rsidRPr="00414A6D">
        <w:rPr>
          <w:rFonts w:ascii="Arial" w:hAnsi="Arial" w:cs="Arial"/>
          <w:sz w:val="22"/>
          <w:szCs w:val="22"/>
        </w:rPr>
        <w:t xml:space="preserve">separations </w:t>
      </w:r>
      <w:r w:rsidRPr="00414A6D">
        <w:rPr>
          <w:rFonts w:ascii="Arial" w:hAnsi="Arial" w:cs="Arial"/>
          <w:sz w:val="22"/>
          <w:szCs w:val="22"/>
        </w:rPr>
        <w:t>per annum at a</w:t>
      </w:r>
      <w:r w:rsidR="00CD7B38" w:rsidRPr="00414A6D">
        <w:rPr>
          <w:rFonts w:ascii="Arial" w:hAnsi="Arial" w:cs="Arial"/>
          <w:sz w:val="22"/>
          <w:szCs w:val="22"/>
        </w:rPr>
        <w:t xml:space="preserve"> total operational </w:t>
      </w:r>
      <w:r w:rsidRPr="00414A6D">
        <w:rPr>
          <w:rFonts w:ascii="Arial" w:hAnsi="Arial" w:cs="Arial"/>
          <w:sz w:val="22"/>
          <w:szCs w:val="22"/>
        </w:rPr>
        <w:t xml:space="preserve">cost of just under $350 million to the health care system. If these criteria were used to establish an initial hip fracture cohort then best-practice pricing would apply to 13,914 separations at a total </w:t>
      </w:r>
      <w:r w:rsidR="00CD7B38" w:rsidRPr="00414A6D">
        <w:rPr>
          <w:rFonts w:ascii="Arial" w:hAnsi="Arial" w:cs="Arial"/>
          <w:sz w:val="22"/>
          <w:szCs w:val="22"/>
        </w:rPr>
        <w:t xml:space="preserve">operational </w:t>
      </w:r>
      <w:r w:rsidRPr="00414A6D">
        <w:rPr>
          <w:rFonts w:ascii="Arial" w:hAnsi="Arial" w:cs="Arial"/>
          <w:sz w:val="22"/>
          <w:szCs w:val="22"/>
        </w:rPr>
        <w:t>cost of $258.2 million</w:t>
      </w:r>
      <w:r w:rsidR="00726559" w:rsidRPr="00414A6D">
        <w:rPr>
          <w:rFonts w:ascii="Arial" w:hAnsi="Arial" w:cs="Arial"/>
          <w:sz w:val="22"/>
          <w:szCs w:val="22"/>
        </w:rPr>
        <w:t>.</w:t>
      </w:r>
    </w:p>
    <w:p w14:paraId="67D0754F" w14:textId="77777777" w:rsidR="00975346" w:rsidRPr="00414A6D" w:rsidRDefault="00975346" w:rsidP="00B2151D">
      <w:pPr>
        <w:jc w:val="both"/>
        <w:rPr>
          <w:rFonts w:ascii="Arial" w:hAnsi="Arial" w:cs="Arial"/>
          <w:sz w:val="22"/>
          <w:szCs w:val="22"/>
        </w:rPr>
      </w:pPr>
    </w:p>
    <w:p w14:paraId="43314851" w14:textId="4922F4C1" w:rsidR="00CD7B38" w:rsidRPr="00414A6D" w:rsidRDefault="00726559" w:rsidP="00B2151D">
      <w:pPr>
        <w:autoSpaceDE w:val="0"/>
        <w:autoSpaceDN w:val="0"/>
        <w:adjustRightInd w:val="0"/>
        <w:jc w:val="both"/>
        <w:rPr>
          <w:rFonts w:ascii="Arial" w:hAnsi="Arial" w:cs="Arial"/>
          <w:sz w:val="22"/>
          <w:szCs w:val="22"/>
        </w:rPr>
      </w:pPr>
      <w:r w:rsidRPr="00414A6D">
        <w:rPr>
          <w:rFonts w:ascii="Arial" w:hAnsi="Arial" w:cs="Arial"/>
          <w:sz w:val="22"/>
          <w:szCs w:val="22"/>
        </w:rPr>
        <w:t>Members reco</w:t>
      </w:r>
      <w:r w:rsidR="00B2151D">
        <w:rPr>
          <w:rFonts w:ascii="Arial" w:hAnsi="Arial" w:cs="Arial"/>
          <w:sz w:val="22"/>
          <w:szCs w:val="22"/>
        </w:rPr>
        <w:t>mmend that the size of the best</w:t>
      </w:r>
      <w:r w:rsidR="00516A15">
        <w:rPr>
          <w:rFonts w:ascii="Arial" w:hAnsi="Arial" w:cs="Arial"/>
          <w:sz w:val="22"/>
          <w:szCs w:val="22"/>
        </w:rPr>
        <w:t>-</w:t>
      </w:r>
      <w:r w:rsidRPr="00414A6D">
        <w:rPr>
          <w:rFonts w:ascii="Arial" w:hAnsi="Arial" w:cs="Arial"/>
          <w:sz w:val="22"/>
          <w:szCs w:val="22"/>
        </w:rPr>
        <w:t>practice price be set after IHPA undertakes or commissions a stud</w:t>
      </w:r>
      <w:r w:rsidR="00B2151D">
        <w:rPr>
          <w:rFonts w:ascii="Arial" w:hAnsi="Arial" w:cs="Arial"/>
          <w:sz w:val="22"/>
          <w:szCs w:val="22"/>
        </w:rPr>
        <w:t>y to determine the cost of best</w:t>
      </w:r>
      <w:r w:rsidR="00516A15">
        <w:rPr>
          <w:rFonts w:ascii="Arial" w:hAnsi="Arial" w:cs="Arial"/>
          <w:sz w:val="22"/>
          <w:szCs w:val="22"/>
        </w:rPr>
        <w:t>-</w:t>
      </w:r>
      <w:r w:rsidRPr="00414A6D">
        <w:rPr>
          <w:rFonts w:ascii="Arial" w:hAnsi="Arial" w:cs="Arial"/>
          <w:sz w:val="22"/>
          <w:szCs w:val="22"/>
        </w:rPr>
        <w:t xml:space="preserve">practice hip fracture care, as defined using the above-mentioned criteria, compared to the price paid under IHPA’s current </w:t>
      </w:r>
      <w:r w:rsidR="00F13C47">
        <w:rPr>
          <w:rFonts w:ascii="Arial" w:hAnsi="Arial" w:cs="Arial"/>
          <w:sz w:val="22"/>
          <w:szCs w:val="22"/>
        </w:rPr>
        <w:t>national efficient price (</w:t>
      </w:r>
      <w:r w:rsidRPr="00414A6D">
        <w:rPr>
          <w:rFonts w:ascii="Arial" w:hAnsi="Arial" w:cs="Arial"/>
          <w:sz w:val="22"/>
          <w:szCs w:val="22"/>
        </w:rPr>
        <w:t>NEP</w:t>
      </w:r>
      <w:r w:rsidR="00F13C47">
        <w:rPr>
          <w:rFonts w:ascii="Arial" w:hAnsi="Arial" w:cs="Arial"/>
          <w:sz w:val="22"/>
          <w:szCs w:val="22"/>
        </w:rPr>
        <w:t>)</w:t>
      </w:r>
      <w:r w:rsidRPr="00414A6D">
        <w:rPr>
          <w:rFonts w:ascii="Arial" w:hAnsi="Arial" w:cs="Arial"/>
          <w:sz w:val="22"/>
          <w:szCs w:val="22"/>
        </w:rPr>
        <w:t xml:space="preserve"> methodology</w:t>
      </w:r>
      <w:r w:rsidR="00F3678C" w:rsidRPr="00414A6D">
        <w:rPr>
          <w:rFonts w:ascii="Arial" w:hAnsi="Arial" w:cs="Arial"/>
          <w:sz w:val="22"/>
          <w:szCs w:val="22"/>
        </w:rPr>
        <w:t>.</w:t>
      </w:r>
      <w:r w:rsidRPr="00414A6D">
        <w:rPr>
          <w:rFonts w:ascii="Arial" w:hAnsi="Arial" w:cs="Arial"/>
          <w:sz w:val="22"/>
          <w:szCs w:val="22"/>
        </w:rPr>
        <w:t xml:space="preserve"> A discussion about implications, for incentives and Commonwealth expenditures, depending on whether the best</w:t>
      </w:r>
      <w:r w:rsidR="00516A15">
        <w:rPr>
          <w:rFonts w:ascii="Arial" w:hAnsi="Arial" w:cs="Arial"/>
          <w:sz w:val="22"/>
          <w:szCs w:val="22"/>
        </w:rPr>
        <w:t>-</w:t>
      </w:r>
      <w:r w:rsidRPr="00414A6D">
        <w:rPr>
          <w:rFonts w:ascii="Arial" w:hAnsi="Arial" w:cs="Arial"/>
          <w:sz w:val="22"/>
          <w:szCs w:val="22"/>
        </w:rPr>
        <w:t>practice price is higher, lower or the same as the price paid under the NEP is provided on page</w:t>
      </w:r>
      <w:r w:rsidR="00550A03">
        <w:rPr>
          <w:rFonts w:ascii="Arial" w:hAnsi="Arial" w:cs="Arial"/>
          <w:sz w:val="22"/>
          <w:szCs w:val="22"/>
        </w:rPr>
        <w:t>s 11 and 12</w:t>
      </w:r>
      <w:r w:rsidRPr="00414A6D">
        <w:rPr>
          <w:rFonts w:ascii="Arial" w:hAnsi="Arial" w:cs="Arial"/>
          <w:sz w:val="22"/>
          <w:szCs w:val="22"/>
        </w:rPr>
        <w:t>.</w:t>
      </w:r>
      <w:r w:rsidR="00F3678C" w:rsidRPr="00414A6D">
        <w:rPr>
          <w:rFonts w:ascii="Arial" w:hAnsi="Arial" w:cs="Arial"/>
          <w:sz w:val="22"/>
          <w:szCs w:val="22"/>
        </w:rPr>
        <w:t xml:space="preserve"> </w:t>
      </w:r>
    </w:p>
    <w:p w14:paraId="54B0257D" w14:textId="77777777" w:rsidR="00975346" w:rsidRPr="00414A6D" w:rsidRDefault="00975346" w:rsidP="00B2151D">
      <w:pPr>
        <w:autoSpaceDE w:val="0"/>
        <w:autoSpaceDN w:val="0"/>
        <w:adjustRightInd w:val="0"/>
        <w:jc w:val="both"/>
        <w:rPr>
          <w:rFonts w:ascii="Arial" w:hAnsi="Arial" w:cs="Arial"/>
          <w:sz w:val="22"/>
          <w:szCs w:val="22"/>
        </w:rPr>
      </w:pPr>
    </w:p>
    <w:p w14:paraId="049B12FE" w14:textId="5D1460E2" w:rsidR="00726559" w:rsidRPr="00414A6D" w:rsidRDefault="00F3678C" w:rsidP="00B2151D">
      <w:pPr>
        <w:autoSpaceDE w:val="0"/>
        <w:autoSpaceDN w:val="0"/>
        <w:adjustRightInd w:val="0"/>
        <w:jc w:val="both"/>
        <w:rPr>
          <w:rFonts w:ascii="Arial" w:hAnsi="Arial" w:cs="Arial"/>
          <w:sz w:val="22"/>
          <w:szCs w:val="22"/>
        </w:rPr>
      </w:pPr>
      <w:r w:rsidRPr="00414A6D">
        <w:rPr>
          <w:rFonts w:ascii="Arial" w:hAnsi="Arial" w:cs="Arial"/>
          <w:sz w:val="22"/>
          <w:szCs w:val="22"/>
        </w:rPr>
        <w:t>Furthermore</w:t>
      </w:r>
      <w:r w:rsidR="00D6474B" w:rsidRPr="00414A6D">
        <w:rPr>
          <w:rFonts w:ascii="Arial" w:hAnsi="Arial" w:cs="Arial"/>
          <w:sz w:val="22"/>
          <w:szCs w:val="22"/>
        </w:rPr>
        <w:t>,</w:t>
      </w:r>
      <w:r w:rsidRPr="00414A6D">
        <w:rPr>
          <w:rFonts w:ascii="Arial" w:hAnsi="Arial" w:cs="Arial"/>
          <w:sz w:val="22"/>
          <w:szCs w:val="22"/>
        </w:rPr>
        <w:t xml:space="preserve"> IHPA should signal its intention to explore the implementation of a best</w:t>
      </w:r>
      <w:r w:rsidR="007047A6">
        <w:rPr>
          <w:rFonts w:ascii="Arial" w:hAnsi="Arial" w:cs="Arial"/>
          <w:sz w:val="22"/>
          <w:szCs w:val="22"/>
        </w:rPr>
        <w:noBreakHyphen/>
      </w:r>
      <w:r w:rsidRPr="00414A6D">
        <w:rPr>
          <w:rFonts w:ascii="Arial" w:hAnsi="Arial" w:cs="Arial"/>
          <w:sz w:val="22"/>
          <w:szCs w:val="22"/>
        </w:rPr>
        <w:t xml:space="preserve">practice scheme in its Pricing Framework for Australian Public Hospitals 2016-17 (see </w:t>
      </w:r>
      <w:r w:rsidRPr="00414A6D">
        <w:rPr>
          <w:rFonts w:ascii="Arial" w:hAnsi="Arial" w:cs="Arial"/>
          <w:b/>
          <w:sz w:val="22"/>
          <w:szCs w:val="22"/>
        </w:rPr>
        <w:t>Recommendation 4</w:t>
      </w:r>
      <w:r w:rsidRPr="00414A6D">
        <w:rPr>
          <w:rFonts w:ascii="Arial" w:hAnsi="Arial" w:cs="Arial"/>
          <w:sz w:val="22"/>
          <w:szCs w:val="22"/>
        </w:rPr>
        <w:t>).</w:t>
      </w:r>
    </w:p>
    <w:p w14:paraId="4C3440F0" w14:textId="77777777" w:rsidR="00975346" w:rsidRPr="00414A6D" w:rsidRDefault="00975346" w:rsidP="00975346">
      <w:pPr>
        <w:autoSpaceDE w:val="0"/>
        <w:autoSpaceDN w:val="0"/>
        <w:adjustRightInd w:val="0"/>
        <w:rPr>
          <w:rFonts w:ascii="Arial" w:hAnsi="Arial" w:cs="Arial"/>
          <w:sz w:val="22"/>
          <w:szCs w:val="22"/>
        </w:rPr>
      </w:pPr>
    </w:p>
    <w:p w14:paraId="0BAC068A" w14:textId="71D5B6F5" w:rsidR="00CD7B38" w:rsidRPr="00414A6D" w:rsidRDefault="000D3F49" w:rsidP="00B2151D">
      <w:pPr>
        <w:autoSpaceDE w:val="0"/>
        <w:autoSpaceDN w:val="0"/>
        <w:adjustRightInd w:val="0"/>
        <w:jc w:val="both"/>
        <w:rPr>
          <w:rFonts w:ascii="Arial" w:hAnsi="Arial" w:cs="Arial"/>
          <w:sz w:val="22"/>
          <w:szCs w:val="22"/>
        </w:rPr>
      </w:pPr>
      <w:r w:rsidRPr="00414A6D">
        <w:rPr>
          <w:rFonts w:ascii="Arial" w:hAnsi="Arial" w:cs="Arial"/>
          <w:sz w:val="22"/>
          <w:szCs w:val="22"/>
        </w:rPr>
        <w:lastRenderedPageBreak/>
        <w:t>Sub-Committee m</w:t>
      </w:r>
      <w:r w:rsidR="003A5085" w:rsidRPr="00414A6D">
        <w:rPr>
          <w:rFonts w:ascii="Arial" w:hAnsi="Arial" w:cs="Arial"/>
          <w:sz w:val="22"/>
          <w:szCs w:val="22"/>
        </w:rPr>
        <w:t>embers recommend</w:t>
      </w:r>
      <w:r w:rsidRPr="00414A6D">
        <w:rPr>
          <w:rFonts w:ascii="Arial" w:hAnsi="Arial" w:cs="Arial"/>
          <w:sz w:val="22"/>
          <w:szCs w:val="22"/>
        </w:rPr>
        <w:t xml:space="preserve"> </w:t>
      </w:r>
      <w:r w:rsidR="003C5DDD" w:rsidRPr="00414A6D">
        <w:rPr>
          <w:rFonts w:ascii="Arial" w:hAnsi="Arial" w:cs="Arial"/>
          <w:sz w:val="22"/>
          <w:szCs w:val="22"/>
        </w:rPr>
        <w:t xml:space="preserve">that performance relevant to one or more of the following priority </w:t>
      </w:r>
      <w:r w:rsidR="003A5085" w:rsidRPr="00414A6D">
        <w:rPr>
          <w:rFonts w:ascii="Arial" w:hAnsi="Arial" w:cs="Arial"/>
          <w:sz w:val="22"/>
          <w:szCs w:val="22"/>
        </w:rPr>
        <w:t xml:space="preserve">indicators, based on the Hip Fracture CCS, </w:t>
      </w:r>
      <w:r w:rsidR="003C5DDD" w:rsidRPr="00414A6D">
        <w:rPr>
          <w:rFonts w:ascii="Arial" w:hAnsi="Arial" w:cs="Arial"/>
          <w:sz w:val="22"/>
          <w:szCs w:val="22"/>
        </w:rPr>
        <w:t xml:space="preserve">be considered as </w:t>
      </w:r>
      <w:r w:rsidR="00726559" w:rsidRPr="00414A6D">
        <w:rPr>
          <w:rFonts w:ascii="Arial" w:hAnsi="Arial" w:cs="Arial"/>
          <w:sz w:val="22"/>
          <w:szCs w:val="22"/>
        </w:rPr>
        <w:t xml:space="preserve">criteria </w:t>
      </w:r>
      <w:r w:rsidR="003C5DDD" w:rsidRPr="00414A6D">
        <w:rPr>
          <w:rFonts w:ascii="Arial" w:hAnsi="Arial" w:cs="Arial"/>
          <w:sz w:val="22"/>
          <w:szCs w:val="22"/>
        </w:rPr>
        <w:t xml:space="preserve">relevant </w:t>
      </w:r>
      <w:r w:rsidR="00B2151D">
        <w:rPr>
          <w:rFonts w:ascii="Arial" w:hAnsi="Arial" w:cs="Arial"/>
          <w:sz w:val="22"/>
          <w:szCs w:val="22"/>
        </w:rPr>
        <w:t>to determination of an initial BP</w:t>
      </w:r>
      <w:r w:rsidR="007047A6">
        <w:rPr>
          <w:rFonts w:ascii="Arial" w:hAnsi="Arial" w:cs="Arial"/>
          <w:sz w:val="22"/>
          <w:szCs w:val="22"/>
        </w:rPr>
        <w:t>P</w:t>
      </w:r>
      <w:r w:rsidR="003A5085" w:rsidRPr="00414A6D">
        <w:rPr>
          <w:rFonts w:ascii="Arial" w:hAnsi="Arial" w:cs="Arial"/>
          <w:sz w:val="22"/>
          <w:szCs w:val="22"/>
        </w:rPr>
        <w:t>:</w:t>
      </w:r>
    </w:p>
    <w:p w14:paraId="61839D52" w14:textId="651A0A1C" w:rsidR="00CD7B38" w:rsidRPr="00414A6D" w:rsidRDefault="003A5085" w:rsidP="00B2151D">
      <w:pPr>
        <w:pStyle w:val="ListParagraph"/>
        <w:numPr>
          <w:ilvl w:val="0"/>
          <w:numId w:val="27"/>
        </w:num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 xml:space="preserve">Surgery occurred on the same day or the day following </w:t>
      </w:r>
      <w:r w:rsidR="006D6F57" w:rsidRPr="00414A6D">
        <w:rPr>
          <w:rFonts w:ascii="Arial" w:hAnsi="Arial" w:cs="Arial"/>
          <w:sz w:val="22"/>
          <w:szCs w:val="22"/>
        </w:rPr>
        <w:t xml:space="preserve">presentation </w:t>
      </w:r>
      <w:r w:rsidRPr="00414A6D">
        <w:rPr>
          <w:rFonts w:ascii="Arial" w:hAnsi="Arial" w:cs="Arial"/>
          <w:sz w:val="22"/>
          <w:szCs w:val="22"/>
        </w:rPr>
        <w:t>for patients who had surgery</w:t>
      </w:r>
    </w:p>
    <w:p w14:paraId="11372DAE" w14:textId="77777777" w:rsidR="00CD7B38" w:rsidRPr="00414A6D" w:rsidRDefault="003A5085" w:rsidP="00B2151D">
      <w:pPr>
        <w:pStyle w:val="ListParagraph"/>
        <w:numPr>
          <w:ilvl w:val="0"/>
          <w:numId w:val="27"/>
        </w:num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 xml:space="preserve">An </w:t>
      </w:r>
      <w:proofErr w:type="spellStart"/>
      <w:r w:rsidRPr="00414A6D">
        <w:rPr>
          <w:rFonts w:ascii="Arial" w:hAnsi="Arial" w:cs="Arial"/>
          <w:sz w:val="22"/>
          <w:szCs w:val="22"/>
        </w:rPr>
        <w:t>orthogeriatric</w:t>
      </w:r>
      <w:proofErr w:type="spellEnd"/>
      <w:r w:rsidRPr="00414A6D">
        <w:rPr>
          <w:rFonts w:ascii="Arial" w:hAnsi="Arial" w:cs="Arial"/>
          <w:sz w:val="22"/>
          <w:szCs w:val="22"/>
        </w:rPr>
        <w:t xml:space="preserve"> model of care was used for patients aged over 65 years, and over 5</w:t>
      </w:r>
      <w:r w:rsidR="00CD7B38" w:rsidRPr="00414A6D">
        <w:rPr>
          <w:rFonts w:ascii="Arial" w:hAnsi="Arial" w:cs="Arial"/>
          <w:sz w:val="22"/>
          <w:szCs w:val="22"/>
        </w:rPr>
        <w:t>0 years for Indigenous patients</w:t>
      </w:r>
    </w:p>
    <w:p w14:paraId="0CE02C5A" w14:textId="53AFE583" w:rsidR="00CD7B38" w:rsidRPr="00414A6D" w:rsidRDefault="002E3E33" w:rsidP="00B2151D">
      <w:pPr>
        <w:pStyle w:val="ListParagraph"/>
        <w:numPr>
          <w:ilvl w:val="0"/>
          <w:numId w:val="27"/>
        </w:num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 xml:space="preserve">The opportunity to mobilise </w:t>
      </w:r>
      <w:r w:rsidR="003A5085" w:rsidRPr="00414A6D">
        <w:rPr>
          <w:rFonts w:ascii="Arial" w:hAnsi="Arial" w:cs="Arial"/>
          <w:sz w:val="22"/>
          <w:szCs w:val="22"/>
        </w:rPr>
        <w:t xml:space="preserve">occurred </w:t>
      </w:r>
      <w:r w:rsidR="006D6F57" w:rsidRPr="00414A6D">
        <w:rPr>
          <w:rFonts w:ascii="Arial" w:hAnsi="Arial" w:cs="Arial"/>
          <w:sz w:val="22"/>
          <w:szCs w:val="22"/>
        </w:rPr>
        <w:t>on the day after surgery</w:t>
      </w:r>
      <w:r w:rsidR="003A5085" w:rsidRPr="00414A6D">
        <w:rPr>
          <w:rFonts w:ascii="Arial" w:hAnsi="Arial" w:cs="Arial"/>
          <w:sz w:val="22"/>
          <w:szCs w:val="22"/>
        </w:rPr>
        <w:t xml:space="preserve"> </w:t>
      </w:r>
      <w:r w:rsidR="006D6F57" w:rsidRPr="00414A6D">
        <w:rPr>
          <w:rFonts w:ascii="Arial" w:hAnsi="Arial" w:cs="Arial"/>
          <w:sz w:val="22"/>
          <w:szCs w:val="22"/>
        </w:rPr>
        <w:t>(</w:t>
      </w:r>
      <w:r w:rsidR="00CD7B38" w:rsidRPr="00414A6D">
        <w:rPr>
          <w:rFonts w:ascii="Arial" w:hAnsi="Arial" w:cs="Arial"/>
          <w:sz w:val="22"/>
          <w:szCs w:val="22"/>
        </w:rPr>
        <w:t>for surgical patients</w:t>
      </w:r>
      <w:r w:rsidR="006D6F57" w:rsidRPr="00414A6D">
        <w:rPr>
          <w:rFonts w:ascii="Arial" w:hAnsi="Arial" w:cs="Arial"/>
          <w:sz w:val="22"/>
          <w:szCs w:val="22"/>
        </w:rPr>
        <w:t>)</w:t>
      </w:r>
    </w:p>
    <w:p w14:paraId="0F123EC2" w14:textId="349FA667" w:rsidR="00CD7B38" w:rsidRPr="00414A6D" w:rsidRDefault="003A5085" w:rsidP="00B2151D">
      <w:pPr>
        <w:pStyle w:val="ListParagraph"/>
        <w:numPr>
          <w:ilvl w:val="0"/>
          <w:numId w:val="27"/>
        </w:num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A</w:t>
      </w:r>
      <w:r w:rsidR="002E3E33" w:rsidRPr="00414A6D">
        <w:rPr>
          <w:rFonts w:ascii="Arial" w:hAnsi="Arial" w:cs="Arial"/>
          <w:sz w:val="22"/>
          <w:szCs w:val="22"/>
        </w:rPr>
        <w:t xml:space="preserve"> cognitive assessment</w:t>
      </w:r>
      <w:r w:rsidRPr="00414A6D">
        <w:rPr>
          <w:rFonts w:ascii="Arial" w:hAnsi="Arial" w:cs="Arial"/>
          <w:sz w:val="22"/>
          <w:szCs w:val="22"/>
        </w:rPr>
        <w:t xml:space="preserve"> was conducted for all patients; pre-op</w:t>
      </w:r>
      <w:r w:rsidR="00CD7B38" w:rsidRPr="00414A6D">
        <w:rPr>
          <w:rFonts w:ascii="Arial" w:hAnsi="Arial" w:cs="Arial"/>
          <w:sz w:val="22"/>
          <w:szCs w:val="22"/>
        </w:rPr>
        <w:t>eratively for surgical patients</w:t>
      </w:r>
    </w:p>
    <w:p w14:paraId="49FE4595" w14:textId="2C185ED2" w:rsidR="003A5085" w:rsidRPr="00414A6D" w:rsidRDefault="003A5085" w:rsidP="00B2151D">
      <w:pPr>
        <w:pStyle w:val="ListParagraph"/>
        <w:numPr>
          <w:ilvl w:val="0"/>
          <w:numId w:val="27"/>
        </w:num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 xml:space="preserve">A </w:t>
      </w:r>
      <w:r w:rsidR="006D6F57" w:rsidRPr="00414A6D">
        <w:rPr>
          <w:rFonts w:ascii="Arial" w:hAnsi="Arial" w:cs="Arial"/>
          <w:sz w:val="22"/>
          <w:szCs w:val="22"/>
        </w:rPr>
        <w:t>falls and bone health</w:t>
      </w:r>
      <w:r w:rsidRPr="00414A6D">
        <w:rPr>
          <w:rFonts w:ascii="Arial" w:hAnsi="Arial" w:cs="Arial"/>
          <w:sz w:val="22"/>
          <w:szCs w:val="22"/>
        </w:rPr>
        <w:t xml:space="preserve"> assessment was </w:t>
      </w:r>
      <w:r w:rsidR="002E3E33" w:rsidRPr="00414A6D">
        <w:rPr>
          <w:rFonts w:ascii="Arial" w:hAnsi="Arial" w:cs="Arial"/>
          <w:sz w:val="22"/>
          <w:szCs w:val="22"/>
        </w:rPr>
        <w:t xml:space="preserve">undertaken </w:t>
      </w:r>
      <w:r w:rsidRPr="00414A6D">
        <w:rPr>
          <w:rFonts w:ascii="Arial" w:hAnsi="Arial" w:cs="Arial"/>
          <w:sz w:val="22"/>
          <w:szCs w:val="22"/>
        </w:rPr>
        <w:t>before the patient was discharged.</w:t>
      </w:r>
    </w:p>
    <w:p w14:paraId="3AC04C4E" w14:textId="4E0BC762" w:rsidR="00CD7B38" w:rsidRPr="00414A6D" w:rsidRDefault="007028EB" w:rsidP="00B2151D">
      <w:p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Sub-Committee m</w:t>
      </w:r>
      <w:r w:rsidR="00C5078D" w:rsidRPr="00414A6D">
        <w:rPr>
          <w:rFonts w:ascii="Arial" w:hAnsi="Arial" w:cs="Arial"/>
          <w:sz w:val="22"/>
          <w:szCs w:val="22"/>
        </w:rPr>
        <w:t xml:space="preserve">embers recommend </w:t>
      </w:r>
      <w:r w:rsidR="003C5DDD" w:rsidRPr="00414A6D">
        <w:rPr>
          <w:rFonts w:ascii="Arial" w:hAnsi="Arial" w:cs="Arial"/>
          <w:sz w:val="22"/>
          <w:szCs w:val="22"/>
        </w:rPr>
        <w:t xml:space="preserve">the </w:t>
      </w:r>
      <w:r w:rsidRPr="00414A6D">
        <w:rPr>
          <w:rFonts w:ascii="Arial" w:hAnsi="Arial" w:cs="Arial"/>
          <w:sz w:val="22"/>
          <w:szCs w:val="22"/>
        </w:rPr>
        <w:t>Commission a</w:t>
      </w:r>
      <w:r w:rsidR="003C5DDD" w:rsidRPr="00414A6D">
        <w:rPr>
          <w:rFonts w:ascii="Arial" w:hAnsi="Arial" w:cs="Arial"/>
          <w:sz w:val="22"/>
          <w:szCs w:val="22"/>
        </w:rPr>
        <w:t xml:space="preserve">nd </w:t>
      </w:r>
      <w:r w:rsidR="003A5085" w:rsidRPr="00414A6D">
        <w:rPr>
          <w:rFonts w:ascii="Arial" w:hAnsi="Arial" w:cs="Arial"/>
          <w:sz w:val="22"/>
          <w:szCs w:val="22"/>
        </w:rPr>
        <w:t xml:space="preserve">IHPA determine which </w:t>
      </w:r>
      <w:r w:rsidR="003C5DDD" w:rsidRPr="00414A6D">
        <w:rPr>
          <w:rFonts w:ascii="Arial" w:hAnsi="Arial" w:cs="Arial"/>
          <w:sz w:val="22"/>
          <w:szCs w:val="22"/>
        </w:rPr>
        <w:t xml:space="preserve">one or more </w:t>
      </w:r>
      <w:r w:rsidR="003A5085" w:rsidRPr="00414A6D">
        <w:rPr>
          <w:rFonts w:ascii="Arial" w:hAnsi="Arial" w:cs="Arial"/>
          <w:sz w:val="22"/>
          <w:szCs w:val="22"/>
        </w:rPr>
        <w:t>of</w:t>
      </w:r>
      <w:r w:rsidR="007047A6">
        <w:rPr>
          <w:rFonts w:ascii="Arial" w:hAnsi="Arial" w:cs="Arial"/>
          <w:sz w:val="22"/>
          <w:szCs w:val="22"/>
        </w:rPr>
        <w:t xml:space="preserve"> these</w:t>
      </w:r>
      <w:r w:rsidR="003A5085" w:rsidRPr="00414A6D">
        <w:rPr>
          <w:rFonts w:ascii="Arial" w:hAnsi="Arial" w:cs="Arial"/>
          <w:sz w:val="22"/>
          <w:szCs w:val="22"/>
        </w:rPr>
        <w:t xml:space="preserve"> indicators are to be included in </w:t>
      </w:r>
      <w:r w:rsidR="00726559" w:rsidRPr="00414A6D">
        <w:rPr>
          <w:rFonts w:ascii="Arial" w:hAnsi="Arial" w:cs="Arial"/>
          <w:sz w:val="22"/>
          <w:szCs w:val="22"/>
        </w:rPr>
        <w:t>an i</w:t>
      </w:r>
      <w:r w:rsidR="003A5085" w:rsidRPr="00414A6D">
        <w:rPr>
          <w:rFonts w:ascii="Arial" w:hAnsi="Arial" w:cs="Arial"/>
          <w:sz w:val="22"/>
          <w:szCs w:val="22"/>
        </w:rPr>
        <w:t xml:space="preserve">nitial </w:t>
      </w:r>
      <w:r w:rsidR="00B21225">
        <w:rPr>
          <w:rFonts w:ascii="Arial" w:hAnsi="Arial" w:cs="Arial"/>
          <w:sz w:val="22"/>
          <w:szCs w:val="22"/>
        </w:rPr>
        <w:t>BPT</w:t>
      </w:r>
      <w:r w:rsidRPr="00414A6D">
        <w:rPr>
          <w:rFonts w:ascii="Arial" w:hAnsi="Arial" w:cs="Arial"/>
          <w:sz w:val="22"/>
          <w:szCs w:val="22"/>
        </w:rPr>
        <w:t xml:space="preserve">. Members considered that indicators need to be meaningful to patients and clinicians, simple to understand and easy to communicate, feasible to collect, precise, achievable, measurable, and cover a spectrum of the standards </w:t>
      </w:r>
      <w:r w:rsidR="00726559" w:rsidRPr="00414A6D">
        <w:rPr>
          <w:rFonts w:ascii="Arial" w:hAnsi="Arial" w:cs="Arial"/>
          <w:sz w:val="22"/>
          <w:szCs w:val="22"/>
        </w:rPr>
        <w:t>(</w:t>
      </w:r>
      <w:r w:rsidR="00CB2400">
        <w:rPr>
          <w:rFonts w:ascii="Arial" w:hAnsi="Arial" w:cs="Arial"/>
          <w:sz w:val="22"/>
          <w:szCs w:val="22"/>
        </w:rPr>
        <w:t xml:space="preserve">see </w:t>
      </w:r>
      <w:r w:rsidR="00726559" w:rsidRPr="00414A6D">
        <w:rPr>
          <w:rFonts w:ascii="Arial" w:hAnsi="Arial" w:cs="Arial"/>
          <w:b/>
          <w:sz w:val="22"/>
          <w:szCs w:val="22"/>
        </w:rPr>
        <w:t>Recommendation</w:t>
      </w:r>
      <w:r w:rsidRPr="00414A6D">
        <w:rPr>
          <w:rFonts w:ascii="Arial" w:hAnsi="Arial" w:cs="Arial"/>
          <w:b/>
          <w:sz w:val="22"/>
          <w:szCs w:val="22"/>
        </w:rPr>
        <w:t>s</w:t>
      </w:r>
      <w:r w:rsidR="00726559" w:rsidRPr="00414A6D">
        <w:rPr>
          <w:rFonts w:ascii="Arial" w:hAnsi="Arial" w:cs="Arial"/>
          <w:b/>
          <w:sz w:val="22"/>
          <w:szCs w:val="22"/>
        </w:rPr>
        <w:t xml:space="preserve"> 5</w:t>
      </w:r>
      <w:r w:rsidRPr="00414A6D">
        <w:rPr>
          <w:rFonts w:ascii="Arial" w:hAnsi="Arial" w:cs="Arial"/>
          <w:b/>
          <w:sz w:val="22"/>
          <w:szCs w:val="22"/>
        </w:rPr>
        <w:t xml:space="preserve"> and 6</w:t>
      </w:r>
      <w:r w:rsidR="00726559" w:rsidRPr="00414A6D">
        <w:rPr>
          <w:rFonts w:ascii="Arial" w:hAnsi="Arial" w:cs="Arial"/>
          <w:sz w:val="22"/>
          <w:szCs w:val="22"/>
        </w:rPr>
        <w:t>)</w:t>
      </w:r>
      <w:r w:rsidR="003A5085" w:rsidRPr="00414A6D">
        <w:rPr>
          <w:rFonts w:ascii="Arial" w:hAnsi="Arial" w:cs="Arial"/>
          <w:sz w:val="22"/>
          <w:szCs w:val="22"/>
        </w:rPr>
        <w:t xml:space="preserve">. </w:t>
      </w:r>
    </w:p>
    <w:p w14:paraId="7E3C2ABE" w14:textId="77777777" w:rsidR="003C5DDD" w:rsidRPr="00414A6D" w:rsidRDefault="00A8729D" w:rsidP="007028EB">
      <w:pPr>
        <w:autoSpaceDE w:val="0"/>
        <w:autoSpaceDN w:val="0"/>
        <w:adjustRightInd w:val="0"/>
        <w:spacing w:before="120" w:after="120"/>
        <w:rPr>
          <w:rFonts w:ascii="Arial" w:hAnsi="Arial" w:cs="Arial"/>
          <w:sz w:val="22"/>
          <w:szCs w:val="22"/>
        </w:rPr>
      </w:pPr>
      <w:r w:rsidRPr="00414A6D">
        <w:rPr>
          <w:rFonts w:ascii="Arial" w:hAnsi="Arial" w:cs="Arial"/>
          <w:sz w:val="22"/>
          <w:szCs w:val="22"/>
        </w:rPr>
        <w:t>The Sub-Committee noted the evidence that time to surgery has high predictive power for patient outcomes</w:t>
      </w:r>
      <w:r w:rsidR="003F12CA" w:rsidRPr="00414A6D">
        <w:rPr>
          <w:rFonts w:ascii="Arial" w:hAnsi="Arial" w:cs="Arial"/>
          <w:sz w:val="22"/>
          <w:szCs w:val="22"/>
        </w:rPr>
        <w:t xml:space="preserve"> and this measure formed the basis of BPT in the NHS, Italy, WA and Qld</w:t>
      </w:r>
      <w:r w:rsidRPr="00414A6D">
        <w:rPr>
          <w:rFonts w:ascii="Arial" w:hAnsi="Arial" w:cs="Arial"/>
          <w:sz w:val="22"/>
          <w:szCs w:val="22"/>
        </w:rPr>
        <w:t xml:space="preserve">. </w:t>
      </w:r>
      <w:r w:rsidR="00F3678C" w:rsidRPr="00414A6D">
        <w:rPr>
          <w:rFonts w:ascii="Arial" w:hAnsi="Arial" w:cs="Arial"/>
          <w:sz w:val="22"/>
          <w:szCs w:val="22"/>
        </w:rPr>
        <w:t>In 2012 the Audit Commissi</w:t>
      </w:r>
      <w:r w:rsidR="00906812" w:rsidRPr="00414A6D">
        <w:rPr>
          <w:rFonts w:ascii="Arial" w:hAnsi="Arial" w:cs="Arial"/>
          <w:sz w:val="22"/>
          <w:szCs w:val="22"/>
        </w:rPr>
        <w:t xml:space="preserve">on found that NHS organisations </w:t>
      </w:r>
      <w:r w:rsidR="00F3678C" w:rsidRPr="00414A6D">
        <w:rPr>
          <w:rFonts w:ascii="Arial" w:hAnsi="Arial" w:cs="Arial"/>
          <w:sz w:val="22"/>
          <w:szCs w:val="22"/>
        </w:rPr>
        <w:t>found the detail of the BPT for hip fracture</w:t>
      </w:r>
      <w:r w:rsidR="00906812" w:rsidRPr="00414A6D">
        <w:rPr>
          <w:rFonts w:ascii="Arial" w:hAnsi="Arial" w:cs="Arial"/>
          <w:sz w:val="22"/>
          <w:szCs w:val="22"/>
        </w:rPr>
        <w:t xml:space="preserve"> difficult to understand (i.e. the eight</w:t>
      </w:r>
      <w:r w:rsidR="00F3678C" w:rsidRPr="00414A6D">
        <w:rPr>
          <w:rFonts w:ascii="Arial" w:hAnsi="Arial" w:cs="Arial"/>
          <w:sz w:val="22"/>
          <w:szCs w:val="22"/>
        </w:rPr>
        <w:t xml:space="preserve"> criteria</w:t>
      </w:r>
      <w:r w:rsidR="00906812" w:rsidRPr="00414A6D">
        <w:rPr>
          <w:rFonts w:ascii="Arial" w:hAnsi="Arial" w:cs="Arial"/>
          <w:sz w:val="22"/>
          <w:szCs w:val="22"/>
        </w:rPr>
        <w:t xml:space="preserve"> and how it translates into pricing</w:t>
      </w:r>
      <w:r w:rsidR="00F3678C" w:rsidRPr="00414A6D">
        <w:rPr>
          <w:rFonts w:ascii="Arial" w:hAnsi="Arial" w:cs="Arial"/>
          <w:sz w:val="22"/>
          <w:szCs w:val="22"/>
        </w:rPr>
        <w:t xml:space="preserve">). </w:t>
      </w:r>
    </w:p>
    <w:p w14:paraId="6540B621" w14:textId="77A272C9" w:rsidR="00CD7B38" w:rsidRPr="00414A6D" w:rsidRDefault="00F3678C" w:rsidP="00B21225">
      <w:p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The design and implementation of a best-practice pricing scheme requires reliable information on quality of care to determine eligibility for funding, and the Sub-Committee recommends that the scheme</w:t>
      </w:r>
      <w:r w:rsidR="007047A6">
        <w:rPr>
          <w:rFonts w:ascii="Arial" w:hAnsi="Arial" w:cs="Arial"/>
          <w:sz w:val="22"/>
          <w:szCs w:val="22"/>
        </w:rPr>
        <w:t>’</w:t>
      </w:r>
      <w:r w:rsidRPr="00414A6D">
        <w:rPr>
          <w:rFonts w:ascii="Arial" w:hAnsi="Arial" w:cs="Arial"/>
          <w:sz w:val="22"/>
          <w:szCs w:val="22"/>
        </w:rPr>
        <w:t>s implementation should be coupled with or preceded by the provision of timely, relevant and co</w:t>
      </w:r>
      <w:r w:rsidR="00906812" w:rsidRPr="00414A6D">
        <w:rPr>
          <w:rFonts w:ascii="Arial" w:hAnsi="Arial" w:cs="Arial"/>
          <w:sz w:val="22"/>
          <w:szCs w:val="22"/>
        </w:rPr>
        <w:t>mparable clinical information for</w:t>
      </w:r>
      <w:r w:rsidRPr="00414A6D">
        <w:rPr>
          <w:rFonts w:ascii="Arial" w:hAnsi="Arial" w:cs="Arial"/>
          <w:sz w:val="22"/>
          <w:szCs w:val="22"/>
        </w:rPr>
        <w:t xml:space="preserve"> clinicians. </w:t>
      </w:r>
    </w:p>
    <w:p w14:paraId="7E97FA9C" w14:textId="77777777" w:rsidR="00F3678C" w:rsidRPr="00414A6D" w:rsidRDefault="007028EB" w:rsidP="00B21225">
      <w:pPr>
        <w:autoSpaceDE w:val="0"/>
        <w:autoSpaceDN w:val="0"/>
        <w:adjustRightInd w:val="0"/>
        <w:spacing w:before="120" w:after="120"/>
        <w:jc w:val="both"/>
        <w:rPr>
          <w:rFonts w:ascii="Arial" w:hAnsi="Arial" w:cs="Arial"/>
          <w:sz w:val="22"/>
          <w:szCs w:val="22"/>
        </w:rPr>
      </w:pPr>
      <w:r w:rsidRPr="00414A6D">
        <w:rPr>
          <w:rFonts w:ascii="Arial" w:hAnsi="Arial" w:cs="Arial"/>
          <w:sz w:val="22"/>
          <w:szCs w:val="22"/>
        </w:rPr>
        <w:t xml:space="preserve">Interestingly, in 2014 the NHS introduced a new BPT for hip and knee replacement – this is a combination of pay for data and pay for patient reported outcome measures. Payment for performance is expected to follow. </w:t>
      </w:r>
      <w:r w:rsidR="003F12CA" w:rsidRPr="00414A6D">
        <w:rPr>
          <w:rFonts w:ascii="Arial" w:hAnsi="Arial" w:cs="Arial"/>
          <w:sz w:val="22"/>
          <w:szCs w:val="22"/>
        </w:rPr>
        <w:t>In Australia, t</w:t>
      </w:r>
      <w:r w:rsidRPr="00414A6D">
        <w:rPr>
          <w:rFonts w:ascii="Arial" w:hAnsi="Arial" w:cs="Arial"/>
          <w:sz w:val="22"/>
          <w:szCs w:val="22"/>
        </w:rPr>
        <w:t>he Sub-Committee envisions that the Commission might opt to include in its Work Plan activities that support the collection, analyses and provision of timely, comparable hip fracture care information to Local Hospital Networks and relevant public hospitals.</w:t>
      </w:r>
    </w:p>
    <w:p w14:paraId="27761EB8" w14:textId="77777777" w:rsidR="00CD7B38" w:rsidRPr="00414A6D" w:rsidRDefault="003F12CA" w:rsidP="00B21225">
      <w:pPr>
        <w:spacing w:before="120" w:after="120"/>
        <w:jc w:val="both"/>
        <w:rPr>
          <w:rFonts w:ascii="Arial" w:hAnsi="Arial" w:cs="Arial"/>
          <w:sz w:val="22"/>
          <w:szCs w:val="22"/>
        </w:rPr>
      </w:pPr>
      <w:r w:rsidRPr="00414A6D">
        <w:rPr>
          <w:rFonts w:ascii="Arial" w:hAnsi="Arial" w:cs="Arial"/>
          <w:sz w:val="22"/>
          <w:szCs w:val="22"/>
        </w:rPr>
        <w:t>There a</w:t>
      </w:r>
      <w:r w:rsidR="00F3678C" w:rsidRPr="00414A6D">
        <w:rPr>
          <w:rFonts w:ascii="Arial" w:hAnsi="Arial" w:cs="Arial"/>
          <w:sz w:val="22"/>
          <w:szCs w:val="22"/>
        </w:rPr>
        <w:t xml:space="preserve">re two main sources of nationally consistent information on patients who are admitted with hip fracture – the National Non-Admitted Patient Emergency Department Care Database (NNAPED) and the Admitted Patient Care National Minimum Data Set (APC). </w:t>
      </w:r>
      <w:r w:rsidR="007028EB" w:rsidRPr="00414A6D">
        <w:rPr>
          <w:rFonts w:ascii="Arial" w:hAnsi="Arial" w:cs="Arial"/>
          <w:sz w:val="22"/>
          <w:szCs w:val="22"/>
        </w:rPr>
        <w:t xml:space="preserve">Both might be useful to measure some of the above-mentioned indicators. </w:t>
      </w:r>
    </w:p>
    <w:p w14:paraId="79854FFB" w14:textId="6FB642B3" w:rsidR="00CD7B38" w:rsidRPr="00414A6D" w:rsidRDefault="00F3678C" w:rsidP="003F12CA">
      <w:pPr>
        <w:spacing w:before="120" w:after="120"/>
        <w:jc w:val="both"/>
        <w:rPr>
          <w:rFonts w:ascii="Arial" w:hAnsi="Arial" w:cs="Arial"/>
          <w:sz w:val="22"/>
          <w:szCs w:val="22"/>
        </w:rPr>
      </w:pPr>
      <w:r w:rsidRPr="00414A6D">
        <w:rPr>
          <w:rFonts w:ascii="Arial" w:hAnsi="Arial" w:cs="Arial"/>
          <w:sz w:val="22"/>
          <w:szCs w:val="22"/>
        </w:rPr>
        <w:t>There are other sources of valuable information on clinical quality, though these data are not yet nationally available (e.g. Australian</w:t>
      </w:r>
      <w:r w:rsidR="007047A6">
        <w:rPr>
          <w:rFonts w:ascii="Arial" w:hAnsi="Arial" w:cs="Arial"/>
          <w:sz w:val="22"/>
          <w:szCs w:val="22"/>
        </w:rPr>
        <w:t xml:space="preserve"> and</w:t>
      </w:r>
      <w:r w:rsidRPr="00414A6D">
        <w:rPr>
          <w:rFonts w:ascii="Arial" w:hAnsi="Arial" w:cs="Arial"/>
          <w:sz w:val="22"/>
          <w:szCs w:val="22"/>
        </w:rPr>
        <w:t xml:space="preserve"> New Z</w:t>
      </w:r>
      <w:r w:rsidR="00906812" w:rsidRPr="00414A6D">
        <w:rPr>
          <w:rFonts w:ascii="Arial" w:hAnsi="Arial" w:cs="Arial"/>
          <w:sz w:val="22"/>
          <w:szCs w:val="22"/>
        </w:rPr>
        <w:t xml:space="preserve">ealand Hip Fracture Registry, </w:t>
      </w:r>
      <w:r w:rsidRPr="00414A6D">
        <w:rPr>
          <w:rFonts w:ascii="Arial" w:hAnsi="Arial" w:cs="Arial"/>
          <w:sz w:val="22"/>
          <w:szCs w:val="22"/>
        </w:rPr>
        <w:t xml:space="preserve">ANZHFR) or are not nationally consistent (e.g. patient experience data). The ANZHFR includes data that can be used to calculate indicators for each of </w:t>
      </w:r>
      <w:r w:rsidR="007028EB" w:rsidRPr="00414A6D">
        <w:rPr>
          <w:rFonts w:ascii="Arial" w:hAnsi="Arial" w:cs="Arial"/>
          <w:sz w:val="22"/>
          <w:szCs w:val="22"/>
        </w:rPr>
        <w:t xml:space="preserve">Commission’s Hip Fracture CCS. </w:t>
      </w:r>
      <w:r w:rsidRPr="00414A6D">
        <w:rPr>
          <w:rFonts w:ascii="Arial" w:hAnsi="Arial" w:cs="Arial"/>
          <w:sz w:val="22"/>
          <w:szCs w:val="22"/>
        </w:rPr>
        <w:t>Any clinical quality registry used for best-practice pricing in hip fracture care</w:t>
      </w:r>
      <w:r w:rsidR="003F12CA" w:rsidRPr="00414A6D">
        <w:rPr>
          <w:rFonts w:ascii="Arial" w:hAnsi="Arial" w:cs="Arial"/>
          <w:sz w:val="22"/>
          <w:szCs w:val="22"/>
        </w:rPr>
        <w:t xml:space="preserve"> should </w:t>
      </w:r>
      <w:r w:rsidRPr="00414A6D">
        <w:rPr>
          <w:rFonts w:ascii="Arial" w:hAnsi="Arial" w:cs="Arial"/>
          <w:sz w:val="22"/>
          <w:szCs w:val="22"/>
        </w:rPr>
        <w:t>meet existing national standards, including having an amenable governance structure and national coverage as per the Commission’s Framework for Clinical Quality Registries.</w:t>
      </w:r>
      <w:hyperlink w:anchor="_ENREF_9" w:tooltip="Australian Commission on Safety and Quality in Health Care, 2014 #185" w:history="1">
        <w:r w:rsidRPr="00414A6D">
          <w:rPr>
            <w:rFonts w:ascii="Arial" w:hAnsi="Arial" w:cs="Arial"/>
            <w:sz w:val="22"/>
            <w:szCs w:val="22"/>
          </w:rPr>
          <w:fldChar w:fldCharType="begin"/>
        </w:r>
        <w:r w:rsidRPr="00414A6D">
          <w:rPr>
            <w:rFonts w:ascii="Arial" w:hAnsi="Arial" w:cs="Arial"/>
            <w:sz w:val="22"/>
            <w:szCs w:val="22"/>
          </w:rPr>
          <w:instrText xml:space="preserve"> ADDIN EN.CITE &lt;EndNote&gt;&lt;Cite&gt;&lt;Author&gt;Australian Commission on Safety and Quality in Health Care&lt;/Author&gt;&lt;Year&gt;2014&lt;/Year&gt;&lt;RecNum&gt;185&lt;/RecNum&gt;&lt;DisplayText&gt;&lt;style face="superscript"&gt;9&lt;/style&gt;&lt;/DisplayText&gt;&lt;record&gt;&lt;rec-number&gt;185&lt;/rec-number&gt;&lt;foreign-keys&gt;&lt;key app="EN" db-id="pxsz0w0wuvwzapeptavv0erkef22f2rwz0w0"&gt;185&lt;/key&gt;&lt;/foreign-keys&gt;&lt;ref-type name="Report"&gt;27&lt;/ref-type&gt;&lt;contributors&gt;&lt;authors&gt;&lt;author&gt;Australian Commission on Safety and Quality in Health Care,&lt;/author&gt;&lt;/authors&gt;&lt;/contributors&gt;&lt;titles&gt;&lt;title&gt;A framework for clinical quality registries&lt;/title&gt;&lt;/titles&gt;&lt;dates&gt;&lt;year&gt;2014&lt;/year&gt;&lt;/dates&gt;&lt;pub-location&gt;Sydney&lt;/pub-location&gt;&lt;urls&gt;&lt;related-urls&gt;&lt;url&gt;http://www.safetyandquality.gov.au/our-work/information-strategy/clinical-quality-registries/a-framework-for-australian-clinical-quality-registries/&lt;/url&gt;&lt;/related-urls&gt;&lt;/urls&gt;&lt;/record&gt;&lt;/Cite&gt;&lt;/EndNote&gt;</w:instrText>
        </w:r>
        <w:r w:rsidRPr="00414A6D">
          <w:rPr>
            <w:rFonts w:ascii="Arial" w:hAnsi="Arial" w:cs="Arial"/>
            <w:sz w:val="22"/>
            <w:szCs w:val="22"/>
          </w:rPr>
          <w:fldChar w:fldCharType="separate"/>
        </w:r>
        <w:r w:rsidRPr="00414A6D">
          <w:rPr>
            <w:rFonts w:ascii="Arial" w:hAnsi="Arial" w:cs="Arial"/>
            <w:noProof/>
            <w:sz w:val="22"/>
            <w:szCs w:val="22"/>
            <w:vertAlign w:val="superscript"/>
          </w:rPr>
          <w:t>9</w:t>
        </w:r>
        <w:r w:rsidRPr="00414A6D">
          <w:rPr>
            <w:rFonts w:ascii="Arial" w:hAnsi="Arial" w:cs="Arial"/>
            <w:sz w:val="22"/>
            <w:szCs w:val="22"/>
          </w:rPr>
          <w:fldChar w:fldCharType="end"/>
        </w:r>
      </w:hyperlink>
      <w:r w:rsidR="003F12CA" w:rsidRPr="00414A6D">
        <w:rPr>
          <w:rFonts w:ascii="Arial" w:hAnsi="Arial" w:cs="Arial"/>
          <w:sz w:val="22"/>
          <w:szCs w:val="22"/>
        </w:rPr>
        <w:t xml:space="preserve"> </w:t>
      </w:r>
    </w:p>
    <w:p w14:paraId="0A5A59E8" w14:textId="2ED8D4AF" w:rsidR="003F12CA" w:rsidRPr="00414A6D" w:rsidRDefault="003F12CA" w:rsidP="003F12CA">
      <w:pPr>
        <w:spacing w:before="120" w:after="120"/>
        <w:jc w:val="both"/>
        <w:rPr>
          <w:rFonts w:ascii="Arial" w:hAnsi="Arial" w:cs="Arial"/>
          <w:sz w:val="22"/>
          <w:szCs w:val="22"/>
        </w:rPr>
      </w:pPr>
      <w:r w:rsidRPr="00414A6D">
        <w:rPr>
          <w:rFonts w:ascii="Arial" w:hAnsi="Arial" w:cs="Arial"/>
          <w:sz w:val="22"/>
          <w:szCs w:val="22"/>
        </w:rPr>
        <w:t xml:space="preserve">Importantly, the ANZHFR has its own governance, funding and ownership arrangements which would need to be considered before implementation of a best-practice pricing model that depends on access, use and disclosure of information derived from ANZHFR data. </w:t>
      </w:r>
      <w:r w:rsidRPr="00414A6D">
        <w:rPr>
          <w:rFonts w:ascii="Arial" w:hAnsi="Arial" w:cs="Arial"/>
          <w:sz w:val="22"/>
          <w:szCs w:val="22"/>
        </w:rPr>
        <w:lastRenderedPageBreak/>
        <w:t>IHPA and the Commission would need to include best-practice data items in their Three Year Rolling Data Plans (</w:t>
      </w:r>
      <w:r w:rsidR="004E5FA1">
        <w:rPr>
          <w:rFonts w:ascii="Arial" w:hAnsi="Arial" w:cs="Arial"/>
          <w:sz w:val="22"/>
          <w:szCs w:val="22"/>
        </w:rPr>
        <w:t>s</w:t>
      </w:r>
      <w:r w:rsidRPr="00414A6D">
        <w:rPr>
          <w:rFonts w:ascii="Arial" w:hAnsi="Arial" w:cs="Arial"/>
          <w:sz w:val="22"/>
          <w:szCs w:val="22"/>
        </w:rPr>
        <w:t xml:space="preserve">ee </w:t>
      </w:r>
      <w:r w:rsidRPr="00414A6D">
        <w:rPr>
          <w:rFonts w:ascii="Arial" w:hAnsi="Arial" w:cs="Arial"/>
          <w:b/>
          <w:sz w:val="22"/>
          <w:szCs w:val="22"/>
        </w:rPr>
        <w:t>Recommendation 7</w:t>
      </w:r>
      <w:r w:rsidRPr="00414A6D">
        <w:rPr>
          <w:rFonts w:ascii="Arial" w:hAnsi="Arial" w:cs="Arial"/>
          <w:sz w:val="22"/>
          <w:szCs w:val="22"/>
        </w:rPr>
        <w:t>).</w:t>
      </w:r>
    </w:p>
    <w:p w14:paraId="4737C75D" w14:textId="46939C37" w:rsidR="003F12CA" w:rsidRPr="00414A6D" w:rsidRDefault="00D152B1" w:rsidP="001219F8">
      <w:pPr>
        <w:spacing w:before="120"/>
        <w:jc w:val="both"/>
        <w:rPr>
          <w:rFonts w:ascii="Arial" w:hAnsi="Arial" w:cs="Arial"/>
          <w:sz w:val="22"/>
          <w:szCs w:val="22"/>
        </w:rPr>
      </w:pPr>
      <w:r w:rsidRPr="00414A6D">
        <w:rPr>
          <w:rFonts w:ascii="Arial" w:hAnsi="Arial" w:cs="Arial"/>
          <w:sz w:val="22"/>
          <w:szCs w:val="22"/>
        </w:rPr>
        <w:t xml:space="preserve">Members recommend </w:t>
      </w:r>
      <w:r w:rsidR="003F12CA" w:rsidRPr="00414A6D">
        <w:rPr>
          <w:rFonts w:ascii="Arial" w:hAnsi="Arial" w:cs="Arial"/>
          <w:sz w:val="22"/>
          <w:szCs w:val="22"/>
        </w:rPr>
        <w:t xml:space="preserve">further consultation with stakeholders on the design approach for a </w:t>
      </w:r>
      <w:r w:rsidR="004E5FA1">
        <w:rPr>
          <w:rFonts w:ascii="Arial" w:hAnsi="Arial" w:cs="Arial"/>
          <w:sz w:val="22"/>
          <w:szCs w:val="22"/>
        </w:rPr>
        <w:t>best-practi</w:t>
      </w:r>
      <w:r w:rsidR="007047A6">
        <w:rPr>
          <w:rFonts w:ascii="Arial" w:hAnsi="Arial" w:cs="Arial"/>
          <w:sz w:val="22"/>
          <w:szCs w:val="22"/>
        </w:rPr>
        <w:t>ce pricing</w:t>
      </w:r>
      <w:r w:rsidR="003F12CA" w:rsidRPr="00414A6D">
        <w:rPr>
          <w:rFonts w:ascii="Arial" w:hAnsi="Arial" w:cs="Arial"/>
          <w:sz w:val="22"/>
          <w:szCs w:val="22"/>
        </w:rPr>
        <w:t xml:space="preserve"> scheme coupled with the provision of timely, relevant clinical information, following any endorsement by the Pricing Authority and Commission Board. </w:t>
      </w:r>
      <w:r w:rsidR="00A00AE6" w:rsidRPr="00414A6D">
        <w:rPr>
          <w:rFonts w:ascii="Arial" w:hAnsi="Arial" w:cs="Arial"/>
          <w:sz w:val="22"/>
          <w:szCs w:val="22"/>
        </w:rPr>
        <w:t>A full implementation plan</w:t>
      </w:r>
      <w:r w:rsidR="0052268D" w:rsidRPr="00414A6D">
        <w:rPr>
          <w:rFonts w:ascii="Arial" w:hAnsi="Arial" w:cs="Arial"/>
          <w:sz w:val="22"/>
          <w:szCs w:val="22"/>
        </w:rPr>
        <w:t xml:space="preserve">, including an approach to evaluation, </w:t>
      </w:r>
      <w:r w:rsidR="00A00AE6" w:rsidRPr="00414A6D">
        <w:rPr>
          <w:rFonts w:ascii="Arial" w:hAnsi="Arial" w:cs="Arial"/>
          <w:sz w:val="22"/>
          <w:szCs w:val="22"/>
        </w:rPr>
        <w:t>should be developed</w:t>
      </w:r>
      <w:r w:rsidR="00FA7EB7" w:rsidRPr="00414A6D">
        <w:rPr>
          <w:rFonts w:ascii="Arial" w:hAnsi="Arial" w:cs="Arial"/>
          <w:sz w:val="22"/>
          <w:szCs w:val="22"/>
        </w:rPr>
        <w:t xml:space="preserve"> </w:t>
      </w:r>
      <w:r w:rsidR="00A00AE6" w:rsidRPr="00414A6D">
        <w:rPr>
          <w:rFonts w:ascii="Arial" w:hAnsi="Arial" w:cs="Arial"/>
          <w:sz w:val="22"/>
          <w:szCs w:val="22"/>
        </w:rPr>
        <w:t xml:space="preserve">and an indicative plan is provided on page </w:t>
      </w:r>
      <w:r w:rsidR="007047A6">
        <w:rPr>
          <w:rFonts w:ascii="Arial" w:hAnsi="Arial" w:cs="Arial"/>
          <w:sz w:val="22"/>
          <w:szCs w:val="22"/>
        </w:rPr>
        <w:t>19</w:t>
      </w:r>
      <w:r w:rsidR="00A00AE6" w:rsidRPr="00414A6D">
        <w:rPr>
          <w:rFonts w:ascii="Arial" w:hAnsi="Arial" w:cs="Arial"/>
          <w:sz w:val="22"/>
          <w:szCs w:val="22"/>
        </w:rPr>
        <w:t xml:space="preserve"> (see </w:t>
      </w:r>
      <w:r w:rsidR="00A00AE6" w:rsidRPr="00414A6D">
        <w:rPr>
          <w:rFonts w:ascii="Arial" w:hAnsi="Arial" w:cs="Arial"/>
          <w:b/>
          <w:sz w:val="22"/>
          <w:szCs w:val="22"/>
        </w:rPr>
        <w:t>Recommendation</w:t>
      </w:r>
      <w:r w:rsidR="00CB2400">
        <w:rPr>
          <w:rFonts w:ascii="Arial" w:hAnsi="Arial" w:cs="Arial"/>
          <w:b/>
          <w:sz w:val="22"/>
          <w:szCs w:val="22"/>
        </w:rPr>
        <w:t>s</w:t>
      </w:r>
      <w:r w:rsidR="00A00AE6" w:rsidRPr="00414A6D">
        <w:rPr>
          <w:rFonts w:ascii="Arial" w:hAnsi="Arial" w:cs="Arial"/>
          <w:b/>
          <w:sz w:val="22"/>
          <w:szCs w:val="22"/>
        </w:rPr>
        <w:t xml:space="preserve"> 8, 9 and 10</w:t>
      </w:r>
      <w:r w:rsidR="00A00AE6" w:rsidRPr="00414A6D">
        <w:rPr>
          <w:rFonts w:ascii="Arial" w:hAnsi="Arial" w:cs="Arial"/>
          <w:sz w:val="22"/>
          <w:szCs w:val="22"/>
        </w:rPr>
        <w:t>).</w:t>
      </w:r>
    </w:p>
    <w:p w14:paraId="41E80976" w14:textId="77777777" w:rsidR="00603B65" w:rsidRPr="00414A6D" w:rsidRDefault="00603B65" w:rsidP="001219F8">
      <w:pPr>
        <w:spacing w:before="120"/>
        <w:jc w:val="both"/>
        <w:rPr>
          <w:rFonts w:ascii="Arial" w:hAnsi="Arial" w:cs="Arial"/>
          <w:sz w:val="22"/>
          <w:szCs w:val="22"/>
        </w:rPr>
      </w:pPr>
    </w:p>
    <w:p w14:paraId="7DBFC310" w14:textId="6F5211BC" w:rsidR="001219F8" w:rsidRPr="00414A6D" w:rsidRDefault="001219F8" w:rsidP="001219F8">
      <w:pPr>
        <w:spacing w:before="20" w:after="60"/>
        <w:ind w:right="-85"/>
        <w:jc w:val="both"/>
        <w:rPr>
          <w:rFonts w:ascii="Arial" w:hAnsi="Arial" w:cs="Arial"/>
          <w:b/>
          <w:sz w:val="22"/>
          <w:szCs w:val="22"/>
        </w:rPr>
      </w:pPr>
      <w:proofErr w:type="gramStart"/>
      <w:r w:rsidRPr="00414A6D">
        <w:rPr>
          <w:rFonts w:ascii="Arial" w:hAnsi="Arial" w:cs="Arial"/>
          <w:b/>
          <w:sz w:val="22"/>
          <w:szCs w:val="22"/>
        </w:rPr>
        <w:t>Table 1.</w:t>
      </w:r>
      <w:proofErr w:type="gramEnd"/>
      <w:r w:rsidRPr="00414A6D">
        <w:rPr>
          <w:rFonts w:ascii="Arial" w:hAnsi="Arial" w:cs="Arial"/>
          <w:b/>
          <w:sz w:val="22"/>
          <w:szCs w:val="22"/>
        </w:rPr>
        <w:t xml:space="preserve"> </w:t>
      </w:r>
      <w:r w:rsidR="00387496" w:rsidRPr="00414A6D">
        <w:rPr>
          <w:rFonts w:ascii="Arial" w:hAnsi="Arial" w:cs="Arial"/>
          <w:b/>
          <w:sz w:val="22"/>
          <w:szCs w:val="22"/>
        </w:rPr>
        <w:t>The ten r</w:t>
      </w:r>
      <w:r w:rsidRPr="00414A6D">
        <w:rPr>
          <w:rFonts w:ascii="Arial" w:hAnsi="Arial" w:cs="Arial"/>
          <w:b/>
          <w:sz w:val="22"/>
          <w:szCs w:val="22"/>
        </w:rPr>
        <w:t>ecommendations made by the Sub-Committee</w:t>
      </w:r>
      <w:r w:rsidR="00B9771B">
        <w:rPr>
          <w:rFonts w:ascii="Arial" w:hAnsi="Arial" w:cs="Arial"/>
          <w:b/>
          <w:sz w:val="22"/>
          <w:szCs w:val="22"/>
        </w:rPr>
        <w:t xml:space="preserve"> for the Commission and IHPA Boards.</w:t>
      </w:r>
      <w:r w:rsidRPr="00414A6D">
        <w:rPr>
          <w:rFonts w:ascii="Arial" w:hAnsi="Arial" w:cs="Arial"/>
          <w:b/>
          <w:sz w:val="22"/>
          <w:szCs w:val="22"/>
        </w:rPr>
        <w:t xml:space="preserve"> </w:t>
      </w:r>
    </w:p>
    <w:p w14:paraId="40AB3CCA" w14:textId="77777777" w:rsidR="00387496" w:rsidRPr="00414A6D" w:rsidRDefault="00387496"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6"/>
          <w:szCs w:val="26"/>
        </w:rPr>
      </w:pPr>
    </w:p>
    <w:p w14:paraId="0447F484"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6"/>
          <w:szCs w:val="26"/>
        </w:rPr>
      </w:pPr>
      <w:r w:rsidRPr="00414A6D">
        <w:rPr>
          <w:rFonts w:ascii="Arial" w:hAnsi="Arial" w:cs="Arial"/>
          <w:b/>
          <w:sz w:val="26"/>
          <w:szCs w:val="26"/>
        </w:rPr>
        <w:t>BEST-PRACTICE PRICING RECOMMENDATIONS TO THE JOINT WORKING PARTY</w:t>
      </w:r>
      <w:r w:rsidR="003A5085" w:rsidRPr="00414A6D">
        <w:rPr>
          <w:rFonts w:ascii="Arial" w:hAnsi="Arial" w:cs="Arial"/>
          <w:b/>
          <w:sz w:val="26"/>
          <w:szCs w:val="26"/>
        </w:rPr>
        <w:t xml:space="preserve"> ON PRICING FOR SAFETY AND QUALITY IN </w:t>
      </w:r>
      <w:r w:rsidR="00CC0931" w:rsidRPr="00414A6D">
        <w:rPr>
          <w:rFonts w:ascii="Arial" w:hAnsi="Arial" w:cs="Arial"/>
          <w:b/>
          <w:sz w:val="26"/>
          <w:szCs w:val="26"/>
        </w:rPr>
        <w:t>AUSTRALIAN PUBLIC HOSPITALS</w:t>
      </w:r>
    </w:p>
    <w:p w14:paraId="577C2B57" w14:textId="77777777" w:rsidR="001219F8" w:rsidRPr="00414A6D" w:rsidRDefault="001219F8" w:rsidP="001219F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p>
    <w:p w14:paraId="51979C12" w14:textId="27DCCE63"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1.1:</w:t>
      </w:r>
      <w:r w:rsidRPr="00414A6D">
        <w:rPr>
          <w:rFonts w:ascii="Arial" w:hAnsi="Arial" w:cs="Arial"/>
          <w:sz w:val="22"/>
          <w:szCs w:val="22"/>
        </w:rPr>
        <w:t xml:space="preserve">  IHPA, in its national price setting role, should consider the Sub</w:t>
      </w:r>
      <w:r w:rsidR="007047A6">
        <w:rPr>
          <w:rFonts w:ascii="Arial" w:hAnsi="Arial" w:cs="Arial"/>
          <w:sz w:val="22"/>
          <w:szCs w:val="22"/>
        </w:rPr>
        <w:noBreakHyphen/>
      </w:r>
      <w:r w:rsidRPr="00414A6D">
        <w:rPr>
          <w:rFonts w:ascii="Arial" w:hAnsi="Arial" w:cs="Arial"/>
          <w:sz w:val="22"/>
          <w:szCs w:val="22"/>
        </w:rPr>
        <w:t xml:space="preserve">Committee’s and subsequent JWP’s advice in relation to best-practice pricing to support best care for hip fracture. </w:t>
      </w:r>
    </w:p>
    <w:p w14:paraId="404B34DB"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1.2:</w:t>
      </w:r>
      <w:r w:rsidRPr="00414A6D">
        <w:rPr>
          <w:rFonts w:ascii="Arial" w:hAnsi="Arial" w:cs="Arial"/>
          <w:sz w:val="22"/>
          <w:szCs w:val="22"/>
        </w:rPr>
        <w:t xml:space="preserve"> The design and implementation of a best-practice pricing scheme requires reliable information on quality of care to determine eligibility for funding. Implementation should be coupled with the provision of timely, relevant and comparable clinical information being fed back to clinicians. Jurisdictions may want to target their efforts towards this aspect.</w:t>
      </w:r>
    </w:p>
    <w:p w14:paraId="203798FE"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sz w:val="22"/>
          <w:szCs w:val="22"/>
        </w:rPr>
      </w:pPr>
    </w:p>
    <w:p w14:paraId="0FF4FD2D" w14:textId="5CE66EB9"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1"/>
          <w:szCs w:val="21"/>
        </w:rPr>
      </w:pPr>
      <w:r w:rsidRPr="00414A6D">
        <w:rPr>
          <w:rFonts w:ascii="Arial" w:hAnsi="Arial" w:cs="Arial"/>
          <w:b/>
          <w:sz w:val="22"/>
          <w:szCs w:val="22"/>
        </w:rPr>
        <w:t>Recommendation 2:</w:t>
      </w:r>
      <w:r w:rsidR="00B21225">
        <w:rPr>
          <w:rFonts w:ascii="Arial" w:hAnsi="Arial" w:cs="Arial"/>
          <w:sz w:val="22"/>
          <w:szCs w:val="22"/>
        </w:rPr>
        <w:t xml:space="preserve">  Existing CCS</w:t>
      </w:r>
      <w:r w:rsidRPr="00414A6D">
        <w:rPr>
          <w:rFonts w:ascii="Arial" w:hAnsi="Arial" w:cs="Arial"/>
          <w:sz w:val="22"/>
          <w:szCs w:val="22"/>
        </w:rPr>
        <w:t xml:space="preserve"> and national guidelines be used as a basis of a best</w:t>
      </w:r>
      <w:r w:rsidR="004E5FA1">
        <w:rPr>
          <w:rFonts w:ascii="Arial" w:hAnsi="Arial" w:cs="Arial"/>
          <w:sz w:val="22"/>
          <w:szCs w:val="22"/>
        </w:rPr>
        <w:noBreakHyphen/>
      </w:r>
      <w:r w:rsidRPr="00414A6D">
        <w:rPr>
          <w:rFonts w:ascii="Arial" w:hAnsi="Arial" w:cs="Arial"/>
          <w:sz w:val="22"/>
          <w:szCs w:val="22"/>
        </w:rPr>
        <w:t>practice pricing approach for hip fracture care, in particular the Hip Fracture CCS established by the Commission in 2015.</w:t>
      </w:r>
    </w:p>
    <w:p w14:paraId="44A163F7"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7E84D28B"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3:</w:t>
      </w:r>
      <w:r w:rsidR="00D439F3" w:rsidRPr="00414A6D">
        <w:rPr>
          <w:rFonts w:ascii="Arial" w:hAnsi="Arial" w:cs="Arial"/>
          <w:sz w:val="22"/>
          <w:szCs w:val="22"/>
        </w:rPr>
        <w:t xml:space="preserve"> </w:t>
      </w:r>
      <w:r w:rsidRPr="00414A6D">
        <w:rPr>
          <w:rFonts w:ascii="Arial" w:hAnsi="Arial" w:cs="Arial"/>
          <w:sz w:val="22"/>
          <w:szCs w:val="22"/>
        </w:rPr>
        <w:t>IHPA, in its national price setting role, should consider implementation of a best-practice pricing model for hip fracture care. This should include:</w:t>
      </w:r>
    </w:p>
    <w:p w14:paraId="488E1A34"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sz w:val="22"/>
          <w:szCs w:val="22"/>
        </w:rPr>
        <w:t xml:space="preserve">• Targeting the acute episode of care in public hospitals for people aged 50 years and over; </w:t>
      </w:r>
    </w:p>
    <w:p w14:paraId="0E901289"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sz w:val="22"/>
          <w:szCs w:val="22"/>
        </w:rPr>
        <w:t xml:space="preserve">• Targeting episodes with a hip fracture diagnosis code as specified in Table F1, Appendix F as a principal diagnosis; </w:t>
      </w:r>
    </w:p>
    <w:p w14:paraId="4823DCD9"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sz w:val="22"/>
          <w:szCs w:val="22"/>
        </w:rPr>
        <w:t xml:space="preserve">• Excluding multiple trauma events as specified in Table F4, Appendix F; </w:t>
      </w:r>
    </w:p>
    <w:p w14:paraId="22DC4AD3"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sz w:val="22"/>
          <w:szCs w:val="22"/>
        </w:rPr>
        <w:t xml:space="preserve">• Targeting episodes that have hip fracture surgery as specified in Table F6, Appendix F; </w:t>
      </w:r>
    </w:p>
    <w:p w14:paraId="782F39E5" w14:textId="0F32A958"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sz w:val="22"/>
          <w:szCs w:val="22"/>
        </w:rPr>
        <w:t>• Targeting episodes assigned to the AR</w:t>
      </w:r>
      <w:r w:rsidRPr="00414A6D">
        <w:rPr>
          <w:rFonts w:ascii="Arial" w:hAnsi="Arial" w:cs="Arial"/>
          <w:sz w:val="22"/>
          <w:szCs w:val="22"/>
        </w:rPr>
        <w:noBreakHyphen/>
        <w:t xml:space="preserve">DRGs I03A, I03B, I08A, </w:t>
      </w:r>
      <w:r w:rsidR="00686288" w:rsidRPr="00414A6D">
        <w:rPr>
          <w:rFonts w:ascii="Arial" w:hAnsi="Arial" w:cs="Arial"/>
          <w:sz w:val="22"/>
          <w:szCs w:val="22"/>
        </w:rPr>
        <w:t>and I08B</w:t>
      </w:r>
      <w:r w:rsidRPr="00414A6D">
        <w:rPr>
          <w:rFonts w:ascii="Arial" w:hAnsi="Arial" w:cs="Arial"/>
          <w:sz w:val="22"/>
          <w:szCs w:val="22"/>
        </w:rPr>
        <w:t xml:space="preserve"> </w:t>
      </w:r>
      <w:r w:rsidR="003F5B05" w:rsidRPr="00414A6D">
        <w:rPr>
          <w:rFonts w:ascii="Arial" w:hAnsi="Arial" w:cs="Arial"/>
          <w:sz w:val="22"/>
          <w:szCs w:val="22"/>
        </w:rPr>
        <w:t>which</w:t>
      </w:r>
      <w:r w:rsidRPr="00414A6D">
        <w:rPr>
          <w:rFonts w:ascii="Arial" w:hAnsi="Arial" w:cs="Arial"/>
          <w:sz w:val="22"/>
          <w:szCs w:val="22"/>
        </w:rPr>
        <w:t xml:space="preserve"> account for the majority of </w:t>
      </w:r>
      <w:r w:rsidR="00A654A1" w:rsidRPr="00414A6D">
        <w:rPr>
          <w:rFonts w:ascii="Arial" w:hAnsi="Arial" w:cs="Arial"/>
          <w:sz w:val="22"/>
          <w:szCs w:val="22"/>
        </w:rPr>
        <w:t>separation</w:t>
      </w:r>
      <w:r w:rsidRPr="00414A6D">
        <w:rPr>
          <w:rFonts w:ascii="Arial" w:hAnsi="Arial" w:cs="Arial"/>
          <w:sz w:val="22"/>
          <w:szCs w:val="22"/>
        </w:rPr>
        <w:t xml:space="preserve">s. </w:t>
      </w:r>
    </w:p>
    <w:p w14:paraId="46CCFDB4"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412DB171" w14:textId="77777777" w:rsidR="007A3B48" w:rsidRPr="00414A6D" w:rsidRDefault="007A3B48" w:rsidP="007A3B4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4.1:</w:t>
      </w:r>
      <w:r w:rsidRPr="00414A6D">
        <w:rPr>
          <w:rFonts w:ascii="Arial" w:hAnsi="Arial" w:cs="Arial"/>
          <w:sz w:val="22"/>
          <w:szCs w:val="22"/>
        </w:rPr>
        <w:t xml:space="preserve"> IHPA should use a purpose designed study to cost best</w:t>
      </w:r>
      <w:r w:rsidRPr="00414A6D">
        <w:rPr>
          <w:rFonts w:ascii="Arial" w:hAnsi="Arial" w:cs="Arial"/>
          <w:sz w:val="22"/>
          <w:szCs w:val="22"/>
        </w:rPr>
        <w:noBreakHyphen/>
        <w:t>practice hip fracture care to determine the incremental cost of best-practice care compared to the average cost of care.</w:t>
      </w:r>
    </w:p>
    <w:p w14:paraId="10FD07BB" w14:textId="77777777" w:rsidR="007A3B48" w:rsidRPr="00414A6D" w:rsidRDefault="007A3B48" w:rsidP="007A3B4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4.2:</w:t>
      </w:r>
      <w:r w:rsidRPr="00414A6D">
        <w:rPr>
          <w:rFonts w:ascii="Arial" w:hAnsi="Arial" w:cs="Arial"/>
          <w:sz w:val="22"/>
          <w:szCs w:val="22"/>
        </w:rPr>
        <w:t xml:space="preserve"> IHPA should determine a best-practice hip fracture care adjustment that provides an incentive for service providers (clinicians and managers) to change practices and deliver care that meets the best-practice criteria.</w:t>
      </w:r>
    </w:p>
    <w:p w14:paraId="561E55F1" w14:textId="77777777" w:rsidR="001219F8" w:rsidRPr="00414A6D" w:rsidRDefault="007A3B4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4.3:</w:t>
      </w:r>
      <w:r w:rsidRPr="00414A6D">
        <w:rPr>
          <w:rFonts w:ascii="Arial" w:hAnsi="Arial" w:cs="Arial"/>
          <w:sz w:val="22"/>
          <w:szCs w:val="22"/>
        </w:rPr>
        <w:t xml:space="preserve"> IHPA should signal its intention to explore the implementation of a national best</w:t>
      </w:r>
      <w:r w:rsidRPr="00414A6D">
        <w:rPr>
          <w:rFonts w:ascii="Arial" w:hAnsi="Arial" w:cs="Arial"/>
          <w:sz w:val="22"/>
          <w:szCs w:val="22"/>
        </w:rPr>
        <w:noBreakHyphen/>
        <w:t xml:space="preserve">practice price for hip fracture care through the </w:t>
      </w:r>
      <w:r w:rsidRPr="00D41ED6">
        <w:rPr>
          <w:rFonts w:ascii="Arial" w:hAnsi="Arial" w:cs="Arial"/>
          <w:i/>
          <w:sz w:val="22"/>
          <w:szCs w:val="22"/>
        </w:rPr>
        <w:t xml:space="preserve">Pricing Framework for Australian </w:t>
      </w:r>
      <w:r w:rsidRPr="00D41ED6">
        <w:rPr>
          <w:rFonts w:ascii="Arial" w:hAnsi="Arial" w:cs="Arial"/>
          <w:i/>
          <w:sz w:val="22"/>
          <w:szCs w:val="22"/>
        </w:rPr>
        <w:lastRenderedPageBreak/>
        <w:t xml:space="preserve">Public Hospital Services 2016-17 </w:t>
      </w:r>
      <w:r w:rsidRPr="00414A6D">
        <w:rPr>
          <w:rFonts w:ascii="Arial" w:hAnsi="Arial" w:cs="Arial"/>
          <w:sz w:val="22"/>
          <w:szCs w:val="22"/>
        </w:rPr>
        <w:t xml:space="preserve">and, if new data elements are required to support its implementation, through the </w:t>
      </w:r>
      <w:r w:rsidRPr="00D41ED6">
        <w:rPr>
          <w:rFonts w:ascii="Arial" w:hAnsi="Arial" w:cs="Arial"/>
          <w:i/>
          <w:sz w:val="22"/>
          <w:szCs w:val="22"/>
        </w:rPr>
        <w:t>IHPA Three Year Data Plan 2016-17 to 2018-19</w:t>
      </w:r>
      <w:r w:rsidRPr="00414A6D">
        <w:rPr>
          <w:rFonts w:ascii="Arial" w:hAnsi="Arial" w:cs="Arial"/>
          <w:sz w:val="22"/>
          <w:szCs w:val="22"/>
        </w:rPr>
        <w:t xml:space="preserve">. </w:t>
      </w:r>
    </w:p>
    <w:p w14:paraId="64D3E38D" w14:textId="77777777" w:rsidR="00007110" w:rsidRPr="00414A6D" w:rsidRDefault="00007110"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rPr>
      </w:pPr>
    </w:p>
    <w:p w14:paraId="2FCD92BB" w14:textId="28F0D32F" w:rsidR="007A3B48" w:rsidRPr="00414A6D" w:rsidRDefault="007A3B48" w:rsidP="007A3B4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5.1:</w:t>
      </w:r>
      <w:r w:rsidRPr="00414A6D">
        <w:rPr>
          <w:rFonts w:ascii="Arial" w:hAnsi="Arial" w:cs="Arial"/>
          <w:sz w:val="22"/>
          <w:szCs w:val="22"/>
        </w:rPr>
        <w:t xml:space="preserve"> Based on the advice of the Sub-Committee, IHPA should determine which of the Hip Fracture CCS indicators will be used to determine whether best-practice has been delivered</w:t>
      </w:r>
      <w:r w:rsidR="00B21225">
        <w:rPr>
          <w:rFonts w:ascii="Arial" w:hAnsi="Arial" w:cs="Arial"/>
          <w:sz w:val="22"/>
          <w:szCs w:val="22"/>
        </w:rPr>
        <w:t>.</w:t>
      </w:r>
      <w:r w:rsidRPr="00414A6D">
        <w:rPr>
          <w:rFonts w:ascii="Arial" w:hAnsi="Arial" w:cs="Arial"/>
          <w:sz w:val="22"/>
          <w:szCs w:val="22"/>
        </w:rPr>
        <w:t xml:space="preserve"> </w:t>
      </w:r>
    </w:p>
    <w:p w14:paraId="7C82E918" w14:textId="4E049D88" w:rsidR="007A3B48" w:rsidRPr="00414A6D" w:rsidRDefault="007A3B48" w:rsidP="007A3B48">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5.2:</w:t>
      </w:r>
      <w:r w:rsidRPr="00414A6D">
        <w:rPr>
          <w:rFonts w:ascii="Arial" w:hAnsi="Arial" w:cs="Arial"/>
          <w:sz w:val="22"/>
          <w:szCs w:val="22"/>
        </w:rPr>
        <w:t xml:space="preserve"> The Hip Fracture CCS indicators selected for inclusion into a national best</w:t>
      </w:r>
      <w:r w:rsidRPr="00414A6D">
        <w:rPr>
          <w:rFonts w:ascii="Arial" w:hAnsi="Arial" w:cs="Arial"/>
          <w:sz w:val="22"/>
          <w:szCs w:val="22"/>
        </w:rPr>
        <w:noBreakHyphen/>
        <w:t>practice pricing model should be coupled with defined, more comparable information than is needed for pricing and funding determinations</w:t>
      </w:r>
      <w:r w:rsidR="004E5FA1">
        <w:rPr>
          <w:rFonts w:ascii="Arial" w:hAnsi="Arial" w:cs="Arial"/>
          <w:sz w:val="22"/>
          <w:szCs w:val="22"/>
        </w:rPr>
        <w:t xml:space="preserve">, and </w:t>
      </w:r>
      <w:r w:rsidR="004E5FA1" w:rsidRPr="00414A6D">
        <w:rPr>
          <w:rFonts w:ascii="Arial" w:hAnsi="Arial" w:cs="Arial"/>
          <w:sz w:val="22"/>
          <w:szCs w:val="22"/>
        </w:rPr>
        <w:t>should be provided to support clinical improvement</w:t>
      </w:r>
      <w:r w:rsidR="004E5FA1">
        <w:rPr>
          <w:rFonts w:ascii="Arial" w:hAnsi="Arial" w:cs="Arial"/>
          <w:sz w:val="22"/>
          <w:szCs w:val="22"/>
        </w:rPr>
        <w:t>.</w:t>
      </w:r>
    </w:p>
    <w:p w14:paraId="453543C4" w14:textId="221C49CB" w:rsidR="007A3B48" w:rsidRPr="00414A6D" w:rsidRDefault="007A3B48" w:rsidP="007A3B4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5.3:</w:t>
      </w:r>
      <w:r w:rsidRPr="00414A6D">
        <w:rPr>
          <w:rFonts w:ascii="Arial" w:hAnsi="Arial" w:cs="Arial"/>
          <w:sz w:val="22"/>
          <w:szCs w:val="22"/>
        </w:rPr>
        <w:t xml:space="preserve"> This quality improvement information should be provided through the ANZHFR to Local Hospital Networks and public hospitals in advance of the commencement of any best</w:t>
      </w:r>
      <w:r w:rsidRPr="00414A6D">
        <w:rPr>
          <w:rFonts w:ascii="Arial" w:hAnsi="Arial" w:cs="Arial"/>
          <w:sz w:val="22"/>
          <w:szCs w:val="22"/>
        </w:rPr>
        <w:noBreakHyphen/>
        <w:t>practice pricing model on a quarterly basis (even if initially provided on a six-monthly basis).</w:t>
      </w:r>
    </w:p>
    <w:p w14:paraId="27758E65" w14:textId="77777777" w:rsidR="007A3B48" w:rsidRPr="00414A6D" w:rsidRDefault="007A3B48" w:rsidP="007A3B4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63E48A83" w14:textId="2FBC1D7C" w:rsidR="007A3B48" w:rsidRPr="00414A6D" w:rsidRDefault="007A3B48" w:rsidP="0059794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6.1:</w:t>
      </w:r>
      <w:r w:rsidRPr="00414A6D">
        <w:rPr>
          <w:rFonts w:ascii="Arial" w:hAnsi="Arial" w:cs="Arial"/>
          <w:sz w:val="22"/>
          <w:szCs w:val="22"/>
        </w:rPr>
        <w:t xml:space="preserve"> That the JWP endorse the Sub-Committee’s preferred Hip Fracture CC</w:t>
      </w:r>
      <w:r w:rsidR="00B21225">
        <w:rPr>
          <w:rFonts w:ascii="Arial" w:hAnsi="Arial" w:cs="Arial"/>
          <w:sz w:val="22"/>
          <w:szCs w:val="22"/>
        </w:rPr>
        <w:t>S</w:t>
      </w:r>
      <w:r w:rsidRPr="00414A6D">
        <w:rPr>
          <w:rFonts w:ascii="Arial" w:hAnsi="Arial" w:cs="Arial"/>
          <w:sz w:val="22"/>
          <w:szCs w:val="22"/>
        </w:rPr>
        <w:t xml:space="preserve"> indicators for best-practice pricing.</w:t>
      </w:r>
    </w:p>
    <w:p w14:paraId="51A2AAEA" w14:textId="16D46CBE" w:rsidR="007A3B48" w:rsidRPr="00414A6D" w:rsidRDefault="007A3B48" w:rsidP="0059794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6.2:</w:t>
      </w:r>
      <w:r w:rsidRPr="00414A6D">
        <w:rPr>
          <w:rFonts w:ascii="Arial" w:hAnsi="Arial" w:cs="Arial"/>
          <w:sz w:val="22"/>
          <w:szCs w:val="22"/>
        </w:rPr>
        <w:t xml:space="preserve"> Subject to consultation with the relevant stakeholders, IHPA should determine which of the initial set of indicators are to be included in the preferred initial model for best-practice pricing for hip fractures to be applied to surgical </w:t>
      </w:r>
      <w:r w:rsidR="00A654A1" w:rsidRPr="00414A6D">
        <w:rPr>
          <w:rFonts w:ascii="Arial" w:hAnsi="Arial" w:cs="Arial"/>
          <w:sz w:val="22"/>
          <w:szCs w:val="22"/>
        </w:rPr>
        <w:t>separation</w:t>
      </w:r>
      <w:r w:rsidRPr="00414A6D">
        <w:rPr>
          <w:rFonts w:ascii="Arial" w:hAnsi="Arial" w:cs="Arial"/>
          <w:sz w:val="22"/>
          <w:szCs w:val="22"/>
        </w:rPr>
        <w:t>s.</w:t>
      </w:r>
    </w:p>
    <w:p w14:paraId="2150D290"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34AAA33F" w14:textId="3ECABCA0"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w:t>
      </w:r>
      <w:r w:rsidR="007A3B48" w:rsidRPr="00414A6D">
        <w:rPr>
          <w:rFonts w:ascii="Arial" w:hAnsi="Arial" w:cs="Arial"/>
          <w:b/>
          <w:sz w:val="22"/>
          <w:szCs w:val="22"/>
        </w:rPr>
        <w:t>mmendation 7</w:t>
      </w:r>
      <w:r w:rsidRPr="00414A6D">
        <w:rPr>
          <w:rFonts w:ascii="Arial" w:hAnsi="Arial" w:cs="Arial"/>
          <w:b/>
          <w:sz w:val="22"/>
          <w:szCs w:val="22"/>
        </w:rPr>
        <w:t>.1:</w:t>
      </w:r>
      <w:r w:rsidRPr="00330223">
        <w:rPr>
          <w:rFonts w:ascii="Arial" w:hAnsi="Arial" w:cs="Arial"/>
          <w:sz w:val="22"/>
          <w:szCs w:val="22"/>
        </w:rPr>
        <w:t xml:space="preserve"> </w:t>
      </w:r>
      <w:r w:rsidR="00330223" w:rsidRPr="00330223">
        <w:rPr>
          <w:rFonts w:ascii="Arial" w:hAnsi="Arial" w:cs="Arial"/>
          <w:sz w:val="22"/>
          <w:szCs w:val="22"/>
          <w:lang w:eastAsia="en-US"/>
        </w:rPr>
        <w:t xml:space="preserve">IHPA must include appropriate best-practice data items within their </w:t>
      </w:r>
      <w:r w:rsidR="00330223" w:rsidRPr="00D41ED6">
        <w:rPr>
          <w:rFonts w:ascii="Arial" w:hAnsi="Arial" w:cs="Arial"/>
          <w:i/>
          <w:sz w:val="22"/>
          <w:szCs w:val="22"/>
          <w:lang w:eastAsia="en-US"/>
        </w:rPr>
        <w:t>Three Year Rolling Data Pl</w:t>
      </w:r>
      <w:r w:rsidR="00330223" w:rsidRPr="00D41ED6">
        <w:rPr>
          <w:rFonts w:ascii="Arial" w:hAnsi="Arial" w:cs="Arial"/>
          <w:i/>
          <w:sz w:val="22"/>
          <w:szCs w:val="22"/>
        </w:rPr>
        <w:t>an</w:t>
      </w:r>
      <w:r w:rsidR="00330223" w:rsidRPr="00330223">
        <w:rPr>
          <w:rFonts w:ascii="Arial" w:hAnsi="Arial" w:cs="Arial"/>
          <w:sz w:val="22"/>
          <w:szCs w:val="22"/>
        </w:rPr>
        <w:t xml:space="preserve"> and the Commission similarly within their work program,</w:t>
      </w:r>
      <w:r w:rsidR="00330223" w:rsidRPr="00414A6D">
        <w:rPr>
          <w:rFonts w:cs="Arial"/>
          <w:szCs w:val="22"/>
        </w:rPr>
        <w:t xml:space="preserve"> </w:t>
      </w:r>
      <w:r w:rsidRPr="00414A6D">
        <w:rPr>
          <w:rFonts w:ascii="Arial" w:hAnsi="Arial" w:cs="Arial"/>
          <w:sz w:val="22"/>
          <w:szCs w:val="22"/>
        </w:rPr>
        <w:t xml:space="preserve">as the mechanism to stimulate both data to support clinical improvement and a best-practice pricing approach for hip fracture care in Australia. </w:t>
      </w:r>
    </w:p>
    <w:p w14:paraId="114585ED" w14:textId="3247ACFD" w:rsidR="001219F8" w:rsidRPr="00414A6D" w:rsidRDefault="007A3B4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7</w:t>
      </w:r>
      <w:r w:rsidR="001219F8" w:rsidRPr="00414A6D">
        <w:rPr>
          <w:rFonts w:ascii="Arial" w:hAnsi="Arial" w:cs="Arial"/>
          <w:b/>
          <w:sz w:val="22"/>
          <w:szCs w:val="22"/>
        </w:rPr>
        <w:t>.2:</w:t>
      </w:r>
      <w:r w:rsidR="001219F8" w:rsidRPr="00414A6D">
        <w:rPr>
          <w:rFonts w:ascii="Arial" w:hAnsi="Arial" w:cs="Arial"/>
          <w:sz w:val="22"/>
          <w:szCs w:val="22"/>
        </w:rPr>
        <w:t xml:space="preserve"> </w:t>
      </w:r>
      <w:r w:rsidR="008C4A43" w:rsidRPr="00414A6D">
        <w:rPr>
          <w:rFonts w:ascii="Arial" w:hAnsi="Arial" w:cs="Arial"/>
          <w:sz w:val="22"/>
          <w:szCs w:val="22"/>
        </w:rPr>
        <w:t xml:space="preserve">JWP must further consult with states and territories </w:t>
      </w:r>
      <w:r w:rsidR="008C0939" w:rsidRPr="00414A6D">
        <w:rPr>
          <w:rFonts w:ascii="Arial" w:hAnsi="Arial" w:cs="Arial"/>
          <w:sz w:val="22"/>
          <w:szCs w:val="22"/>
        </w:rPr>
        <w:t>about participation</w:t>
      </w:r>
      <w:r w:rsidR="008C4A43" w:rsidRPr="00414A6D">
        <w:rPr>
          <w:rFonts w:ascii="Arial" w:hAnsi="Arial" w:cs="Arial"/>
          <w:sz w:val="22"/>
          <w:szCs w:val="22"/>
        </w:rPr>
        <w:t xml:space="preserve"> in the ANZHFR so that issues such as access, use and disclosure of data derived from this registry will need to be prospectively negotiated to support pricing and funding determinations. These arrangements will also be necessary if the Commission, states and territories are to play a role in the provision of timely, comparable hospital-level information on hip fracture care to clinicians and hospital managers. Importantly, </w:t>
      </w:r>
      <w:r w:rsidR="0049504C">
        <w:rPr>
          <w:rFonts w:ascii="Arial" w:hAnsi="Arial" w:cs="Arial"/>
          <w:sz w:val="22"/>
          <w:szCs w:val="22"/>
        </w:rPr>
        <w:t xml:space="preserve">the </w:t>
      </w:r>
      <w:r w:rsidR="006D6F57" w:rsidRPr="00414A6D">
        <w:rPr>
          <w:rFonts w:ascii="Arial" w:hAnsi="Arial" w:cs="Arial"/>
          <w:sz w:val="22"/>
          <w:szCs w:val="22"/>
        </w:rPr>
        <w:t>National Health Information and Performance Principal Committee (N</w:t>
      </w:r>
      <w:r w:rsidR="008C4A43" w:rsidRPr="00414A6D">
        <w:rPr>
          <w:rFonts w:ascii="Arial" w:hAnsi="Arial" w:cs="Arial"/>
          <w:sz w:val="22"/>
          <w:szCs w:val="22"/>
        </w:rPr>
        <w:t>HIPPC</w:t>
      </w:r>
      <w:r w:rsidR="006D6F57" w:rsidRPr="00414A6D">
        <w:rPr>
          <w:rFonts w:ascii="Arial" w:hAnsi="Arial" w:cs="Arial"/>
          <w:sz w:val="22"/>
          <w:szCs w:val="22"/>
        </w:rPr>
        <w:t>)</w:t>
      </w:r>
      <w:r w:rsidR="008C4A43" w:rsidRPr="00414A6D">
        <w:rPr>
          <w:rFonts w:ascii="Arial" w:hAnsi="Arial" w:cs="Arial"/>
          <w:sz w:val="22"/>
          <w:szCs w:val="22"/>
        </w:rPr>
        <w:t xml:space="preserve"> could serve as a national forum for IHPA and the Commission to resolve these important issues.</w:t>
      </w:r>
    </w:p>
    <w:p w14:paraId="332F8700" w14:textId="77777777" w:rsidR="001219F8" w:rsidRPr="00414A6D" w:rsidRDefault="001219F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415AE3CA" w14:textId="77777777" w:rsidR="001219F8" w:rsidRPr="00414A6D" w:rsidRDefault="001219F8" w:rsidP="003A5085">
      <w:pPr>
        <w:pStyle w:val="Commissionbodyt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rsidRPr="00414A6D">
        <w:rPr>
          <w:b/>
        </w:rPr>
        <w:t xml:space="preserve">Recommendation </w:t>
      </w:r>
      <w:r w:rsidR="007A3B48" w:rsidRPr="00414A6D">
        <w:rPr>
          <w:b/>
        </w:rPr>
        <w:t>8</w:t>
      </w:r>
      <w:r w:rsidRPr="00414A6D">
        <w:rPr>
          <w:b/>
        </w:rPr>
        <w:t>:</w:t>
      </w:r>
      <w:r w:rsidRPr="00414A6D">
        <w:t xml:space="preserve"> Further consultation with stakeholders on the design approach for the best-practice pricing model for hip fracture care should be undertaken following the Pricing Authority and Commission Board endorsement and be complementary to development of an implementation plan.</w:t>
      </w:r>
    </w:p>
    <w:p w14:paraId="56E19F96" w14:textId="77777777" w:rsidR="001219F8" w:rsidRPr="00414A6D" w:rsidRDefault="001219F8" w:rsidP="003A5085">
      <w:pPr>
        <w:pStyle w:val="Commissionbodyt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p>
    <w:p w14:paraId="28B42A37" w14:textId="77777777" w:rsidR="001219F8" w:rsidRDefault="007A3B48"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IntenseReference"/>
          <w:rFonts w:ascii="Arial" w:hAnsi="Arial" w:cs="Arial"/>
          <w:b w:val="0"/>
          <w:bCs w:val="0"/>
          <w:i w:val="0"/>
          <w:smallCaps w:val="0"/>
          <w:color w:val="auto"/>
          <w:spacing w:val="0"/>
          <w:sz w:val="22"/>
        </w:rPr>
      </w:pPr>
      <w:r w:rsidRPr="00414A6D">
        <w:rPr>
          <w:rStyle w:val="IntenseReference"/>
          <w:rFonts w:ascii="Arial" w:hAnsi="Arial" w:cs="Arial"/>
          <w:bCs w:val="0"/>
          <w:i w:val="0"/>
          <w:smallCaps w:val="0"/>
          <w:color w:val="auto"/>
          <w:spacing w:val="0"/>
          <w:sz w:val="22"/>
        </w:rPr>
        <w:t>Recommendation 9</w:t>
      </w:r>
      <w:r w:rsidR="001219F8" w:rsidRPr="00414A6D">
        <w:rPr>
          <w:rStyle w:val="IntenseReference"/>
          <w:rFonts w:ascii="Arial" w:hAnsi="Arial" w:cs="Arial"/>
          <w:bCs w:val="0"/>
          <w:i w:val="0"/>
          <w:smallCaps w:val="0"/>
          <w:color w:val="auto"/>
          <w:spacing w:val="0"/>
          <w:sz w:val="22"/>
        </w:rPr>
        <w:t>:</w:t>
      </w:r>
      <w:r w:rsidR="001219F8" w:rsidRPr="00414A6D">
        <w:rPr>
          <w:rStyle w:val="IntenseReference"/>
          <w:rFonts w:ascii="Arial" w:hAnsi="Arial" w:cs="Arial"/>
          <w:b w:val="0"/>
          <w:bCs w:val="0"/>
          <w:i w:val="0"/>
          <w:smallCaps w:val="0"/>
          <w:color w:val="auto"/>
          <w:spacing w:val="0"/>
          <w:sz w:val="22"/>
        </w:rPr>
        <w:t xml:space="preserve"> A phased approach to implementation of a national hip fracture best</w:t>
      </w:r>
      <w:r w:rsidR="001219F8" w:rsidRPr="00414A6D">
        <w:rPr>
          <w:rStyle w:val="IntenseReference"/>
          <w:rFonts w:ascii="Arial" w:hAnsi="Arial" w:cs="Arial"/>
          <w:b w:val="0"/>
          <w:bCs w:val="0"/>
          <w:i w:val="0"/>
          <w:smallCaps w:val="0"/>
          <w:color w:val="auto"/>
          <w:spacing w:val="0"/>
          <w:sz w:val="22"/>
        </w:rPr>
        <w:noBreakHyphen/>
        <w:t xml:space="preserve">practice price should be taken. This should be based around the timing of the development and implementation of the Hip Fracture CCS indicators, and in recognition of IHPA and the Commission’s Data Plans and Work Plans, and in recognition of the work and time required to establish processes to support the routine provision of timely, hospital-level comparable information on hip fracture care. </w:t>
      </w:r>
    </w:p>
    <w:p w14:paraId="4DD801A0" w14:textId="77777777" w:rsidR="002F537F" w:rsidRDefault="002F537F"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IntenseReference"/>
          <w:rFonts w:ascii="Arial" w:hAnsi="Arial" w:cs="Arial"/>
          <w:b w:val="0"/>
          <w:bCs w:val="0"/>
          <w:i w:val="0"/>
          <w:smallCaps w:val="0"/>
          <w:color w:val="auto"/>
          <w:spacing w:val="0"/>
          <w:sz w:val="22"/>
        </w:rPr>
      </w:pPr>
    </w:p>
    <w:p w14:paraId="22C448F6" w14:textId="2D013B4C" w:rsidR="001219F8" w:rsidRPr="00414A6D" w:rsidRDefault="002F537F" w:rsidP="003A5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rPr>
      </w:pPr>
      <w:r w:rsidRPr="002F537F">
        <w:rPr>
          <w:rStyle w:val="IntenseReference"/>
          <w:rFonts w:ascii="Arial" w:hAnsi="Arial" w:cs="Arial"/>
          <w:bCs w:val="0"/>
          <w:i w:val="0"/>
          <w:smallCaps w:val="0"/>
          <w:color w:val="auto"/>
          <w:spacing w:val="0"/>
          <w:sz w:val="22"/>
        </w:rPr>
        <w:t>Recommendation 10:</w:t>
      </w:r>
      <w:r>
        <w:rPr>
          <w:rStyle w:val="IntenseReference"/>
          <w:rFonts w:ascii="Arial" w:hAnsi="Arial" w:cs="Arial"/>
          <w:b w:val="0"/>
          <w:bCs w:val="0"/>
          <w:i w:val="0"/>
          <w:smallCaps w:val="0"/>
          <w:color w:val="auto"/>
          <w:spacing w:val="0"/>
          <w:sz w:val="22"/>
        </w:rPr>
        <w:t xml:space="preserve"> An </w:t>
      </w:r>
      <w:r w:rsidRPr="00414A6D">
        <w:rPr>
          <w:rStyle w:val="IntenseReference"/>
          <w:rFonts w:ascii="Arial" w:hAnsi="Arial" w:cs="Arial"/>
          <w:b w:val="0"/>
          <w:bCs w:val="0"/>
          <w:i w:val="0"/>
          <w:smallCaps w:val="0"/>
          <w:color w:val="auto"/>
          <w:spacing w:val="0"/>
          <w:sz w:val="22"/>
        </w:rPr>
        <w:t xml:space="preserve">evaluation process should be built into any implementation plan for an Australian national approach to best-practice pricing in hip fracture care. </w:t>
      </w:r>
      <w:r>
        <w:rPr>
          <w:rStyle w:val="IntenseReference"/>
          <w:rFonts w:ascii="Arial" w:hAnsi="Arial" w:cs="Arial"/>
          <w:b w:val="0"/>
          <w:bCs w:val="0"/>
          <w:i w:val="0"/>
          <w:smallCaps w:val="0"/>
          <w:color w:val="auto"/>
          <w:spacing w:val="0"/>
          <w:sz w:val="22"/>
        </w:rPr>
        <w:t xml:space="preserve"> </w:t>
      </w:r>
    </w:p>
    <w:p w14:paraId="4CA66A4C" w14:textId="4799ADDC" w:rsidR="00CE6448" w:rsidRPr="002F537F" w:rsidRDefault="00CE6448">
      <w:pPr>
        <w:rPr>
          <w:rFonts w:ascii="Arial" w:hAnsi="Arial" w:cs="Arial"/>
          <w:b/>
          <w:sz w:val="22"/>
        </w:rPr>
        <w:sectPr w:rsidR="00CE6448" w:rsidRPr="002F537F" w:rsidSect="00CE6448">
          <w:footnotePr>
            <w:numFmt w:val="chicago"/>
          </w:footnotePr>
          <w:pgSz w:w="11906" w:h="16838" w:code="9"/>
          <w:pgMar w:top="2694" w:right="1440" w:bottom="1440" w:left="1440" w:header="708" w:footer="708" w:gutter="0"/>
          <w:pgNumType w:fmt="lowerRoman"/>
          <w:cols w:space="708"/>
          <w:docGrid w:linePitch="360"/>
        </w:sectPr>
      </w:pPr>
    </w:p>
    <w:p w14:paraId="504635FB" w14:textId="5BDBF8BA" w:rsidR="00CE6448" w:rsidRPr="00414A6D" w:rsidRDefault="00CE6448" w:rsidP="007B1510">
      <w:pPr>
        <w:pStyle w:val="Heading1"/>
        <w:numPr>
          <w:ilvl w:val="0"/>
          <w:numId w:val="14"/>
        </w:numPr>
        <w:ind w:left="426"/>
        <w:jc w:val="both"/>
        <w:rPr>
          <w:szCs w:val="21"/>
        </w:rPr>
      </w:pPr>
      <w:bookmarkStart w:id="2" w:name="_Toc426633797"/>
      <w:r>
        <w:rPr>
          <w:szCs w:val="21"/>
        </w:rPr>
        <w:lastRenderedPageBreak/>
        <w:t>Introduction</w:t>
      </w:r>
      <w:bookmarkEnd w:id="2"/>
    </w:p>
    <w:p w14:paraId="7BF48677" w14:textId="77777777" w:rsidR="0019564E" w:rsidRPr="00414A6D" w:rsidRDefault="00680558" w:rsidP="00626666">
      <w:pPr>
        <w:spacing w:before="120" w:after="120"/>
        <w:jc w:val="both"/>
        <w:rPr>
          <w:rFonts w:ascii="Arial" w:hAnsi="Arial" w:cs="Arial"/>
          <w:sz w:val="22"/>
          <w:szCs w:val="22"/>
        </w:rPr>
      </w:pPr>
      <w:r w:rsidRPr="00414A6D">
        <w:rPr>
          <w:rFonts w:ascii="Arial" w:hAnsi="Arial" w:cs="Arial"/>
          <w:sz w:val="22"/>
          <w:szCs w:val="22"/>
        </w:rPr>
        <w:t xml:space="preserve">This </w:t>
      </w:r>
      <w:r w:rsidR="00727DD1" w:rsidRPr="00414A6D">
        <w:rPr>
          <w:rFonts w:ascii="Arial" w:hAnsi="Arial" w:cs="Arial"/>
          <w:sz w:val="22"/>
          <w:szCs w:val="22"/>
        </w:rPr>
        <w:t>report</w:t>
      </w:r>
      <w:r w:rsidRPr="00414A6D">
        <w:rPr>
          <w:rFonts w:ascii="Arial" w:hAnsi="Arial" w:cs="Arial"/>
          <w:sz w:val="22"/>
          <w:szCs w:val="22"/>
        </w:rPr>
        <w:t xml:space="preserve"> </w:t>
      </w:r>
      <w:r w:rsidR="00191FCB" w:rsidRPr="00414A6D">
        <w:rPr>
          <w:rFonts w:ascii="Arial" w:hAnsi="Arial" w:cs="Arial"/>
          <w:sz w:val="22"/>
          <w:szCs w:val="22"/>
        </w:rPr>
        <w:t xml:space="preserve">to the Joint Working Party </w:t>
      </w:r>
      <w:r w:rsidR="00FE4A43" w:rsidRPr="00CB2400">
        <w:rPr>
          <w:rFonts w:ascii="Arial" w:hAnsi="Arial" w:cs="Arial"/>
          <w:sz w:val="22"/>
          <w:szCs w:val="22"/>
        </w:rPr>
        <w:t>on Pricing for Safety and Quality in Australian Public Hospital Services</w:t>
      </w:r>
      <w:r w:rsidR="00FE4A43" w:rsidRPr="00414A6D">
        <w:rPr>
          <w:rFonts w:ascii="Arial" w:hAnsi="Arial" w:cs="Arial"/>
          <w:b/>
          <w:sz w:val="22"/>
          <w:szCs w:val="22"/>
        </w:rPr>
        <w:t xml:space="preserve"> </w:t>
      </w:r>
      <w:r w:rsidR="00191FCB" w:rsidRPr="00414A6D">
        <w:rPr>
          <w:rFonts w:ascii="Arial" w:hAnsi="Arial" w:cs="Arial"/>
          <w:sz w:val="22"/>
          <w:szCs w:val="22"/>
        </w:rPr>
        <w:t xml:space="preserve">(JWP) </w:t>
      </w:r>
      <w:r w:rsidR="007C25BD" w:rsidRPr="00414A6D">
        <w:rPr>
          <w:rFonts w:ascii="Arial" w:hAnsi="Arial" w:cs="Arial"/>
          <w:sz w:val="22"/>
          <w:szCs w:val="22"/>
        </w:rPr>
        <w:t>of t</w:t>
      </w:r>
      <w:r w:rsidR="00191FCB" w:rsidRPr="00414A6D">
        <w:rPr>
          <w:rFonts w:ascii="Arial" w:hAnsi="Arial" w:cs="Arial"/>
          <w:sz w:val="22"/>
          <w:szCs w:val="22"/>
        </w:rPr>
        <w:t xml:space="preserve">he Independent Hospital Pricing Authority (IHPA) and the Australian Commission on Safety and Quality in Health Care (the Commission) </w:t>
      </w:r>
      <w:r w:rsidR="00EB6E8A" w:rsidRPr="00414A6D">
        <w:rPr>
          <w:rFonts w:ascii="Arial" w:hAnsi="Arial" w:cs="Arial"/>
          <w:sz w:val="22"/>
          <w:szCs w:val="22"/>
        </w:rPr>
        <w:t>outlines a</w:t>
      </w:r>
      <w:r w:rsidR="00191FCB" w:rsidRPr="00414A6D">
        <w:rPr>
          <w:rFonts w:ascii="Arial" w:hAnsi="Arial" w:cs="Arial"/>
          <w:sz w:val="22"/>
          <w:szCs w:val="22"/>
        </w:rPr>
        <w:t xml:space="preserve"> </w:t>
      </w:r>
      <w:r w:rsidR="00F77460" w:rsidRPr="00414A6D">
        <w:rPr>
          <w:rFonts w:ascii="Arial" w:hAnsi="Arial" w:cs="Arial"/>
          <w:sz w:val="22"/>
          <w:szCs w:val="22"/>
        </w:rPr>
        <w:t xml:space="preserve">potential approach and requirements for </w:t>
      </w:r>
      <w:r w:rsidR="00191FCB" w:rsidRPr="00414A6D">
        <w:rPr>
          <w:rFonts w:ascii="Arial" w:hAnsi="Arial" w:cs="Arial"/>
          <w:sz w:val="22"/>
          <w:szCs w:val="22"/>
        </w:rPr>
        <w:t>implement</w:t>
      </w:r>
      <w:r w:rsidR="00F77460" w:rsidRPr="00414A6D">
        <w:rPr>
          <w:rFonts w:ascii="Arial" w:hAnsi="Arial" w:cs="Arial"/>
          <w:sz w:val="22"/>
          <w:szCs w:val="22"/>
        </w:rPr>
        <w:t>ing</w:t>
      </w:r>
      <w:r w:rsidRPr="00414A6D">
        <w:rPr>
          <w:rFonts w:ascii="Arial" w:hAnsi="Arial" w:cs="Arial"/>
          <w:sz w:val="22"/>
          <w:szCs w:val="22"/>
        </w:rPr>
        <w:t xml:space="preserve"> </w:t>
      </w:r>
      <w:r w:rsidR="00D627E9" w:rsidRPr="00414A6D">
        <w:rPr>
          <w:rFonts w:ascii="Arial" w:hAnsi="Arial" w:cs="Arial"/>
          <w:sz w:val="22"/>
          <w:szCs w:val="22"/>
        </w:rPr>
        <w:t xml:space="preserve">national </w:t>
      </w:r>
      <w:r w:rsidR="00346B84" w:rsidRPr="00414A6D">
        <w:rPr>
          <w:rFonts w:ascii="Arial" w:hAnsi="Arial" w:cs="Arial"/>
          <w:sz w:val="22"/>
          <w:szCs w:val="22"/>
        </w:rPr>
        <w:t>best</w:t>
      </w:r>
      <w:r w:rsidR="005C7291" w:rsidRPr="00414A6D">
        <w:rPr>
          <w:rFonts w:ascii="Arial" w:hAnsi="Arial" w:cs="Arial"/>
          <w:sz w:val="22"/>
          <w:szCs w:val="22"/>
        </w:rPr>
        <w:noBreakHyphen/>
      </w:r>
      <w:r w:rsidR="00346B84" w:rsidRPr="00414A6D">
        <w:rPr>
          <w:rFonts w:ascii="Arial" w:hAnsi="Arial" w:cs="Arial"/>
          <w:sz w:val="22"/>
          <w:szCs w:val="22"/>
        </w:rPr>
        <w:t>practice</w:t>
      </w:r>
      <w:r w:rsidRPr="00414A6D">
        <w:rPr>
          <w:rFonts w:ascii="Arial" w:hAnsi="Arial" w:cs="Arial"/>
          <w:sz w:val="22"/>
          <w:szCs w:val="22"/>
        </w:rPr>
        <w:t xml:space="preserve"> pricing and the provision of hospital-level safety and quality data </w:t>
      </w:r>
      <w:r w:rsidR="00191FCB" w:rsidRPr="00414A6D">
        <w:rPr>
          <w:rFonts w:ascii="Arial" w:hAnsi="Arial" w:cs="Arial"/>
          <w:sz w:val="22"/>
          <w:szCs w:val="22"/>
        </w:rPr>
        <w:t>for</w:t>
      </w:r>
      <w:r w:rsidRPr="00414A6D">
        <w:rPr>
          <w:rFonts w:ascii="Arial" w:hAnsi="Arial" w:cs="Arial"/>
          <w:sz w:val="22"/>
          <w:szCs w:val="22"/>
        </w:rPr>
        <w:t xml:space="preserve"> hip fracture care</w:t>
      </w:r>
      <w:r w:rsidR="00191FCB" w:rsidRPr="00414A6D">
        <w:rPr>
          <w:rFonts w:ascii="Arial" w:hAnsi="Arial" w:cs="Arial"/>
          <w:sz w:val="22"/>
          <w:szCs w:val="22"/>
        </w:rPr>
        <w:t xml:space="preserve"> in Australian public hospitals</w:t>
      </w:r>
      <w:r w:rsidRPr="00414A6D">
        <w:rPr>
          <w:rFonts w:ascii="Arial" w:hAnsi="Arial" w:cs="Arial"/>
          <w:sz w:val="22"/>
          <w:szCs w:val="22"/>
        </w:rPr>
        <w:t>.</w:t>
      </w:r>
    </w:p>
    <w:p w14:paraId="6ED78B00" w14:textId="02C44140" w:rsidR="00D147A4" w:rsidRPr="00414A6D" w:rsidRDefault="00EB6E8A" w:rsidP="00D147A4">
      <w:pPr>
        <w:spacing w:before="120" w:after="120"/>
        <w:jc w:val="both"/>
        <w:rPr>
          <w:rFonts w:ascii="Arial" w:hAnsi="Arial" w:cs="Arial"/>
          <w:sz w:val="22"/>
          <w:szCs w:val="22"/>
        </w:rPr>
      </w:pPr>
      <w:r w:rsidRPr="00414A6D">
        <w:rPr>
          <w:rFonts w:ascii="Arial" w:hAnsi="Arial" w:cs="Arial"/>
          <w:sz w:val="22"/>
          <w:szCs w:val="22"/>
        </w:rPr>
        <w:t xml:space="preserve">In June 2014, the JWP established the </w:t>
      </w:r>
      <w:r w:rsidR="007F232E" w:rsidRPr="00414A6D">
        <w:rPr>
          <w:rFonts w:ascii="Arial" w:hAnsi="Arial" w:cs="Arial"/>
          <w:sz w:val="22"/>
          <w:szCs w:val="22"/>
        </w:rPr>
        <w:t>Sub-Committee</w:t>
      </w:r>
      <w:r w:rsidRPr="00414A6D">
        <w:rPr>
          <w:rFonts w:ascii="Arial" w:hAnsi="Arial" w:cs="Arial"/>
          <w:sz w:val="22"/>
          <w:szCs w:val="22"/>
        </w:rPr>
        <w:t xml:space="preserve"> on </w:t>
      </w:r>
      <w:r w:rsidR="005C7291" w:rsidRPr="00414A6D">
        <w:rPr>
          <w:rFonts w:ascii="Arial" w:hAnsi="Arial" w:cs="Arial"/>
          <w:sz w:val="22"/>
          <w:szCs w:val="22"/>
        </w:rPr>
        <w:t>Best-Practice Pricing and Clinical Quality I</w:t>
      </w:r>
      <w:r w:rsidR="0049504C">
        <w:rPr>
          <w:rFonts w:ascii="Arial" w:hAnsi="Arial" w:cs="Arial"/>
          <w:sz w:val="22"/>
          <w:szCs w:val="22"/>
        </w:rPr>
        <w:t>nformation</w:t>
      </w:r>
      <w:r w:rsidR="005C7291" w:rsidRPr="00414A6D">
        <w:rPr>
          <w:rFonts w:ascii="Arial" w:hAnsi="Arial" w:cs="Arial"/>
          <w:sz w:val="22"/>
          <w:szCs w:val="22"/>
        </w:rPr>
        <w:t xml:space="preserve"> </w:t>
      </w: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to address issues in relation to </w:t>
      </w:r>
      <w:r w:rsidR="00346B84" w:rsidRPr="00414A6D">
        <w:rPr>
          <w:rFonts w:ascii="Arial" w:hAnsi="Arial" w:cs="Arial"/>
          <w:sz w:val="22"/>
          <w:szCs w:val="22"/>
        </w:rPr>
        <w:t>best</w:t>
      </w:r>
      <w:r w:rsidR="005C7291" w:rsidRPr="00414A6D">
        <w:rPr>
          <w:rFonts w:ascii="Arial" w:hAnsi="Arial" w:cs="Arial"/>
          <w:sz w:val="22"/>
          <w:szCs w:val="22"/>
        </w:rPr>
        <w:noBreakHyphen/>
      </w:r>
      <w:r w:rsidR="00346B84" w:rsidRPr="00414A6D">
        <w:rPr>
          <w:rFonts w:ascii="Arial" w:hAnsi="Arial" w:cs="Arial"/>
          <w:sz w:val="22"/>
          <w:szCs w:val="22"/>
        </w:rPr>
        <w:t>practice</w:t>
      </w:r>
      <w:r w:rsidRPr="00414A6D">
        <w:rPr>
          <w:rFonts w:ascii="Arial" w:hAnsi="Arial" w:cs="Arial"/>
          <w:sz w:val="22"/>
          <w:szCs w:val="22"/>
        </w:rPr>
        <w:t xml:space="preserve"> pricing schemes supported by evidence, with a particular focus on hip fracture. </w:t>
      </w:r>
      <w:r w:rsidR="00D147A4" w:rsidRPr="00414A6D">
        <w:rPr>
          <w:rFonts w:ascii="Arial" w:hAnsi="Arial" w:cs="Arial"/>
          <w:sz w:val="22"/>
          <w:szCs w:val="22"/>
        </w:rPr>
        <w:t xml:space="preserve">Hip fracture was selected as the </w:t>
      </w:r>
      <w:r w:rsidR="0044229A" w:rsidRPr="00414A6D">
        <w:rPr>
          <w:rFonts w:ascii="Arial" w:hAnsi="Arial" w:cs="Arial"/>
          <w:sz w:val="22"/>
          <w:szCs w:val="22"/>
        </w:rPr>
        <w:t>initial area of focus because</w:t>
      </w:r>
      <w:r w:rsidR="00D147A4" w:rsidRPr="00414A6D">
        <w:rPr>
          <w:rFonts w:ascii="Arial" w:hAnsi="Arial" w:cs="Arial"/>
          <w:sz w:val="22"/>
          <w:szCs w:val="22"/>
        </w:rPr>
        <w:t xml:space="preserve"> </w:t>
      </w:r>
      <w:r w:rsidR="003D7CCF" w:rsidRPr="00414A6D">
        <w:rPr>
          <w:rFonts w:ascii="Arial" w:hAnsi="Arial" w:cs="Arial"/>
          <w:sz w:val="22"/>
          <w:szCs w:val="22"/>
        </w:rPr>
        <w:t>it</w:t>
      </w:r>
      <w:r w:rsidR="0044229A" w:rsidRPr="00414A6D">
        <w:rPr>
          <w:rFonts w:ascii="Arial" w:hAnsi="Arial" w:cs="Arial"/>
          <w:sz w:val="22"/>
          <w:szCs w:val="22"/>
        </w:rPr>
        <w:t xml:space="preserve"> is</w:t>
      </w:r>
      <w:r w:rsidR="003D7CCF" w:rsidRPr="00414A6D">
        <w:rPr>
          <w:rFonts w:ascii="Arial" w:hAnsi="Arial" w:cs="Arial"/>
          <w:sz w:val="22"/>
          <w:szCs w:val="22"/>
        </w:rPr>
        <w:t xml:space="preserve"> a </w:t>
      </w:r>
      <w:r w:rsidR="00D147A4" w:rsidRPr="00414A6D">
        <w:rPr>
          <w:rFonts w:ascii="Arial" w:hAnsi="Arial" w:cs="Arial"/>
          <w:sz w:val="22"/>
          <w:szCs w:val="22"/>
        </w:rPr>
        <w:t>well</w:t>
      </w:r>
      <w:r w:rsidR="00520FC9" w:rsidRPr="00414A6D">
        <w:rPr>
          <w:rFonts w:ascii="Arial" w:hAnsi="Arial" w:cs="Arial"/>
          <w:sz w:val="22"/>
          <w:szCs w:val="22"/>
        </w:rPr>
        <w:t>-</w:t>
      </w:r>
      <w:r w:rsidR="00D147A4" w:rsidRPr="00414A6D">
        <w:rPr>
          <w:rFonts w:ascii="Arial" w:hAnsi="Arial" w:cs="Arial"/>
          <w:sz w:val="22"/>
          <w:szCs w:val="22"/>
        </w:rPr>
        <w:t xml:space="preserve">defined patient cohort and a </w:t>
      </w:r>
      <w:r w:rsidR="003D7CCF" w:rsidRPr="00414A6D">
        <w:rPr>
          <w:rFonts w:ascii="Arial" w:hAnsi="Arial" w:cs="Arial"/>
          <w:sz w:val="22"/>
          <w:szCs w:val="22"/>
        </w:rPr>
        <w:t xml:space="preserve">there is </w:t>
      </w:r>
      <w:r w:rsidR="00D147A4" w:rsidRPr="00414A6D">
        <w:rPr>
          <w:rFonts w:ascii="Arial" w:hAnsi="Arial" w:cs="Arial"/>
          <w:sz w:val="22"/>
          <w:szCs w:val="22"/>
        </w:rPr>
        <w:t xml:space="preserve">reasonable consensus on </w:t>
      </w:r>
      <w:r w:rsidR="00346B84" w:rsidRPr="00414A6D">
        <w:rPr>
          <w:rFonts w:ascii="Arial" w:hAnsi="Arial" w:cs="Arial"/>
          <w:sz w:val="22"/>
          <w:szCs w:val="22"/>
        </w:rPr>
        <w:t>best-practice</w:t>
      </w:r>
      <w:r w:rsidR="00D147A4" w:rsidRPr="00414A6D">
        <w:rPr>
          <w:rFonts w:ascii="Arial" w:hAnsi="Arial" w:cs="Arial"/>
          <w:sz w:val="22"/>
          <w:szCs w:val="22"/>
        </w:rPr>
        <w:t xml:space="preserve"> </w:t>
      </w:r>
      <w:r w:rsidR="005C7291" w:rsidRPr="00414A6D">
        <w:rPr>
          <w:rFonts w:ascii="Arial" w:hAnsi="Arial" w:cs="Arial"/>
          <w:sz w:val="22"/>
          <w:szCs w:val="22"/>
        </w:rPr>
        <w:t xml:space="preserve">management </w:t>
      </w:r>
      <w:r w:rsidR="00D147A4" w:rsidRPr="00414A6D">
        <w:rPr>
          <w:rFonts w:ascii="Arial" w:hAnsi="Arial" w:cs="Arial"/>
          <w:sz w:val="22"/>
          <w:szCs w:val="22"/>
        </w:rPr>
        <w:t xml:space="preserve">within Australia. </w:t>
      </w:r>
    </w:p>
    <w:p w14:paraId="5DFC7503" w14:textId="3A7F5EF8" w:rsidR="00EB6E8A" w:rsidRPr="00414A6D" w:rsidRDefault="00EB6E8A" w:rsidP="00D147A4">
      <w:pPr>
        <w:spacing w:before="120" w:after="120"/>
        <w:jc w:val="both"/>
        <w:rPr>
          <w:rFonts w:ascii="Arial" w:hAnsi="Arial" w:cs="Arial"/>
          <w:sz w:val="22"/>
          <w:szCs w:val="22"/>
        </w:rPr>
      </w:pPr>
      <w:r w:rsidRPr="00414A6D">
        <w:rPr>
          <w:rFonts w:ascii="Arial" w:hAnsi="Arial" w:cs="Arial"/>
          <w:sz w:val="22"/>
          <w:szCs w:val="22"/>
        </w:rPr>
        <w:t xml:space="preserve">This report </w:t>
      </w:r>
      <w:r w:rsidR="00B9771B">
        <w:rPr>
          <w:rFonts w:ascii="Arial" w:hAnsi="Arial" w:cs="Arial"/>
          <w:sz w:val="22"/>
          <w:szCs w:val="22"/>
        </w:rPr>
        <w:t>supported</w:t>
      </w:r>
      <w:r w:rsidRPr="00414A6D">
        <w:rPr>
          <w:rFonts w:ascii="Arial" w:hAnsi="Arial" w:cs="Arial"/>
          <w:sz w:val="22"/>
          <w:szCs w:val="22"/>
        </w:rPr>
        <w:t xml:space="preserve"> the JWP by offering advice in relation to </w:t>
      </w:r>
      <w:r w:rsidR="003D7CCF" w:rsidRPr="00414A6D">
        <w:rPr>
          <w:rFonts w:ascii="Arial" w:hAnsi="Arial" w:cs="Arial"/>
          <w:sz w:val="22"/>
          <w:szCs w:val="22"/>
        </w:rPr>
        <w:t xml:space="preserve">the Sub-Committee’s </w:t>
      </w:r>
      <w:r w:rsidRPr="00414A6D">
        <w:rPr>
          <w:rFonts w:ascii="Arial" w:hAnsi="Arial" w:cs="Arial"/>
          <w:sz w:val="22"/>
          <w:szCs w:val="22"/>
        </w:rPr>
        <w:t>terms of reference to explore:</w:t>
      </w:r>
    </w:p>
    <w:p w14:paraId="3921D13A" w14:textId="77777777" w:rsidR="00EB6E8A" w:rsidRPr="00414A6D" w:rsidRDefault="00EB6E8A" w:rsidP="007B1510">
      <w:pPr>
        <w:pStyle w:val="ListParagraph"/>
        <w:numPr>
          <w:ilvl w:val="0"/>
          <w:numId w:val="15"/>
        </w:numPr>
        <w:spacing w:before="120" w:after="120"/>
        <w:jc w:val="both"/>
        <w:rPr>
          <w:rFonts w:ascii="Arial" w:hAnsi="Arial" w:cs="Arial"/>
          <w:sz w:val="22"/>
          <w:szCs w:val="22"/>
        </w:rPr>
      </w:pPr>
      <w:r w:rsidRPr="00414A6D">
        <w:rPr>
          <w:rFonts w:ascii="Arial" w:hAnsi="Arial" w:cs="Arial"/>
          <w:sz w:val="22"/>
          <w:szCs w:val="22"/>
        </w:rPr>
        <w:t xml:space="preserve">the requirements and feasibility of introducing </w:t>
      </w:r>
      <w:r w:rsidR="00346B84" w:rsidRPr="00414A6D">
        <w:rPr>
          <w:rFonts w:ascii="Arial" w:hAnsi="Arial" w:cs="Arial"/>
          <w:sz w:val="22"/>
          <w:szCs w:val="22"/>
        </w:rPr>
        <w:t>best-practice</w:t>
      </w:r>
      <w:r w:rsidRPr="00414A6D">
        <w:rPr>
          <w:rFonts w:ascii="Arial" w:hAnsi="Arial" w:cs="Arial"/>
          <w:sz w:val="22"/>
          <w:szCs w:val="22"/>
        </w:rPr>
        <w:t xml:space="preserve"> pricing in Australian public hospitals, with a specific focus on </w:t>
      </w:r>
      <w:r w:rsidR="00D627E9" w:rsidRPr="00414A6D">
        <w:rPr>
          <w:rFonts w:ascii="Arial" w:hAnsi="Arial" w:cs="Arial"/>
          <w:sz w:val="22"/>
          <w:szCs w:val="22"/>
        </w:rPr>
        <w:t>hip fracture patients</w:t>
      </w:r>
      <w:r w:rsidR="00343269" w:rsidRPr="00414A6D">
        <w:rPr>
          <w:rFonts w:ascii="Arial" w:hAnsi="Arial" w:cs="Arial"/>
          <w:sz w:val="22"/>
          <w:szCs w:val="22"/>
        </w:rPr>
        <w:t>; and</w:t>
      </w:r>
    </w:p>
    <w:p w14:paraId="61646F71" w14:textId="77777777" w:rsidR="00EB6E8A" w:rsidRPr="00414A6D" w:rsidRDefault="00EB6E8A" w:rsidP="007B1510">
      <w:pPr>
        <w:pStyle w:val="ListParagraph"/>
        <w:numPr>
          <w:ilvl w:val="0"/>
          <w:numId w:val="15"/>
        </w:numPr>
        <w:spacing w:before="120" w:after="120"/>
        <w:jc w:val="both"/>
        <w:rPr>
          <w:rFonts w:ascii="Arial" w:hAnsi="Arial" w:cs="Arial"/>
          <w:sz w:val="22"/>
          <w:szCs w:val="22"/>
        </w:rPr>
      </w:pPr>
      <w:r w:rsidRPr="00414A6D">
        <w:rPr>
          <w:rFonts w:ascii="Arial" w:hAnsi="Arial" w:cs="Arial"/>
          <w:sz w:val="22"/>
          <w:szCs w:val="22"/>
        </w:rPr>
        <w:t xml:space="preserve">an appropriate mechanism and format for providing safety and quality data to clinical teams and hospital leaders to drive quality improvement in ways that support implementation of </w:t>
      </w:r>
      <w:r w:rsidR="00346B84" w:rsidRPr="00414A6D">
        <w:rPr>
          <w:rFonts w:ascii="Arial" w:hAnsi="Arial" w:cs="Arial"/>
          <w:sz w:val="22"/>
          <w:szCs w:val="22"/>
        </w:rPr>
        <w:t>best-practice</w:t>
      </w:r>
      <w:r w:rsidRPr="00414A6D">
        <w:rPr>
          <w:rFonts w:ascii="Arial" w:hAnsi="Arial" w:cs="Arial"/>
          <w:sz w:val="22"/>
          <w:szCs w:val="22"/>
        </w:rPr>
        <w:t xml:space="preserve"> in care teams and hospital leaders to drive quality improvement</w:t>
      </w:r>
      <w:r w:rsidR="00343269" w:rsidRPr="00414A6D">
        <w:rPr>
          <w:rFonts w:ascii="Arial" w:hAnsi="Arial" w:cs="Arial"/>
          <w:sz w:val="22"/>
          <w:szCs w:val="22"/>
        </w:rPr>
        <w:t>.</w:t>
      </w:r>
      <w:r w:rsidRPr="00414A6D">
        <w:rPr>
          <w:rFonts w:ascii="Arial" w:hAnsi="Arial" w:cs="Arial"/>
          <w:sz w:val="22"/>
          <w:szCs w:val="22"/>
        </w:rPr>
        <w:t xml:space="preserve"> </w:t>
      </w:r>
    </w:p>
    <w:p w14:paraId="651425EE" w14:textId="77777777" w:rsidR="00626666" w:rsidRPr="00414A6D" w:rsidRDefault="00626666" w:rsidP="00D147A4">
      <w:pPr>
        <w:spacing w:before="120" w:after="120"/>
        <w:jc w:val="both"/>
        <w:rPr>
          <w:rFonts w:ascii="Arial" w:hAnsi="Arial" w:cs="Arial"/>
          <w:sz w:val="22"/>
          <w:szCs w:val="22"/>
        </w:rPr>
      </w:pPr>
      <w:r w:rsidRPr="00414A6D">
        <w:rPr>
          <w:rFonts w:ascii="Arial" w:hAnsi="Arial" w:cs="Arial"/>
          <w:sz w:val="22"/>
          <w:szCs w:val="22"/>
        </w:rPr>
        <w:t xml:space="preserve">The </w:t>
      </w:r>
      <w:r w:rsidR="00343269" w:rsidRPr="00414A6D">
        <w:rPr>
          <w:rFonts w:ascii="Arial" w:hAnsi="Arial" w:cs="Arial"/>
          <w:sz w:val="22"/>
          <w:szCs w:val="22"/>
        </w:rPr>
        <w:t>S</w:t>
      </w:r>
      <w:r w:rsidR="00EB6E8A" w:rsidRPr="00414A6D">
        <w:rPr>
          <w:rFonts w:ascii="Arial" w:hAnsi="Arial" w:cs="Arial"/>
          <w:sz w:val="22"/>
          <w:szCs w:val="22"/>
        </w:rPr>
        <w:t>ub-</w:t>
      </w:r>
      <w:r w:rsidR="00343269" w:rsidRPr="00414A6D">
        <w:rPr>
          <w:rFonts w:ascii="Arial" w:hAnsi="Arial" w:cs="Arial"/>
          <w:sz w:val="22"/>
          <w:szCs w:val="22"/>
        </w:rPr>
        <w:t>C</w:t>
      </w:r>
      <w:r w:rsidR="00EB6E8A" w:rsidRPr="00414A6D">
        <w:rPr>
          <w:rFonts w:ascii="Arial" w:hAnsi="Arial" w:cs="Arial"/>
          <w:sz w:val="22"/>
          <w:szCs w:val="22"/>
        </w:rPr>
        <w:t>ommittee’s term</w:t>
      </w:r>
      <w:r w:rsidR="00B61E00" w:rsidRPr="00414A6D">
        <w:rPr>
          <w:rFonts w:ascii="Arial" w:hAnsi="Arial" w:cs="Arial"/>
          <w:sz w:val="22"/>
          <w:szCs w:val="22"/>
        </w:rPr>
        <w:t xml:space="preserve">s of reference are provided at </w:t>
      </w:r>
      <w:r w:rsidR="00343269" w:rsidRPr="00414A6D">
        <w:rPr>
          <w:rFonts w:ascii="Arial" w:hAnsi="Arial" w:cs="Arial"/>
          <w:sz w:val="22"/>
          <w:szCs w:val="22"/>
        </w:rPr>
        <w:t>A</w:t>
      </w:r>
      <w:r w:rsidR="00B61E00" w:rsidRPr="00414A6D">
        <w:rPr>
          <w:rFonts w:ascii="Arial" w:hAnsi="Arial" w:cs="Arial"/>
          <w:sz w:val="22"/>
          <w:szCs w:val="22"/>
        </w:rPr>
        <w:t>ppendix</w:t>
      </w:r>
      <w:r w:rsidR="00EB6E8A" w:rsidRPr="00414A6D">
        <w:rPr>
          <w:rFonts w:ascii="Arial" w:hAnsi="Arial" w:cs="Arial"/>
          <w:sz w:val="22"/>
          <w:szCs w:val="22"/>
        </w:rPr>
        <w:t xml:space="preserve"> </w:t>
      </w:r>
      <w:r w:rsidR="00D170B6" w:rsidRPr="00414A6D">
        <w:rPr>
          <w:rFonts w:ascii="Arial" w:hAnsi="Arial" w:cs="Arial"/>
          <w:sz w:val="22"/>
          <w:szCs w:val="22"/>
        </w:rPr>
        <w:t>A</w:t>
      </w:r>
      <w:r w:rsidR="00EB6E8A" w:rsidRPr="00414A6D">
        <w:rPr>
          <w:rFonts w:ascii="Arial" w:hAnsi="Arial" w:cs="Arial"/>
          <w:sz w:val="22"/>
          <w:szCs w:val="22"/>
        </w:rPr>
        <w:t>.</w:t>
      </w:r>
      <w:r w:rsidRPr="00414A6D">
        <w:rPr>
          <w:rFonts w:ascii="Arial" w:hAnsi="Arial" w:cs="Arial"/>
          <w:sz w:val="22"/>
          <w:szCs w:val="22"/>
        </w:rPr>
        <w:t xml:space="preserve"> </w:t>
      </w:r>
    </w:p>
    <w:p w14:paraId="50FFFA2B" w14:textId="77777777" w:rsidR="00F77460" w:rsidRPr="00414A6D" w:rsidRDefault="00626666" w:rsidP="00D147A4">
      <w:pPr>
        <w:spacing w:before="120" w:after="120"/>
        <w:jc w:val="both"/>
        <w:rPr>
          <w:rFonts w:ascii="Arial" w:hAnsi="Arial" w:cs="Arial"/>
          <w:sz w:val="22"/>
          <w:szCs w:val="22"/>
        </w:rPr>
      </w:pPr>
      <w:r w:rsidRPr="00414A6D">
        <w:rPr>
          <w:rFonts w:ascii="Arial" w:hAnsi="Arial" w:cs="Arial"/>
          <w:sz w:val="22"/>
          <w:szCs w:val="22"/>
        </w:rPr>
        <w:t>Given this context, this</w:t>
      </w:r>
      <w:r w:rsidR="00680558" w:rsidRPr="00414A6D">
        <w:rPr>
          <w:rFonts w:ascii="Arial" w:hAnsi="Arial" w:cs="Arial"/>
          <w:sz w:val="22"/>
          <w:szCs w:val="22"/>
        </w:rPr>
        <w:t xml:space="preserve"> </w:t>
      </w:r>
      <w:r w:rsidR="00727DD1" w:rsidRPr="00414A6D">
        <w:rPr>
          <w:rFonts w:ascii="Arial" w:hAnsi="Arial" w:cs="Arial"/>
          <w:sz w:val="22"/>
          <w:szCs w:val="22"/>
        </w:rPr>
        <w:t>report</w:t>
      </w:r>
      <w:r w:rsidRPr="00414A6D">
        <w:rPr>
          <w:rFonts w:ascii="Arial" w:hAnsi="Arial" w:cs="Arial"/>
          <w:sz w:val="22"/>
          <w:szCs w:val="22"/>
        </w:rPr>
        <w:t xml:space="preserve"> </w:t>
      </w:r>
      <w:r w:rsidR="00F77460" w:rsidRPr="00414A6D">
        <w:rPr>
          <w:rFonts w:ascii="Arial" w:hAnsi="Arial" w:cs="Arial"/>
          <w:sz w:val="22"/>
          <w:szCs w:val="22"/>
        </w:rPr>
        <w:t>comprises:</w:t>
      </w:r>
    </w:p>
    <w:p w14:paraId="072D343E" w14:textId="77777777" w:rsidR="00F77460" w:rsidRPr="00414A6D" w:rsidRDefault="00845D80" w:rsidP="007B1510">
      <w:pPr>
        <w:pStyle w:val="ListParagraph"/>
        <w:numPr>
          <w:ilvl w:val="0"/>
          <w:numId w:val="16"/>
        </w:numPr>
        <w:spacing w:before="120" w:after="120"/>
        <w:jc w:val="both"/>
        <w:rPr>
          <w:rFonts w:ascii="Arial" w:hAnsi="Arial" w:cs="Arial"/>
          <w:sz w:val="22"/>
          <w:szCs w:val="22"/>
        </w:rPr>
      </w:pPr>
      <w:r w:rsidRPr="00414A6D">
        <w:rPr>
          <w:rFonts w:ascii="Arial" w:hAnsi="Arial" w:cs="Arial"/>
          <w:sz w:val="22"/>
          <w:szCs w:val="22"/>
        </w:rPr>
        <w:t>b</w:t>
      </w:r>
      <w:r w:rsidR="00191FCB" w:rsidRPr="00414A6D">
        <w:rPr>
          <w:rFonts w:ascii="Arial" w:hAnsi="Arial" w:cs="Arial"/>
          <w:sz w:val="22"/>
          <w:szCs w:val="22"/>
        </w:rPr>
        <w:t>ackground</w:t>
      </w:r>
      <w:r w:rsidR="00F77460" w:rsidRPr="00414A6D">
        <w:rPr>
          <w:rFonts w:ascii="Arial" w:hAnsi="Arial" w:cs="Arial"/>
          <w:sz w:val="22"/>
          <w:szCs w:val="22"/>
        </w:rPr>
        <w:t xml:space="preserve"> and context, </w:t>
      </w:r>
      <w:r w:rsidR="00191FCB" w:rsidRPr="00414A6D">
        <w:rPr>
          <w:rFonts w:ascii="Arial" w:hAnsi="Arial" w:cs="Arial"/>
          <w:sz w:val="22"/>
          <w:szCs w:val="22"/>
        </w:rPr>
        <w:t xml:space="preserve">including the current approach to Australian public hospital pricing, </w:t>
      </w:r>
      <w:r w:rsidR="00F77460" w:rsidRPr="00414A6D">
        <w:rPr>
          <w:rFonts w:ascii="Arial" w:hAnsi="Arial" w:cs="Arial"/>
          <w:sz w:val="22"/>
          <w:szCs w:val="22"/>
        </w:rPr>
        <w:t xml:space="preserve">an outline of, and </w:t>
      </w:r>
      <w:r w:rsidR="00680558" w:rsidRPr="00414A6D">
        <w:rPr>
          <w:rFonts w:ascii="Arial" w:hAnsi="Arial" w:cs="Arial"/>
          <w:sz w:val="22"/>
          <w:szCs w:val="22"/>
        </w:rPr>
        <w:t>evidence for</w:t>
      </w:r>
      <w:r w:rsidR="00F77460" w:rsidRPr="00414A6D">
        <w:rPr>
          <w:rFonts w:ascii="Arial" w:hAnsi="Arial" w:cs="Arial"/>
          <w:sz w:val="22"/>
          <w:szCs w:val="22"/>
        </w:rPr>
        <w:t>,</w:t>
      </w:r>
      <w:r w:rsidR="00680558" w:rsidRPr="00414A6D">
        <w:rPr>
          <w:rFonts w:ascii="Arial" w:hAnsi="Arial" w:cs="Arial"/>
          <w:sz w:val="22"/>
          <w:szCs w:val="22"/>
        </w:rPr>
        <w:t xml:space="preserve"> </w:t>
      </w:r>
      <w:r w:rsidR="00346B84" w:rsidRPr="00414A6D">
        <w:rPr>
          <w:rFonts w:ascii="Arial" w:hAnsi="Arial" w:cs="Arial"/>
          <w:sz w:val="22"/>
          <w:szCs w:val="22"/>
        </w:rPr>
        <w:t>best-practice</w:t>
      </w:r>
      <w:r w:rsidR="00680558" w:rsidRPr="00414A6D">
        <w:rPr>
          <w:rFonts w:ascii="Arial" w:hAnsi="Arial" w:cs="Arial"/>
          <w:sz w:val="22"/>
          <w:szCs w:val="22"/>
        </w:rPr>
        <w:t xml:space="preserve"> pricing, current local and international hip fracture </w:t>
      </w:r>
      <w:r w:rsidR="00346B84" w:rsidRPr="00414A6D">
        <w:rPr>
          <w:rFonts w:ascii="Arial" w:hAnsi="Arial" w:cs="Arial"/>
          <w:sz w:val="22"/>
          <w:szCs w:val="22"/>
        </w:rPr>
        <w:t>best-practice</w:t>
      </w:r>
      <w:r w:rsidR="00680558" w:rsidRPr="00414A6D">
        <w:rPr>
          <w:rFonts w:ascii="Arial" w:hAnsi="Arial" w:cs="Arial"/>
          <w:sz w:val="22"/>
          <w:szCs w:val="22"/>
        </w:rPr>
        <w:t xml:space="preserve"> pricing schemes and </w:t>
      </w:r>
      <w:r w:rsidR="00727DD1" w:rsidRPr="00414A6D">
        <w:rPr>
          <w:rFonts w:ascii="Arial" w:hAnsi="Arial" w:cs="Arial"/>
          <w:sz w:val="22"/>
          <w:szCs w:val="22"/>
        </w:rPr>
        <w:t xml:space="preserve">existing </w:t>
      </w:r>
      <w:r w:rsidR="00680558" w:rsidRPr="00414A6D">
        <w:rPr>
          <w:rFonts w:ascii="Arial" w:hAnsi="Arial" w:cs="Arial"/>
          <w:sz w:val="22"/>
          <w:szCs w:val="22"/>
        </w:rPr>
        <w:t>hip fracture</w:t>
      </w:r>
      <w:r w:rsidR="00727DD1" w:rsidRPr="00414A6D">
        <w:rPr>
          <w:rFonts w:ascii="Arial" w:hAnsi="Arial" w:cs="Arial"/>
          <w:sz w:val="22"/>
          <w:szCs w:val="22"/>
        </w:rPr>
        <w:t xml:space="preserve"> care </w:t>
      </w:r>
      <w:r w:rsidR="00346B84" w:rsidRPr="00414A6D">
        <w:rPr>
          <w:rFonts w:ascii="Arial" w:hAnsi="Arial" w:cs="Arial"/>
          <w:sz w:val="22"/>
          <w:szCs w:val="22"/>
        </w:rPr>
        <w:t>best-practice</w:t>
      </w:r>
      <w:r w:rsidR="00727DD1" w:rsidRPr="00414A6D">
        <w:rPr>
          <w:rFonts w:ascii="Arial" w:hAnsi="Arial" w:cs="Arial"/>
          <w:sz w:val="22"/>
          <w:szCs w:val="22"/>
        </w:rPr>
        <w:t xml:space="preserve"> models</w:t>
      </w:r>
      <w:r w:rsidR="00343269" w:rsidRPr="00414A6D">
        <w:rPr>
          <w:rFonts w:ascii="Arial" w:hAnsi="Arial" w:cs="Arial"/>
          <w:sz w:val="22"/>
          <w:szCs w:val="22"/>
        </w:rPr>
        <w:t>;</w:t>
      </w:r>
    </w:p>
    <w:p w14:paraId="6C39E239" w14:textId="77777777" w:rsidR="00F77460" w:rsidRPr="00414A6D" w:rsidRDefault="00FE2288" w:rsidP="007B1510">
      <w:pPr>
        <w:pStyle w:val="ListParagraph"/>
        <w:numPr>
          <w:ilvl w:val="0"/>
          <w:numId w:val="16"/>
        </w:numPr>
        <w:spacing w:before="120" w:after="120"/>
        <w:jc w:val="both"/>
        <w:rPr>
          <w:rFonts w:ascii="Arial" w:hAnsi="Arial" w:cs="Arial"/>
          <w:sz w:val="22"/>
          <w:szCs w:val="22"/>
        </w:rPr>
      </w:pPr>
      <w:r w:rsidRPr="00414A6D">
        <w:rPr>
          <w:rFonts w:ascii="Arial" w:hAnsi="Arial" w:cs="Arial"/>
          <w:sz w:val="22"/>
          <w:szCs w:val="22"/>
        </w:rPr>
        <w:t xml:space="preserve">a </w:t>
      </w:r>
      <w:r w:rsidR="00845D80" w:rsidRPr="00414A6D">
        <w:rPr>
          <w:rFonts w:ascii="Arial" w:hAnsi="Arial" w:cs="Arial"/>
          <w:sz w:val="22"/>
          <w:szCs w:val="22"/>
        </w:rPr>
        <w:t>d</w:t>
      </w:r>
      <w:r w:rsidR="00F77460" w:rsidRPr="00414A6D">
        <w:rPr>
          <w:rFonts w:ascii="Arial" w:hAnsi="Arial" w:cs="Arial"/>
          <w:sz w:val="22"/>
          <w:szCs w:val="22"/>
        </w:rPr>
        <w:t>iscussion of</w:t>
      </w:r>
      <w:r w:rsidR="00680558" w:rsidRPr="00414A6D">
        <w:rPr>
          <w:rFonts w:ascii="Arial" w:hAnsi="Arial" w:cs="Arial"/>
          <w:sz w:val="22"/>
          <w:szCs w:val="22"/>
        </w:rPr>
        <w:t xml:space="preserve"> </w:t>
      </w:r>
      <w:r w:rsidR="0019564E" w:rsidRPr="00414A6D">
        <w:rPr>
          <w:rFonts w:ascii="Arial" w:hAnsi="Arial" w:cs="Arial"/>
          <w:sz w:val="22"/>
          <w:szCs w:val="22"/>
        </w:rPr>
        <w:t>the</w:t>
      </w:r>
      <w:r w:rsidR="00F77460" w:rsidRPr="00414A6D">
        <w:rPr>
          <w:rFonts w:ascii="Arial" w:hAnsi="Arial" w:cs="Arial"/>
          <w:sz w:val="22"/>
          <w:szCs w:val="22"/>
        </w:rPr>
        <w:t xml:space="preserve"> technical</w:t>
      </w:r>
      <w:r w:rsidR="0019564E" w:rsidRPr="00414A6D">
        <w:rPr>
          <w:rFonts w:ascii="Arial" w:hAnsi="Arial" w:cs="Arial"/>
          <w:sz w:val="22"/>
          <w:szCs w:val="22"/>
        </w:rPr>
        <w:t xml:space="preserve"> </w:t>
      </w:r>
      <w:r w:rsidR="00680558" w:rsidRPr="00414A6D">
        <w:rPr>
          <w:rFonts w:ascii="Arial" w:hAnsi="Arial" w:cs="Arial"/>
          <w:sz w:val="22"/>
          <w:szCs w:val="22"/>
        </w:rPr>
        <w:t>aspects</w:t>
      </w:r>
      <w:r w:rsidR="00F77460" w:rsidRPr="00414A6D">
        <w:rPr>
          <w:rFonts w:ascii="Arial" w:hAnsi="Arial" w:cs="Arial"/>
          <w:sz w:val="22"/>
          <w:szCs w:val="22"/>
        </w:rPr>
        <w:t xml:space="preserve"> and requirements</w:t>
      </w:r>
      <w:r w:rsidR="00680558" w:rsidRPr="00414A6D">
        <w:rPr>
          <w:rFonts w:ascii="Arial" w:hAnsi="Arial" w:cs="Arial"/>
          <w:sz w:val="22"/>
          <w:szCs w:val="22"/>
        </w:rPr>
        <w:t xml:space="preserve"> for an Australian hip fracture c</w:t>
      </w:r>
      <w:r w:rsidR="00845D80" w:rsidRPr="00414A6D">
        <w:rPr>
          <w:rFonts w:ascii="Arial" w:hAnsi="Arial" w:cs="Arial"/>
          <w:sz w:val="22"/>
          <w:szCs w:val="22"/>
        </w:rPr>
        <w:t xml:space="preserve">are </w:t>
      </w:r>
      <w:r w:rsidR="00346B84" w:rsidRPr="00414A6D">
        <w:rPr>
          <w:rFonts w:ascii="Arial" w:hAnsi="Arial" w:cs="Arial"/>
          <w:sz w:val="22"/>
          <w:szCs w:val="22"/>
        </w:rPr>
        <w:t>best-practice</w:t>
      </w:r>
      <w:r w:rsidR="00845D80" w:rsidRPr="00414A6D">
        <w:rPr>
          <w:rFonts w:ascii="Arial" w:hAnsi="Arial" w:cs="Arial"/>
          <w:sz w:val="22"/>
          <w:szCs w:val="22"/>
        </w:rPr>
        <w:t xml:space="preserve"> pricing model</w:t>
      </w:r>
      <w:r w:rsidR="00343269" w:rsidRPr="00414A6D">
        <w:rPr>
          <w:rFonts w:ascii="Arial" w:hAnsi="Arial" w:cs="Arial"/>
          <w:sz w:val="22"/>
          <w:szCs w:val="22"/>
        </w:rPr>
        <w:t>;</w:t>
      </w:r>
      <w:r w:rsidR="00680558" w:rsidRPr="00414A6D">
        <w:rPr>
          <w:rFonts w:ascii="Arial" w:hAnsi="Arial" w:cs="Arial"/>
          <w:sz w:val="22"/>
          <w:szCs w:val="22"/>
        </w:rPr>
        <w:t xml:space="preserve"> </w:t>
      </w:r>
    </w:p>
    <w:p w14:paraId="03A88B4A" w14:textId="77777777" w:rsidR="00680558" w:rsidRPr="00414A6D" w:rsidRDefault="00FE2288" w:rsidP="007B1510">
      <w:pPr>
        <w:pStyle w:val="ListParagraph"/>
        <w:numPr>
          <w:ilvl w:val="0"/>
          <w:numId w:val="16"/>
        </w:numPr>
        <w:spacing w:before="120" w:after="120"/>
        <w:jc w:val="both"/>
        <w:rPr>
          <w:rFonts w:ascii="Arial" w:hAnsi="Arial" w:cs="Arial"/>
          <w:sz w:val="22"/>
          <w:szCs w:val="22"/>
        </w:rPr>
      </w:pPr>
      <w:r w:rsidRPr="00414A6D">
        <w:rPr>
          <w:rFonts w:ascii="Arial" w:hAnsi="Arial" w:cs="Arial"/>
          <w:sz w:val="22"/>
          <w:szCs w:val="22"/>
        </w:rPr>
        <w:t xml:space="preserve">a </w:t>
      </w:r>
      <w:r w:rsidR="00845D80" w:rsidRPr="00414A6D">
        <w:rPr>
          <w:rFonts w:ascii="Arial" w:hAnsi="Arial" w:cs="Arial"/>
          <w:sz w:val="22"/>
          <w:szCs w:val="22"/>
        </w:rPr>
        <w:t>d</w:t>
      </w:r>
      <w:r w:rsidR="00F77460" w:rsidRPr="00414A6D">
        <w:rPr>
          <w:rFonts w:ascii="Arial" w:hAnsi="Arial" w:cs="Arial"/>
          <w:sz w:val="22"/>
          <w:szCs w:val="22"/>
        </w:rPr>
        <w:t>iscussion of the</w:t>
      </w:r>
      <w:r w:rsidR="00680558" w:rsidRPr="00414A6D">
        <w:rPr>
          <w:rFonts w:ascii="Arial" w:hAnsi="Arial" w:cs="Arial"/>
          <w:sz w:val="22"/>
          <w:szCs w:val="22"/>
        </w:rPr>
        <w:t xml:space="preserve"> </w:t>
      </w:r>
      <w:r w:rsidR="00F77460" w:rsidRPr="00414A6D">
        <w:rPr>
          <w:rFonts w:ascii="Arial" w:hAnsi="Arial" w:cs="Arial"/>
          <w:sz w:val="22"/>
          <w:szCs w:val="22"/>
        </w:rPr>
        <w:t xml:space="preserve">complementary provision of </w:t>
      </w:r>
      <w:r w:rsidR="00680558" w:rsidRPr="00414A6D">
        <w:rPr>
          <w:rFonts w:ascii="Arial" w:hAnsi="Arial" w:cs="Arial"/>
          <w:sz w:val="22"/>
          <w:szCs w:val="22"/>
        </w:rPr>
        <w:t xml:space="preserve">data </w:t>
      </w:r>
      <w:r w:rsidR="00F77460" w:rsidRPr="00414A6D">
        <w:rPr>
          <w:rFonts w:ascii="Arial" w:hAnsi="Arial" w:cs="Arial"/>
          <w:sz w:val="22"/>
          <w:szCs w:val="22"/>
        </w:rPr>
        <w:t xml:space="preserve">and information </w:t>
      </w:r>
      <w:r w:rsidR="001D7F68" w:rsidRPr="00414A6D">
        <w:rPr>
          <w:rFonts w:ascii="Arial" w:hAnsi="Arial" w:cs="Arial"/>
          <w:sz w:val="22"/>
          <w:szCs w:val="22"/>
        </w:rPr>
        <w:t>to drive quality improvement</w:t>
      </w:r>
      <w:r w:rsidR="00343269" w:rsidRPr="00414A6D">
        <w:rPr>
          <w:rFonts w:ascii="Arial" w:hAnsi="Arial" w:cs="Arial"/>
          <w:sz w:val="22"/>
          <w:szCs w:val="22"/>
        </w:rPr>
        <w:t>;</w:t>
      </w:r>
      <w:r w:rsidR="00845D80" w:rsidRPr="00414A6D">
        <w:rPr>
          <w:rFonts w:ascii="Arial" w:hAnsi="Arial" w:cs="Arial"/>
          <w:sz w:val="22"/>
          <w:szCs w:val="22"/>
        </w:rPr>
        <w:t xml:space="preserve"> and</w:t>
      </w:r>
    </w:p>
    <w:p w14:paraId="73F43C9E" w14:textId="52BBA070" w:rsidR="001A4324" w:rsidRPr="00414A6D" w:rsidRDefault="00845D80" w:rsidP="007B1510">
      <w:pPr>
        <w:pStyle w:val="ListParagraph"/>
        <w:numPr>
          <w:ilvl w:val="0"/>
          <w:numId w:val="16"/>
        </w:numPr>
        <w:spacing w:before="120" w:after="120"/>
        <w:jc w:val="both"/>
        <w:rPr>
          <w:rFonts w:ascii="Arial" w:hAnsi="Arial" w:cs="Arial"/>
          <w:sz w:val="22"/>
          <w:szCs w:val="22"/>
        </w:rPr>
      </w:pPr>
      <w:proofErr w:type="gramStart"/>
      <w:r w:rsidRPr="00414A6D">
        <w:rPr>
          <w:rFonts w:ascii="Arial" w:hAnsi="Arial" w:cs="Arial"/>
          <w:sz w:val="22"/>
          <w:szCs w:val="22"/>
        </w:rPr>
        <w:t>a</w:t>
      </w:r>
      <w:proofErr w:type="gramEnd"/>
      <w:r w:rsidR="001A4324" w:rsidRPr="00414A6D">
        <w:rPr>
          <w:rFonts w:ascii="Arial" w:hAnsi="Arial" w:cs="Arial"/>
          <w:sz w:val="22"/>
          <w:szCs w:val="22"/>
        </w:rPr>
        <w:t xml:space="preserve"> series of recommendations for consideration by the </w:t>
      </w:r>
      <w:r w:rsidR="00B9771B">
        <w:rPr>
          <w:rFonts w:ascii="Arial" w:hAnsi="Arial" w:cs="Arial"/>
          <w:sz w:val="22"/>
          <w:szCs w:val="22"/>
        </w:rPr>
        <w:t xml:space="preserve">Commission </w:t>
      </w:r>
      <w:r w:rsidR="0049504C">
        <w:rPr>
          <w:rFonts w:ascii="Arial" w:hAnsi="Arial" w:cs="Arial"/>
          <w:sz w:val="22"/>
          <w:szCs w:val="22"/>
        </w:rPr>
        <w:t xml:space="preserve">Board </w:t>
      </w:r>
      <w:r w:rsidR="00B9771B">
        <w:rPr>
          <w:rFonts w:ascii="Arial" w:hAnsi="Arial" w:cs="Arial"/>
          <w:sz w:val="22"/>
          <w:szCs w:val="22"/>
        </w:rPr>
        <w:t xml:space="preserve">and </w:t>
      </w:r>
      <w:r w:rsidR="0049504C">
        <w:rPr>
          <w:rFonts w:ascii="Arial" w:hAnsi="Arial" w:cs="Arial"/>
          <w:sz w:val="22"/>
          <w:szCs w:val="22"/>
        </w:rPr>
        <w:t>the Pricing Authority</w:t>
      </w:r>
      <w:r w:rsidR="001A4324" w:rsidRPr="00414A6D">
        <w:rPr>
          <w:rFonts w:ascii="Arial" w:hAnsi="Arial" w:cs="Arial"/>
          <w:sz w:val="22"/>
          <w:szCs w:val="22"/>
        </w:rPr>
        <w:t>.</w:t>
      </w:r>
    </w:p>
    <w:p w14:paraId="7BC67613" w14:textId="77777777" w:rsidR="0012066A" w:rsidRPr="00414A6D" w:rsidRDefault="0012066A">
      <w:pPr>
        <w:rPr>
          <w:rFonts w:ascii="Arial" w:hAnsi="Arial" w:cs="Arial"/>
          <w:b/>
          <w:bCs/>
          <w:kern w:val="28"/>
          <w:sz w:val="28"/>
          <w:szCs w:val="21"/>
        </w:rPr>
      </w:pPr>
      <w:r w:rsidRPr="00414A6D">
        <w:rPr>
          <w:rFonts w:ascii="Arial" w:hAnsi="Arial" w:cs="Arial"/>
          <w:szCs w:val="21"/>
        </w:rPr>
        <w:br w:type="page"/>
      </w:r>
    </w:p>
    <w:p w14:paraId="07ACC0B3" w14:textId="77777777" w:rsidR="00C1677C" w:rsidRPr="00414A6D" w:rsidRDefault="00660CE0" w:rsidP="007B1510">
      <w:pPr>
        <w:pStyle w:val="Heading1"/>
        <w:numPr>
          <w:ilvl w:val="0"/>
          <w:numId w:val="14"/>
        </w:numPr>
        <w:ind w:left="426"/>
        <w:jc w:val="both"/>
        <w:rPr>
          <w:szCs w:val="21"/>
        </w:rPr>
      </w:pPr>
      <w:bookmarkStart w:id="3" w:name="_Toc426633798"/>
      <w:r w:rsidRPr="00414A6D">
        <w:rPr>
          <w:szCs w:val="21"/>
        </w:rPr>
        <w:lastRenderedPageBreak/>
        <w:t>Background</w:t>
      </w:r>
      <w:bookmarkEnd w:id="3"/>
    </w:p>
    <w:p w14:paraId="09694801" w14:textId="7E579B0C" w:rsidR="00191FCB" w:rsidRPr="004E5877" w:rsidRDefault="002F47AE" w:rsidP="00112D48">
      <w:pPr>
        <w:pStyle w:val="Heading2"/>
        <w:numPr>
          <w:ilvl w:val="0"/>
          <w:numId w:val="0"/>
        </w:numPr>
        <w:ind w:left="227"/>
        <w:rPr>
          <w:i w:val="0"/>
          <w:sz w:val="22"/>
          <w:szCs w:val="22"/>
        </w:rPr>
      </w:pPr>
      <w:bookmarkStart w:id="4" w:name="_Toc426633799"/>
      <w:r>
        <w:rPr>
          <w:i w:val="0"/>
          <w:sz w:val="22"/>
          <w:szCs w:val="22"/>
        </w:rPr>
        <w:t xml:space="preserve">2.1 </w:t>
      </w:r>
      <w:r w:rsidR="00B16893" w:rsidRPr="004E5877">
        <w:rPr>
          <w:i w:val="0"/>
          <w:sz w:val="22"/>
          <w:szCs w:val="22"/>
        </w:rPr>
        <w:t>Activity Based Funding</w:t>
      </w:r>
      <w:r w:rsidR="00191FCB" w:rsidRPr="004E5877">
        <w:rPr>
          <w:i w:val="0"/>
          <w:sz w:val="22"/>
          <w:szCs w:val="22"/>
        </w:rPr>
        <w:t xml:space="preserve"> </w:t>
      </w:r>
      <w:r w:rsidR="00FE2288" w:rsidRPr="004E5877">
        <w:rPr>
          <w:i w:val="0"/>
          <w:sz w:val="22"/>
          <w:szCs w:val="22"/>
        </w:rPr>
        <w:t>overview</w:t>
      </w:r>
      <w:bookmarkEnd w:id="4"/>
    </w:p>
    <w:p w14:paraId="26FC11F3" w14:textId="4F48B45B" w:rsidR="000455E1" w:rsidRPr="00414A6D" w:rsidRDefault="000455E1" w:rsidP="000455E1">
      <w:pPr>
        <w:spacing w:before="120" w:after="120"/>
        <w:jc w:val="both"/>
        <w:rPr>
          <w:rFonts w:ascii="Arial" w:hAnsi="Arial" w:cs="Arial"/>
          <w:sz w:val="22"/>
          <w:szCs w:val="22"/>
        </w:rPr>
      </w:pPr>
      <w:r w:rsidRPr="00414A6D">
        <w:rPr>
          <w:rFonts w:ascii="Arial" w:hAnsi="Arial" w:cs="Arial"/>
          <w:sz w:val="22"/>
          <w:szCs w:val="22"/>
        </w:rPr>
        <w:t xml:space="preserve">The majority of public hospital services in Australia are funded on the basis of activity through the introduction of </w:t>
      </w:r>
      <w:r w:rsidR="00FB6A9D" w:rsidRPr="00414A6D">
        <w:rPr>
          <w:rFonts w:ascii="Arial" w:hAnsi="Arial" w:cs="Arial"/>
          <w:sz w:val="22"/>
          <w:szCs w:val="22"/>
        </w:rPr>
        <w:t xml:space="preserve">a </w:t>
      </w:r>
      <w:r w:rsidRPr="00414A6D">
        <w:rPr>
          <w:rFonts w:ascii="Arial" w:hAnsi="Arial" w:cs="Arial"/>
          <w:sz w:val="22"/>
          <w:szCs w:val="22"/>
        </w:rPr>
        <w:t>national activity based funding (ABF)</w:t>
      </w:r>
      <w:r w:rsidR="00FB6A9D" w:rsidRPr="00414A6D">
        <w:rPr>
          <w:rFonts w:ascii="Arial" w:hAnsi="Arial" w:cs="Arial"/>
          <w:sz w:val="22"/>
          <w:szCs w:val="22"/>
        </w:rPr>
        <w:t xml:space="preserve"> system under the </w:t>
      </w:r>
      <w:r w:rsidR="00FB6A9D" w:rsidRPr="00D41ED6">
        <w:rPr>
          <w:rFonts w:ascii="Arial" w:hAnsi="Arial" w:cs="Arial"/>
          <w:i/>
          <w:sz w:val="22"/>
          <w:szCs w:val="22"/>
        </w:rPr>
        <w:t>National Health Reform Agreement</w:t>
      </w:r>
      <w:r w:rsidR="0049504C" w:rsidRPr="00D41ED6">
        <w:rPr>
          <w:rFonts w:ascii="Arial" w:hAnsi="Arial" w:cs="Arial"/>
          <w:i/>
          <w:sz w:val="22"/>
          <w:szCs w:val="22"/>
        </w:rPr>
        <w:t xml:space="preserve"> 2011</w:t>
      </w:r>
      <w:r w:rsidR="00FB6A9D" w:rsidRPr="00414A6D">
        <w:rPr>
          <w:rFonts w:ascii="Arial" w:hAnsi="Arial" w:cs="Arial"/>
          <w:sz w:val="22"/>
          <w:szCs w:val="22"/>
        </w:rPr>
        <w:t xml:space="preserve"> (NHRA). </w:t>
      </w:r>
      <w:r w:rsidRPr="00414A6D">
        <w:rPr>
          <w:rFonts w:ascii="Arial" w:hAnsi="Arial" w:cs="Arial"/>
          <w:sz w:val="22"/>
          <w:szCs w:val="22"/>
        </w:rPr>
        <w:t xml:space="preserve">The National Efficient Price (NEP) is the basis for the price paid for an ABF activity. The NEP is empirically derived based on activity and cost data from Australian </w:t>
      </w:r>
      <w:r w:rsidR="0049504C">
        <w:rPr>
          <w:rFonts w:ascii="Arial" w:hAnsi="Arial" w:cs="Arial"/>
          <w:sz w:val="22"/>
          <w:szCs w:val="22"/>
        </w:rPr>
        <w:t xml:space="preserve">public </w:t>
      </w:r>
      <w:r w:rsidRPr="00414A6D">
        <w:rPr>
          <w:rFonts w:ascii="Arial" w:hAnsi="Arial" w:cs="Arial"/>
          <w:sz w:val="22"/>
          <w:szCs w:val="22"/>
        </w:rPr>
        <w:t xml:space="preserve">hospitals.  </w:t>
      </w:r>
    </w:p>
    <w:p w14:paraId="2F496AF9" w14:textId="333BE6AB" w:rsidR="000455E1" w:rsidRPr="00414A6D" w:rsidRDefault="000455E1" w:rsidP="000455E1">
      <w:pPr>
        <w:spacing w:before="120" w:after="120"/>
        <w:jc w:val="both"/>
        <w:rPr>
          <w:rFonts w:ascii="Arial" w:hAnsi="Arial" w:cs="Arial"/>
          <w:sz w:val="22"/>
          <w:szCs w:val="22"/>
        </w:rPr>
      </w:pPr>
      <w:r w:rsidRPr="00414A6D">
        <w:rPr>
          <w:rFonts w:ascii="Arial" w:hAnsi="Arial" w:cs="Arial"/>
          <w:sz w:val="22"/>
          <w:szCs w:val="22"/>
        </w:rPr>
        <w:t xml:space="preserve">Every episode of care provided in Australian public hospitals has a price derived from applying a price weight to the NEP. This is modelled using activity and cost data from </w:t>
      </w:r>
      <w:r w:rsidR="00CC1BB0" w:rsidRPr="00414A6D">
        <w:rPr>
          <w:rFonts w:ascii="Arial" w:hAnsi="Arial" w:cs="Arial"/>
          <w:sz w:val="22"/>
          <w:szCs w:val="22"/>
        </w:rPr>
        <w:t xml:space="preserve">the majority of </w:t>
      </w:r>
      <w:r w:rsidRPr="00414A6D">
        <w:rPr>
          <w:rFonts w:ascii="Arial" w:hAnsi="Arial" w:cs="Arial"/>
          <w:sz w:val="22"/>
          <w:szCs w:val="22"/>
        </w:rPr>
        <w:t xml:space="preserve">Australian </w:t>
      </w:r>
      <w:r w:rsidR="0049504C">
        <w:rPr>
          <w:rFonts w:ascii="Arial" w:hAnsi="Arial" w:cs="Arial"/>
          <w:sz w:val="22"/>
          <w:szCs w:val="22"/>
        </w:rPr>
        <w:t xml:space="preserve">public </w:t>
      </w:r>
      <w:r w:rsidRPr="00414A6D">
        <w:rPr>
          <w:rFonts w:ascii="Arial" w:hAnsi="Arial" w:cs="Arial"/>
          <w:sz w:val="22"/>
          <w:szCs w:val="22"/>
        </w:rPr>
        <w:t xml:space="preserve">hospitals. This means that the price of a </w:t>
      </w:r>
      <w:r w:rsidR="00FE2288" w:rsidRPr="00414A6D">
        <w:rPr>
          <w:rFonts w:ascii="Arial" w:hAnsi="Arial" w:cs="Arial"/>
          <w:sz w:val="22"/>
          <w:szCs w:val="22"/>
        </w:rPr>
        <w:t xml:space="preserve">particular service </w:t>
      </w:r>
      <w:r w:rsidRPr="00414A6D">
        <w:rPr>
          <w:rFonts w:ascii="Arial" w:hAnsi="Arial" w:cs="Arial"/>
          <w:sz w:val="22"/>
          <w:szCs w:val="22"/>
        </w:rPr>
        <w:t>is constructed from the cost and case-mix data from hospitals.</w:t>
      </w:r>
    </w:p>
    <w:p w14:paraId="2E99A82D" w14:textId="77777777" w:rsidR="000455E1" w:rsidRPr="00414A6D" w:rsidRDefault="000455E1" w:rsidP="000455E1">
      <w:pPr>
        <w:spacing w:after="240"/>
        <w:jc w:val="both"/>
        <w:rPr>
          <w:rFonts w:ascii="Arial" w:hAnsi="Arial" w:cs="Arial"/>
          <w:sz w:val="22"/>
          <w:szCs w:val="22"/>
        </w:rPr>
      </w:pPr>
      <w:r w:rsidRPr="00414A6D">
        <w:rPr>
          <w:rFonts w:ascii="Arial" w:hAnsi="Arial" w:cs="Arial"/>
          <w:sz w:val="22"/>
          <w:szCs w:val="22"/>
        </w:rPr>
        <w:t>In the national ABF system, IHPA’s current pricing approach is based on the average cost at the patient level</w:t>
      </w:r>
      <w:r w:rsidR="00343269" w:rsidRPr="00414A6D">
        <w:rPr>
          <w:rFonts w:ascii="Arial" w:hAnsi="Arial" w:cs="Arial"/>
          <w:sz w:val="22"/>
          <w:szCs w:val="22"/>
        </w:rPr>
        <w:t>,</w:t>
      </w:r>
      <w:r w:rsidRPr="00414A6D">
        <w:rPr>
          <w:rFonts w:ascii="Arial" w:hAnsi="Arial" w:cs="Arial"/>
          <w:sz w:val="22"/>
          <w:szCs w:val="22"/>
        </w:rPr>
        <w:t xml:space="preserve"> and payments are </w:t>
      </w:r>
      <w:r w:rsidR="00FB6A9D" w:rsidRPr="00414A6D">
        <w:rPr>
          <w:rFonts w:ascii="Arial" w:hAnsi="Arial" w:cs="Arial"/>
          <w:sz w:val="22"/>
          <w:szCs w:val="22"/>
        </w:rPr>
        <w:t xml:space="preserve">made </w:t>
      </w:r>
      <w:r w:rsidRPr="00414A6D">
        <w:rPr>
          <w:rFonts w:ascii="Arial" w:hAnsi="Arial" w:cs="Arial"/>
          <w:sz w:val="22"/>
          <w:szCs w:val="22"/>
        </w:rPr>
        <w:t xml:space="preserve">with adjustments for certain factors (e.g. remoteness, Indigeneity). Hospitals receive separate payments across emergency, admitted acute, admitted subacute and non-admitted episodes of care. </w:t>
      </w:r>
    </w:p>
    <w:p w14:paraId="57D59865" w14:textId="1C0CFF45" w:rsidR="00343269" w:rsidRPr="00414A6D" w:rsidRDefault="00343269" w:rsidP="004C334B">
      <w:pPr>
        <w:spacing w:after="240"/>
        <w:jc w:val="both"/>
        <w:rPr>
          <w:rFonts w:ascii="Arial" w:hAnsi="Arial" w:cs="Arial"/>
          <w:sz w:val="22"/>
          <w:szCs w:val="22"/>
        </w:rPr>
      </w:pPr>
      <w:r w:rsidRPr="00414A6D">
        <w:rPr>
          <w:rFonts w:ascii="Arial" w:hAnsi="Arial" w:cs="Arial"/>
          <w:sz w:val="22"/>
          <w:szCs w:val="22"/>
        </w:rPr>
        <w:t xml:space="preserve">The National Weighted Activity Unit (NWAU) is the unit of measure of activity for the national ABF system. The NWAU is weighted by complexity, so an admission which is more complex and costly attracts a higher NWAU than an admission that is less complex and less expensive. The NEP is the price for a single NWAU. The NWAU is multiplied by the NEP to calculate the total efficient price of a </w:t>
      </w:r>
      <w:r w:rsidR="0049504C">
        <w:rPr>
          <w:rFonts w:ascii="Arial" w:hAnsi="Arial" w:cs="Arial"/>
          <w:sz w:val="22"/>
          <w:szCs w:val="22"/>
        </w:rPr>
        <w:t xml:space="preserve">public </w:t>
      </w:r>
      <w:r w:rsidRPr="00414A6D">
        <w:rPr>
          <w:rFonts w:ascii="Arial" w:hAnsi="Arial" w:cs="Arial"/>
          <w:sz w:val="22"/>
          <w:szCs w:val="22"/>
        </w:rPr>
        <w:t>hospital service.</w:t>
      </w:r>
    </w:p>
    <w:p w14:paraId="3844308F" w14:textId="67A530DD" w:rsidR="000455E1" w:rsidRPr="00414A6D" w:rsidRDefault="00393A14" w:rsidP="00CC1BB0">
      <w:pPr>
        <w:spacing w:after="240"/>
        <w:jc w:val="both"/>
        <w:rPr>
          <w:rFonts w:ascii="Arial" w:hAnsi="Arial" w:cs="Arial"/>
          <w:sz w:val="22"/>
          <w:szCs w:val="22"/>
        </w:rPr>
      </w:pPr>
      <w:r w:rsidRPr="00414A6D">
        <w:rPr>
          <w:rFonts w:ascii="Arial" w:hAnsi="Arial" w:cs="Arial"/>
          <w:sz w:val="22"/>
          <w:szCs w:val="22"/>
        </w:rPr>
        <w:t xml:space="preserve">For example, in Australia there are approximately 21,000 hip fracture </w:t>
      </w:r>
      <w:r w:rsidR="00A654A1" w:rsidRPr="00414A6D">
        <w:rPr>
          <w:rFonts w:ascii="Arial" w:hAnsi="Arial" w:cs="Arial"/>
          <w:sz w:val="22"/>
          <w:szCs w:val="22"/>
        </w:rPr>
        <w:t>separation</w:t>
      </w:r>
      <w:r w:rsidRPr="00414A6D">
        <w:rPr>
          <w:rFonts w:ascii="Arial" w:hAnsi="Arial" w:cs="Arial"/>
          <w:sz w:val="22"/>
          <w:szCs w:val="22"/>
        </w:rPr>
        <w:t xml:space="preserve">s per annum at a cost of just under $350 million to the health care system. Based on the 2015-16 NEP ($4,971) if one of these </w:t>
      </w:r>
      <w:r w:rsidR="00666138" w:rsidRPr="00414A6D">
        <w:rPr>
          <w:rFonts w:ascii="Arial" w:hAnsi="Arial" w:cs="Arial"/>
          <w:sz w:val="22"/>
          <w:szCs w:val="22"/>
        </w:rPr>
        <w:t xml:space="preserve">hip fracture </w:t>
      </w:r>
      <w:r w:rsidRPr="00414A6D">
        <w:rPr>
          <w:rFonts w:ascii="Arial" w:hAnsi="Arial" w:cs="Arial"/>
          <w:sz w:val="22"/>
          <w:szCs w:val="22"/>
        </w:rPr>
        <w:t xml:space="preserve">patients presented to hospital and was assigned to one of the hip fracture </w:t>
      </w:r>
      <w:r w:rsidRPr="00760CF6">
        <w:rPr>
          <w:rFonts w:ascii="Arial" w:hAnsi="Arial" w:cs="Arial"/>
          <w:sz w:val="22"/>
          <w:szCs w:val="22"/>
        </w:rPr>
        <w:t>Australian Refined Diagnosis Related Groups</w:t>
      </w:r>
      <w:r w:rsidRPr="00760CF6">
        <w:rPr>
          <w:rFonts w:ascii="Arial" w:hAnsi="Arial" w:cs="Arial"/>
          <w:sz w:val="22"/>
          <w:szCs w:val="22"/>
          <w:vertAlign w:val="superscript"/>
        </w:rPr>
        <w:footnoteReference w:id="2"/>
      </w:r>
      <w:r w:rsidRPr="00760CF6">
        <w:rPr>
          <w:rFonts w:ascii="Arial" w:hAnsi="Arial" w:cs="Arial"/>
          <w:sz w:val="22"/>
          <w:szCs w:val="22"/>
        </w:rPr>
        <w:t xml:space="preserve"> </w:t>
      </w:r>
      <w:r w:rsidR="00760CF6" w:rsidRPr="00760CF6">
        <w:rPr>
          <w:rFonts w:ascii="Arial" w:hAnsi="Arial" w:cs="Arial"/>
          <w:sz w:val="22"/>
          <w:szCs w:val="22"/>
        </w:rPr>
        <w:t>(AR</w:t>
      </w:r>
      <w:r w:rsidR="00760CF6" w:rsidRPr="00414A6D">
        <w:rPr>
          <w:rFonts w:ascii="Arial" w:hAnsi="Arial" w:cs="Arial"/>
          <w:sz w:val="22"/>
          <w:szCs w:val="22"/>
        </w:rPr>
        <w:t>-DR</w:t>
      </w:r>
      <w:r w:rsidR="00760CF6" w:rsidRPr="00414A6D">
        <w:rPr>
          <w:rFonts w:ascii="Arial" w:hAnsi="Arial" w:cs="Arial"/>
          <w:sz w:val="22"/>
          <w:szCs w:val="22"/>
        </w:rPr>
        <w:softHyphen/>
        <w:t>Gs</w:t>
      </w:r>
      <w:r w:rsidR="00760CF6">
        <w:rPr>
          <w:rFonts w:ascii="Arial" w:hAnsi="Arial" w:cs="Arial"/>
          <w:sz w:val="22"/>
          <w:szCs w:val="22"/>
        </w:rPr>
        <w:t xml:space="preserve">) </w:t>
      </w:r>
      <w:r w:rsidR="00666138" w:rsidRPr="00414A6D">
        <w:rPr>
          <w:rFonts w:ascii="Arial" w:hAnsi="Arial" w:cs="Arial"/>
          <w:sz w:val="22"/>
          <w:szCs w:val="22"/>
        </w:rPr>
        <w:t>this episode would have a weight of 3.0929 NWAUs and be priced at $15,375.</w:t>
      </w:r>
    </w:p>
    <w:p w14:paraId="033E25E8" w14:textId="01E410DA" w:rsidR="002F47AE" w:rsidRPr="002F47AE" w:rsidRDefault="002F47AE" w:rsidP="00112D48">
      <w:pPr>
        <w:pStyle w:val="Heading2"/>
        <w:numPr>
          <w:ilvl w:val="0"/>
          <w:numId w:val="0"/>
        </w:numPr>
        <w:ind w:left="227"/>
        <w:rPr>
          <w:i w:val="0"/>
          <w:sz w:val="22"/>
          <w:szCs w:val="22"/>
        </w:rPr>
      </w:pPr>
      <w:bookmarkStart w:id="5" w:name="_Toc426633800"/>
      <w:r>
        <w:rPr>
          <w:i w:val="0"/>
          <w:sz w:val="22"/>
          <w:szCs w:val="22"/>
        </w:rPr>
        <w:t xml:space="preserve">2.2 </w:t>
      </w:r>
      <w:r w:rsidR="00071634" w:rsidRPr="002F47AE">
        <w:rPr>
          <w:i w:val="0"/>
          <w:sz w:val="22"/>
          <w:szCs w:val="22"/>
        </w:rPr>
        <w:t>Joint Working Party between IHPA and the Commission</w:t>
      </w:r>
      <w:bookmarkEnd w:id="5"/>
      <w:r w:rsidRPr="002F47AE">
        <w:rPr>
          <w:i w:val="0"/>
          <w:sz w:val="22"/>
          <w:szCs w:val="22"/>
        </w:rPr>
        <w:t xml:space="preserve"> </w:t>
      </w:r>
    </w:p>
    <w:p w14:paraId="630E4773" w14:textId="77777777" w:rsidR="00AA7CCF" w:rsidRPr="00414A6D" w:rsidRDefault="00191FCB" w:rsidP="00D147A4">
      <w:pPr>
        <w:spacing w:before="120" w:after="120"/>
        <w:jc w:val="both"/>
        <w:rPr>
          <w:rFonts w:ascii="Arial" w:hAnsi="Arial" w:cs="Arial"/>
          <w:sz w:val="22"/>
          <w:szCs w:val="22"/>
        </w:rPr>
      </w:pPr>
      <w:r w:rsidRPr="00414A6D">
        <w:rPr>
          <w:rFonts w:ascii="Arial" w:hAnsi="Arial" w:cs="Arial"/>
          <w:sz w:val="22"/>
          <w:szCs w:val="22"/>
        </w:rPr>
        <w:t xml:space="preserve">Since 2012, the Commission and </w:t>
      </w:r>
      <w:r w:rsidR="00F77460" w:rsidRPr="00414A6D">
        <w:rPr>
          <w:rFonts w:ascii="Arial" w:hAnsi="Arial" w:cs="Arial"/>
          <w:sz w:val="22"/>
          <w:szCs w:val="22"/>
        </w:rPr>
        <w:t>I</w:t>
      </w:r>
      <w:r w:rsidRPr="00414A6D">
        <w:rPr>
          <w:rFonts w:ascii="Arial" w:hAnsi="Arial" w:cs="Arial"/>
          <w:sz w:val="22"/>
          <w:szCs w:val="22"/>
        </w:rPr>
        <w:t>HPA have examin</w:t>
      </w:r>
      <w:r w:rsidR="00D44D97" w:rsidRPr="00414A6D">
        <w:rPr>
          <w:rFonts w:ascii="Arial" w:hAnsi="Arial" w:cs="Arial"/>
          <w:sz w:val="22"/>
          <w:szCs w:val="22"/>
        </w:rPr>
        <w:t>ed</w:t>
      </w:r>
      <w:r w:rsidRPr="00414A6D">
        <w:rPr>
          <w:rFonts w:ascii="Arial" w:hAnsi="Arial" w:cs="Arial"/>
          <w:sz w:val="22"/>
          <w:szCs w:val="22"/>
        </w:rPr>
        <w:t xml:space="preserve"> </w:t>
      </w:r>
      <w:r w:rsidR="00F77460" w:rsidRPr="00414A6D">
        <w:rPr>
          <w:rFonts w:ascii="Arial" w:hAnsi="Arial" w:cs="Arial"/>
          <w:sz w:val="22"/>
          <w:szCs w:val="22"/>
        </w:rPr>
        <w:t>potential</w:t>
      </w:r>
      <w:r w:rsidRPr="00414A6D">
        <w:rPr>
          <w:rFonts w:ascii="Arial" w:hAnsi="Arial" w:cs="Arial"/>
          <w:sz w:val="22"/>
          <w:szCs w:val="22"/>
        </w:rPr>
        <w:t xml:space="preserve"> options to incorporate safety and quality into national pricing of Australian public hospital services. </w:t>
      </w:r>
      <w:r w:rsidR="00F77460" w:rsidRPr="00414A6D">
        <w:rPr>
          <w:rFonts w:ascii="Arial" w:hAnsi="Arial" w:cs="Arial"/>
          <w:sz w:val="22"/>
          <w:szCs w:val="22"/>
        </w:rPr>
        <w:t>The</w:t>
      </w:r>
      <w:r w:rsidR="00727DD1" w:rsidRPr="00414A6D">
        <w:rPr>
          <w:rFonts w:ascii="Arial" w:hAnsi="Arial" w:cs="Arial"/>
          <w:sz w:val="22"/>
          <w:szCs w:val="22"/>
        </w:rPr>
        <w:t xml:space="preserve"> </w:t>
      </w:r>
      <w:r w:rsidR="003A2414" w:rsidRPr="00414A6D">
        <w:rPr>
          <w:rFonts w:ascii="Arial" w:hAnsi="Arial" w:cs="Arial"/>
          <w:sz w:val="22"/>
          <w:szCs w:val="22"/>
        </w:rPr>
        <w:t>JWP was established</w:t>
      </w:r>
      <w:r w:rsidR="00660CE0" w:rsidRPr="00414A6D">
        <w:rPr>
          <w:rFonts w:ascii="Arial" w:hAnsi="Arial" w:cs="Arial"/>
          <w:sz w:val="22"/>
          <w:szCs w:val="22"/>
        </w:rPr>
        <w:t xml:space="preserve"> </w:t>
      </w:r>
      <w:r w:rsidR="0019564E" w:rsidRPr="00414A6D">
        <w:rPr>
          <w:rFonts w:ascii="Arial" w:hAnsi="Arial" w:cs="Arial"/>
          <w:sz w:val="22"/>
          <w:szCs w:val="22"/>
        </w:rPr>
        <w:t>to</w:t>
      </w:r>
      <w:r w:rsidR="003A2414" w:rsidRPr="00414A6D">
        <w:rPr>
          <w:rFonts w:ascii="Arial" w:hAnsi="Arial" w:cs="Arial"/>
          <w:sz w:val="22"/>
          <w:szCs w:val="22"/>
        </w:rPr>
        <w:t xml:space="preserve"> advise the </w:t>
      </w:r>
      <w:r w:rsidR="00F77460" w:rsidRPr="00414A6D">
        <w:rPr>
          <w:rFonts w:ascii="Arial" w:hAnsi="Arial" w:cs="Arial"/>
          <w:sz w:val="22"/>
          <w:szCs w:val="22"/>
        </w:rPr>
        <w:t>two agencies</w:t>
      </w:r>
      <w:r w:rsidR="003A2414" w:rsidRPr="00414A6D">
        <w:rPr>
          <w:rFonts w:ascii="Arial" w:hAnsi="Arial" w:cs="Arial"/>
          <w:sz w:val="22"/>
          <w:szCs w:val="22"/>
        </w:rPr>
        <w:t xml:space="preserve"> on</w:t>
      </w:r>
      <w:r w:rsidR="003A67F4" w:rsidRPr="00414A6D">
        <w:rPr>
          <w:rFonts w:ascii="Arial" w:hAnsi="Arial" w:cs="Arial"/>
          <w:sz w:val="22"/>
          <w:szCs w:val="22"/>
        </w:rPr>
        <w:t xml:space="preserve"> </w:t>
      </w:r>
      <w:r w:rsidR="00D44D97" w:rsidRPr="00414A6D">
        <w:rPr>
          <w:rFonts w:ascii="Arial" w:hAnsi="Arial" w:cs="Arial"/>
          <w:sz w:val="22"/>
          <w:szCs w:val="22"/>
        </w:rPr>
        <w:t>this work</w:t>
      </w:r>
      <w:r w:rsidR="003A67F4" w:rsidRPr="00414A6D">
        <w:rPr>
          <w:rFonts w:ascii="Arial" w:hAnsi="Arial" w:cs="Arial"/>
          <w:sz w:val="22"/>
          <w:szCs w:val="22"/>
        </w:rPr>
        <w:t>.</w:t>
      </w:r>
    </w:p>
    <w:p w14:paraId="35D7E783" w14:textId="0306D56A" w:rsidR="00982CFC" w:rsidRPr="00414A6D" w:rsidRDefault="006127A4" w:rsidP="00D147A4">
      <w:pPr>
        <w:spacing w:before="20" w:after="60"/>
        <w:ind w:right="-85"/>
        <w:jc w:val="both"/>
        <w:rPr>
          <w:rFonts w:ascii="Arial" w:hAnsi="Arial" w:cs="Arial"/>
          <w:sz w:val="22"/>
          <w:szCs w:val="22"/>
        </w:rPr>
      </w:pPr>
      <w:r w:rsidRPr="00414A6D">
        <w:rPr>
          <w:rFonts w:ascii="Arial" w:hAnsi="Arial" w:cs="Arial"/>
          <w:sz w:val="22"/>
          <w:szCs w:val="22"/>
        </w:rPr>
        <w:t>The e</w:t>
      </w:r>
      <w:r w:rsidR="00F77460" w:rsidRPr="00414A6D">
        <w:rPr>
          <w:rFonts w:ascii="Arial" w:hAnsi="Arial" w:cs="Arial"/>
          <w:sz w:val="22"/>
          <w:szCs w:val="22"/>
        </w:rPr>
        <w:t xml:space="preserve">vidence </w:t>
      </w:r>
      <w:r w:rsidRPr="00414A6D">
        <w:rPr>
          <w:rFonts w:ascii="Arial" w:hAnsi="Arial" w:cs="Arial"/>
          <w:sz w:val="22"/>
          <w:szCs w:val="22"/>
        </w:rPr>
        <w:t>examined by the JWP indicate</w:t>
      </w:r>
      <w:r w:rsidR="003D7CCF" w:rsidRPr="00414A6D">
        <w:rPr>
          <w:rFonts w:ascii="Arial" w:hAnsi="Arial" w:cs="Arial"/>
          <w:sz w:val="22"/>
          <w:szCs w:val="22"/>
        </w:rPr>
        <w:t>d</w:t>
      </w:r>
      <w:r w:rsidRPr="00414A6D">
        <w:rPr>
          <w:rFonts w:ascii="Arial" w:hAnsi="Arial" w:cs="Arial"/>
          <w:sz w:val="22"/>
          <w:szCs w:val="22"/>
        </w:rPr>
        <w:t xml:space="preserve"> that quality of care in </w:t>
      </w:r>
      <w:r w:rsidR="007C25BD" w:rsidRPr="00414A6D">
        <w:rPr>
          <w:rFonts w:ascii="Arial" w:hAnsi="Arial" w:cs="Arial"/>
          <w:sz w:val="22"/>
          <w:szCs w:val="22"/>
        </w:rPr>
        <w:t xml:space="preserve">the hospital setting </w:t>
      </w:r>
      <w:r w:rsidRPr="00414A6D">
        <w:rPr>
          <w:rFonts w:ascii="Arial" w:hAnsi="Arial" w:cs="Arial"/>
          <w:sz w:val="22"/>
          <w:szCs w:val="22"/>
        </w:rPr>
        <w:t xml:space="preserve">is best </w:t>
      </w:r>
      <w:r w:rsidR="007C25BD" w:rsidRPr="00414A6D">
        <w:rPr>
          <w:rFonts w:ascii="Arial" w:hAnsi="Arial" w:cs="Arial"/>
          <w:sz w:val="22"/>
          <w:szCs w:val="22"/>
        </w:rPr>
        <w:t>influenced</w:t>
      </w:r>
      <w:r w:rsidRPr="00414A6D">
        <w:rPr>
          <w:rFonts w:ascii="Arial" w:hAnsi="Arial" w:cs="Arial"/>
          <w:sz w:val="22"/>
          <w:szCs w:val="22"/>
        </w:rPr>
        <w:t xml:space="preserve"> by the systematic </w:t>
      </w:r>
      <w:r w:rsidR="007C25BD" w:rsidRPr="00414A6D">
        <w:rPr>
          <w:rFonts w:ascii="Arial" w:hAnsi="Arial" w:cs="Arial"/>
          <w:sz w:val="22"/>
          <w:szCs w:val="22"/>
        </w:rPr>
        <w:t xml:space="preserve">and timely </w:t>
      </w:r>
      <w:r w:rsidRPr="00414A6D">
        <w:rPr>
          <w:rFonts w:ascii="Arial" w:hAnsi="Arial" w:cs="Arial"/>
          <w:sz w:val="22"/>
          <w:szCs w:val="22"/>
        </w:rPr>
        <w:t xml:space="preserve">provision of </w:t>
      </w:r>
      <w:r w:rsidR="00990ED3" w:rsidRPr="00414A6D">
        <w:rPr>
          <w:rFonts w:ascii="Arial" w:hAnsi="Arial" w:cs="Arial"/>
          <w:sz w:val="22"/>
          <w:szCs w:val="22"/>
        </w:rPr>
        <w:t>information</w:t>
      </w:r>
      <w:r w:rsidR="007C25BD" w:rsidRPr="00414A6D">
        <w:rPr>
          <w:rFonts w:ascii="Arial" w:hAnsi="Arial" w:cs="Arial"/>
          <w:sz w:val="22"/>
          <w:szCs w:val="22"/>
        </w:rPr>
        <w:t xml:space="preserve"> to clinical teams on quality and performance</w:t>
      </w:r>
      <w:r w:rsidR="00990ED3" w:rsidRPr="00414A6D">
        <w:rPr>
          <w:rFonts w:ascii="Arial" w:hAnsi="Arial" w:cs="Arial"/>
          <w:sz w:val="22"/>
          <w:szCs w:val="22"/>
        </w:rPr>
        <w:t xml:space="preserve">. </w:t>
      </w:r>
      <w:r w:rsidR="00F77460" w:rsidRPr="00414A6D">
        <w:rPr>
          <w:rFonts w:ascii="Arial" w:hAnsi="Arial" w:cs="Arial"/>
          <w:sz w:val="22"/>
          <w:szCs w:val="22"/>
        </w:rPr>
        <w:t xml:space="preserve">This led to the </w:t>
      </w:r>
      <w:r w:rsidR="007C25BD" w:rsidRPr="00414A6D">
        <w:rPr>
          <w:rFonts w:ascii="Arial" w:hAnsi="Arial" w:cs="Arial"/>
          <w:sz w:val="22"/>
          <w:szCs w:val="22"/>
        </w:rPr>
        <w:t xml:space="preserve">JWP </w:t>
      </w:r>
      <w:r w:rsidR="00F77460" w:rsidRPr="00414A6D">
        <w:rPr>
          <w:rFonts w:ascii="Arial" w:hAnsi="Arial" w:cs="Arial"/>
          <w:sz w:val="22"/>
          <w:szCs w:val="22"/>
        </w:rPr>
        <w:t>establishing</w:t>
      </w:r>
      <w:r w:rsidR="007C25BD" w:rsidRPr="00414A6D">
        <w:rPr>
          <w:rFonts w:ascii="Arial" w:hAnsi="Arial" w:cs="Arial"/>
          <w:sz w:val="22"/>
          <w:szCs w:val="22"/>
        </w:rPr>
        <w:t xml:space="preserve"> a Clinical Reference Group to develop and pilot a national set of high priority hospital complications and explore how information</w:t>
      </w:r>
      <w:r w:rsidR="00FB6A9D" w:rsidRPr="00414A6D">
        <w:rPr>
          <w:rFonts w:ascii="Arial" w:hAnsi="Arial" w:cs="Arial"/>
          <w:sz w:val="22"/>
          <w:szCs w:val="22"/>
        </w:rPr>
        <w:t xml:space="preserve"> </w:t>
      </w:r>
      <w:r w:rsidR="007C25BD" w:rsidRPr="00414A6D">
        <w:rPr>
          <w:rFonts w:ascii="Arial" w:hAnsi="Arial" w:cs="Arial"/>
          <w:sz w:val="22"/>
          <w:szCs w:val="22"/>
        </w:rPr>
        <w:t xml:space="preserve">can be provided to clinical teams in the hospital environment to improve safety and quality. </w:t>
      </w:r>
      <w:r w:rsidR="007D4E9C" w:rsidRPr="00414A6D">
        <w:rPr>
          <w:rFonts w:ascii="Arial" w:hAnsi="Arial" w:cs="Arial"/>
          <w:sz w:val="22"/>
          <w:szCs w:val="22"/>
        </w:rPr>
        <w:t>Alo</w:t>
      </w:r>
      <w:r w:rsidR="00E50034" w:rsidRPr="00414A6D">
        <w:rPr>
          <w:rFonts w:ascii="Arial" w:hAnsi="Arial" w:cs="Arial"/>
          <w:sz w:val="22"/>
          <w:szCs w:val="22"/>
        </w:rPr>
        <w:t>n</w:t>
      </w:r>
      <w:r w:rsidR="007D4E9C" w:rsidRPr="00414A6D">
        <w:rPr>
          <w:rFonts w:ascii="Arial" w:hAnsi="Arial" w:cs="Arial"/>
          <w:sz w:val="22"/>
          <w:szCs w:val="22"/>
        </w:rPr>
        <w:t xml:space="preserve">g with commissioning other work, the </w:t>
      </w:r>
      <w:r w:rsidR="00982CFC" w:rsidRPr="00414A6D">
        <w:rPr>
          <w:rFonts w:ascii="Arial" w:hAnsi="Arial" w:cs="Arial"/>
          <w:sz w:val="22"/>
          <w:szCs w:val="22"/>
        </w:rPr>
        <w:t>JWP established the Sub-Committee to address issues in relation to best</w:t>
      </w:r>
      <w:r w:rsidR="00982CFC" w:rsidRPr="00414A6D">
        <w:rPr>
          <w:rFonts w:ascii="Arial" w:hAnsi="Arial" w:cs="Arial"/>
          <w:sz w:val="22"/>
          <w:szCs w:val="22"/>
        </w:rPr>
        <w:noBreakHyphen/>
        <w:t>practice pricing schemes supported by evidence, with a particular focus on hip fracture. The intention was that this work would be informed by best-practice pricing principles, domestic and international experiences, work of the Clinical Reference Group and work by the Commission t</w:t>
      </w:r>
      <w:r w:rsidR="0032004F" w:rsidRPr="00414A6D">
        <w:rPr>
          <w:rFonts w:ascii="Arial" w:hAnsi="Arial" w:cs="Arial"/>
          <w:sz w:val="22"/>
          <w:szCs w:val="22"/>
        </w:rPr>
        <w:t>o</w:t>
      </w:r>
      <w:r w:rsidR="00982CFC" w:rsidRPr="00414A6D">
        <w:rPr>
          <w:rFonts w:ascii="Arial" w:hAnsi="Arial" w:cs="Arial"/>
          <w:sz w:val="22"/>
          <w:szCs w:val="22"/>
        </w:rPr>
        <w:t xml:space="preserve"> develop a </w:t>
      </w:r>
      <w:r w:rsidR="00982CFC" w:rsidRPr="00414A6D">
        <w:rPr>
          <w:rStyle w:val="IntenseReference"/>
          <w:rFonts w:ascii="Arial" w:hAnsi="Arial" w:cs="Arial"/>
          <w:b w:val="0"/>
          <w:bCs w:val="0"/>
          <w:i w:val="0"/>
          <w:smallCaps w:val="0"/>
          <w:color w:val="auto"/>
          <w:spacing w:val="0"/>
          <w:sz w:val="22"/>
          <w:szCs w:val="22"/>
        </w:rPr>
        <w:t>Hip Fracture Care Clinical Care Standard</w:t>
      </w:r>
      <w:r w:rsidR="009E5117">
        <w:rPr>
          <w:rStyle w:val="IntenseReference"/>
          <w:rFonts w:ascii="Arial" w:hAnsi="Arial" w:cs="Arial"/>
          <w:b w:val="0"/>
          <w:bCs w:val="0"/>
          <w:i w:val="0"/>
          <w:smallCaps w:val="0"/>
          <w:color w:val="auto"/>
          <w:spacing w:val="0"/>
          <w:sz w:val="22"/>
          <w:szCs w:val="22"/>
        </w:rPr>
        <w:t xml:space="preserve"> (CCS)</w:t>
      </w:r>
      <w:r w:rsidR="00982CFC" w:rsidRPr="00414A6D">
        <w:rPr>
          <w:rFonts w:ascii="Arial" w:hAnsi="Arial" w:cs="Arial"/>
          <w:sz w:val="22"/>
          <w:szCs w:val="22"/>
        </w:rPr>
        <w:t>. This document is the final report from the Sub-Committee</w:t>
      </w:r>
      <w:r w:rsidR="00B9771B">
        <w:rPr>
          <w:rFonts w:ascii="Arial" w:hAnsi="Arial" w:cs="Arial"/>
          <w:sz w:val="22"/>
          <w:szCs w:val="22"/>
        </w:rPr>
        <w:t xml:space="preserve"> which was endorsed by the JWP on 29 June 2015</w:t>
      </w:r>
      <w:r w:rsidR="00982CFC" w:rsidRPr="00414A6D">
        <w:rPr>
          <w:rFonts w:ascii="Arial" w:hAnsi="Arial" w:cs="Arial"/>
          <w:sz w:val="22"/>
          <w:szCs w:val="22"/>
        </w:rPr>
        <w:t xml:space="preserve">. </w:t>
      </w:r>
    </w:p>
    <w:p w14:paraId="36D9532C" w14:textId="2DE2C84D" w:rsidR="000344E3" w:rsidRPr="00792DEF" w:rsidRDefault="002F47AE" w:rsidP="00112D48">
      <w:pPr>
        <w:pStyle w:val="Heading2"/>
        <w:numPr>
          <w:ilvl w:val="0"/>
          <w:numId w:val="0"/>
        </w:numPr>
        <w:ind w:left="227"/>
        <w:jc w:val="both"/>
        <w:rPr>
          <w:i w:val="0"/>
          <w:sz w:val="22"/>
        </w:rPr>
      </w:pPr>
      <w:bookmarkStart w:id="6" w:name="_Toc426633801"/>
      <w:r>
        <w:rPr>
          <w:i w:val="0"/>
          <w:sz w:val="22"/>
        </w:rPr>
        <w:lastRenderedPageBreak/>
        <w:t xml:space="preserve">2.3 </w:t>
      </w:r>
      <w:r w:rsidR="00346B84" w:rsidRPr="00792DEF">
        <w:rPr>
          <w:i w:val="0"/>
          <w:sz w:val="22"/>
        </w:rPr>
        <w:t>Best-practice</w:t>
      </w:r>
      <w:r w:rsidR="00FC2F35" w:rsidRPr="00792DEF">
        <w:rPr>
          <w:i w:val="0"/>
          <w:sz w:val="22"/>
        </w:rPr>
        <w:t xml:space="preserve"> p</w:t>
      </w:r>
      <w:r w:rsidR="005C5DE4" w:rsidRPr="00792DEF">
        <w:rPr>
          <w:i w:val="0"/>
          <w:sz w:val="22"/>
        </w:rPr>
        <w:t>ricing</w:t>
      </w:r>
      <w:r w:rsidR="00C12446" w:rsidRPr="00792DEF">
        <w:rPr>
          <w:i w:val="0"/>
          <w:sz w:val="22"/>
        </w:rPr>
        <w:t xml:space="preserve"> </w:t>
      </w:r>
      <w:r w:rsidR="00FC2F35" w:rsidRPr="00792DEF">
        <w:rPr>
          <w:i w:val="0"/>
          <w:sz w:val="22"/>
        </w:rPr>
        <w:t>principles</w:t>
      </w:r>
      <w:bookmarkEnd w:id="6"/>
    </w:p>
    <w:p w14:paraId="4A589CDF" w14:textId="6372A4E2" w:rsidR="0007452F" w:rsidRPr="00414A6D" w:rsidRDefault="00346B84" w:rsidP="00D147A4">
      <w:pPr>
        <w:spacing w:before="20" w:after="60"/>
        <w:ind w:right="-85"/>
        <w:jc w:val="both"/>
        <w:rPr>
          <w:rFonts w:ascii="Arial" w:hAnsi="Arial" w:cs="Arial"/>
          <w:sz w:val="22"/>
          <w:szCs w:val="22"/>
        </w:rPr>
      </w:pPr>
      <w:r w:rsidRPr="00414A6D">
        <w:rPr>
          <w:rFonts w:ascii="Arial" w:hAnsi="Arial" w:cs="Arial"/>
          <w:sz w:val="22"/>
          <w:szCs w:val="22"/>
        </w:rPr>
        <w:t>Best-practice</w:t>
      </w:r>
      <w:r w:rsidR="00A658E5" w:rsidRPr="00414A6D">
        <w:rPr>
          <w:rFonts w:ascii="Arial" w:hAnsi="Arial" w:cs="Arial"/>
          <w:sz w:val="22"/>
          <w:szCs w:val="22"/>
        </w:rPr>
        <w:t xml:space="preserve"> is commonly </w:t>
      </w:r>
      <w:r w:rsidR="000C7176" w:rsidRPr="00414A6D">
        <w:rPr>
          <w:rFonts w:ascii="Arial" w:hAnsi="Arial" w:cs="Arial"/>
          <w:sz w:val="22"/>
          <w:szCs w:val="22"/>
        </w:rPr>
        <w:t>specified</w:t>
      </w:r>
      <w:r w:rsidR="00A658E5" w:rsidRPr="00414A6D">
        <w:rPr>
          <w:rFonts w:ascii="Arial" w:hAnsi="Arial" w:cs="Arial"/>
          <w:sz w:val="22"/>
          <w:szCs w:val="22"/>
        </w:rPr>
        <w:t xml:space="preserve"> through </w:t>
      </w:r>
      <w:r w:rsidR="000C7176" w:rsidRPr="00414A6D">
        <w:rPr>
          <w:rFonts w:ascii="Arial" w:hAnsi="Arial" w:cs="Arial"/>
          <w:sz w:val="22"/>
          <w:szCs w:val="22"/>
        </w:rPr>
        <w:t xml:space="preserve">clinical </w:t>
      </w:r>
      <w:r w:rsidR="00A658E5" w:rsidRPr="00414A6D">
        <w:rPr>
          <w:rFonts w:ascii="Arial" w:hAnsi="Arial" w:cs="Arial"/>
          <w:sz w:val="22"/>
          <w:szCs w:val="22"/>
        </w:rPr>
        <w:t>standards</w:t>
      </w:r>
      <w:r w:rsidR="000C7176" w:rsidRPr="00414A6D">
        <w:rPr>
          <w:rFonts w:ascii="Arial" w:hAnsi="Arial" w:cs="Arial"/>
          <w:sz w:val="22"/>
          <w:szCs w:val="22"/>
        </w:rPr>
        <w:t>,</w:t>
      </w:r>
      <w:r w:rsidR="00A658E5" w:rsidRPr="00414A6D">
        <w:rPr>
          <w:rFonts w:ascii="Arial" w:hAnsi="Arial" w:cs="Arial"/>
          <w:sz w:val="22"/>
          <w:szCs w:val="22"/>
        </w:rPr>
        <w:t xml:space="preserve"> guidelines </w:t>
      </w:r>
      <w:r w:rsidR="0007452F" w:rsidRPr="00414A6D">
        <w:rPr>
          <w:rFonts w:ascii="Arial" w:hAnsi="Arial" w:cs="Arial"/>
          <w:sz w:val="22"/>
          <w:szCs w:val="22"/>
        </w:rPr>
        <w:t>and clinician consensus</w:t>
      </w:r>
      <w:r w:rsidR="00990ED3" w:rsidRPr="00414A6D" w:rsidDel="00191FCB">
        <w:rPr>
          <w:rFonts w:ascii="Arial" w:hAnsi="Arial" w:cs="Arial"/>
          <w:sz w:val="22"/>
          <w:szCs w:val="22"/>
        </w:rPr>
        <w:t xml:space="preserve">. </w:t>
      </w:r>
      <w:r w:rsidR="00F67CF8" w:rsidRPr="00414A6D">
        <w:rPr>
          <w:rFonts w:ascii="Arial" w:hAnsi="Arial" w:cs="Arial"/>
          <w:sz w:val="22"/>
          <w:szCs w:val="22"/>
        </w:rPr>
        <w:t>Best-practice</w:t>
      </w:r>
      <w:r w:rsidR="00F67CF8" w:rsidRPr="00414A6D" w:rsidDel="00191FCB">
        <w:rPr>
          <w:rFonts w:ascii="Arial" w:hAnsi="Arial" w:cs="Arial"/>
          <w:sz w:val="22"/>
          <w:szCs w:val="22"/>
        </w:rPr>
        <w:t xml:space="preserve"> pricing describes purchasing of healthcare services </w:t>
      </w:r>
      <w:r w:rsidR="00F67CF8" w:rsidRPr="00414A6D">
        <w:rPr>
          <w:rFonts w:ascii="Arial" w:hAnsi="Arial" w:cs="Arial"/>
          <w:sz w:val="22"/>
          <w:szCs w:val="22"/>
        </w:rPr>
        <w:t xml:space="preserve">for a specific procedure or intervention </w:t>
      </w:r>
      <w:r w:rsidR="00F67CF8" w:rsidRPr="00414A6D" w:rsidDel="00191FCB">
        <w:rPr>
          <w:rFonts w:ascii="Arial" w:hAnsi="Arial" w:cs="Arial"/>
          <w:sz w:val="22"/>
          <w:szCs w:val="22"/>
        </w:rPr>
        <w:t xml:space="preserve">at a price that reflects </w:t>
      </w:r>
      <w:r w:rsidR="00F67CF8" w:rsidRPr="00414A6D">
        <w:rPr>
          <w:rFonts w:ascii="Arial" w:hAnsi="Arial" w:cs="Arial"/>
          <w:sz w:val="22"/>
          <w:szCs w:val="22"/>
        </w:rPr>
        <w:t xml:space="preserve">the elements that constitute best-practice. The approach described in this report encompasses best-practice pricing and providing clinical quality information as mechanisms to </w:t>
      </w:r>
      <w:r w:rsidR="00414A6D" w:rsidRPr="00414A6D">
        <w:rPr>
          <w:rFonts w:ascii="Arial" w:hAnsi="Arial" w:cs="Arial"/>
          <w:sz w:val="22"/>
          <w:szCs w:val="22"/>
        </w:rPr>
        <w:t>improve the quality of care and health outcomes.</w:t>
      </w:r>
    </w:p>
    <w:p w14:paraId="4486E157" w14:textId="77777777" w:rsidR="00990ED3" w:rsidRPr="00414A6D" w:rsidRDefault="000C7176" w:rsidP="00D147A4">
      <w:pPr>
        <w:spacing w:before="120" w:after="120"/>
        <w:jc w:val="both"/>
        <w:rPr>
          <w:rFonts w:ascii="Arial" w:hAnsi="Arial" w:cs="Arial"/>
          <w:sz w:val="22"/>
          <w:szCs w:val="22"/>
        </w:rPr>
      </w:pPr>
      <w:r w:rsidRPr="00414A6D">
        <w:rPr>
          <w:rFonts w:ascii="Arial" w:hAnsi="Arial" w:cs="Arial"/>
          <w:sz w:val="22"/>
          <w:szCs w:val="22"/>
        </w:rPr>
        <w:t xml:space="preserve">Under a </w:t>
      </w:r>
      <w:r w:rsidR="00346B84" w:rsidRPr="00414A6D">
        <w:rPr>
          <w:rFonts w:ascii="Arial" w:hAnsi="Arial" w:cs="Arial"/>
          <w:sz w:val="22"/>
          <w:szCs w:val="22"/>
        </w:rPr>
        <w:t>best-practice</w:t>
      </w:r>
      <w:r w:rsidRPr="00414A6D">
        <w:rPr>
          <w:rFonts w:ascii="Arial" w:hAnsi="Arial" w:cs="Arial"/>
          <w:sz w:val="22"/>
          <w:szCs w:val="22"/>
        </w:rPr>
        <w:t xml:space="preserve"> pricing model, </w:t>
      </w:r>
      <w:r w:rsidR="00990ED3" w:rsidRPr="00414A6D" w:rsidDel="00191FCB">
        <w:rPr>
          <w:rFonts w:ascii="Arial" w:hAnsi="Arial" w:cs="Arial"/>
          <w:sz w:val="22"/>
          <w:szCs w:val="22"/>
        </w:rPr>
        <w:t>provider remuneration is</w:t>
      </w:r>
      <w:r w:rsidR="00DB0A6B" w:rsidRPr="00414A6D">
        <w:rPr>
          <w:rFonts w:ascii="Arial" w:hAnsi="Arial" w:cs="Arial"/>
          <w:sz w:val="22"/>
          <w:szCs w:val="22"/>
        </w:rPr>
        <w:t xml:space="preserve"> set proactively,</w:t>
      </w:r>
      <w:r w:rsidR="00990ED3" w:rsidRPr="00414A6D" w:rsidDel="00191FCB">
        <w:rPr>
          <w:rFonts w:ascii="Arial" w:hAnsi="Arial" w:cs="Arial"/>
          <w:sz w:val="22"/>
          <w:szCs w:val="22"/>
        </w:rPr>
        <w:t xml:space="preserve"> based on the expected </w:t>
      </w:r>
      <w:r w:rsidR="00566C06" w:rsidRPr="00414A6D">
        <w:rPr>
          <w:rFonts w:ascii="Arial" w:hAnsi="Arial" w:cs="Arial"/>
          <w:sz w:val="22"/>
          <w:szCs w:val="22"/>
        </w:rPr>
        <w:t xml:space="preserve">and agreed </w:t>
      </w:r>
      <w:r w:rsidR="00990ED3" w:rsidRPr="00414A6D" w:rsidDel="00191FCB">
        <w:rPr>
          <w:rFonts w:ascii="Arial" w:hAnsi="Arial" w:cs="Arial"/>
          <w:sz w:val="22"/>
          <w:szCs w:val="22"/>
        </w:rPr>
        <w:t>cost of providing an evidence-</w:t>
      </w:r>
      <w:r w:rsidR="00DB0A6B" w:rsidRPr="00414A6D">
        <w:rPr>
          <w:rFonts w:ascii="Arial" w:hAnsi="Arial" w:cs="Arial"/>
          <w:sz w:val="22"/>
          <w:szCs w:val="22"/>
        </w:rPr>
        <w:t xml:space="preserve">based package of services or elements </w:t>
      </w:r>
      <w:r w:rsidR="00990ED3" w:rsidRPr="00414A6D" w:rsidDel="00191FCB">
        <w:rPr>
          <w:rFonts w:ascii="Arial" w:hAnsi="Arial" w:cs="Arial"/>
          <w:sz w:val="22"/>
          <w:szCs w:val="22"/>
        </w:rPr>
        <w:t xml:space="preserve">for </w:t>
      </w:r>
      <w:r w:rsidRPr="00414A6D">
        <w:rPr>
          <w:rFonts w:ascii="Arial" w:hAnsi="Arial" w:cs="Arial"/>
          <w:sz w:val="22"/>
          <w:szCs w:val="22"/>
        </w:rPr>
        <w:t>an</w:t>
      </w:r>
      <w:r w:rsidR="00990ED3" w:rsidRPr="00414A6D" w:rsidDel="00191FCB">
        <w:rPr>
          <w:rFonts w:ascii="Arial" w:hAnsi="Arial" w:cs="Arial"/>
          <w:sz w:val="22"/>
          <w:szCs w:val="22"/>
        </w:rPr>
        <w:t xml:space="preserve"> intervention.</w:t>
      </w:r>
      <w:r w:rsidRPr="00414A6D">
        <w:rPr>
          <w:rFonts w:ascii="Arial" w:hAnsi="Arial" w:cs="Arial"/>
          <w:sz w:val="22"/>
          <w:szCs w:val="22"/>
        </w:rPr>
        <w:t xml:space="preserve"> </w:t>
      </w:r>
      <w:r w:rsidR="00033D04" w:rsidRPr="00414A6D">
        <w:rPr>
          <w:rFonts w:ascii="Arial" w:hAnsi="Arial" w:cs="Arial"/>
          <w:sz w:val="22"/>
          <w:szCs w:val="22"/>
        </w:rPr>
        <w:t xml:space="preserve">This is </w:t>
      </w:r>
      <w:r w:rsidRPr="00414A6D">
        <w:rPr>
          <w:rFonts w:ascii="Arial" w:hAnsi="Arial" w:cs="Arial"/>
          <w:sz w:val="22"/>
          <w:szCs w:val="22"/>
        </w:rPr>
        <w:t xml:space="preserve">in contrast to other approaches where fees are set </w:t>
      </w:r>
      <w:r w:rsidR="00033D04" w:rsidRPr="00414A6D">
        <w:rPr>
          <w:rFonts w:ascii="Arial" w:hAnsi="Arial" w:cs="Arial"/>
          <w:sz w:val="22"/>
          <w:szCs w:val="22"/>
        </w:rPr>
        <w:t xml:space="preserve">based on </w:t>
      </w:r>
      <w:r w:rsidR="00DB0A6B" w:rsidRPr="00414A6D">
        <w:rPr>
          <w:rFonts w:ascii="Arial" w:hAnsi="Arial" w:cs="Arial"/>
          <w:i/>
          <w:sz w:val="22"/>
          <w:szCs w:val="22"/>
        </w:rPr>
        <w:t>ex</w:t>
      </w:r>
      <w:r w:rsidR="00062F41" w:rsidRPr="00414A6D">
        <w:rPr>
          <w:rFonts w:ascii="Arial" w:hAnsi="Arial" w:cs="Arial"/>
          <w:i/>
          <w:sz w:val="22"/>
          <w:szCs w:val="22"/>
        </w:rPr>
        <w:t> </w:t>
      </w:r>
      <w:r w:rsidR="00DB0A6B" w:rsidRPr="00414A6D">
        <w:rPr>
          <w:rFonts w:ascii="Arial" w:hAnsi="Arial" w:cs="Arial"/>
          <w:i/>
          <w:sz w:val="22"/>
          <w:szCs w:val="22"/>
        </w:rPr>
        <w:t>post</w:t>
      </w:r>
      <w:r w:rsidRPr="00414A6D">
        <w:rPr>
          <w:rFonts w:ascii="Arial" w:hAnsi="Arial" w:cs="Arial"/>
          <w:sz w:val="22"/>
          <w:szCs w:val="22"/>
        </w:rPr>
        <w:t xml:space="preserve"> calculation of average costs</w:t>
      </w:r>
      <w:r w:rsidR="00E159B3" w:rsidRPr="00414A6D">
        <w:rPr>
          <w:rFonts w:ascii="Arial" w:hAnsi="Arial" w:cs="Arial"/>
          <w:sz w:val="22"/>
          <w:szCs w:val="22"/>
        </w:rPr>
        <w:t>,</w:t>
      </w:r>
      <w:r w:rsidR="00DB0A6B" w:rsidRPr="00414A6D">
        <w:rPr>
          <w:rFonts w:ascii="Arial" w:hAnsi="Arial" w:cs="Arial"/>
          <w:sz w:val="22"/>
          <w:szCs w:val="22"/>
        </w:rPr>
        <w:t xml:space="preserve"> </w:t>
      </w:r>
      <w:r w:rsidRPr="00414A6D">
        <w:rPr>
          <w:rFonts w:ascii="Arial" w:hAnsi="Arial" w:cs="Arial"/>
          <w:sz w:val="22"/>
          <w:szCs w:val="22"/>
        </w:rPr>
        <w:t>or through funder-provider negotiation.</w:t>
      </w:r>
      <w:r w:rsidR="00E159B3" w:rsidRPr="00414A6D">
        <w:rPr>
          <w:rFonts w:ascii="Arial" w:hAnsi="Arial" w:cs="Arial"/>
          <w:sz w:val="22"/>
          <w:szCs w:val="22"/>
        </w:rPr>
        <w:t xml:space="preserve"> </w:t>
      </w:r>
      <w:r w:rsidRPr="00414A6D">
        <w:rPr>
          <w:rFonts w:ascii="Arial" w:hAnsi="Arial" w:cs="Arial"/>
          <w:sz w:val="22"/>
          <w:szCs w:val="22"/>
        </w:rPr>
        <w:t xml:space="preserve">The </w:t>
      </w:r>
      <w:r w:rsidR="00346B84" w:rsidRPr="00414A6D">
        <w:rPr>
          <w:rFonts w:ascii="Arial" w:hAnsi="Arial" w:cs="Arial"/>
          <w:sz w:val="22"/>
          <w:szCs w:val="22"/>
        </w:rPr>
        <w:t>best</w:t>
      </w:r>
      <w:r w:rsidR="00062F41" w:rsidRPr="00414A6D">
        <w:rPr>
          <w:rFonts w:ascii="Arial" w:hAnsi="Arial" w:cs="Arial"/>
          <w:sz w:val="22"/>
          <w:szCs w:val="22"/>
        </w:rPr>
        <w:noBreakHyphen/>
      </w:r>
      <w:r w:rsidR="00346B84" w:rsidRPr="00414A6D">
        <w:rPr>
          <w:rFonts w:ascii="Arial" w:hAnsi="Arial" w:cs="Arial"/>
          <w:sz w:val="22"/>
          <w:szCs w:val="22"/>
        </w:rPr>
        <w:t>practice</w:t>
      </w:r>
      <w:r w:rsidR="006F4684" w:rsidRPr="00414A6D">
        <w:rPr>
          <w:rFonts w:ascii="Arial" w:hAnsi="Arial" w:cs="Arial"/>
          <w:sz w:val="22"/>
          <w:szCs w:val="22"/>
        </w:rPr>
        <w:t xml:space="preserve"> pricing </w:t>
      </w:r>
      <w:r w:rsidRPr="00414A6D">
        <w:rPr>
          <w:rFonts w:ascii="Arial" w:hAnsi="Arial" w:cs="Arial"/>
          <w:sz w:val="22"/>
          <w:szCs w:val="22"/>
        </w:rPr>
        <w:t>approach incentivises care that maximises the probability of optimal outcomes</w:t>
      </w:r>
      <w:r w:rsidR="00990ED3" w:rsidRPr="00414A6D" w:rsidDel="00191FCB">
        <w:rPr>
          <w:rFonts w:ascii="Arial" w:hAnsi="Arial" w:cs="Arial"/>
          <w:sz w:val="22"/>
          <w:szCs w:val="22"/>
        </w:rPr>
        <w:t>.</w:t>
      </w:r>
    </w:p>
    <w:p w14:paraId="057FA7A4" w14:textId="77777777" w:rsidR="00E159B3" w:rsidRPr="00414A6D" w:rsidRDefault="00E159B3" w:rsidP="00D147A4">
      <w:pPr>
        <w:spacing w:before="120" w:after="120"/>
        <w:jc w:val="both"/>
        <w:rPr>
          <w:rFonts w:ascii="Arial" w:hAnsi="Arial" w:cs="Arial"/>
          <w:sz w:val="22"/>
          <w:szCs w:val="22"/>
        </w:rPr>
      </w:pPr>
      <w:r w:rsidRPr="00414A6D">
        <w:rPr>
          <w:rFonts w:ascii="Arial" w:hAnsi="Arial" w:cs="Arial"/>
          <w:sz w:val="22"/>
          <w:szCs w:val="22"/>
        </w:rPr>
        <w:t xml:space="preserve">Behavioural economics and implementation science feature in the literature on development of </w:t>
      </w:r>
      <w:r w:rsidR="00346B84" w:rsidRPr="00414A6D">
        <w:rPr>
          <w:rFonts w:ascii="Arial" w:hAnsi="Arial" w:cs="Arial"/>
          <w:sz w:val="22"/>
          <w:szCs w:val="22"/>
        </w:rPr>
        <w:t>best-practice</w:t>
      </w:r>
      <w:r w:rsidRPr="00414A6D">
        <w:rPr>
          <w:rFonts w:ascii="Arial" w:hAnsi="Arial" w:cs="Arial"/>
          <w:sz w:val="22"/>
          <w:szCs w:val="22"/>
        </w:rPr>
        <w:t xml:space="preserve"> pricing schemes. The motivation (utility functions) of individual practitioners is difficult to analyse and predict.</w:t>
      </w:r>
      <w:hyperlink w:anchor="_ENREF_1" w:tooltip="Volz KG, 2014 #172"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&lt;EndNote&gt;&lt;Cite&gt;&lt;Author&gt;KG&lt;/Author&gt;&lt;Year&gt;2014&lt;/Year&gt;&lt;RecNum&gt;172&lt;/RecNum&gt;&lt;DisplayText&gt;&lt;style face="superscript"&gt;1&lt;/style&gt;&lt;/DisplayText&gt;&lt;record&gt;&lt;rec-number&gt;172&lt;/rec-number&gt;&lt;foreign-keys&gt;&lt;key app="EN" db-id="pxsz0w0wuvwzapeptavv0erkef22f2rwz0w0"&gt;172&lt;/key&gt;&lt;/foreign-keys&gt;&lt;ref-type name="Book Section"&gt;5&lt;/ref-type&gt;&lt;contributors&gt;&lt;authors&gt;&lt;author&gt;Volz KG,&lt;/author&gt;&lt;author&gt;Gigerenzer G,&lt;/author&gt;&lt;/authors&gt;&lt;secondary-authors&gt;&lt;author&gt;Papageorgiou TD,&lt;/author&gt;&lt;author&gt;Christopoulous GI,&lt;/author&gt;&lt;author&gt;Smirnakis SM,&lt;/author&gt;&lt;/secondary-authors&gt;&lt;/contributors&gt;&lt;titles&gt;&lt;title&gt;The Brain is not &amp;quot;as-if&amp;quot; - Taking Stock of the Neuroscientific Approach on Decision Making&lt;/title&gt;&lt;secondary-title&gt;Advanced Brain Neuroimaging Topics in Health and Disease - Methods and Applications&lt;/secondary-title&gt;&lt;/titles&gt;&lt;dates&gt;&lt;year&gt;2014&lt;/year&gt;&lt;/dates&gt;&lt;publisher&gt;InTech&lt;/publisher&gt;&lt;urls&gt;&lt;/urls&gt;&lt;/record&gt;&lt;/Cite&gt;&lt;/EndNote&gt;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1</w:t>
        </w:r>
        <w:r w:rsidR="00402FBB" w:rsidRPr="00414A6D">
          <w:rPr>
            <w:rFonts w:ascii="Arial" w:hAnsi="Arial" w:cs="Arial"/>
            <w:sz w:val="22"/>
            <w:szCs w:val="22"/>
          </w:rPr>
          <w:fldChar w:fldCharType="end"/>
        </w:r>
      </w:hyperlink>
      <w:r w:rsidRPr="00414A6D">
        <w:rPr>
          <w:rFonts w:ascii="Arial" w:hAnsi="Arial" w:cs="Arial"/>
          <w:sz w:val="22"/>
          <w:szCs w:val="22"/>
        </w:rPr>
        <w:t xml:space="preserve"> These functions become even more complex at the aggregate level of clinical teams and hospitals. </w:t>
      </w:r>
      <w:proofErr w:type="spellStart"/>
      <w:r w:rsidRPr="00414A6D">
        <w:rPr>
          <w:rFonts w:ascii="Arial" w:hAnsi="Arial" w:cs="Arial"/>
          <w:sz w:val="22"/>
          <w:szCs w:val="22"/>
        </w:rPr>
        <w:t>Mehrotra</w:t>
      </w:r>
      <w:proofErr w:type="spellEnd"/>
      <w:r w:rsidRPr="00414A6D">
        <w:rPr>
          <w:rFonts w:ascii="Arial" w:hAnsi="Arial" w:cs="Arial"/>
          <w:sz w:val="22"/>
          <w:szCs w:val="22"/>
        </w:rPr>
        <w:t xml:space="preserve"> et al (2010) also stated that the psychology of how people respond to incentives is not considered enough in the design of pricing incentives in healthcare (refer to </w:t>
      </w:r>
      <w:r w:rsidR="00062F41" w:rsidRPr="00414A6D">
        <w:rPr>
          <w:rFonts w:ascii="Arial" w:hAnsi="Arial" w:cs="Arial"/>
          <w:sz w:val="22"/>
          <w:szCs w:val="22"/>
        </w:rPr>
        <w:t>A</w:t>
      </w:r>
      <w:r w:rsidRPr="00414A6D">
        <w:rPr>
          <w:rFonts w:ascii="Arial" w:hAnsi="Arial" w:cs="Arial"/>
          <w:sz w:val="22"/>
          <w:szCs w:val="22"/>
        </w:rPr>
        <w:t xml:space="preserve">ppendix </w:t>
      </w:r>
      <w:r w:rsidR="00D170B6" w:rsidRPr="00414A6D">
        <w:rPr>
          <w:rFonts w:ascii="Arial" w:hAnsi="Arial" w:cs="Arial"/>
          <w:sz w:val="22"/>
          <w:szCs w:val="22"/>
        </w:rPr>
        <w:t>B</w:t>
      </w:r>
      <w:r w:rsidRPr="00414A6D">
        <w:rPr>
          <w:rFonts w:ascii="Arial" w:hAnsi="Arial" w:cs="Arial"/>
          <w:sz w:val="22"/>
          <w:szCs w:val="22"/>
        </w:rPr>
        <w:t>).</w:t>
      </w:r>
      <w:hyperlink w:anchor="_ENREF_2" w:tooltip="Mehrotra A, 2010 #153"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&lt;EndNote&gt;&lt;Cite&gt;&lt;Author&gt;Mehrotra A&lt;/Author&gt;&lt;Year&gt;2010&lt;/Year&gt;&lt;RecNum&gt;153&lt;/RecNum&gt;&lt;DisplayText&gt;&lt;style face="superscript"&gt;2&lt;/style&gt;&lt;/DisplayText&gt;&lt;record&gt;&lt;rec-number&gt;153&lt;/rec-number&gt;&lt;foreign-keys&gt;&lt;key app="EN" db-id="pxsz0w0wuvwzapeptavv0erkef22f2rwz0w0"&gt;153&lt;/key&gt;&lt;/foreign-keys&gt;&lt;ref-type name="Manuscript"&gt;36&lt;/ref-type&gt;&lt;contributors&gt;&lt;authors&gt;&lt;author&gt;Mehrotra A,  &lt;/author&gt;&lt;author&gt;Sorbero M,&lt;/author&gt;&lt;author&gt;Damberg C,&lt;/author&gt;&lt;/authors&gt;&lt;/contributors&gt;&lt;titles&gt;&lt;title&gt;Using the lessons of behavioural economics to design more effective pay-for-performance programs&lt;/title&gt;&lt;secondary-title&gt;National Institutes of Health&lt;/secondary-title&gt;&lt;/titles&gt;&lt;pages&gt;497-503&lt;/pages&gt;&lt;volume&gt;16&lt;/volume&gt;&lt;num-vols&gt;7&lt;/num-vols&gt;&lt;dates&gt;&lt;year&gt;2010&lt;/year&gt;&lt;/dates&gt;&lt;pub-location&gt;Am J Manag Care &lt;/pub-location&gt;&lt;urls&gt;&lt;/urls&gt;&lt;/record&gt;&lt;/Cite&gt;&lt;/EndNote&gt;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2</w:t>
        </w:r>
        <w:r w:rsidR="00402FBB" w:rsidRPr="00414A6D">
          <w:rPr>
            <w:rFonts w:ascii="Arial" w:hAnsi="Arial" w:cs="Arial"/>
            <w:sz w:val="22"/>
            <w:szCs w:val="22"/>
          </w:rPr>
          <w:fldChar w:fldCharType="end"/>
        </w:r>
      </w:hyperlink>
      <w:r w:rsidRPr="00414A6D">
        <w:rPr>
          <w:rFonts w:ascii="Arial" w:hAnsi="Arial" w:cs="Arial"/>
          <w:sz w:val="22"/>
          <w:szCs w:val="22"/>
        </w:rPr>
        <w:t xml:space="preserve"> To account for this complexity, the </w:t>
      </w:r>
      <w:r w:rsidR="007F232E" w:rsidRPr="00414A6D">
        <w:rPr>
          <w:rFonts w:ascii="Arial" w:hAnsi="Arial" w:cs="Arial"/>
          <w:sz w:val="22"/>
          <w:szCs w:val="22"/>
        </w:rPr>
        <w:t>Sub-Committee</w:t>
      </w:r>
      <w:r w:rsidRPr="00414A6D">
        <w:rPr>
          <w:rFonts w:ascii="Arial" w:hAnsi="Arial" w:cs="Arial"/>
          <w:sz w:val="22"/>
          <w:szCs w:val="22"/>
        </w:rPr>
        <w:t xml:space="preserve"> explored the development of </w:t>
      </w:r>
      <w:r w:rsidR="007D4E9C" w:rsidRPr="00414A6D">
        <w:rPr>
          <w:rFonts w:ascii="Arial" w:hAnsi="Arial" w:cs="Arial"/>
          <w:sz w:val="22"/>
          <w:szCs w:val="22"/>
        </w:rPr>
        <w:t xml:space="preserve">a </w:t>
      </w:r>
      <w:r w:rsidR="00346B84" w:rsidRPr="00414A6D">
        <w:rPr>
          <w:rFonts w:ascii="Arial" w:hAnsi="Arial" w:cs="Arial"/>
          <w:sz w:val="22"/>
          <w:szCs w:val="22"/>
        </w:rPr>
        <w:t>best-practice</w:t>
      </w:r>
      <w:r w:rsidR="003C36FB" w:rsidRPr="00414A6D">
        <w:rPr>
          <w:rFonts w:ascii="Arial" w:hAnsi="Arial" w:cs="Arial"/>
          <w:sz w:val="22"/>
          <w:szCs w:val="22"/>
        </w:rPr>
        <w:t xml:space="preserve"> pricing approach complemented </w:t>
      </w:r>
      <w:r w:rsidR="007D4E9C" w:rsidRPr="00414A6D">
        <w:rPr>
          <w:rFonts w:ascii="Arial" w:hAnsi="Arial" w:cs="Arial"/>
          <w:sz w:val="22"/>
          <w:szCs w:val="22"/>
        </w:rPr>
        <w:t>with</w:t>
      </w:r>
      <w:r w:rsidR="003C36FB" w:rsidRPr="00414A6D">
        <w:rPr>
          <w:rFonts w:ascii="Arial" w:hAnsi="Arial" w:cs="Arial"/>
          <w:sz w:val="22"/>
          <w:szCs w:val="22"/>
        </w:rPr>
        <w:t xml:space="preserve"> </w:t>
      </w:r>
      <w:r w:rsidR="007D4E9C" w:rsidRPr="00414A6D">
        <w:rPr>
          <w:rFonts w:ascii="Arial" w:hAnsi="Arial" w:cs="Arial"/>
          <w:sz w:val="22"/>
          <w:szCs w:val="22"/>
        </w:rPr>
        <w:t xml:space="preserve">providing </w:t>
      </w:r>
      <w:r w:rsidRPr="00414A6D">
        <w:rPr>
          <w:rFonts w:ascii="Arial" w:hAnsi="Arial" w:cs="Arial"/>
          <w:sz w:val="22"/>
          <w:szCs w:val="22"/>
        </w:rPr>
        <w:t xml:space="preserve">meaningful data and information to </w:t>
      </w:r>
      <w:r w:rsidR="003C36FB" w:rsidRPr="00414A6D">
        <w:rPr>
          <w:rFonts w:ascii="Arial" w:hAnsi="Arial" w:cs="Arial"/>
          <w:sz w:val="22"/>
          <w:szCs w:val="22"/>
        </w:rPr>
        <w:t>clinicians</w:t>
      </w:r>
      <w:r w:rsidRPr="00414A6D">
        <w:rPr>
          <w:rFonts w:ascii="Arial" w:hAnsi="Arial" w:cs="Arial"/>
          <w:sz w:val="22"/>
          <w:szCs w:val="22"/>
        </w:rPr>
        <w:t>.</w:t>
      </w:r>
    </w:p>
    <w:p w14:paraId="0D4EFAAD" w14:textId="77777777" w:rsidR="00E159B3" w:rsidRPr="00414A6D" w:rsidRDefault="00071634" w:rsidP="00D147A4">
      <w:pPr>
        <w:spacing w:before="20" w:after="60"/>
        <w:ind w:right="-85"/>
        <w:jc w:val="both"/>
        <w:rPr>
          <w:rFonts w:ascii="Arial" w:hAnsi="Arial" w:cs="Arial"/>
          <w:sz w:val="22"/>
          <w:szCs w:val="22"/>
        </w:rPr>
      </w:pPr>
      <w:r w:rsidRPr="00414A6D">
        <w:rPr>
          <w:rFonts w:ascii="Arial" w:hAnsi="Arial" w:cs="Arial"/>
          <w:sz w:val="22"/>
          <w:szCs w:val="22"/>
        </w:rPr>
        <w:t xml:space="preserve">The evidence examined to date supports investigating schemes based on a </w:t>
      </w:r>
      <w:r w:rsidR="00346B84" w:rsidRPr="00414A6D">
        <w:rPr>
          <w:rFonts w:ascii="Arial" w:hAnsi="Arial" w:cs="Arial"/>
          <w:sz w:val="22"/>
          <w:szCs w:val="22"/>
        </w:rPr>
        <w:t>best-practice</w:t>
      </w:r>
      <w:r w:rsidRPr="00414A6D">
        <w:rPr>
          <w:rFonts w:ascii="Arial" w:hAnsi="Arial" w:cs="Arial"/>
          <w:sz w:val="22"/>
          <w:szCs w:val="22"/>
        </w:rPr>
        <w:t xml:space="preserve"> pricing model, and focusing on clearly delineated interventions or procedures. </w:t>
      </w:r>
      <w:r w:rsidR="00E159B3" w:rsidRPr="00414A6D">
        <w:rPr>
          <w:rFonts w:ascii="Arial" w:hAnsi="Arial" w:cs="Arial"/>
          <w:sz w:val="22"/>
          <w:szCs w:val="22"/>
        </w:rPr>
        <w:t xml:space="preserve">The common characteristics of successful </w:t>
      </w:r>
      <w:r w:rsidR="00346B84" w:rsidRPr="00414A6D">
        <w:rPr>
          <w:rFonts w:ascii="Arial" w:hAnsi="Arial" w:cs="Arial"/>
          <w:sz w:val="22"/>
          <w:szCs w:val="22"/>
        </w:rPr>
        <w:t>best-practice</w:t>
      </w:r>
      <w:r w:rsidR="00E159B3" w:rsidRPr="00414A6D">
        <w:rPr>
          <w:rFonts w:ascii="Arial" w:hAnsi="Arial" w:cs="Arial"/>
          <w:sz w:val="22"/>
          <w:szCs w:val="22"/>
        </w:rPr>
        <w:t xml:space="preserve"> pricing initiatives are:</w:t>
      </w:r>
      <w:hyperlink w:anchor="_ENREF_3" w:tooltip="Slawomirski, 2014 #150"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&lt;EndNote&gt;&lt;Cite&gt;&lt;Author&gt;Slawomirski&lt;/Author&gt;&lt;Year&gt;2014&lt;/Year&gt;&lt;RecNum&gt;150&lt;/RecNum&gt;&lt;DisplayText&gt;&lt;style face="superscript"&gt;3&lt;/style&gt;&lt;/DisplayText&gt;&lt;record&gt;&lt;rec-number&gt;150&lt;/rec-number&gt;&lt;foreign-keys&gt;&lt;key app="EN" db-id="pxsz0w0wuvwzapeptavv0erkef22f2rwz0w0"&gt;150&lt;/key&gt;&lt;/foreign-keys&gt;&lt;ref-type name="Personal Communication"&gt;26&lt;/ref-type&gt;&lt;contributors&gt;&lt;authors&gt;&lt;author&gt;Slawomirski, L&lt;/author&gt;&lt;/authors&gt;&lt;/contributors&gt;&lt;titles&gt;&lt;title&gt;Joint Working Party Literature Review&lt;/title&gt;&lt;/titles&gt;&lt;dates&gt;&lt;year&gt;2014&lt;/year&gt;&lt;/dates&gt;&lt;pub-location&gt;Sydney&lt;/pub-location&gt;&lt;publisher&gt;Australian Commission on Safety and Quality in Health Care&lt;/publisher&gt;&lt;urls&gt;&lt;/urls&gt;&lt;/record&gt;&lt;/Cite&gt;&lt;/EndNote&gt;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3</w:t>
        </w:r>
        <w:r w:rsidR="00402FBB" w:rsidRPr="00414A6D">
          <w:rPr>
            <w:rFonts w:ascii="Arial" w:hAnsi="Arial" w:cs="Arial"/>
            <w:sz w:val="22"/>
            <w:szCs w:val="22"/>
          </w:rPr>
          <w:fldChar w:fldCharType="end"/>
        </w:r>
      </w:hyperlink>
    </w:p>
    <w:p w14:paraId="29F365E3"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b/>
          <w:sz w:val="22"/>
          <w:szCs w:val="22"/>
        </w:rPr>
        <w:t>Clinically relevant</w:t>
      </w:r>
      <w:r w:rsidRPr="00414A6D">
        <w:rPr>
          <w:rFonts w:ascii="Arial" w:hAnsi="Arial" w:cs="Arial"/>
          <w:sz w:val="22"/>
          <w:szCs w:val="22"/>
        </w:rPr>
        <w:t xml:space="preserve"> and built on an explicit evidence base.</w:t>
      </w:r>
    </w:p>
    <w:p w14:paraId="7998814A"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b/>
          <w:sz w:val="22"/>
          <w:szCs w:val="22"/>
        </w:rPr>
        <w:t>Uncomplicated</w:t>
      </w:r>
      <w:r w:rsidRPr="00414A6D">
        <w:rPr>
          <w:rFonts w:ascii="Arial" w:hAnsi="Arial" w:cs="Arial"/>
          <w:sz w:val="22"/>
          <w:szCs w:val="22"/>
        </w:rPr>
        <w:t xml:space="preserve"> and, where possible, focused on </w:t>
      </w:r>
      <w:r w:rsidRPr="00414A6D">
        <w:rPr>
          <w:rFonts w:ascii="Arial" w:hAnsi="Arial" w:cs="Arial"/>
          <w:b/>
          <w:sz w:val="22"/>
          <w:szCs w:val="22"/>
        </w:rPr>
        <w:t>outcomes</w:t>
      </w:r>
      <w:r w:rsidRPr="00414A6D">
        <w:rPr>
          <w:rFonts w:ascii="Arial" w:hAnsi="Arial" w:cs="Arial"/>
          <w:sz w:val="22"/>
          <w:szCs w:val="22"/>
        </w:rPr>
        <w:t xml:space="preserve"> of care.</w:t>
      </w:r>
    </w:p>
    <w:p w14:paraId="6AA4ED30"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sz w:val="22"/>
          <w:szCs w:val="22"/>
        </w:rPr>
        <w:t xml:space="preserve">Based on </w:t>
      </w:r>
      <w:r w:rsidRPr="00414A6D">
        <w:rPr>
          <w:rFonts w:ascii="Arial" w:hAnsi="Arial" w:cs="Arial"/>
          <w:b/>
          <w:sz w:val="22"/>
          <w:szCs w:val="22"/>
        </w:rPr>
        <w:t>reliable and timely data</w:t>
      </w:r>
      <w:r w:rsidRPr="00414A6D">
        <w:rPr>
          <w:rFonts w:ascii="Arial" w:hAnsi="Arial" w:cs="Arial"/>
          <w:sz w:val="22"/>
          <w:szCs w:val="22"/>
        </w:rPr>
        <w:t xml:space="preserve"> that is trusted by clinicians.</w:t>
      </w:r>
    </w:p>
    <w:p w14:paraId="542C4DA3"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sz w:val="22"/>
          <w:szCs w:val="22"/>
        </w:rPr>
        <w:t xml:space="preserve">Aimed at </w:t>
      </w:r>
      <w:r w:rsidRPr="00414A6D">
        <w:rPr>
          <w:rFonts w:ascii="Arial" w:hAnsi="Arial" w:cs="Arial"/>
          <w:b/>
          <w:sz w:val="22"/>
          <w:szCs w:val="22"/>
        </w:rPr>
        <w:t>discrete clinical interventions</w:t>
      </w:r>
      <w:r w:rsidRPr="00414A6D">
        <w:rPr>
          <w:rFonts w:ascii="Arial" w:hAnsi="Arial" w:cs="Arial"/>
          <w:sz w:val="22"/>
          <w:szCs w:val="22"/>
        </w:rPr>
        <w:t xml:space="preserve"> and acute care</w:t>
      </w:r>
      <w:r w:rsidR="006F4684" w:rsidRPr="00414A6D">
        <w:rPr>
          <w:rFonts w:ascii="Arial" w:hAnsi="Arial" w:cs="Arial"/>
          <w:sz w:val="22"/>
          <w:szCs w:val="22"/>
        </w:rPr>
        <w:t xml:space="preserve"> (e.g. surgical procedures rather than</w:t>
      </w:r>
      <w:r w:rsidRPr="00414A6D">
        <w:rPr>
          <w:rFonts w:ascii="Arial" w:hAnsi="Arial" w:cs="Arial"/>
          <w:sz w:val="22"/>
          <w:szCs w:val="22"/>
        </w:rPr>
        <w:t xml:space="preserve"> care of chronic conditions).</w:t>
      </w:r>
    </w:p>
    <w:p w14:paraId="42AB4214"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sz w:val="22"/>
          <w:szCs w:val="22"/>
        </w:rPr>
        <w:t>Impact/outcomes correlate with the size of the incentive (</w:t>
      </w:r>
      <w:r w:rsidRPr="00414A6D">
        <w:rPr>
          <w:rFonts w:ascii="Arial" w:hAnsi="Arial" w:cs="Arial"/>
          <w:b/>
          <w:sz w:val="22"/>
          <w:szCs w:val="22"/>
        </w:rPr>
        <w:t>materiality</w:t>
      </w:r>
      <w:r w:rsidRPr="00414A6D">
        <w:rPr>
          <w:rFonts w:ascii="Arial" w:hAnsi="Arial" w:cs="Arial"/>
          <w:sz w:val="22"/>
          <w:szCs w:val="22"/>
        </w:rPr>
        <w:t>).</w:t>
      </w:r>
    </w:p>
    <w:p w14:paraId="3F12C744"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sz w:val="22"/>
          <w:szCs w:val="22"/>
        </w:rPr>
        <w:t>Rewards or incentives are distributed to, or reinvested at,</w:t>
      </w:r>
      <w:r w:rsidR="006F4684" w:rsidRPr="00414A6D">
        <w:rPr>
          <w:rFonts w:ascii="Arial" w:hAnsi="Arial" w:cs="Arial"/>
          <w:sz w:val="22"/>
          <w:szCs w:val="22"/>
        </w:rPr>
        <w:t xml:space="preserve"> the</w:t>
      </w:r>
      <w:r w:rsidRPr="00414A6D">
        <w:rPr>
          <w:rFonts w:ascii="Arial" w:hAnsi="Arial" w:cs="Arial"/>
          <w:sz w:val="22"/>
          <w:szCs w:val="22"/>
        </w:rPr>
        <w:t xml:space="preserve"> </w:t>
      </w:r>
      <w:r w:rsidRPr="00414A6D">
        <w:rPr>
          <w:rFonts w:ascii="Arial" w:hAnsi="Arial" w:cs="Arial"/>
          <w:b/>
          <w:sz w:val="22"/>
          <w:szCs w:val="22"/>
        </w:rPr>
        <w:t>clinical level</w:t>
      </w:r>
      <w:r w:rsidRPr="00414A6D">
        <w:rPr>
          <w:rFonts w:ascii="Arial" w:hAnsi="Arial" w:cs="Arial"/>
          <w:sz w:val="22"/>
          <w:szCs w:val="22"/>
        </w:rPr>
        <w:t xml:space="preserve"> (or at the level where behaviour change needs to occur).</w:t>
      </w:r>
    </w:p>
    <w:p w14:paraId="4E7358EA" w14:textId="77777777" w:rsidR="00E159B3" w:rsidRPr="00414A6D" w:rsidRDefault="00E159B3" w:rsidP="007B1510">
      <w:pPr>
        <w:numPr>
          <w:ilvl w:val="0"/>
          <w:numId w:val="6"/>
        </w:numPr>
        <w:spacing w:before="120"/>
        <w:jc w:val="both"/>
        <w:rPr>
          <w:rFonts w:ascii="Arial" w:hAnsi="Arial" w:cs="Arial"/>
          <w:sz w:val="22"/>
          <w:szCs w:val="22"/>
        </w:rPr>
      </w:pPr>
      <w:r w:rsidRPr="00414A6D">
        <w:rPr>
          <w:rFonts w:ascii="Arial" w:hAnsi="Arial" w:cs="Arial"/>
          <w:b/>
          <w:sz w:val="22"/>
          <w:szCs w:val="22"/>
        </w:rPr>
        <w:t>Aligned</w:t>
      </w:r>
      <w:r w:rsidRPr="00414A6D">
        <w:rPr>
          <w:rFonts w:ascii="Arial" w:hAnsi="Arial" w:cs="Arial"/>
          <w:sz w:val="22"/>
          <w:szCs w:val="22"/>
        </w:rPr>
        <w:t xml:space="preserve"> with other </w:t>
      </w:r>
      <w:r w:rsidR="006F4684" w:rsidRPr="00414A6D">
        <w:rPr>
          <w:rFonts w:ascii="Arial" w:hAnsi="Arial" w:cs="Arial"/>
          <w:sz w:val="22"/>
          <w:szCs w:val="22"/>
        </w:rPr>
        <w:t xml:space="preserve">quality improvement </w:t>
      </w:r>
      <w:r w:rsidRPr="00414A6D">
        <w:rPr>
          <w:rFonts w:ascii="Arial" w:hAnsi="Arial" w:cs="Arial"/>
          <w:sz w:val="22"/>
          <w:szCs w:val="22"/>
        </w:rPr>
        <w:t>initiatives and broader policy objectives.</w:t>
      </w:r>
    </w:p>
    <w:p w14:paraId="3A26E159" w14:textId="77777777" w:rsidR="00E159B3" w:rsidRPr="00414A6D" w:rsidRDefault="00E159B3" w:rsidP="007B1510">
      <w:pPr>
        <w:numPr>
          <w:ilvl w:val="0"/>
          <w:numId w:val="6"/>
        </w:numPr>
        <w:spacing w:before="120" w:after="240"/>
        <w:jc w:val="both"/>
        <w:rPr>
          <w:rFonts w:ascii="Arial" w:hAnsi="Arial" w:cs="Arial"/>
          <w:sz w:val="22"/>
          <w:szCs w:val="22"/>
        </w:rPr>
      </w:pPr>
      <w:r w:rsidRPr="00414A6D">
        <w:rPr>
          <w:rFonts w:ascii="Arial" w:hAnsi="Arial" w:cs="Arial"/>
          <w:sz w:val="22"/>
          <w:szCs w:val="22"/>
        </w:rPr>
        <w:t xml:space="preserve">Clinician-led, with </w:t>
      </w:r>
      <w:r w:rsidRPr="00414A6D">
        <w:rPr>
          <w:rFonts w:ascii="Arial" w:hAnsi="Arial" w:cs="Arial"/>
          <w:b/>
          <w:sz w:val="22"/>
          <w:szCs w:val="22"/>
        </w:rPr>
        <w:t>support</w:t>
      </w:r>
      <w:r w:rsidRPr="00414A6D">
        <w:rPr>
          <w:rFonts w:ascii="Arial" w:hAnsi="Arial" w:cs="Arial"/>
          <w:sz w:val="22"/>
          <w:szCs w:val="22"/>
        </w:rPr>
        <w:t xml:space="preserve"> provided to change behaviour.</w:t>
      </w:r>
    </w:p>
    <w:p w14:paraId="009FF318" w14:textId="77777777" w:rsidR="000274FD" w:rsidRPr="00414A6D" w:rsidRDefault="000274FD" w:rsidP="00D147A4">
      <w:pPr>
        <w:spacing w:before="20" w:after="60"/>
        <w:ind w:right="-85"/>
        <w:jc w:val="both"/>
        <w:rPr>
          <w:rFonts w:ascii="Arial" w:hAnsi="Arial" w:cs="Arial"/>
          <w:sz w:val="22"/>
          <w:szCs w:val="22"/>
        </w:rPr>
      </w:pPr>
      <w:r w:rsidRPr="00414A6D">
        <w:rPr>
          <w:rFonts w:ascii="Arial" w:hAnsi="Arial" w:cs="Arial"/>
          <w:sz w:val="22"/>
          <w:szCs w:val="22"/>
        </w:rPr>
        <w:t xml:space="preserve">Clarity on who to pay, what to pay for, the criteria for bonuses or penalties and how much to pay is important in the technical design of a </w:t>
      </w:r>
      <w:r w:rsidR="00346B84" w:rsidRPr="00414A6D">
        <w:rPr>
          <w:rFonts w:ascii="Arial" w:hAnsi="Arial" w:cs="Arial"/>
          <w:sz w:val="22"/>
          <w:szCs w:val="22"/>
        </w:rPr>
        <w:t>best-practice</w:t>
      </w:r>
      <w:r w:rsidRPr="00414A6D">
        <w:rPr>
          <w:rFonts w:ascii="Arial" w:hAnsi="Arial" w:cs="Arial"/>
          <w:sz w:val="22"/>
          <w:szCs w:val="22"/>
        </w:rPr>
        <w:t xml:space="preserve"> pricing scheme.</w:t>
      </w:r>
      <w:hyperlink w:anchor="_ENREF_4" w:tooltip="Kristensen SR, 2003 #132"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&lt;EndNote&gt;&lt;Cite&gt;&lt;Author&gt;Kristensen SR&lt;/Author&gt;&lt;Year&gt;2003&lt;/Year&gt;&lt;RecNum&gt;132&lt;/RecNum&gt;&lt;DisplayText&gt;&lt;style face="superscript"&gt;4&lt;/style&gt;&lt;/DisplayText&gt;&lt;record&gt;&lt;rec-number&gt;132&lt;/rec-number&gt;&lt;foreign-keys&gt;&lt;key app="EN" db-id="pxsz0w0wuvwzapeptavv0erkef22f2rwz0w0"&gt;132&lt;/key&gt;&lt;/foreign-keys&gt;&lt;ref-type name="Report"&gt;27&lt;/ref-type&gt;&lt;contributors&gt;&lt;authors&gt;&lt;author&gt;Kristensen SR, &lt;/author&gt;&lt;author&gt;Siciliani L, &lt;/author&gt;&lt;author&gt;Sutton M,&lt;/author&gt;&lt;/authors&gt;&lt;secondary-authors&gt;&lt;author&gt;Department of Economics and Related Studies,&lt;/author&gt;&lt;/secondary-authors&gt;&lt;/contributors&gt;&lt;titles&gt;&lt;title&gt;Optimal Price Setting in Pay for Performance Schemes in Health Care&lt;/title&gt;&lt;secondary-title&gt;Discussion Papers in Economics&lt;/secondary-title&gt;&lt;/titles&gt;&lt;number&gt;14/03&lt;/number&gt;&lt;dates&gt;&lt;year&gt;2003&lt;/year&gt;&lt;/dates&gt;&lt;pub-location&gt;York&lt;/pub-location&gt;&lt;publisher&gt;University of York&lt;/publisher&gt;&lt;urls&gt;&lt;/urls&gt;&lt;/record&gt;&lt;/Cite&gt;&lt;/EndNote&gt;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4</w:t>
        </w:r>
        <w:r w:rsidR="00402FBB" w:rsidRPr="00414A6D">
          <w:rPr>
            <w:rFonts w:ascii="Arial" w:hAnsi="Arial" w:cs="Arial"/>
            <w:sz w:val="22"/>
            <w:szCs w:val="22"/>
          </w:rPr>
          <w:fldChar w:fldCharType="end"/>
        </w:r>
      </w:hyperlink>
      <w:r w:rsidRPr="00414A6D">
        <w:rPr>
          <w:rFonts w:ascii="Arial" w:hAnsi="Arial" w:cs="Arial"/>
          <w:sz w:val="22"/>
          <w:szCs w:val="22"/>
        </w:rPr>
        <w:t xml:space="preserve"> </w:t>
      </w:r>
    </w:p>
    <w:p w14:paraId="133D9871" w14:textId="77777777" w:rsidR="000274FD" w:rsidRPr="00414A6D" w:rsidRDefault="000274FD" w:rsidP="00D147A4">
      <w:pPr>
        <w:spacing w:before="20" w:after="60"/>
        <w:ind w:right="-85"/>
        <w:jc w:val="both"/>
        <w:rPr>
          <w:rFonts w:ascii="Arial" w:hAnsi="Arial" w:cs="Arial"/>
          <w:sz w:val="22"/>
          <w:szCs w:val="22"/>
        </w:rPr>
      </w:pPr>
      <w:r w:rsidRPr="00414A6D">
        <w:rPr>
          <w:rFonts w:ascii="Arial" w:hAnsi="Arial" w:cs="Arial"/>
          <w:sz w:val="22"/>
          <w:szCs w:val="22"/>
        </w:rPr>
        <w:t>The</w:t>
      </w:r>
      <w:r w:rsidR="006F4684" w:rsidRPr="00414A6D">
        <w:rPr>
          <w:rFonts w:ascii="Arial" w:hAnsi="Arial" w:cs="Arial"/>
          <w:sz w:val="22"/>
          <w:szCs w:val="22"/>
        </w:rPr>
        <w:t xml:space="preserve">refore, Australian national </w:t>
      </w:r>
      <w:r w:rsidR="00346B84" w:rsidRPr="00414A6D">
        <w:rPr>
          <w:rFonts w:ascii="Arial" w:hAnsi="Arial" w:cs="Arial"/>
          <w:sz w:val="22"/>
          <w:szCs w:val="22"/>
        </w:rPr>
        <w:t>best-practice</w:t>
      </w:r>
      <w:r w:rsidR="006F4684" w:rsidRPr="00414A6D">
        <w:rPr>
          <w:rFonts w:ascii="Arial" w:hAnsi="Arial" w:cs="Arial"/>
          <w:sz w:val="22"/>
          <w:szCs w:val="22"/>
        </w:rPr>
        <w:t xml:space="preserve"> pricing models should include these principles</w:t>
      </w:r>
      <w:r w:rsidRPr="00414A6D">
        <w:rPr>
          <w:rFonts w:ascii="Arial" w:hAnsi="Arial" w:cs="Arial"/>
          <w:sz w:val="22"/>
          <w:szCs w:val="22"/>
        </w:rPr>
        <w:t>:</w:t>
      </w:r>
    </w:p>
    <w:p w14:paraId="0F65C1B0" w14:textId="7A57061E" w:rsidR="00CA07D3" w:rsidRDefault="00E55797" w:rsidP="007B1510">
      <w:pPr>
        <w:pStyle w:val="ListParagraph"/>
        <w:numPr>
          <w:ilvl w:val="0"/>
          <w:numId w:val="7"/>
        </w:numPr>
        <w:spacing w:before="20" w:after="60"/>
        <w:ind w:right="-85"/>
        <w:jc w:val="both"/>
        <w:rPr>
          <w:rFonts w:ascii="Arial" w:hAnsi="Arial" w:cs="Arial"/>
          <w:sz w:val="22"/>
          <w:szCs w:val="22"/>
        </w:rPr>
      </w:pPr>
      <w:r w:rsidRPr="00CB2400">
        <w:rPr>
          <w:rFonts w:ascii="Arial" w:hAnsi="Arial" w:cs="Arial"/>
          <w:sz w:val="22"/>
          <w:szCs w:val="22"/>
        </w:rPr>
        <w:t>Who to pay will be determined in line IHPA’s current pricing approach</w:t>
      </w:r>
      <w:r w:rsidR="00CA07D3">
        <w:rPr>
          <w:rFonts w:ascii="Arial" w:hAnsi="Arial" w:cs="Arial"/>
          <w:sz w:val="22"/>
          <w:szCs w:val="22"/>
        </w:rPr>
        <w:t>,</w:t>
      </w:r>
      <w:r w:rsidRPr="00CB2400">
        <w:rPr>
          <w:rFonts w:ascii="Arial" w:hAnsi="Arial" w:cs="Arial"/>
          <w:sz w:val="22"/>
          <w:szCs w:val="22"/>
        </w:rPr>
        <w:t xml:space="preserve"> where Local Hospital Networks would receive the best-practice pricing payment</w:t>
      </w:r>
    </w:p>
    <w:p w14:paraId="5A6808FA" w14:textId="77777777" w:rsidR="000274FD" w:rsidRPr="00414A6D" w:rsidRDefault="000274FD" w:rsidP="007B1510">
      <w:pPr>
        <w:pStyle w:val="ListParagraph"/>
        <w:numPr>
          <w:ilvl w:val="0"/>
          <w:numId w:val="7"/>
        </w:numPr>
        <w:spacing w:before="20" w:after="60"/>
        <w:ind w:right="-85"/>
        <w:jc w:val="both"/>
        <w:rPr>
          <w:rFonts w:ascii="Arial" w:hAnsi="Arial" w:cs="Arial"/>
          <w:sz w:val="22"/>
          <w:szCs w:val="22"/>
        </w:rPr>
      </w:pPr>
      <w:r w:rsidRPr="00414A6D">
        <w:rPr>
          <w:rFonts w:ascii="Arial" w:hAnsi="Arial" w:cs="Arial"/>
          <w:sz w:val="22"/>
          <w:szCs w:val="22"/>
        </w:rPr>
        <w:t xml:space="preserve">What to pay for will be established by </w:t>
      </w:r>
      <w:r w:rsidR="00062F41" w:rsidRPr="00414A6D">
        <w:rPr>
          <w:rFonts w:ascii="Arial" w:hAnsi="Arial" w:cs="Arial"/>
          <w:sz w:val="22"/>
          <w:szCs w:val="22"/>
        </w:rPr>
        <w:t xml:space="preserve">determining </w:t>
      </w:r>
      <w:r w:rsidR="00346B84" w:rsidRPr="00414A6D">
        <w:rPr>
          <w:rFonts w:ascii="Arial" w:hAnsi="Arial" w:cs="Arial"/>
          <w:sz w:val="22"/>
          <w:szCs w:val="22"/>
        </w:rPr>
        <w:t>best-practice</w:t>
      </w:r>
      <w:r w:rsidRPr="00414A6D">
        <w:rPr>
          <w:rFonts w:ascii="Arial" w:hAnsi="Arial" w:cs="Arial"/>
          <w:sz w:val="22"/>
          <w:szCs w:val="22"/>
        </w:rPr>
        <w:t xml:space="preserve"> </w:t>
      </w:r>
      <w:r w:rsidR="00062F41" w:rsidRPr="00414A6D">
        <w:rPr>
          <w:rFonts w:ascii="Arial" w:hAnsi="Arial" w:cs="Arial"/>
          <w:sz w:val="22"/>
          <w:szCs w:val="22"/>
        </w:rPr>
        <w:t>indica</w:t>
      </w:r>
      <w:r w:rsidR="00FB6A9D" w:rsidRPr="00414A6D">
        <w:rPr>
          <w:rFonts w:ascii="Arial" w:hAnsi="Arial" w:cs="Arial"/>
          <w:sz w:val="22"/>
          <w:szCs w:val="22"/>
        </w:rPr>
        <w:t>tors</w:t>
      </w:r>
      <w:r w:rsidRPr="00414A6D">
        <w:rPr>
          <w:rFonts w:ascii="Arial" w:hAnsi="Arial" w:cs="Arial"/>
          <w:sz w:val="22"/>
          <w:szCs w:val="22"/>
        </w:rPr>
        <w:t xml:space="preserve"> </w:t>
      </w:r>
    </w:p>
    <w:p w14:paraId="642D55F4" w14:textId="77777777" w:rsidR="000274FD" w:rsidRPr="00414A6D" w:rsidRDefault="000274FD" w:rsidP="007B1510">
      <w:pPr>
        <w:pStyle w:val="ListParagraph"/>
        <w:numPr>
          <w:ilvl w:val="0"/>
          <w:numId w:val="7"/>
        </w:numPr>
        <w:spacing w:before="20" w:after="60"/>
        <w:ind w:right="-85"/>
        <w:jc w:val="both"/>
        <w:rPr>
          <w:rFonts w:ascii="Arial" w:hAnsi="Arial" w:cs="Arial"/>
          <w:sz w:val="22"/>
          <w:szCs w:val="22"/>
        </w:rPr>
      </w:pPr>
      <w:r w:rsidRPr="00414A6D">
        <w:rPr>
          <w:rFonts w:ascii="Arial" w:hAnsi="Arial" w:cs="Arial"/>
          <w:sz w:val="22"/>
          <w:szCs w:val="22"/>
        </w:rPr>
        <w:t>When it comes to how much to pay, it has been suggested that the optimal incentive size should “follow the Goldilocks principle: not too little, but not too much”.</w:t>
      </w:r>
      <w:hyperlink w:anchor="_ENREF_5" w:tooltip="Conrad DA, 2009 #151"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&lt;EndNote&gt;&lt;Cite&gt;&lt;Author&gt;Conrad DA&lt;/Author&gt;&lt;Year&gt;2009&lt;/Year&gt;&lt;RecNum&gt;151&lt;/RecNum&gt;&lt;DisplayText&gt;&lt;style face="superscript"&gt;5&lt;/style&gt;&lt;/DisplayText&gt;&lt;record&gt;&lt;rec-number&gt;151&lt;/rec-number&gt;&lt;foreign-keys&gt;&lt;key app="EN" db-id="pxsz0w0wuvwzapeptavv0erkef22f2rwz0w0"&gt;151&lt;/key&gt;&lt;/foreign-keys&gt;&lt;ref-type name="Journal Article"&gt;17&lt;/ref-type&gt;&lt;contributors&gt;&lt;authors&gt;&lt;author&gt;Conrad DA, &lt;/author&gt;&lt;author&gt;Perry L,&lt;/author&gt;&lt;/authors&gt;&lt;/contributors&gt;&lt;titles&gt;&lt;title&gt;Quality-Based Financial Incentives in Health Care: Can We Improve Quality by Paying for It?&lt;/title&gt;&lt;secondary-title&gt;Annual Review of Public Health&lt;/secondary-title&gt;&lt;/titles&gt;&lt;periodical&gt;&lt;full-title&gt;Annual Review of Public Health&lt;/full-title&gt;&lt;/periodical&gt;&lt;pages&gt;357-371&lt;/pages&gt;&lt;volume&gt;30&lt;/volume&gt;&lt;dates&gt;&lt;year&gt;2009&lt;/year&gt;&lt;/dates&gt;&lt;urls&gt;&lt;/urls&gt;&lt;/record&gt;&lt;/Cite&gt;&lt;/EndNote&gt;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5</w:t>
        </w:r>
        <w:r w:rsidR="00402FBB" w:rsidRPr="00414A6D">
          <w:rPr>
            <w:rFonts w:ascii="Arial" w:hAnsi="Arial" w:cs="Arial"/>
            <w:sz w:val="22"/>
            <w:szCs w:val="22"/>
          </w:rPr>
          <w:fldChar w:fldCharType="end"/>
        </w:r>
      </w:hyperlink>
      <w:r w:rsidRPr="00414A6D">
        <w:rPr>
          <w:rFonts w:ascii="Arial" w:hAnsi="Arial" w:cs="Arial"/>
          <w:sz w:val="22"/>
          <w:szCs w:val="22"/>
        </w:rPr>
        <w:t xml:space="preserve"> Local experience in hip fracture care from Australian stat</w:t>
      </w:r>
      <w:r w:rsidR="003C36FB" w:rsidRPr="00414A6D">
        <w:rPr>
          <w:rFonts w:ascii="Arial" w:hAnsi="Arial" w:cs="Arial"/>
          <w:sz w:val="22"/>
          <w:szCs w:val="22"/>
        </w:rPr>
        <w:t>es reflects this, as outlined below</w:t>
      </w:r>
      <w:r w:rsidRPr="00414A6D">
        <w:rPr>
          <w:rFonts w:ascii="Arial" w:hAnsi="Arial" w:cs="Arial"/>
          <w:sz w:val="22"/>
          <w:szCs w:val="22"/>
        </w:rPr>
        <w:t>.</w:t>
      </w:r>
    </w:p>
    <w:p w14:paraId="3A476A80" w14:textId="77777777" w:rsidR="00382492" w:rsidRPr="00414A6D" w:rsidRDefault="00317C70" w:rsidP="00D147A4">
      <w:pPr>
        <w:spacing w:before="120" w:after="120"/>
        <w:ind w:right="-334"/>
        <w:jc w:val="both"/>
        <w:rPr>
          <w:rFonts w:ascii="Arial" w:hAnsi="Arial" w:cs="Arial"/>
          <w:sz w:val="22"/>
          <w:szCs w:val="22"/>
        </w:rPr>
      </w:pPr>
      <w:r w:rsidRPr="00414A6D">
        <w:rPr>
          <w:rFonts w:ascii="Arial" w:hAnsi="Arial" w:cs="Arial"/>
          <w:sz w:val="22"/>
          <w:szCs w:val="22"/>
        </w:rPr>
        <w:lastRenderedPageBreak/>
        <w:t xml:space="preserve">There </w:t>
      </w:r>
      <w:r w:rsidR="007D4E9C" w:rsidRPr="00414A6D">
        <w:rPr>
          <w:rFonts w:ascii="Arial" w:hAnsi="Arial" w:cs="Arial"/>
          <w:sz w:val="22"/>
          <w:szCs w:val="22"/>
        </w:rPr>
        <w:t>are</w:t>
      </w:r>
      <w:r w:rsidRPr="00414A6D">
        <w:rPr>
          <w:rFonts w:ascii="Arial" w:hAnsi="Arial" w:cs="Arial"/>
          <w:sz w:val="22"/>
          <w:szCs w:val="22"/>
        </w:rPr>
        <w:t xml:space="preserve"> l</w:t>
      </w:r>
      <w:r w:rsidR="00382492" w:rsidRPr="00414A6D">
        <w:rPr>
          <w:rFonts w:ascii="Arial" w:hAnsi="Arial" w:cs="Arial"/>
          <w:sz w:val="22"/>
          <w:szCs w:val="22"/>
        </w:rPr>
        <w:t>ocal and international experience</w:t>
      </w:r>
      <w:r w:rsidR="007D4E9C" w:rsidRPr="00414A6D">
        <w:rPr>
          <w:rFonts w:ascii="Arial" w:hAnsi="Arial" w:cs="Arial"/>
          <w:sz w:val="22"/>
          <w:szCs w:val="22"/>
        </w:rPr>
        <w:t>s</w:t>
      </w:r>
      <w:r w:rsidR="00382492" w:rsidRPr="00414A6D">
        <w:rPr>
          <w:rFonts w:ascii="Arial" w:hAnsi="Arial" w:cs="Arial"/>
          <w:sz w:val="22"/>
          <w:szCs w:val="22"/>
        </w:rPr>
        <w:t xml:space="preserve"> in </w:t>
      </w:r>
      <w:r w:rsidR="00766CDC" w:rsidRPr="00414A6D">
        <w:rPr>
          <w:rFonts w:ascii="Arial" w:hAnsi="Arial" w:cs="Arial"/>
          <w:sz w:val="22"/>
          <w:szCs w:val="22"/>
        </w:rPr>
        <w:t xml:space="preserve">incentivising </w:t>
      </w:r>
      <w:r w:rsidR="00346B84" w:rsidRPr="00414A6D">
        <w:rPr>
          <w:rFonts w:ascii="Arial" w:hAnsi="Arial" w:cs="Arial"/>
          <w:sz w:val="22"/>
          <w:szCs w:val="22"/>
        </w:rPr>
        <w:t>best-practice</w:t>
      </w:r>
      <w:r w:rsidR="00382492" w:rsidRPr="00414A6D">
        <w:rPr>
          <w:rFonts w:ascii="Arial" w:hAnsi="Arial" w:cs="Arial"/>
          <w:sz w:val="22"/>
          <w:szCs w:val="22"/>
        </w:rPr>
        <w:t xml:space="preserve"> </w:t>
      </w:r>
      <w:r w:rsidR="00766CDC" w:rsidRPr="00414A6D">
        <w:rPr>
          <w:rFonts w:ascii="Arial" w:hAnsi="Arial" w:cs="Arial"/>
          <w:sz w:val="22"/>
          <w:szCs w:val="22"/>
        </w:rPr>
        <w:t>hip fracture care</w:t>
      </w:r>
      <w:r w:rsidR="003C36FB" w:rsidRPr="00414A6D">
        <w:rPr>
          <w:rFonts w:ascii="Arial" w:hAnsi="Arial" w:cs="Arial"/>
          <w:sz w:val="22"/>
          <w:szCs w:val="22"/>
        </w:rPr>
        <w:t xml:space="preserve"> to be drawn on, which are </w:t>
      </w:r>
      <w:r w:rsidR="00127643" w:rsidRPr="00414A6D">
        <w:rPr>
          <w:rFonts w:ascii="Arial" w:hAnsi="Arial" w:cs="Arial"/>
          <w:sz w:val="22"/>
          <w:szCs w:val="22"/>
        </w:rPr>
        <w:t>outlined below</w:t>
      </w:r>
      <w:r w:rsidR="00382492" w:rsidRPr="00414A6D">
        <w:rPr>
          <w:rFonts w:ascii="Arial" w:hAnsi="Arial" w:cs="Arial"/>
          <w:sz w:val="22"/>
          <w:szCs w:val="22"/>
        </w:rPr>
        <w:t>.</w:t>
      </w:r>
    </w:p>
    <w:p w14:paraId="60CD89D0" w14:textId="51B40BBE" w:rsidR="00382492" w:rsidRPr="00414A6D" w:rsidRDefault="00261503" w:rsidP="00112D48">
      <w:pPr>
        <w:pStyle w:val="Heading4"/>
        <w:ind w:left="397"/>
        <w:jc w:val="both"/>
        <w:rPr>
          <w:rFonts w:cs="Arial"/>
          <w:b/>
          <w:sz w:val="22"/>
        </w:rPr>
      </w:pPr>
      <w:r>
        <w:rPr>
          <w:rFonts w:cs="Arial"/>
          <w:b/>
          <w:sz w:val="22"/>
        </w:rPr>
        <w:t>2</w:t>
      </w:r>
      <w:r w:rsidR="00127643" w:rsidRPr="00414A6D">
        <w:rPr>
          <w:rFonts w:cs="Arial"/>
          <w:b/>
          <w:sz w:val="22"/>
        </w:rPr>
        <w:t>.3</w:t>
      </w:r>
      <w:r w:rsidR="00D11021" w:rsidRPr="00414A6D">
        <w:rPr>
          <w:rFonts w:cs="Arial"/>
          <w:b/>
          <w:sz w:val="22"/>
        </w:rPr>
        <w:t>.1 Australian initiatives</w:t>
      </w:r>
    </w:p>
    <w:p w14:paraId="482CDE2F" w14:textId="77777777" w:rsidR="00590018" w:rsidRPr="00414A6D" w:rsidRDefault="00D11021" w:rsidP="003C36FB">
      <w:pPr>
        <w:ind w:right="-334"/>
        <w:jc w:val="both"/>
        <w:rPr>
          <w:rFonts w:ascii="Arial" w:hAnsi="Arial" w:cs="Arial"/>
          <w:sz w:val="22"/>
          <w:szCs w:val="22"/>
        </w:rPr>
      </w:pPr>
      <w:r w:rsidRPr="00414A6D">
        <w:rPr>
          <w:rFonts w:ascii="Arial" w:hAnsi="Arial" w:cs="Arial"/>
          <w:sz w:val="22"/>
          <w:szCs w:val="22"/>
        </w:rPr>
        <w:t>T</w:t>
      </w:r>
      <w:r w:rsidR="001371B7" w:rsidRPr="00414A6D">
        <w:rPr>
          <w:rFonts w:ascii="Arial" w:hAnsi="Arial" w:cs="Arial"/>
          <w:sz w:val="22"/>
          <w:szCs w:val="22"/>
        </w:rPr>
        <w:t>wo</w:t>
      </w:r>
      <w:r w:rsidR="00382492" w:rsidRPr="00414A6D">
        <w:rPr>
          <w:rFonts w:ascii="Arial" w:hAnsi="Arial" w:cs="Arial"/>
          <w:sz w:val="22"/>
          <w:szCs w:val="22"/>
        </w:rPr>
        <w:t xml:space="preserve"> Australian </w:t>
      </w:r>
      <w:r w:rsidRPr="00414A6D">
        <w:rPr>
          <w:rFonts w:ascii="Arial" w:hAnsi="Arial" w:cs="Arial"/>
          <w:sz w:val="22"/>
          <w:szCs w:val="22"/>
        </w:rPr>
        <w:t xml:space="preserve">jurisdictions </w:t>
      </w:r>
      <w:r w:rsidR="00382492" w:rsidRPr="00414A6D">
        <w:rPr>
          <w:rFonts w:ascii="Arial" w:hAnsi="Arial" w:cs="Arial"/>
          <w:sz w:val="22"/>
          <w:szCs w:val="22"/>
        </w:rPr>
        <w:t xml:space="preserve">have implemented </w:t>
      </w:r>
      <w:r w:rsidR="00C03E33" w:rsidRPr="00414A6D">
        <w:rPr>
          <w:rFonts w:ascii="Arial" w:hAnsi="Arial" w:cs="Arial"/>
          <w:sz w:val="22"/>
          <w:szCs w:val="22"/>
        </w:rPr>
        <w:t xml:space="preserve">specific </w:t>
      </w:r>
      <w:r w:rsidR="00346B84" w:rsidRPr="00414A6D">
        <w:rPr>
          <w:rFonts w:ascii="Arial" w:hAnsi="Arial" w:cs="Arial"/>
          <w:sz w:val="22"/>
          <w:szCs w:val="22"/>
        </w:rPr>
        <w:t>best-practice</w:t>
      </w:r>
      <w:r w:rsidR="00382492" w:rsidRPr="00414A6D">
        <w:rPr>
          <w:rFonts w:ascii="Arial" w:hAnsi="Arial" w:cs="Arial"/>
          <w:sz w:val="22"/>
          <w:szCs w:val="22"/>
        </w:rPr>
        <w:t xml:space="preserve"> pricing </w:t>
      </w:r>
      <w:r w:rsidR="00C03E33" w:rsidRPr="00414A6D">
        <w:rPr>
          <w:rFonts w:ascii="Arial" w:hAnsi="Arial" w:cs="Arial"/>
          <w:sz w:val="22"/>
          <w:szCs w:val="22"/>
        </w:rPr>
        <w:t>program</w:t>
      </w:r>
      <w:r w:rsidR="007D4E9C" w:rsidRPr="00414A6D">
        <w:rPr>
          <w:rFonts w:ascii="Arial" w:hAnsi="Arial" w:cs="Arial"/>
          <w:sz w:val="22"/>
          <w:szCs w:val="22"/>
        </w:rPr>
        <w:t>s</w:t>
      </w:r>
      <w:r w:rsidR="00C03E33" w:rsidRPr="00414A6D">
        <w:rPr>
          <w:rFonts w:ascii="Arial" w:hAnsi="Arial" w:cs="Arial"/>
          <w:sz w:val="22"/>
          <w:szCs w:val="22"/>
        </w:rPr>
        <w:t xml:space="preserve"> </w:t>
      </w:r>
      <w:r w:rsidR="00382492" w:rsidRPr="00414A6D">
        <w:rPr>
          <w:rFonts w:ascii="Arial" w:hAnsi="Arial" w:cs="Arial"/>
          <w:sz w:val="22"/>
          <w:szCs w:val="22"/>
        </w:rPr>
        <w:t>in hip fracture care</w:t>
      </w:r>
      <w:r w:rsidRPr="00414A6D">
        <w:rPr>
          <w:rFonts w:ascii="Arial" w:hAnsi="Arial" w:cs="Arial"/>
          <w:sz w:val="22"/>
          <w:szCs w:val="22"/>
        </w:rPr>
        <w:t xml:space="preserve">. </w:t>
      </w:r>
      <w:r w:rsidR="001371B7" w:rsidRPr="00414A6D">
        <w:rPr>
          <w:rFonts w:ascii="Arial" w:hAnsi="Arial" w:cs="Arial"/>
          <w:sz w:val="22"/>
          <w:szCs w:val="22"/>
        </w:rPr>
        <w:t>A third</w:t>
      </w:r>
      <w:r w:rsidR="00D147A4" w:rsidRPr="00414A6D">
        <w:rPr>
          <w:rFonts w:ascii="Arial" w:hAnsi="Arial" w:cs="Arial"/>
          <w:sz w:val="22"/>
          <w:szCs w:val="22"/>
        </w:rPr>
        <w:t>, South Australia,</w:t>
      </w:r>
      <w:r w:rsidR="00382492" w:rsidRPr="00414A6D">
        <w:rPr>
          <w:rFonts w:ascii="Arial" w:hAnsi="Arial" w:cs="Arial"/>
          <w:i/>
          <w:sz w:val="22"/>
          <w:szCs w:val="22"/>
        </w:rPr>
        <w:t xml:space="preserve"> </w:t>
      </w:r>
      <w:r w:rsidR="00D147A4" w:rsidRPr="00414A6D">
        <w:rPr>
          <w:rFonts w:ascii="Arial" w:hAnsi="Arial" w:cs="Arial"/>
          <w:sz w:val="22"/>
          <w:szCs w:val="22"/>
        </w:rPr>
        <w:t xml:space="preserve">is considering </w:t>
      </w:r>
      <w:r w:rsidRPr="00414A6D">
        <w:rPr>
          <w:rFonts w:ascii="Arial" w:hAnsi="Arial" w:cs="Arial"/>
          <w:sz w:val="22"/>
          <w:szCs w:val="22"/>
        </w:rPr>
        <w:t xml:space="preserve">a similar initiative in </w:t>
      </w:r>
      <w:r w:rsidR="00382492" w:rsidRPr="00414A6D">
        <w:rPr>
          <w:rFonts w:ascii="Arial" w:hAnsi="Arial" w:cs="Arial"/>
          <w:sz w:val="22"/>
          <w:szCs w:val="22"/>
        </w:rPr>
        <w:t>2015</w:t>
      </w:r>
      <w:r w:rsidR="00062F41" w:rsidRPr="00414A6D">
        <w:rPr>
          <w:rFonts w:ascii="Arial" w:hAnsi="Arial" w:cs="Arial"/>
          <w:sz w:val="22"/>
          <w:szCs w:val="22"/>
        </w:rPr>
        <w:t>-</w:t>
      </w:r>
      <w:r w:rsidR="00382492" w:rsidRPr="00414A6D">
        <w:rPr>
          <w:rFonts w:ascii="Arial" w:hAnsi="Arial" w:cs="Arial"/>
          <w:sz w:val="22"/>
          <w:szCs w:val="22"/>
        </w:rPr>
        <w:t xml:space="preserve">16. </w:t>
      </w:r>
      <w:r w:rsidR="00590018" w:rsidRPr="00414A6D">
        <w:rPr>
          <w:rFonts w:ascii="Arial" w:hAnsi="Arial" w:cs="Arial"/>
          <w:sz w:val="22"/>
          <w:szCs w:val="22"/>
        </w:rPr>
        <w:t>The Sub</w:t>
      </w:r>
      <w:r w:rsidR="007D4E9C" w:rsidRPr="00414A6D">
        <w:rPr>
          <w:rFonts w:ascii="Arial" w:hAnsi="Arial" w:cs="Arial"/>
          <w:sz w:val="22"/>
          <w:szCs w:val="22"/>
        </w:rPr>
        <w:noBreakHyphen/>
      </w:r>
      <w:r w:rsidR="00590018" w:rsidRPr="00414A6D">
        <w:rPr>
          <w:rFonts w:ascii="Arial" w:hAnsi="Arial" w:cs="Arial"/>
          <w:sz w:val="22"/>
          <w:szCs w:val="22"/>
        </w:rPr>
        <w:t>Committee</w:t>
      </w:r>
      <w:r w:rsidR="00F5605B" w:rsidRPr="00414A6D">
        <w:rPr>
          <w:rFonts w:ascii="Arial" w:hAnsi="Arial" w:cs="Arial"/>
          <w:sz w:val="22"/>
          <w:szCs w:val="22"/>
        </w:rPr>
        <w:t xml:space="preserve">’s recommendations are informed by </w:t>
      </w:r>
      <w:r w:rsidR="00590018" w:rsidRPr="00414A6D">
        <w:rPr>
          <w:rFonts w:ascii="Arial" w:hAnsi="Arial" w:cs="Arial"/>
          <w:sz w:val="22"/>
          <w:szCs w:val="22"/>
        </w:rPr>
        <w:t xml:space="preserve">testimony </w:t>
      </w:r>
      <w:r w:rsidR="00F5605B" w:rsidRPr="00414A6D">
        <w:rPr>
          <w:rFonts w:ascii="Arial" w:hAnsi="Arial" w:cs="Arial"/>
          <w:sz w:val="22"/>
          <w:szCs w:val="22"/>
        </w:rPr>
        <w:t xml:space="preserve">received </w:t>
      </w:r>
      <w:r w:rsidR="00590018" w:rsidRPr="00414A6D">
        <w:rPr>
          <w:rFonts w:ascii="Arial" w:hAnsi="Arial" w:cs="Arial"/>
          <w:sz w:val="22"/>
          <w:szCs w:val="22"/>
        </w:rPr>
        <w:t xml:space="preserve">from senior health officials </w:t>
      </w:r>
      <w:r w:rsidR="005F737E" w:rsidRPr="00414A6D">
        <w:rPr>
          <w:rFonts w:ascii="Arial" w:hAnsi="Arial" w:cs="Arial"/>
          <w:sz w:val="22"/>
          <w:szCs w:val="22"/>
        </w:rPr>
        <w:t>from these three jurisdictions, as well as from a senior health official from Victoria regarding relevant initiat</w:t>
      </w:r>
      <w:r w:rsidR="00F5605B" w:rsidRPr="00414A6D">
        <w:rPr>
          <w:rFonts w:ascii="Arial" w:hAnsi="Arial" w:cs="Arial"/>
          <w:sz w:val="22"/>
          <w:szCs w:val="22"/>
        </w:rPr>
        <w:t>ive</w:t>
      </w:r>
      <w:r w:rsidR="005F737E" w:rsidRPr="00414A6D">
        <w:rPr>
          <w:rFonts w:ascii="Arial" w:hAnsi="Arial" w:cs="Arial"/>
          <w:sz w:val="22"/>
          <w:szCs w:val="22"/>
        </w:rPr>
        <w:t xml:space="preserve">s </w:t>
      </w:r>
      <w:r w:rsidR="00F5605B" w:rsidRPr="00414A6D">
        <w:rPr>
          <w:rFonts w:ascii="Arial" w:hAnsi="Arial" w:cs="Arial"/>
          <w:sz w:val="22"/>
          <w:szCs w:val="22"/>
        </w:rPr>
        <w:t xml:space="preserve">that cross </w:t>
      </w:r>
      <w:r w:rsidR="005F737E" w:rsidRPr="00414A6D">
        <w:rPr>
          <w:rFonts w:ascii="Arial" w:hAnsi="Arial" w:cs="Arial"/>
          <w:sz w:val="22"/>
          <w:szCs w:val="22"/>
        </w:rPr>
        <w:t xml:space="preserve">clinical areas. </w:t>
      </w:r>
      <w:r w:rsidR="00590018" w:rsidRPr="00414A6D">
        <w:rPr>
          <w:rFonts w:ascii="Arial" w:hAnsi="Arial" w:cs="Arial"/>
          <w:sz w:val="22"/>
          <w:szCs w:val="22"/>
        </w:rPr>
        <w:t xml:space="preserve"> </w:t>
      </w:r>
    </w:p>
    <w:p w14:paraId="7C5480F2" w14:textId="77777777" w:rsidR="003C36FB" w:rsidRPr="00414A6D" w:rsidRDefault="003C36FB" w:rsidP="003C36FB">
      <w:pPr>
        <w:ind w:right="-334"/>
        <w:jc w:val="both"/>
        <w:rPr>
          <w:rFonts w:ascii="Arial" w:hAnsi="Arial" w:cs="Arial"/>
          <w:sz w:val="22"/>
          <w:szCs w:val="22"/>
        </w:rPr>
      </w:pPr>
    </w:p>
    <w:p w14:paraId="50E3B5E1" w14:textId="191FD956" w:rsidR="00382492" w:rsidRPr="00414A6D" w:rsidRDefault="00382492" w:rsidP="003C36FB">
      <w:pPr>
        <w:ind w:right="-334"/>
        <w:jc w:val="both"/>
        <w:rPr>
          <w:rFonts w:ascii="Arial" w:hAnsi="Arial" w:cs="Arial"/>
          <w:sz w:val="22"/>
          <w:szCs w:val="22"/>
        </w:rPr>
      </w:pPr>
      <w:r w:rsidRPr="00414A6D">
        <w:rPr>
          <w:rFonts w:ascii="Arial" w:hAnsi="Arial" w:cs="Arial"/>
          <w:sz w:val="22"/>
          <w:szCs w:val="22"/>
        </w:rPr>
        <w:t>A summary of each of the initiatives is provided below</w:t>
      </w:r>
      <w:r w:rsidR="00D147A4" w:rsidRPr="00414A6D">
        <w:rPr>
          <w:rFonts w:ascii="Arial" w:hAnsi="Arial" w:cs="Arial"/>
          <w:sz w:val="22"/>
          <w:szCs w:val="22"/>
        </w:rPr>
        <w:t xml:space="preserve">. For more detail, refer to </w:t>
      </w:r>
      <w:r w:rsidR="00D11021" w:rsidRPr="00414A6D">
        <w:rPr>
          <w:rFonts w:ascii="Arial" w:hAnsi="Arial" w:cs="Arial"/>
          <w:sz w:val="22"/>
          <w:szCs w:val="22"/>
        </w:rPr>
        <w:t xml:space="preserve">Appendix </w:t>
      </w:r>
      <w:r w:rsidR="002023EE">
        <w:rPr>
          <w:rFonts w:ascii="Arial" w:hAnsi="Arial" w:cs="Arial"/>
          <w:sz w:val="22"/>
          <w:szCs w:val="22"/>
        </w:rPr>
        <w:t>E</w:t>
      </w:r>
      <w:r w:rsidR="00D11021" w:rsidRPr="00414A6D">
        <w:rPr>
          <w:rFonts w:ascii="Arial" w:hAnsi="Arial" w:cs="Arial"/>
          <w:sz w:val="22"/>
          <w:szCs w:val="22"/>
        </w:rPr>
        <w:t>.</w:t>
      </w:r>
    </w:p>
    <w:p w14:paraId="4AC55D37" w14:textId="3835E620" w:rsidR="00D147A4" w:rsidRPr="00414A6D" w:rsidRDefault="00D147A4" w:rsidP="00D147A4">
      <w:pPr>
        <w:spacing w:before="120" w:after="120"/>
        <w:ind w:right="-334"/>
        <w:jc w:val="both"/>
        <w:rPr>
          <w:rFonts w:ascii="Arial" w:hAnsi="Arial" w:cs="Arial"/>
          <w:b/>
          <w:sz w:val="20"/>
          <w:szCs w:val="20"/>
        </w:rPr>
      </w:pPr>
      <w:proofErr w:type="gramStart"/>
      <w:r w:rsidRPr="00414A6D">
        <w:rPr>
          <w:rFonts w:ascii="Arial" w:hAnsi="Arial" w:cs="Arial"/>
          <w:b/>
          <w:sz w:val="20"/>
          <w:szCs w:val="20"/>
        </w:rPr>
        <w:t xml:space="preserve">Table </w:t>
      </w:r>
      <w:r w:rsidR="00686288">
        <w:rPr>
          <w:rFonts w:ascii="Arial" w:hAnsi="Arial" w:cs="Arial"/>
          <w:b/>
          <w:sz w:val="20"/>
          <w:szCs w:val="20"/>
        </w:rPr>
        <w:t>2</w:t>
      </w:r>
      <w:r w:rsidRPr="00414A6D">
        <w:rPr>
          <w:rFonts w:ascii="Arial" w:hAnsi="Arial" w:cs="Arial"/>
          <w:b/>
          <w:sz w:val="20"/>
          <w:szCs w:val="20"/>
        </w:rPr>
        <w:t>.</w:t>
      </w:r>
      <w:proofErr w:type="gramEnd"/>
      <w:r w:rsidRPr="00414A6D">
        <w:rPr>
          <w:rFonts w:ascii="Arial" w:hAnsi="Arial" w:cs="Arial"/>
          <w:b/>
          <w:sz w:val="20"/>
          <w:szCs w:val="20"/>
        </w:rPr>
        <w:t xml:space="preserve"> Australian </w:t>
      </w:r>
      <w:r w:rsidR="00346B84" w:rsidRPr="00414A6D">
        <w:rPr>
          <w:rFonts w:ascii="Arial" w:hAnsi="Arial" w:cs="Arial"/>
          <w:b/>
          <w:sz w:val="20"/>
          <w:szCs w:val="20"/>
        </w:rPr>
        <w:t>best-practice</w:t>
      </w:r>
      <w:r w:rsidRPr="00414A6D">
        <w:rPr>
          <w:rFonts w:ascii="Arial" w:hAnsi="Arial" w:cs="Arial"/>
          <w:b/>
          <w:sz w:val="20"/>
          <w:szCs w:val="20"/>
        </w:rPr>
        <w:t xml:space="preserve"> pricing initiatives specific to hip fracture care.</w:t>
      </w:r>
    </w:p>
    <w:tbl>
      <w:tblPr>
        <w:tblStyle w:val="TableGrid"/>
        <w:tblW w:w="9072" w:type="dxa"/>
        <w:tblInd w:w="108" w:type="dxa"/>
        <w:tblLayout w:type="fixed"/>
        <w:tblLook w:val="04A0" w:firstRow="1" w:lastRow="0" w:firstColumn="1" w:lastColumn="0" w:noHBand="0" w:noVBand="1"/>
      </w:tblPr>
      <w:tblGrid>
        <w:gridCol w:w="1276"/>
        <w:gridCol w:w="1701"/>
        <w:gridCol w:w="1559"/>
        <w:gridCol w:w="4536"/>
      </w:tblGrid>
      <w:tr w:rsidR="001D7F68" w:rsidRPr="00414A6D" w14:paraId="5BFF34BC" w14:textId="77777777" w:rsidTr="00D147A4">
        <w:trPr>
          <w:trHeight w:val="410"/>
        </w:trPr>
        <w:tc>
          <w:tcPr>
            <w:tcW w:w="1276" w:type="dxa"/>
          </w:tcPr>
          <w:p w14:paraId="1095F714" w14:textId="77777777" w:rsidR="001D7F68" w:rsidRPr="00414A6D" w:rsidRDefault="001D7F68" w:rsidP="00D147A4">
            <w:pPr>
              <w:jc w:val="both"/>
              <w:rPr>
                <w:rFonts w:ascii="Arial" w:hAnsi="Arial" w:cs="Arial"/>
                <w:b/>
                <w:sz w:val="18"/>
                <w:szCs w:val="18"/>
              </w:rPr>
            </w:pPr>
            <w:r w:rsidRPr="00414A6D">
              <w:rPr>
                <w:rFonts w:ascii="Arial" w:hAnsi="Arial" w:cs="Arial"/>
                <w:b/>
                <w:sz w:val="18"/>
                <w:szCs w:val="18"/>
              </w:rPr>
              <w:t>Jurisdiction</w:t>
            </w:r>
          </w:p>
        </w:tc>
        <w:tc>
          <w:tcPr>
            <w:tcW w:w="1701" w:type="dxa"/>
          </w:tcPr>
          <w:p w14:paraId="6434638D" w14:textId="77777777" w:rsidR="001D7F68" w:rsidRPr="00414A6D" w:rsidRDefault="001D7F68" w:rsidP="00D147A4">
            <w:pPr>
              <w:jc w:val="both"/>
              <w:rPr>
                <w:rFonts w:ascii="Arial" w:hAnsi="Arial" w:cs="Arial"/>
                <w:b/>
                <w:sz w:val="18"/>
                <w:szCs w:val="18"/>
              </w:rPr>
            </w:pPr>
            <w:r w:rsidRPr="00414A6D">
              <w:rPr>
                <w:rFonts w:ascii="Arial" w:hAnsi="Arial" w:cs="Arial"/>
                <w:b/>
                <w:sz w:val="18"/>
                <w:szCs w:val="18"/>
              </w:rPr>
              <w:t>Program Name</w:t>
            </w:r>
          </w:p>
        </w:tc>
        <w:tc>
          <w:tcPr>
            <w:tcW w:w="1559" w:type="dxa"/>
          </w:tcPr>
          <w:p w14:paraId="48DBF549" w14:textId="77777777" w:rsidR="001D7F68" w:rsidRPr="00414A6D" w:rsidRDefault="001D7F68" w:rsidP="00D147A4">
            <w:pPr>
              <w:jc w:val="both"/>
              <w:rPr>
                <w:rFonts w:ascii="Arial" w:hAnsi="Arial" w:cs="Arial"/>
                <w:b/>
                <w:sz w:val="18"/>
                <w:szCs w:val="18"/>
              </w:rPr>
            </w:pPr>
            <w:r w:rsidRPr="00414A6D">
              <w:rPr>
                <w:rFonts w:ascii="Arial" w:hAnsi="Arial" w:cs="Arial"/>
                <w:b/>
                <w:sz w:val="18"/>
                <w:szCs w:val="18"/>
              </w:rPr>
              <w:t>Year Implemented</w:t>
            </w:r>
          </w:p>
        </w:tc>
        <w:tc>
          <w:tcPr>
            <w:tcW w:w="4536" w:type="dxa"/>
          </w:tcPr>
          <w:p w14:paraId="395DBBED" w14:textId="77777777" w:rsidR="001D7F68" w:rsidRPr="00414A6D" w:rsidRDefault="001D7F68" w:rsidP="00D147A4">
            <w:pPr>
              <w:jc w:val="both"/>
              <w:rPr>
                <w:rFonts w:ascii="Arial" w:hAnsi="Arial" w:cs="Arial"/>
                <w:b/>
                <w:sz w:val="18"/>
                <w:szCs w:val="18"/>
              </w:rPr>
            </w:pPr>
            <w:r w:rsidRPr="00414A6D">
              <w:rPr>
                <w:rFonts w:ascii="Arial" w:hAnsi="Arial" w:cs="Arial"/>
                <w:b/>
                <w:sz w:val="18"/>
                <w:szCs w:val="18"/>
              </w:rPr>
              <w:t>Details</w:t>
            </w:r>
          </w:p>
        </w:tc>
      </w:tr>
      <w:tr w:rsidR="001D7F68" w:rsidRPr="00414A6D" w14:paraId="057F55F2" w14:textId="77777777" w:rsidTr="00D147A4">
        <w:trPr>
          <w:trHeight w:val="421"/>
        </w:trPr>
        <w:tc>
          <w:tcPr>
            <w:tcW w:w="1276" w:type="dxa"/>
          </w:tcPr>
          <w:p w14:paraId="6896EEA1"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WA</w:t>
            </w:r>
          </w:p>
        </w:tc>
        <w:tc>
          <w:tcPr>
            <w:tcW w:w="1701" w:type="dxa"/>
          </w:tcPr>
          <w:p w14:paraId="014D8AA2"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 xml:space="preserve">Hip Fracture </w:t>
            </w:r>
          </w:p>
          <w:p w14:paraId="16CC0ACC"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Premium Payment</w:t>
            </w:r>
          </w:p>
        </w:tc>
        <w:tc>
          <w:tcPr>
            <w:tcW w:w="1559" w:type="dxa"/>
          </w:tcPr>
          <w:p w14:paraId="2CC6F274"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2012/13</w:t>
            </w:r>
          </w:p>
        </w:tc>
        <w:tc>
          <w:tcPr>
            <w:tcW w:w="4536" w:type="dxa"/>
          </w:tcPr>
          <w:p w14:paraId="67500FE9" w14:textId="77777777" w:rsidR="001D7F68" w:rsidRPr="00414A6D" w:rsidRDefault="00D147A4" w:rsidP="00D147A4">
            <w:pPr>
              <w:jc w:val="both"/>
              <w:rPr>
                <w:rFonts w:ascii="Arial" w:hAnsi="Arial" w:cs="Arial"/>
                <w:sz w:val="18"/>
                <w:szCs w:val="18"/>
              </w:rPr>
            </w:pPr>
            <w:r w:rsidRPr="00414A6D">
              <w:rPr>
                <w:rFonts w:ascii="Arial" w:hAnsi="Arial" w:cs="Arial"/>
                <w:sz w:val="18"/>
                <w:szCs w:val="18"/>
              </w:rPr>
              <w:t>From 2012/3, a</w:t>
            </w:r>
            <w:r w:rsidR="001D7F68" w:rsidRPr="00414A6D">
              <w:rPr>
                <w:rFonts w:ascii="Arial" w:hAnsi="Arial" w:cs="Arial"/>
                <w:sz w:val="18"/>
                <w:szCs w:val="18"/>
              </w:rPr>
              <w:t xml:space="preserve"> bonus payment of $200 is awarded per patient (</w:t>
            </w:r>
            <w:r w:rsidR="00062F41" w:rsidRPr="00414A6D">
              <w:rPr>
                <w:rFonts w:ascii="Arial" w:hAnsi="Arial" w:cs="Arial"/>
                <w:sz w:val="18"/>
                <w:szCs w:val="18"/>
              </w:rPr>
              <w:t xml:space="preserve">aged </w:t>
            </w:r>
            <w:r w:rsidR="001D7F68" w:rsidRPr="00414A6D">
              <w:rPr>
                <w:rFonts w:ascii="Arial" w:hAnsi="Arial" w:cs="Arial"/>
                <w:sz w:val="18"/>
                <w:szCs w:val="18"/>
              </w:rPr>
              <w:t>&gt;65 years) in tertiary hospitals where six clinical indicators are met.</w:t>
            </w:r>
          </w:p>
        </w:tc>
      </w:tr>
      <w:tr w:rsidR="001D7F68" w:rsidRPr="00414A6D" w14:paraId="07F4E0AC" w14:textId="77777777" w:rsidTr="00D147A4">
        <w:trPr>
          <w:trHeight w:val="626"/>
        </w:trPr>
        <w:tc>
          <w:tcPr>
            <w:tcW w:w="1276" w:type="dxa"/>
          </w:tcPr>
          <w:p w14:paraId="0110DD1D"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QLD</w:t>
            </w:r>
          </w:p>
        </w:tc>
        <w:tc>
          <w:tcPr>
            <w:tcW w:w="1701" w:type="dxa"/>
          </w:tcPr>
          <w:p w14:paraId="7EFF5DD9"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Quality Improvement Payment</w:t>
            </w:r>
          </w:p>
        </w:tc>
        <w:tc>
          <w:tcPr>
            <w:tcW w:w="1559" w:type="dxa"/>
          </w:tcPr>
          <w:p w14:paraId="25C05681"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2012/13</w:t>
            </w:r>
          </w:p>
        </w:tc>
        <w:tc>
          <w:tcPr>
            <w:tcW w:w="4536" w:type="dxa"/>
          </w:tcPr>
          <w:p w14:paraId="5EC35DDD" w14:textId="77777777" w:rsidR="001D7F68" w:rsidRPr="00414A6D" w:rsidRDefault="001D7F68" w:rsidP="00D147A4">
            <w:pPr>
              <w:jc w:val="both"/>
              <w:rPr>
                <w:rFonts w:ascii="Arial" w:hAnsi="Arial" w:cs="Arial"/>
                <w:sz w:val="18"/>
                <w:szCs w:val="18"/>
              </w:rPr>
            </w:pPr>
            <w:r w:rsidRPr="00414A6D">
              <w:rPr>
                <w:rFonts w:ascii="Arial" w:hAnsi="Arial" w:cs="Arial"/>
                <w:sz w:val="18"/>
                <w:szCs w:val="18"/>
              </w:rPr>
              <w:t>In 2014/15, the price was reduced for a weighted activity unit for fractured neck of femur (patient</w:t>
            </w:r>
            <w:r w:rsidR="002F0B59" w:rsidRPr="00414A6D">
              <w:rPr>
                <w:rFonts w:ascii="Arial" w:hAnsi="Arial" w:cs="Arial"/>
                <w:sz w:val="18"/>
                <w:szCs w:val="18"/>
              </w:rPr>
              <w:t>s</w:t>
            </w:r>
            <w:r w:rsidRPr="00414A6D">
              <w:rPr>
                <w:rFonts w:ascii="Arial" w:hAnsi="Arial" w:cs="Arial"/>
                <w:sz w:val="18"/>
                <w:szCs w:val="18"/>
              </w:rPr>
              <w:t xml:space="preserve"> </w:t>
            </w:r>
            <w:r w:rsidR="00062F41" w:rsidRPr="00414A6D">
              <w:rPr>
                <w:rFonts w:ascii="Arial" w:hAnsi="Arial" w:cs="Arial"/>
                <w:sz w:val="18"/>
                <w:szCs w:val="18"/>
              </w:rPr>
              <w:t xml:space="preserve">aged </w:t>
            </w:r>
            <w:r w:rsidRPr="00414A6D">
              <w:rPr>
                <w:rFonts w:ascii="Arial" w:hAnsi="Arial" w:cs="Arial"/>
                <w:sz w:val="18"/>
                <w:szCs w:val="18"/>
              </w:rPr>
              <w:t>&gt;60 years) by 20</w:t>
            </w:r>
            <w:r w:rsidR="002F0B59" w:rsidRPr="00414A6D">
              <w:rPr>
                <w:rFonts w:ascii="Arial" w:hAnsi="Arial" w:cs="Arial"/>
                <w:sz w:val="18"/>
                <w:szCs w:val="18"/>
              </w:rPr>
              <w:t xml:space="preserve"> per cent</w:t>
            </w:r>
            <w:r w:rsidRPr="00414A6D">
              <w:rPr>
                <w:rFonts w:ascii="Arial" w:hAnsi="Arial" w:cs="Arial"/>
                <w:sz w:val="18"/>
                <w:szCs w:val="18"/>
              </w:rPr>
              <w:t xml:space="preserve"> if the time to surgery is over 48</w:t>
            </w:r>
            <w:r w:rsidR="00062F41" w:rsidRPr="00414A6D">
              <w:rPr>
                <w:rFonts w:ascii="Arial" w:hAnsi="Arial" w:cs="Arial"/>
                <w:sz w:val="18"/>
                <w:szCs w:val="18"/>
              </w:rPr>
              <w:t> </w:t>
            </w:r>
            <w:r w:rsidRPr="00414A6D">
              <w:rPr>
                <w:rFonts w:ascii="Arial" w:hAnsi="Arial" w:cs="Arial"/>
                <w:sz w:val="18"/>
                <w:szCs w:val="18"/>
              </w:rPr>
              <w:t>hours.</w:t>
            </w:r>
          </w:p>
        </w:tc>
      </w:tr>
    </w:tbl>
    <w:p w14:paraId="585BE3D9" w14:textId="627F40F7" w:rsidR="00382492" w:rsidRPr="00414A6D" w:rsidRDefault="00261503" w:rsidP="00112D48">
      <w:pPr>
        <w:pStyle w:val="Heading4"/>
        <w:ind w:left="397"/>
        <w:jc w:val="both"/>
        <w:rPr>
          <w:rFonts w:cs="Arial"/>
          <w:sz w:val="21"/>
          <w:szCs w:val="21"/>
        </w:rPr>
      </w:pPr>
      <w:r>
        <w:rPr>
          <w:rFonts w:cs="Arial"/>
          <w:b/>
          <w:sz w:val="22"/>
        </w:rPr>
        <w:t>2</w:t>
      </w:r>
      <w:r w:rsidR="00127643" w:rsidRPr="00414A6D">
        <w:rPr>
          <w:rFonts w:cs="Arial"/>
          <w:b/>
          <w:sz w:val="22"/>
        </w:rPr>
        <w:t>.3</w:t>
      </w:r>
      <w:r w:rsidR="00D11021" w:rsidRPr="00414A6D">
        <w:rPr>
          <w:rFonts w:cs="Arial"/>
          <w:b/>
          <w:sz w:val="22"/>
        </w:rPr>
        <w:t>.2 N</w:t>
      </w:r>
      <w:r w:rsidR="000F53D2" w:rsidRPr="00414A6D">
        <w:rPr>
          <w:rFonts w:cs="Arial"/>
          <w:b/>
          <w:sz w:val="22"/>
        </w:rPr>
        <w:t xml:space="preserve">ational </w:t>
      </w:r>
      <w:r w:rsidR="00D11021" w:rsidRPr="00414A6D">
        <w:rPr>
          <w:rFonts w:cs="Arial"/>
          <w:b/>
          <w:sz w:val="22"/>
        </w:rPr>
        <w:t>H</w:t>
      </w:r>
      <w:r w:rsidR="000F53D2" w:rsidRPr="00414A6D">
        <w:rPr>
          <w:rFonts w:cs="Arial"/>
          <w:b/>
          <w:sz w:val="22"/>
        </w:rPr>
        <w:t xml:space="preserve">ealth </w:t>
      </w:r>
      <w:r w:rsidR="00D11021" w:rsidRPr="00414A6D">
        <w:rPr>
          <w:rFonts w:cs="Arial"/>
          <w:b/>
          <w:sz w:val="22"/>
        </w:rPr>
        <w:t>S</w:t>
      </w:r>
      <w:r w:rsidR="000F53D2" w:rsidRPr="00414A6D">
        <w:rPr>
          <w:rFonts w:cs="Arial"/>
          <w:b/>
          <w:sz w:val="22"/>
        </w:rPr>
        <w:t>ervice</w:t>
      </w:r>
      <w:r w:rsidR="00D11021" w:rsidRPr="00414A6D">
        <w:rPr>
          <w:rFonts w:cs="Arial"/>
          <w:b/>
          <w:sz w:val="22"/>
        </w:rPr>
        <w:t xml:space="preserve"> </w:t>
      </w:r>
      <w:r w:rsidR="00346B84" w:rsidRPr="00414A6D">
        <w:rPr>
          <w:rFonts w:cs="Arial"/>
          <w:b/>
          <w:sz w:val="22"/>
        </w:rPr>
        <w:t>Best-practice</w:t>
      </w:r>
      <w:r w:rsidR="00D11021" w:rsidRPr="00414A6D">
        <w:rPr>
          <w:rFonts w:cs="Arial"/>
          <w:b/>
          <w:sz w:val="22"/>
        </w:rPr>
        <w:t xml:space="preserve"> Tariffs </w:t>
      </w:r>
    </w:p>
    <w:p w14:paraId="5840F2F8" w14:textId="11692034" w:rsidR="00382492" w:rsidRPr="00414A6D" w:rsidRDefault="00382492" w:rsidP="00D147A4">
      <w:pPr>
        <w:autoSpaceDE w:val="0"/>
        <w:autoSpaceDN w:val="0"/>
        <w:adjustRightInd w:val="0"/>
        <w:jc w:val="both"/>
        <w:rPr>
          <w:rFonts w:ascii="Arial" w:hAnsi="Arial" w:cs="Arial"/>
          <w:sz w:val="22"/>
          <w:szCs w:val="22"/>
        </w:rPr>
      </w:pPr>
      <w:r w:rsidRPr="00414A6D">
        <w:rPr>
          <w:rFonts w:ascii="Arial" w:hAnsi="Arial" w:cs="Arial"/>
          <w:sz w:val="22"/>
          <w:szCs w:val="22"/>
        </w:rPr>
        <w:t xml:space="preserve">The </w:t>
      </w:r>
      <w:r w:rsidR="00C03E33" w:rsidRPr="00414A6D">
        <w:rPr>
          <w:rFonts w:ascii="Arial" w:hAnsi="Arial" w:cs="Arial"/>
          <w:sz w:val="22"/>
          <w:szCs w:val="22"/>
        </w:rPr>
        <w:t xml:space="preserve">United Kingdom’s </w:t>
      </w:r>
      <w:r w:rsidRPr="00414A6D">
        <w:rPr>
          <w:rFonts w:ascii="Arial" w:hAnsi="Arial" w:cs="Arial"/>
          <w:sz w:val="22"/>
          <w:szCs w:val="22"/>
        </w:rPr>
        <w:t>N</w:t>
      </w:r>
      <w:r w:rsidR="009E5117">
        <w:rPr>
          <w:rFonts w:ascii="Arial" w:hAnsi="Arial" w:cs="Arial"/>
          <w:sz w:val="22"/>
          <w:szCs w:val="22"/>
        </w:rPr>
        <w:t xml:space="preserve">ational </w:t>
      </w:r>
      <w:r w:rsidRPr="00414A6D">
        <w:rPr>
          <w:rFonts w:ascii="Arial" w:hAnsi="Arial" w:cs="Arial"/>
          <w:sz w:val="22"/>
          <w:szCs w:val="22"/>
        </w:rPr>
        <w:t>H</w:t>
      </w:r>
      <w:r w:rsidR="009E5117">
        <w:rPr>
          <w:rFonts w:ascii="Arial" w:hAnsi="Arial" w:cs="Arial"/>
          <w:sz w:val="22"/>
          <w:szCs w:val="22"/>
        </w:rPr>
        <w:t xml:space="preserve">ealth </w:t>
      </w:r>
      <w:r w:rsidRPr="00414A6D">
        <w:rPr>
          <w:rFonts w:ascii="Arial" w:hAnsi="Arial" w:cs="Arial"/>
          <w:sz w:val="22"/>
          <w:szCs w:val="22"/>
        </w:rPr>
        <w:t>S</w:t>
      </w:r>
      <w:r w:rsidR="009E5117">
        <w:rPr>
          <w:rFonts w:ascii="Arial" w:hAnsi="Arial" w:cs="Arial"/>
          <w:sz w:val="22"/>
          <w:szCs w:val="22"/>
        </w:rPr>
        <w:t>ervice (NHS) best</w:t>
      </w:r>
      <w:r w:rsidR="00516A15">
        <w:rPr>
          <w:rFonts w:ascii="Arial" w:hAnsi="Arial" w:cs="Arial"/>
          <w:sz w:val="22"/>
          <w:szCs w:val="22"/>
        </w:rPr>
        <w:t>-</w:t>
      </w:r>
      <w:r w:rsidR="009E5117">
        <w:rPr>
          <w:rFonts w:ascii="Arial" w:hAnsi="Arial" w:cs="Arial"/>
          <w:sz w:val="22"/>
          <w:szCs w:val="22"/>
        </w:rPr>
        <w:t>practice tariff</w:t>
      </w:r>
      <w:r w:rsidRPr="00414A6D">
        <w:rPr>
          <w:rFonts w:ascii="Arial" w:hAnsi="Arial" w:cs="Arial"/>
          <w:sz w:val="22"/>
          <w:szCs w:val="22"/>
        </w:rPr>
        <w:t xml:space="preserve"> </w:t>
      </w:r>
      <w:r w:rsidR="009E5117">
        <w:rPr>
          <w:rFonts w:ascii="Arial" w:hAnsi="Arial" w:cs="Arial"/>
          <w:sz w:val="22"/>
          <w:szCs w:val="22"/>
        </w:rPr>
        <w:t>(</w:t>
      </w:r>
      <w:r w:rsidRPr="009E5117">
        <w:rPr>
          <w:rFonts w:ascii="Arial" w:hAnsi="Arial" w:cs="Arial"/>
          <w:sz w:val="22"/>
          <w:szCs w:val="22"/>
        </w:rPr>
        <w:t>BPT</w:t>
      </w:r>
      <w:r w:rsidR="009E5117">
        <w:rPr>
          <w:rFonts w:ascii="Arial" w:hAnsi="Arial" w:cs="Arial"/>
          <w:sz w:val="22"/>
          <w:szCs w:val="22"/>
        </w:rPr>
        <w:t>)</w:t>
      </w:r>
      <w:r w:rsidRPr="00414A6D">
        <w:rPr>
          <w:rFonts w:ascii="Arial" w:hAnsi="Arial" w:cs="Arial"/>
          <w:sz w:val="22"/>
          <w:szCs w:val="22"/>
        </w:rPr>
        <w:t xml:space="preserve"> program pays differential prices for a set of hospital procedures/interventions in which specified processes and </w:t>
      </w:r>
      <w:r w:rsidR="00EF72E4" w:rsidRPr="00414A6D">
        <w:rPr>
          <w:rFonts w:ascii="Arial" w:hAnsi="Arial" w:cs="Arial"/>
          <w:sz w:val="22"/>
          <w:szCs w:val="22"/>
        </w:rPr>
        <w:t xml:space="preserve">multiple </w:t>
      </w:r>
      <w:r w:rsidRPr="00414A6D">
        <w:rPr>
          <w:rFonts w:ascii="Arial" w:hAnsi="Arial" w:cs="Arial"/>
          <w:sz w:val="22"/>
          <w:szCs w:val="22"/>
        </w:rPr>
        <w:t xml:space="preserve">elements of </w:t>
      </w:r>
      <w:r w:rsidR="00346B84" w:rsidRPr="00414A6D">
        <w:rPr>
          <w:rFonts w:ascii="Arial" w:hAnsi="Arial" w:cs="Arial"/>
          <w:sz w:val="22"/>
          <w:szCs w:val="22"/>
        </w:rPr>
        <w:t>best-practice</w:t>
      </w:r>
      <w:r w:rsidRPr="00414A6D">
        <w:rPr>
          <w:rFonts w:ascii="Arial" w:hAnsi="Arial" w:cs="Arial"/>
          <w:sz w:val="22"/>
          <w:szCs w:val="22"/>
        </w:rPr>
        <w:t xml:space="preserve"> are met. The fragility hip fracture </w:t>
      </w:r>
      <w:r w:rsidR="00127643" w:rsidRPr="00414A6D">
        <w:rPr>
          <w:rFonts w:ascii="Arial" w:hAnsi="Arial" w:cs="Arial"/>
          <w:sz w:val="22"/>
          <w:szCs w:val="22"/>
        </w:rPr>
        <w:t>BPT, one of several conditions to which an incentive has been applied,</w:t>
      </w:r>
      <w:r w:rsidR="00C351C6" w:rsidRPr="00414A6D">
        <w:rPr>
          <w:rFonts w:ascii="Arial" w:hAnsi="Arial" w:cs="Arial"/>
          <w:sz w:val="22"/>
          <w:szCs w:val="22"/>
        </w:rPr>
        <w:t xml:space="preserve"> </w:t>
      </w:r>
      <w:r w:rsidRPr="00414A6D">
        <w:rPr>
          <w:rFonts w:ascii="Arial" w:hAnsi="Arial" w:cs="Arial"/>
          <w:sz w:val="22"/>
          <w:szCs w:val="22"/>
        </w:rPr>
        <w:t>was established in 2010</w:t>
      </w:r>
      <w:r w:rsidR="00062F41" w:rsidRPr="00414A6D">
        <w:rPr>
          <w:rFonts w:ascii="Arial" w:hAnsi="Arial" w:cs="Arial"/>
          <w:sz w:val="22"/>
          <w:szCs w:val="22"/>
        </w:rPr>
        <w:t>-</w:t>
      </w:r>
      <w:r w:rsidRPr="00414A6D">
        <w:rPr>
          <w:rFonts w:ascii="Arial" w:hAnsi="Arial" w:cs="Arial"/>
          <w:sz w:val="22"/>
          <w:szCs w:val="22"/>
        </w:rPr>
        <w:t>11 and has evolved to reward care meeting the following elements:</w:t>
      </w:r>
    </w:p>
    <w:p w14:paraId="4EB5E697" w14:textId="77777777" w:rsidR="00BC73AA" w:rsidRPr="00414A6D" w:rsidRDefault="00BC73AA" w:rsidP="00D147A4">
      <w:pPr>
        <w:autoSpaceDE w:val="0"/>
        <w:autoSpaceDN w:val="0"/>
        <w:adjustRightInd w:val="0"/>
        <w:jc w:val="both"/>
        <w:rPr>
          <w:rFonts w:ascii="Arial" w:hAnsi="Arial" w:cs="Arial"/>
          <w:sz w:val="22"/>
          <w:szCs w:val="22"/>
        </w:rPr>
      </w:pPr>
    </w:p>
    <w:p w14:paraId="335C082C" w14:textId="15AC8A57" w:rsidR="00382492" w:rsidRPr="00414A6D" w:rsidRDefault="00881A8D" w:rsidP="00D147A4">
      <w:pPr>
        <w:autoSpaceDE w:val="0"/>
        <w:autoSpaceDN w:val="0"/>
        <w:adjustRightInd w:val="0"/>
        <w:spacing w:line="276" w:lineRule="auto"/>
        <w:jc w:val="both"/>
        <w:rPr>
          <w:rFonts w:ascii="Arial" w:hAnsi="Arial" w:cs="Arial"/>
          <w:b/>
          <w:sz w:val="20"/>
          <w:szCs w:val="20"/>
        </w:rPr>
      </w:pPr>
      <w:proofErr w:type="gramStart"/>
      <w:r w:rsidRPr="00414A6D">
        <w:rPr>
          <w:rFonts w:ascii="Arial" w:hAnsi="Arial" w:cs="Arial"/>
          <w:b/>
          <w:sz w:val="20"/>
          <w:szCs w:val="20"/>
        </w:rPr>
        <w:t xml:space="preserve">Table </w:t>
      </w:r>
      <w:r w:rsidR="00686288">
        <w:rPr>
          <w:rFonts w:ascii="Arial" w:hAnsi="Arial" w:cs="Arial"/>
          <w:b/>
          <w:sz w:val="20"/>
          <w:szCs w:val="20"/>
        </w:rPr>
        <w:t>3</w:t>
      </w:r>
      <w:r w:rsidR="00382492" w:rsidRPr="00414A6D">
        <w:rPr>
          <w:rFonts w:ascii="Arial" w:hAnsi="Arial" w:cs="Arial"/>
          <w:b/>
          <w:sz w:val="20"/>
          <w:szCs w:val="20"/>
        </w:rPr>
        <w:t>.</w:t>
      </w:r>
      <w:proofErr w:type="gramEnd"/>
      <w:r w:rsidR="00382492" w:rsidRPr="00414A6D">
        <w:rPr>
          <w:rFonts w:ascii="Arial" w:hAnsi="Arial" w:cs="Arial"/>
          <w:b/>
          <w:sz w:val="20"/>
          <w:szCs w:val="20"/>
        </w:rPr>
        <w:t xml:space="preserve"> The eight NHS Fragility Hip Fracture clinical care elements</w:t>
      </w:r>
    </w:p>
    <w:tbl>
      <w:tblPr>
        <w:tblStyle w:val="TableGrid"/>
        <w:tblW w:w="0" w:type="auto"/>
        <w:jc w:val="center"/>
        <w:tblLook w:val="04A0" w:firstRow="1" w:lastRow="0" w:firstColumn="1" w:lastColumn="0" w:noHBand="0" w:noVBand="1"/>
      </w:tblPr>
      <w:tblGrid>
        <w:gridCol w:w="353"/>
        <w:gridCol w:w="6875"/>
      </w:tblGrid>
      <w:tr w:rsidR="00382492" w:rsidRPr="00414A6D" w14:paraId="296445CF" w14:textId="77777777" w:rsidTr="00191FCB">
        <w:trPr>
          <w:jc w:val="center"/>
        </w:trPr>
        <w:tc>
          <w:tcPr>
            <w:tcW w:w="353" w:type="dxa"/>
          </w:tcPr>
          <w:p w14:paraId="6CB2473D"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1</w:t>
            </w:r>
          </w:p>
        </w:tc>
        <w:tc>
          <w:tcPr>
            <w:tcW w:w="6875" w:type="dxa"/>
          </w:tcPr>
          <w:p w14:paraId="0E63E566"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Surgery within 36 hours of admission</w:t>
            </w:r>
          </w:p>
        </w:tc>
      </w:tr>
      <w:tr w:rsidR="00382492" w:rsidRPr="00414A6D" w14:paraId="7C61E0F3" w14:textId="77777777" w:rsidTr="00191FCB">
        <w:trPr>
          <w:jc w:val="center"/>
        </w:trPr>
        <w:tc>
          <w:tcPr>
            <w:tcW w:w="353" w:type="dxa"/>
          </w:tcPr>
          <w:p w14:paraId="06D6E22E"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2</w:t>
            </w:r>
          </w:p>
        </w:tc>
        <w:tc>
          <w:tcPr>
            <w:tcW w:w="6875" w:type="dxa"/>
          </w:tcPr>
          <w:p w14:paraId="7CAFB93A"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Shared care by surgeon and geriatrician</w:t>
            </w:r>
          </w:p>
        </w:tc>
      </w:tr>
      <w:tr w:rsidR="00382492" w:rsidRPr="00414A6D" w14:paraId="69880C70" w14:textId="77777777" w:rsidTr="00191FCB">
        <w:trPr>
          <w:jc w:val="center"/>
        </w:trPr>
        <w:tc>
          <w:tcPr>
            <w:tcW w:w="353" w:type="dxa"/>
          </w:tcPr>
          <w:p w14:paraId="51FFC648"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3</w:t>
            </w:r>
          </w:p>
        </w:tc>
        <w:tc>
          <w:tcPr>
            <w:tcW w:w="6875" w:type="dxa"/>
          </w:tcPr>
          <w:p w14:paraId="5C66A9AC"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Admission using a care protocol agreed by geriatrician, surgeon and anaesthetist</w:t>
            </w:r>
          </w:p>
        </w:tc>
      </w:tr>
      <w:tr w:rsidR="00382492" w:rsidRPr="00414A6D" w14:paraId="2AB8F17C" w14:textId="77777777" w:rsidTr="00191FCB">
        <w:trPr>
          <w:jc w:val="center"/>
        </w:trPr>
        <w:tc>
          <w:tcPr>
            <w:tcW w:w="353" w:type="dxa"/>
          </w:tcPr>
          <w:p w14:paraId="2352268A"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4</w:t>
            </w:r>
          </w:p>
        </w:tc>
        <w:tc>
          <w:tcPr>
            <w:tcW w:w="6875" w:type="dxa"/>
          </w:tcPr>
          <w:p w14:paraId="219D4DA8"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Assessment by geriatrician within 72 hours of admission</w:t>
            </w:r>
          </w:p>
        </w:tc>
      </w:tr>
      <w:tr w:rsidR="00382492" w:rsidRPr="00414A6D" w14:paraId="13414C07" w14:textId="77777777" w:rsidTr="00191FCB">
        <w:trPr>
          <w:jc w:val="center"/>
        </w:trPr>
        <w:tc>
          <w:tcPr>
            <w:tcW w:w="353" w:type="dxa"/>
          </w:tcPr>
          <w:p w14:paraId="1414F884"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5</w:t>
            </w:r>
          </w:p>
        </w:tc>
        <w:tc>
          <w:tcPr>
            <w:tcW w:w="6875" w:type="dxa"/>
          </w:tcPr>
          <w:p w14:paraId="038EAAF6"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Pre- and post</w:t>
            </w:r>
            <w:r w:rsidR="007D4E9C" w:rsidRPr="00414A6D">
              <w:rPr>
                <w:rFonts w:ascii="Arial" w:hAnsi="Arial" w:cs="Arial"/>
                <w:sz w:val="18"/>
                <w:szCs w:val="18"/>
              </w:rPr>
              <w:t>-</w:t>
            </w:r>
            <w:r w:rsidRPr="00414A6D">
              <w:rPr>
                <w:rFonts w:ascii="Arial" w:hAnsi="Arial" w:cs="Arial"/>
                <w:sz w:val="18"/>
                <w:szCs w:val="18"/>
              </w:rPr>
              <w:t>operative abbreviated mental test score (AMTS) assessment</w:t>
            </w:r>
          </w:p>
        </w:tc>
      </w:tr>
      <w:tr w:rsidR="00382492" w:rsidRPr="00414A6D" w14:paraId="7B14175D" w14:textId="77777777" w:rsidTr="00191FCB">
        <w:trPr>
          <w:jc w:val="center"/>
        </w:trPr>
        <w:tc>
          <w:tcPr>
            <w:tcW w:w="353" w:type="dxa"/>
          </w:tcPr>
          <w:p w14:paraId="4B0E65E9"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6</w:t>
            </w:r>
          </w:p>
        </w:tc>
        <w:tc>
          <w:tcPr>
            <w:tcW w:w="6875" w:type="dxa"/>
          </w:tcPr>
          <w:p w14:paraId="02686C6C"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Geriatrician-led multidisciplinary rehabilitation</w:t>
            </w:r>
          </w:p>
        </w:tc>
      </w:tr>
      <w:tr w:rsidR="00382492" w:rsidRPr="00414A6D" w14:paraId="0DD0A974" w14:textId="77777777" w:rsidTr="00191FCB">
        <w:trPr>
          <w:jc w:val="center"/>
        </w:trPr>
        <w:tc>
          <w:tcPr>
            <w:tcW w:w="353" w:type="dxa"/>
          </w:tcPr>
          <w:p w14:paraId="4CD14A77"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7</w:t>
            </w:r>
          </w:p>
        </w:tc>
        <w:tc>
          <w:tcPr>
            <w:tcW w:w="6875" w:type="dxa"/>
          </w:tcPr>
          <w:p w14:paraId="14229591"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Secondary prevention of falls</w:t>
            </w:r>
          </w:p>
        </w:tc>
      </w:tr>
      <w:tr w:rsidR="00382492" w:rsidRPr="00414A6D" w14:paraId="61DD7688" w14:textId="77777777" w:rsidTr="00191FCB">
        <w:trPr>
          <w:jc w:val="center"/>
        </w:trPr>
        <w:tc>
          <w:tcPr>
            <w:tcW w:w="353" w:type="dxa"/>
          </w:tcPr>
          <w:p w14:paraId="19018F73" w14:textId="77777777" w:rsidR="00382492" w:rsidRPr="00414A6D" w:rsidRDefault="00382492" w:rsidP="00D147A4">
            <w:pPr>
              <w:autoSpaceDE w:val="0"/>
              <w:autoSpaceDN w:val="0"/>
              <w:adjustRightInd w:val="0"/>
              <w:spacing w:line="276" w:lineRule="auto"/>
              <w:jc w:val="both"/>
              <w:rPr>
                <w:rFonts w:ascii="Arial" w:hAnsi="Arial" w:cs="Arial"/>
                <w:b/>
                <w:sz w:val="18"/>
                <w:szCs w:val="18"/>
              </w:rPr>
            </w:pPr>
            <w:r w:rsidRPr="00414A6D">
              <w:rPr>
                <w:rFonts w:ascii="Arial" w:hAnsi="Arial" w:cs="Arial"/>
                <w:b/>
                <w:sz w:val="18"/>
                <w:szCs w:val="18"/>
              </w:rPr>
              <w:t>8</w:t>
            </w:r>
          </w:p>
        </w:tc>
        <w:tc>
          <w:tcPr>
            <w:tcW w:w="6875" w:type="dxa"/>
          </w:tcPr>
          <w:p w14:paraId="6BE8ED1E" w14:textId="77777777" w:rsidR="00382492" w:rsidRPr="00414A6D" w:rsidRDefault="00382492" w:rsidP="00D147A4">
            <w:pPr>
              <w:autoSpaceDE w:val="0"/>
              <w:autoSpaceDN w:val="0"/>
              <w:adjustRightInd w:val="0"/>
              <w:spacing w:line="276" w:lineRule="auto"/>
              <w:jc w:val="both"/>
              <w:rPr>
                <w:rFonts w:ascii="Arial" w:hAnsi="Arial" w:cs="Arial"/>
                <w:sz w:val="18"/>
                <w:szCs w:val="18"/>
              </w:rPr>
            </w:pPr>
            <w:r w:rsidRPr="00414A6D">
              <w:rPr>
                <w:rFonts w:ascii="Arial" w:hAnsi="Arial" w:cs="Arial"/>
                <w:sz w:val="18"/>
                <w:szCs w:val="18"/>
              </w:rPr>
              <w:t>Bone health assessment</w:t>
            </w:r>
          </w:p>
        </w:tc>
      </w:tr>
    </w:tbl>
    <w:p w14:paraId="08192922" w14:textId="77777777" w:rsidR="00382492" w:rsidRPr="00414A6D" w:rsidRDefault="00382492" w:rsidP="00062F41">
      <w:pPr>
        <w:spacing w:before="120" w:after="120"/>
        <w:jc w:val="both"/>
        <w:rPr>
          <w:rFonts w:ascii="Arial" w:hAnsi="Arial" w:cs="Arial"/>
          <w:sz w:val="22"/>
          <w:szCs w:val="22"/>
        </w:rPr>
      </w:pPr>
      <w:r w:rsidRPr="00414A6D">
        <w:rPr>
          <w:rFonts w:ascii="Arial" w:hAnsi="Arial" w:cs="Arial"/>
          <w:sz w:val="22"/>
          <w:szCs w:val="22"/>
        </w:rPr>
        <w:t>In a 2012 audit of the BPT program, the Audit Commission found that NHS organisations found the detail of the payment models difficult to understand and sometimes complex to implement.</w:t>
      </w:r>
      <w:hyperlink w:anchor="_ENREF_6" w:tooltip="Audit Commission, 2012 #93"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&lt;EndNote&gt;&lt;Cite&gt;&lt;Author&gt;Audit Commission&lt;/Author&gt;&lt;Year&gt;2012&lt;/Year&gt;&lt;RecNum&gt;93&lt;/RecNum&gt;&lt;DisplayText&gt;&lt;style face="superscript"&gt;6&lt;/style&gt;&lt;/DisplayText&gt;&lt;record&gt;&lt;rec-number&gt;93&lt;/rec-number&gt;&lt;foreign-keys&gt;&lt;key app="EN" db-id="pxsz0w0wuvwzapeptavv0erkef22f2rwz0w0"&gt;93&lt;/key&gt;&lt;/foreign-keys&gt;&lt;ref-type name="Report"&gt;27&lt;/ref-type&gt;&lt;contributors&gt;&lt;authors&gt;&lt;author&gt;Audit Commission,&lt;/author&gt;&lt;/authors&gt;&lt;/contributors&gt;&lt;titles&gt;&lt;title&gt;Best Practice Tariffs and their impact.&lt;/title&gt;&lt;/titles&gt;&lt;dates&gt;&lt;year&gt;2012&lt;/year&gt;&lt;/dates&gt;&lt;pub-location&gt;United Kingdom&lt;/pub-location&gt;&lt;urls&gt;&lt;related-urls&gt;&lt;url&gt;http://www.audit-commission.gov.uk/2012/11/best-practice-tariffs-and-their-impact/&lt;/url&gt;&lt;/related-urls&gt;&lt;/urls&gt;&lt;/record&gt;&lt;/Cite&gt;&lt;/EndNote&gt;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6</w:t>
        </w:r>
        <w:r w:rsidR="00402FBB" w:rsidRPr="00414A6D">
          <w:rPr>
            <w:rFonts w:ascii="Arial" w:hAnsi="Arial" w:cs="Arial"/>
            <w:sz w:val="22"/>
            <w:szCs w:val="22"/>
          </w:rPr>
          <w:fldChar w:fldCharType="end"/>
        </w:r>
      </w:hyperlink>
      <w:r w:rsidRPr="00414A6D">
        <w:rPr>
          <w:rFonts w:ascii="Arial" w:hAnsi="Arial" w:cs="Arial"/>
          <w:sz w:val="22"/>
          <w:szCs w:val="22"/>
        </w:rPr>
        <w:t xml:space="preserve"> Consistency in achieving all of the elements in every case was </w:t>
      </w:r>
      <w:r w:rsidR="00EF72E4" w:rsidRPr="00414A6D">
        <w:rPr>
          <w:rFonts w:ascii="Arial" w:hAnsi="Arial" w:cs="Arial"/>
          <w:sz w:val="22"/>
          <w:szCs w:val="22"/>
        </w:rPr>
        <w:t xml:space="preserve">deemed to be </w:t>
      </w:r>
      <w:r w:rsidRPr="00414A6D">
        <w:rPr>
          <w:rFonts w:ascii="Arial" w:hAnsi="Arial" w:cs="Arial"/>
          <w:sz w:val="22"/>
          <w:szCs w:val="22"/>
        </w:rPr>
        <w:t>the main stumbling block within the hip fracture payment in delivering both high quality care and claiming the payment. Data quality was also an issue with Primary Care Trusts often making payments without proper evidence of compliance.</w:t>
      </w:r>
    </w:p>
    <w:p w14:paraId="484BBC24" w14:textId="593186E2" w:rsidR="00127643" w:rsidRPr="00414A6D" w:rsidRDefault="00C351C6" w:rsidP="00C85136">
      <w:pPr>
        <w:spacing w:after="120"/>
        <w:jc w:val="both"/>
        <w:rPr>
          <w:rFonts w:ascii="Arial" w:hAnsi="Arial" w:cs="Arial"/>
          <w:sz w:val="22"/>
          <w:szCs w:val="22"/>
        </w:rPr>
      </w:pPr>
      <w:r w:rsidRPr="00414A6D">
        <w:rPr>
          <w:rFonts w:ascii="Arial" w:hAnsi="Arial" w:cs="Arial"/>
          <w:sz w:val="22"/>
          <w:szCs w:val="22"/>
        </w:rPr>
        <w:t>A more recent evaluation found</w:t>
      </w:r>
      <w:r w:rsidR="00C85136">
        <w:rPr>
          <w:rFonts w:ascii="Arial" w:hAnsi="Arial" w:cs="Arial"/>
          <w:sz w:val="22"/>
          <w:szCs w:val="22"/>
        </w:rPr>
        <w:t xml:space="preserve"> </w:t>
      </w:r>
      <w:r w:rsidR="00C85136" w:rsidRPr="00C85136">
        <w:rPr>
          <w:rFonts w:ascii="Arial" w:hAnsi="Arial" w:cs="Arial"/>
          <w:sz w:val="22"/>
          <w:szCs w:val="22"/>
        </w:rPr>
        <w:t xml:space="preserve"> evidence of</w:t>
      </w:r>
      <w:r w:rsidR="00573D91">
        <w:rPr>
          <w:rFonts w:ascii="Arial" w:hAnsi="Arial" w:cs="Arial"/>
          <w:sz w:val="22"/>
          <w:szCs w:val="22"/>
        </w:rPr>
        <w:t xml:space="preserve"> </w:t>
      </w:r>
      <w:r w:rsidR="00C85136" w:rsidRPr="00C85136">
        <w:rPr>
          <w:rFonts w:ascii="Arial" w:hAnsi="Arial" w:cs="Arial"/>
          <w:sz w:val="22"/>
          <w:szCs w:val="22"/>
        </w:rPr>
        <w:t>improvements in process quality and outcomes</w:t>
      </w:r>
      <w:r w:rsidR="00573D91">
        <w:rPr>
          <w:rFonts w:ascii="Arial" w:hAnsi="Arial" w:cs="Arial"/>
          <w:sz w:val="22"/>
          <w:szCs w:val="22"/>
        </w:rPr>
        <w:t xml:space="preserve"> for the hip fracture BPT</w:t>
      </w:r>
      <w:r w:rsidR="005B0E56" w:rsidRPr="00414A6D">
        <w:rPr>
          <w:rFonts w:ascii="Arial" w:hAnsi="Arial" w:cs="Arial"/>
          <w:sz w:val="22"/>
          <w:szCs w:val="22"/>
        </w:rPr>
        <w:t>.</w:t>
      </w:r>
      <w:hyperlink w:anchor="_ENREF_7" w:tooltip="Charlesworth A, 2014 #152"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&lt;EndNote&gt;&lt;Cite&gt;&lt;Author&gt;Charlesworth A&lt;/Author&gt;&lt;Year&gt;2014&lt;/Year&gt;&lt;RecNum&gt;152&lt;/RecNum&gt;&lt;DisplayText&gt;&lt;style face="superscript"&gt;7&lt;/style&gt;&lt;/DisplayText&gt;&lt;record&gt;&lt;rec-number&gt;152&lt;/rec-number&gt;&lt;foreign-keys&gt;&lt;key app="EN" db-id="pxsz0w0wuvwzapeptavv0erkef22f2rwz0w0"&gt;152&lt;/key&gt;&lt;/foreign-keys&gt;&lt;ref-type name="Report"&gt;27&lt;/ref-type&gt;&lt;contributors&gt;&lt;authors&gt;&lt;author&gt;Charlesworth A, &lt;/author&gt;&lt;author&gt;Hawkins L, &lt;/author&gt;&lt;author&gt;Marshall L,&lt;/author&gt;&lt;/authors&gt;&lt;secondary-authors&gt;&lt;author&gt;Nuffield Trust,&lt;/author&gt;&lt;/secondary-authors&gt;&lt;/contributors&gt;&lt;titles&gt;&lt;title&gt;NHS payment reform: lessons from the past and directions for the future&lt;/title&gt;&lt;/titles&gt;&lt;dates&gt;&lt;year&gt;2014&lt;/year&gt;&lt;/dates&gt;&lt;urls&gt;&lt;/urls&gt;&lt;/record&gt;&lt;/Cite&gt;&lt;/EndNote&gt;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7</w:t>
        </w:r>
        <w:r w:rsidR="00402FBB" w:rsidRPr="00414A6D">
          <w:rPr>
            <w:rFonts w:ascii="Arial" w:hAnsi="Arial" w:cs="Arial"/>
            <w:sz w:val="22"/>
            <w:szCs w:val="22"/>
          </w:rPr>
          <w:fldChar w:fldCharType="end"/>
        </w:r>
      </w:hyperlink>
      <w:r w:rsidR="00EF72E4" w:rsidRPr="00414A6D">
        <w:rPr>
          <w:rFonts w:ascii="Arial" w:hAnsi="Arial" w:cs="Arial"/>
          <w:sz w:val="22"/>
          <w:szCs w:val="22"/>
        </w:rPr>
        <w:t xml:space="preserve"> Testimony to the Sub-Committee by individuals in the UK</w:t>
      </w:r>
      <w:r w:rsidR="00FB3904" w:rsidRPr="00414A6D">
        <w:rPr>
          <w:rFonts w:ascii="Arial" w:hAnsi="Arial" w:cs="Arial"/>
          <w:sz w:val="22"/>
          <w:szCs w:val="22"/>
        </w:rPr>
        <w:t xml:space="preserve"> suggest</w:t>
      </w:r>
      <w:r w:rsidR="001B658A" w:rsidRPr="00414A6D">
        <w:rPr>
          <w:rFonts w:ascii="Arial" w:hAnsi="Arial" w:cs="Arial"/>
          <w:sz w:val="22"/>
          <w:szCs w:val="22"/>
        </w:rPr>
        <w:t>s</w:t>
      </w:r>
      <w:r w:rsidR="00FB3904" w:rsidRPr="00414A6D">
        <w:rPr>
          <w:rFonts w:ascii="Arial" w:hAnsi="Arial" w:cs="Arial"/>
          <w:sz w:val="22"/>
          <w:szCs w:val="22"/>
        </w:rPr>
        <w:t xml:space="preserve"> that the availability of comparable </w:t>
      </w:r>
      <w:r w:rsidR="00EF72E4" w:rsidRPr="00414A6D">
        <w:rPr>
          <w:rFonts w:ascii="Arial" w:hAnsi="Arial" w:cs="Arial"/>
          <w:sz w:val="22"/>
          <w:szCs w:val="22"/>
        </w:rPr>
        <w:t xml:space="preserve">clinical information </w:t>
      </w:r>
      <w:r w:rsidR="00FB3904" w:rsidRPr="00414A6D">
        <w:rPr>
          <w:rFonts w:ascii="Arial" w:hAnsi="Arial" w:cs="Arial"/>
          <w:sz w:val="22"/>
          <w:szCs w:val="22"/>
        </w:rPr>
        <w:t xml:space="preserve">was essential to early and successful </w:t>
      </w:r>
      <w:r w:rsidR="00EF72E4" w:rsidRPr="00414A6D">
        <w:rPr>
          <w:rFonts w:ascii="Arial" w:hAnsi="Arial" w:cs="Arial"/>
          <w:sz w:val="22"/>
          <w:szCs w:val="22"/>
        </w:rPr>
        <w:t>efforts to improve</w:t>
      </w:r>
      <w:r w:rsidR="00FB3904" w:rsidRPr="00414A6D">
        <w:rPr>
          <w:rFonts w:ascii="Arial" w:hAnsi="Arial" w:cs="Arial"/>
          <w:sz w:val="22"/>
          <w:szCs w:val="22"/>
        </w:rPr>
        <w:t xml:space="preserve"> outcomes</w:t>
      </w:r>
      <w:r w:rsidR="00EF72E4" w:rsidRPr="00414A6D">
        <w:rPr>
          <w:rFonts w:ascii="Arial" w:hAnsi="Arial" w:cs="Arial"/>
          <w:sz w:val="22"/>
          <w:szCs w:val="22"/>
        </w:rPr>
        <w:t xml:space="preserve">. </w:t>
      </w:r>
      <w:r w:rsidR="00C85136">
        <w:rPr>
          <w:rFonts w:ascii="Arial" w:hAnsi="Arial" w:cs="Arial"/>
          <w:sz w:val="22"/>
          <w:szCs w:val="22"/>
        </w:rPr>
        <w:t>In this expert testimony, it was claimed that there was a</w:t>
      </w:r>
      <w:r w:rsidR="00C85136" w:rsidRPr="00414A6D">
        <w:rPr>
          <w:rFonts w:ascii="Arial" w:hAnsi="Arial" w:cs="Arial"/>
          <w:sz w:val="22"/>
          <w:szCs w:val="22"/>
        </w:rPr>
        <w:t xml:space="preserve"> </w:t>
      </w:r>
      <w:r w:rsidR="00C85136" w:rsidRPr="00414A6D">
        <w:rPr>
          <w:rFonts w:ascii="Arial" w:hAnsi="Arial" w:cs="Arial"/>
          <w:sz w:val="22"/>
          <w:szCs w:val="22"/>
        </w:rPr>
        <w:lastRenderedPageBreak/>
        <w:t>reduction in mortality of patients with hip fracture associated with the BPT</w:t>
      </w:r>
      <w:r w:rsidR="008F1BCA">
        <w:rPr>
          <w:rFonts w:ascii="Arial" w:hAnsi="Arial" w:cs="Arial"/>
          <w:sz w:val="22"/>
          <w:szCs w:val="22"/>
        </w:rPr>
        <w:t>.</w:t>
      </w:r>
      <w:r w:rsidR="00EF72E4" w:rsidRPr="00414A6D">
        <w:rPr>
          <w:rFonts w:ascii="Arial" w:hAnsi="Arial" w:cs="Arial"/>
          <w:sz w:val="22"/>
          <w:szCs w:val="22"/>
        </w:rPr>
        <w:t xml:space="preserve"> </w:t>
      </w:r>
      <w:r w:rsidR="009927E1" w:rsidRPr="00414A6D">
        <w:rPr>
          <w:rFonts w:ascii="Arial" w:hAnsi="Arial" w:cs="Arial"/>
          <w:sz w:val="22"/>
          <w:szCs w:val="22"/>
        </w:rPr>
        <w:t xml:space="preserve">Most importantly, in addition, </w:t>
      </w:r>
      <w:r w:rsidR="0087243F" w:rsidRPr="00414A6D">
        <w:rPr>
          <w:rFonts w:ascii="Arial" w:hAnsi="Arial" w:cs="Arial"/>
          <w:sz w:val="22"/>
          <w:szCs w:val="22"/>
        </w:rPr>
        <w:t xml:space="preserve">the </w:t>
      </w:r>
      <w:r w:rsidR="009927E1" w:rsidRPr="00414A6D">
        <w:rPr>
          <w:rFonts w:ascii="Arial" w:hAnsi="Arial" w:cs="Arial"/>
          <w:sz w:val="22"/>
          <w:szCs w:val="22"/>
        </w:rPr>
        <w:t>evaluation</w:t>
      </w:r>
      <w:r w:rsidR="0087243F" w:rsidRPr="00414A6D">
        <w:rPr>
          <w:rFonts w:ascii="Arial" w:hAnsi="Arial" w:cs="Arial"/>
          <w:sz w:val="22"/>
          <w:szCs w:val="22"/>
        </w:rPr>
        <w:t>s</w:t>
      </w:r>
      <w:r w:rsidR="009927E1" w:rsidRPr="00414A6D">
        <w:rPr>
          <w:rFonts w:ascii="Arial" w:hAnsi="Arial" w:cs="Arial"/>
          <w:sz w:val="22"/>
          <w:szCs w:val="22"/>
        </w:rPr>
        <w:t xml:space="preserve"> of the </w:t>
      </w:r>
      <w:r w:rsidR="009927E1" w:rsidRPr="00CB2400">
        <w:rPr>
          <w:rFonts w:ascii="Arial" w:hAnsi="Arial" w:cs="Arial"/>
          <w:sz w:val="22"/>
          <w:szCs w:val="22"/>
        </w:rPr>
        <w:t>UK experience suggest that good quality care costs less.</w:t>
      </w:r>
    </w:p>
    <w:p w14:paraId="1C7D9329" w14:textId="77777777" w:rsidR="00EF72E4" w:rsidRPr="00414A6D" w:rsidRDefault="00382492" w:rsidP="00BA0DF3">
      <w:pPr>
        <w:spacing w:after="120"/>
        <w:jc w:val="both"/>
        <w:rPr>
          <w:rFonts w:ascii="Arial" w:hAnsi="Arial" w:cs="Arial"/>
          <w:sz w:val="22"/>
          <w:szCs w:val="22"/>
        </w:rPr>
      </w:pPr>
      <w:r w:rsidRPr="00414A6D">
        <w:rPr>
          <w:rFonts w:ascii="Arial" w:hAnsi="Arial" w:cs="Arial"/>
          <w:sz w:val="22"/>
          <w:szCs w:val="22"/>
        </w:rPr>
        <w:t xml:space="preserve">In 2014/15, the NHS </w:t>
      </w:r>
      <w:r w:rsidR="00D147A4" w:rsidRPr="00414A6D">
        <w:rPr>
          <w:rFonts w:ascii="Arial" w:hAnsi="Arial" w:cs="Arial"/>
          <w:sz w:val="22"/>
          <w:szCs w:val="22"/>
        </w:rPr>
        <w:t>introduced</w:t>
      </w:r>
      <w:r w:rsidRPr="00414A6D">
        <w:rPr>
          <w:rFonts w:ascii="Arial" w:hAnsi="Arial" w:cs="Arial"/>
          <w:sz w:val="22"/>
          <w:szCs w:val="22"/>
        </w:rPr>
        <w:t xml:space="preserve"> a new BPT for hip and knee replacement. Effectively this is a combination of pay for data and pay for </w:t>
      </w:r>
      <w:r w:rsidR="00BA0DF3" w:rsidRPr="00414A6D">
        <w:rPr>
          <w:rFonts w:ascii="Arial" w:hAnsi="Arial" w:cs="Arial"/>
          <w:sz w:val="22"/>
          <w:szCs w:val="22"/>
        </w:rPr>
        <w:t xml:space="preserve">patient reported </w:t>
      </w:r>
      <w:r w:rsidRPr="00414A6D">
        <w:rPr>
          <w:rFonts w:ascii="Arial" w:hAnsi="Arial" w:cs="Arial"/>
          <w:sz w:val="22"/>
          <w:szCs w:val="22"/>
        </w:rPr>
        <w:t>outcome</w:t>
      </w:r>
      <w:r w:rsidR="00BA0DF3" w:rsidRPr="00414A6D">
        <w:rPr>
          <w:rFonts w:ascii="Arial" w:hAnsi="Arial" w:cs="Arial"/>
          <w:sz w:val="22"/>
          <w:szCs w:val="22"/>
        </w:rPr>
        <w:t xml:space="preserve"> measures</w:t>
      </w:r>
      <w:r w:rsidRPr="00414A6D">
        <w:rPr>
          <w:rFonts w:ascii="Arial" w:hAnsi="Arial" w:cs="Arial"/>
          <w:sz w:val="22"/>
          <w:szCs w:val="22"/>
        </w:rPr>
        <w:t xml:space="preserve">. </w:t>
      </w:r>
      <w:r w:rsidR="00EF72E4" w:rsidRPr="00414A6D">
        <w:rPr>
          <w:rFonts w:ascii="Arial" w:hAnsi="Arial" w:cs="Arial"/>
          <w:sz w:val="22"/>
          <w:szCs w:val="22"/>
        </w:rPr>
        <w:t>This appears to be a signal from the NHS that</w:t>
      </w:r>
      <w:r w:rsidR="00FB3904" w:rsidRPr="00414A6D">
        <w:rPr>
          <w:rFonts w:ascii="Arial" w:hAnsi="Arial" w:cs="Arial"/>
          <w:sz w:val="22"/>
          <w:szCs w:val="22"/>
        </w:rPr>
        <w:t>: (a)</w:t>
      </w:r>
      <w:r w:rsidR="00EF72E4" w:rsidRPr="00414A6D">
        <w:rPr>
          <w:rFonts w:ascii="Arial" w:hAnsi="Arial" w:cs="Arial"/>
          <w:sz w:val="22"/>
          <w:szCs w:val="22"/>
        </w:rPr>
        <w:t xml:space="preserve"> the completeness, accuracy and utility of clinical information </w:t>
      </w:r>
      <w:r w:rsidR="00FB3904" w:rsidRPr="00414A6D">
        <w:rPr>
          <w:rFonts w:ascii="Arial" w:hAnsi="Arial" w:cs="Arial"/>
          <w:sz w:val="22"/>
          <w:szCs w:val="22"/>
        </w:rPr>
        <w:t xml:space="preserve">may have been deemed pre-requisite to </w:t>
      </w:r>
      <w:r w:rsidR="00EF72E4" w:rsidRPr="00414A6D">
        <w:rPr>
          <w:rFonts w:ascii="Arial" w:hAnsi="Arial" w:cs="Arial"/>
          <w:sz w:val="22"/>
          <w:szCs w:val="22"/>
        </w:rPr>
        <w:t>support</w:t>
      </w:r>
      <w:r w:rsidR="00FB3904" w:rsidRPr="00414A6D">
        <w:rPr>
          <w:rFonts w:ascii="Arial" w:hAnsi="Arial" w:cs="Arial"/>
          <w:sz w:val="22"/>
          <w:szCs w:val="22"/>
        </w:rPr>
        <w:t>ing</w:t>
      </w:r>
      <w:r w:rsidR="00EF72E4" w:rsidRPr="00414A6D">
        <w:rPr>
          <w:rFonts w:ascii="Arial" w:hAnsi="Arial" w:cs="Arial"/>
          <w:sz w:val="22"/>
          <w:szCs w:val="22"/>
        </w:rPr>
        <w:t xml:space="preserve"> efforts to improve patient care in these new clinical areas</w:t>
      </w:r>
      <w:r w:rsidR="00FB3904" w:rsidRPr="00414A6D">
        <w:rPr>
          <w:rFonts w:ascii="Arial" w:hAnsi="Arial" w:cs="Arial"/>
          <w:sz w:val="22"/>
          <w:szCs w:val="22"/>
        </w:rPr>
        <w:t>, and (b) that ‘pay for data and useful measures’ would commence before paying for shifts in delivery of care</w:t>
      </w:r>
      <w:r w:rsidR="00EF72E4" w:rsidRPr="00414A6D">
        <w:rPr>
          <w:rFonts w:ascii="Arial" w:hAnsi="Arial" w:cs="Arial"/>
          <w:sz w:val="22"/>
          <w:szCs w:val="22"/>
        </w:rPr>
        <w:t xml:space="preserve">.  </w:t>
      </w:r>
    </w:p>
    <w:p w14:paraId="18835CD2" w14:textId="5C10614B" w:rsidR="00382492" w:rsidRPr="009E5117" w:rsidRDefault="00382492" w:rsidP="00BA0DF3">
      <w:pPr>
        <w:spacing w:after="120"/>
        <w:jc w:val="both"/>
        <w:rPr>
          <w:rFonts w:ascii="Arial" w:hAnsi="Arial" w:cs="Arial"/>
          <w:sz w:val="22"/>
          <w:szCs w:val="22"/>
        </w:rPr>
      </w:pPr>
      <w:r w:rsidRPr="009E5117">
        <w:rPr>
          <w:rFonts w:ascii="Arial" w:hAnsi="Arial" w:cs="Arial"/>
          <w:sz w:val="22"/>
          <w:szCs w:val="22"/>
        </w:rPr>
        <w:t xml:space="preserve">Australian public hospital services are yet to develop standardised Patient Reported Outcome Measures. </w:t>
      </w:r>
      <w:r w:rsidR="00D147A4" w:rsidRPr="009E5117">
        <w:rPr>
          <w:rFonts w:ascii="Arial" w:hAnsi="Arial" w:cs="Arial"/>
          <w:sz w:val="22"/>
          <w:szCs w:val="22"/>
        </w:rPr>
        <w:t xml:space="preserve">Further discussion of available data sources is </w:t>
      </w:r>
      <w:r w:rsidRPr="009E5117">
        <w:rPr>
          <w:rFonts w:ascii="Arial" w:hAnsi="Arial" w:cs="Arial"/>
          <w:sz w:val="22"/>
          <w:szCs w:val="22"/>
        </w:rPr>
        <w:t>refer</w:t>
      </w:r>
      <w:r w:rsidR="00402FBB" w:rsidRPr="009E5117">
        <w:rPr>
          <w:rFonts w:ascii="Arial" w:hAnsi="Arial" w:cs="Arial"/>
          <w:sz w:val="22"/>
          <w:szCs w:val="22"/>
        </w:rPr>
        <w:t xml:space="preserve">red to in </w:t>
      </w:r>
      <w:r w:rsidR="001B658A" w:rsidRPr="009E5117">
        <w:rPr>
          <w:rFonts w:ascii="Arial" w:hAnsi="Arial" w:cs="Arial"/>
          <w:sz w:val="22"/>
          <w:szCs w:val="22"/>
        </w:rPr>
        <w:t>C</w:t>
      </w:r>
      <w:r w:rsidR="00DA0F2C" w:rsidRPr="009E5117">
        <w:rPr>
          <w:rFonts w:ascii="Arial" w:hAnsi="Arial" w:cs="Arial"/>
          <w:sz w:val="22"/>
          <w:szCs w:val="22"/>
        </w:rPr>
        <w:t>hapter</w:t>
      </w:r>
      <w:r w:rsidR="008F1BCA">
        <w:rPr>
          <w:rFonts w:ascii="Arial" w:hAnsi="Arial" w:cs="Arial"/>
          <w:sz w:val="22"/>
          <w:szCs w:val="22"/>
        </w:rPr>
        <w:t>s 5 and</w:t>
      </w:r>
      <w:r w:rsidR="00402FBB" w:rsidRPr="009E5117">
        <w:rPr>
          <w:rFonts w:ascii="Arial" w:hAnsi="Arial" w:cs="Arial"/>
          <w:sz w:val="22"/>
          <w:szCs w:val="22"/>
        </w:rPr>
        <w:t xml:space="preserve"> 7</w:t>
      </w:r>
      <w:r w:rsidRPr="009E5117">
        <w:rPr>
          <w:rFonts w:ascii="Arial" w:hAnsi="Arial" w:cs="Arial"/>
          <w:sz w:val="22"/>
          <w:szCs w:val="22"/>
        </w:rPr>
        <w:t xml:space="preserve">. </w:t>
      </w:r>
    </w:p>
    <w:p w14:paraId="028C9E5D" w14:textId="6D0BDDA2" w:rsidR="00D11021" w:rsidRPr="00414A6D" w:rsidRDefault="00261503" w:rsidP="00112D48">
      <w:pPr>
        <w:pStyle w:val="Heading4"/>
        <w:ind w:left="397"/>
        <w:jc w:val="both"/>
        <w:rPr>
          <w:rFonts w:cs="Arial"/>
          <w:b/>
          <w:sz w:val="22"/>
        </w:rPr>
      </w:pPr>
      <w:r>
        <w:rPr>
          <w:rFonts w:cs="Arial"/>
          <w:b/>
          <w:sz w:val="22"/>
        </w:rPr>
        <w:t>2</w:t>
      </w:r>
      <w:r w:rsidR="00127643" w:rsidRPr="00414A6D">
        <w:rPr>
          <w:rFonts w:cs="Arial"/>
          <w:b/>
          <w:sz w:val="22"/>
        </w:rPr>
        <w:t>.3</w:t>
      </w:r>
      <w:r w:rsidR="00D11021" w:rsidRPr="00414A6D">
        <w:rPr>
          <w:rFonts w:cs="Arial"/>
          <w:b/>
          <w:sz w:val="22"/>
        </w:rPr>
        <w:t>.3 Lazio (Italy)</w:t>
      </w:r>
    </w:p>
    <w:p w14:paraId="67A4007E" w14:textId="531F985C" w:rsidR="00127643" w:rsidRPr="00414A6D" w:rsidRDefault="00382492" w:rsidP="00D147A4">
      <w:pPr>
        <w:spacing w:before="20" w:after="60"/>
        <w:ind w:right="-85"/>
        <w:jc w:val="both"/>
        <w:rPr>
          <w:rFonts w:ascii="Arial" w:hAnsi="Arial" w:cs="Arial"/>
          <w:sz w:val="22"/>
          <w:szCs w:val="22"/>
        </w:rPr>
      </w:pPr>
      <w:r w:rsidRPr="00414A6D">
        <w:rPr>
          <w:rFonts w:ascii="Arial" w:hAnsi="Arial" w:cs="Arial"/>
          <w:sz w:val="22"/>
          <w:szCs w:val="22"/>
        </w:rPr>
        <w:t xml:space="preserve">The Lazio region in Italy also recently introduced a tariff mechanism for hip fracture surgery to reduce inappropriate admissions and improve quality of care. The full </w:t>
      </w:r>
      <w:r w:rsidR="00760CF6" w:rsidRPr="00760CF6">
        <w:rPr>
          <w:rFonts w:ascii="Arial" w:hAnsi="Arial" w:cs="Arial"/>
          <w:sz w:val="22"/>
          <w:szCs w:val="22"/>
        </w:rPr>
        <w:t xml:space="preserve">Diagnosis Related Groups </w:t>
      </w:r>
      <w:r w:rsidR="00760CF6">
        <w:rPr>
          <w:rFonts w:ascii="Arial" w:hAnsi="Arial" w:cs="Arial"/>
          <w:sz w:val="22"/>
          <w:szCs w:val="22"/>
        </w:rPr>
        <w:t>(</w:t>
      </w:r>
      <w:r w:rsidRPr="00760CF6">
        <w:rPr>
          <w:rFonts w:ascii="Arial" w:hAnsi="Arial" w:cs="Arial"/>
          <w:sz w:val="22"/>
          <w:szCs w:val="22"/>
        </w:rPr>
        <w:t>DRG</w:t>
      </w:r>
      <w:r w:rsidR="00760CF6">
        <w:rPr>
          <w:rFonts w:ascii="Arial" w:hAnsi="Arial" w:cs="Arial"/>
          <w:sz w:val="22"/>
          <w:szCs w:val="22"/>
        </w:rPr>
        <w:t>)</w:t>
      </w:r>
      <w:r w:rsidRPr="00414A6D">
        <w:rPr>
          <w:rFonts w:ascii="Arial" w:hAnsi="Arial" w:cs="Arial"/>
          <w:sz w:val="22"/>
          <w:szCs w:val="22"/>
        </w:rPr>
        <w:t xml:space="preserve"> rate </w:t>
      </w:r>
      <w:r w:rsidR="00370A06" w:rsidRPr="00414A6D">
        <w:rPr>
          <w:rFonts w:ascii="Arial" w:hAnsi="Arial" w:cs="Arial"/>
          <w:sz w:val="22"/>
          <w:szCs w:val="22"/>
        </w:rPr>
        <w:t>is</w:t>
      </w:r>
      <w:r w:rsidRPr="00414A6D">
        <w:rPr>
          <w:rFonts w:ascii="Arial" w:hAnsi="Arial" w:cs="Arial"/>
          <w:sz w:val="22"/>
          <w:szCs w:val="22"/>
        </w:rPr>
        <w:t xml:space="preserve"> paid only for patients that </w:t>
      </w:r>
      <w:r w:rsidR="00370A06" w:rsidRPr="00414A6D">
        <w:rPr>
          <w:rFonts w:ascii="Arial" w:hAnsi="Arial" w:cs="Arial"/>
          <w:sz w:val="22"/>
          <w:szCs w:val="22"/>
        </w:rPr>
        <w:t>underwent</w:t>
      </w:r>
      <w:r w:rsidRPr="00414A6D">
        <w:rPr>
          <w:rFonts w:ascii="Arial" w:hAnsi="Arial" w:cs="Arial"/>
          <w:sz w:val="22"/>
          <w:szCs w:val="22"/>
        </w:rPr>
        <w:t xml:space="preserve"> surgical treatment within 48 hours of admission</w:t>
      </w:r>
      <w:r w:rsidR="00370A06" w:rsidRPr="00414A6D">
        <w:rPr>
          <w:rFonts w:ascii="Arial" w:hAnsi="Arial" w:cs="Arial"/>
          <w:sz w:val="22"/>
          <w:szCs w:val="22"/>
        </w:rPr>
        <w:t>.</w:t>
      </w:r>
      <w:r w:rsidRPr="00414A6D">
        <w:rPr>
          <w:rFonts w:ascii="Arial" w:hAnsi="Arial" w:cs="Arial"/>
          <w:sz w:val="22"/>
          <w:szCs w:val="22"/>
        </w:rPr>
        <w:t xml:space="preserve"> </w:t>
      </w:r>
      <w:r w:rsidR="00370A06" w:rsidRPr="00414A6D">
        <w:rPr>
          <w:rFonts w:ascii="Arial" w:hAnsi="Arial" w:cs="Arial"/>
          <w:sz w:val="22"/>
          <w:szCs w:val="22"/>
        </w:rPr>
        <w:t>Ra</w:t>
      </w:r>
      <w:r w:rsidRPr="00414A6D">
        <w:rPr>
          <w:rFonts w:ascii="Arial" w:hAnsi="Arial" w:cs="Arial"/>
          <w:sz w:val="22"/>
          <w:szCs w:val="22"/>
        </w:rPr>
        <w:t>tes for surgeries performed more than 48</w:t>
      </w:r>
      <w:r w:rsidR="00C90898" w:rsidRPr="00414A6D">
        <w:rPr>
          <w:rFonts w:ascii="Arial" w:hAnsi="Arial" w:cs="Arial"/>
          <w:sz w:val="22"/>
          <w:szCs w:val="22"/>
        </w:rPr>
        <w:t> </w:t>
      </w:r>
      <w:r w:rsidRPr="00414A6D">
        <w:rPr>
          <w:rFonts w:ascii="Arial" w:hAnsi="Arial" w:cs="Arial"/>
          <w:sz w:val="22"/>
          <w:szCs w:val="22"/>
        </w:rPr>
        <w:t xml:space="preserve">hours after admission </w:t>
      </w:r>
      <w:r w:rsidR="00370A06" w:rsidRPr="00414A6D">
        <w:rPr>
          <w:rFonts w:ascii="Arial" w:hAnsi="Arial" w:cs="Arial"/>
          <w:sz w:val="22"/>
          <w:szCs w:val="22"/>
        </w:rPr>
        <w:t>are</w:t>
      </w:r>
      <w:r w:rsidRPr="00414A6D">
        <w:rPr>
          <w:rFonts w:ascii="Arial" w:hAnsi="Arial" w:cs="Arial"/>
          <w:sz w:val="22"/>
          <w:szCs w:val="22"/>
        </w:rPr>
        <w:t xml:space="preserve"> proportionately reduced on the basis of the interval between admission and surgery. </w:t>
      </w:r>
    </w:p>
    <w:p w14:paraId="19B3D026" w14:textId="77777777" w:rsidR="00382492" w:rsidRPr="00414A6D" w:rsidRDefault="00382492" w:rsidP="00D147A4">
      <w:pPr>
        <w:spacing w:before="20" w:after="60"/>
        <w:ind w:right="-85"/>
        <w:jc w:val="both"/>
        <w:rPr>
          <w:rFonts w:ascii="Arial" w:hAnsi="Arial" w:cs="Arial"/>
          <w:sz w:val="22"/>
          <w:szCs w:val="22"/>
        </w:rPr>
      </w:pPr>
      <w:r w:rsidRPr="00414A6D">
        <w:rPr>
          <w:rFonts w:ascii="Arial" w:hAnsi="Arial" w:cs="Arial"/>
          <w:sz w:val="22"/>
          <w:szCs w:val="22"/>
        </w:rPr>
        <w:t>An impact study concluded that elderly patients with hip fracture benefit</w:t>
      </w:r>
      <w:r w:rsidR="00C90898" w:rsidRPr="00414A6D">
        <w:rPr>
          <w:rFonts w:ascii="Arial" w:hAnsi="Arial" w:cs="Arial"/>
          <w:sz w:val="22"/>
          <w:szCs w:val="22"/>
        </w:rPr>
        <w:t>ed</w:t>
      </w:r>
      <w:r w:rsidRPr="00414A6D">
        <w:rPr>
          <w:rFonts w:ascii="Arial" w:hAnsi="Arial" w:cs="Arial"/>
          <w:sz w:val="22"/>
          <w:szCs w:val="22"/>
        </w:rPr>
        <w:t xml:space="preserve"> from improved quality of care, especially in hospitals that only used the DRG system. </w:t>
      </w:r>
      <w:r w:rsidR="00C90898" w:rsidRPr="00414A6D">
        <w:rPr>
          <w:rFonts w:ascii="Arial" w:hAnsi="Arial" w:cs="Arial"/>
          <w:sz w:val="22"/>
          <w:szCs w:val="22"/>
        </w:rPr>
        <w:t>T</w:t>
      </w:r>
      <w:r w:rsidRPr="00414A6D">
        <w:rPr>
          <w:rFonts w:ascii="Arial" w:hAnsi="Arial" w:cs="Arial"/>
          <w:sz w:val="22"/>
          <w:szCs w:val="22"/>
        </w:rPr>
        <w:t>his was a short term evaluation with only one year of data pre and post</w:t>
      </w:r>
      <w:r w:rsidR="00C90898" w:rsidRPr="00414A6D">
        <w:rPr>
          <w:rFonts w:ascii="Arial" w:hAnsi="Arial" w:cs="Arial"/>
          <w:sz w:val="22"/>
          <w:szCs w:val="22"/>
        </w:rPr>
        <w:t xml:space="preserve"> introduction of the new payment method</w:t>
      </w:r>
      <w:r w:rsidRPr="00414A6D">
        <w:rPr>
          <w:rFonts w:ascii="Arial" w:hAnsi="Arial" w:cs="Arial"/>
          <w:sz w:val="22"/>
          <w:szCs w:val="22"/>
        </w:rPr>
        <w:t>.</w:t>
      </w:r>
      <w:hyperlink w:anchor="_ENREF_8" w:tooltip="Colais P, 2013 #154"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&lt;EndNote&gt;&lt;Cite&gt;&lt;Author&gt;Colais P&lt;/Author&gt;&lt;Year&gt;2013&lt;/Year&gt;&lt;RecNum&gt;154&lt;/RecNum&gt;&lt;DisplayText&gt;&lt;style face="superscript"&gt;8&lt;/style&gt;&lt;/DisplayText&gt;&lt;record&gt;&lt;rec-number&gt;154&lt;/rec-number&gt;&lt;foreign-keys&gt;&lt;key app="EN" db-id="pxsz0w0wuvwzapeptavv0erkef22f2rwz0w0"&gt;154&lt;/key&gt;&lt;/foreign-keys&gt;&lt;ref-type name="Journal Article"&gt;17&lt;/ref-type&gt;&lt;contributors&gt;&lt;authors&gt;&lt;author&gt;Colais P, &lt;/author&gt;&lt;author&gt;Pinnarelli L,&lt;/author&gt;&lt;author&gt;Fusco D,&lt;/author&gt;&lt;author&gt;Davoli M,&lt;/author&gt;&lt;author&gt;Braga M,&lt;/author&gt;&lt;author&gt;Perucci C,&lt;/author&gt;&lt;/authors&gt;&lt;/contributors&gt;&lt;titles&gt;&lt;title&gt;The impact of a pay-for-performance system on timing to hip fracture surgery: experience from the Lazio Region (Italy)&lt;/title&gt;&lt;secondary-title&gt;BMC Health Services Research&lt;/secondary-title&gt;&lt;/titles&gt;&lt;periodical&gt;&lt;full-title&gt;BMC Health Services Research&lt;/full-title&gt;&lt;/periodical&gt;&lt;pages&gt;393&lt;/pages&gt;&lt;volume&gt;13&lt;/volume&gt;&lt;dates&gt;&lt;year&gt;2013&lt;/year&gt;&lt;/dates&gt;&lt;urls&gt;&lt;related-urls&gt;&lt;url&gt;http://www.biomedcentral.com/content/pdf/1472-6963-13-393.pdf&lt;/url&gt;&lt;/related-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8</w:t>
        </w:r>
        <w:r w:rsidR="00402FBB" w:rsidRPr="00414A6D">
          <w:rPr>
            <w:rFonts w:ascii="Arial" w:hAnsi="Arial" w:cs="Arial"/>
            <w:sz w:val="22"/>
            <w:szCs w:val="22"/>
          </w:rPr>
          <w:fldChar w:fldCharType="end"/>
        </w:r>
      </w:hyperlink>
      <w:r w:rsidRPr="00414A6D">
        <w:rPr>
          <w:rFonts w:ascii="Arial" w:hAnsi="Arial" w:cs="Arial"/>
          <w:sz w:val="22"/>
          <w:szCs w:val="22"/>
        </w:rPr>
        <w:t xml:space="preserve">  </w:t>
      </w:r>
    </w:p>
    <w:p w14:paraId="2244FB47" w14:textId="77777777" w:rsidR="00EA2418" w:rsidRPr="00414A6D" w:rsidRDefault="00EA2418" w:rsidP="00D147A4">
      <w:pPr>
        <w:spacing w:before="20" w:after="60"/>
        <w:ind w:right="-85"/>
        <w:jc w:val="both"/>
        <w:rPr>
          <w:rFonts w:ascii="Arial" w:hAnsi="Arial" w:cs="Arial"/>
          <w:sz w:val="22"/>
          <w:szCs w:val="22"/>
        </w:rPr>
      </w:pPr>
    </w:p>
    <w:p w14:paraId="4B68927B" w14:textId="77777777" w:rsidR="00F67CF8" w:rsidRPr="00414A6D" w:rsidRDefault="00EA2418" w:rsidP="007C21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Recommendation 1</w:t>
      </w:r>
      <w:r w:rsidR="007C2141" w:rsidRPr="00414A6D">
        <w:rPr>
          <w:rFonts w:ascii="Arial" w:hAnsi="Arial" w:cs="Arial"/>
          <w:b/>
          <w:sz w:val="22"/>
          <w:szCs w:val="22"/>
        </w:rPr>
        <w:t>.</w:t>
      </w:r>
      <w:r w:rsidR="00F67CF8" w:rsidRPr="00414A6D">
        <w:rPr>
          <w:rFonts w:ascii="Arial" w:hAnsi="Arial" w:cs="Arial"/>
          <w:b/>
          <w:sz w:val="22"/>
          <w:szCs w:val="22"/>
        </w:rPr>
        <w:t>1</w:t>
      </w:r>
      <w:r w:rsidRPr="00414A6D">
        <w:rPr>
          <w:rFonts w:ascii="Arial" w:hAnsi="Arial" w:cs="Arial"/>
          <w:b/>
          <w:sz w:val="22"/>
          <w:szCs w:val="22"/>
        </w:rPr>
        <w:t>:</w:t>
      </w:r>
      <w:r w:rsidRPr="00414A6D">
        <w:rPr>
          <w:rFonts w:ascii="Arial" w:hAnsi="Arial" w:cs="Arial"/>
          <w:sz w:val="22"/>
          <w:szCs w:val="22"/>
        </w:rPr>
        <w:t xml:space="preserve">  IHPA, in its national price setting r</w:t>
      </w:r>
      <w:r w:rsidR="00FB6A9D" w:rsidRPr="00414A6D">
        <w:rPr>
          <w:rFonts w:ascii="Arial" w:hAnsi="Arial" w:cs="Arial"/>
          <w:sz w:val="22"/>
          <w:szCs w:val="22"/>
        </w:rPr>
        <w:t xml:space="preserve">ole, </w:t>
      </w:r>
      <w:r w:rsidRPr="00414A6D">
        <w:rPr>
          <w:rFonts w:ascii="Arial" w:hAnsi="Arial" w:cs="Arial"/>
          <w:sz w:val="22"/>
          <w:szCs w:val="22"/>
        </w:rPr>
        <w:t xml:space="preserve">should consider </w:t>
      </w:r>
      <w:r w:rsidR="00C90898" w:rsidRPr="00414A6D">
        <w:rPr>
          <w:rFonts w:ascii="Arial" w:hAnsi="Arial" w:cs="Arial"/>
          <w:sz w:val="22"/>
          <w:szCs w:val="22"/>
        </w:rPr>
        <w:t xml:space="preserve">the </w:t>
      </w:r>
      <w:r w:rsidR="007F232E" w:rsidRPr="00414A6D">
        <w:rPr>
          <w:rFonts w:ascii="Arial" w:hAnsi="Arial" w:cs="Arial"/>
          <w:sz w:val="22"/>
          <w:szCs w:val="22"/>
        </w:rPr>
        <w:t>Sub</w:t>
      </w:r>
      <w:r w:rsidR="001B658A" w:rsidRPr="00414A6D">
        <w:rPr>
          <w:rFonts w:ascii="Arial" w:hAnsi="Arial" w:cs="Arial"/>
          <w:sz w:val="22"/>
          <w:szCs w:val="22"/>
        </w:rPr>
        <w:noBreakHyphen/>
      </w:r>
      <w:r w:rsidR="007F232E" w:rsidRPr="00414A6D">
        <w:rPr>
          <w:rFonts w:ascii="Arial" w:hAnsi="Arial" w:cs="Arial"/>
          <w:sz w:val="22"/>
          <w:szCs w:val="22"/>
        </w:rPr>
        <w:t>Committee</w:t>
      </w:r>
      <w:r w:rsidR="00C90898" w:rsidRPr="00414A6D">
        <w:rPr>
          <w:rFonts w:ascii="Arial" w:hAnsi="Arial" w:cs="Arial"/>
          <w:sz w:val="22"/>
          <w:szCs w:val="22"/>
        </w:rPr>
        <w:t>’</w:t>
      </w:r>
      <w:r w:rsidR="00FE6FC9" w:rsidRPr="00414A6D">
        <w:rPr>
          <w:rFonts w:ascii="Arial" w:hAnsi="Arial" w:cs="Arial"/>
          <w:sz w:val="22"/>
          <w:szCs w:val="22"/>
        </w:rPr>
        <w:t>s</w:t>
      </w:r>
      <w:r w:rsidR="00C90898" w:rsidRPr="00414A6D">
        <w:rPr>
          <w:rFonts w:ascii="Arial" w:hAnsi="Arial" w:cs="Arial"/>
          <w:sz w:val="22"/>
          <w:szCs w:val="22"/>
        </w:rPr>
        <w:t xml:space="preserve"> and JWP’</w:t>
      </w:r>
      <w:r w:rsidR="00FE6FC9" w:rsidRPr="00414A6D">
        <w:rPr>
          <w:rFonts w:ascii="Arial" w:hAnsi="Arial" w:cs="Arial"/>
          <w:sz w:val="22"/>
          <w:szCs w:val="22"/>
        </w:rPr>
        <w:t>s</w:t>
      </w:r>
      <w:r w:rsidR="00C90898" w:rsidRPr="00414A6D">
        <w:rPr>
          <w:rFonts w:ascii="Arial" w:hAnsi="Arial" w:cs="Arial"/>
          <w:sz w:val="22"/>
          <w:szCs w:val="22"/>
        </w:rPr>
        <w:t xml:space="preserve"> </w:t>
      </w:r>
      <w:r w:rsidRPr="00414A6D">
        <w:rPr>
          <w:rFonts w:ascii="Arial" w:hAnsi="Arial" w:cs="Arial"/>
          <w:sz w:val="22"/>
          <w:szCs w:val="22"/>
        </w:rPr>
        <w:t xml:space="preserve">advice in relation to best-practice pricing to support </w:t>
      </w:r>
      <w:r w:rsidR="00754413" w:rsidRPr="00414A6D">
        <w:rPr>
          <w:rFonts w:ascii="Arial" w:hAnsi="Arial" w:cs="Arial"/>
          <w:sz w:val="22"/>
          <w:szCs w:val="22"/>
        </w:rPr>
        <w:t>best</w:t>
      </w:r>
      <w:r w:rsidR="001B658A" w:rsidRPr="00414A6D">
        <w:rPr>
          <w:rFonts w:ascii="Arial" w:hAnsi="Arial" w:cs="Arial"/>
          <w:sz w:val="22"/>
          <w:szCs w:val="22"/>
        </w:rPr>
        <w:noBreakHyphen/>
        <w:t>practice</w:t>
      </w:r>
      <w:r w:rsidR="00754413" w:rsidRPr="00414A6D">
        <w:rPr>
          <w:rFonts w:ascii="Arial" w:hAnsi="Arial" w:cs="Arial"/>
          <w:sz w:val="22"/>
          <w:szCs w:val="22"/>
        </w:rPr>
        <w:t xml:space="preserve"> </w:t>
      </w:r>
      <w:r w:rsidRPr="00414A6D">
        <w:rPr>
          <w:rFonts w:ascii="Arial" w:hAnsi="Arial" w:cs="Arial"/>
          <w:sz w:val="22"/>
          <w:szCs w:val="22"/>
        </w:rPr>
        <w:t xml:space="preserve">care for hip fracture. </w:t>
      </w:r>
    </w:p>
    <w:p w14:paraId="05C861A9" w14:textId="77777777" w:rsidR="007C2141" w:rsidRPr="00414A6D" w:rsidRDefault="007C2141" w:rsidP="007C21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p>
    <w:p w14:paraId="7357563A" w14:textId="77777777" w:rsidR="00EA2418" w:rsidRPr="00414A6D" w:rsidRDefault="007C2141" w:rsidP="007C21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r w:rsidRPr="00414A6D">
        <w:rPr>
          <w:rFonts w:ascii="Arial" w:hAnsi="Arial" w:cs="Arial"/>
          <w:b/>
          <w:sz w:val="22"/>
          <w:szCs w:val="22"/>
        </w:rPr>
        <w:t xml:space="preserve">Recommendation </w:t>
      </w:r>
      <w:r w:rsidR="00F67CF8" w:rsidRPr="00414A6D">
        <w:rPr>
          <w:rFonts w:ascii="Arial" w:hAnsi="Arial" w:cs="Arial"/>
          <w:b/>
          <w:sz w:val="22"/>
          <w:szCs w:val="22"/>
        </w:rPr>
        <w:t>1.2</w:t>
      </w:r>
      <w:r w:rsidRPr="00414A6D">
        <w:rPr>
          <w:rFonts w:ascii="Arial" w:hAnsi="Arial" w:cs="Arial"/>
          <w:b/>
          <w:sz w:val="22"/>
          <w:szCs w:val="22"/>
        </w:rPr>
        <w:t>:</w:t>
      </w:r>
      <w:r w:rsidR="00F67CF8" w:rsidRPr="00414A6D">
        <w:rPr>
          <w:rFonts w:ascii="Arial" w:hAnsi="Arial" w:cs="Arial"/>
          <w:sz w:val="22"/>
          <w:szCs w:val="22"/>
        </w:rPr>
        <w:t xml:space="preserve"> </w:t>
      </w:r>
      <w:r w:rsidR="00EA2418" w:rsidRPr="00414A6D">
        <w:rPr>
          <w:rFonts w:ascii="Arial" w:hAnsi="Arial" w:cs="Arial"/>
          <w:sz w:val="22"/>
          <w:szCs w:val="22"/>
        </w:rPr>
        <w:t>Th</w:t>
      </w:r>
      <w:r w:rsidR="00FB3904" w:rsidRPr="00414A6D">
        <w:rPr>
          <w:rFonts w:ascii="Arial" w:hAnsi="Arial" w:cs="Arial"/>
          <w:sz w:val="22"/>
          <w:szCs w:val="22"/>
        </w:rPr>
        <w:t xml:space="preserve">e </w:t>
      </w:r>
      <w:r w:rsidR="00754413" w:rsidRPr="00414A6D">
        <w:rPr>
          <w:rFonts w:ascii="Arial" w:hAnsi="Arial" w:cs="Arial"/>
          <w:sz w:val="22"/>
          <w:szCs w:val="22"/>
        </w:rPr>
        <w:t xml:space="preserve">design and </w:t>
      </w:r>
      <w:r w:rsidR="00FB3904" w:rsidRPr="00414A6D">
        <w:rPr>
          <w:rFonts w:ascii="Arial" w:hAnsi="Arial" w:cs="Arial"/>
          <w:sz w:val="22"/>
          <w:szCs w:val="22"/>
        </w:rPr>
        <w:t xml:space="preserve">implementation of a best-practice pricing scheme </w:t>
      </w:r>
      <w:r w:rsidR="00754413" w:rsidRPr="00414A6D">
        <w:rPr>
          <w:rFonts w:ascii="Arial" w:hAnsi="Arial" w:cs="Arial"/>
          <w:sz w:val="22"/>
          <w:szCs w:val="22"/>
        </w:rPr>
        <w:t>requires reliable information on quality of care to determine eligibility for funding</w:t>
      </w:r>
      <w:r w:rsidR="00F67CF8" w:rsidRPr="00414A6D">
        <w:rPr>
          <w:rFonts w:ascii="Arial" w:hAnsi="Arial" w:cs="Arial"/>
          <w:sz w:val="22"/>
          <w:szCs w:val="22"/>
        </w:rPr>
        <w:t>.</w:t>
      </w:r>
      <w:r w:rsidR="00754413" w:rsidRPr="00414A6D">
        <w:rPr>
          <w:rFonts w:ascii="Arial" w:hAnsi="Arial" w:cs="Arial"/>
          <w:sz w:val="22"/>
          <w:szCs w:val="22"/>
        </w:rPr>
        <w:t xml:space="preserve"> </w:t>
      </w:r>
      <w:r w:rsidR="00F67CF8" w:rsidRPr="00414A6D">
        <w:rPr>
          <w:rFonts w:ascii="Arial" w:hAnsi="Arial" w:cs="Arial"/>
          <w:sz w:val="22"/>
          <w:szCs w:val="22"/>
        </w:rPr>
        <w:t>I</w:t>
      </w:r>
      <w:r w:rsidR="00754413" w:rsidRPr="00414A6D">
        <w:rPr>
          <w:rFonts w:ascii="Arial" w:hAnsi="Arial" w:cs="Arial"/>
          <w:sz w:val="22"/>
          <w:szCs w:val="22"/>
        </w:rPr>
        <w:t xml:space="preserve">mplementation should be </w:t>
      </w:r>
      <w:r w:rsidR="00EA2418" w:rsidRPr="00414A6D">
        <w:rPr>
          <w:rFonts w:ascii="Arial" w:hAnsi="Arial" w:cs="Arial"/>
          <w:sz w:val="22"/>
          <w:szCs w:val="22"/>
        </w:rPr>
        <w:t xml:space="preserve">coupled with </w:t>
      </w:r>
      <w:r w:rsidR="00FB3904" w:rsidRPr="00414A6D">
        <w:rPr>
          <w:rFonts w:ascii="Arial" w:hAnsi="Arial" w:cs="Arial"/>
          <w:sz w:val="22"/>
          <w:szCs w:val="22"/>
        </w:rPr>
        <w:t xml:space="preserve">the provision of </w:t>
      </w:r>
      <w:r w:rsidR="00754413" w:rsidRPr="00414A6D">
        <w:rPr>
          <w:rFonts w:ascii="Arial" w:hAnsi="Arial" w:cs="Arial"/>
          <w:sz w:val="22"/>
          <w:szCs w:val="22"/>
        </w:rPr>
        <w:t xml:space="preserve">timely, relevant and </w:t>
      </w:r>
      <w:r w:rsidR="00FB3904" w:rsidRPr="00414A6D">
        <w:rPr>
          <w:rFonts w:ascii="Arial" w:hAnsi="Arial" w:cs="Arial"/>
          <w:sz w:val="22"/>
          <w:szCs w:val="22"/>
        </w:rPr>
        <w:t>comparable</w:t>
      </w:r>
      <w:r w:rsidR="00754413" w:rsidRPr="00414A6D">
        <w:rPr>
          <w:rFonts w:ascii="Arial" w:hAnsi="Arial" w:cs="Arial"/>
          <w:sz w:val="22"/>
          <w:szCs w:val="22"/>
        </w:rPr>
        <w:t xml:space="preserve"> </w:t>
      </w:r>
      <w:r w:rsidR="00EA2418" w:rsidRPr="00414A6D">
        <w:rPr>
          <w:rFonts w:ascii="Arial" w:hAnsi="Arial" w:cs="Arial"/>
          <w:sz w:val="22"/>
          <w:szCs w:val="22"/>
        </w:rPr>
        <w:t xml:space="preserve">clinical information </w:t>
      </w:r>
      <w:r w:rsidR="00754413" w:rsidRPr="00414A6D">
        <w:rPr>
          <w:rFonts w:ascii="Arial" w:hAnsi="Arial" w:cs="Arial"/>
          <w:sz w:val="22"/>
          <w:szCs w:val="22"/>
        </w:rPr>
        <w:t xml:space="preserve">being </w:t>
      </w:r>
      <w:r w:rsidR="00EA2418" w:rsidRPr="00414A6D">
        <w:rPr>
          <w:rFonts w:ascii="Arial" w:hAnsi="Arial" w:cs="Arial"/>
          <w:sz w:val="22"/>
          <w:szCs w:val="22"/>
        </w:rPr>
        <w:t>fed back to clinicians</w:t>
      </w:r>
      <w:r w:rsidR="00FB3904" w:rsidRPr="00414A6D">
        <w:rPr>
          <w:rFonts w:ascii="Arial" w:hAnsi="Arial" w:cs="Arial"/>
          <w:sz w:val="22"/>
          <w:szCs w:val="22"/>
        </w:rPr>
        <w:t>.</w:t>
      </w:r>
      <w:r w:rsidR="00F67CF8" w:rsidRPr="00414A6D">
        <w:rPr>
          <w:rFonts w:ascii="Arial" w:hAnsi="Arial" w:cs="Arial"/>
          <w:sz w:val="22"/>
          <w:szCs w:val="22"/>
        </w:rPr>
        <w:t xml:space="preserve"> Jurisdictions may want to target their efforts towards this aspect.</w:t>
      </w:r>
    </w:p>
    <w:p w14:paraId="7893D3FF" w14:textId="77777777" w:rsidR="0012066A" w:rsidRPr="00414A6D" w:rsidRDefault="0012066A">
      <w:pPr>
        <w:rPr>
          <w:rFonts w:ascii="Arial" w:hAnsi="Arial" w:cs="Arial"/>
          <w:b/>
          <w:bCs/>
          <w:kern w:val="28"/>
          <w:sz w:val="21"/>
          <w:szCs w:val="21"/>
        </w:rPr>
      </w:pPr>
      <w:bookmarkStart w:id="7" w:name="_Toc419367736"/>
      <w:bookmarkEnd w:id="7"/>
      <w:r w:rsidRPr="00414A6D">
        <w:rPr>
          <w:rFonts w:ascii="Arial" w:hAnsi="Arial" w:cs="Arial"/>
          <w:sz w:val="21"/>
          <w:szCs w:val="21"/>
        </w:rPr>
        <w:br w:type="page"/>
      </w:r>
    </w:p>
    <w:p w14:paraId="5A38D140" w14:textId="77777777" w:rsidR="00340C2E" w:rsidRPr="00414A6D" w:rsidRDefault="00346B84" w:rsidP="007B1510">
      <w:pPr>
        <w:pStyle w:val="Heading1"/>
        <w:numPr>
          <w:ilvl w:val="0"/>
          <w:numId w:val="14"/>
        </w:numPr>
        <w:ind w:left="414" w:hanging="357"/>
        <w:jc w:val="both"/>
        <w:rPr>
          <w:szCs w:val="21"/>
        </w:rPr>
      </w:pPr>
      <w:bookmarkStart w:id="8" w:name="_Toc426633802"/>
      <w:r w:rsidRPr="00414A6D">
        <w:rPr>
          <w:szCs w:val="21"/>
        </w:rPr>
        <w:lastRenderedPageBreak/>
        <w:t>Best-practice</w:t>
      </w:r>
      <w:r w:rsidR="00340C2E" w:rsidRPr="00414A6D">
        <w:rPr>
          <w:szCs w:val="21"/>
        </w:rPr>
        <w:t xml:space="preserve"> </w:t>
      </w:r>
      <w:r w:rsidR="000F53D2" w:rsidRPr="00414A6D">
        <w:rPr>
          <w:szCs w:val="21"/>
        </w:rPr>
        <w:t xml:space="preserve">in </w:t>
      </w:r>
      <w:r w:rsidR="00340C2E" w:rsidRPr="00414A6D">
        <w:rPr>
          <w:szCs w:val="21"/>
        </w:rPr>
        <w:t>hip fracture care: national consensus</w:t>
      </w:r>
      <w:bookmarkEnd w:id="8"/>
    </w:p>
    <w:p w14:paraId="50C06894" w14:textId="77777777" w:rsidR="00340C2E" w:rsidRPr="00414A6D" w:rsidRDefault="00340C2E" w:rsidP="00D147A4">
      <w:pPr>
        <w:pStyle w:val="NormalWeb"/>
        <w:jc w:val="both"/>
        <w:rPr>
          <w:rFonts w:ascii="Arial" w:hAnsi="Arial" w:cs="Arial"/>
          <w:sz w:val="22"/>
          <w:szCs w:val="22"/>
        </w:rPr>
      </w:pPr>
      <w:r w:rsidRPr="00414A6D">
        <w:rPr>
          <w:rFonts w:ascii="Arial" w:hAnsi="Arial" w:cs="Arial"/>
          <w:sz w:val="22"/>
          <w:szCs w:val="22"/>
        </w:rPr>
        <w:t xml:space="preserve">Designing a </w:t>
      </w:r>
      <w:r w:rsidR="00346B84" w:rsidRPr="00414A6D">
        <w:rPr>
          <w:rFonts w:ascii="Arial" w:hAnsi="Arial" w:cs="Arial"/>
          <w:sz w:val="22"/>
          <w:szCs w:val="22"/>
        </w:rPr>
        <w:t>best-practice</w:t>
      </w:r>
      <w:r w:rsidRPr="00414A6D">
        <w:rPr>
          <w:rFonts w:ascii="Arial" w:hAnsi="Arial" w:cs="Arial"/>
          <w:sz w:val="22"/>
          <w:szCs w:val="22"/>
        </w:rPr>
        <w:t xml:space="preserve"> pricing model and a mechanism for providing reliable information on quality of care is contingent on defining </w:t>
      </w:r>
      <w:r w:rsidR="00346B84" w:rsidRPr="00414A6D">
        <w:rPr>
          <w:rFonts w:ascii="Arial" w:hAnsi="Arial" w:cs="Arial"/>
          <w:sz w:val="22"/>
          <w:szCs w:val="22"/>
        </w:rPr>
        <w:t>best-practice</w:t>
      </w:r>
      <w:r w:rsidRPr="00414A6D">
        <w:rPr>
          <w:rFonts w:ascii="Arial" w:hAnsi="Arial" w:cs="Arial"/>
          <w:sz w:val="22"/>
          <w:szCs w:val="22"/>
        </w:rPr>
        <w:t xml:space="preserve"> care and agreeing on the necessary elements</w:t>
      </w:r>
      <w:r w:rsidR="00C90898" w:rsidRPr="00414A6D">
        <w:rPr>
          <w:rFonts w:ascii="Arial" w:hAnsi="Arial" w:cs="Arial"/>
          <w:sz w:val="22"/>
          <w:szCs w:val="22"/>
        </w:rPr>
        <w:t xml:space="preserve"> that constitute best practice</w:t>
      </w:r>
      <w:r w:rsidR="00915087" w:rsidRPr="00414A6D">
        <w:rPr>
          <w:rFonts w:ascii="Arial" w:hAnsi="Arial" w:cs="Arial"/>
          <w:sz w:val="22"/>
          <w:szCs w:val="22"/>
        </w:rPr>
        <w:t xml:space="preserve">. </w:t>
      </w:r>
    </w:p>
    <w:p w14:paraId="0078D7ED" w14:textId="1743E933" w:rsidR="00C03E33" w:rsidRPr="00792DEF" w:rsidRDefault="00261503" w:rsidP="00112D48">
      <w:pPr>
        <w:pStyle w:val="Heading2"/>
        <w:numPr>
          <w:ilvl w:val="0"/>
          <w:numId w:val="0"/>
        </w:numPr>
        <w:spacing w:after="0"/>
        <w:ind w:left="227"/>
        <w:rPr>
          <w:i w:val="0"/>
          <w:sz w:val="22"/>
        </w:rPr>
      </w:pPr>
      <w:bookmarkStart w:id="9" w:name="_Toc426633803"/>
      <w:r w:rsidRPr="00792DEF">
        <w:rPr>
          <w:i w:val="0"/>
          <w:sz w:val="22"/>
        </w:rPr>
        <w:t>3</w:t>
      </w:r>
      <w:r w:rsidR="00340C2E" w:rsidRPr="00792DEF">
        <w:rPr>
          <w:i w:val="0"/>
          <w:sz w:val="22"/>
        </w:rPr>
        <w:t xml:space="preserve">.1 </w:t>
      </w:r>
      <w:r w:rsidR="00922C55" w:rsidRPr="00792DEF">
        <w:rPr>
          <w:sz w:val="22"/>
          <w:szCs w:val="22"/>
        </w:rPr>
        <w:t>The Australian and New Zealand Guideline for Hip Fracture Care</w:t>
      </w:r>
      <w:bookmarkEnd w:id="9"/>
      <w:r w:rsidR="00A654A1" w:rsidRPr="00792DEF">
        <w:rPr>
          <w:sz w:val="22"/>
          <w:szCs w:val="22"/>
        </w:rPr>
        <w:t xml:space="preserve"> </w:t>
      </w:r>
    </w:p>
    <w:p w14:paraId="1B3AB1EF" w14:textId="20BB5D92" w:rsidR="00842895" w:rsidRDefault="00C03E33" w:rsidP="00842895">
      <w:pPr>
        <w:pStyle w:val="NormalWeb"/>
        <w:spacing w:before="0"/>
        <w:jc w:val="both"/>
        <w:rPr>
          <w:rFonts w:ascii="Arial" w:hAnsi="Arial" w:cs="Arial"/>
          <w:sz w:val="22"/>
          <w:szCs w:val="22"/>
        </w:rPr>
      </w:pPr>
      <w:r w:rsidRPr="00414A6D">
        <w:rPr>
          <w:rFonts w:ascii="Arial" w:hAnsi="Arial" w:cs="Arial"/>
          <w:sz w:val="22"/>
          <w:szCs w:val="22"/>
        </w:rPr>
        <w:t xml:space="preserve">The Australian and New Zealand Guideline for Hip Fracture Care was </w:t>
      </w:r>
      <w:r w:rsidR="00811840" w:rsidRPr="00414A6D">
        <w:rPr>
          <w:rFonts w:ascii="Arial" w:hAnsi="Arial" w:cs="Arial"/>
          <w:sz w:val="22"/>
          <w:szCs w:val="22"/>
        </w:rPr>
        <w:t xml:space="preserve">approved by the National Health and Medical Research </w:t>
      </w:r>
      <w:r w:rsidR="004457E4" w:rsidRPr="00414A6D">
        <w:rPr>
          <w:rFonts w:ascii="Arial" w:hAnsi="Arial" w:cs="Arial"/>
          <w:sz w:val="22"/>
          <w:szCs w:val="22"/>
        </w:rPr>
        <w:t xml:space="preserve">Council </w:t>
      </w:r>
      <w:r w:rsidR="00811840" w:rsidRPr="00414A6D">
        <w:rPr>
          <w:rFonts w:ascii="Arial" w:hAnsi="Arial" w:cs="Arial"/>
          <w:sz w:val="22"/>
          <w:szCs w:val="22"/>
        </w:rPr>
        <w:t xml:space="preserve">and published on their Clinical Practice Guidelines portal </w:t>
      </w:r>
      <w:r w:rsidRPr="00414A6D">
        <w:rPr>
          <w:rFonts w:ascii="Arial" w:hAnsi="Arial" w:cs="Arial"/>
          <w:sz w:val="22"/>
          <w:szCs w:val="22"/>
        </w:rPr>
        <w:t>in 2014. It is designed to help professionals providing care for hip fracture patients to deliver consistent, effective and efficient care</w:t>
      </w:r>
      <w:r w:rsidR="00811840" w:rsidRPr="00414A6D">
        <w:rPr>
          <w:rFonts w:ascii="Arial" w:hAnsi="Arial" w:cs="Arial"/>
          <w:sz w:val="22"/>
          <w:szCs w:val="22"/>
        </w:rPr>
        <w:t>. The guideline include</w:t>
      </w:r>
      <w:r w:rsidR="00922C55" w:rsidRPr="00414A6D">
        <w:rPr>
          <w:rFonts w:ascii="Arial" w:hAnsi="Arial" w:cs="Arial"/>
          <w:sz w:val="22"/>
          <w:szCs w:val="22"/>
        </w:rPr>
        <w:t>s</w:t>
      </w:r>
      <w:r w:rsidR="00811840" w:rsidRPr="00414A6D">
        <w:rPr>
          <w:rFonts w:ascii="Arial" w:hAnsi="Arial" w:cs="Arial"/>
          <w:sz w:val="22"/>
          <w:szCs w:val="22"/>
        </w:rPr>
        <w:t xml:space="preserve"> aspects of care for hip fracture patients from diagnosis and preoperative care, through to post</w:t>
      </w:r>
      <w:r w:rsidR="00B16893" w:rsidRPr="00414A6D">
        <w:rPr>
          <w:rFonts w:ascii="Arial" w:hAnsi="Arial" w:cs="Arial"/>
          <w:sz w:val="22"/>
          <w:szCs w:val="22"/>
        </w:rPr>
        <w:t>-</w:t>
      </w:r>
      <w:r w:rsidR="009F67AB" w:rsidRPr="00414A6D">
        <w:rPr>
          <w:rFonts w:ascii="Arial" w:hAnsi="Arial" w:cs="Arial"/>
          <w:sz w:val="22"/>
          <w:szCs w:val="22"/>
        </w:rPr>
        <w:t xml:space="preserve">operative </w:t>
      </w:r>
      <w:proofErr w:type="spellStart"/>
      <w:r w:rsidR="009F67AB" w:rsidRPr="00414A6D">
        <w:rPr>
          <w:rFonts w:ascii="Arial" w:hAnsi="Arial" w:cs="Arial"/>
          <w:sz w:val="22"/>
          <w:szCs w:val="22"/>
        </w:rPr>
        <w:t>mobilis</w:t>
      </w:r>
      <w:r w:rsidR="00811840" w:rsidRPr="00414A6D">
        <w:rPr>
          <w:rFonts w:ascii="Arial" w:hAnsi="Arial" w:cs="Arial"/>
          <w:sz w:val="22"/>
          <w:szCs w:val="22"/>
        </w:rPr>
        <w:t>ation</w:t>
      </w:r>
      <w:proofErr w:type="spellEnd"/>
      <w:r w:rsidR="00811840" w:rsidRPr="00414A6D">
        <w:rPr>
          <w:rFonts w:ascii="Arial" w:hAnsi="Arial" w:cs="Arial"/>
          <w:sz w:val="22"/>
          <w:szCs w:val="22"/>
        </w:rPr>
        <w:t xml:space="preserve"> strategies, models of care</w:t>
      </w:r>
      <w:r w:rsidR="009F67AB" w:rsidRPr="00414A6D">
        <w:rPr>
          <w:rFonts w:ascii="Arial" w:hAnsi="Arial" w:cs="Arial"/>
          <w:sz w:val="22"/>
          <w:szCs w:val="22"/>
        </w:rPr>
        <w:t>,</w:t>
      </w:r>
      <w:r w:rsidR="00811840" w:rsidRPr="00414A6D">
        <w:rPr>
          <w:rFonts w:ascii="Arial" w:hAnsi="Arial" w:cs="Arial"/>
          <w:sz w:val="22"/>
          <w:szCs w:val="22"/>
        </w:rPr>
        <w:t xml:space="preserve"> and patient and </w:t>
      </w:r>
      <w:proofErr w:type="spellStart"/>
      <w:r w:rsidR="00811840" w:rsidRPr="00414A6D">
        <w:rPr>
          <w:rFonts w:ascii="Arial" w:hAnsi="Arial" w:cs="Arial"/>
          <w:sz w:val="22"/>
          <w:szCs w:val="22"/>
        </w:rPr>
        <w:t>carer</w:t>
      </w:r>
      <w:proofErr w:type="spellEnd"/>
      <w:r w:rsidR="00811840" w:rsidRPr="00414A6D">
        <w:rPr>
          <w:rFonts w:ascii="Arial" w:hAnsi="Arial" w:cs="Arial"/>
          <w:sz w:val="22"/>
          <w:szCs w:val="22"/>
        </w:rPr>
        <w:t xml:space="preserve"> perspectives. For further information, the guideline </w:t>
      </w:r>
      <w:r w:rsidR="00922C55" w:rsidRPr="00414A6D">
        <w:rPr>
          <w:rFonts w:ascii="Arial" w:hAnsi="Arial" w:cs="Arial"/>
          <w:sz w:val="22"/>
          <w:szCs w:val="22"/>
        </w:rPr>
        <w:t>is</w:t>
      </w:r>
      <w:r w:rsidR="00811840" w:rsidRPr="00414A6D">
        <w:rPr>
          <w:rFonts w:ascii="Arial" w:hAnsi="Arial" w:cs="Arial"/>
          <w:sz w:val="22"/>
          <w:szCs w:val="22"/>
        </w:rPr>
        <w:t xml:space="preserve"> available at: </w:t>
      </w:r>
    </w:p>
    <w:p w14:paraId="370050A0" w14:textId="35C8EDB3" w:rsidR="00C03E33" w:rsidRPr="00414A6D" w:rsidRDefault="00112B2E" w:rsidP="00842895">
      <w:pPr>
        <w:pStyle w:val="NormalWeb"/>
        <w:spacing w:before="0"/>
        <w:rPr>
          <w:rFonts w:ascii="Arial" w:hAnsi="Arial" w:cs="Arial"/>
          <w:sz w:val="22"/>
          <w:szCs w:val="22"/>
        </w:rPr>
      </w:pPr>
      <w:hyperlink r:id="rId15" w:history="1">
        <w:r w:rsidR="00811840" w:rsidRPr="00414A6D">
          <w:rPr>
            <w:rStyle w:val="Hyperlink"/>
            <w:rFonts w:ascii="Arial" w:hAnsi="Arial" w:cs="Arial"/>
            <w:sz w:val="22"/>
            <w:szCs w:val="22"/>
          </w:rPr>
          <w:t>http://www.anzhfr.org/images/resources/Guidelines/ANZ%20Guideline%20for%20Hip%20Fracture%20Care.pdf</w:t>
        </w:r>
      </w:hyperlink>
      <w:r w:rsidR="00811840" w:rsidRPr="00414A6D">
        <w:rPr>
          <w:rFonts w:ascii="Arial" w:hAnsi="Arial" w:cs="Arial"/>
          <w:sz w:val="22"/>
          <w:szCs w:val="22"/>
        </w:rPr>
        <w:t xml:space="preserve">. </w:t>
      </w:r>
    </w:p>
    <w:p w14:paraId="2221E671" w14:textId="2B04187A" w:rsidR="00D8362D" w:rsidRPr="00842895" w:rsidRDefault="00261503" w:rsidP="00112D48">
      <w:pPr>
        <w:pStyle w:val="Heading2"/>
        <w:numPr>
          <w:ilvl w:val="0"/>
          <w:numId w:val="0"/>
        </w:numPr>
        <w:spacing w:after="0"/>
        <w:ind w:left="227"/>
        <w:jc w:val="both"/>
        <w:rPr>
          <w:i w:val="0"/>
          <w:sz w:val="22"/>
          <w:szCs w:val="22"/>
        </w:rPr>
      </w:pPr>
      <w:bookmarkStart w:id="10" w:name="_Toc426633804"/>
      <w:r w:rsidRPr="00842895">
        <w:rPr>
          <w:i w:val="0"/>
          <w:sz w:val="22"/>
          <w:szCs w:val="22"/>
        </w:rPr>
        <w:t>3</w:t>
      </w:r>
      <w:r w:rsidR="00C03E33" w:rsidRPr="00842895">
        <w:rPr>
          <w:i w:val="0"/>
          <w:sz w:val="22"/>
          <w:szCs w:val="22"/>
        </w:rPr>
        <w:t xml:space="preserve">.2 </w:t>
      </w:r>
      <w:r w:rsidR="00D8362D" w:rsidRPr="00842895">
        <w:rPr>
          <w:i w:val="0"/>
          <w:sz w:val="22"/>
          <w:szCs w:val="22"/>
        </w:rPr>
        <w:t>The National Hip Fracture C</w:t>
      </w:r>
      <w:r w:rsidR="00754291">
        <w:rPr>
          <w:i w:val="0"/>
          <w:sz w:val="22"/>
          <w:szCs w:val="22"/>
        </w:rPr>
        <w:t>CS</w:t>
      </w:r>
      <w:bookmarkEnd w:id="10"/>
    </w:p>
    <w:p w14:paraId="0992339A" w14:textId="2662ECB1" w:rsidR="00D8362D" w:rsidRPr="00414A6D" w:rsidRDefault="00D8362D" w:rsidP="00B16893">
      <w:pPr>
        <w:pStyle w:val="NormalWeb"/>
        <w:spacing w:before="0"/>
        <w:jc w:val="both"/>
        <w:rPr>
          <w:rFonts w:ascii="Arial" w:hAnsi="Arial" w:cs="Arial"/>
          <w:color w:val="000000" w:themeColor="text1"/>
          <w:sz w:val="22"/>
          <w:szCs w:val="22"/>
          <w:lang w:val="en"/>
        </w:rPr>
      </w:pPr>
      <w:r w:rsidRPr="00414A6D">
        <w:rPr>
          <w:rStyle w:val="IntenseReference"/>
          <w:rFonts w:ascii="Arial" w:hAnsi="Arial" w:cs="Arial"/>
          <w:b w:val="0"/>
          <w:bCs w:val="0"/>
          <w:i w:val="0"/>
          <w:smallCaps w:val="0"/>
          <w:color w:val="auto"/>
          <w:spacing w:val="0"/>
          <w:sz w:val="22"/>
          <w:szCs w:val="22"/>
        </w:rPr>
        <w:t xml:space="preserve">The Commission is developing a series of </w:t>
      </w:r>
      <w:r w:rsidRPr="00414A6D">
        <w:rPr>
          <w:rFonts w:ascii="Arial" w:hAnsi="Arial" w:cs="Arial"/>
          <w:color w:val="000000" w:themeColor="text1"/>
          <w:sz w:val="22"/>
          <w:szCs w:val="22"/>
          <w:lang w:val="en"/>
        </w:rPr>
        <w:t xml:space="preserve">CCS for a specified set of conditions and procedures. The Standards specify a set of elements (quality statements) that describe the elements of </w:t>
      </w:r>
      <w:r w:rsidR="00346B84" w:rsidRPr="00414A6D">
        <w:rPr>
          <w:rFonts w:ascii="Arial" w:hAnsi="Arial" w:cs="Arial"/>
          <w:color w:val="000000" w:themeColor="text1"/>
          <w:sz w:val="22"/>
          <w:szCs w:val="22"/>
          <w:lang w:val="en"/>
        </w:rPr>
        <w:t>best-practice</w:t>
      </w:r>
      <w:r w:rsidRPr="00414A6D">
        <w:rPr>
          <w:rFonts w:ascii="Arial" w:hAnsi="Arial" w:cs="Arial"/>
          <w:color w:val="000000" w:themeColor="text1"/>
          <w:sz w:val="22"/>
          <w:szCs w:val="22"/>
          <w:lang w:val="en"/>
        </w:rPr>
        <w:t xml:space="preserve"> for a clinical condition. </w:t>
      </w:r>
      <w:r w:rsidR="001B658A" w:rsidRPr="00414A6D">
        <w:rPr>
          <w:rFonts w:ascii="Arial" w:hAnsi="Arial" w:cs="Arial"/>
          <w:color w:val="000000" w:themeColor="text1"/>
          <w:sz w:val="22"/>
          <w:szCs w:val="22"/>
          <w:lang w:val="en"/>
        </w:rPr>
        <w:t>T</w:t>
      </w:r>
      <w:r w:rsidR="00351F3D" w:rsidRPr="00414A6D">
        <w:rPr>
          <w:rFonts w:ascii="Arial" w:hAnsi="Arial" w:cs="Arial"/>
          <w:color w:val="000000" w:themeColor="text1"/>
          <w:sz w:val="22"/>
          <w:szCs w:val="22"/>
          <w:lang w:val="en"/>
        </w:rPr>
        <w:t>he s</w:t>
      </w:r>
      <w:r w:rsidRPr="00414A6D">
        <w:rPr>
          <w:rFonts w:ascii="Arial" w:hAnsi="Arial" w:cs="Arial"/>
          <w:color w:val="000000" w:themeColor="text1"/>
          <w:sz w:val="22"/>
          <w:szCs w:val="22"/>
          <w:lang w:val="en"/>
        </w:rPr>
        <w:t>tandards are</w:t>
      </w:r>
      <w:r w:rsidR="00351F3D" w:rsidRPr="00414A6D">
        <w:rPr>
          <w:rFonts w:ascii="Arial" w:hAnsi="Arial" w:cs="Arial"/>
          <w:color w:val="000000" w:themeColor="text1"/>
          <w:sz w:val="22"/>
          <w:szCs w:val="22"/>
          <w:lang w:val="en"/>
        </w:rPr>
        <w:t xml:space="preserve"> being</w:t>
      </w:r>
      <w:r w:rsidRPr="00414A6D">
        <w:rPr>
          <w:rFonts w:ascii="Arial" w:hAnsi="Arial" w:cs="Arial"/>
          <w:color w:val="000000" w:themeColor="text1"/>
          <w:sz w:val="22"/>
          <w:szCs w:val="22"/>
          <w:lang w:val="en"/>
        </w:rPr>
        <w:t xml:space="preserve"> developed in close consultation with clinical experts and consumers. </w:t>
      </w:r>
    </w:p>
    <w:p w14:paraId="48D2576A" w14:textId="200B54E9" w:rsidR="00D8362D" w:rsidRPr="00414A6D" w:rsidRDefault="00D8362D" w:rsidP="00D147A4">
      <w:pPr>
        <w:pStyle w:val="NormalWeb"/>
        <w:jc w:val="both"/>
        <w:rPr>
          <w:rStyle w:val="IntenseReference"/>
          <w:rFonts w:ascii="Arial" w:hAnsi="Arial" w:cs="Arial"/>
          <w:b w:val="0"/>
          <w:bCs w:val="0"/>
          <w:i w:val="0"/>
          <w:smallCaps w:val="0"/>
          <w:color w:val="auto"/>
          <w:spacing w:val="0"/>
          <w:sz w:val="22"/>
          <w:szCs w:val="22"/>
        </w:rPr>
      </w:pPr>
      <w:r w:rsidRPr="00414A6D">
        <w:rPr>
          <w:rStyle w:val="IntenseReference"/>
          <w:rFonts w:ascii="Arial" w:hAnsi="Arial" w:cs="Arial"/>
          <w:b w:val="0"/>
          <w:bCs w:val="0"/>
          <w:i w:val="0"/>
          <w:smallCaps w:val="0"/>
          <w:color w:val="auto"/>
          <w:spacing w:val="0"/>
          <w:sz w:val="22"/>
          <w:szCs w:val="22"/>
        </w:rPr>
        <w:t xml:space="preserve">The </w:t>
      </w:r>
      <w:r w:rsidR="00906812" w:rsidRPr="00414A6D">
        <w:rPr>
          <w:rStyle w:val="IntenseReference"/>
          <w:rFonts w:ascii="Arial" w:hAnsi="Arial" w:cs="Arial"/>
          <w:b w:val="0"/>
          <w:bCs w:val="0"/>
          <w:i w:val="0"/>
          <w:smallCaps w:val="0"/>
          <w:color w:val="auto"/>
          <w:spacing w:val="0"/>
          <w:sz w:val="22"/>
          <w:szCs w:val="22"/>
        </w:rPr>
        <w:t>hip fracture CCS</w:t>
      </w:r>
      <w:r w:rsidR="00560CC6" w:rsidRPr="00414A6D">
        <w:rPr>
          <w:rStyle w:val="IntenseReference"/>
          <w:rFonts w:ascii="Arial" w:hAnsi="Arial" w:cs="Arial"/>
          <w:b w:val="0"/>
          <w:bCs w:val="0"/>
          <w:i w:val="0"/>
          <w:smallCaps w:val="0"/>
          <w:color w:val="auto"/>
          <w:spacing w:val="0"/>
          <w:sz w:val="22"/>
          <w:szCs w:val="22"/>
        </w:rPr>
        <w:t xml:space="preserve"> </w:t>
      </w:r>
      <w:r w:rsidR="00922C55" w:rsidRPr="00414A6D">
        <w:rPr>
          <w:rStyle w:val="IntenseReference"/>
          <w:rFonts w:ascii="Arial" w:hAnsi="Arial" w:cs="Arial"/>
          <w:b w:val="0"/>
          <w:bCs w:val="0"/>
          <w:i w:val="0"/>
          <w:smallCaps w:val="0"/>
          <w:color w:val="auto"/>
          <w:spacing w:val="0"/>
          <w:sz w:val="22"/>
          <w:szCs w:val="22"/>
        </w:rPr>
        <w:t>was</w:t>
      </w:r>
      <w:r w:rsidR="00F67CF8" w:rsidRPr="00414A6D">
        <w:rPr>
          <w:rStyle w:val="IntenseReference"/>
          <w:rFonts w:ascii="Arial" w:hAnsi="Arial" w:cs="Arial"/>
          <w:b w:val="0"/>
          <w:bCs w:val="0"/>
          <w:i w:val="0"/>
          <w:smallCaps w:val="0"/>
          <w:color w:val="auto"/>
          <w:spacing w:val="0"/>
          <w:sz w:val="22"/>
          <w:szCs w:val="22"/>
        </w:rPr>
        <w:t xml:space="preserve"> </w:t>
      </w:r>
      <w:r w:rsidR="00FB6A9D" w:rsidRPr="00414A6D">
        <w:rPr>
          <w:rStyle w:val="IntenseReference"/>
          <w:rFonts w:ascii="Arial" w:hAnsi="Arial" w:cs="Arial"/>
          <w:b w:val="0"/>
          <w:bCs w:val="0"/>
          <w:i w:val="0"/>
          <w:smallCaps w:val="0"/>
          <w:color w:val="auto"/>
          <w:spacing w:val="0"/>
          <w:sz w:val="22"/>
          <w:szCs w:val="22"/>
        </w:rPr>
        <w:t>released</w:t>
      </w:r>
      <w:r w:rsidR="00881A8D" w:rsidRPr="00414A6D">
        <w:rPr>
          <w:rStyle w:val="IntenseReference"/>
          <w:rFonts w:ascii="Arial" w:hAnsi="Arial" w:cs="Arial"/>
          <w:b w:val="0"/>
          <w:bCs w:val="0"/>
          <w:i w:val="0"/>
          <w:smallCaps w:val="0"/>
          <w:color w:val="auto"/>
          <w:spacing w:val="0"/>
          <w:sz w:val="22"/>
          <w:szCs w:val="22"/>
        </w:rPr>
        <w:t xml:space="preserve"> for public consultation </w:t>
      </w:r>
      <w:r w:rsidR="00922C55" w:rsidRPr="00414A6D">
        <w:rPr>
          <w:rStyle w:val="IntenseReference"/>
          <w:rFonts w:ascii="Arial" w:hAnsi="Arial" w:cs="Arial"/>
          <w:b w:val="0"/>
          <w:bCs w:val="0"/>
          <w:i w:val="0"/>
          <w:smallCaps w:val="0"/>
          <w:color w:val="auto"/>
          <w:spacing w:val="0"/>
          <w:sz w:val="22"/>
          <w:szCs w:val="22"/>
        </w:rPr>
        <w:t>in May 2015</w:t>
      </w:r>
      <w:r w:rsidR="00FB6A9D" w:rsidRPr="00414A6D">
        <w:rPr>
          <w:rStyle w:val="IntenseReference"/>
          <w:rFonts w:ascii="Arial" w:hAnsi="Arial" w:cs="Arial"/>
          <w:b w:val="0"/>
          <w:bCs w:val="0"/>
          <w:i w:val="0"/>
          <w:smallCaps w:val="0"/>
          <w:color w:val="auto"/>
          <w:spacing w:val="0"/>
          <w:sz w:val="22"/>
          <w:szCs w:val="22"/>
        </w:rPr>
        <w:t xml:space="preserve"> (</w:t>
      </w:r>
      <w:r w:rsidR="00C90898" w:rsidRPr="00414A6D">
        <w:rPr>
          <w:rStyle w:val="IntenseReference"/>
          <w:rFonts w:ascii="Arial" w:hAnsi="Arial" w:cs="Arial"/>
          <w:b w:val="0"/>
          <w:bCs w:val="0"/>
          <w:i w:val="0"/>
          <w:smallCaps w:val="0"/>
          <w:color w:val="auto"/>
          <w:spacing w:val="0"/>
          <w:sz w:val="22"/>
          <w:szCs w:val="22"/>
        </w:rPr>
        <w:t>A</w:t>
      </w:r>
      <w:r w:rsidR="00881A8D" w:rsidRPr="00414A6D">
        <w:rPr>
          <w:rStyle w:val="IntenseReference"/>
          <w:rFonts w:ascii="Arial" w:hAnsi="Arial" w:cs="Arial"/>
          <w:b w:val="0"/>
          <w:bCs w:val="0"/>
          <w:i w:val="0"/>
          <w:smallCaps w:val="0"/>
          <w:color w:val="auto"/>
          <w:spacing w:val="0"/>
          <w:sz w:val="22"/>
          <w:szCs w:val="22"/>
        </w:rPr>
        <w:t xml:space="preserve">ppendix </w:t>
      </w:r>
      <w:r w:rsidR="00D170B6" w:rsidRPr="00414A6D">
        <w:rPr>
          <w:rStyle w:val="IntenseReference"/>
          <w:rFonts w:ascii="Arial" w:hAnsi="Arial" w:cs="Arial"/>
          <w:b w:val="0"/>
          <w:bCs w:val="0"/>
          <w:i w:val="0"/>
          <w:smallCaps w:val="0"/>
          <w:color w:val="auto"/>
          <w:spacing w:val="0"/>
          <w:sz w:val="22"/>
          <w:szCs w:val="22"/>
        </w:rPr>
        <w:t>C</w:t>
      </w:r>
      <w:r w:rsidR="00FB6A9D" w:rsidRPr="00414A6D">
        <w:rPr>
          <w:rStyle w:val="IntenseReference"/>
          <w:rFonts w:ascii="Arial" w:hAnsi="Arial" w:cs="Arial"/>
          <w:b w:val="0"/>
          <w:bCs w:val="0"/>
          <w:i w:val="0"/>
          <w:smallCaps w:val="0"/>
          <w:color w:val="auto"/>
          <w:spacing w:val="0"/>
          <w:sz w:val="22"/>
          <w:szCs w:val="22"/>
        </w:rPr>
        <w:t>)</w:t>
      </w:r>
      <w:r w:rsidR="00881A8D" w:rsidRPr="00414A6D">
        <w:rPr>
          <w:rStyle w:val="IntenseReference"/>
          <w:rFonts w:ascii="Arial" w:hAnsi="Arial" w:cs="Arial"/>
          <w:b w:val="0"/>
          <w:bCs w:val="0"/>
          <w:i w:val="0"/>
          <w:smallCaps w:val="0"/>
          <w:color w:val="auto"/>
          <w:spacing w:val="0"/>
          <w:sz w:val="22"/>
          <w:szCs w:val="22"/>
        </w:rPr>
        <w:t>. It is</w:t>
      </w:r>
      <w:r w:rsidRPr="00414A6D">
        <w:rPr>
          <w:rStyle w:val="IntenseReference"/>
          <w:rFonts w:ascii="Arial" w:hAnsi="Arial" w:cs="Arial"/>
          <w:b w:val="0"/>
          <w:bCs w:val="0"/>
          <w:i w:val="0"/>
          <w:smallCaps w:val="0"/>
          <w:color w:val="auto"/>
          <w:spacing w:val="0"/>
          <w:sz w:val="22"/>
          <w:szCs w:val="22"/>
        </w:rPr>
        <w:t xml:space="preserve"> </w:t>
      </w:r>
      <w:r w:rsidR="00881A8D" w:rsidRPr="00414A6D">
        <w:rPr>
          <w:rStyle w:val="IntenseReference"/>
          <w:rFonts w:ascii="Arial" w:hAnsi="Arial" w:cs="Arial"/>
          <w:b w:val="0"/>
          <w:bCs w:val="0"/>
          <w:i w:val="0"/>
          <w:smallCaps w:val="0"/>
          <w:color w:val="auto"/>
          <w:spacing w:val="0"/>
          <w:sz w:val="22"/>
          <w:szCs w:val="22"/>
        </w:rPr>
        <w:t xml:space="preserve">due for publication in </w:t>
      </w:r>
      <w:r w:rsidR="00922C55" w:rsidRPr="00414A6D">
        <w:rPr>
          <w:rStyle w:val="IntenseReference"/>
          <w:rFonts w:ascii="Arial" w:hAnsi="Arial" w:cs="Arial"/>
          <w:b w:val="0"/>
          <w:bCs w:val="0"/>
          <w:i w:val="0"/>
          <w:smallCaps w:val="0"/>
          <w:color w:val="auto"/>
          <w:spacing w:val="0"/>
          <w:sz w:val="22"/>
          <w:szCs w:val="22"/>
        </w:rPr>
        <w:t>early 2016</w:t>
      </w:r>
      <w:r w:rsidRPr="00414A6D">
        <w:rPr>
          <w:rStyle w:val="IntenseReference"/>
          <w:rFonts w:ascii="Arial" w:hAnsi="Arial" w:cs="Arial"/>
          <w:b w:val="0"/>
          <w:bCs w:val="0"/>
          <w:i w:val="0"/>
          <w:smallCaps w:val="0"/>
          <w:color w:val="auto"/>
          <w:spacing w:val="0"/>
          <w:sz w:val="22"/>
          <w:szCs w:val="22"/>
        </w:rPr>
        <w:t>. Its</w:t>
      </w:r>
      <w:r w:rsidRPr="00414A6D">
        <w:rPr>
          <w:rStyle w:val="IntenseReference"/>
          <w:rFonts w:ascii="Arial" w:hAnsi="Arial" w:cs="Arial"/>
          <w:b w:val="0"/>
          <w:bCs w:val="0"/>
          <w:i w:val="0"/>
          <w:smallCaps w:val="0"/>
          <w:color w:val="auto"/>
          <w:spacing w:val="0"/>
          <w:sz w:val="22"/>
          <w:szCs w:val="22"/>
          <w:lang w:val="en-AU"/>
        </w:rPr>
        <w:t xml:space="preserve"> </w:t>
      </w:r>
      <w:r w:rsidR="00881A8D" w:rsidRPr="00414A6D">
        <w:rPr>
          <w:rStyle w:val="IntenseReference"/>
          <w:rFonts w:ascii="Arial" w:hAnsi="Arial" w:cs="Arial"/>
          <w:b w:val="0"/>
          <w:bCs w:val="0"/>
          <w:i w:val="0"/>
          <w:smallCaps w:val="0"/>
          <w:color w:val="auto"/>
          <w:spacing w:val="0"/>
          <w:sz w:val="22"/>
          <w:szCs w:val="22"/>
          <w:lang w:val="en-AU"/>
        </w:rPr>
        <w:t>finalisation</w:t>
      </w:r>
      <w:r w:rsidRPr="00414A6D">
        <w:rPr>
          <w:rStyle w:val="IntenseReference"/>
          <w:rFonts w:ascii="Arial" w:hAnsi="Arial" w:cs="Arial"/>
          <w:b w:val="0"/>
          <w:bCs w:val="0"/>
          <w:i w:val="0"/>
          <w:smallCaps w:val="0"/>
          <w:color w:val="auto"/>
          <w:spacing w:val="0"/>
          <w:sz w:val="22"/>
          <w:szCs w:val="22"/>
        </w:rPr>
        <w:t xml:space="preserve"> will be instrumental in designing the national </w:t>
      </w:r>
      <w:r w:rsidR="00346B84" w:rsidRPr="00414A6D">
        <w:rPr>
          <w:rStyle w:val="IntenseReference"/>
          <w:rFonts w:ascii="Arial" w:hAnsi="Arial" w:cs="Arial"/>
          <w:b w:val="0"/>
          <w:bCs w:val="0"/>
          <w:i w:val="0"/>
          <w:smallCaps w:val="0"/>
          <w:color w:val="auto"/>
          <w:spacing w:val="0"/>
          <w:sz w:val="22"/>
          <w:szCs w:val="22"/>
        </w:rPr>
        <w:t>best-practice</w:t>
      </w:r>
      <w:r w:rsidRPr="00414A6D">
        <w:rPr>
          <w:rStyle w:val="IntenseReference"/>
          <w:rFonts w:ascii="Arial" w:hAnsi="Arial" w:cs="Arial"/>
          <w:b w:val="0"/>
          <w:bCs w:val="0"/>
          <w:i w:val="0"/>
          <w:smallCaps w:val="0"/>
          <w:color w:val="auto"/>
          <w:spacing w:val="0"/>
          <w:sz w:val="22"/>
          <w:szCs w:val="22"/>
        </w:rPr>
        <w:t xml:space="preserve"> pricing model. For exa</w:t>
      </w:r>
      <w:r w:rsidR="004457E4" w:rsidRPr="00414A6D">
        <w:rPr>
          <w:rStyle w:val="IntenseReference"/>
          <w:rFonts w:ascii="Arial" w:hAnsi="Arial" w:cs="Arial"/>
          <w:b w:val="0"/>
          <w:bCs w:val="0"/>
          <w:i w:val="0"/>
          <w:smallCaps w:val="0"/>
          <w:color w:val="auto"/>
          <w:spacing w:val="0"/>
          <w:sz w:val="22"/>
          <w:szCs w:val="22"/>
        </w:rPr>
        <w:t xml:space="preserve">mple, the group developing the </w:t>
      </w:r>
      <w:r w:rsidR="00C90898" w:rsidRPr="00414A6D">
        <w:rPr>
          <w:rStyle w:val="IntenseReference"/>
          <w:rFonts w:ascii="Arial" w:hAnsi="Arial" w:cs="Arial"/>
          <w:b w:val="0"/>
          <w:bCs w:val="0"/>
          <w:i w:val="0"/>
          <w:smallCaps w:val="0"/>
          <w:color w:val="auto"/>
          <w:spacing w:val="0"/>
          <w:sz w:val="22"/>
          <w:szCs w:val="22"/>
        </w:rPr>
        <w:t>S</w:t>
      </w:r>
      <w:r w:rsidRPr="00414A6D">
        <w:rPr>
          <w:rStyle w:val="IntenseReference"/>
          <w:rFonts w:ascii="Arial" w:hAnsi="Arial" w:cs="Arial"/>
          <w:b w:val="0"/>
          <w:bCs w:val="0"/>
          <w:i w:val="0"/>
          <w:smallCaps w:val="0"/>
          <w:color w:val="auto"/>
          <w:spacing w:val="0"/>
          <w:sz w:val="22"/>
          <w:szCs w:val="22"/>
        </w:rPr>
        <w:t xml:space="preserve">tandard has </w:t>
      </w:r>
      <w:r w:rsidR="004457E4" w:rsidRPr="00414A6D">
        <w:rPr>
          <w:rStyle w:val="IntenseReference"/>
          <w:rFonts w:ascii="Arial" w:hAnsi="Arial" w:cs="Arial"/>
          <w:b w:val="0"/>
          <w:bCs w:val="0"/>
          <w:i w:val="0"/>
          <w:smallCaps w:val="0"/>
          <w:color w:val="auto"/>
          <w:spacing w:val="0"/>
          <w:sz w:val="22"/>
          <w:szCs w:val="22"/>
        </w:rPr>
        <w:t>discussed limiting it</w:t>
      </w:r>
      <w:r w:rsidRPr="00414A6D">
        <w:rPr>
          <w:rStyle w:val="IntenseReference"/>
          <w:rFonts w:ascii="Arial" w:hAnsi="Arial" w:cs="Arial"/>
          <w:b w:val="0"/>
          <w:bCs w:val="0"/>
          <w:i w:val="0"/>
          <w:smallCaps w:val="0"/>
          <w:color w:val="auto"/>
          <w:spacing w:val="0"/>
          <w:sz w:val="22"/>
          <w:szCs w:val="22"/>
        </w:rPr>
        <w:t xml:space="preserve"> to the acute episode of care, and considered an element relating to re-fracture prevention. The former has clear implication</w:t>
      </w:r>
      <w:r w:rsidR="00881A8D" w:rsidRPr="00414A6D">
        <w:rPr>
          <w:rStyle w:val="IntenseReference"/>
          <w:rFonts w:ascii="Arial" w:hAnsi="Arial" w:cs="Arial"/>
          <w:b w:val="0"/>
          <w:bCs w:val="0"/>
          <w:i w:val="0"/>
          <w:smallCaps w:val="0"/>
          <w:color w:val="auto"/>
          <w:spacing w:val="0"/>
          <w:sz w:val="22"/>
          <w:szCs w:val="22"/>
        </w:rPr>
        <w:t>s</w:t>
      </w:r>
      <w:r w:rsidRPr="00414A6D">
        <w:rPr>
          <w:rStyle w:val="IntenseReference"/>
          <w:rFonts w:ascii="Arial" w:hAnsi="Arial" w:cs="Arial"/>
          <w:b w:val="0"/>
          <w:bCs w:val="0"/>
          <w:i w:val="0"/>
          <w:smallCaps w:val="0"/>
          <w:color w:val="auto"/>
          <w:spacing w:val="0"/>
          <w:sz w:val="22"/>
          <w:szCs w:val="22"/>
        </w:rPr>
        <w:t xml:space="preserve"> for the model, while the latter would prove challenging to integrate with a financial incentive. </w:t>
      </w:r>
    </w:p>
    <w:p w14:paraId="48704763" w14:textId="12A7B911" w:rsidR="003D14A5" w:rsidRPr="00414A6D" w:rsidRDefault="003D14A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2:</w:t>
      </w:r>
      <w:r w:rsidRPr="00414A6D">
        <w:rPr>
          <w:rFonts w:ascii="Arial" w:hAnsi="Arial" w:cs="Arial"/>
          <w:sz w:val="22"/>
          <w:szCs w:val="22"/>
        </w:rPr>
        <w:t xml:space="preserve">  </w:t>
      </w:r>
      <w:r w:rsidR="00CC0931" w:rsidRPr="00414A6D">
        <w:rPr>
          <w:rFonts w:ascii="Arial" w:hAnsi="Arial" w:cs="Arial"/>
          <w:sz w:val="22"/>
          <w:szCs w:val="22"/>
        </w:rPr>
        <w:t>E</w:t>
      </w:r>
      <w:r w:rsidR="00B1605A">
        <w:rPr>
          <w:rFonts w:ascii="Arial" w:hAnsi="Arial" w:cs="Arial"/>
          <w:sz w:val="22"/>
          <w:szCs w:val="22"/>
        </w:rPr>
        <w:t xml:space="preserve">xisting CCS </w:t>
      </w:r>
      <w:r w:rsidRPr="00414A6D">
        <w:rPr>
          <w:rFonts w:ascii="Arial" w:hAnsi="Arial" w:cs="Arial"/>
          <w:sz w:val="22"/>
          <w:szCs w:val="22"/>
        </w:rPr>
        <w:t>and nat</w:t>
      </w:r>
      <w:r w:rsidR="004457E4" w:rsidRPr="00414A6D">
        <w:rPr>
          <w:rFonts w:ascii="Arial" w:hAnsi="Arial" w:cs="Arial"/>
          <w:sz w:val="22"/>
          <w:szCs w:val="22"/>
        </w:rPr>
        <w:t xml:space="preserve">ional guidelines </w:t>
      </w:r>
      <w:r w:rsidR="00CC0931" w:rsidRPr="00414A6D">
        <w:rPr>
          <w:rFonts w:ascii="Arial" w:hAnsi="Arial" w:cs="Arial"/>
          <w:sz w:val="22"/>
          <w:szCs w:val="22"/>
        </w:rPr>
        <w:t xml:space="preserve">should </w:t>
      </w:r>
      <w:r w:rsidR="000E1A0B" w:rsidRPr="00414A6D">
        <w:rPr>
          <w:rFonts w:ascii="Arial" w:hAnsi="Arial" w:cs="Arial"/>
          <w:sz w:val="22"/>
          <w:szCs w:val="22"/>
        </w:rPr>
        <w:t xml:space="preserve">be used </w:t>
      </w:r>
      <w:r w:rsidR="004457E4" w:rsidRPr="00414A6D">
        <w:rPr>
          <w:rFonts w:ascii="Arial" w:hAnsi="Arial" w:cs="Arial"/>
          <w:sz w:val="22"/>
          <w:szCs w:val="22"/>
        </w:rPr>
        <w:t>as a basis of a</w:t>
      </w:r>
      <w:r w:rsidRPr="00414A6D">
        <w:rPr>
          <w:rFonts w:ascii="Arial" w:hAnsi="Arial" w:cs="Arial"/>
          <w:sz w:val="22"/>
          <w:szCs w:val="22"/>
        </w:rPr>
        <w:t xml:space="preserve"> </w:t>
      </w:r>
      <w:r w:rsidR="00346B84" w:rsidRPr="00414A6D">
        <w:rPr>
          <w:rFonts w:ascii="Arial" w:hAnsi="Arial" w:cs="Arial"/>
          <w:sz w:val="22"/>
          <w:szCs w:val="22"/>
        </w:rPr>
        <w:t>best-practice</w:t>
      </w:r>
      <w:r w:rsidRPr="00414A6D">
        <w:rPr>
          <w:rFonts w:ascii="Arial" w:hAnsi="Arial" w:cs="Arial"/>
          <w:sz w:val="22"/>
          <w:szCs w:val="22"/>
        </w:rPr>
        <w:t xml:space="preserve"> pricing </w:t>
      </w:r>
      <w:r w:rsidR="004457E4" w:rsidRPr="00414A6D">
        <w:rPr>
          <w:rFonts w:ascii="Arial" w:hAnsi="Arial" w:cs="Arial"/>
          <w:sz w:val="22"/>
          <w:szCs w:val="22"/>
        </w:rPr>
        <w:t xml:space="preserve">approach </w:t>
      </w:r>
      <w:r w:rsidRPr="00414A6D">
        <w:rPr>
          <w:rFonts w:ascii="Arial" w:hAnsi="Arial" w:cs="Arial"/>
          <w:sz w:val="22"/>
          <w:szCs w:val="22"/>
        </w:rPr>
        <w:t xml:space="preserve">for hip fracture care, in particular the Hip Fracture </w:t>
      </w:r>
      <w:r w:rsidR="00560CC6" w:rsidRPr="00414A6D">
        <w:rPr>
          <w:rFonts w:ascii="Arial" w:hAnsi="Arial" w:cs="Arial"/>
          <w:sz w:val="22"/>
          <w:szCs w:val="22"/>
        </w:rPr>
        <w:t>CCS</w:t>
      </w:r>
      <w:r w:rsidRPr="00414A6D">
        <w:rPr>
          <w:rFonts w:ascii="Arial" w:hAnsi="Arial" w:cs="Arial"/>
          <w:sz w:val="22"/>
          <w:szCs w:val="22"/>
        </w:rPr>
        <w:t xml:space="preserve"> established by the Commission in 2015.</w:t>
      </w:r>
    </w:p>
    <w:p w14:paraId="166F7E8E" w14:textId="77777777" w:rsidR="0012066A" w:rsidRPr="00414A6D" w:rsidRDefault="0012066A">
      <w:pPr>
        <w:rPr>
          <w:rFonts w:ascii="Arial" w:hAnsi="Arial" w:cs="Arial"/>
          <w:b/>
          <w:bCs/>
          <w:kern w:val="28"/>
          <w:sz w:val="28"/>
          <w:szCs w:val="21"/>
        </w:rPr>
      </w:pPr>
      <w:r w:rsidRPr="00414A6D">
        <w:rPr>
          <w:rFonts w:ascii="Arial" w:hAnsi="Arial" w:cs="Arial"/>
          <w:szCs w:val="21"/>
        </w:rPr>
        <w:br w:type="page"/>
      </w:r>
    </w:p>
    <w:p w14:paraId="4E56BC0A" w14:textId="77777777" w:rsidR="00766CDC" w:rsidRPr="00414A6D" w:rsidRDefault="001A4324" w:rsidP="007B1510">
      <w:pPr>
        <w:pStyle w:val="Heading1"/>
        <w:numPr>
          <w:ilvl w:val="0"/>
          <w:numId w:val="14"/>
        </w:numPr>
        <w:ind w:left="414" w:hanging="357"/>
        <w:jc w:val="both"/>
        <w:rPr>
          <w:szCs w:val="21"/>
        </w:rPr>
      </w:pPr>
      <w:bookmarkStart w:id="11" w:name="_Toc426633805"/>
      <w:r w:rsidRPr="00414A6D">
        <w:rPr>
          <w:szCs w:val="21"/>
        </w:rPr>
        <w:lastRenderedPageBreak/>
        <w:t xml:space="preserve">Designing a national </w:t>
      </w:r>
      <w:r w:rsidR="00346B84" w:rsidRPr="00414A6D">
        <w:rPr>
          <w:szCs w:val="21"/>
        </w:rPr>
        <w:t>best-practice</w:t>
      </w:r>
      <w:r w:rsidR="00766CDC" w:rsidRPr="00414A6D">
        <w:rPr>
          <w:szCs w:val="21"/>
        </w:rPr>
        <w:t xml:space="preserve"> </w:t>
      </w:r>
      <w:r w:rsidRPr="00414A6D">
        <w:rPr>
          <w:szCs w:val="21"/>
        </w:rPr>
        <w:t>pricing model</w:t>
      </w:r>
      <w:r w:rsidR="00033D04" w:rsidRPr="00414A6D">
        <w:rPr>
          <w:szCs w:val="21"/>
        </w:rPr>
        <w:t xml:space="preserve"> for hip fracture care</w:t>
      </w:r>
      <w:bookmarkEnd w:id="11"/>
    </w:p>
    <w:p w14:paraId="7078BD26" w14:textId="6DC52EDB" w:rsidR="00701940" w:rsidRPr="00414A6D" w:rsidRDefault="00701940" w:rsidP="00CC1BB0">
      <w:pPr>
        <w:jc w:val="both"/>
        <w:rPr>
          <w:rFonts w:ascii="Arial" w:hAnsi="Arial" w:cs="Arial"/>
          <w:sz w:val="22"/>
          <w:szCs w:val="22"/>
        </w:rPr>
      </w:pPr>
      <w:r w:rsidRPr="00414A6D">
        <w:rPr>
          <w:rFonts w:ascii="Arial" w:hAnsi="Arial" w:cs="Arial"/>
          <w:sz w:val="22"/>
          <w:szCs w:val="22"/>
        </w:rPr>
        <w:t xml:space="preserve">This </w:t>
      </w:r>
      <w:r w:rsidR="00922C55" w:rsidRPr="00414A6D">
        <w:rPr>
          <w:rFonts w:ascii="Arial" w:hAnsi="Arial" w:cs="Arial"/>
          <w:sz w:val="22"/>
          <w:szCs w:val="22"/>
        </w:rPr>
        <w:t>c</w:t>
      </w:r>
      <w:r w:rsidRPr="00414A6D">
        <w:rPr>
          <w:rFonts w:ascii="Arial" w:hAnsi="Arial" w:cs="Arial"/>
          <w:sz w:val="22"/>
          <w:szCs w:val="22"/>
        </w:rPr>
        <w:t xml:space="preserve">hapter discusses the summary analysis of national hip fracture separations based on the most recently available national costing and activity data. The analysis uses the relevant hip fracture diagnosis and procedure codes in the ABF national data sets to inform the hip fracture cohort selection and a corresponding pricing approach. </w:t>
      </w:r>
    </w:p>
    <w:p w14:paraId="62FD3BC3" w14:textId="40A37AF3" w:rsidR="00701940" w:rsidRPr="00792DEF" w:rsidRDefault="00261503" w:rsidP="00112D48">
      <w:pPr>
        <w:pStyle w:val="Heading2"/>
        <w:numPr>
          <w:ilvl w:val="0"/>
          <w:numId w:val="0"/>
        </w:numPr>
        <w:ind w:left="227"/>
        <w:rPr>
          <w:i w:val="0"/>
          <w:sz w:val="22"/>
        </w:rPr>
      </w:pPr>
      <w:bookmarkStart w:id="12" w:name="_Toc414954671"/>
      <w:bookmarkStart w:id="13" w:name="_Toc426633806"/>
      <w:r w:rsidRPr="00792DEF">
        <w:rPr>
          <w:i w:val="0"/>
          <w:sz w:val="22"/>
        </w:rPr>
        <w:t>4</w:t>
      </w:r>
      <w:r w:rsidR="00701940" w:rsidRPr="00792DEF">
        <w:rPr>
          <w:i w:val="0"/>
          <w:sz w:val="22"/>
        </w:rPr>
        <w:t xml:space="preserve">.1 Defining the target </w:t>
      </w:r>
      <w:r w:rsidR="00A654A1" w:rsidRPr="00792DEF">
        <w:rPr>
          <w:i w:val="0"/>
          <w:sz w:val="22"/>
        </w:rPr>
        <w:t>separation</w:t>
      </w:r>
      <w:r w:rsidR="00701940" w:rsidRPr="00792DEF">
        <w:rPr>
          <w:i w:val="0"/>
          <w:sz w:val="22"/>
        </w:rPr>
        <w:t>s and episodes of care</w:t>
      </w:r>
      <w:bookmarkEnd w:id="12"/>
      <w:bookmarkEnd w:id="13"/>
    </w:p>
    <w:p w14:paraId="27EA837B" w14:textId="77777777" w:rsidR="00701940" w:rsidRPr="00414A6D" w:rsidRDefault="00701940" w:rsidP="00CC1BB0">
      <w:pPr>
        <w:jc w:val="both"/>
        <w:rPr>
          <w:rFonts w:ascii="Arial" w:hAnsi="Arial" w:cs="Arial"/>
          <w:sz w:val="22"/>
          <w:szCs w:val="22"/>
        </w:rPr>
      </w:pPr>
      <w:r w:rsidRPr="00414A6D">
        <w:rPr>
          <w:rFonts w:ascii="Arial" w:hAnsi="Arial" w:cs="Arial"/>
          <w:sz w:val="22"/>
          <w:szCs w:val="22"/>
        </w:rPr>
        <w:t xml:space="preserve">Analyses of national hip fracture cost and activity </w:t>
      </w:r>
      <w:r w:rsidR="009F247E" w:rsidRPr="00414A6D">
        <w:rPr>
          <w:rFonts w:ascii="Arial" w:hAnsi="Arial" w:cs="Arial"/>
          <w:sz w:val="22"/>
          <w:szCs w:val="22"/>
        </w:rPr>
        <w:t>data were</w:t>
      </w:r>
      <w:r w:rsidRPr="00414A6D">
        <w:rPr>
          <w:rFonts w:ascii="Arial" w:hAnsi="Arial" w:cs="Arial"/>
          <w:sz w:val="22"/>
          <w:szCs w:val="22"/>
        </w:rPr>
        <w:t xml:space="preserve"> conducted to define the target population. In summary, in 2012-13 there were 20,761 acute hip fracture separations </w:t>
      </w:r>
      <w:r w:rsidR="00FB6A9D" w:rsidRPr="00414A6D">
        <w:rPr>
          <w:rFonts w:ascii="Arial" w:hAnsi="Arial" w:cs="Arial"/>
          <w:sz w:val="22"/>
          <w:szCs w:val="22"/>
        </w:rPr>
        <w:t xml:space="preserve">in public hospitals </w:t>
      </w:r>
      <w:r w:rsidRPr="00414A6D">
        <w:rPr>
          <w:rFonts w:ascii="Arial" w:hAnsi="Arial" w:cs="Arial"/>
          <w:sz w:val="22"/>
          <w:szCs w:val="22"/>
        </w:rPr>
        <w:t xml:space="preserve">nationally at a total cost of $349.3 million. </w:t>
      </w:r>
    </w:p>
    <w:p w14:paraId="6AC2BEC7" w14:textId="77777777" w:rsidR="00701940" w:rsidRPr="00414A6D" w:rsidRDefault="00701940" w:rsidP="00CC1BB0">
      <w:pPr>
        <w:pStyle w:val="ListParagraph"/>
        <w:jc w:val="both"/>
        <w:rPr>
          <w:rFonts w:ascii="Arial" w:hAnsi="Arial" w:cs="Arial"/>
          <w:sz w:val="22"/>
          <w:szCs w:val="22"/>
        </w:rPr>
      </w:pPr>
    </w:p>
    <w:p w14:paraId="4C1DC1DE" w14:textId="5AB08BA0" w:rsidR="00890206" w:rsidRPr="00414A6D" w:rsidRDefault="00701940" w:rsidP="00370A06">
      <w:pPr>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further refined the analysis to establish a target hip fracture cohort (Table </w:t>
      </w:r>
      <w:r w:rsidR="0018750E" w:rsidRPr="00414A6D">
        <w:rPr>
          <w:rFonts w:ascii="Arial" w:hAnsi="Arial" w:cs="Arial"/>
          <w:sz w:val="22"/>
          <w:szCs w:val="22"/>
        </w:rPr>
        <w:t>F1</w:t>
      </w:r>
      <w:r w:rsidRPr="00414A6D">
        <w:rPr>
          <w:rFonts w:ascii="Arial" w:hAnsi="Arial" w:cs="Arial"/>
          <w:sz w:val="22"/>
          <w:szCs w:val="22"/>
        </w:rPr>
        <w:t xml:space="preserve">, </w:t>
      </w:r>
      <w:r w:rsidR="00735A68" w:rsidRPr="00414A6D">
        <w:rPr>
          <w:rFonts w:ascii="Arial" w:hAnsi="Arial" w:cs="Arial"/>
          <w:sz w:val="22"/>
          <w:szCs w:val="22"/>
        </w:rPr>
        <w:t>Appendix F</w:t>
      </w:r>
      <w:r w:rsidRPr="00414A6D">
        <w:rPr>
          <w:rFonts w:ascii="Arial" w:hAnsi="Arial" w:cs="Arial"/>
          <w:sz w:val="22"/>
          <w:szCs w:val="22"/>
        </w:rPr>
        <w:t xml:space="preserve">) based on decisions relating to factors including care type, </w:t>
      </w:r>
      <w:r w:rsidR="00EB1020" w:rsidRPr="00414A6D">
        <w:rPr>
          <w:rFonts w:ascii="Arial" w:hAnsi="Arial" w:cs="Arial"/>
          <w:sz w:val="22"/>
          <w:szCs w:val="22"/>
        </w:rPr>
        <w:t xml:space="preserve">patient age, </w:t>
      </w:r>
      <w:r w:rsidRPr="00414A6D">
        <w:rPr>
          <w:rFonts w:ascii="Arial" w:hAnsi="Arial" w:cs="Arial"/>
          <w:sz w:val="22"/>
          <w:szCs w:val="22"/>
        </w:rPr>
        <w:t>principal and additional diagnosis, procedure and AR-DR</w:t>
      </w:r>
      <w:r w:rsidRPr="00414A6D">
        <w:rPr>
          <w:rFonts w:ascii="Arial" w:hAnsi="Arial" w:cs="Arial"/>
          <w:sz w:val="22"/>
          <w:szCs w:val="22"/>
        </w:rPr>
        <w:softHyphen/>
        <w:t>Gs. The algorithm is represented in Figure 1</w:t>
      </w:r>
      <w:r w:rsidR="00370A06" w:rsidRPr="00414A6D">
        <w:rPr>
          <w:rFonts w:ascii="Arial" w:hAnsi="Arial" w:cs="Arial"/>
          <w:sz w:val="22"/>
          <w:szCs w:val="22"/>
        </w:rPr>
        <w:t xml:space="preserve"> with</w:t>
      </w:r>
      <w:r w:rsidRPr="00414A6D">
        <w:rPr>
          <w:rFonts w:ascii="Arial" w:hAnsi="Arial" w:cs="Arial"/>
          <w:sz w:val="22"/>
          <w:szCs w:val="22"/>
        </w:rPr>
        <w:t xml:space="preserve"> supporting detailed analysis included </w:t>
      </w:r>
      <w:r w:rsidR="00922C55" w:rsidRPr="00414A6D">
        <w:rPr>
          <w:rFonts w:ascii="Arial" w:hAnsi="Arial" w:cs="Arial"/>
          <w:sz w:val="22"/>
          <w:szCs w:val="22"/>
        </w:rPr>
        <w:t>in</w:t>
      </w:r>
      <w:r w:rsidRPr="00414A6D">
        <w:rPr>
          <w:rFonts w:ascii="Arial" w:hAnsi="Arial" w:cs="Arial"/>
          <w:sz w:val="22"/>
          <w:szCs w:val="22"/>
        </w:rPr>
        <w:t xml:space="preserve"> Appendix </w:t>
      </w:r>
      <w:r w:rsidR="00735A68" w:rsidRPr="00414A6D">
        <w:rPr>
          <w:rFonts w:ascii="Arial" w:hAnsi="Arial" w:cs="Arial"/>
          <w:sz w:val="22"/>
          <w:szCs w:val="22"/>
        </w:rPr>
        <w:t>F</w:t>
      </w:r>
      <w:r w:rsidRPr="00414A6D">
        <w:rPr>
          <w:rFonts w:ascii="Arial" w:hAnsi="Arial" w:cs="Arial"/>
          <w:sz w:val="22"/>
          <w:szCs w:val="22"/>
        </w:rPr>
        <w:t>.</w:t>
      </w:r>
      <w:r w:rsidR="00EB1020" w:rsidRPr="00414A6D">
        <w:rPr>
          <w:rFonts w:ascii="Arial" w:hAnsi="Arial" w:cs="Arial"/>
          <w:sz w:val="22"/>
          <w:szCs w:val="22"/>
        </w:rPr>
        <w:t xml:space="preserve"> A summary of the subsequent effect on the cohort size from each stage of the Sub-Committee’s decision logic algorithm follows.</w:t>
      </w:r>
    </w:p>
    <w:p w14:paraId="2CA338DE" w14:textId="77777777" w:rsidR="00E01261" w:rsidRPr="00414A6D" w:rsidRDefault="00E01261">
      <w:pPr>
        <w:rPr>
          <w:rFonts w:ascii="Arial" w:hAnsi="Arial" w:cs="Arial"/>
          <w:sz w:val="16"/>
          <w:szCs w:val="16"/>
        </w:rPr>
      </w:pPr>
    </w:p>
    <w:p w14:paraId="0CC9609D" w14:textId="77777777" w:rsidR="00890206" w:rsidRPr="00414A6D" w:rsidRDefault="00890206" w:rsidP="00597945">
      <w:pPr>
        <w:spacing w:before="120"/>
        <w:rPr>
          <w:rFonts w:ascii="Arial" w:hAnsi="Arial" w:cs="Arial"/>
          <w:b/>
          <w:sz w:val="22"/>
          <w:szCs w:val="22"/>
        </w:rPr>
      </w:pPr>
      <w:proofErr w:type="gramStart"/>
      <w:r w:rsidRPr="00414A6D">
        <w:rPr>
          <w:rFonts w:ascii="Arial" w:hAnsi="Arial" w:cs="Arial"/>
          <w:b/>
          <w:sz w:val="22"/>
          <w:szCs w:val="22"/>
        </w:rPr>
        <w:t>Figure 1.</w:t>
      </w:r>
      <w:proofErr w:type="gramEnd"/>
      <w:r w:rsidRPr="00414A6D">
        <w:rPr>
          <w:rFonts w:ascii="Arial" w:hAnsi="Arial" w:cs="Arial"/>
          <w:b/>
          <w:sz w:val="22"/>
          <w:szCs w:val="22"/>
        </w:rPr>
        <w:t xml:space="preserve"> Target cohort for a best-practice pricing approach to hip fracture care</w:t>
      </w:r>
    </w:p>
    <w:p w14:paraId="248C10D9" w14:textId="77777777" w:rsidR="008C0939" w:rsidRPr="00414A6D" w:rsidRDefault="008C0939" w:rsidP="00597945">
      <w:pPr>
        <w:spacing w:before="120"/>
        <w:rPr>
          <w:rFonts w:ascii="Arial" w:hAnsi="Arial" w:cs="Arial"/>
          <w:b/>
          <w:sz w:val="22"/>
          <w:szCs w:val="22"/>
        </w:rPr>
      </w:pPr>
    </w:p>
    <w:p w14:paraId="60AAEF42" w14:textId="39AF2788" w:rsidR="00BB14B8" w:rsidRPr="00414A6D" w:rsidRDefault="00CD4F79" w:rsidP="00CB2400">
      <w:pPr>
        <w:spacing w:after="120"/>
        <w:ind w:right="-85"/>
        <w:jc w:val="center"/>
        <w:rPr>
          <w:rFonts w:ascii="Arial" w:hAnsi="Arial" w:cs="Arial"/>
          <w:b/>
          <w:sz w:val="22"/>
          <w:szCs w:val="22"/>
        </w:rPr>
      </w:pPr>
      <w:bookmarkStart w:id="14" w:name="_Toc414954672"/>
      <w:bookmarkStart w:id="15" w:name="_Toc415145529"/>
      <w:bookmarkStart w:id="16" w:name="_Toc415147867"/>
      <w:bookmarkStart w:id="17" w:name="_Toc415150168"/>
      <w:bookmarkStart w:id="18" w:name="_Toc415150229"/>
      <w:bookmarkStart w:id="19" w:name="_Toc415224911"/>
      <w:bookmarkStart w:id="20" w:name="_Toc415495798"/>
      <w:r w:rsidRPr="00414A6D">
        <w:rPr>
          <w:rFonts w:ascii="Arial" w:hAnsi="Arial" w:cs="Arial"/>
          <w:b/>
          <w:noProof/>
          <w:sz w:val="22"/>
          <w:szCs w:val="22"/>
        </w:rPr>
        <w:drawing>
          <wp:inline distT="0" distB="0" distL="0" distR="0" wp14:anchorId="2525E987" wp14:editId="705BE47E">
            <wp:extent cx="6705351" cy="426075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6360" cy="4261396"/>
                    </a:xfrm>
                    <a:prstGeom prst="rect">
                      <a:avLst/>
                    </a:prstGeom>
                    <a:noFill/>
                    <a:ln>
                      <a:noFill/>
                    </a:ln>
                  </pic:spPr>
                </pic:pic>
              </a:graphicData>
            </a:graphic>
          </wp:inline>
        </w:drawing>
      </w:r>
    </w:p>
    <w:p w14:paraId="3CA9B8D6" w14:textId="45933D73" w:rsidR="000455E1" w:rsidRPr="00414A6D" w:rsidRDefault="00261503" w:rsidP="00142AF0">
      <w:pPr>
        <w:spacing w:after="120"/>
        <w:ind w:left="397" w:right="-85"/>
        <w:jc w:val="both"/>
        <w:rPr>
          <w:rFonts w:ascii="Arial" w:hAnsi="Arial" w:cs="Arial"/>
          <w:b/>
          <w:sz w:val="22"/>
          <w:szCs w:val="22"/>
        </w:rPr>
      </w:pPr>
      <w:r>
        <w:rPr>
          <w:rFonts w:ascii="Arial" w:hAnsi="Arial" w:cs="Arial"/>
          <w:b/>
          <w:sz w:val="22"/>
          <w:szCs w:val="22"/>
        </w:rPr>
        <w:lastRenderedPageBreak/>
        <w:t>4</w:t>
      </w:r>
      <w:r w:rsidR="000455E1" w:rsidRPr="00414A6D">
        <w:rPr>
          <w:rFonts w:ascii="Arial" w:hAnsi="Arial" w:cs="Arial"/>
          <w:b/>
          <w:sz w:val="22"/>
          <w:szCs w:val="22"/>
        </w:rPr>
        <w:t>.1.1 Target Age</w:t>
      </w:r>
      <w:bookmarkEnd w:id="14"/>
      <w:bookmarkEnd w:id="15"/>
      <w:bookmarkEnd w:id="16"/>
      <w:bookmarkEnd w:id="17"/>
      <w:bookmarkEnd w:id="18"/>
      <w:bookmarkEnd w:id="19"/>
      <w:bookmarkEnd w:id="20"/>
    </w:p>
    <w:p w14:paraId="5624AE00" w14:textId="1B339DF4" w:rsidR="00701940" w:rsidRPr="00414A6D" w:rsidRDefault="00EB1020" w:rsidP="00CC1BB0">
      <w:pPr>
        <w:spacing w:after="120"/>
        <w:ind w:right="-85"/>
        <w:jc w:val="both"/>
        <w:rPr>
          <w:rFonts w:ascii="Arial" w:hAnsi="Arial" w:cs="Arial"/>
          <w:sz w:val="22"/>
          <w:szCs w:val="22"/>
        </w:rPr>
      </w:pPr>
      <w:r w:rsidRPr="00414A6D">
        <w:rPr>
          <w:rFonts w:ascii="Arial" w:hAnsi="Arial" w:cs="Arial"/>
          <w:sz w:val="22"/>
          <w:szCs w:val="22"/>
        </w:rPr>
        <w:t>In 2012-13, e</w:t>
      </w:r>
      <w:r w:rsidR="00701940" w:rsidRPr="00414A6D">
        <w:rPr>
          <w:rFonts w:ascii="Arial" w:hAnsi="Arial" w:cs="Arial"/>
          <w:sz w:val="22"/>
          <w:szCs w:val="22"/>
        </w:rPr>
        <w:t>ighty-eight per cent of the total acute hip fracture separations</w:t>
      </w:r>
      <w:r w:rsidRPr="00414A6D">
        <w:rPr>
          <w:rFonts w:ascii="Arial" w:hAnsi="Arial" w:cs="Arial"/>
          <w:sz w:val="22"/>
          <w:szCs w:val="22"/>
        </w:rPr>
        <w:t>,</w:t>
      </w:r>
      <w:r w:rsidR="00701940" w:rsidRPr="00414A6D">
        <w:rPr>
          <w:rFonts w:ascii="Arial" w:hAnsi="Arial" w:cs="Arial"/>
          <w:sz w:val="22"/>
          <w:szCs w:val="22"/>
        </w:rPr>
        <w:t xml:space="preserve"> at a cost of $297.3 million</w:t>
      </w:r>
      <w:r w:rsidRPr="00414A6D">
        <w:rPr>
          <w:rFonts w:ascii="Arial" w:hAnsi="Arial" w:cs="Arial"/>
          <w:sz w:val="22"/>
          <w:szCs w:val="22"/>
        </w:rPr>
        <w:t>,</w:t>
      </w:r>
      <w:r w:rsidR="00701940" w:rsidRPr="00414A6D">
        <w:rPr>
          <w:rFonts w:ascii="Arial" w:hAnsi="Arial" w:cs="Arial"/>
          <w:sz w:val="22"/>
          <w:szCs w:val="22"/>
        </w:rPr>
        <w:t xml:space="preserve"> were for p</w:t>
      </w:r>
      <w:r w:rsidR="003F5B05" w:rsidRPr="00414A6D">
        <w:rPr>
          <w:rFonts w:ascii="Arial" w:hAnsi="Arial" w:cs="Arial"/>
          <w:sz w:val="22"/>
          <w:szCs w:val="22"/>
        </w:rPr>
        <w:t>atients</w:t>
      </w:r>
      <w:r w:rsidR="00701940" w:rsidRPr="00414A6D">
        <w:rPr>
          <w:rFonts w:ascii="Arial" w:hAnsi="Arial" w:cs="Arial"/>
          <w:sz w:val="22"/>
          <w:szCs w:val="22"/>
        </w:rPr>
        <w:t xml:space="preserve"> aged 65 years or more and 7.8 per cent were for people aged 50 to 65 years. </w:t>
      </w:r>
      <w:r w:rsidR="00A654A1" w:rsidRPr="00414A6D">
        <w:rPr>
          <w:rFonts w:ascii="Arial" w:hAnsi="Arial" w:cs="Arial"/>
          <w:sz w:val="22"/>
          <w:szCs w:val="22"/>
        </w:rPr>
        <w:t>Separations for p</w:t>
      </w:r>
      <w:r w:rsidR="00701940" w:rsidRPr="00414A6D">
        <w:rPr>
          <w:rFonts w:ascii="Arial" w:hAnsi="Arial" w:cs="Arial"/>
          <w:sz w:val="22"/>
          <w:szCs w:val="22"/>
        </w:rPr>
        <w:t>atients aged 50 years</w:t>
      </w:r>
      <w:r w:rsidR="007F232E" w:rsidRPr="00414A6D">
        <w:rPr>
          <w:rFonts w:ascii="Arial" w:hAnsi="Arial" w:cs="Arial"/>
          <w:sz w:val="22"/>
          <w:szCs w:val="22"/>
        </w:rPr>
        <w:t xml:space="preserve"> and over</w:t>
      </w:r>
      <w:r w:rsidR="00701940" w:rsidRPr="00414A6D">
        <w:rPr>
          <w:rFonts w:ascii="Arial" w:hAnsi="Arial" w:cs="Arial"/>
          <w:sz w:val="22"/>
          <w:szCs w:val="22"/>
        </w:rPr>
        <w:t xml:space="preserve"> account for 95.8 per cent of activity and 94.4</w:t>
      </w:r>
      <w:r w:rsidRPr="00414A6D">
        <w:rPr>
          <w:rFonts w:ascii="Arial" w:hAnsi="Arial" w:cs="Arial"/>
          <w:sz w:val="22"/>
          <w:szCs w:val="22"/>
        </w:rPr>
        <w:t> </w:t>
      </w:r>
      <w:r w:rsidR="00701940" w:rsidRPr="00414A6D">
        <w:rPr>
          <w:rFonts w:ascii="Arial" w:hAnsi="Arial" w:cs="Arial"/>
          <w:sz w:val="22"/>
          <w:szCs w:val="22"/>
        </w:rPr>
        <w:t>per cent of the cost of care for acute hip fracture separations across all hospitals that participated in the National Hospital Cost Data Collection (NHCDC)</w:t>
      </w:r>
      <w:r w:rsidR="002723C2">
        <w:rPr>
          <w:rFonts w:ascii="Arial" w:hAnsi="Arial" w:cs="Arial"/>
          <w:sz w:val="22"/>
          <w:szCs w:val="22"/>
        </w:rPr>
        <w:t>,</w:t>
      </w:r>
      <w:r w:rsidR="00701940" w:rsidRPr="00414A6D">
        <w:rPr>
          <w:rFonts w:ascii="Arial" w:hAnsi="Arial" w:cs="Arial"/>
          <w:sz w:val="22"/>
          <w:szCs w:val="22"/>
        </w:rPr>
        <w:t xml:space="preserve"> (Table</w:t>
      </w:r>
      <w:r w:rsidR="002723C2">
        <w:rPr>
          <w:rFonts w:ascii="Arial" w:hAnsi="Arial" w:cs="Arial"/>
          <w:sz w:val="22"/>
          <w:szCs w:val="22"/>
        </w:rPr>
        <w:t> </w:t>
      </w:r>
      <w:r w:rsidR="0018750E" w:rsidRPr="00414A6D">
        <w:rPr>
          <w:rFonts w:ascii="Arial" w:hAnsi="Arial" w:cs="Arial"/>
          <w:sz w:val="22"/>
          <w:szCs w:val="22"/>
        </w:rPr>
        <w:t>F2</w:t>
      </w:r>
      <w:r w:rsidR="00754291">
        <w:rPr>
          <w:rFonts w:ascii="Arial" w:hAnsi="Arial" w:cs="Arial"/>
          <w:sz w:val="22"/>
          <w:szCs w:val="22"/>
        </w:rPr>
        <w:t>,</w:t>
      </w:r>
      <w:r w:rsidR="00701940" w:rsidRPr="00414A6D">
        <w:rPr>
          <w:rFonts w:ascii="Arial" w:hAnsi="Arial" w:cs="Arial"/>
          <w:sz w:val="22"/>
          <w:szCs w:val="22"/>
        </w:rPr>
        <w:t xml:space="preserve"> in </w:t>
      </w:r>
      <w:r w:rsidR="00735A68" w:rsidRPr="00414A6D">
        <w:rPr>
          <w:rFonts w:ascii="Arial" w:hAnsi="Arial" w:cs="Arial"/>
          <w:sz w:val="22"/>
          <w:szCs w:val="22"/>
        </w:rPr>
        <w:t>Appendix F</w:t>
      </w:r>
      <w:r w:rsidR="00701940" w:rsidRPr="00414A6D">
        <w:rPr>
          <w:rFonts w:ascii="Arial" w:hAnsi="Arial" w:cs="Arial"/>
          <w:sz w:val="22"/>
          <w:szCs w:val="22"/>
        </w:rPr>
        <w:t>).</w:t>
      </w:r>
    </w:p>
    <w:p w14:paraId="5834220C" w14:textId="6578C6D9" w:rsidR="00701940" w:rsidRPr="00414A6D" w:rsidRDefault="00754291" w:rsidP="00CC1BB0">
      <w:pPr>
        <w:spacing w:before="120" w:after="120"/>
        <w:ind w:right="-85"/>
        <w:jc w:val="both"/>
        <w:rPr>
          <w:rFonts w:ascii="Arial" w:hAnsi="Arial" w:cs="Arial"/>
          <w:sz w:val="22"/>
          <w:szCs w:val="22"/>
        </w:rPr>
      </w:pPr>
      <w:r>
        <w:rPr>
          <w:rFonts w:ascii="Arial" w:hAnsi="Arial" w:cs="Arial"/>
          <w:sz w:val="22"/>
          <w:szCs w:val="22"/>
        </w:rPr>
        <w:t xml:space="preserve">The NHS’s </w:t>
      </w:r>
      <w:r w:rsidR="00701940" w:rsidRPr="00414A6D">
        <w:rPr>
          <w:rFonts w:ascii="Arial" w:hAnsi="Arial" w:cs="Arial"/>
          <w:sz w:val="22"/>
          <w:szCs w:val="22"/>
        </w:rPr>
        <w:t xml:space="preserve">BPT for Fragility Hip Fracture targets patients aged 60 years or more and Queensland and Western Australia target patients 60 and 65 or more years of age respectively, in their </w:t>
      </w:r>
      <w:r w:rsidR="00147A40" w:rsidRPr="00414A6D">
        <w:rPr>
          <w:rFonts w:ascii="Arial" w:hAnsi="Arial" w:cs="Arial"/>
          <w:sz w:val="22"/>
          <w:szCs w:val="22"/>
        </w:rPr>
        <w:t>payment models</w:t>
      </w:r>
      <w:r w:rsidR="00701940" w:rsidRPr="00414A6D">
        <w:rPr>
          <w:rFonts w:ascii="Arial" w:hAnsi="Arial" w:cs="Arial"/>
          <w:sz w:val="22"/>
          <w:szCs w:val="22"/>
        </w:rPr>
        <w:t>.</w:t>
      </w:r>
    </w:p>
    <w:p w14:paraId="630AFD59" w14:textId="192D2EA3" w:rsidR="000455E1" w:rsidRPr="00414A6D" w:rsidRDefault="00701940" w:rsidP="00CC1BB0">
      <w:pPr>
        <w:spacing w:after="120"/>
        <w:ind w:right="-85"/>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00890206" w:rsidRPr="00414A6D">
        <w:rPr>
          <w:rFonts w:ascii="Arial" w:hAnsi="Arial" w:cs="Arial"/>
          <w:sz w:val="22"/>
          <w:szCs w:val="22"/>
        </w:rPr>
        <w:t xml:space="preserve"> received </w:t>
      </w:r>
      <w:r w:rsidRPr="00414A6D">
        <w:rPr>
          <w:rFonts w:ascii="Arial" w:hAnsi="Arial" w:cs="Arial"/>
          <w:sz w:val="22"/>
          <w:szCs w:val="22"/>
        </w:rPr>
        <w:t xml:space="preserve">clinical advice </w:t>
      </w:r>
      <w:r w:rsidR="00890206" w:rsidRPr="00414A6D">
        <w:rPr>
          <w:rFonts w:ascii="Arial" w:hAnsi="Arial" w:cs="Arial"/>
          <w:sz w:val="22"/>
          <w:szCs w:val="22"/>
        </w:rPr>
        <w:t xml:space="preserve">and conducted analyses </w:t>
      </w:r>
      <w:r w:rsidR="003D1404" w:rsidRPr="00414A6D">
        <w:rPr>
          <w:rFonts w:ascii="Arial" w:hAnsi="Arial" w:cs="Arial"/>
          <w:sz w:val="22"/>
          <w:szCs w:val="22"/>
        </w:rPr>
        <w:t>that suggest</w:t>
      </w:r>
      <w:r w:rsidR="00735A68" w:rsidRPr="00414A6D">
        <w:rPr>
          <w:rFonts w:ascii="Arial" w:hAnsi="Arial" w:cs="Arial"/>
          <w:sz w:val="22"/>
          <w:szCs w:val="22"/>
        </w:rPr>
        <w:t xml:space="preserve"> </w:t>
      </w:r>
      <w:r w:rsidRPr="00414A6D">
        <w:rPr>
          <w:rFonts w:ascii="Arial" w:hAnsi="Arial" w:cs="Arial"/>
          <w:sz w:val="22"/>
          <w:szCs w:val="22"/>
        </w:rPr>
        <w:t xml:space="preserve">that a national best-practice pricing approach should target </w:t>
      </w:r>
      <w:r w:rsidR="00A654A1" w:rsidRPr="00414A6D">
        <w:rPr>
          <w:rFonts w:ascii="Arial" w:hAnsi="Arial" w:cs="Arial"/>
          <w:sz w:val="22"/>
          <w:szCs w:val="22"/>
        </w:rPr>
        <w:t xml:space="preserve">separations for </w:t>
      </w:r>
      <w:r w:rsidRPr="00414A6D">
        <w:rPr>
          <w:rFonts w:ascii="Arial" w:hAnsi="Arial" w:cs="Arial"/>
          <w:sz w:val="22"/>
          <w:szCs w:val="22"/>
        </w:rPr>
        <w:t>patients aged 50 years or more because Aboriginal and Torres Strait Islander peoples comprise a disproportionately higher proportion of hip fracture patients aged 50 to 65 years (5.7 per cent) than non</w:t>
      </w:r>
      <w:r w:rsidR="00A654A1" w:rsidRPr="00414A6D">
        <w:rPr>
          <w:rFonts w:ascii="Arial" w:hAnsi="Arial" w:cs="Arial"/>
          <w:sz w:val="22"/>
          <w:szCs w:val="22"/>
        </w:rPr>
        <w:noBreakHyphen/>
      </w:r>
      <w:r w:rsidRPr="00414A6D">
        <w:rPr>
          <w:rFonts w:ascii="Arial" w:hAnsi="Arial" w:cs="Arial"/>
          <w:sz w:val="22"/>
          <w:szCs w:val="22"/>
        </w:rPr>
        <w:t>Indigenous Australians due to the particular health needs of Indigenous Australians.</w:t>
      </w:r>
    </w:p>
    <w:p w14:paraId="37A63B1D" w14:textId="468BA5C6" w:rsidR="000455E1" w:rsidRPr="00414A6D" w:rsidRDefault="00261503" w:rsidP="00142AF0">
      <w:pPr>
        <w:spacing w:before="240"/>
        <w:ind w:left="397"/>
        <w:jc w:val="both"/>
        <w:rPr>
          <w:rFonts w:ascii="Arial" w:hAnsi="Arial" w:cs="Arial"/>
          <w:b/>
          <w:sz w:val="22"/>
          <w:szCs w:val="22"/>
        </w:rPr>
      </w:pPr>
      <w:r>
        <w:rPr>
          <w:rFonts w:ascii="Arial" w:hAnsi="Arial" w:cs="Arial"/>
          <w:b/>
          <w:sz w:val="22"/>
          <w:szCs w:val="22"/>
        </w:rPr>
        <w:t>4</w:t>
      </w:r>
      <w:r w:rsidR="000455E1" w:rsidRPr="00414A6D">
        <w:rPr>
          <w:rFonts w:ascii="Arial" w:hAnsi="Arial" w:cs="Arial"/>
          <w:b/>
          <w:sz w:val="22"/>
          <w:szCs w:val="22"/>
        </w:rPr>
        <w:t>.1.2 Target episode of care</w:t>
      </w:r>
    </w:p>
    <w:p w14:paraId="19CB4AAC" w14:textId="75E17378" w:rsidR="00922C55" w:rsidRPr="00414A6D" w:rsidRDefault="000455E1" w:rsidP="00922C55">
      <w:pPr>
        <w:jc w:val="both"/>
        <w:rPr>
          <w:rFonts w:ascii="Arial" w:hAnsi="Arial" w:cs="Arial"/>
          <w:sz w:val="22"/>
          <w:szCs w:val="22"/>
        </w:rPr>
      </w:pPr>
      <w:r w:rsidRPr="00414A6D">
        <w:rPr>
          <w:rFonts w:ascii="Arial" w:hAnsi="Arial" w:cs="Arial"/>
          <w:sz w:val="22"/>
          <w:szCs w:val="22"/>
        </w:rPr>
        <w:t xml:space="preserve">In relation to episode of care decisions, IHPA’s current approach is to determine prices separately across emergency, admitted acute, admitted subacute and non-admitted care types. </w:t>
      </w:r>
      <w:r w:rsidR="00147A40" w:rsidRPr="00414A6D">
        <w:rPr>
          <w:rFonts w:ascii="Arial" w:hAnsi="Arial" w:cs="Arial"/>
          <w:sz w:val="22"/>
          <w:szCs w:val="22"/>
        </w:rPr>
        <w:t>As</w:t>
      </w:r>
      <w:r w:rsidRPr="00414A6D">
        <w:rPr>
          <w:rFonts w:ascii="Arial" w:hAnsi="Arial" w:cs="Arial"/>
          <w:sz w:val="22"/>
          <w:szCs w:val="22"/>
        </w:rPr>
        <w:t xml:space="preserve"> the Commission’s </w:t>
      </w:r>
      <w:r w:rsidR="00147A40" w:rsidRPr="00414A6D">
        <w:rPr>
          <w:rFonts w:ascii="Arial" w:hAnsi="Arial" w:cs="Arial"/>
          <w:sz w:val="22"/>
          <w:szCs w:val="22"/>
        </w:rPr>
        <w:t>Hip Fracture CCS</w:t>
      </w:r>
      <w:r w:rsidRPr="00414A6D">
        <w:rPr>
          <w:rFonts w:ascii="Arial" w:hAnsi="Arial" w:cs="Arial"/>
          <w:sz w:val="22"/>
          <w:szCs w:val="22"/>
        </w:rPr>
        <w:t xml:space="preserve"> focus</w:t>
      </w:r>
      <w:r w:rsidR="00147A40" w:rsidRPr="00414A6D">
        <w:rPr>
          <w:rFonts w:ascii="Arial" w:hAnsi="Arial" w:cs="Arial"/>
          <w:sz w:val="22"/>
          <w:szCs w:val="22"/>
        </w:rPr>
        <w:t>es</w:t>
      </w:r>
      <w:r w:rsidRPr="00414A6D">
        <w:rPr>
          <w:rFonts w:ascii="Arial" w:hAnsi="Arial" w:cs="Arial"/>
          <w:sz w:val="22"/>
          <w:szCs w:val="22"/>
        </w:rPr>
        <w:t xml:space="preserve"> on the acute episode, particularly the timely receipt of surgery for those who warrant surgical intervention, the Sub</w:t>
      </w:r>
      <w:r w:rsidR="00DC41F7" w:rsidRPr="00414A6D">
        <w:rPr>
          <w:rFonts w:ascii="Arial" w:hAnsi="Arial" w:cs="Arial"/>
          <w:sz w:val="22"/>
          <w:szCs w:val="22"/>
        </w:rPr>
        <w:noBreakHyphen/>
      </w:r>
      <w:r w:rsidRPr="00414A6D">
        <w:rPr>
          <w:rFonts w:ascii="Arial" w:hAnsi="Arial" w:cs="Arial"/>
          <w:sz w:val="22"/>
          <w:szCs w:val="22"/>
        </w:rPr>
        <w:t xml:space="preserve">Committee’s advice is to focus a national </w:t>
      </w:r>
      <w:r w:rsidR="00346B84" w:rsidRPr="00414A6D">
        <w:rPr>
          <w:rFonts w:ascii="Arial" w:hAnsi="Arial" w:cs="Arial"/>
          <w:sz w:val="22"/>
          <w:szCs w:val="22"/>
        </w:rPr>
        <w:t>best-practice</w:t>
      </w:r>
      <w:r w:rsidRPr="00414A6D">
        <w:rPr>
          <w:rFonts w:ascii="Arial" w:hAnsi="Arial" w:cs="Arial"/>
          <w:sz w:val="22"/>
          <w:szCs w:val="22"/>
        </w:rPr>
        <w:t xml:space="preserve"> pricing approach on the admitted acute episode</w:t>
      </w:r>
      <w:r w:rsidR="0074152C" w:rsidRPr="00414A6D">
        <w:rPr>
          <w:rFonts w:ascii="Arial" w:hAnsi="Arial" w:cs="Arial"/>
          <w:sz w:val="22"/>
          <w:szCs w:val="22"/>
        </w:rPr>
        <w:t xml:space="preserve"> measured from the time of presentation at the initial emergency department</w:t>
      </w:r>
      <w:r w:rsidRPr="00414A6D">
        <w:rPr>
          <w:rFonts w:ascii="Arial" w:hAnsi="Arial" w:cs="Arial"/>
          <w:sz w:val="22"/>
          <w:szCs w:val="22"/>
        </w:rPr>
        <w:t xml:space="preserve">. </w:t>
      </w:r>
      <w:r w:rsidR="008A6439" w:rsidRPr="00414A6D">
        <w:rPr>
          <w:rFonts w:ascii="Arial" w:hAnsi="Arial" w:cs="Arial"/>
          <w:sz w:val="22"/>
          <w:szCs w:val="22"/>
        </w:rPr>
        <w:t xml:space="preserve">This incentivises both hospitals to perform timely surgery and to actively facilitate timely patient transfers. For more information, refer to </w:t>
      </w:r>
      <w:r w:rsidR="009B2FE3">
        <w:rPr>
          <w:rFonts w:ascii="Arial" w:hAnsi="Arial" w:cs="Arial"/>
          <w:sz w:val="22"/>
          <w:szCs w:val="22"/>
        </w:rPr>
        <w:t>4.</w:t>
      </w:r>
      <w:r w:rsidR="008A6439" w:rsidRPr="00414A6D">
        <w:rPr>
          <w:rFonts w:ascii="Arial" w:hAnsi="Arial" w:cs="Arial"/>
          <w:sz w:val="22"/>
          <w:szCs w:val="22"/>
        </w:rPr>
        <w:t xml:space="preserve">2.4 below. </w:t>
      </w:r>
      <w:r w:rsidR="00922C55" w:rsidRPr="00414A6D">
        <w:rPr>
          <w:rFonts w:ascii="Arial" w:hAnsi="Arial" w:cs="Arial"/>
          <w:sz w:val="22"/>
          <w:szCs w:val="22"/>
        </w:rPr>
        <w:t>For some hospitals, there may be geographical challenges in this. However, from a patient perspective delays at the non</w:t>
      </w:r>
      <w:r w:rsidR="008A6439" w:rsidRPr="00414A6D">
        <w:rPr>
          <w:rFonts w:ascii="Arial" w:hAnsi="Arial" w:cs="Arial"/>
          <w:sz w:val="22"/>
          <w:szCs w:val="22"/>
        </w:rPr>
        <w:noBreakHyphen/>
      </w:r>
      <w:r w:rsidR="00922C55" w:rsidRPr="00414A6D">
        <w:rPr>
          <w:rFonts w:ascii="Arial" w:hAnsi="Arial" w:cs="Arial"/>
          <w:sz w:val="22"/>
          <w:szCs w:val="22"/>
        </w:rPr>
        <w:t xml:space="preserve">operating hospital </w:t>
      </w:r>
      <w:r w:rsidR="008A6439" w:rsidRPr="00414A6D">
        <w:rPr>
          <w:rFonts w:ascii="Arial" w:hAnsi="Arial" w:cs="Arial"/>
          <w:sz w:val="22"/>
          <w:szCs w:val="22"/>
        </w:rPr>
        <w:t>may have a significant effect on patient outcomes</w:t>
      </w:r>
      <w:r w:rsidR="00922C55" w:rsidRPr="00414A6D">
        <w:rPr>
          <w:rFonts w:ascii="Arial" w:hAnsi="Arial" w:cs="Arial"/>
          <w:sz w:val="22"/>
          <w:szCs w:val="22"/>
        </w:rPr>
        <w:t xml:space="preserve">. </w:t>
      </w:r>
    </w:p>
    <w:p w14:paraId="7F36A411" w14:textId="0D7A87C5" w:rsidR="000F3A08" w:rsidRPr="00414A6D" w:rsidRDefault="000F3A08" w:rsidP="00597945">
      <w:pPr>
        <w:spacing w:after="120"/>
        <w:ind w:right="-85"/>
        <w:jc w:val="both"/>
        <w:rPr>
          <w:rFonts w:ascii="Arial" w:hAnsi="Arial" w:cs="Arial"/>
          <w:sz w:val="22"/>
          <w:szCs w:val="22"/>
        </w:rPr>
      </w:pPr>
    </w:p>
    <w:p w14:paraId="504BE0B1" w14:textId="09F7D858" w:rsidR="008A6439" w:rsidRPr="00414A6D" w:rsidRDefault="000455E1" w:rsidP="004E6768">
      <w:pPr>
        <w:spacing w:before="120" w:after="120"/>
        <w:ind w:right="-85"/>
        <w:jc w:val="both"/>
        <w:rPr>
          <w:rFonts w:ascii="Arial" w:hAnsi="Arial" w:cs="Arial"/>
          <w:sz w:val="22"/>
          <w:szCs w:val="22"/>
        </w:rPr>
      </w:pPr>
      <w:r w:rsidRPr="00414A6D">
        <w:rPr>
          <w:rFonts w:ascii="Arial" w:hAnsi="Arial" w:cs="Arial"/>
          <w:sz w:val="22"/>
          <w:szCs w:val="22"/>
        </w:rPr>
        <w:t xml:space="preserve">Agreement on this recommendation among </w:t>
      </w:r>
      <w:r w:rsidR="007F232E" w:rsidRPr="00414A6D">
        <w:rPr>
          <w:rFonts w:ascii="Arial" w:hAnsi="Arial" w:cs="Arial"/>
          <w:sz w:val="22"/>
          <w:szCs w:val="22"/>
        </w:rPr>
        <w:t>Sub-Committee</w:t>
      </w:r>
      <w:r w:rsidRPr="00414A6D">
        <w:rPr>
          <w:rFonts w:ascii="Arial" w:hAnsi="Arial" w:cs="Arial"/>
          <w:sz w:val="22"/>
          <w:szCs w:val="22"/>
        </w:rPr>
        <w:t xml:space="preserve"> members was not universal, though all members agreed on the importance of subacute care to a patient’s resultant health status. The lack of existing information systems that follow </w:t>
      </w:r>
      <w:r w:rsidR="008A6439" w:rsidRPr="00414A6D">
        <w:rPr>
          <w:rFonts w:ascii="Arial" w:hAnsi="Arial" w:cs="Arial"/>
          <w:sz w:val="22"/>
          <w:szCs w:val="22"/>
        </w:rPr>
        <w:t xml:space="preserve">separation of </w:t>
      </w:r>
      <w:r w:rsidRPr="00414A6D">
        <w:rPr>
          <w:rFonts w:ascii="Arial" w:hAnsi="Arial" w:cs="Arial"/>
          <w:sz w:val="22"/>
          <w:szCs w:val="22"/>
        </w:rPr>
        <w:t xml:space="preserve">patients across their care types, however, was seen as a sizable </w:t>
      </w:r>
      <w:r w:rsidR="00147A40" w:rsidRPr="00414A6D">
        <w:rPr>
          <w:rFonts w:ascii="Arial" w:hAnsi="Arial" w:cs="Arial"/>
          <w:sz w:val="22"/>
          <w:szCs w:val="22"/>
        </w:rPr>
        <w:t xml:space="preserve">issue </w:t>
      </w:r>
      <w:r w:rsidRPr="00414A6D">
        <w:rPr>
          <w:rFonts w:ascii="Arial" w:hAnsi="Arial" w:cs="Arial"/>
          <w:sz w:val="22"/>
          <w:szCs w:val="22"/>
        </w:rPr>
        <w:t xml:space="preserve">to resolve before </w:t>
      </w:r>
      <w:r w:rsidR="00346B84" w:rsidRPr="00414A6D">
        <w:rPr>
          <w:rFonts w:ascii="Arial" w:hAnsi="Arial" w:cs="Arial"/>
          <w:sz w:val="22"/>
          <w:szCs w:val="22"/>
        </w:rPr>
        <w:t>best-practice</w:t>
      </w:r>
      <w:r w:rsidRPr="00414A6D">
        <w:rPr>
          <w:rFonts w:ascii="Arial" w:hAnsi="Arial" w:cs="Arial"/>
          <w:sz w:val="22"/>
          <w:szCs w:val="22"/>
        </w:rPr>
        <w:t xml:space="preserve"> pricing could be attributed across the full pathway of care.</w:t>
      </w:r>
    </w:p>
    <w:p w14:paraId="55640576" w14:textId="60C4B5C1" w:rsidR="000455E1" w:rsidRPr="00414A6D" w:rsidRDefault="00261503" w:rsidP="00112D48">
      <w:pPr>
        <w:pStyle w:val="Heading2"/>
        <w:numPr>
          <w:ilvl w:val="0"/>
          <w:numId w:val="0"/>
        </w:numPr>
        <w:ind w:left="227"/>
        <w:jc w:val="both"/>
      </w:pPr>
      <w:bookmarkStart w:id="21" w:name="_Toc413996362"/>
      <w:bookmarkStart w:id="22" w:name="_Toc426633807"/>
      <w:r w:rsidRPr="004E5877">
        <w:rPr>
          <w:i w:val="0"/>
          <w:sz w:val="22"/>
        </w:rPr>
        <w:t>4</w:t>
      </w:r>
      <w:r w:rsidR="000455E1" w:rsidRPr="004E5877">
        <w:rPr>
          <w:i w:val="0"/>
          <w:sz w:val="22"/>
        </w:rPr>
        <w:t xml:space="preserve">.2 Defining </w:t>
      </w:r>
      <w:r w:rsidR="00346B84" w:rsidRPr="004E5877">
        <w:rPr>
          <w:i w:val="0"/>
          <w:sz w:val="22"/>
        </w:rPr>
        <w:t>best-practice</w:t>
      </w:r>
      <w:r w:rsidR="000455E1" w:rsidRPr="004E5877">
        <w:rPr>
          <w:i w:val="0"/>
          <w:sz w:val="22"/>
        </w:rPr>
        <w:t xml:space="preserve"> hip fracture care for the purposes of pricing</w:t>
      </w:r>
      <w:bookmarkEnd w:id="21"/>
      <w:bookmarkEnd w:id="22"/>
    </w:p>
    <w:p w14:paraId="79326996" w14:textId="6E1634A2" w:rsidR="000455E1" w:rsidRPr="00414A6D" w:rsidRDefault="00261503" w:rsidP="00142AF0">
      <w:pPr>
        <w:ind w:left="397"/>
        <w:jc w:val="both"/>
        <w:rPr>
          <w:rFonts w:ascii="Arial" w:hAnsi="Arial" w:cs="Arial"/>
          <w:sz w:val="22"/>
          <w:szCs w:val="22"/>
        </w:rPr>
      </w:pPr>
      <w:r>
        <w:rPr>
          <w:rFonts w:ascii="Arial" w:hAnsi="Arial" w:cs="Arial"/>
          <w:b/>
          <w:sz w:val="22"/>
          <w:szCs w:val="22"/>
        </w:rPr>
        <w:t>4</w:t>
      </w:r>
      <w:r w:rsidR="000455E1" w:rsidRPr="00414A6D">
        <w:rPr>
          <w:rFonts w:ascii="Arial" w:hAnsi="Arial" w:cs="Arial"/>
          <w:b/>
          <w:sz w:val="22"/>
          <w:szCs w:val="22"/>
        </w:rPr>
        <w:t>.2.1 Target cohort based on principal diagnosi</w:t>
      </w:r>
      <w:r w:rsidR="000455E1" w:rsidRPr="00414A6D">
        <w:rPr>
          <w:rFonts w:ascii="Arial" w:hAnsi="Arial" w:cs="Arial"/>
          <w:sz w:val="22"/>
          <w:szCs w:val="22"/>
        </w:rPr>
        <w:t>s</w:t>
      </w:r>
    </w:p>
    <w:p w14:paraId="1E09AB03" w14:textId="77777777" w:rsidR="00701940" w:rsidRPr="00414A6D" w:rsidRDefault="00701940" w:rsidP="00CC1BB0">
      <w:pPr>
        <w:jc w:val="both"/>
        <w:rPr>
          <w:rFonts w:ascii="Arial" w:hAnsi="Arial" w:cs="Arial"/>
          <w:sz w:val="22"/>
          <w:szCs w:val="22"/>
        </w:rPr>
      </w:pPr>
      <w:r w:rsidRPr="00414A6D">
        <w:rPr>
          <w:rFonts w:ascii="Arial" w:hAnsi="Arial" w:cs="Arial"/>
          <w:sz w:val="22"/>
          <w:szCs w:val="22"/>
        </w:rPr>
        <w:t>Eligible hip fracture episodes are those with diagnosis codes as outlined in Table </w:t>
      </w:r>
      <w:r w:rsidR="0018750E" w:rsidRPr="00414A6D">
        <w:rPr>
          <w:rFonts w:ascii="Arial" w:hAnsi="Arial" w:cs="Arial"/>
          <w:sz w:val="22"/>
          <w:szCs w:val="22"/>
        </w:rPr>
        <w:t>F1</w:t>
      </w:r>
      <w:r w:rsidRPr="00414A6D">
        <w:rPr>
          <w:rFonts w:ascii="Arial" w:hAnsi="Arial" w:cs="Arial"/>
          <w:sz w:val="22"/>
          <w:szCs w:val="22"/>
        </w:rPr>
        <w:t xml:space="preserve"> in Appendix </w:t>
      </w:r>
      <w:r w:rsidR="00274530" w:rsidRPr="00414A6D">
        <w:rPr>
          <w:rFonts w:ascii="Arial" w:hAnsi="Arial" w:cs="Arial"/>
          <w:sz w:val="22"/>
          <w:szCs w:val="22"/>
        </w:rPr>
        <w:t>F</w:t>
      </w:r>
      <w:r w:rsidRPr="00414A6D">
        <w:rPr>
          <w:rFonts w:ascii="Arial" w:hAnsi="Arial" w:cs="Arial"/>
          <w:sz w:val="22"/>
          <w:szCs w:val="22"/>
        </w:rPr>
        <w:t xml:space="preserve">. Of the 19,896 admitted acute separations for patients aged 50 years </w:t>
      </w:r>
      <w:r w:rsidR="009F247E" w:rsidRPr="00414A6D">
        <w:rPr>
          <w:rFonts w:ascii="Arial" w:hAnsi="Arial" w:cs="Arial"/>
          <w:sz w:val="22"/>
          <w:szCs w:val="22"/>
        </w:rPr>
        <w:t>or more, the data show</w:t>
      </w:r>
      <w:r w:rsidRPr="00414A6D">
        <w:rPr>
          <w:rFonts w:ascii="Arial" w:hAnsi="Arial" w:cs="Arial"/>
          <w:sz w:val="22"/>
          <w:szCs w:val="22"/>
        </w:rPr>
        <w:t xml:space="preserve"> that there were 17,917 separations (90.1 per cent) where hip fracture was the principal diagnosis. This represents 87.9 per cent of hip fracture costs for this cohort (Table</w:t>
      </w:r>
      <w:r w:rsidR="00274530" w:rsidRPr="00414A6D">
        <w:rPr>
          <w:rFonts w:ascii="Arial" w:hAnsi="Arial" w:cs="Arial"/>
          <w:sz w:val="22"/>
          <w:szCs w:val="22"/>
        </w:rPr>
        <w:t> </w:t>
      </w:r>
      <w:r w:rsidR="0018750E" w:rsidRPr="00414A6D">
        <w:rPr>
          <w:rFonts w:ascii="Arial" w:hAnsi="Arial" w:cs="Arial"/>
          <w:sz w:val="22"/>
          <w:szCs w:val="22"/>
        </w:rPr>
        <w:t>F3</w:t>
      </w:r>
      <w:r w:rsidRPr="00414A6D">
        <w:rPr>
          <w:rFonts w:ascii="Arial" w:hAnsi="Arial" w:cs="Arial"/>
          <w:sz w:val="22"/>
          <w:szCs w:val="22"/>
        </w:rPr>
        <w:t xml:space="preserve">, Appendix </w:t>
      </w:r>
      <w:r w:rsidR="00735A68" w:rsidRPr="00414A6D">
        <w:rPr>
          <w:rFonts w:ascii="Arial" w:hAnsi="Arial" w:cs="Arial"/>
          <w:sz w:val="22"/>
          <w:szCs w:val="22"/>
        </w:rPr>
        <w:t>F</w:t>
      </w:r>
      <w:r w:rsidRPr="00414A6D">
        <w:rPr>
          <w:rFonts w:ascii="Arial" w:hAnsi="Arial" w:cs="Arial"/>
          <w:sz w:val="22"/>
          <w:szCs w:val="22"/>
        </w:rPr>
        <w:t>). This means that the majority of activity and cost is attributable to cases where a hip fracture is the primary reason for an admission.</w:t>
      </w:r>
    </w:p>
    <w:p w14:paraId="73F24DF4" w14:textId="77777777" w:rsidR="00701940" w:rsidRPr="00414A6D" w:rsidRDefault="00701940" w:rsidP="00CC1BB0">
      <w:pPr>
        <w:jc w:val="both"/>
        <w:rPr>
          <w:rFonts w:ascii="Arial" w:hAnsi="Arial" w:cs="Arial"/>
          <w:sz w:val="22"/>
          <w:szCs w:val="22"/>
        </w:rPr>
      </w:pPr>
    </w:p>
    <w:p w14:paraId="31A58EDD" w14:textId="58A8153B" w:rsidR="000455E1" w:rsidRPr="00414A6D" w:rsidRDefault="008A6439" w:rsidP="007F232E">
      <w:pPr>
        <w:jc w:val="both"/>
        <w:rPr>
          <w:rFonts w:ascii="Arial" w:hAnsi="Arial" w:cs="Arial"/>
          <w:sz w:val="22"/>
          <w:szCs w:val="22"/>
        </w:rPr>
      </w:pPr>
      <w:r w:rsidRPr="00414A6D">
        <w:rPr>
          <w:rFonts w:ascii="Arial" w:hAnsi="Arial" w:cs="Arial"/>
          <w:sz w:val="22"/>
          <w:szCs w:val="22"/>
        </w:rPr>
        <w:t>Separations for p</w:t>
      </w:r>
      <w:r w:rsidR="00701940" w:rsidRPr="00414A6D">
        <w:rPr>
          <w:rFonts w:ascii="Arial" w:hAnsi="Arial" w:cs="Arial"/>
          <w:sz w:val="22"/>
          <w:szCs w:val="22"/>
        </w:rPr>
        <w:t>atients with a hip fracture as an additional diagnosis were excluded from the patient cohort selection following clinical advice that the most prevalent principal diagnoses for these episodes related to follow up care after surgery, such as rehabilitation type services.</w:t>
      </w:r>
    </w:p>
    <w:p w14:paraId="4EEEB80B" w14:textId="77777777" w:rsidR="009927E1" w:rsidRPr="00414A6D" w:rsidRDefault="009927E1">
      <w:pPr>
        <w:rPr>
          <w:rFonts w:ascii="Arial" w:hAnsi="Arial" w:cs="Arial"/>
          <w:b/>
          <w:sz w:val="22"/>
          <w:szCs w:val="22"/>
        </w:rPr>
      </w:pPr>
    </w:p>
    <w:p w14:paraId="742DB5E1" w14:textId="1FF689D6" w:rsidR="000455E1" w:rsidRPr="00414A6D" w:rsidRDefault="00261503" w:rsidP="00142AF0">
      <w:pPr>
        <w:ind w:left="397"/>
        <w:jc w:val="both"/>
        <w:rPr>
          <w:rFonts w:ascii="Arial" w:hAnsi="Arial" w:cs="Arial"/>
          <w:b/>
          <w:sz w:val="22"/>
          <w:szCs w:val="22"/>
        </w:rPr>
      </w:pPr>
      <w:r>
        <w:rPr>
          <w:rFonts w:ascii="Arial" w:hAnsi="Arial" w:cs="Arial"/>
          <w:b/>
          <w:sz w:val="22"/>
          <w:szCs w:val="22"/>
        </w:rPr>
        <w:lastRenderedPageBreak/>
        <w:t>4</w:t>
      </w:r>
      <w:r w:rsidR="000455E1" w:rsidRPr="00414A6D">
        <w:rPr>
          <w:rFonts w:ascii="Arial" w:hAnsi="Arial" w:cs="Arial"/>
          <w:b/>
          <w:sz w:val="22"/>
          <w:szCs w:val="22"/>
        </w:rPr>
        <w:t>.2.2 Additional adjustment</w:t>
      </w:r>
      <w:r w:rsidR="007F232E" w:rsidRPr="00414A6D">
        <w:rPr>
          <w:rFonts w:ascii="Arial" w:hAnsi="Arial" w:cs="Arial"/>
          <w:b/>
          <w:sz w:val="22"/>
          <w:szCs w:val="22"/>
        </w:rPr>
        <w:t xml:space="preserve"> to further refine the cohort</w:t>
      </w:r>
    </w:p>
    <w:p w14:paraId="18A77E30" w14:textId="43435186" w:rsidR="00701940" w:rsidRPr="00414A6D" w:rsidRDefault="00503319" w:rsidP="00CC1BB0">
      <w:pPr>
        <w:jc w:val="both"/>
        <w:rPr>
          <w:rFonts w:ascii="Arial" w:hAnsi="Arial" w:cs="Arial"/>
          <w:sz w:val="22"/>
          <w:szCs w:val="22"/>
        </w:rPr>
      </w:pPr>
      <w:r w:rsidRPr="00414A6D">
        <w:rPr>
          <w:rFonts w:ascii="Arial" w:hAnsi="Arial" w:cs="Arial"/>
          <w:sz w:val="22"/>
          <w:szCs w:val="22"/>
        </w:rPr>
        <w:t>T</w:t>
      </w:r>
      <w:r w:rsidR="000455E1" w:rsidRPr="00414A6D">
        <w:rPr>
          <w:rFonts w:ascii="Arial" w:hAnsi="Arial" w:cs="Arial"/>
          <w:sz w:val="22"/>
          <w:szCs w:val="22"/>
        </w:rPr>
        <w:t xml:space="preserve">he </w:t>
      </w:r>
      <w:r w:rsidR="00701940" w:rsidRPr="00414A6D">
        <w:rPr>
          <w:rFonts w:ascii="Arial" w:hAnsi="Arial" w:cs="Arial"/>
          <w:sz w:val="22"/>
          <w:szCs w:val="22"/>
        </w:rPr>
        <w:t xml:space="preserve">analysis showed that there was a relatively small number of cases (n=438) where the hip fracture diagnosis was related to a multiple trauma event (Tables </w:t>
      </w:r>
      <w:r w:rsidR="0018750E" w:rsidRPr="00414A6D">
        <w:rPr>
          <w:rFonts w:ascii="Arial" w:hAnsi="Arial" w:cs="Arial"/>
          <w:sz w:val="22"/>
          <w:szCs w:val="22"/>
        </w:rPr>
        <w:t>F4</w:t>
      </w:r>
      <w:r w:rsidR="00701940" w:rsidRPr="00414A6D">
        <w:rPr>
          <w:rFonts w:ascii="Arial" w:hAnsi="Arial" w:cs="Arial"/>
          <w:sz w:val="22"/>
          <w:szCs w:val="22"/>
        </w:rPr>
        <w:t xml:space="preserve"> and </w:t>
      </w:r>
      <w:r w:rsidR="0018750E" w:rsidRPr="00414A6D">
        <w:rPr>
          <w:rFonts w:ascii="Arial" w:hAnsi="Arial" w:cs="Arial"/>
          <w:sz w:val="22"/>
          <w:szCs w:val="22"/>
        </w:rPr>
        <w:t>F5</w:t>
      </w:r>
      <w:r w:rsidR="00701940" w:rsidRPr="00414A6D">
        <w:rPr>
          <w:rFonts w:ascii="Arial" w:hAnsi="Arial" w:cs="Arial"/>
          <w:sz w:val="22"/>
          <w:szCs w:val="22"/>
        </w:rPr>
        <w:t>, Appendix </w:t>
      </w:r>
      <w:r w:rsidR="00735A68" w:rsidRPr="00414A6D">
        <w:rPr>
          <w:rFonts w:ascii="Arial" w:hAnsi="Arial" w:cs="Arial"/>
          <w:sz w:val="22"/>
          <w:szCs w:val="22"/>
        </w:rPr>
        <w:t>F</w:t>
      </w:r>
      <w:r w:rsidR="00701940" w:rsidRPr="00414A6D">
        <w:rPr>
          <w:rFonts w:ascii="Arial" w:hAnsi="Arial" w:cs="Arial"/>
          <w:sz w:val="22"/>
          <w:szCs w:val="22"/>
        </w:rPr>
        <w:t xml:space="preserve">) and the </w:t>
      </w:r>
      <w:r w:rsidR="007F232E" w:rsidRPr="00414A6D">
        <w:rPr>
          <w:rFonts w:ascii="Arial" w:hAnsi="Arial" w:cs="Arial"/>
          <w:sz w:val="22"/>
          <w:szCs w:val="22"/>
        </w:rPr>
        <w:t>Sub-Committee</w:t>
      </w:r>
      <w:r w:rsidR="00701940" w:rsidRPr="00414A6D">
        <w:rPr>
          <w:rFonts w:ascii="Arial" w:hAnsi="Arial" w:cs="Arial"/>
          <w:sz w:val="22"/>
          <w:szCs w:val="22"/>
        </w:rPr>
        <w:t xml:space="preserve"> advised that the consequential serious or life threatening issues, such as a severe head injury or multiple fractures, would directly affect the ability of clinicians </w:t>
      </w:r>
      <w:r w:rsidR="00922C55" w:rsidRPr="00414A6D">
        <w:rPr>
          <w:rFonts w:ascii="Arial" w:hAnsi="Arial" w:cs="Arial"/>
          <w:sz w:val="22"/>
          <w:szCs w:val="22"/>
        </w:rPr>
        <w:t>and/or the appropriateness of</w:t>
      </w:r>
      <w:r w:rsidR="00701940" w:rsidRPr="00414A6D">
        <w:rPr>
          <w:rFonts w:ascii="Arial" w:hAnsi="Arial" w:cs="Arial"/>
          <w:sz w:val="22"/>
          <w:szCs w:val="22"/>
        </w:rPr>
        <w:t xml:space="preserve"> deliver</w:t>
      </w:r>
      <w:r w:rsidR="00922C55" w:rsidRPr="00414A6D">
        <w:rPr>
          <w:rFonts w:ascii="Arial" w:hAnsi="Arial" w:cs="Arial"/>
          <w:sz w:val="22"/>
          <w:szCs w:val="22"/>
        </w:rPr>
        <w:t>ing</w:t>
      </w:r>
      <w:r w:rsidR="00701940" w:rsidRPr="00414A6D">
        <w:rPr>
          <w:rFonts w:ascii="Arial" w:hAnsi="Arial" w:cs="Arial"/>
          <w:sz w:val="22"/>
          <w:szCs w:val="22"/>
        </w:rPr>
        <w:t xml:space="preserve"> on some of the quality standards, particularly time to surgery. Therefore, multiple trauma episodes were excluded from the target cohort.</w:t>
      </w:r>
    </w:p>
    <w:p w14:paraId="6CA0BE3E" w14:textId="77777777" w:rsidR="00701940" w:rsidRPr="00414A6D" w:rsidRDefault="00701940" w:rsidP="00CC1BB0">
      <w:pPr>
        <w:jc w:val="both"/>
        <w:rPr>
          <w:rFonts w:ascii="Arial" w:hAnsi="Arial" w:cs="Arial"/>
        </w:rPr>
      </w:pPr>
    </w:p>
    <w:p w14:paraId="6DAF4350" w14:textId="233E93B8" w:rsidR="00274530" w:rsidRPr="00414A6D" w:rsidRDefault="00701940" w:rsidP="007F232E">
      <w:pPr>
        <w:jc w:val="both"/>
        <w:rPr>
          <w:rFonts w:ascii="Arial" w:hAnsi="Arial" w:cs="Arial"/>
          <w:sz w:val="22"/>
          <w:szCs w:val="22"/>
        </w:rPr>
      </w:pPr>
      <w:r w:rsidRPr="00414A6D">
        <w:rPr>
          <w:rFonts w:ascii="Arial" w:hAnsi="Arial" w:cs="Arial"/>
          <w:sz w:val="22"/>
          <w:szCs w:val="22"/>
        </w:rPr>
        <w:t xml:space="preserve">Hip fracture surgery was defined using </w:t>
      </w:r>
      <w:r w:rsidR="009D2995" w:rsidRPr="00414A6D">
        <w:rPr>
          <w:rFonts w:ascii="Arial" w:hAnsi="Arial" w:cs="Arial"/>
          <w:sz w:val="22"/>
          <w:szCs w:val="22"/>
        </w:rPr>
        <w:t xml:space="preserve">principal </w:t>
      </w:r>
      <w:r w:rsidR="009B2FE3">
        <w:rPr>
          <w:rFonts w:ascii="Arial" w:hAnsi="Arial" w:cs="Arial"/>
          <w:sz w:val="22"/>
          <w:szCs w:val="22"/>
        </w:rPr>
        <w:t xml:space="preserve">or additional </w:t>
      </w:r>
      <w:r w:rsidRPr="00414A6D">
        <w:rPr>
          <w:rFonts w:ascii="Arial" w:hAnsi="Arial" w:cs="Arial"/>
          <w:sz w:val="22"/>
          <w:szCs w:val="22"/>
        </w:rPr>
        <w:t xml:space="preserve">procedure codes as outlined in Table </w:t>
      </w:r>
      <w:r w:rsidR="0018750E" w:rsidRPr="00414A6D">
        <w:rPr>
          <w:rFonts w:ascii="Arial" w:hAnsi="Arial" w:cs="Arial"/>
          <w:sz w:val="22"/>
          <w:szCs w:val="22"/>
        </w:rPr>
        <w:t>F6</w:t>
      </w:r>
      <w:r w:rsidRPr="00414A6D">
        <w:rPr>
          <w:rFonts w:ascii="Arial" w:hAnsi="Arial" w:cs="Arial"/>
          <w:sz w:val="22"/>
          <w:szCs w:val="22"/>
        </w:rPr>
        <w:t xml:space="preserve"> in Appendix </w:t>
      </w:r>
      <w:r w:rsidR="00274530" w:rsidRPr="00414A6D">
        <w:rPr>
          <w:rFonts w:ascii="Arial" w:hAnsi="Arial" w:cs="Arial"/>
          <w:sz w:val="22"/>
          <w:szCs w:val="22"/>
        </w:rPr>
        <w:t>F</w:t>
      </w:r>
      <w:r w:rsidRPr="00414A6D">
        <w:rPr>
          <w:rFonts w:ascii="Arial" w:hAnsi="Arial" w:cs="Arial"/>
          <w:sz w:val="22"/>
          <w:szCs w:val="22"/>
        </w:rPr>
        <w:t xml:space="preserve">. The analysis showed that hip fracture surgery was performed in 13,914 episodes (Table </w:t>
      </w:r>
      <w:r w:rsidR="0018750E" w:rsidRPr="00414A6D">
        <w:rPr>
          <w:rFonts w:ascii="Arial" w:hAnsi="Arial" w:cs="Arial"/>
          <w:sz w:val="22"/>
          <w:szCs w:val="22"/>
        </w:rPr>
        <w:t>F7</w:t>
      </w:r>
      <w:r w:rsidRPr="00414A6D">
        <w:rPr>
          <w:rFonts w:ascii="Arial" w:hAnsi="Arial" w:cs="Arial"/>
          <w:sz w:val="22"/>
          <w:szCs w:val="22"/>
        </w:rPr>
        <w:t xml:space="preserve">, Appendix </w:t>
      </w:r>
      <w:r w:rsidR="00735A68" w:rsidRPr="00414A6D">
        <w:rPr>
          <w:rFonts w:ascii="Arial" w:hAnsi="Arial" w:cs="Arial"/>
          <w:sz w:val="22"/>
          <w:szCs w:val="22"/>
        </w:rPr>
        <w:t>F</w:t>
      </w:r>
      <w:r w:rsidRPr="00414A6D">
        <w:rPr>
          <w:rFonts w:ascii="Arial" w:hAnsi="Arial" w:cs="Arial"/>
          <w:sz w:val="22"/>
          <w:szCs w:val="22"/>
        </w:rPr>
        <w:t xml:space="preserve">). </w:t>
      </w:r>
    </w:p>
    <w:p w14:paraId="77B63863" w14:textId="77777777" w:rsidR="00274530" w:rsidRPr="00414A6D" w:rsidRDefault="00274530" w:rsidP="007F232E">
      <w:pPr>
        <w:jc w:val="both"/>
        <w:rPr>
          <w:rFonts w:ascii="Arial" w:hAnsi="Arial" w:cs="Arial"/>
          <w:sz w:val="22"/>
          <w:szCs w:val="22"/>
        </w:rPr>
      </w:pPr>
    </w:p>
    <w:p w14:paraId="249E3690" w14:textId="77777777" w:rsidR="000455E1" w:rsidRPr="00414A6D" w:rsidRDefault="00701940" w:rsidP="007F232E">
      <w:pPr>
        <w:jc w:val="both"/>
        <w:rPr>
          <w:rFonts w:ascii="Arial" w:hAnsi="Arial" w:cs="Arial"/>
          <w:sz w:val="22"/>
          <w:szCs w:val="22"/>
        </w:rPr>
      </w:pPr>
      <w:r w:rsidRPr="00414A6D">
        <w:rPr>
          <w:rFonts w:ascii="Arial" w:hAnsi="Arial" w:cs="Arial"/>
          <w:sz w:val="22"/>
          <w:szCs w:val="22"/>
        </w:rPr>
        <w:t>Th</w:t>
      </w:r>
      <w:r w:rsidR="00274530" w:rsidRPr="00414A6D">
        <w:rPr>
          <w:rFonts w:ascii="Arial" w:hAnsi="Arial" w:cs="Arial"/>
          <w:sz w:val="22"/>
          <w:szCs w:val="22"/>
        </w:rPr>
        <w:t xml:space="preserve">ere were </w:t>
      </w:r>
      <w:r w:rsidRPr="00414A6D">
        <w:rPr>
          <w:rFonts w:ascii="Arial" w:hAnsi="Arial" w:cs="Arial"/>
          <w:sz w:val="22"/>
          <w:szCs w:val="22"/>
        </w:rPr>
        <w:t>968 episodes where patients were on anticoagulants</w:t>
      </w:r>
      <w:r w:rsidR="00274530" w:rsidRPr="00414A6D">
        <w:rPr>
          <w:rFonts w:ascii="Arial" w:hAnsi="Arial" w:cs="Arial"/>
          <w:sz w:val="22"/>
          <w:szCs w:val="22"/>
        </w:rPr>
        <w:t>. The group considered excluding these from the cohort as</w:t>
      </w:r>
      <w:r w:rsidRPr="00414A6D">
        <w:rPr>
          <w:rFonts w:ascii="Arial" w:hAnsi="Arial" w:cs="Arial"/>
          <w:sz w:val="22"/>
          <w:szCs w:val="22"/>
        </w:rPr>
        <w:t xml:space="preserve"> these medications may directly affect meeting the time to surgery indicator. The </w:t>
      </w:r>
      <w:r w:rsidR="007F232E" w:rsidRPr="00414A6D">
        <w:rPr>
          <w:rFonts w:ascii="Arial" w:hAnsi="Arial" w:cs="Arial"/>
          <w:sz w:val="22"/>
          <w:szCs w:val="22"/>
        </w:rPr>
        <w:t>Sub-Committee</w:t>
      </w:r>
      <w:r w:rsidRPr="00414A6D">
        <w:rPr>
          <w:rFonts w:ascii="Arial" w:hAnsi="Arial" w:cs="Arial"/>
          <w:sz w:val="22"/>
          <w:szCs w:val="22"/>
        </w:rPr>
        <w:t xml:space="preserve"> also noted that the Queensland approach also excludes anticoagulant use.</w:t>
      </w:r>
      <w:r w:rsidR="00274530" w:rsidRPr="00414A6D">
        <w:rPr>
          <w:rFonts w:ascii="Arial" w:hAnsi="Arial" w:cs="Arial"/>
          <w:sz w:val="22"/>
          <w:szCs w:val="22"/>
        </w:rPr>
        <w:t xml:space="preserve"> However, the Sub-Committee decided that patients with hip fracture who are on anticoagulants should remain in the target cohort as anticoagulant use is not necessarily a barrier to treatment; other medical issues are not excluded; and anticoagulant use </w:t>
      </w:r>
      <w:r w:rsidR="00E01261" w:rsidRPr="00414A6D">
        <w:rPr>
          <w:rFonts w:ascii="Arial" w:hAnsi="Arial" w:cs="Arial"/>
          <w:sz w:val="22"/>
          <w:szCs w:val="22"/>
        </w:rPr>
        <w:t xml:space="preserve">is not comprehensively captured </w:t>
      </w:r>
      <w:r w:rsidR="00274530" w:rsidRPr="00414A6D">
        <w:rPr>
          <w:rFonts w:ascii="Arial" w:hAnsi="Arial" w:cs="Arial"/>
          <w:sz w:val="22"/>
          <w:szCs w:val="22"/>
        </w:rPr>
        <w:t>in the administrative data set.</w:t>
      </w:r>
    </w:p>
    <w:p w14:paraId="649FEAE2" w14:textId="77777777" w:rsidR="000455E1" w:rsidRPr="00414A6D" w:rsidRDefault="000455E1" w:rsidP="004E6768">
      <w:pPr>
        <w:jc w:val="both"/>
        <w:rPr>
          <w:rFonts w:ascii="Arial" w:hAnsi="Arial" w:cs="Arial"/>
          <w:sz w:val="22"/>
          <w:szCs w:val="22"/>
        </w:rPr>
      </w:pPr>
    </w:p>
    <w:p w14:paraId="6602BF42" w14:textId="73476CC3" w:rsidR="008E4D50" w:rsidRPr="00414A6D" w:rsidRDefault="00261503" w:rsidP="00142AF0">
      <w:pPr>
        <w:ind w:left="397"/>
        <w:jc w:val="both"/>
        <w:rPr>
          <w:rFonts w:ascii="Arial" w:hAnsi="Arial" w:cs="Arial"/>
          <w:b/>
          <w:sz w:val="22"/>
          <w:szCs w:val="22"/>
        </w:rPr>
      </w:pPr>
      <w:r>
        <w:rPr>
          <w:rFonts w:ascii="Arial" w:hAnsi="Arial" w:cs="Arial"/>
          <w:b/>
          <w:sz w:val="22"/>
          <w:szCs w:val="22"/>
        </w:rPr>
        <w:t>4</w:t>
      </w:r>
      <w:r w:rsidR="000455E1" w:rsidRPr="00414A6D">
        <w:rPr>
          <w:rFonts w:ascii="Arial" w:hAnsi="Arial" w:cs="Arial"/>
          <w:b/>
          <w:sz w:val="22"/>
          <w:szCs w:val="22"/>
        </w:rPr>
        <w:t xml:space="preserve">.2.3 </w:t>
      </w:r>
      <w:r w:rsidR="008E4D50" w:rsidRPr="00414A6D">
        <w:rPr>
          <w:rFonts w:ascii="Arial" w:hAnsi="Arial" w:cs="Arial"/>
          <w:b/>
          <w:sz w:val="22"/>
          <w:szCs w:val="22"/>
        </w:rPr>
        <w:t>Ana</w:t>
      </w:r>
      <w:r w:rsidR="00443D9A" w:rsidRPr="00414A6D">
        <w:rPr>
          <w:rFonts w:ascii="Arial" w:hAnsi="Arial" w:cs="Arial"/>
          <w:b/>
          <w:sz w:val="22"/>
          <w:szCs w:val="22"/>
        </w:rPr>
        <w:t xml:space="preserve">lysis on non-surgical </w:t>
      </w:r>
      <w:r w:rsidR="00A20C92" w:rsidRPr="00414A6D">
        <w:rPr>
          <w:rFonts w:ascii="Arial" w:hAnsi="Arial" w:cs="Arial"/>
          <w:b/>
          <w:sz w:val="22"/>
          <w:szCs w:val="22"/>
        </w:rPr>
        <w:t>separations</w:t>
      </w:r>
    </w:p>
    <w:p w14:paraId="12703B0B" w14:textId="369E0C9A" w:rsidR="00B06816" w:rsidRPr="00414A6D" w:rsidRDefault="00CD4612" w:rsidP="00760CF6">
      <w:pPr>
        <w:jc w:val="both"/>
        <w:rPr>
          <w:rFonts w:ascii="Arial" w:hAnsi="Arial" w:cs="Arial"/>
          <w:sz w:val="22"/>
          <w:szCs w:val="22"/>
        </w:rPr>
      </w:pPr>
      <w:r w:rsidRPr="00414A6D">
        <w:rPr>
          <w:rFonts w:ascii="Arial" w:hAnsi="Arial" w:cs="Arial"/>
          <w:sz w:val="22"/>
          <w:szCs w:val="22"/>
        </w:rPr>
        <w:t>Further analysis</w:t>
      </w:r>
      <w:r w:rsidR="00E01261" w:rsidRPr="00414A6D">
        <w:rPr>
          <w:rFonts w:ascii="Arial" w:hAnsi="Arial" w:cs="Arial"/>
          <w:sz w:val="22"/>
          <w:szCs w:val="22"/>
        </w:rPr>
        <w:t xml:space="preserve"> of the separations (n=3,565) that did not have the </w:t>
      </w:r>
      <w:r w:rsidR="00B06816" w:rsidRPr="00414A6D">
        <w:rPr>
          <w:rFonts w:ascii="Arial" w:hAnsi="Arial" w:cs="Arial"/>
          <w:sz w:val="22"/>
          <w:szCs w:val="22"/>
        </w:rPr>
        <w:t xml:space="preserve">nominated </w:t>
      </w:r>
      <w:r w:rsidR="00E01261" w:rsidRPr="00414A6D">
        <w:rPr>
          <w:rFonts w:ascii="Arial" w:hAnsi="Arial" w:cs="Arial"/>
          <w:sz w:val="22"/>
          <w:szCs w:val="22"/>
        </w:rPr>
        <w:t>surgical procedures</w:t>
      </w:r>
      <w:r w:rsidRPr="00414A6D">
        <w:rPr>
          <w:rFonts w:ascii="Arial" w:hAnsi="Arial" w:cs="Arial"/>
          <w:sz w:val="22"/>
          <w:szCs w:val="22"/>
        </w:rPr>
        <w:t xml:space="preserve"> showed t</w:t>
      </w:r>
      <w:r w:rsidR="00B06816" w:rsidRPr="00414A6D">
        <w:rPr>
          <w:rFonts w:ascii="Arial" w:hAnsi="Arial" w:cs="Arial"/>
          <w:sz w:val="22"/>
          <w:szCs w:val="22"/>
        </w:rPr>
        <w:t>here were 2,038 cases</w:t>
      </w:r>
      <w:r w:rsidR="00443D9A" w:rsidRPr="00414A6D">
        <w:rPr>
          <w:rFonts w:ascii="Arial" w:hAnsi="Arial" w:cs="Arial"/>
          <w:sz w:val="22"/>
          <w:szCs w:val="22"/>
        </w:rPr>
        <w:t xml:space="preserve"> </w:t>
      </w:r>
      <w:r w:rsidR="00E01261" w:rsidRPr="00414A6D">
        <w:rPr>
          <w:rFonts w:ascii="Arial" w:hAnsi="Arial" w:cs="Arial"/>
          <w:sz w:val="22"/>
          <w:szCs w:val="22"/>
        </w:rPr>
        <w:t xml:space="preserve">where the patient was transferred to another </w:t>
      </w:r>
      <w:r w:rsidR="00C85BE5" w:rsidRPr="00414A6D">
        <w:rPr>
          <w:rFonts w:ascii="Arial" w:hAnsi="Arial" w:cs="Arial"/>
          <w:sz w:val="22"/>
          <w:szCs w:val="22"/>
        </w:rPr>
        <w:t>acute hospital.</w:t>
      </w:r>
      <w:r w:rsidR="00E01261" w:rsidRPr="00414A6D">
        <w:rPr>
          <w:rFonts w:ascii="Arial" w:hAnsi="Arial" w:cs="Arial"/>
          <w:sz w:val="22"/>
          <w:szCs w:val="22"/>
        </w:rPr>
        <w:t xml:space="preserve"> It is likely that many of these transferred patients had surgery at the second hospital and, if they did, these separations would be included in the initial cohort (</w:t>
      </w:r>
      <w:r w:rsidR="00CD1649" w:rsidRPr="00414A6D">
        <w:rPr>
          <w:rFonts w:ascii="Arial" w:hAnsi="Arial" w:cs="Arial"/>
          <w:sz w:val="22"/>
          <w:szCs w:val="22"/>
        </w:rPr>
        <w:t xml:space="preserve">13,914 separations) discussed in Section </w:t>
      </w:r>
      <w:r w:rsidR="009B2FE3">
        <w:rPr>
          <w:rFonts w:ascii="Arial" w:hAnsi="Arial" w:cs="Arial"/>
          <w:sz w:val="22"/>
          <w:szCs w:val="22"/>
        </w:rPr>
        <w:t>4</w:t>
      </w:r>
      <w:r w:rsidR="00CD1649" w:rsidRPr="00414A6D">
        <w:rPr>
          <w:rFonts w:ascii="Arial" w:hAnsi="Arial" w:cs="Arial"/>
          <w:sz w:val="22"/>
          <w:szCs w:val="22"/>
        </w:rPr>
        <w:t>.2.2.</w:t>
      </w:r>
      <w:r w:rsidR="00C85BE5" w:rsidRPr="00414A6D">
        <w:rPr>
          <w:rFonts w:ascii="Arial" w:hAnsi="Arial" w:cs="Arial"/>
          <w:sz w:val="22"/>
          <w:szCs w:val="22"/>
        </w:rPr>
        <w:t xml:space="preserve"> </w:t>
      </w:r>
    </w:p>
    <w:p w14:paraId="7695D655" w14:textId="77777777" w:rsidR="00B06816" w:rsidRPr="00414A6D" w:rsidRDefault="00B06816" w:rsidP="007A3B48">
      <w:pPr>
        <w:rPr>
          <w:rFonts w:ascii="Arial" w:hAnsi="Arial" w:cs="Arial"/>
          <w:sz w:val="22"/>
          <w:szCs w:val="22"/>
        </w:rPr>
      </w:pPr>
    </w:p>
    <w:p w14:paraId="6D4C63B3" w14:textId="49119B2B" w:rsidR="00CD1649" w:rsidRPr="00414A6D" w:rsidRDefault="00CD1649" w:rsidP="00760CF6">
      <w:pPr>
        <w:jc w:val="both"/>
        <w:rPr>
          <w:rFonts w:ascii="Arial" w:hAnsi="Arial" w:cs="Arial"/>
          <w:sz w:val="22"/>
          <w:szCs w:val="22"/>
        </w:rPr>
      </w:pPr>
      <w:r w:rsidRPr="00414A6D">
        <w:rPr>
          <w:rFonts w:ascii="Arial" w:hAnsi="Arial" w:cs="Arial"/>
          <w:sz w:val="22"/>
          <w:szCs w:val="22"/>
        </w:rPr>
        <w:t xml:space="preserve">690 </w:t>
      </w:r>
      <w:r w:rsidR="00B06816" w:rsidRPr="00414A6D">
        <w:rPr>
          <w:rFonts w:ascii="Arial" w:hAnsi="Arial" w:cs="Arial"/>
          <w:sz w:val="22"/>
          <w:szCs w:val="22"/>
        </w:rPr>
        <w:t>of these patient</w:t>
      </w:r>
      <w:r w:rsidR="003F5B05" w:rsidRPr="00414A6D">
        <w:rPr>
          <w:rFonts w:ascii="Arial" w:hAnsi="Arial" w:cs="Arial"/>
          <w:sz w:val="22"/>
          <w:szCs w:val="22"/>
        </w:rPr>
        <w:t xml:space="preserve"> separations</w:t>
      </w:r>
      <w:r w:rsidR="00B06816" w:rsidRPr="00414A6D">
        <w:rPr>
          <w:rFonts w:ascii="Arial" w:hAnsi="Arial" w:cs="Arial"/>
          <w:sz w:val="22"/>
          <w:szCs w:val="22"/>
        </w:rPr>
        <w:t xml:space="preserve"> went home and a further </w:t>
      </w:r>
      <w:r w:rsidRPr="00414A6D">
        <w:rPr>
          <w:rFonts w:ascii="Arial" w:hAnsi="Arial" w:cs="Arial"/>
          <w:sz w:val="22"/>
          <w:szCs w:val="22"/>
        </w:rPr>
        <w:t xml:space="preserve">488 </w:t>
      </w:r>
      <w:r w:rsidR="00B06816" w:rsidRPr="00414A6D">
        <w:rPr>
          <w:rFonts w:ascii="Arial" w:hAnsi="Arial" w:cs="Arial"/>
          <w:sz w:val="22"/>
          <w:szCs w:val="22"/>
        </w:rPr>
        <w:t>patient</w:t>
      </w:r>
      <w:r w:rsidR="003F5B05" w:rsidRPr="00414A6D">
        <w:rPr>
          <w:rFonts w:ascii="Arial" w:hAnsi="Arial" w:cs="Arial"/>
          <w:sz w:val="22"/>
          <w:szCs w:val="22"/>
        </w:rPr>
        <w:t xml:space="preserve"> separations</w:t>
      </w:r>
      <w:r w:rsidR="00B06816" w:rsidRPr="00414A6D">
        <w:rPr>
          <w:rFonts w:ascii="Arial" w:hAnsi="Arial" w:cs="Arial"/>
          <w:sz w:val="22"/>
          <w:szCs w:val="22"/>
        </w:rPr>
        <w:t xml:space="preserve"> were </w:t>
      </w:r>
      <w:r w:rsidRPr="00414A6D">
        <w:rPr>
          <w:rFonts w:ascii="Arial" w:hAnsi="Arial" w:cs="Arial"/>
          <w:sz w:val="22"/>
          <w:szCs w:val="22"/>
        </w:rPr>
        <w:t>transferred to subacute care</w:t>
      </w:r>
      <w:r w:rsidR="008D46D0" w:rsidRPr="00414A6D">
        <w:rPr>
          <w:rFonts w:ascii="Arial" w:hAnsi="Arial" w:cs="Arial"/>
          <w:sz w:val="22"/>
          <w:szCs w:val="22"/>
        </w:rPr>
        <w:t xml:space="preserve"> types such as palliative care or rehabilitat</w:t>
      </w:r>
      <w:r w:rsidR="00B06816" w:rsidRPr="00414A6D">
        <w:rPr>
          <w:rFonts w:ascii="Arial" w:hAnsi="Arial" w:cs="Arial"/>
          <w:sz w:val="22"/>
          <w:szCs w:val="22"/>
        </w:rPr>
        <w:t>ion</w:t>
      </w:r>
      <w:r w:rsidR="005E6281">
        <w:rPr>
          <w:rFonts w:ascii="Arial" w:hAnsi="Arial" w:cs="Arial"/>
          <w:sz w:val="22"/>
          <w:szCs w:val="22"/>
        </w:rPr>
        <w:t xml:space="preserve"> (see Table F9, Appendix F)</w:t>
      </w:r>
      <w:r w:rsidR="00B06816" w:rsidRPr="00414A6D">
        <w:rPr>
          <w:rFonts w:ascii="Arial" w:hAnsi="Arial" w:cs="Arial"/>
          <w:sz w:val="22"/>
          <w:szCs w:val="22"/>
        </w:rPr>
        <w:t>.</w:t>
      </w:r>
    </w:p>
    <w:p w14:paraId="2699CEBA" w14:textId="77777777" w:rsidR="00856B10" w:rsidRPr="00414A6D" w:rsidRDefault="00856B10" w:rsidP="004E6768">
      <w:pPr>
        <w:jc w:val="both"/>
        <w:rPr>
          <w:rFonts w:ascii="Arial" w:hAnsi="Arial" w:cs="Arial"/>
          <w:b/>
          <w:sz w:val="22"/>
          <w:szCs w:val="22"/>
        </w:rPr>
      </w:pPr>
    </w:p>
    <w:p w14:paraId="759C836B" w14:textId="0D9CF057" w:rsidR="000455E1" w:rsidRPr="00414A6D" w:rsidRDefault="00261503" w:rsidP="00142AF0">
      <w:pPr>
        <w:ind w:left="397"/>
        <w:jc w:val="both"/>
        <w:rPr>
          <w:rFonts w:ascii="Arial" w:hAnsi="Arial" w:cs="Arial"/>
          <w:sz w:val="22"/>
          <w:szCs w:val="22"/>
        </w:rPr>
      </w:pPr>
      <w:r>
        <w:rPr>
          <w:rFonts w:ascii="Arial" w:hAnsi="Arial" w:cs="Arial"/>
          <w:b/>
          <w:sz w:val="22"/>
          <w:szCs w:val="22"/>
        </w:rPr>
        <w:t>4</w:t>
      </w:r>
      <w:r w:rsidR="008E4D50" w:rsidRPr="00414A6D">
        <w:rPr>
          <w:rFonts w:ascii="Arial" w:hAnsi="Arial" w:cs="Arial"/>
          <w:b/>
          <w:sz w:val="22"/>
          <w:szCs w:val="22"/>
        </w:rPr>
        <w:t xml:space="preserve">.2.4 </w:t>
      </w:r>
      <w:r w:rsidR="000455E1" w:rsidRPr="00414A6D">
        <w:rPr>
          <w:rFonts w:ascii="Arial" w:hAnsi="Arial" w:cs="Arial"/>
          <w:b/>
          <w:sz w:val="22"/>
          <w:szCs w:val="22"/>
        </w:rPr>
        <w:t>Initially target</w:t>
      </w:r>
      <w:r w:rsidR="007F232E" w:rsidRPr="00414A6D">
        <w:rPr>
          <w:rFonts w:ascii="Arial" w:hAnsi="Arial" w:cs="Arial"/>
          <w:b/>
          <w:sz w:val="22"/>
          <w:szCs w:val="22"/>
        </w:rPr>
        <w:t>ing</w:t>
      </w:r>
      <w:r w:rsidR="000455E1" w:rsidRPr="00414A6D">
        <w:rPr>
          <w:rFonts w:ascii="Arial" w:hAnsi="Arial" w:cs="Arial"/>
          <w:b/>
          <w:sz w:val="22"/>
          <w:szCs w:val="22"/>
        </w:rPr>
        <w:t xml:space="preserve"> hospitals that undertake hip fracture surgery</w:t>
      </w:r>
    </w:p>
    <w:p w14:paraId="106A9583" w14:textId="77777777" w:rsidR="00DC41F7" w:rsidRPr="00414A6D" w:rsidRDefault="00DC41F7" w:rsidP="00CC1BB0">
      <w:pPr>
        <w:spacing w:after="120"/>
        <w:ind w:right="-85"/>
        <w:jc w:val="both"/>
        <w:rPr>
          <w:rFonts w:ascii="Arial" w:hAnsi="Arial" w:cs="Arial"/>
          <w:sz w:val="22"/>
          <w:szCs w:val="22"/>
        </w:rPr>
      </w:pPr>
      <w:r w:rsidRPr="00414A6D">
        <w:rPr>
          <w:rFonts w:ascii="Arial" w:hAnsi="Arial" w:cs="Arial"/>
          <w:sz w:val="22"/>
          <w:szCs w:val="22"/>
        </w:rPr>
        <w:t>Best-practice pricing is recommended for both episodes with surgery and without surgical interventions to introduce financial incentives into the system to deliver good quality care and to prevent unintended incentives toward any particular approach to management of hip fractures.</w:t>
      </w:r>
    </w:p>
    <w:p w14:paraId="63F67CF5" w14:textId="68564A62" w:rsidR="00DC41F7" w:rsidRPr="00414A6D" w:rsidRDefault="007F232E" w:rsidP="00CC1BB0">
      <w:pPr>
        <w:spacing w:before="120" w:after="120"/>
        <w:ind w:right="-85"/>
        <w:jc w:val="both"/>
        <w:rPr>
          <w:rFonts w:ascii="Arial" w:hAnsi="Arial" w:cs="Arial"/>
          <w:sz w:val="22"/>
          <w:szCs w:val="22"/>
        </w:rPr>
      </w:pPr>
      <w:r w:rsidRPr="00414A6D">
        <w:rPr>
          <w:rFonts w:ascii="Arial" w:hAnsi="Arial" w:cs="Arial"/>
          <w:sz w:val="22"/>
          <w:szCs w:val="22"/>
        </w:rPr>
        <w:t>Nonetheless, the Sub-Committee</w:t>
      </w:r>
      <w:r w:rsidR="00DC41F7" w:rsidRPr="00414A6D">
        <w:rPr>
          <w:rFonts w:ascii="Arial" w:hAnsi="Arial" w:cs="Arial"/>
          <w:sz w:val="22"/>
          <w:szCs w:val="22"/>
        </w:rPr>
        <w:t xml:space="preserve"> emphasised that </w:t>
      </w:r>
      <w:r w:rsidRPr="00414A6D">
        <w:rPr>
          <w:rFonts w:ascii="Arial" w:hAnsi="Arial" w:cs="Arial"/>
          <w:sz w:val="22"/>
          <w:szCs w:val="22"/>
        </w:rPr>
        <w:t>t</w:t>
      </w:r>
      <w:r w:rsidR="00DC41F7" w:rsidRPr="00414A6D">
        <w:rPr>
          <w:rFonts w:ascii="Arial" w:hAnsi="Arial" w:cs="Arial"/>
          <w:sz w:val="22"/>
          <w:szCs w:val="22"/>
        </w:rPr>
        <w:t xml:space="preserve">he strongest incentive for quality care created through the </w:t>
      </w:r>
      <w:r w:rsidR="0023619D" w:rsidRPr="00414A6D">
        <w:rPr>
          <w:rFonts w:ascii="Arial" w:hAnsi="Arial" w:cs="Arial"/>
          <w:sz w:val="22"/>
          <w:szCs w:val="22"/>
        </w:rPr>
        <w:t xml:space="preserve">Hip Fracture CCS </w:t>
      </w:r>
      <w:r w:rsidR="00DC41F7" w:rsidRPr="00414A6D">
        <w:rPr>
          <w:rFonts w:ascii="Arial" w:hAnsi="Arial" w:cs="Arial"/>
          <w:sz w:val="22"/>
          <w:szCs w:val="22"/>
        </w:rPr>
        <w:t xml:space="preserve">(described in </w:t>
      </w:r>
      <w:r w:rsidR="0023619D" w:rsidRPr="00414A6D">
        <w:rPr>
          <w:rFonts w:ascii="Arial" w:hAnsi="Arial" w:cs="Arial"/>
          <w:sz w:val="22"/>
          <w:szCs w:val="22"/>
        </w:rPr>
        <w:t>C</w:t>
      </w:r>
      <w:r w:rsidR="00DC41F7" w:rsidRPr="00414A6D">
        <w:rPr>
          <w:rFonts w:ascii="Arial" w:hAnsi="Arial" w:cs="Arial"/>
          <w:sz w:val="22"/>
          <w:szCs w:val="22"/>
        </w:rPr>
        <w:t xml:space="preserve">hapter </w:t>
      </w:r>
      <w:r w:rsidR="009B2FE3">
        <w:rPr>
          <w:rFonts w:ascii="Arial" w:hAnsi="Arial" w:cs="Arial"/>
          <w:sz w:val="22"/>
          <w:szCs w:val="22"/>
        </w:rPr>
        <w:t>3</w:t>
      </w:r>
      <w:r w:rsidR="00DC41F7" w:rsidRPr="00414A6D">
        <w:rPr>
          <w:rFonts w:ascii="Arial" w:hAnsi="Arial" w:cs="Arial"/>
          <w:sz w:val="22"/>
          <w:szCs w:val="22"/>
        </w:rPr>
        <w:t xml:space="preserve">) most closely aligns the care provided in hospitals performing surgery during the acute period of an admission. The </w:t>
      </w:r>
      <w:r w:rsidRPr="00414A6D">
        <w:rPr>
          <w:rFonts w:ascii="Arial" w:hAnsi="Arial" w:cs="Arial"/>
          <w:sz w:val="22"/>
          <w:szCs w:val="22"/>
        </w:rPr>
        <w:t>Sub</w:t>
      </w:r>
      <w:r w:rsidR="005E6281">
        <w:rPr>
          <w:rFonts w:ascii="Arial" w:hAnsi="Arial" w:cs="Arial"/>
          <w:sz w:val="22"/>
          <w:szCs w:val="22"/>
        </w:rPr>
        <w:noBreakHyphen/>
      </w:r>
      <w:r w:rsidRPr="00414A6D">
        <w:rPr>
          <w:rFonts w:ascii="Arial" w:hAnsi="Arial" w:cs="Arial"/>
          <w:sz w:val="22"/>
          <w:szCs w:val="22"/>
        </w:rPr>
        <w:t>Committee</w:t>
      </w:r>
      <w:r w:rsidR="00DC41F7" w:rsidRPr="00414A6D">
        <w:rPr>
          <w:rFonts w:ascii="Arial" w:hAnsi="Arial" w:cs="Arial"/>
          <w:sz w:val="22"/>
          <w:szCs w:val="22"/>
        </w:rPr>
        <w:t xml:space="preserve"> advised that IHPA should develop a national best-practice price that incentivises the key elements of the</w:t>
      </w:r>
      <w:r w:rsidR="009D2995" w:rsidRPr="00414A6D">
        <w:rPr>
          <w:rFonts w:ascii="Arial" w:hAnsi="Arial" w:cs="Arial"/>
          <w:sz w:val="22"/>
          <w:szCs w:val="22"/>
        </w:rPr>
        <w:t xml:space="preserve"> </w:t>
      </w:r>
      <w:r w:rsidR="0023619D" w:rsidRPr="00414A6D">
        <w:rPr>
          <w:rFonts w:ascii="Arial" w:hAnsi="Arial" w:cs="Arial"/>
          <w:sz w:val="22"/>
          <w:szCs w:val="22"/>
        </w:rPr>
        <w:t>Hip Fracture CCS</w:t>
      </w:r>
      <w:r w:rsidR="00DC41F7" w:rsidRPr="00414A6D">
        <w:rPr>
          <w:rFonts w:ascii="Arial" w:hAnsi="Arial" w:cs="Arial"/>
          <w:sz w:val="22"/>
          <w:szCs w:val="22"/>
        </w:rPr>
        <w:t>.</w:t>
      </w:r>
    </w:p>
    <w:p w14:paraId="0224AFF4" w14:textId="69134050" w:rsidR="00DC41F7" w:rsidRPr="00414A6D" w:rsidRDefault="00DC41F7" w:rsidP="00CC1BB0">
      <w:pPr>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noted the evidence that time to surgery has high predictive power for patient outcomes. For the time to surgery indicator, the </w:t>
      </w:r>
      <w:r w:rsidR="007F232E" w:rsidRPr="00414A6D">
        <w:rPr>
          <w:rFonts w:ascii="Arial" w:hAnsi="Arial" w:cs="Arial"/>
          <w:sz w:val="22"/>
          <w:szCs w:val="22"/>
        </w:rPr>
        <w:t>Sub-Committee</w:t>
      </w:r>
      <w:r w:rsidRPr="00414A6D">
        <w:rPr>
          <w:rFonts w:ascii="Arial" w:hAnsi="Arial" w:cs="Arial"/>
          <w:sz w:val="22"/>
          <w:szCs w:val="22"/>
        </w:rPr>
        <w:t>’s advice is that the 48</w:t>
      </w:r>
      <w:r w:rsidR="005E6281">
        <w:rPr>
          <w:rFonts w:ascii="Arial" w:hAnsi="Arial" w:cs="Arial"/>
          <w:sz w:val="22"/>
          <w:szCs w:val="22"/>
        </w:rPr>
        <w:noBreakHyphen/>
      </w:r>
      <w:r w:rsidRPr="00414A6D">
        <w:rPr>
          <w:rFonts w:ascii="Arial" w:hAnsi="Arial" w:cs="Arial"/>
          <w:sz w:val="22"/>
          <w:szCs w:val="22"/>
        </w:rPr>
        <w:t xml:space="preserve">hour time limit should commence upon arrival to the emergency department and, for patients who are transferred from other hospitals for surgery, this time should commence from arrival at the initial emergency department. </w:t>
      </w:r>
      <w:r w:rsidR="002F5328" w:rsidRPr="00414A6D">
        <w:rPr>
          <w:rFonts w:ascii="Arial" w:hAnsi="Arial" w:cs="Arial"/>
          <w:sz w:val="22"/>
          <w:szCs w:val="22"/>
        </w:rPr>
        <w:t>There was some debate about the terminology of ’48 hours’ compared with the</w:t>
      </w:r>
      <w:r w:rsidR="001A6FAB" w:rsidRPr="00414A6D">
        <w:rPr>
          <w:rFonts w:ascii="Arial" w:hAnsi="Arial" w:cs="Arial"/>
          <w:sz w:val="22"/>
          <w:szCs w:val="22"/>
        </w:rPr>
        <w:t xml:space="preserve"> Hip Fracture</w:t>
      </w:r>
      <w:r w:rsidR="002F5328" w:rsidRPr="00414A6D">
        <w:rPr>
          <w:rFonts w:ascii="Arial" w:hAnsi="Arial" w:cs="Arial"/>
          <w:sz w:val="22"/>
          <w:szCs w:val="22"/>
        </w:rPr>
        <w:t xml:space="preserve"> CCS quality statement which says ‘</w:t>
      </w:r>
      <w:r w:rsidR="001A6FAB" w:rsidRPr="00414A6D">
        <w:rPr>
          <w:rFonts w:ascii="Arial" w:hAnsi="Arial" w:cs="Arial"/>
          <w:sz w:val="22"/>
          <w:szCs w:val="22"/>
        </w:rPr>
        <w:t>surgery on, or the day after, presentation with hip fracture’</w:t>
      </w:r>
      <w:r w:rsidR="002F5328" w:rsidRPr="00414A6D">
        <w:rPr>
          <w:rFonts w:ascii="Arial" w:hAnsi="Arial" w:cs="Arial"/>
          <w:sz w:val="22"/>
          <w:szCs w:val="22"/>
        </w:rPr>
        <w:t>.</w:t>
      </w:r>
      <w:r w:rsidR="001A6FAB" w:rsidRPr="00414A6D">
        <w:rPr>
          <w:rFonts w:ascii="Arial" w:hAnsi="Arial" w:cs="Arial"/>
          <w:sz w:val="22"/>
          <w:szCs w:val="22"/>
        </w:rPr>
        <w:t xml:space="preserve"> </w:t>
      </w:r>
      <w:r w:rsidR="002F5328" w:rsidRPr="00414A6D">
        <w:rPr>
          <w:rFonts w:ascii="Arial" w:hAnsi="Arial" w:cs="Arial"/>
          <w:sz w:val="22"/>
          <w:szCs w:val="22"/>
        </w:rPr>
        <w:t xml:space="preserve">The Sub-Committee has </w:t>
      </w:r>
      <w:r w:rsidR="002F5328" w:rsidRPr="00414A6D">
        <w:rPr>
          <w:rFonts w:ascii="Arial" w:hAnsi="Arial" w:cs="Arial"/>
          <w:sz w:val="22"/>
          <w:szCs w:val="22"/>
        </w:rPr>
        <w:lastRenderedPageBreak/>
        <w:t xml:space="preserve">maintained its terminology consistent with the draft CCS, understanding that this may change dependent on the current public consultation around the </w:t>
      </w:r>
      <w:r w:rsidR="001A6FAB" w:rsidRPr="00414A6D">
        <w:rPr>
          <w:rFonts w:ascii="Arial" w:hAnsi="Arial" w:cs="Arial"/>
          <w:sz w:val="22"/>
          <w:szCs w:val="22"/>
        </w:rPr>
        <w:t>standard</w:t>
      </w:r>
      <w:r w:rsidR="002F5328" w:rsidRPr="00414A6D">
        <w:rPr>
          <w:rFonts w:ascii="Arial" w:hAnsi="Arial" w:cs="Arial"/>
          <w:sz w:val="22"/>
          <w:szCs w:val="22"/>
        </w:rPr>
        <w:t xml:space="preserve">. </w:t>
      </w:r>
    </w:p>
    <w:p w14:paraId="547EDB29" w14:textId="77777777" w:rsidR="00DC41F7" w:rsidRPr="00414A6D" w:rsidRDefault="00DC41F7" w:rsidP="00CC1BB0">
      <w:pPr>
        <w:jc w:val="both"/>
        <w:rPr>
          <w:rFonts w:ascii="Arial" w:hAnsi="Arial" w:cs="Arial"/>
          <w:sz w:val="22"/>
          <w:szCs w:val="22"/>
        </w:rPr>
      </w:pPr>
    </w:p>
    <w:p w14:paraId="51B1ACCD" w14:textId="2297328D" w:rsidR="004567B1" w:rsidRPr="00CB2400" w:rsidRDefault="00DC41F7" w:rsidP="00D41ED6">
      <w:pPr>
        <w:jc w:val="both"/>
        <w:rPr>
          <w:rFonts w:ascii="Arial" w:hAnsi="Arial" w:cs="Arial"/>
          <w:sz w:val="22"/>
          <w:szCs w:val="22"/>
        </w:rPr>
      </w:pPr>
      <w:r w:rsidRPr="00414A6D">
        <w:rPr>
          <w:rFonts w:ascii="Arial" w:hAnsi="Arial" w:cs="Arial"/>
          <w:sz w:val="22"/>
          <w:szCs w:val="22"/>
        </w:rPr>
        <w:t xml:space="preserve">As some patients initially present at a hospital with limited surgical infrastructure, such as small regional and remote hospitals, before being transferred to large or major hospitals for surgery, the </w:t>
      </w:r>
      <w:r w:rsidR="007F232E" w:rsidRPr="00414A6D">
        <w:rPr>
          <w:rFonts w:ascii="Arial" w:hAnsi="Arial" w:cs="Arial"/>
          <w:sz w:val="22"/>
          <w:szCs w:val="22"/>
        </w:rPr>
        <w:t>Sub-Committee</w:t>
      </w:r>
      <w:r w:rsidRPr="00414A6D">
        <w:rPr>
          <w:rFonts w:ascii="Arial" w:hAnsi="Arial" w:cs="Arial"/>
          <w:sz w:val="22"/>
          <w:szCs w:val="22"/>
        </w:rPr>
        <w:t xml:space="preserve">’s advice is that the </w:t>
      </w:r>
      <w:r w:rsidR="00370A06" w:rsidRPr="00414A6D">
        <w:rPr>
          <w:rFonts w:ascii="Arial" w:hAnsi="Arial" w:cs="Arial"/>
          <w:sz w:val="22"/>
          <w:szCs w:val="22"/>
        </w:rPr>
        <w:t>operating</w:t>
      </w:r>
      <w:r w:rsidRPr="00414A6D">
        <w:rPr>
          <w:rFonts w:ascii="Arial" w:hAnsi="Arial" w:cs="Arial"/>
          <w:sz w:val="22"/>
          <w:szCs w:val="22"/>
        </w:rPr>
        <w:t xml:space="preserve"> hospital should receive the best</w:t>
      </w:r>
      <w:r w:rsidR="005E6281">
        <w:rPr>
          <w:rFonts w:ascii="Arial" w:hAnsi="Arial" w:cs="Arial"/>
          <w:sz w:val="22"/>
          <w:szCs w:val="22"/>
        </w:rPr>
        <w:noBreakHyphen/>
      </w:r>
      <w:r w:rsidRPr="00414A6D">
        <w:rPr>
          <w:rFonts w:ascii="Arial" w:hAnsi="Arial" w:cs="Arial"/>
          <w:sz w:val="22"/>
          <w:szCs w:val="22"/>
        </w:rPr>
        <w:t>practice payment if the best-practice indicators are met.</w:t>
      </w:r>
      <w:r w:rsidR="004567B1">
        <w:rPr>
          <w:rFonts w:ascii="Arial" w:hAnsi="Arial" w:cs="Arial"/>
          <w:sz w:val="22"/>
          <w:szCs w:val="22"/>
        </w:rPr>
        <w:t xml:space="preserve"> </w:t>
      </w:r>
      <w:r w:rsidR="004567B1" w:rsidRPr="00CB2400">
        <w:rPr>
          <w:rFonts w:ascii="Arial" w:hAnsi="Arial" w:cs="Arial"/>
          <w:sz w:val="22"/>
          <w:szCs w:val="22"/>
        </w:rPr>
        <w:t xml:space="preserve"> </w:t>
      </w:r>
      <w:r w:rsidR="004567B1">
        <w:rPr>
          <w:rFonts w:ascii="Arial" w:hAnsi="Arial" w:cs="Arial"/>
          <w:sz w:val="22"/>
          <w:szCs w:val="22"/>
        </w:rPr>
        <w:t>P</w:t>
      </w:r>
      <w:r w:rsidR="004567B1" w:rsidRPr="00CB2400">
        <w:rPr>
          <w:rFonts w:ascii="Arial" w:hAnsi="Arial" w:cs="Arial"/>
          <w:sz w:val="22"/>
          <w:szCs w:val="22"/>
        </w:rPr>
        <w:t>atients who present to an initial remote hospital should still be included</w:t>
      </w:r>
      <w:r w:rsidR="004567B1">
        <w:rPr>
          <w:rFonts w:ascii="Arial" w:hAnsi="Arial" w:cs="Arial"/>
          <w:sz w:val="22"/>
          <w:szCs w:val="22"/>
        </w:rPr>
        <w:t xml:space="preserve"> in the cohort</w:t>
      </w:r>
      <w:r w:rsidR="004567B1" w:rsidRPr="00CB2400">
        <w:rPr>
          <w:rFonts w:ascii="Arial" w:hAnsi="Arial" w:cs="Arial"/>
          <w:sz w:val="22"/>
          <w:szCs w:val="22"/>
        </w:rPr>
        <w:t>. The rationale is as follows:</w:t>
      </w:r>
    </w:p>
    <w:p w14:paraId="283F0FE3" w14:textId="1D7B1DDF" w:rsidR="004567B1" w:rsidRPr="00CB2400" w:rsidRDefault="004567B1" w:rsidP="00940602">
      <w:pPr>
        <w:pStyle w:val="ListParagraph"/>
        <w:numPr>
          <w:ilvl w:val="0"/>
          <w:numId w:val="47"/>
        </w:numPr>
        <w:spacing w:before="120"/>
        <w:ind w:left="1037" w:hanging="357"/>
        <w:rPr>
          <w:rFonts w:ascii="Arial" w:hAnsi="Arial" w:cs="Arial"/>
          <w:sz w:val="22"/>
          <w:szCs w:val="22"/>
        </w:rPr>
      </w:pPr>
      <w:r w:rsidRPr="00CB2400">
        <w:rPr>
          <w:rFonts w:ascii="Arial" w:hAnsi="Arial" w:cs="Arial"/>
          <w:sz w:val="22"/>
          <w:szCs w:val="22"/>
        </w:rPr>
        <w:t>The best-practice pricing model should ensure compliance with the Clinical Care Standard and match its indicators</w:t>
      </w:r>
      <w:r w:rsidR="005E6281">
        <w:rPr>
          <w:rFonts w:ascii="Arial" w:hAnsi="Arial" w:cs="Arial"/>
          <w:sz w:val="22"/>
          <w:szCs w:val="22"/>
        </w:rPr>
        <w:t>.</w:t>
      </w:r>
      <w:r w:rsidRPr="00CB2400">
        <w:rPr>
          <w:rFonts w:ascii="Arial" w:hAnsi="Arial" w:cs="Arial"/>
          <w:sz w:val="22"/>
          <w:szCs w:val="22"/>
        </w:rPr>
        <w:t xml:space="preserve"> (The draft CCS is currently out for consultation and all feedback, including for the 48</w:t>
      </w:r>
      <w:r w:rsidR="005E6281">
        <w:rPr>
          <w:rFonts w:ascii="Arial" w:hAnsi="Arial" w:cs="Arial"/>
          <w:sz w:val="22"/>
          <w:szCs w:val="22"/>
        </w:rPr>
        <w:noBreakHyphen/>
      </w:r>
      <w:r w:rsidRPr="00CB2400">
        <w:rPr>
          <w:rFonts w:ascii="Arial" w:hAnsi="Arial" w:cs="Arial"/>
          <w:sz w:val="22"/>
          <w:szCs w:val="22"/>
        </w:rPr>
        <w:t>hour target, will be considered before the CCS is finalised)</w:t>
      </w:r>
      <w:r w:rsidR="005E6281">
        <w:rPr>
          <w:rFonts w:ascii="Arial" w:hAnsi="Arial" w:cs="Arial"/>
          <w:sz w:val="22"/>
          <w:szCs w:val="22"/>
        </w:rPr>
        <w:t>.</w:t>
      </w:r>
    </w:p>
    <w:p w14:paraId="16514205" w14:textId="77777777" w:rsidR="004567B1" w:rsidRPr="00CB2400" w:rsidRDefault="004567B1" w:rsidP="00CB2400">
      <w:pPr>
        <w:pStyle w:val="ListParagraph"/>
        <w:numPr>
          <w:ilvl w:val="0"/>
          <w:numId w:val="47"/>
        </w:numPr>
        <w:rPr>
          <w:rFonts w:ascii="Arial" w:hAnsi="Arial" w:cs="Arial"/>
          <w:sz w:val="22"/>
          <w:szCs w:val="22"/>
        </w:rPr>
      </w:pPr>
      <w:r w:rsidRPr="00CB2400">
        <w:rPr>
          <w:rFonts w:ascii="Arial" w:hAnsi="Arial" w:cs="Arial"/>
          <w:sz w:val="22"/>
          <w:szCs w:val="22"/>
        </w:rPr>
        <w:t>It encourages appropriate care, in that remote hospitals should have ‘upstream’ coordinated care networks to ensure that the management of the patient is effective and the patient gets to the incentivised operating hospital as quickly as possible</w:t>
      </w:r>
    </w:p>
    <w:p w14:paraId="465E8964" w14:textId="77777777" w:rsidR="004567B1" w:rsidRPr="00CB2400" w:rsidRDefault="004567B1" w:rsidP="00CB2400">
      <w:pPr>
        <w:pStyle w:val="ListParagraph"/>
        <w:numPr>
          <w:ilvl w:val="0"/>
          <w:numId w:val="47"/>
        </w:numPr>
        <w:rPr>
          <w:rFonts w:ascii="Arial" w:hAnsi="Arial" w:cs="Arial"/>
          <w:sz w:val="22"/>
          <w:szCs w:val="22"/>
        </w:rPr>
      </w:pPr>
      <w:r w:rsidRPr="00CB2400">
        <w:rPr>
          <w:rFonts w:ascii="Arial" w:hAnsi="Arial" w:cs="Arial"/>
          <w:sz w:val="22"/>
          <w:szCs w:val="22"/>
        </w:rPr>
        <w:t>There should be no positive or negative discrimination in the best-practice pricing approach based on remoteness, noting that networks should be aware of the referral patterns in their areas</w:t>
      </w:r>
    </w:p>
    <w:p w14:paraId="33C9976C" w14:textId="77777777" w:rsidR="004567B1" w:rsidRPr="00CB2400" w:rsidRDefault="004567B1" w:rsidP="00CB2400">
      <w:pPr>
        <w:pStyle w:val="ListParagraph"/>
        <w:numPr>
          <w:ilvl w:val="0"/>
          <w:numId w:val="47"/>
        </w:numPr>
        <w:rPr>
          <w:rFonts w:ascii="Arial" w:hAnsi="Arial" w:cs="Arial"/>
          <w:sz w:val="22"/>
          <w:szCs w:val="22"/>
        </w:rPr>
      </w:pPr>
      <w:r w:rsidRPr="00CB2400">
        <w:rPr>
          <w:rFonts w:ascii="Arial" w:hAnsi="Arial" w:cs="Arial"/>
          <w:sz w:val="22"/>
          <w:szCs w:val="22"/>
        </w:rPr>
        <w:t>Often these patients have had longer to travel to present to the remote service, and so they have already experienced delays in care compared with metropolitan hospitals</w:t>
      </w:r>
    </w:p>
    <w:p w14:paraId="57C2D8C2" w14:textId="77777777" w:rsidR="004567B1" w:rsidRPr="00CB2400" w:rsidRDefault="004567B1" w:rsidP="00CB2400">
      <w:pPr>
        <w:pStyle w:val="ListParagraph"/>
        <w:numPr>
          <w:ilvl w:val="0"/>
          <w:numId w:val="47"/>
        </w:numPr>
        <w:rPr>
          <w:rFonts w:ascii="Arial" w:hAnsi="Arial" w:cs="Arial"/>
          <w:sz w:val="22"/>
          <w:szCs w:val="22"/>
        </w:rPr>
      </w:pPr>
      <w:r w:rsidRPr="00CB2400">
        <w:rPr>
          <w:rFonts w:ascii="Arial" w:hAnsi="Arial" w:cs="Arial"/>
          <w:sz w:val="22"/>
          <w:szCs w:val="22"/>
        </w:rPr>
        <w:t>Non-</w:t>
      </w:r>
      <w:proofErr w:type="spellStart"/>
      <w:r w:rsidRPr="00CB2400">
        <w:rPr>
          <w:rFonts w:ascii="Arial" w:hAnsi="Arial" w:cs="Arial"/>
          <w:sz w:val="22"/>
          <w:szCs w:val="22"/>
        </w:rPr>
        <w:t>ABF’d</w:t>
      </w:r>
      <w:proofErr w:type="spellEnd"/>
      <w:r w:rsidRPr="00CB2400">
        <w:rPr>
          <w:rFonts w:ascii="Arial" w:hAnsi="Arial" w:cs="Arial"/>
          <w:sz w:val="22"/>
          <w:szCs w:val="22"/>
        </w:rPr>
        <w:t xml:space="preserve"> hospitals have no incentive from a pricing perspective which encourages the operating hospital to facilitate timely admission to achieve the best-practice price</w:t>
      </w:r>
    </w:p>
    <w:p w14:paraId="6902721A" w14:textId="648B36A6" w:rsidR="004567B1" w:rsidRPr="00CB2400" w:rsidRDefault="004567B1" w:rsidP="00CB2400">
      <w:pPr>
        <w:pStyle w:val="ListParagraph"/>
        <w:numPr>
          <w:ilvl w:val="0"/>
          <w:numId w:val="47"/>
        </w:numPr>
        <w:rPr>
          <w:rFonts w:ascii="Arial" w:hAnsi="Arial" w:cs="Arial"/>
          <w:sz w:val="22"/>
          <w:szCs w:val="22"/>
        </w:rPr>
      </w:pPr>
      <w:r w:rsidRPr="00CB2400">
        <w:rPr>
          <w:rFonts w:ascii="Arial" w:hAnsi="Arial" w:cs="Arial"/>
          <w:sz w:val="22"/>
          <w:szCs w:val="22"/>
        </w:rPr>
        <w:t>In IHPA’s National Efficient Price determination (2014-15), there are adjustments for admitted acute</w:t>
      </w:r>
      <w:r w:rsidR="005E6281">
        <w:rPr>
          <w:rFonts w:ascii="Arial" w:hAnsi="Arial" w:cs="Arial"/>
          <w:sz w:val="22"/>
          <w:szCs w:val="22"/>
        </w:rPr>
        <w:t xml:space="preserve"> </w:t>
      </w:r>
      <w:r w:rsidRPr="00CB2400">
        <w:rPr>
          <w:rFonts w:ascii="Arial" w:hAnsi="Arial" w:cs="Arial"/>
          <w:sz w:val="22"/>
          <w:szCs w:val="22"/>
        </w:rPr>
        <w:t>(and admitted subacute care) episodes where patient postcode is listed as outer regional, remote and very remote, at 8%, 16% and 22% respectively.</w:t>
      </w:r>
    </w:p>
    <w:p w14:paraId="2A790687" w14:textId="77777777" w:rsidR="00DC41F7" w:rsidRPr="00414A6D" w:rsidRDefault="00DC41F7" w:rsidP="00CC1BB0">
      <w:pPr>
        <w:jc w:val="both"/>
        <w:rPr>
          <w:rFonts w:ascii="Arial" w:hAnsi="Arial" w:cs="Arial"/>
          <w:sz w:val="22"/>
          <w:szCs w:val="22"/>
        </w:rPr>
      </w:pPr>
    </w:p>
    <w:p w14:paraId="7FFC426E" w14:textId="77777777" w:rsidR="0023619D" w:rsidRPr="00414A6D" w:rsidRDefault="00DC41F7" w:rsidP="00370A06">
      <w:pPr>
        <w:jc w:val="both"/>
        <w:rPr>
          <w:rFonts w:ascii="Arial" w:hAnsi="Arial" w:cs="Arial"/>
          <w:sz w:val="22"/>
          <w:szCs w:val="22"/>
        </w:rPr>
      </w:pPr>
      <w:r w:rsidRPr="00414A6D">
        <w:rPr>
          <w:rFonts w:ascii="Arial" w:hAnsi="Arial" w:cs="Arial"/>
          <w:sz w:val="22"/>
          <w:szCs w:val="22"/>
        </w:rPr>
        <w:t>Commencing the time to surgery target from presentation to the emergency department at the initial hospital incentivises the hospital that performs the surgery</w:t>
      </w:r>
      <w:r w:rsidR="0023619D" w:rsidRPr="00414A6D">
        <w:rPr>
          <w:rFonts w:ascii="Arial" w:hAnsi="Arial" w:cs="Arial"/>
          <w:sz w:val="22"/>
          <w:szCs w:val="22"/>
        </w:rPr>
        <w:t xml:space="preserve"> to</w:t>
      </w:r>
      <w:r w:rsidRPr="00414A6D">
        <w:rPr>
          <w:rFonts w:ascii="Arial" w:hAnsi="Arial" w:cs="Arial"/>
          <w:sz w:val="22"/>
          <w:szCs w:val="22"/>
        </w:rPr>
        <w:t xml:space="preserve"> actively facilitate timely patient transfers and mitigate the perverse risk of </w:t>
      </w:r>
      <w:proofErr w:type="gramStart"/>
      <w:r w:rsidRPr="00414A6D">
        <w:rPr>
          <w:rFonts w:ascii="Arial" w:hAnsi="Arial" w:cs="Arial"/>
          <w:sz w:val="22"/>
          <w:szCs w:val="22"/>
        </w:rPr>
        <w:t>gaming</w:t>
      </w:r>
      <w:proofErr w:type="gramEnd"/>
      <w:r w:rsidRPr="00414A6D">
        <w:rPr>
          <w:rFonts w:ascii="Arial" w:hAnsi="Arial" w:cs="Arial"/>
          <w:sz w:val="22"/>
          <w:szCs w:val="22"/>
        </w:rPr>
        <w:t xml:space="preserve"> the time limit</w:t>
      </w:r>
      <w:r w:rsidR="0023619D" w:rsidRPr="00414A6D">
        <w:rPr>
          <w:rFonts w:ascii="Arial" w:hAnsi="Arial" w:cs="Arial"/>
          <w:sz w:val="22"/>
          <w:szCs w:val="22"/>
        </w:rPr>
        <w:t xml:space="preserve"> by holding patients at the hospital where the patient initially presents</w:t>
      </w:r>
      <w:r w:rsidR="00370A06" w:rsidRPr="00414A6D">
        <w:rPr>
          <w:rFonts w:ascii="Arial" w:hAnsi="Arial" w:cs="Arial"/>
          <w:sz w:val="22"/>
          <w:szCs w:val="22"/>
        </w:rPr>
        <w:t xml:space="preserve">. </w:t>
      </w:r>
    </w:p>
    <w:p w14:paraId="0B8D6A8E" w14:textId="77777777" w:rsidR="0023619D" w:rsidRPr="00414A6D" w:rsidRDefault="0023619D" w:rsidP="00370A06">
      <w:pPr>
        <w:jc w:val="both"/>
        <w:rPr>
          <w:rFonts w:ascii="Arial" w:hAnsi="Arial" w:cs="Arial"/>
          <w:sz w:val="22"/>
          <w:szCs w:val="22"/>
        </w:rPr>
      </w:pPr>
    </w:p>
    <w:p w14:paraId="4B3D6EFA" w14:textId="77777777" w:rsidR="00E20CC5" w:rsidRPr="00414A6D" w:rsidRDefault="00DC41F7" w:rsidP="00370A06">
      <w:pPr>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’s advice therefore is that the national best-practice price should initially be targeted at episodes where hip fracture surgery is undertaken. The </w:t>
      </w:r>
      <w:r w:rsidR="007F232E" w:rsidRPr="00414A6D">
        <w:rPr>
          <w:rFonts w:ascii="Arial" w:hAnsi="Arial" w:cs="Arial"/>
          <w:sz w:val="22"/>
          <w:szCs w:val="22"/>
        </w:rPr>
        <w:t>Sub-Committee</w:t>
      </w:r>
      <w:r w:rsidRPr="00414A6D">
        <w:rPr>
          <w:rFonts w:ascii="Arial" w:hAnsi="Arial" w:cs="Arial"/>
          <w:sz w:val="22"/>
          <w:szCs w:val="22"/>
        </w:rPr>
        <w:t xml:space="preserve"> also advised that IHPA should work with jurisdictions, clinicians and other stakeholders to consider whether additional steps are required for the non-surgical cohort to incentivise quality care </w:t>
      </w:r>
      <w:r w:rsidR="00E20CC5" w:rsidRPr="00414A6D">
        <w:rPr>
          <w:rFonts w:ascii="Arial" w:hAnsi="Arial" w:cs="Arial"/>
          <w:sz w:val="22"/>
          <w:szCs w:val="22"/>
        </w:rPr>
        <w:t xml:space="preserve">and to prevent unintended incentives toward any particular treatment. </w:t>
      </w:r>
    </w:p>
    <w:p w14:paraId="0ED738CD" w14:textId="77777777" w:rsidR="00B96709" w:rsidRPr="00414A6D" w:rsidRDefault="00B96709">
      <w:pPr>
        <w:rPr>
          <w:rFonts w:ascii="Arial" w:hAnsi="Arial" w:cs="Arial"/>
          <w:b/>
          <w:sz w:val="22"/>
          <w:szCs w:val="22"/>
        </w:rPr>
      </w:pPr>
    </w:p>
    <w:p w14:paraId="71AACAFD" w14:textId="60D7C7B5" w:rsidR="000455E1" w:rsidRPr="00414A6D" w:rsidRDefault="00261503" w:rsidP="00142AF0">
      <w:pPr>
        <w:ind w:left="397"/>
        <w:jc w:val="both"/>
        <w:rPr>
          <w:rFonts w:ascii="Arial" w:hAnsi="Arial" w:cs="Arial"/>
        </w:rPr>
      </w:pPr>
      <w:r>
        <w:rPr>
          <w:rFonts w:ascii="Arial" w:hAnsi="Arial" w:cs="Arial"/>
          <w:b/>
          <w:sz w:val="22"/>
          <w:szCs w:val="22"/>
        </w:rPr>
        <w:t>4</w:t>
      </w:r>
      <w:r w:rsidR="000455E1" w:rsidRPr="00414A6D">
        <w:rPr>
          <w:rFonts w:ascii="Arial" w:hAnsi="Arial" w:cs="Arial"/>
          <w:b/>
          <w:sz w:val="22"/>
          <w:szCs w:val="22"/>
        </w:rPr>
        <w:t>.2.</w:t>
      </w:r>
      <w:r w:rsidR="008E4D50" w:rsidRPr="00414A6D">
        <w:rPr>
          <w:rFonts w:ascii="Arial" w:hAnsi="Arial" w:cs="Arial"/>
          <w:b/>
          <w:sz w:val="22"/>
          <w:szCs w:val="22"/>
        </w:rPr>
        <w:t>5</w:t>
      </w:r>
      <w:r w:rsidR="000455E1" w:rsidRPr="00414A6D">
        <w:rPr>
          <w:rFonts w:ascii="Arial" w:hAnsi="Arial" w:cs="Arial"/>
          <w:b/>
          <w:sz w:val="22"/>
          <w:szCs w:val="22"/>
        </w:rPr>
        <w:t xml:space="preserve"> Target</w:t>
      </w:r>
      <w:r w:rsidR="0074152C" w:rsidRPr="00414A6D">
        <w:rPr>
          <w:rFonts w:ascii="Arial" w:hAnsi="Arial" w:cs="Arial"/>
          <w:b/>
          <w:sz w:val="22"/>
          <w:szCs w:val="22"/>
        </w:rPr>
        <w:t xml:space="preserve"> </w:t>
      </w:r>
      <w:r w:rsidR="000455E1" w:rsidRPr="00414A6D">
        <w:rPr>
          <w:rFonts w:ascii="Arial" w:hAnsi="Arial" w:cs="Arial"/>
          <w:b/>
          <w:sz w:val="22"/>
          <w:szCs w:val="22"/>
        </w:rPr>
        <w:t xml:space="preserve">AR-DRGs </w:t>
      </w:r>
    </w:p>
    <w:p w14:paraId="403A46CB" w14:textId="1B58F238" w:rsidR="00DC41F7" w:rsidRPr="00414A6D" w:rsidRDefault="00DC41F7" w:rsidP="00CC1BB0">
      <w:pPr>
        <w:jc w:val="both"/>
        <w:rPr>
          <w:rFonts w:ascii="Arial" w:hAnsi="Arial" w:cs="Arial"/>
          <w:sz w:val="22"/>
          <w:szCs w:val="22"/>
        </w:rPr>
      </w:pPr>
      <w:r w:rsidRPr="00414A6D">
        <w:rPr>
          <w:rFonts w:ascii="Arial" w:hAnsi="Arial" w:cs="Arial"/>
          <w:sz w:val="22"/>
          <w:szCs w:val="22"/>
        </w:rPr>
        <w:t xml:space="preserve">After the exclusions discussed </w:t>
      </w:r>
      <w:r w:rsidR="0023619D" w:rsidRPr="00414A6D">
        <w:rPr>
          <w:rFonts w:ascii="Arial" w:hAnsi="Arial" w:cs="Arial"/>
          <w:sz w:val="22"/>
          <w:szCs w:val="22"/>
        </w:rPr>
        <w:t xml:space="preserve">in Sections </w:t>
      </w:r>
      <w:r w:rsidR="009B2FE3">
        <w:rPr>
          <w:rFonts w:ascii="Arial" w:hAnsi="Arial" w:cs="Arial"/>
          <w:sz w:val="22"/>
          <w:szCs w:val="22"/>
        </w:rPr>
        <w:t>4</w:t>
      </w:r>
      <w:r w:rsidR="0023619D" w:rsidRPr="00414A6D">
        <w:rPr>
          <w:rFonts w:ascii="Arial" w:hAnsi="Arial" w:cs="Arial"/>
          <w:sz w:val="22"/>
          <w:szCs w:val="22"/>
        </w:rPr>
        <w:t xml:space="preserve">.1.1 to </w:t>
      </w:r>
      <w:r w:rsidR="009B2FE3">
        <w:rPr>
          <w:rFonts w:ascii="Arial" w:hAnsi="Arial" w:cs="Arial"/>
          <w:sz w:val="22"/>
          <w:szCs w:val="22"/>
        </w:rPr>
        <w:t>4</w:t>
      </w:r>
      <w:r w:rsidR="0023619D" w:rsidRPr="00414A6D">
        <w:rPr>
          <w:rFonts w:ascii="Arial" w:hAnsi="Arial" w:cs="Arial"/>
          <w:sz w:val="22"/>
          <w:szCs w:val="22"/>
        </w:rPr>
        <w:t>.2</w:t>
      </w:r>
      <w:r w:rsidR="00975470" w:rsidRPr="00414A6D">
        <w:rPr>
          <w:rFonts w:ascii="Arial" w:hAnsi="Arial" w:cs="Arial"/>
          <w:sz w:val="22"/>
          <w:szCs w:val="22"/>
        </w:rPr>
        <w:t>.2</w:t>
      </w:r>
      <w:r w:rsidRPr="00414A6D">
        <w:rPr>
          <w:rFonts w:ascii="Arial" w:hAnsi="Arial" w:cs="Arial"/>
          <w:sz w:val="22"/>
          <w:szCs w:val="22"/>
        </w:rPr>
        <w:t xml:space="preserve"> </w:t>
      </w:r>
      <w:r w:rsidR="0023619D" w:rsidRPr="00414A6D">
        <w:rPr>
          <w:rFonts w:ascii="Arial" w:hAnsi="Arial" w:cs="Arial"/>
          <w:sz w:val="22"/>
          <w:szCs w:val="22"/>
        </w:rPr>
        <w:t>we</w:t>
      </w:r>
      <w:r w:rsidRPr="00414A6D">
        <w:rPr>
          <w:rFonts w:ascii="Arial" w:hAnsi="Arial" w:cs="Arial"/>
          <w:sz w:val="22"/>
          <w:szCs w:val="22"/>
        </w:rPr>
        <w:t xml:space="preserve">re applied to the data, the </w:t>
      </w:r>
      <w:r w:rsidR="00E20CC5" w:rsidRPr="00414A6D">
        <w:rPr>
          <w:rFonts w:ascii="Arial" w:hAnsi="Arial" w:cs="Arial"/>
          <w:sz w:val="22"/>
          <w:szCs w:val="22"/>
        </w:rPr>
        <w:t xml:space="preserve">initial </w:t>
      </w:r>
      <w:r w:rsidRPr="00414A6D">
        <w:rPr>
          <w:rFonts w:ascii="Arial" w:hAnsi="Arial" w:cs="Arial"/>
          <w:sz w:val="22"/>
          <w:szCs w:val="22"/>
        </w:rPr>
        <w:t>target hip fracture surgical cohort includes 1</w:t>
      </w:r>
      <w:r w:rsidR="0023619D" w:rsidRPr="00414A6D">
        <w:rPr>
          <w:rFonts w:ascii="Arial" w:hAnsi="Arial" w:cs="Arial"/>
          <w:sz w:val="22"/>
          <w:szCs w:val="22"/>
        </w:rPr>
        <w:t>3,914</w:t>
      </w:r>
      <w:r w:rsidRPr="00414A6D">
        <w:rPr>
          <w:rFonts w:ascii="Arial" w:hAnsi="Arial" w:cs="Arial"/>
          <w:sz w:val="22"/>
          <w:szCs w:val="22"/>
        </w:rPr>
        <w:t xml:space="preserve"> separations at a cost of $2</w:t>
      </w:r>
      <w:r w:rsidR="0023619D" w:rsidRPr="00414A6D">
        <w:rPr>
          <w:rFonts w:ascii="Arial" w:hAnsi="Arial" w:cs="Arial"/>
          <w:sz w:val="22"/>
          <w:szCs w:val="22"/>
        </w:rPr>
        <w:t>58.2 </w:t>
      </w:r>
      <w:r w:rsidRPr="00414A6D">
        <w:rPr>
          <w:rFonts w:ascii="Arial" w:hAnsi="Arial" w:cs="Arial"/>
          <w:sz w:val="22"/>
          <w:szCs w:val="22"/>
        </w:rPr>
        <w:t xml:space="preserve">million. Table </w:t>
      </w:r>
      <w:r w:rsidR="00975470" w:rsidRPr="00414A6D">
        <w:rPr>
          <w:rFonts w:ascii="Arial" w:hAnsi="Arial" w:cs="Arial"/>
          <w:sz w:val="22"/>
          <w:szCs w:val="22"/>
        </w:rPr>
        <w:t>F10</w:t>
      </w:r>
      <w:r w:rsidRPr="00414A6D">
        <w:rPr>
          <w:rFonts w:ascii="Arial" w:hAnsi="Arial" w:cs="Arial"/>
          <w:sz w:val="22"/>
          <w:szCs w:val="22"/>
        </w:rPr>
        <w:t xml:space="preserve"> presents the </w:t>
      </w:r>
      <w:r w:rsidR="00E20CC5" w:rsidRPr="00414A6D">
        <w:rPr>
          <w:rFonts w:ascii="Arial" w:hAnsi="Arial" w:cs="Arial"/>
          <w:sz w:val="22"/>
          <w:szCs w:val="22"/>
        </w:rPr>
        <w:t xml:space="preserve">initial </w:t>
      </w:r>
      <w:r w:rsidRPr="00414A6D">
        <w:rPr>
          <w:rFonts w:ascii="Arial" w:hAnsi="Arial" w:cs="Arial"/>
          <w:sz w:val="22"/>
          <w:szCs w:val="22"/>
        </w:rPr>
        <w:t xml:space="preserve">hip fracture surgical cohort </w:t>
      </w:r>
      <w:r w:rsidR="0074152C" w:rsidRPr="00414A6D">
        <w:rPr>
          <w:rFonts w:ascii="Arial" w:hAnsi="Arial" w:cs="Arial"/>
          <w:sz w:val="22"/>
          <w:szCs w:val="22"/>
        </w:rPr>
        <w:t xml:space="preserve">grouped </w:t>
      </w:r>
      <w:r w:rsidRPr="00414A6D">
        <w:rPr>
          <w:rFonts w:ascii="Arial" w:hAnsi="Arial" w:cs="Arial"/>
          <w:sz w:val="22"/>
          <w:szCs w:val="22"/>
        </w:rPr>
        <w:t xml:space="preserve">by </w:t>
      </w:r>
      <w:r w:rsidRPr="00793994">
        <w:rPr>
          <w:rFonts w:ascii="Arial" w:hAnsi="Arial" w:cs="Arial"/>
          <w:sz w:val="22"/>
          <w:szCs w:val="22"/>
        </w:rPr>
        <w:t>AR</w:t>
      </w:r>
      <w:r w:rsidRPr="00793994">
        <w:rPr>
          <w:rFonts w:ascii="Arial" w:hAnsi="Arial" w:cs="Arial"/>
          <w:sz w:val="22"/>
          <w:szCs w:val="22"/>
        </w:rPr>
        <w:noBreakHyphen/>
        <w:t>DRG</w:t>
      </w:r>
      <w:r w:rsidRPr="00414A6D">
        <w:rPr>
          <w:rFonts w:ascii="Arial" w:hAnsi="Arial" w:cs="Arial"/>
          <w:sz w:val="22"/>
          <w:szCs w:val="22"/>
        </w:rPr>
        <w:t xml:space="preserve"> which shows that four AR-DRGs account for 99.</w:t>
      </w:r>
      <w:r w:rsidR="008F4651" w:rsidRPr="00414A6D">
        <w:rPr>
          <w:rFonts w:ascii="Arial" w:hAnsi="Arial" w:cs="Arial"/>
          <w:sz w:val="22"/>
          <w:szCs w:val="22"/>
        </w:rPr>
        <w:t>2</w:t>
      </w:r>
      <w:r w:rsidR="000F3A08" w:rsidRPr="00414A6D">
        <w:rPr>
          <w:rFonts w:ascii="Arial" w:hAnsi="Arial" w:cs="Arial"/>
          <w:sz w:val="22"/>
          <w:szCs w:val="22"/>
        </w:rPr>
        <w:t> </w:t>
      </w:r>
      <w:r w:rsidRPr="00414A6D">
        <w:rPr>
          <w:rFonts w:ascii="Arial" w:hAnsi="Arial" w:cs="Arial"/>
          <w:sz w:val="22"/>
          <w:szCs w:val="22"/>
        </w:rPr>
        <w:t>per</w:t>
      </w:r>
      <w:r w:rsidR="000F3A08" w:rsidRPr="00414A6D">
        <w:rPr>
          <w:rFonts w:ascii="Arial" w:hAnsi="Arial" w:cs="Arial"/>
          <w:sz w:val="22"/>
          <w:szCs w:val="22"/>
        </w:rPr>
        <w:t> </w:t>
      </w:r>
      <w:r w:rsidRPr="00414A6D">
        <w:rPr>
          <w:rFonts w:ascii="Arial" w:hAnsi="Arial" w:cs="Arial"/>
          <w:sz w:val="22"/>
          <w:szCs w:val="22"/>
        </w:rPr>
        <w:t>cent of activity and 9</w:t>
      </w:r>
      <w:r w:rsidR="00487BE1" w:rsidRPr="00414A6D">
        <w:rPr>
          <w:rFonts w:ascii="Arial" w:hAnsi="Arial" w:cs="Arial"/>
          <w:sz w:val="22"/>
          <w:szCs w:val="22"/>
        </w:rPr>
        <w:t>7.5</w:t>
      </w:r>
      <w:r w:rsidRPr="00414A6D">
        <w:rPr>
          <w:rFonts w:ascii="Arial" w:hAnsi="Arial" w:cs="Arial"/>
          <w:sz w:val="22"/>
          <w:szCs w:val="22"/>
        </w:rPr>
        <w:t xml:space="preserve"> per cent of cost. </w:t>
      </w:r>
      <w:r w:rsidR="00344E9B">
        <w:rPr>
          <w:rFonts w:ascii="Arial" w:hAnsi="Arial" w:cs="Arial"/>
          <w:sz w:val="22"/>
          <w:szCs w:val="22"/>
        </w:rPr>
        <w:t>T</w:t>
      </w:r>
      <w:r w:rsidRPr="00414A6D">
        <w:rPr>
          <w:rFonts w:ascii="Arial" w:hAnsi="Arial" w:cs="Arial"/>
          <w:sz w:val="22"/>
          <w:szCs w:val="22"/>
        </w:rPr>
        <w:t>he NHS BPT determined that episodes need to be assigned to specified hip fracture Health Resource Groups as part of the eligibility criteria for receiving the premium payment</w:t>
      </w:r>
      <w:r w:rsidR="00344E9B">
        <w:rPr>
          <w:rFonts w:ascii="Arial" w:hAnsi="Arial" w:cs="Arial"/>
          <w:sz w:val="22"/>
          <w:szCs w:val="22"/>
        </w:rPr>
        <w:t xml:space="preserve"> (Appendix E)</w:t>
      </w:r>
      <w:r w:rsidRPr="00414A6D">
        <w:rPr>
          <w:rFonts w:ascii="Arial" w:hAnsi="Arial" w:cs="Arial"/>
          <w:sz w:val="22"/>
          <w:szCs w:val="22"/>
        </w:rPr>
        <w:t>.</w:t>
      </w:r>
    </w:p>
    <w:p w14:paraId="16BAAF64" w14:textId="77777777" w:rsidR="00DC41F7" w:rsidRPr="00414A6D" w:rsidRDefault="00DC41F7" w:rsidP="00CC1BB0">
      <w:pPr>
        <w:jc w:val="both"/>
        <w:rPr>
          <w:rFonts w:ascii="Arial" w:hAnsi="Arial" w:cs="Arial"/>
          <w:sz w:val="22"/>
          <w:szCs w:val="22"/>
        </w:rPr>
      </w:pPr>
    </w:p>
    <w:p w14:paraId="12E75A69" w14:textId="77777777" w:rsidR="00DC41F7" w:rsidRPr="00414A6D" w:rsidRDefault="00DC41F7" w:rsidP="00597945">
      <w:pPr>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therefore recommended that in establishing a best-practice price, IHPA should have regard to limiting the number of AR-DRGs eligible to receive the best-practice price incentive to the top four AR-DRGs</w:t>
      </w:r>
      <w:r w:rsidR="0074152C" w:rsidRPr="00414A6D">
        <w:rPr>
          <w:rFonts w:ascii="Arial" w:hAnsi="Arial" w:cs="Arial"/>
          <w:sz w:val="22"/>
          <w:szCs w:val="22"/>
        </w:rPr>
        <w:t>.</w:t>
      </w:r>
      <w:r w:rsidRPr="00414A6D">
        <w:rPr>
          <w:rFonts w:ascii="Arial" w:hAnsi="Arial" w:cs="Arial"/>
          <w:sz w:val="22"/>
          <w:szCs w:val="22"/>
        </w:rPr>
        <w:t xml:space="preserve"> </w:t>
      </w:r>
    </w:p>
    <w:p w14:paraId="508421C5" w14:textId="77777777" w:rsidR="00E20CC5" w:rsidRPr="00414A6D" w:rsidRDefault="00E20CC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3:</w:t>
      </w:r>
      <w:r w:rsidRPr="00414A6D">
        <w:rPr>
          <w:rFonts w:ascii="Arial" w:hAnsi="Arial" w:cs="Arial"/>
          <w:sz w:val="22"/>
          <w:szCs w:val="22"/>
        </w:rPr>
        <w:t xml:space="preserve">  IHPA, in its national price setting role, should consider implementation of a best-practice pricing model for hip fracture care. This should include:</w:t>
      </w:r>
    </w:p>
    <w:p w14:paraId="7810622C" w14:textId="77777777" w:rsidR="00E20CC5" w:rsidRPr="00414A6D" w:rsidRDefault="00E20CC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sz w:val="22"/>
          <w:szCs w:val="22"/>
        </w:rPr>
        <w:t xml:space="preserve">• Targeting the acute episode of care in public hospitals for people aged 50 years and over; </w:t>
      </w:r>
    </w:p>
    <w:p w14:paraId="2793297F" w14:textId="77777777" w:rsidR="00E20CC5" w:rsidRPr="00414A6D" w:rsidRDefault="00E20CC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sz w:val="22"/>
          <w:szCs w:val="22"/>
        </w:rPr>
        <w:t xml:space="preserve">• Targeting episodes with a hip fracture diagnosis code as specified in Table </w:t>
      </w:r>
      <w:r w:rsidR="0018750E" w:rsidRPr="00414A6D">
        <w:rPr>
          <w:rFonts w:ascii="Arial" w:hAnsi="Arial" w:cs="Arial"/>
          <w:sz w:val="22"/>
          <w:szCs w:val="22"/>
        </w:rPr>
        <w:t>F1</w:t>
      </w:r>
      <w:r w:rsidRPr="00414A6D">
        <w:rPr>
          <w:rFonts w:ascii="Arial" w:hAnsi="Arial" w:cs="Arial"/>
          <w:sz w:val="22"/>
          <w:szCs w:val="22"/>
        </w:rPr>
        <w:t>,</w:t>
      </w:r>
      <w:r w:rsidR="00CD7BD3" w:rsidRPr="00414A6D">
        <w:rPr>
          <w:rFonts w:ascii="Arial" w:hAnsi="Arial" w:cs="Arial"/>
          <w:sz w:val="22"/>
          <w:szCs w:val="22"/>
        </w:rPr>
        <w:t xml:space="preserve"> </w:t>
      </w:r>
      <w:r w:rsidRPr="00414A6D">
        <w:rPr>
          <w:rFonts w:ascii="Arial" w:hAnsi="Arial" w:cs="Arial"/>
          <w:sz w:val="22"/>
          <w:szCs w:val="22"/>
        </w:rPr>
        <w:t xml:space="preserve">Appendix </w:t>
      </w:r>
      <w:r w:rsidR="00735A68" w:rsidRPr="00414A6D">
        <w:rPr>
          <w:rFonts w:ascii="Arial" w:hAnsi="Arial" w:cs="Arial"/>
          <w:sz w:val="22"/>
          <w:szCs w:val="22"/>
        </w:rPr>
        <w:t>F</w:t>
      </w:r>
      <w:r w:rsidRPr="00414A6D">
        <w:rPr>
          <w:rFonts w:ascii="Arial" w:hAnsi="Arial" w:cs="Arial"/>
          <w:sz w:val="22"/>
          <w:szCs w:val="22"/>
        </w:rPr>
        <w:t xml:space="preserve"> as a principal diagnosis; </w:t>
      </w:r>
    </w:p>
    <w:p w14:paraId="53ABBC2F" w14:textId="77777777" w:rsidR="00E20CC5" w:rsidRPr="00414A6D" w:rsidRDefault="00E20CC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sz w:val="22"/>
          <w:szCs w:val="22"/>
        </w:rPr>
        <w:t xml:space="preserve">• Excluding multiple trauma events as specified in Table </w:t>
      </w:r>
      <w:r w:rsidR="0018750E" w:rsidRPr="00414A6D">
        <w:rPr>
          <w:rFonts w:ascii="Arial" w:hAnsi="Arial" w:cs="Arial"/>
          <w:sz w:val="22"/>
          <w:szCs w:val="22"/>
        </w:rPr>
        <w:t>F4</w:t>
      </w:r>
      <w:r w:rsidRPr="00414A6D">
        <w:rPr>
          <w:rFonts w:ascii="Arial" w:hAnsi="Arial" w:cs="Arial"/>
          <w:sz w:val="22"/>
          <w:szCs w:val="22"/>
        </w:rPr>
        <w:t xml:space="preserve">, Appendix </w:t>
      </w:r>
      <w:r w:rsidR="00735A68" w:rsidRPr="00414A6D">
        <w:rPr>
          <w:rFonts w:ascii="Arial" w:hAnsi="Arial" w:cs="Arial"/>
          <w:sz w:val="22"/>
          <w:szCs w:val="22"/>
        </w:rPr>
        <w:t>F</w:t>
      </w:r>
      <w:r w:rsidRPr="00414A6D">
        <w:rPr>
          <w:rFonts w:ascii="Arial" w:hAnsi="Arial" w:cs="Arial"/>
          <w:sz w:val="22"/>
          <w:szCs w:val="22"/>
        </w:rPr>
        <w:t xml:space="preserve">; </w:t>
      </w:r>
    </w:p>
    <w:p w14:paraId="7E5F491D" w14:textId="77777777" w:rsidR="00E20CC5" w:rsidRPr="00414A6D" w:rsidRDefault="00E20CC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trike/>
          <w:sz w:val="22"/>
          <w:szCs w:val="22"/>
        </w:rPr>
      </w:pPr>
      <w:r w:rsidRPr="00414A6D">
        <w:rPr>
          <w:rFonts w:ascii="Arial" w:hAnsi="Arial" w:cs="Arial"/>
          <w:sz w:val="22"/>
          <w:szCs w:val="22"/>
        </w:rPr>
        <w:t xml:space="preserve">• Targeting episodes that have hip fracture surgery as specified in Table </w:t>
      </w:r>
      <w:r w:rsidR="0018750E" w:rsidRPr="00414A6D">
        <w:rPr>
          <w:rFonts w:ascii="Arial" w:hAnsi="Arial" w:cs="Arial"/>
          <w:sz w:val="22"/>
          <w:szCs w:val="22"/>
        </w:rPr>
        <w:t>F6</w:t>
      </w:r>
      <w:r w:rsidRPr="00414A6D">
        <w:rPr>
          <w:rFonts w:ascii="Arial" w:hAnsi="Arial" w:cs="Arial"/>
          <w:sz w:val="22"/>
          <w:szCs w:val="22"/>
        </w:rPr>
        <w:t>, Appendix </w:t>
      </w:r>
      <w:r w:rsidR="00735A68" w:rsidRPr="00414A6D">
        <w:rPr>
          <w:rFonts w:ascii="Arial" w:hAnsi="Arial" w:cs="Arial"/>
          <w:sz w:val="22"/>
          <w:szCs w:val="22"/>
        </w:rPr>
        <w:t>F</w:t>
      </w:r>
      <w:r w:rsidRPr="00414A6D">
        <w:rPr>
          <w:rFonts w:ascii="Arial" w:hAnsi="Arial" w:cs="Arial"/>
          <w:sz w:val="22"/>
          <w:szCs w:val="22"/>
        </w:rPr>
        <w:t xml:space="preserve">; </w:t>
      </w:r>
    </w:p>
    <w:p w14:paraId="2884C8E9" w14:textId="3E5117B3" w:rsidR="00E20CC5" w:rsidRPr="00414A6D" w:rsidRDefault="00E20CC5"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sz w:val="22"/>
          <w:szCs w:val="22"/>
        </w:rPr>
        <w:t>• Targeting episodes assigned to the AR</w:t>
      </w:r>
      <w:r w:rsidRPr="00414A6D">
        <w:rPr>
          <w:rFonts w:ascii="Arial" w:hAnsi="Arial" w:cs="Arial"/>
          <w:sz w:val="22"/>
          <w:szCs w:val="22"/>
        </w:rPr>
        <w:noBreakHyphen/>
        <w:t xml:space="preserve">DRGs </w:t>
      </w:r>
      <w:r w:rsidR="00BC3567" w:rsidRPr="00414A6D">
        <w:rPr>
          <w:rFonts w:ascii="Arial" w:hAnsi="Arial" w:cs="Arial"/>
          <w:sz w:val="22"/>
          <w:szCs w:val="22"/>
        </w:rPr>
        <w:t xml:space="preserve">I03A, I03B, I08A, </w:t>
      </w:r>
      <w:r w:rsidR="00686288" w:rsidRPr="00414A6D">
        <w:rPr>
          <w:rFonts w:ascii="Arial" w:hAnsi="Arial" w:cs="Arial"/>
          <w:sz w:val="22"/>
          <w:szCs w:val="22"/>
        </w:rPr>
        <w:t>and I08B</w:t>
      </w:r>
      <w:r w:rsidR="00BC3567" w:rsidRPr="00414A6D">
        <w:rPr>
          <w:rFonts w:ascii="Arial" w:hAnsi="Arial" w:cs="Arial"/>
          <w:sz w:val="22"/>
          <w:szCs w:val="22"/>
        </w:rPr>
        <w:t xml:space="preserve"> </w:t>
      </w:r>
      <w:r w:rsidRPr="00414A6D">
        <w:rPr>
          <w:rFonts w:ascii="Arial" w:hAnsi="Arial" w:cs="Arial"/>
          <w:sz w:val="22"/>
          <w:szCs w:val="22"/>
        </w:rPr>
        <w:t xml:space="preserve">that account for the majority of patients. </w:t>
      </w:r>
    </w:p>
    <w:p w14:paraId="091C515D" w14:textId="77777777" w:rsidR="008C0939" w:rsidRPr="00414A6D" w:rsidRDefault="008C0939" w:rsidP="00370A06">
      <w:pPr>
        <w:jc w:val="both"/>
        <w:rPr>
          <w:rFonts w:ascii="Arial" w:hAnsi="Arial" w:cs="Arial"/>
          <w:sz w:val="22"/>
          <w:szCs w:val="22"/>
        </w:rPr>
      </w:pPr>
    </w:p>
    <w:p w14:paraId="1E6A1189" w14:textId="77777777" w:rsidR="003D1404" w:rsidRPr="00414A6D" w:rsidRDefault="003D1404" w:rsidP="00370A06">
      <w:pPr>
        <w:jc w:val="both"/>
        <w:rPr>
          <w:rFonts w:ascii="Arial" w:hAnsi="Arial" w:cs="Arial"/>
          <w:sz w:val="22"/>
          <w:szCs w:val="22"/>
        </w:rPr>
      </w:pPr>
      <w:r w:rsidRPr="00414A6D">
        <w:rPr>
          <w:rFonts w:ascii="Arial" w:hAnsi="Arial" w:cs="Arial"/>
          <w:sz w:val="22"/>
          <w:szCs w:val="22"/>
        </w:rPr>
        <w:t xml:space="preserve">In 2012-13 there were 20,761 acute hip fracture separations in public hospitals nationally at a total cost of $349.3 million. </w:t>
      </w:r>
      <w:r w:rsidR="00A2243D" w:rsidRPr="00414A6D">
        <w:rPr>
          <w:rFonts w:ascii="Arial" w:hAnsi="Arial" w:cs="Arial"/>
          <w:sz w:val="22"/>
          <w:szCs w:val="22"/>
        </w:rPr>
        <w:t>I</w:t>
      </w:r>
      <w:r w:rsidRPr="00414A6D">
        <w:rPr>
          <w:rFonts w:ascii="Arial" w:hAnsi="Arial" w:cs="Arial"/>
          <w:sz w:val="22"/>
          <w:szCs w:val="22"/>
        </w:rPr>
        <w:t>f these criteria were used to establish an initial hip fracture cohort then best-practice pricing would apply to 1</w:t>
      </w:r>
      <w:r w:rsidR="00A2243D" w:rsidRPr="00414A6D">
        <w:rPr>
          <w:rFonts w:ascii="Arial" w:hAnsi="Arial" w:cs="Arial"/>
          <w:sz w:val="22"/>
          <w:szCs w:val="22"/>
        </w:rPr>
        <w:t>3,914</w:t>
      </w:r>
      <w:r w:rsidRPr="00414A6D">
        <w:rPr>
          <w:rFonts w:ascii="Arial" w:hAnsi="Arial" w:cs="Arial"/>
          <w:sz w:val="22"/>
          <w:szCs w:val="22"/>
        </w:rPr>
        <w:t xml:space="preserve"> separations at a total cost of $2</w:t>
      </w:r>
      <w:r w:rsidR="00A2243D" w:rsidRPr="00414A6D">
        <w:rPr>
          <w:rFonts w:ascii="Arial" w:hAnsi="Arial" w:cs="Arial"/>
          <w:sz w:val="22"/>
          <w:szCs w:val="22"/>
        </w:rPr>
        <w:t>58.2</w:t>
      </w:r>
      <w:r w:rsidR="00BF2B1A" w:rsidRPr="00414A6D">
        <w:rPr>
          <w:rFonts w:ascii="Arial" w:hAnsi="Arial" w:cs="Arial"/>
          <w:sz w:val="22"/>
          <w:szCs w:val="22"/>
        </w:rPr>
        <w:t> </w:t>
      </w:r>
      <w:r w:rsidRPr="00414A6D">
        <w:rPr>
          <w:rFonts w:ascii="Arial" w:hAnsi="Arial" w:cs="Arial"/>
          <w:sz w:val="22"/>
          <w:szCs w:val="22"/>
        </w:rPr>
        <w:t xml:space="preserve">million. </w:t>
      </w:r>
    </w:p>
    <w:p w14:paraId="662F89D0" w14:textId="77777777" w:rsidR="00CD7BD3" w:rsidRPr="00414A6D" w:rsidRDefault="00CD7BD3" w:rsidP="00597945">
      <w:pPr>
        <w:jc w:val="both"/>
        <w:rPr>
          <w:rFonts w:ascii="Arial" w:hAnsi="Arial" w:cs="Arial"/>
          <w:b/>
          <w:bCs/>
          <w:iCs/>
          <w:sz w:val="22"/>
          <w:szCs w:val="28"/>
        </w:rPr>
      </w:pPr>
    </w:p>
    <w:p w14:paraId="48C6D09F" w14:textId="067AFBD4" w:rsidR="000455E1" w:rsidRPr="002F47AE" w:rsidRDefault="00261503" w:rsidP="00112D48">
      <w:pPr>
        <w:pStyle w:val="Heading2"/>
        <w:numPr>
          <w:ilvl w:val="0"/>
          <w:numId w:val="0"/>
        </w:numPr>
        <w:tabs>
          <w:tab w:val="left" w:pos="2633"/>
        </w:tabs>
        <w:spacing w:before="120"/>
        <w:ind w:left="227"/>
        <w:rPr>
          <w:i w:val="0"/>
          <w:sz w:val="22"/>
        </w:rPr>
      </w:pPr>
      <w:bookmarkStart w:id="23" w:name="_Toc426633808"/>
      <w:r w:rsidRPr="002F47AE">
        <w:rPr>
          <w:i w:val="0"/>
          <w:sz w:val="22"/>
        </w:rPr>
        <w:t>4</w:t>
      </w:r>
      <w:r w:rsidR="000455E1" w:rsidRPr="002F47AE">
        <w:rPr>
          <w:i w:val="0"/>
          <w:sz w:val="22"/>
        </w:rPr>
        <w:t>.3 Costing and pricing best-practice hip fracture care</w:t>
      </w:r>
      <w:bookmarkEnd w:id="23"/>
    </w:p>
    <w:p w14:paraId="0E3E385C" w14:textId="357B64F1" w:rsidR="004457E4" w:rsidRPr="00414A6D" w:rsidRDefault="004457E4" w:rsidP="004457E4">
      <w:pPr>
        <w:rPr>
          <w:rFonts w:ascii="Arial" w:hAnsi="Arial" w:cs="Arial"/>
          <w:sz w:val="22"/>
          <w:szCs w:val="22"/>
        </w:rPr>
      </w:pPr>
      <w:r w:rsidRPr="00414A6D">
        <w:rPr>
          <w:rFonts w:ascii="Arial" w:hAnsi="Arial" w:cs="Arial"/>
          <w:sz w:val="22"/>
          <w:szCs w:val="22"/>
        </w:rPr>
        <w:t xml:space="preserve">The next steps in a national </w:t>
      </w:r>
      <w:r w:rsidR="00346B84" w:rsidRPr="00414A6D">
        <w:rPr>
          <w:rFonts w:ascii="Arial" w:hAnsi="Arial" w:cs="Arial"/>
          <w:sz w:val="22"/>
          <w:szCs w:val="22"/>
        </w:rPr>
        <w:t>best-practice</w:t>
      </w:r>
      <w:r w:rsidRPr="00414A6D">
        <w:rPr>
          <w:rFonts w:ascii="Arial" w:hAnsi="Arial" w:cs="Arial"/>
          <w:sz w:val="22"/>
          <w:szCs w:val="22"/>
        </w:rPr>
        <w:t xml:space="preserve"> pricing model after determining an initial target hip fracture cohort are to cost and price the best-practice </w:t>
      </w:r>
      <w:r w:rsidR="00254F72" w:rsidRPr="00414A6D">
        <w:rPr>
          <w:rFonts w:ascii="Arial" w:hAnsi="Arial" w:cs="Arial"/>
          <w:sz w:val="22"/>
          <w:szCs w:val="22"/>
        </w:rPr>
        <w:t>delivery of admitted acute care</w:t>
      </w:r>
      <w:r w:rsidRPr="00414A6D">
        <w:rPr>
          <w:rFonts w:ascii="Arial" w:hAnsi="Arial" w:cs="Arial"/>
          <w:sz w:val="22"/>
          <w:szCs w:val="22"/>
        </w:rPr>
        <w:t xml:space="preserve">. </w:t>
      </w:r>
    </w:p>
    <w:p w14:paraId="0404D7AD" w14:textId="77777777" w:rsidR="00B96709" w:rsidRPr="00414A6D" w:rsidRDefault="00B96709">
      <w:pPr>
        <w:rPr>
          <w:rFonts w:ascii="Arial" w:hAnsi="Arial" w:cs="Arial"/>
          <w:b/>
          <w:sz w:val="22"/>
          <w:szCs w:val="22"/>
        </w:rPr>
      </w:pPr>
    </w:p>
    <w:p w14:paraId="48D2A871" w14:textId="0B578F62" w:rsidR="004457E4" w:rsidRPr="00414A6D" w:rsidRDefault="00261503" w:rsidP="00142AF0">
      <w:pPr>
        <w:ind w:left="397"/>
        <w:rPr>
          <w:rFonts w:ascii="Arial" w:hAnsi="Arial" w:cs="Arial"/>
          <w:b/>
          <w:sz w:val="22"/>
          <w:szCs w:val="22"/>
        </w:rPr>
      </w:pPr>
      <w:r>
        <w:rPr>
          <w:rFonts w:ascii="Arial" w:hAnsi="Arial" w:cs="Arial"/>
          <w:b/>
          <w:sz w:val="22"/>
          <w:szCs w:val="22"/>
        </w:rPr>
        <w:t>4</w:t>
      </w:r>
      <w:r w:rsidR="004457E4" w:rsidRPr="00414A6D">
        <w:rPr>
          <w:rFonts w:ascii="Arial" w:hAnsi="Arial" w:cs="Arial"/>
          <w:b/>
          <w:sz w:val="22"/>
          <w:szCs w:val="22"/>
        </w:rPr>
        <w:t>.3.1 The incremental cost of best-practice hip fracture care</w:t>
      </w:r>
    </w:p>
    <w:p w14:paraId="5494D16A" w14:textId="77777777" w:rsidR="00A155DD" w:rsidRPr="00414A6D" w:rsidRDefault="00A155DD" w:rsidP="00CC1BB0">
      <w:pPr>
        <w:jc w:val="both"/>
        <w:rPr>
          <w:rFonts w:ascii="Arial" w:hAnsi="Arial" w:cs="Arial"/>
          <w:sz w:val="22"/>
          <w:szCs w:val="22"/>
        </w:rPr>
      </w:pPr>
      <w:r w:rsidRPr="00414A6D">
        <w:rPr>
          <w:rFonts w:ascii="Arial" w:hAnsi="Arial" w:cs="Arial"/>
          <w:sz w:val="22"/>
          <w:szCs w:val="22"/>
        </w:rPr>
        <w:t>Costing best-practice care may be undertaken through analysing existing data collections with the potential to augment this analysis with detailed investigations into the costs of providing best-practice care at the hospital level. The key challenge to overcome in costing best-practice care will be costing the elements of care that are not readily captured in existing data collections.</w:t>
      </w:r>
    </w:p>
    <w:p w14:paraId="6C32AB98" w14:textId="77777777" w:rsidR="00A155DD" w:rsidRPr="00414A6D" w:rsidRDefault="00A155DD" w:rsidP="00CC1BB0">
      <w:pPr>
        <w:jc w:val="both"/>
        <w:rPr>
          <w:rFonts w:ascii="Arial" w:hAnsi="Arial" w:cs="Arial"/>
          <w:sz w:val="22"/>
          <w:szCs w:val="22"/>
        </w:rPr>
      </w:pPr>
    </w:p>
    <w:p w14:paraId="6EEDC91F" w14:textId="77777777" w:rsidR="00A155DD" w:rsidRPr="00414A6D" w:rsidRDefault="00A155DD" w:rsidP="00CC1BB0">
      <w:pPr>
        <w:jc w:val="both"/>
        <w:rPr>
          <w:rFonts w:ascii="Arial" w:hAnsi="Arial" w:cs="Arial"/>
          <w:sz w:val="22"/>
          <w:szCs w:val="22"/>
        </w:rPr>
      </w:pPr>
      <w:r w:rsidRPr="00414A6D">
        <w:rPr>
          <w:rFonts w:ascii="Arial" w:hAnsi="Arial" w:cs="Arial"/>
          <w:sz w:val="22"/>
          <w:szCs w:val="22"/>
        </w:rPr>
        <w:t xml:space="preserve">IHPA would then establish the incremental cost for </w:t>
      </w:r>
      <w:r w:rsidR="00A2243D" w:rsidRPr="00414A6D">
        <w:rPr>
          <w:rFonts w:ascii="Arial" w:hAnsi="Arial" w:cs="Arial"/>
          <w:sz w:val="22"/>
          <w:szCs w:val="22"/>
        </w:rPr>
        <w:t xml:space="preserve">best-practice care for </w:t>
      </w:r>
      <w:r w:rsidRPr="00414A6D">
        <w:rPr>
          <w:rFonts w:ascii="Arial" w:hAnsi="Arial" w:cs="Arial"/>
          <w:sz w:val="22"/>
          <w:szCs w:val="22"/>
        </w:rPr>
        <w:t>the target hip fracture cohort</w:t>
      </w:r>
      <w:r w:rsidR="006A2F68" w:rsidRPr="00414A6D">
        <w:rPr>
          <w:rFonts w:ascii="Arial" w:hAnsi="Arial" w:cs="Arial"/>
          <w:sz w:val="22"/>
          <w:szCs w:val="22"/>
        </w:rPr>
        <w:t>,</w:t>
      </w:r>
      <w:r w:rsidRPr="00414A6D">
        <w:rPr>
          <w:rFonts w:ascii="Arial" w:hAnsi="Arial" w:cs="Arial"/>
          <w:sz w:val="22"/>
          <w:szCs w:val="22"/>
        </w:rPr>
        <w:t xml:space="preserve"> </w:t>
      </w:r>
      <w:proofErr w:type="gramStart"/>
      <w:r w:rsidRPr="00414A6D">
        <w:rPr>
          <w:rFonts w:ascii="Arial" w:hAnsi="Arial" w:cs="Arial"/>
          <w:sz w:val="22"/>
          <w:szCs w:val="22"/>
        </w:rPr>
        <w:t>th</w:t>
      </w:r>
      <w:r w:rsidR="006A2F68" w:rsidRPr="00414A6D">
        <w:rPr>
          <w:rFonts w:ascii="Arial" w:hAnsi="Arial" w:cs="Arial"/>
          <w:sz w:val="22"/>
          <w:szCs w:val="22"/>
        </w:rPr>
        <w:t>en</w:t>
      </w:r>
      <w:proofErr w:type="gramEnd"/>
      <w:r w:rsidRPr="00414A6D">
        <w:rPr>
          <w:rFonts w:ascii="Arial" w:hAnsi="Arial" w:cs="Arial"/>
          <w:sz w:val="22"/>
          <w:szCs w:val="22"/>
        </w:rPr>
        <w:t xml:space="preserve"> compar</w:t>
      </w:r>
      <w:r w:rsidR="006A2F68" w:rsidRPr="00414A6D">
        <w:rPr>
          <w:rFonts w:ascii="Arial" w:hAnsi="Arial" w:cs="Arial"/>
          <w:sz w:val="22"/>
          <w:szCs w:val="22"/>
        </w:rPr>
        <w:t>e</w:t>
      </w:r>
      <w:r w:rsidRPr="00414A6D">
        <w:rPr>
          <w:rFonts w:ascii="Arial" w:hAnsi="Arial" w:cs="Arial"/>
          <w:sz w:val="22"/>
          <w:szCs w:val="22"/>
        </w:rPr>
        <w:t xml:space="preserve"> the cost of best-practice care to the average cost of care. The incremental cost may be higher than, lower than or the same as the average cost of care.</w:t>
      </w:r>
    </w:p>
    <w:p w14:paraId="3349A179" w14:textId="77777777" w:rsidR="00A155DD" w:rsidRPr="00414A6D" w:rsidRDefault="00A155DD" w:rsidP="00CC1BB0">
      <w:pPr>
        <w:jc w:val="both"/>
        <w:rPr>
          <w:rFonts w:ascii="Arial" w:hAnsi="Arial" w:cs="Arial"/>
          <w:sz w:val="22"/>
          <w:szCs w:val="22"/>
        </w:rPr>
      </w:pPr>
    </w:p>
    <w:p w14:paraId="2AC4787F" w14:textId="77777777" w:rsidR="004457E4" w:rsidRPr="00414A6D" w:rsidRDefault="00A155DD" w:rsidP="00CC1BB0">
      <w:pPr>
        <w:spacing w:after="120"/>
        <w:jc w:val="both"/>
        <w:rPr>
          <w:rFonts w:ascii="Arial" w:hAnsi="Arial" w:cs="Arial"/>
          <w:sz w:val="22"/>
          <w:szCs w:val="22"/>
        </w:rPr>
      </w:pPr>
      <w:r w:rsidRPr="00414A6D">
        <w:rPr>
          <w:rFonts w:ascii="Arial" w:hAnsi="Arial" w:cs="Arial"/>
          <w:sz w:val="22"/>
          <w:szCs w:val="22"/>
        </w:rPr>
        <w:t>For example, if delivering best-practice care required a number of hospitals to increase the health and medical workforce for hip fracture care or invest in new data collection systems, then the incremental cost may be higher than the average cost, at least in the initial years. Conversely, reducing time to surgery (with a flow-on effect of decreasing length of stay) may result in an incremental cost that is lower than the average cost because length of stay is a major cost driver.</w:t>
      </w:r>
    </w:p>
    <w:p w14:paraId="4E4F7C4C" w14:textId="77777777" w:rsidR="00FC6849" w:rsidRPr="00414A6D" w:rsidRDefault="00FC6849" w:rsidP="00FC6849">
      <w:pPr>
        <w:jc w:val="both"/>
        <w:rPr>
          <w:rFonts w:ascii="Arial" w:hAnsi="Arial" w:cs="Arial"/>
          <w:sz w:val="22"/>
          <w:szCs w:val="22"/>
        </w:rPr>
      </w:pPr>
      <w:r w:rsidRPr="00414A6D">
        <w:rPr>
          <w:rFonts w:ascii="Arial" w:hAnsi="Arial" w:cs="Arial"/>
          <w:sz w:val="22"/>
          <w:szCs w:val="22"/>
        </w:rPr>
        <w:t>Understanding whether the incremental cost of best-practice care is higher, lower or the same as the average cost is important because incremental cost will inform the best</w:t>
      </w:r>
      <w:r w:rsidRPr="00414A6D">
        <w:rPr>
          <w:rFonts w:ascii="Arial" w:hAnsi="Arial" w:cs="Arial"/>
          <w:sz w:val="22"/>
          <w:szCs w:val="22"/>
        </w:rPr>
        <w:noBreakHyphen/>
        <w:t>practice incentive price differential</w:t>
      </w:r>
      <w:r w:rsidR="000218EA" w:rsidRPr="00414A6D">
        <w:rPr>
          <w:rFonts w:ascii="Arial" w:hAnsi="Arial" w:cs="Arial"/>
          <w:sz w:val="22"/>
          <w:szCs w:val="22"/>
        </w:rPr>
        <w:t xml:space="preserve">. If </w:t>
      </w:r>
      <w:r w:rsidRPr="00414A6D">
        <w:rPr>
          <w:rFonts w:ascii="Arial" w:hAnsi="Arial" w:cs="Arial"/>
          <w:sz w:val="22"/>
          <w:szCs w:val="22"/>
        </w:rPr>
        <w:t xml:space="preserve">the incremental cost is lower than </w:t>
      </w:r>
      <w:r w:rsidR="00080DEA" w:rsidRPr="00414A6D">
        <w:rPr>
          <w:rFonts w:ascii="Arial" w:hAnsi="Arial" w:cs="Arial"/>
          <w:sz w:val="22"/>
          <w:szCs w:val="22"/>
        </w:rPr>
        <w:t xml:space="preserve">the </w:t>
      </w:r>
      <w:r w:rsidRPr="00414A6D">
        <w:rPr>
          <w:rFonts w:ascii="Arial" w:hAnsi="Arial" w:cs="Arial"/>
          <w:sz w:val="22"/>
          <w:szCs w:val="22"/>
        </w:rPr>
        <w:t>average cost, the way in which the incentive price differential is determined</w:t>
      </w:r>
      <w:r w:rsidR="000218EA" w:rsidRPr="00414A6D">
        <w:rPr>
          <w:rFonts w:ascii="Arial" w:hAnsi="Arial" w:cs="Arial"/>
          <w:sz w:val="22"/>
          <w:szCs w:val="22"/>
        </w:rPr>
        <w:t xml:space="preserve"> will be different because adjustments to the NEP are normally based on empirical cost differences.</w:t>
      </w:r>
    </w:p>
    <w:p w14:paraId="5A60597B" w14:textId="77777777" w:rsidR="0012066A" w:rsidRPr="00414A6D" w:rsidRDefault="0012066A" w:rsidP="00CC1BB0">
      <w:pPr>
        <w:spacing w:after="120"/>
        <w:jc w:val="both"/>
        <w:rPr>
          <w:rFonts w:ascii="Arial" w:hAnsi="Arial" w:cs="Arial"/>
          <w:sz w:val="22"/>
          <w:szCs w:val="22"/>
        </w:rPr>
      </w:pPr>
    </w:p>
    <w:p w14:paraId="3D55B6C6" w14:textId="4403D80C" w:rsidR="004457E4" w:rsidRPr="00414A6D" w:rsidRDefault="00261503" w:rsidP="00142AF0">
      <w:pPr>
        <w:ind w:left="397"/>
        <w:rPr>
          <w:rFonts w:ascii="Arial" w:hAnsi="Arial" w:cs="Arial"/>
          <w:b/>
          <w:sz w:val="22"/>
          <w:szCs w:val="22"/>
        </w:rPr>
      </w:pPr>
      <w:r>
        <w:rPr>
          <w:rFonts w:ascii="Arial" w:hAnsi="Arial" w:cs="Arial"/>
          <w:b/>
          <w:sz w:val="22"/>
          <w:szCs w:val="22"/>
        </w:rPr>
        <w:t>4</w:t>
      </w:r>
      <w:r w:rsidR="004457E4" w:rsidRPr="00414A6D">
        <w:rPr>
          <w:rFonts w:ascii="Arial" w:hAnsi="Arial" w:cs="Arial"/>
          <w:b/>
          <w:sz w:val="22"/>
          <w:szCs w:val="22"/>
        </w:rPr>
        <w:t>.3.2 Pricing best-practice hip fracture care</w:t>
      </w:r>
    </w:p>
    <w:p w14:paraId="1C51A3C5" w14:textId="77777777" w:rsidR="00A155DD" w:rsidRPr="00414A6D" w:rsidRDefault="00A155DD" w:rsidP="00CC1BB0">
      <w:pPr>
        <w:jc w:val="both"/>
        <w:rPr>
          <w:rFonts w:ascii="Arial" w:hAnsi="Arial" w:cs="Arial"/>
          <w:sz w:val="22"/>
          <w:szCs w:val="22"/>
        </w:rPr>
      </w:pPr>
      <w:r w:rsidRPr="00414A6D">
        <w:rPr>
          <w:rFonts w:ascii="Arial" w:hAnsi="Arial" w:cs="Arial"/>
          <w:sz w:val="22"/>
          <w:szCs w:val="22"/>
        </w:rPr>
        <w:t xml:space="preserve">IHPA’s existing pricing approach includes a number of price adjustments where there are material patient-based empirical cost differences that are </w:t>
      </w:r>
      <w:r w:rsidR="00261826" w:rsidRPr="00414A6D">
        <w:rPr>
          <w:rFonts w:ascii="Arial" w:hAnsi="Arial" w:cs="Arial"/>
          <w:sz w:val="22"/>
          <w:szCs w:val="22"/>
        </w:rPr>
        <w:t xml:space="preserve">not </w:t>
      </w:r>
      <w:r w:rsidR="00B51438" w:rsidRPr="00414A6D">
        <w:rPr>
          <w:rFonts w:ascii="Arial" w:hAnsi="Arial" w:cs="Arial"/>
          <w:sz w:val="22"/>
          <w:szCs w:val="22"/>
        </w:rPr>
        <w:t>adequately recognised in the classification systems (such as Indigenous status, remoteness and I</w:t>
      </w:r>
      <w:r w:rsidR="00080DEA" w:rsidRPr="00414A6D">
        <w:rPr>
          <w:rFonts w:ascii="Arial" w:hAnsi="Arial" w:cs="Arial"/>
          <w:sz w:val="22"/>
          <w:szCs w:val="22"/>
        </w:rPr>
        <w:t xml:space="preserve">ntensive Care Unit </w:t>
      </w:r>
      <w:r w:rsidR="00B51438" w:rsidRPr="00414A6D">
        <w:rPr>
          <w:rFonts w:ascii="Arial" w:hAnsi="Arial" w:cs="Arial"/>
          <w:sz w:val="22"/>
          <w:szCs w:val="22"/>
        </w:rPr>
        <w:t>usage).</w:t>
      </w:r>
      <w:r w:rsidRPr="00414A6D">
        <w:rPr>
          <w:rFonts w:ascii="Arial" w:hAnsi="Arial" w:cs="Arial"/>
          <w:sz w:val="22"/>
          <w:szCs w:val="22"/>
        </w:rPr>
        <w:t xml:space="preserve"> In establishing the best-practice pricing model, IHPA would determin</w:t>
      </w:r>
      <w:r w:rsidR="00370A06" w:rsidRPr="00414A6D">
        <w:rPr>
          <w:rFonts w:ascii="Arial" w:hAnsi="Arial" w:cs="Arial"/>
          <w:sz w:val="22"/>
          <w:szCs w:val="22"/>
        </w:rPr>
        <w:t>e a new adjustment to the NEP (</w:t>
      </w:r>
      <w:r w:rsidRPr="00414A6D">
        <w:rPr>
          <w:rFonts w:ascii="Arial" w:hAnsi="Arial" w:cs="Arial"/>
          <w:sz w:val="22"/>
          <w:szCs w:val="22"/>
        </w:rPr>
        <w:t>a best</w:t>
      </w:r>
      <w:r w:rsidRPr="00414A6D">
        <w:rPr>
          <w:rFonts w:ascii="Arial" w:hAnsi="Arial" w:cs="Arial"/>
          <w:sz w:val="22"/>
          <w:szCs w:val="22"/>
        </w:rPr>
        <w:noBreakHyphen/>
        <w:t>pr</w:t>
      </w:r>
      <w:r w:rsidR="00370A06" w:rsidRPr="00414A6D">
        <w:rPr>
          <w:rFonts w:ascii="Arial" w:hAnsi="Arial" w:cs="Arial"/>
          <w:sz w:val="22"/>
          <w:szCs w:val="22"/>
        </w:rPr>
        <w:t>actice hip fracture adjustment)</w:t>
      </w:r>
      <w:r w:rsidRPr="00414A6D">
        <w:rPr>
          <w:rFonts w:ascii="Arial" w:hAnsi="Arial" w:cs="Arial"/>
          <w:sz w:val="22"/>
          <w:szCs w:val="22"/>
        </w:rPr>
        <w:t xml:space="preserve"> that may or may not be revenue neutral.</w:t>
      </w:r>
    </w:p>
    <w:p w14:paraId="03048E3E" w14:textId="77777777" w:rsidR="00A155DD" w:rsidRPr="00414A6D" w:rsidRDefault="00A155DD" w:rsidP="00CC1BB0">
      <w:pPr>
        <w:jc w:val="both"/>
        <w:rPr>
          <w:rFonts w:ascii="Arial" w:hAnsi="Arial" w:cs="Arial"/>
          <w:sz w:val="22"/>
          <w:szCs w:val="22"/>
        </w:rPr>
      </w:pPr>
    </w:p>
    <w:p w14:paraId="60D1938C" w14:textId="77777777" w:rsidR="00A155DD" w:rsidRPr="00414A6D" w:rsidRDefault="00A155DD" w:rsidP="00CC1BB0">
      <w:pPr>
        <w:jc w:val="both"/>
        <w:rPr>
          <w:rFonts w:ascii="Arial" w:hAnsi="Arial" w:cs="Arial"/>
          <w:sz w:val="22"/>
          <w:szCs w:val="22"/>
        </w:rPr>
      </w:pPr>
      <w:r w:rsidRPr="00414A6D">
        <w:rPr>
          <w:rFonts w:ascii="Arial" w:hAnsi="Arial" w:cs="Arial"/>
          <w:sz w:val="22"/>
          <w:szCs w:val="22"/>
        </w:rPr>
        <w:t>A best-practice hip fracture adjustment wh</w:t>
      </w:r>
      <w:r w:rsidR="009C6E73" w:rsidRPr="00414A6D">
        <w:rPr>
          <w:rFonts w:ascii="Arial" w:hAnsi="Arial" w:cs="Arial"/>
          <w:sz w:val="22"/>
          <w:szCs w:val="22"/>
        </w:rPr>
        <w:t>ere the i</w:t>
      </w:r>
      <w:r w:rsidRPr="00414A6D">
        <w:rPr>
          <w:rFonts w:ascii="Arial" w:hAnsi="Arial" w:cs="Arial"/>
          <w:sz w:val="22"/>
          <w:szCs w:val="22"/>
        </w:rPr>
        <w:t xml:space="preserve">ncremental cost of best-practice care is higher than the average cost of care is consistent with the existing approach of basing adjustments on empirical cost differences. </w:t>
      </w:r>
      <w:r w:rsidR="00FC6849" w:rsidRPr="00414A6D">
        <w:rPr>
          <w:rFonts w:ascii="Arial" w:hAnsi="Arial" w:cs="Arial"/>
          <w:sz w:val="22"/>
          <w:szCs w:val="22"/>
        </w:rPr>
        <w:t>The Sub-</w:t>
      </w:r>
      <w:r w:rsidR="006A2F68" w:rsidRPr="00414A6D">
        <w:rPr>
          <w:rFonts w:ascii="Arial" w:hAnsi="Arial" w:cs="Arial"/>
          <w:sz w:val="22"/>
          <w:szCs w:val="22"/>
        </w:rPr>
        <w:t>C</w:t>
      </w:r>
      <w:r w:rsidR="00FC6849" w:rsidRPr="00414A6D">
        <w:rPr>
          <w:rFonts w:ascii="Arial" w:hAnsi="Arial" w:cs="Arial"/>
          <w:sz w:val="22"/>
          <w:szCs w:val="22"/>
        </w:rPr>
        <w:t xml:space="preserve">ommittee noted that a key learning from the NHS BPT for fragility hip fractures is that there needed to be an “incentive” price and it </w:t>
      </w:r>
      <w:r w:rsidR="00080DEA" w:rsidRPr="00414A6D">
        <w:rPr>
          <w:rFonts w:ascii="Arial" w:hAnsi="Arial" w:cs="Arial"/>
          <w:sz w:val="22"/>
          <w:szCs w:val="22"/>
        </w:rPr>
        <w:t>needed to</w:t>
      </w:r>
      <w:r w:rsidR="00FC6849" w:rsidRPr="00414A6D">
        <w:rPr>
          <w:rFonts w:ascii="Arial" w:hAnsi="Arial" w:cs="Arial"/>
          <w:sz w:val="22"/>
          <w:szCs w:val="22"/>
        </w:rPr>
        <w:t xml:space="preserve"> be material enough to encourage the service providers (both managers and clinicians) to change practices and deliver care that me</w:t>
      </w:r>
      <w:r w:rsidR="00080DEA" w:rsidRPr="00414A6D">
        <w:rPr>
          <w:rFonts w:ascii="Arial" w:hAnsi="Arial" w:cs="Arial"/>
          <w:sz w:val="22"/>
          <w:szCs w:val="22"/>
        </w:rPr>
        <w:t>t</w:t>
      </w:r>
      <w:r w:rsidR="00FC6849" w:rsidRPr="00414A6D">
        <w:rPr>
          <w:rFonts w:ascii="Arial" w:hAnsi="Arial" w:cs="Arial"/>
          <w:sz w:val="22"/>
          <w:szCs w:val="22"/>
        </w:rPr>
        <w:t xml:space="preserve"> the best-practice criteria. This scenario would require existing funds to be re-allocated from other patients, or additional funding to pay for the price adjustment.</w:t>
      </w:r>
    </w:p>
    <w:p w14:paraId="63165673" w14:textId="77777777" w:rsidR="00A155DD" w:rsidRPr="00414A6D" w:rsidRDefault="00A155DD" w:rsidP="00CC1BB0">
      <w:pPr>
        <w:jc w:val="both"/>
        <w:rPr>
          <w:rFonts w:ascii="Arial" w:hAnsi="Arial" w:cs="Arial"/>
          <w:sz w:val="22"/>
          <w:szCs w:val="22"/>
        </w:rPr>
      </w:pPr>
    </w:p>
    <w:p w14:paraId="6AFF5C88" w14:textId="77777777" w:rsidR="00B96709" w:rsidRPr="00414A6D" w:rsidRDefault="00A155DD" w:rsidP="00597945">
      <w:pPr>
        <w:jc w:val="both"/>
        <w:rPr>
          <w:rFonts w:ascii="Arial" w:hAnsi="Arial" w:cs="Arial"/>
          <w:sz w:val="22"/>
          <w:szCs w:val="22"/>
        </w:rPr>
      </w:pPr>
      <w:r w:rsidRPr="00414A6D">
        <w:rPr>
          <w:rFonts w:ascii="Arial" w:hAnsi="Arial" w:cs="Arial"/>
          <w:sz w:val="22"/>
          <w:szCs w:val="22"/>
        </w:rPr>
        <w:t xml:space="preserve">However, a best-practice hip fracture adjustment where the </w:t>
      </w:r>
      <w:r w:rsidR="009C6E73" w:rsidRPr="00414A6D">
        <w:rPr>
          <w:rFonts w:ascii="Arial" w:hAnsi="Arial" w:cs="Arial"/>
          <w:sz w:val="22"/>
          <w:szCs w:val="22"/>
        </w:rPr>
        <w:t>i</w:t>
      </w:r>
      <w:r w:rsidRPr="00414A6D">
        <w:rPr>
          <w:rFonts w:ascii="Arial" w:hAnsi="Arial" w:cs="Arial"/>
          <w:sz w:val="22"/>
          <w:szCs w:val="22"/>
        </w:rPr>
        <w:t>ncremental cost of best</w:t>
      </w:r>
      <w:r w:rsidRPr="00414A6D">
        <w:rPr>
          <w:rFonts w:ascii="Arial" w:hAnsi="Arial" w:cs="Arial"/>
          <w:sz w:val="22"/>
          <w:szCs w:val="22"/>
        </w:rPr>
        <w:noBreakHyphen/>
        <w:t xml:space="preserve">practice care is the same as or lower than the average cost of care would be a departure from the existing approach because there would not be an empirical cost differential on which to base the adjustment. </w:t>
      </w:r>
    </w:p>
    <w:p w14:paraId="618DB6AE" w14:textId="77777777" w:rsidR="008C0939" w:rsidRPr="00414A6D" w:rsidRDefault="008C0939" w:rsidP="00597945">
      <w:pPr>
        <w:jc w:val="both"/>
        <w:rPr>
          <w:rFonts w:ascii="Arial" w:hAnsi="Arial" w:cs="Arial"/>
          <w:sz w:val="22"/>
          <w:szCs w:val="22"/>
        </w:rPr>
      </w:pPr>
    </w:p>
    <w:p w14:paraId="5B131C7E" w14:textId="77777777" w:rsidR="00D2179F" w:rsidRPr="00414A6D" w:rsidRDefault="00D2179F"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4.1:</w:t>
      </w:r>
      <w:r w:rsidRPr="00414A6D">
        <w:rPr>
          <w:rFonts w:ascii="Arial" w:hAnsi="Arial" w:cs="Arial"/>
          <w:sz w:val="22"/>
          <w:szCs w:val="22"/>
        </w:rPr>
        <w:t xml:space="preserve"> IHPA should </w:t>
      </w:r>
      <w:r w:rsidR="007A32B1" w:rsidRPr="00414A6D">
        <w:rPr>
          <w:rFonts w:ascii="Arial" w:hAnsi="Arial" w:cs="Arial"/>
          <w:sz w:val="22"/>
          <w:szCs w:val="22"/>
        </w:rPr>
        <w:t>use a purpose designed study</w:t>
      </w:r>
      <w:r w:rsidR="009457C8" w:rsidRPr="00414A6D">
        <w:rPr>
          <w:rFonts w:ascii="Arial" w:hAnsi="Arial" w:cs="Arial"/>
          <w:sz w:val="22"/>
          <w:szCs w:val="22"/>
        </w:rPr>
        <w:t xml:space="preserve"> </w:t>
      </w:r>
      <w:r w:rsidR="00080DEA" w:rsidRPr="00414A6D">
        <w:rPr>
          <w:rFonts w:ascii="Arial" w:hAnsi="Arial" w:cs="Arial"/>
          <w:sz w:val="22"/>
          <w:szCs w:val="22"/>
        </w:rPr>
        <w:t xml:space="preserve">to </w:t>
      </w:r>
      <w:r w:rsidRPr="00414A6D">
        <w:rPr>
          <w:rFonts w:ascii="Arial" w:hAnsi="Arial" w:cs="Arial"/>
          <w:sz w:val="22"/>
          <w:szCs w:val="22"/>
        </w:rPr>
        <w:t>cost best</w:t>
      </w:r>
      <w:r w:rsidR="00080DEA" w:rsidRPr="00414A6D">
        <w:rPr>
          <w:rFonts w:ascii="Arial" w:hAnsi="Arial" w:cs="Arial"/>
          <w:sz w:val="22"/>
          <w:szCs w:val="22"/>
        </w:rPr>
        <w:noBreakHyphen/>
      </w:r>
      <w:r w:rsidRPr="00414A6D">
        <w:rPr>
          <w:rFonts w:ascii="Arial" w:hAnsi="Arial" w:cs="Arial"/>
          <w:sz w:val="22"/>
          <w:szCs w:val="22"/>
        </w:rPr>
        <w:t xml:space="preserve">practice hip fracture care to determine the incremental cost of </w:t>
      </w:r>
      <w:r w:rsidR="0074152C" w:rsidRPr="00414A6D">
        <w:rPr>
          <w:rFonts w:ascii="Arial" w:hAnsi="Arial" w:cs="Arial"/>
          <w:sz w:val="22"/>
          <w:szCs w:val="22"/>
        </w:rPr>
        <w:t xml:space="preserve">best-practice </w:t>
      </w:r>
      <w:r w:rsidRPr="00414A6D">
        <w:rPr>
          <w:rFonts w:ascii="Arial" w:hAnsi="Arial" w:cs="Arial"/>
          <w:sz w:val="22"/>
          <w:szCs w:val="22"/>
        </w:rPr>
        <w:t>care compared to the average cost of care.</w:t>
      </w:r>
    </w:p>
    <w:p w14:paraId="0738E4B2" w14:textId="77777777" w:rsidR="00D2179F" w:rsidRPr="00414A6D" w:rsidRDefault="00D2179F"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4.2:</w:t>
      </w:r>
      <w:r w:rsidRPr="00414A6D">
        <w:rPr>
          <w:rFonts w:ascii="Arial" w:hAnsi="Arial" w:cs="Arial"/>
          <w:b/>
          <w:sz w:val="22"/>
          <w:szCs w:val="22"/>
        </w:rPr>
        <w:tab/>
      </w:r>
      <w:r w:rsidR="009E7018" w:rsidRPr="00414A6D">
        <w:rPr>
          <w:rFonts w:ascii="Arial" w:hAnsi="Arial" w:cs="Arial"/>
          <w:sz w:val="22"/>
          <w:szCs w:val="22"/>
        </w:rPr>
        <w:t xml:space="preserve"> </w:t>
      </w:r>
      <w:r w:rsidRPr="00414A6D">
        <w:rPr>
          <w:rFonts w:ascii="Arial" w:hAnsi="Arial" w:cs="Arial"/>
          <w:sz w:val="22"/>
          <w:szCs w:val="22"/>
        </w:rPr>
        <w:t xml:space="preserve">IHPA should determine a </w:t>
      </w:r>
      <w:r w:rsidR="00BC3567" w:rsidRPr="00414A6D">
        <w:rPr>
          <w:rFonts w:ascii="Arial" w:hAnsi="Arial" w:cs="Arial"/>
          <w:sz w:val="22"/>
          <w:szCs w:val="22"/>
        </w:rPr>
        <w:t>best-practice hip fracture care adjustment that provides an incentive for service providers (clinicians and managers) to change practices and deliver care that meets the best-practice criteria.</w:t>
      </w:r>
    </w:p>
    <w:p w14:paraId="2CAA28C1" w14:textId="77777777" w:rsidR="00E20CC5" w:rsidRPr="00414A6D" w:rsidRDefault="00D2179F"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4.3:</w:t>
      </w:r>
      <w:r w:rsidRPr="00414A6D">
        <w:rPr>
          <w:rFonts w:ascii="Arial" w:hAnsi="Arial" w:cs="Arial"/>
          <w:sz w:val="22"/>
          <w:szCs w:val="22"/>
        </w:rPr>
        <w:t xml:space="preserve"> IHPA should signal its intention to</w:t>
      </w:r>
      <w:r w:rsidR="0074152C" w:rsidRPr="00414A6D">
        <w:rPr>
          <w:rFonts w:ascii="Arial" w:hAnsi="Arial" w:cs="Arial"/>
          <w:sz w:val="22"/>
          <w:szCs w:val="22"/>
        </w:rPr>
        <w:t xml:space="preserve"> explore the</w:t>
      </w:r>
      <w:r w:rsidRPr="00414A6D">
        <w:rPr>
          <w:rFonts w:ascii="Arial" w:hAnsi="Arial" w:cs="Arial"/>
          <w:sz w:val="22"/>
          <w:szCs w:val="22"/>
        </w:rPr>
        <w:t xml:space="preserve"> implement</w:t>
      </w:r>
      <w:r w:rsidR="0074152C" w:rsidRPr="00414A6D">
        <w:rPr>
          <w:rFonts w:ascii="Arial" w:hAnsi="Arial" w:cs="Arial"/>
          <w:sz w:val="22"/>
          <w:szCs w:val="22"/>
        </w:rPr>
        <w:t>ation of</w:t>
      </w:r>
      <w:r w:rsidRPr="00414A6D">
        <w:rPr>
          <w:rFonts w:ascii="Arial" w:hAnsi="Arial" w:cs="Arial"/>
          <w:sz w:val="22"/>
          <w:szCs w:val="22"/>
        </w:rPr>
        <w:t xml:space="preserve"> a national best</w:t>
      </w:r>
      <w:r w:rsidRPr="00414A6D">
        <w:rPr>
          <w:rFonts w:ascii="Arial" w:hAnsi="Arial" w:cs="Arial"/>
          <w:sz w:val="22"/>
          <w:szCs w:val="22"/>
        </w:rPr>
        <w:noBreakHyphen/>
        <w:t xml:space="preserve">practice price for hip fracture care through the </w:t>
      </w:r>
      <w:r w:rsidRPr="00D41ED6">
        <w:rPr>
          <w:rFonts w:ascii="Arial" w:hAnsi="Arial" w:cs="Arial"/>
          <w:i/>
          <w:sz w:val="22"/>
          <w:szCs w:val="22"/>
        </w:rPr>
        <w:t xml:space="preserve">Pricing Framework for Australian Public Hospital Services 2016-17 </w:t>
      </w:r>
      <w:r w:rsidRPr="00414A6D">
        <w:rPr>
          <w:rFonts w:ascii="Arial" w:hAnsi="Arial" w:cs="Arial"/>
          <w:sz w:val="22"/>
          <w:szCs w:val="22"/>
        </w:rPr>
        <w:t>and</w:t>
      </w:r>
      <w:r w:rsidR="00915087" w:rsidRPr="00414A6D">
        <w:rPr>
          <w:rFonts w:ascii="Arial" w:hAnsi="Arial" w:cs="Arial"/>
          <w:sz w:val="22"/>
          <w:szCs w:val="22"/>
        </w:rPr>
        <w:t>, if new data elements are required to support its implementation,</w:t>
      </w:r>
      <w:r w:rsidRPr="00414A6D">
        <w:rPr>
          <w:rFonts w:ascii="Arial" w:hAnsi="Arial" w:cs="Arial"/>
          <w:sz w:val="22"/>
          <w:szCs w:val="22"/>
        </w:rPr>
        <w:t xml:space="preserve"> </w:t>
      </w:r>
      <w:r w:rsidR="00915087" w:rsidRPr="00414A6D">
        <w:rPr>
          <w:rFonts w:ascii="Arial" w:hAnsi="Arial" w:cs="Arial"/>
          <w:sz w:val="22"/>
          <w:szCs w:val="22"/>
        </w:rPr>
        <w:t xml:space="preserve">through </w:t>
      </w:r>
      <w:r w:rsidRPr="00414A6D">
        <w:rPr>
          <w:rFonts w:ascii="Arial" w:hAnsi="Arial" w:cs="Arial"/>
          <w:sz w:val="22"/>
          <w:szCs w:val="22"/>
        </w:rPr>
        <w:t xml:space="preserve">the </w:t>
      </w:r>
      <w:r w:rsidRPr="00D41ED6">
        <w:rPr>
          <w:rFonts w:ascii="Arial" w:hAnsi="Arial" w:cs="Arial"/>
          <w:i/>
          <w:sz w:val="22"/>
          <w:szCs w:val="22"/>
        </w:rPr>
        <w:t xml:space="preserve">IHPA Three Year </w:t>
      </w:r>
      <w:r w:rsidR="00BC3567" w:rsidRPr="00D41ED6">
        <w:rPr>
          <w:rFonts w:ascii="Arial" w:hAnsi="Arial" w:cs="Arial"/>
          <w:i/>
          <w:sz w:val="22"/>
          <w:szCs w:val="22"/>
        </w:rPr>
        <w:t>Data Plan 2016-1</w:t>
      </w:r>
      <w:r w:rsidRPr="00D41ED6">
        <w:rPr>
          <w:rFonts w:ascii="Arial" w:hAnsi="Arial" w:cs="Arial"/>
          <w:i/>
          <w:sz w:val="22"/>
          <w:szCs w:val="22"/>
        </w:rPr>
        <w:t>7 to 2018-19.</w:t>
      </w:r>
      <w:r w:rsidRPr="00414A6D">
        <w:rPr>
          <w:rFonts w:ascii="Arial" w:hAnsi="Arial" w:cs="Arial"/>
          <w:sz w:val="22"/>
          <w:szCs w:val="22"/>
        </w:rPr>
        <w:t xml:space="preserve"> </w:t>
      </w:r>
    </w:p>
    <w:p w14:paraId="16EA2E69" w14:textId="77777777" w:rsidR="00B06816" w:rsidRPr="00414A6D" w:rsidRDefault="00B06816">
      <w:pPr>
        <w:rPr>
          <w:rFonts w:ascii="Arial" w:hAnsi="Arial" w:cs="Arial"/>
          <w:b/>
          <w:bCs/>
          <w:kern w:val="28"/>
          <w:sz w:val="28"/>
          <w:szCs w:val="32"/>
        </w:rPr>
      </w:pPr>
      <w:bookmarkStart w:id="24" w:name="_Toc419367744"/>
      <w:bookmarkEnd w:id="24"/>
      <w:r w:rsidRPr="00414A6D">
        <w:rPr>
          <w:rFonts w:ascii="Arial" w:hAnsi="Arial" w:cs="Arial"/>
        </w:rPr>
        <w:br w:type="page"/>
      </w:r>
    </w:p>
    <w:p w14:paraId="310331C3" w14:textId="77777777" w:rsidR="00924B67" w:rsidRPr="00112D48" w:rsidRDefault="00C1286B" w:rsidP="007B1510">
      <w:pPr>
        <w:pStyle w:val="Heading1"/>
        <w:numPr>
          <w:ilvl w:val="0"/>
          <w:numId w:val="14"/>
        </w:numPr>
        <w:ind w:left="414" w:hanging="357"/>
        <w:jc w:val="both"/>
        <w:rPr>
          <w:szCs w:val="28"/>
        </w:rPr>
      </w:pPr>
      <w:bookmarkStart w:id="25" w:name="_Toc426633809"/>
      <w:r w:rsidRPr="00112D48">
        <w:rPr>
          <w:szCs w:val="28"/>
        </w:rPr>
        <w:lastRenderedPageBreak/>
        <w:t>P</w:t>
      </w:r>
      <w:r w:rsidR="00924B67" w:rsidRPr="00112D48">
        <w:rPr>
          <w:szCs w:val="28"/>
        </w:rPr>
        <w:t>roviding quality data to drive improvement</w:t>
      </w:r>
      <w:bookmarkEnd w:id="25"/>
      <w:r w:rsidR="00924B67" w:rsidRPr="00112D48">
        <w:rPr>
          <w:szCs w:val="28"/>
        </w:rPr>
        <w:t xml:space="preserve"> </w:t>
      </w:r>
    </w:p>
    <w:p w14:paraId="6298C17B" w14:textId="77777777" w:rsidR="00915087" w:rsidRPr="00414A6D" w:rsidRDefault="00915087" w:rsidP="00D147A4">
      <w:pPr>
        <w:spacing w:before="20" w:after="60"/>
        <w:ind w:right="-85"/>
        <w:jc w:val="both"/>
        <w:rPr>
          <w:rFonts w:ascii="Arial" w:hAnsi="Arial" w:cs="Arial"/>
          <w:sz w:val="22"/>
          <w:szCs w:val="22"/>
        </w:rPr>
      </w:pPr>
      <w:r w:rsidRPr="00414A6D">
        <w:rPr>
          <w:rFonts w:ascii="Arial" w:hAnsi="Arial" w:cs="Arial"/>
          <w:sz w:val="22"/>
          <w:szCs w:val="22"/>
        </w:rPr>
        <w:t xml:space="preserve">The design and implementation of a best-practice pricing scheme requires reliable information on quality of care to determine eligibility for funding, and its implementation should be coupled with or preceded by the provision of timely, relevant and comparable clinical information fed back to clinicians. </w:t>
      </w:r>
    </w:p>
    <w:p w14:paraId="19437C01" w14:textId="77777777" w:rsidR="00915087" w:rsidRPr="00414A6D" w:rsidRDefault="00915087" w:rsidP="00745730">
      <w:pPr>
        <w:ind w:right="-85"/>
        <w:jc w:val="both"/>
        <w:rPr>
          <w:rFonts w:ascii="Arial" w:hAnsi="Arial" w:cs="Arial"/>
          <w:sz w:val="22"/>
          <w:szCs w:val="22"/>
        </w:rPr>
      </w:pPr>
      <w:r w:rsidRPr="00414A6D">
        <w:rPr>
          <w:rFonts w:ascii="Arial" w:hAnsi="Arial" w:cs="Arial"/>
          <w:sz w:val="22"/>
          <w:szCs w:val="22"/>
        </w:rPr>
        <w:t xml:space="preserve"> </w:t>
      </w:r>
    </w:p>
    <w:p w14:paraId="4CF8F08E" w14:textId="0161FDE2" w:rsidR="00811840" w:rsidRPr="00414A6D" w:rsidRDefault="00261503" w:rsidP="00112D48">
      <w:pPr>
        <w:pStyle w:val="Heading2"/>
        <w:numPr>
          <w:ilvl w:val="0"/>
          <w:numId w:val="0"/>
        </w:numPr>
        <w:spacing w:before="0" w:after="0"/>
        <w:ind w:left="227"/>
        <w:jc w:val="both"/>
        <w:rPr>
          <w:i w:val="0"/>
          <w:sz w:val="22"/>
        </w:rPr>
      </w:pPr>
      <w:bookmarkStart w:id="26" w:name="_Toc426633810"/>
      <w:r>
        <w:rPr>
          <w:i w:val="0"/>
          <w:sz w:val="22"/>
        </w:rPr>
        <w:t>5</w:t>
      </w:r>
      <w:r w:rsidR="00346B84" w:rsidRPr="00414A6D">
        <w:rPr>
          <w:i w:val="0"/>
          <w:sz w:val="22"/>
        </w:rPr>
        <w:t>.1</w:t>
      </w:r>
      <w:r w:rsidR="00B16893" w:rsidRPr="00414A6D">
        <w:rPr>
          <w:i w:val="0"/>
          <w:sz w:val="22"/>
        </w:rPr>
        <w:t xml:space="preserve"> </w:t>
      </w:r>
      <w:r w:rsidR="00811840" w:rsidRPr="00414A6D">
        <w:rPr>
          <w:i w:val="0"/>
          <w:sz w:val="22"/>
        </w:rPr>
        <w:t>What information is needed to support quality improvement and payment determinations?</w:t>
      </w:r>
      <w:bookmarkEnd w:id="26"/>
    </w:p>
    <w:p w14:paraId="0531484A" w14:textId="77777777" w:rsidR="00447E50" w:rsidRPr="00414A6D" w:rsidRDefault="00447E50" w:rsidP="00447E50">
      <w:pPr>
        <w:spacing w:before="120" w:after="120"/>
        <w:jc w:val="both"/>
        <w:rPr>
          <w:rFonts w:ascii="Arial" w:hAnsi="Arial" w:cs="Arial"/>
          <w:sz w:val="22"/>
          <w:szCs w:val="22"/>
        </w:rPr>
      </w:pPr>
      <w:r w:rsidRPr="00414A6D">
        <w:rPr>
          <w:rFonts w:ascii="Arial" w:hAnsi="Arial" w:cs="Arial"/>
          <w:sz w:val="22"/>
          <w:szCs w:val="22"/>
        </w:rPr>
        <w:t xml:space="preserve">The evidence examined by the JWP indicates that quality of care in the hospital setting is best influenced by the systematic and timely provision of </w:t>
      </w:r>
      <w:r w:rsidR="00915087" w:rsidRPr="00414A6D">
        <w:rPr>
          <w:rFonts w:ascii="Arial" w:hAnsi="Arial" w:cs="Arial"/>
          <w:sz w:val="22"/>
          <w:szCs w:val="22"/>
        </w:rPr>
        <w:t xml:space="preserve">comparable </w:t>
      </w:r>
      <w:r w:rsidRPr="00414A6D">
        <w:rPr>
          <w:rFonts w:ascii="Arial" w:hAnsi="Arial" w:cs="Arial"/>
          <w:sz w:val="22"/>
          <w:szCs w:val="22"/>
        </w:rPr>
        <w:t xml:space="preserve">information to clinical teams on quality and performance. Accordingly, the JWP asked the Sub-Committee to provide advice on an appropriate mechanism and format for providing safety and quality data to clinical teams and hospital leaders.  </w:t>
      </w:r>
    </w:p>
    <w:p w14:paraId="4EAEE40C" w14:textId="195D2084" w:rsidR="00447E50" w:rsidRPr="00414A6D" w:rsidRDefault="00785461" w:rsidP="00447E50">
      <w:pPr>
        <w:spacing w:before="120" w:after="120"/>
        <w:jc w:val="both"/>
        <w:rPr>
          <w:rFonts w:ascii="Arial" w:hAnsi="Arial" w:cs="Arial"/>
          <w:sz w:val="22"/>
          <w:szCs w:val="22"/>
        </w:rPr>
      </w:pPr>
      <w:r w:rsidRPr="00414A6D">
        <w:rPr>
          <w:rFonts w:ascii="Arial" w:hAnsi="Arial" w:cs="Arial"/>
          <w:sz w:val="22"/>
          <w:szCs w:val="22"/>
        </w:rPr>
        <w:t>A</w:t>
      </w:r>
      <w:r w:rsidR="00447E50" w:rsidRPr="00414A6D">
        <w:rPr>
          <w:rFonts w:ascii="Arial" w:hAnsi="Arial" w:cs="Arial"/>
          <w:sz w:val="22"/>
          <w:szCs w:val="22"/>
        </w:rPr>
        <w:t>n NHS payment reform report recently described data as a “key limitation to the design, implementation and success of payment systems”</w:t>
      </w:r>
      <w:r w:rsidR="00447E50" w:rsidRPr="00414A6D">
        <w:rPr>
          <w:rFonts w:ascii="Arial" w:hAnsi="Arial" w:cs="Arial"/>
          <w:sz w:val="22"/>
          <w:szCs w:val="22"/>
          <w:vertAlign w:val="superscript"/>
        </w:rPr>
        <w:t xml:space="preserve">5 </w:t>
      </w:r>
      <w:r w:rsidR="00447E50" w:rsidRPr="00414A6D">
        <w:rPr>
          <w:rFonts w:ascii="Arial" w:hAnsi="Arial" w:cs="Arial"/>
          <w:sz w:val="22"/>
          <w:szCs w:val="22"/>
        </w:rPr>
        <w:t xml:space="preserve">and, at the same time, those familiar with the NHS BPT report that the increased availability of comparable performance information to clinicians on clinical quality of hip fracture care </w:t>
      </w:r>
      <w:r w:rsidR="00915087" w:rsidRPr="00414A6D">
        <w:rPr>
          <w:rFonts w:ascii="Arial" w:hAnsi="Arial" w:cs="Arial"/>
          <w:sz w:val="22"/>
          <w:szCs w:val="22"/>
        </w:rPr>
        <w:t>wa</w:t>
      </w:r>
      <w:r w:rsidR="00447E50" w:rsidRPr="00414A6D">
        <w:rPr>
          <w:rFonts w:ascii="Arial" w:hAnsi="Arial" w:cs="Arial"/>
          <w:sz w:val="22"/>
          <w:szCs w:val="22"/>
        </w:rPr>
        <w:t xml:space="preserve">s instrumental to the success of this initiative. </w:t>
      </w:r>
    </w:p>
    <w:p w14:paraId="266F7DCC" w14:textId="77777777" w:rsidR="00AC43C4" w:rsidRPr="00414A6D" w:rsidRDefault="00447E50" w:rsidP="00447E50">
      <w:pPr>
        <w:spacing w:before="120" w:after="120"/>
        <w:jc w:val="both"/>
        <w:rPr>
          <w:rFonts w:ascii="Arial" w:hAnsi="Arial" w:cs="Arial"/>
          <w:sz w:val="22"/>
          <w:szCs w:val="22"/>
        </w:rPr>
      </w:pPr>
      <w:r w:rsidRPr="00414A6D">
        <w:rPr>
          <w:rFonts w:ascii="Arial" w:hAnsi="Arial" w:cs="Arial"/>
          <w:sz w:val="22"/>
          <w:szCs w:val="22"/>
        </w:rPr>
        <w:t>There are t</w:t>
      </w:r>
      <w:r w:rsidR="00402FBB" w:rsidRPr="00414A6D">
        <w:rPr>
          <w:rFonts w:ascii="Arial" w:hAnsi="Arial" w:cs="Arial"/>
          <w:sz w:val="22"/>
          <w:szCs w:val="22"/>
        </w:rPr>
        <w:t>wo</w:t>
      </w:r>
      <w:r w:rsidRPr="00414A6D">
        <w:rPr>
          <w:rFonts w:ascii="Arial" w:hAnsi="Arial" w:cs="Arial"/>
          <w:sz w:val="22"/>
          <w:szCs w:val="22"/>
        </w:rPr>
        <w:t xml:space="preserve"> main sources of nationally consistent information on patients who are admitted with hip fracture –</w:t>
      </w:r>
      <w:r w:rsidR="00402FBB" w:rsidRPr="00414A6D">
        <w:rPr>
          <w:rFonts w:ascii="Arial" w:hAnsi="Arial" w:cs="Arial"/>
          <w:sz w:val="22"/>
          <w:szCs w:val="22"/>
        </w:rPr>
        <w:t xml:space="preserve"> </w:t>
      </w:r>
      <w:r w:rsidR="00906812" w:rsidRPr="00414A6D">
        <w:rPr>
          <w:rFonts w:ascii="Arial" w:hAnsi="Arial" w:cs="Arial"/>
          <w:sz w:val="22"/>
          <w:szCs w:val="22"/>
        </w:rPr>
        <w:t xml:space="preserve">the </w:t>
      </w:r>
      <w:r w:rsidRPr="00414A6D">
        <w:rPr>
          <w:rFonts w:ascii="Arial" w:hAnsi="Arial" w:cs="Arial"/>
          <w:sz w:val="22"/>
          <w:szCs w:val="22"/>
        </w:rPr>
        <w:t xml:space="preserve">NNAPED and the </w:t>
      </w:r>
      <w:r w:rsidR="00906812" w:rsidRPr="00414A6D">
        <w:rPr>
          <w:rFonts w:ascii="Arial" w:hAnsi="Arial" w:cs="Arial"/>
          <w:sz w:val="22"/>
          <w:szCs w:val="22"/>
        </w:rPr>
        <w:t>APC</w:t>
      </w:r>
      <w:r w:rsidRPr="00414A6D">
        <w:rPr>
          <w:rFonts w:ascii="Arial" w:hAnsi="Arial" w:cs="Arial"/>
          <w:sz w:val="22"/>
          <w:szCs w:val="22"/>
        </w:rPr>
        <w:t xml:space="preserve">. There are other sources of valuable information on clinical quality, though these data are not yet nationally available (e.g. </w:t>
      </w:r>
      <w:r w:rsidR="00906812" w:rsidRPr="00414A6D">
        <w:rPr>
          <w:rFonts w:ascii="Arial" w:hAnsi="Arial" w:cs="Arial"/>
          <w:sz w:val="22"/>
          <w:szCs w:val="22"/>
        </w:rPr>
        <w:t>ANZHFR</w:t>
      </w:r>
      <w:r w:rsidR="00AC43C4" w:rsidRPr="00414A6D">
        <w:rPr>
          <w:rFonts w:ascii="Arial" w:hAnsi="Arial" w:cs="Arial"/>
          <w:sz w:val="22"/>
          <w:szCs w:val="22"/>
        </w:rPr>
        <w:t xml:space="preserve">, see </w:t>
      </w:r>
      <w:r w:rsidR="007305E1" w:rsidRPr="00414A6D">
        <w:rPr>
          <w:rFonts w:ascii="Arial" w:hAnsi="Arial" w:cs="Arial"/>
          <w:sz w:val="22"/>
          <w:szCs w:val="22"/>
        </w:rPr>
        <w:t>T</w:t>
      </w:r>
      <w:r w:rsidR="00AC43C4" w:rsidRPr="00414A6D">
        <w:rPr>
          <w:rFonts w:ascii="Arial" w:hAnsi="Arial" w:cs="Arial"/>
          <w:sz w:val="22"/>
          <w:szCs w:val="22"/>
        </w:rPr>
        <w:t xml:space="preserve">able </w:t>
      </w:r>
      <w:r w:rsidR="007A3B48" w:rsidRPr="00414A6D">
        <w:rPr>
          <w:rFonts w:ascii="Arial" w:hAnsi="Arial" w:cs="Arial"/>
          <w:sz w:val="22"/>
          <w:szCs w:val="22"/>
        </w:rPr>
        <w:t>2</w:t>
      </w:r>
      <w:r w:rsidRPr="00414A6D">
        <w:rPr>
          <w:rFonts w:ascii="Arial" w:hAnsi="Arial" w:cs="Arial"/>
          <w:sz w:val="22"/>
          <w:szCs w:val="22"/>
        </w:rPr>
        <w:t>) or are not nationally consistent (e.g. patient experience</w:t>
      </w:r>
      <w:r w:rsidR="00402FBB" w:rsidRPr="00414A6D">
        <w:rPr>
          <w:rFonts w:ascii="Arial" w:hAnsi="Arial" w:cs="Arial"/>
          <w:sz w:val="22"/>
          <w:szCs w:val="22"/>
        </w:rPr>
        <w:t xml:space="preserve"> data</w:t>
      </w:r>
      <w:r w:rsidRPr="00414A6D">
        <w:rPr>
          <w:rFonts w:ascii="Arial" w:hAnsi="Arial" w:cs="Arial"/>
          <w:sz w:val="22"/>
          <w:szCs w:val="22"/>
        </w:rPr>
        <w:t xml:space="preserve">). </w:t>
      </w:r>
    </w:p>
    <w:p w14:paraId="1E39C1FE" w14:textId="77777777" w:rsidR="00B96709" w:rsidRPr="00414A6D" w:rsidRDefault="00B96709">
      <w:pPr>
        <w:rPr>
          <w:rFonts w:ascii="Arial" w:hAnsi="Arial" w:cs="Arial"/>
          <w:b/>
          <w:sz w:val="22"/>
          <w:szCs w:val="22"/>
          <w:lang w:val="en-US" w:eastAsia="en-US"/>
        </w:rPr>
      </w:pPr>
    </w:p>
    <w:p w14:paraId="28D400AC" w14:textId="48070133" w:rsidR="00AC43C4" w:rsidRPr="00414A6D" w:rsidRDefault="00AC43C4" w:rsidP="00370A06">
      <w:pPr>
        <w:pStyle w:val="NormalWeb"/>
        <w:spacing w:before="0" w:after="0"/>
        <w:jc w:val="both"/>
        <w:rPr>
          <w:rFonts w:ascii="Arial" w:hAnsi="Arial" w:cs="Arial"/>
          <w:b/>
          <w:sz w:val="22"/>
          <w:szCs w:val="22"/>
        </w:rPr>
      </w:pPr>
      <w:r w:rsidRPr="00414A6D">
        <w:rPr>
          <w:rFonts w:ascii="Arial" w:hAnsi="Arial" w:cs="Arial"/>
          <w:b/>
          <w:sz w:val="22"/>
          <w:szCs w:val="22"/>
        </w:rPr>
        <w:t xml:space="preserve">Table </w:t>
      </w:r>
      <w:r w:rsidR="00686288">
        <w:rPr>
          <w:rFonts w:ascii="Arial" w:hAnsi="Arial" w:cs="Arial"/>
          <w:b/>
          <w:sz w:val="22"/>
          <w:szCs w:val="22"/>
        </w:rPr>
        <w:t>4</w:t>
      </w:r>
      <w:r w:rsidRPr="00414A6D">
        <w:rPr>
          <w:rFonts w:ascii="Arial" w:hAnsi="Arial" w:cs="Arial"/>
          <w:b/>
          <w:sz w:val="22"/>
          <w:szCs w:val="22"/>
        </w:rPr>
        <w:t>: The Australian and New</w:t>
      </w:r>
      <w:r w:rsidR="00402FBB" w:rsidRPr="00414A6D">
        <w:rPr>
          <w:rFonts w:ascii="Arial" w:hAnsi="Arial" w:cs="Arial"/>
          <w:b/>
          <w:sz w:val="22"/>
          <w:szCs w:val="22"/>
        </w:rPr>
        <w:t xml:space="preserve"> Zealand Hip Fracture Registry.</w:t>
      </w:r>
    </w:p>
    <w:tbl>
      <w:tblPr>
        <w:tblStyle w:val="TableGrid"/>
        <w:tblW w:w="0" w:type="auto"/>
        <w:tblLook w:val="04A0" w:firstRow="1" w:lastRow="0" w:firstColumn="1" w:lastColumn="0" w:noHBand="0" w:noVBand="1"/>
      </w:tblPr>
      <w:tblGrid>
        <w:gridCol w:w="9242"/>
      </w:tblGrid>
      <w:tr w:rsidR="00AC43C4" w:rsidRPr="00414A6D" w14:paraId="34626EA4" w14:textId="77777777" w:rsidTr="00AC43C4">
        <w:tc>
          <w:tcPr>
            <w:tcW w:w="9242" w:type="dxa"/>
          </w:tcPr>
          <w:p w14:paraId="44E80C10" w14:textId="7ED002E4" w:rsidR="001149A4" w:rsidRPr="00414A6D" w:rsidRDefault="001149A4" w:rsidP="00AC43C4">
            <w:pPr>
              <w:pStyle w:val="NormalWeb"/>
              <w:jc w:val="both"/>
              <w:rPr>
                <w:rFonts w:ascii="Arial" w:hAnsi="Arial" w:cs="Arial"/>
                <w:sz w:val="22"/>
                <w:szCs w:val="22"/>
              </w:rPr>
            </w:pPr>
            <w:r w:rsidRPr="00414A6D">
              <w:rPr>
                <w:rFonts w:ascii="Arial" w:hAnsi="Arial" w:cs="Arial"/>
                <w:sz w:val="22"/>
                <w:szCs w:val="22"/>
              </w:rPr>
              <w:t xml:space="preserve">The ANZHFR is a clinically owned and clinically driven Registry which provides real time comparative data for hospitals. It has representation from a number of key professional bodies and </w:t>
            </w:r>
            <w:proofErr w:type="spellStart"/>
            <w:r w:rsidRPr="00414A6D">
              <w:rPr>
                <w:rFonts w:ascii="Arial" w:hAnsi="Arial" w:cs="Arial"/>
                <w:sz w:val="22"/>
                <w:szCs w:val="22"/>
              </w:rPr>
              <w:t>organisations</w:t>
            </w:r>
            <w:proofErr w:type="spellEnd"/>
            <w:r w:rsidRPr="00414A6D">
              <w:rPr>
                <w:rFonts w:ascii="Arial" w:hAnsi="Arial" w:cs="Arial"/>
                <w:sz w:val="22"/>
                <w:szCs w:val="22"/>
              </w:rPr>
              <w:t xml:space="preserve"> with an interest in hip fracture care</w:t>
            </w:r>
            <w:r w:rsidR="000C7E5D">
              <w:rPr>
                <w:rFonts w:ascii="Arial" w:hAnsi="Arial" w:cs="Arial"/>
                <w:sz w:val="22"/>
                <w:szCs w:val="22"/>
              </w:rPr>
              <w:t>.</w:t>
            </w:r>
          </w:p>
          <w:p w14:paraId="682A8054" w14:textId="77777777" w:rsidR="00AC43C4" w:rsidRPr="00414A6D" w:rsidRDefault="00AC43C4" w:rsidP="00AC43C4">
            <w:pPr>
              <w:pStyle w:val="NormalWeb"/>
              <w:jc w:val="both"/>
              <w:rPr>
                <w:rFonts w:ascii="Arial" w:hAnsi="Arial" w:cs="Arial"/>
                <w:sz w:val="22"/>
                <w:szCs w:val="22"/>
              </w:rPr>
            </w:pPr>
            <w:r w:rsidRPr="00414A6D">
              <w:rPr>
                <w:rFonts w:ascii="Arial" w:hAnsi="Arial" w:cs="Arial"/>
                <w:sz w:val="22"/>
                <w:szCs w:val="22"/>
              </w:rPr>
              <w:t xml:space="preserve">The development of the </w:t>
            </w:r>
            <w:r w:rsidR="00906812" w:rsidRPr="00414A6D">
              <w:rPr>
                <w:rFonts w:ascii="Arial" w:hAnsi="Arial" w:cs="Arial"/>
                <w:sz w:val="22"/>
                <w:szCs w:val="22"/>
              </w:rPr>
              <w:t>ANZHFR</w:t>
            </w:r>
            <w:r w:rsidRPr="00414A6D">
              <w:rPr>
                <w:rFonts w:ascii="Arial" w:hAnsi="Arial" w:cs="Arial"/>
                <w:sz w:val="22"/>
                <w:szCs w:val="22"/>
              </w:rPr>
              <w:t xml:space="preserve"> will allow for timely comparison of meaningful data around hip fracture care. It aims to understand practice and trigger the case for change in places where care might be improved. For more information, the registry details are at </w:t>
            </w:r>
            <w:hyperlink r:id="rId17" w:history="1">
              <w:r w:rsidRPr="00414A6D">
                <w:rPr>
                  <w:rStyle w:val="Hyperlink"/>
                  <w:rFonts w:ascii="Arial" w:hAnsi="Arial" w:cs="Arial"/>
                  <w:sz w:val="22"/>
                  <w:szCs w:val="22"/>
                </w:rPr>
                <w:t>http://www.anzhfr.org/home/history</w:t>
              </w:r>
            </w:hyperlink>
            <w:r w:rsidRPr="00414A6D">
              <w:rPr>
                <w:rFonts w:ascii="Arial" w:hAnsi="Arial" w:cs="Arial"/>
                <w:sz w:val="22"/>
                <w:szCs w:val="22"/>
              </w:rPr>
              <w:t xml:space="preserve">. </w:t>
            </w:r>
          </w:p>
          <w:p w14:paraId="4189F90C" w14:textId="59DC3A28" w:rsidR="009B4A8B" w:rsidRPr="00414A6D" w:rsidRDefault="00AC43C4" w:rsidP="009B4A8B">
            <w:pPr>
              <w:pStyle w:val="NormalWeb"/>
              <w:jc w:val="both"/>
              <w:rPr>
                <w:rFonts w:ascii="Arial" w:hAnsi="Arial" w:cs="Arial"/>
                <w:sz w:val="22"/>
                <w:szCs w:val="22"/>
              </w:rPr>
            </w:pPr>
            <w:r w:rsidRPr="00414A6D">
              <w:rPr>
                <w:rFonts w:ascii="Arial" w:hAnsi="Arial" w:cs="Arial"/>
                <w:sz w:val="22"/>
                <w:szCs w:val="22"/>
              </w:rPr>
              <w:t xml:space="preserve">Data collection commenced in 2014 with </w:t>
            </w:r>
            <w:r w:rsidR="001149A4" w:rsidRPr="00414A6D">
              <w:rPr>
                <w:rFonts w:ascii="Arial" w:hAnsi="Arial" w:cs="Arial"/>
                <w:sz w:val="22"/>
                <w:szCs w:val="22"/>
              </w:rPr>
              <w:t xml:space="preserve">14 </w:t>
            </w:r>
            <w:r w:rsidRPr="00414A6D">
              <w:rPr>
                <w:rFonts w:ascii="Arial" w:hAnsi="Arial" w:cs="Arial"/>
                <w:sz w:val="22"/>
                <w:szCs w:val="22"/>
              </w:rPr>
              <w:t>Australian hospitals now collecting</w:t>
            </w:r>
            <w:r w:rsidR="001149A4" w:rsidRPr="00414A6D">
              <w:rPr>
                <w:rFonts w:ascii="Arial" w:hAnsi="Arial" w:cs="Arial"/>
                <w:sz w:val="22"/>
                <w:szCs w:val="22"/>
              </w:rPr>
              <w:t xml:space="preserve"> data and 17 more in the pipeline awaiting ethics approvals (May 2015)</w:t>
            </w:r>
            <w:r w:rsidRPr="00414A6D">
              <w:rPr>
                <w:rFonts w:ascii="Arial" w:hAnsi="Arial" w:cs="Arial"/>
                <w:i/>
                <w:sz w:val="22"/>
                <w:szCs w:val="22"/>
              </w:rPr>
              <w:t xml:space="preserve">. </w:t>
            </w:r>
            <w:r w:rsidRPr="00414A6D">
              <w:rPr>
                <w:rFonts w:ascii="Arial" w:hAnsi="Arial" w:cs="Arial"/>
                <w:sz w:val="22"/>
                <w:szCs w:val="22"/>
              </w:rPr>
              <w:t>The ANZHFR dataset is modelled on the UK’s National Hip Fracture Data</w:t>
            </w:r>
            <w:r w:rsidR="009F247E" w:rsidRPr="00414A6D">
              <w:rPr>
                <w:rFonts w:ascii="Arial" w:hAnsi="Arial" w:cs="Arial"/>
                <w:sz w:val="22"/>
                <w:szCs w:val="22"/>
              </w:rPr>
              <w:t>base</w:t>
            </w:r>
            <w:r w:rsidRPr="00414A6D">
              <w:rPr>
                <w:rFonts w:ascii="Arial" w:hAnsi="Arial" w:cs="Arial"/>
                <w:sz w:val="22"/>
                <w:szCs w:val="22"/>
              </w:rPr>
              <w:t xml:space="preserve">, with modifications for the Australian context. It includes the majority of the key measures that the Commission is considering in the development of the Hip Fracture </w:t>
            </w:r>
            <w:r w:rsidR="00560CC6" w:rsidRPr="00414A6D">
              <w:rPr>
                <w:rFonts w:ascii="Arial" w:hAnsi="Arial" w:cs="Arial"/>
                <w:sz w:val="22"/>
                <w:szCs w:val="22"/>
              </w:rPr>
              <w:t>CCS</w:t>
            </w:r>
            <w:r w:rsidRPr="00414A6D">
              <w:rPr>
                <w:rFonts w:ascii="Arial" w:hAnsi="Arial" w:cs="Arial"/>
                <w:sz w:val="22"/>
                <w:szCs w:val="22"/>
              </w:rPr>
              <w:t xml:space="preserve">. However, it has some limitations with only a handful of Australian hospitals currently collecting and recording data in the registry. Data collection is also currently undertaken in a voluntary capacity. </w:t>
            </w:r>
          </w:p>
          <w:p w14:paraId="652415BA" w14:textId="4FC5CCD4" w:rsidR="00AC43C4" w:rsidRPr="00414A6D" w:rsidRDefault="00AC43C4" w:rsidP="009B4A8B">
            <w:pPr>
              <w:pStyle w:val="NormalWeb"/>
              <w:jc w:val="both"/>
              <w:rPr>
                <w:rFonts w:ascii="Arial" w:hAnsi="Arial" w:cs="Arial"/>
                <w:b/>
                <w:bCs/>
                <w:kern w:val="28"/>
                <w:sz w:val="28"/>
                <w:szCs w:val="21"/>
              </w:rPr>
            </w:pPr>
            <w:r w:rsidRPr="00414A6D">
              <w:rPr>
                <w:rFonts w:ascii="Arial" w:hAnsi="Arial" w:cs="Arial"/>
                <w:sz w:val="22"/>
                <w:szCs w:val="22"/>
              </w:rPr>
              <w:t>Further investment in the registry will be required to enable all states and territories to collect the measures for purposes of a best</w:t>
            </w:r>
            <w:r w:rsidR="00F176DC" w:rsidRPr="00414A6D">
              <w:rPr>
                <w:rFonts w:ascii="Arial" w:hAnsi="Arial" w:cs="Arial"/>
                <w:sz w:val="22"/>
                <w:szCs w:val="22"/>
              </w:rPr>
              <w:noBreakHyphen/>
            </w:r>
            <w:r w:rsidRPr="00414A6D">
              <w:rPr>
                <w:rFonts w:ascii="Arial" w:hAnsi="Arial" w:cs="Arial"/>
                <w:sz w:val="22"/>
                <w:szCs w:val="22"/>
              </w:rPr>
              <w:t xml:space="preserve">practice pricing approach. These issues are discussed in </w:t>
            </w:r>
            <w:r w:rsidR="00CD7BD3" w:rsidRPr="00414A6D">
              <w:rPr>
                <w:rFonts w:ascii="Arial" w:hAnsi="Arial" w:cs="Arial"/>
                <w:sz w:val="22"/>
                <w:szCs w:val="22"/>
              </w:rPr>
              <w:t>Ch</w:t>
            </w:r>
            <w:r w:rsidRPr="00414A6D">
              <w:rPr>
                <w:rFonts w:ascii="Arial" w:hAnsi="Arial" w:cs="Arial"/>
                <w:sz w:val="22"/>
                <w:szCs w:val="22"/>
              </w:rPr>
              <w:t xml:space="preserve">apter </w:t>
            </w:r>
            <w:r w:rsidR="000C7E5D">
              <w:rPr>
                <w:rFonts w:ascii="Arial" w:hAnsi="Arial" w:cs="Arial"/>
                <w:sz w:val="22"/>
                <w:szCs w:val="22"/>
              </w:rPr>
              <w:t>7</w:t>
            </w:r>
            <w:r w:rsidRPr="00414A6D">
              <w:rPr>
                <w:rFonts w:ascii="Arial" w:hAnsi="Arial" w:cs="Arial"/>
                <w:sz w:val="22"/>
                <w:szCs w:val="22"/>
              </w:rPr>
              <w:t>.</w:t>
            </w:r>
          </w:p>
        </w:tc>
      </w:tr>
    </w:tbl>
    <w:p w14:paraId="3F3B5CE6" w14:textId="77777777" w:rsidR="00522E1A" w:rsidRPr="00414A6D" w:rsidRDefault="00522E1A" w:rsidP="00AC43C4">
      <w:pPr>
        <w:spacing w:before="120" w:after="120"/>
        <w:jc w:val="both"/>
        <w:rPr>
          <w:rFonts w:ascii="Arial" w:hAnsi="Arial" w:cs="Arial"/>
          <w:sz w:val="22"/>
          <w:szCs w:val="22"/>
        </w:rPr>
      </w:pPr>
    </w:p>
    <w:p w14:paraId="6367BCCB" w14:textId="77777777" w:rsidR="00AC43C4" w:rsidRPr="00414A6D" w:rsidRDefault="00AC43C4" w:rsidP="00AC43C4">
      <w:pPr>
        <w:spacing w:before="120" w:after="120"/>
        <w:jc w:val="both"/>
        <w:rPr>
          <w:rFonts w:ascii="Arial" w:hAnsi="Arial" w:cs="Arial"/>
          <w:sz w:val="22"/>
          <w:szCs w:val="22"/>
        </w:rPr>
      </w:pPr>
      <w:r w:rsidRPr="00414A6D">
        <w:rPr>
          <w:rFonts w:ascii="Arial" w:hAnsi="Arial" w:cs="Arial"/>
          <w:sz w:val="22"/>
          <w:szCs w:val="22"/>
        </w:rPr>
        <w:lastRenderedPageBreak/>
        <w:t>Any clinical quality registry used for best-practice pricing in hip fracture care must meet existing national standards, including having an amenable governance structure and national coverage as per the Commission’s Framework for Clinical Quality Registries</w:t>
      </w:r>
      <w:r w:rsidR="00402FBB" w:rsidRPr="00414A6D">
        <w:rPr>
          <w:rFonts w:ascii="Arial" w:hAnsi="Arial" w:cs="Arial"/>
          <w:sz w:val="22"/>
          <w:szCs w:val="22"/>
        </w:rPr>
        <w:t>.</w:t>
      </w:r>
      <w:hyperlink w:anchor="_ENREF_9" w:tooltip="Australian Commission on Safety and Quality in Health Care, 2014 #185"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&lt;EndNote&gt;&lt;Cite&gt;&lt;Author&gt;Australian Commission on Safety and Quality in Health Care&lt;/Author&gt;&lt;Year&gt;2014&lt;/Year&gt;&lt;RecNum&gt;185&lt;/RecNum&gt;&lt;DisplayText&gt;&lt;style face="superscript"&gt;9&lt;/style&gt;&lt;/DisplayText&gt;&lt;record&gt;&lt;rec-number&gt;185&lt;/rec-number&gt;&lt;foreign-keys&gt;&lt;key app="EN" db-id="pxsz0w0wuvwzapeptavv0erkef22f2rwz0w0"&gt;185&lt;/key&gt;&lt;/foreign-keys&gt;&lt;ref-type name="Report"&gt;27&lt;/ref-type&gt;&lt;contributors&gt;&lt;authors&gt;&lt;author&gt;Australian Commission on Safety and Quality in Health Care,&lt;/author&gt;&lt;/authors&gt;&lt;/contributors&gt;&lt;titles&gt;&lt;title&gt;A framework for clinical quality registries&lt;/title&gt;&lt;/titles&gt;&lt;dates&gt;&lt;year&gt;2014&lt;/year&gt;&lt;/dates&gt;&lt;pub-location&gt;Sydney&lt;/pub-location&gt;&lt;urls&gt;&lt;related-urls&gt;&lt;url&gt;http://www.safetyandquality.gov.au/our-work/information-strategy/clinical-quality-registries/a-framework-for-australian-clinical-quality-registries/&lt;/url&gt;&lt;/related-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9</w:t>
        </w:r>
        <w:r w:rsidR="00402FBB" w:rsidRPr="00414A6D">
          <w:rPr>
            <w:rFonts w:ascii="Arial" w:hAnsi="Arial" w:cs="Arial"/>
            <w:sz w:val="22"/>
            <w:szCs w:val="22"/>
          </w:rPr>
          <w:fldChar w:fldCharType="end"/>
        </w:r>
      </w:hyperlink>
    </w:p>
    <w:p w14:paraId="1DC29E66" w14:textId="77777777" w:rsidR="00921ED3" w:rsidRPr="00414A6D" w:rsidRDefault="00447E50" w:rsidP="00447E50">
      <w:pPr>
        <w:spacing w:before="120" w:after="120"/>
        <w:jc w:val="both"/>
        <w:rPr>
          <w:rFonts w:ascii="Arial" w:hAnsi="Arial" w:cs="Arial"/>
        </w:rPr>
      </w:pPr>
      <w:r w:rsidRPr="00414A6D">
        <w:rPr>
          <w:rFonts w:ascii="Arial" w:hAnsi="Arial" w:cs="Arial"/>
          <w:sz w:val="22"/>
          <w:szCs w:val="22"/>
        </w:rPr>
        <w:t>If IHPA, or states and territories elect to commence best</w:t>
      </w:r>
      <w:r w:rsidR="00AC43C4" w:rsidRPr="00414A6D">
        <w:rPr>
          <w:rFonts w:ascii="Arial" w:hAnsi="Arial" w:cs="Arial"/>
          <w:sz w:val="22"/>
          <w:szCs w:val="22"/>
        </w:rPr>
        <w:t>-</w:t>
      </w:r>
      <w:r w:rsidRPr="00414A6D">
        <w:rPr>
          <w:rFonts w:ascii="Arial" w:hAnsi="Arial" w:cs="Arial"/>
          <w:sz w:val="22"/>
          <w:szCs w:val="22"/>
        </w:rPr>
        <w:t xml:space="preserve">practice pricing using existing nationally consistent information on patients who are admitted with hip fracture, then the Sub-Committee’s advice </w:t>
      </w:r>
      <w:r w:rsidR="00AC2148" w:rsidRPr="00414A6D">
        <w:rPr>
          <w:rFonts w:ascii="Arial" w:hAnsi="Arial" w:cs="Arial"/>
          <w:sz w:val="22"/>
          <w:szCs w:val="22"/>
        </w:rPr>
        <w:t>must</w:t>
      </w:r>
      <w:r w:rsidRPr="00414A6D">
        <w:rPr>
          <w:rFonts w:ascii="Arial" w:hAnsi="Arial" w:cs="Arial"/>
          <w:sz w:val="22"/>
          <w:szCs w:val="22"/>
        </w:rPr>
        <w:t xml:space="preserve"> </w:t>
      </w:r>
      <w:r w:rsidR="00402FBB" w:rsidRPr="00414A6D">
        <w:rPr>
          <w:rFonts w:ascii="Arial" w:hAnsi="Arial" w:cs="Arial"/>
          <w:sz w:val="22"/>
          <w:szCs w:val="22"/>
        </w:rPr>
        <w:t xml:space="preserve">be specific about the </w:t>
      </w:r>
      <w:r w:rsidR="009E4992" w:rsidRPr="00414A6D">
        <w:rPr>
          <w:rFonts w:ascii="Arial" w:hAnsi="Arial" w:cs="Arial"/>
          <w:sz w:val="22"/>
          <w:szCs w:val="22"/>
        </w:rPr>
        <w:t xml:space="preserve">degree to which </w:t>
      </w:r>
      <w:r w:rsidR="00402FBB" w:rsidRPr="00414A6D">
        <w:rPr>
          <w:rFonts w:ascii="Arial" w:hAnsi="Arial" w:cs="Arial"/>
          <w:sz w:val="22"/>
          <w:szCs w:val="22"/>
        </w:rPr>
        <w:t xml:space="preserve">CCS </w:t>
      </w:r>
      <w:r w:rsidR="009E4992" w:rsidRPr="00414A6D">
        <w:rPr>
          <w:rFonts w:ascii="Arial" w:hAnsi="Arial" w:cs="Arial"/>
          <w:sz w:val="22"/>
          <w:szCs w:val="22"/>
        </w:rPr>
        <w:t xml:space="preserve">indicators in the Commission’s </w:t>
      </w:r>
      <w:r w:rsidRPr="00414A6D">
        <w:rPr>
          <w:rFonts w:ascii="Arial" w:hAnsi="Arial" w:cs="Arial"/>
          <w:sz w:val="22"/>
          <w:szCs w:val="22"/>
        </w:rPr>
        <w:t xml:space="preserve">Hip Fracture </w:t>
      </w:r>
      <w:r w:rsidR="00AC2148" w:rsidRPr="00414A6D">
        <w:rPr>
          <w:rFonts w:ascii="Arial" w:hAnsi="Arial" w:cs="Arial"/>
          <w:sz w:val="22"/>
          <w:szCs w:val="22"/>
        </w:rPr>
        <w:t>CCS</w:t>
      </w:r>
      <w:r w:rsidRPr="00414A6D">
        <w:rPr>
          <w:rFonts w:ascii="Arial" w:hAnsi="Arial" w:cs="Arial"/>
          <w:sz w:val="22"/>
          <w:szCs w:val="22"/>
        </w:rPr>
        <w:t xml:space="preserve"> could be measured with </w:t>
      </w:r>
      <w:r w:rsidR="009E4992" w:rsidRPr="00414A6D">
        <w:rPr>
          <w:rFonts w:ascii="Arial" w:hAnsi="Arial" w:cs="Arial"/>
          <w:sz w:val="22"/>
          <w:szCs w:val="22"/>
        </w:rPr>
        <w:t xml:space="preserve">the </w:t>
      </w:r>
      <w:r w:rsidRPr="00414A6D">
        <w:rPr>
          <w:rFonts w:ascii="Arial" w:hAnsi="Arial" w:cs="Arial"/>
          <w:sz w:val="22"/>
          <w:szCs w:val="22"/>
        </w:rPr>
        <w:t>NNAPED and APC</w:t>
      </w:r>
      <w:r w:rsidR="009E4992" w:rsidRPr="00414A6D">
        <w:rPr>
          <w:rFonts w:ascii="Arial" w:hAnsi="Arial" w:cs="Arial"/>
          <w:sz w:val="22"/>
          <w:szCs w:val="22"/>
        </w:rPr>
        <w:t>.</w:t>
      </w:r>
      <w:r w:rsidR="00921ED3" w:rsidRPr="00414A6D">
        <w:rPr>
          <w:rFonts w:ascii="Arial" w:hAnsi="Arial" w:cs="Arial"/>
        </w:rPr>
        <w:t xml:space="preserve"> </w:t>
      </w:r>
      <w:r w:rsidR="00AC2148" w:rsidRPr="00414A6D">
        <w:rPr>
          <w:rFonts w:ascii="Arial" w:hAnsi="Arial" w:cs="Arial"/>
          <w:sz w:val="22"/>
          <w:szCs w:val="22"/>
        </w:rPr>
        <w:t>Appendix</w:t>
      </w:r>
      <w:r w:rsidR="00CD7BD3" w:rsidRPr="00414A6D">
        <w:rPr>
          <w:rFonts w:ascii="Arial" w:hAnsi="Arial" w:cs="Arial"/>
          <w:sz w:val="22"/>
          <w:szCs w:val="22"/>
        </w:rPr>
        <w:t> </w:t>
      </w:r>
      <w:r w:rsidR="00AC2148" w:rsidRPr="00414A6D">
        <w:rPr>
          <w:rFonts w:ascii="Arial" w:hAnsi="Arial" w:cs="Arial"/>
          <w:sz w:val="22"/>
          <w:szCs w:val="22"/>
        </w:rPr>
        <w:t>C contains the full list of indicators at time of public consultation of the CCS. It includes:</w:t>
      </w:r>
    </w:p>
    <w:p w14:paraId="4E43830C"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1 – Care at presentation</w:t>
      </w:r>
    </w:p>
    <w:p w14:paraId="0F0754F4"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2 – Pain management</w:t>
      </w:r>
    </w:p>
    <w:p w14:paraId="2752D634"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 xml:space="preserve">Quality statement 3 – </w:t>
      </w:r>
      <w:proofErr w:type="spellStart"/>
      <w:r w:rsidRPr="00414A6D">
        <w:rPr>
          <w:rFonts w:ascii="Arial" w:hAnsi="Arial" w:cs="Arial"/>
          <w:sz w:val="22"/>
          <w:szCs w:val="22"/>
        </w:rPr>
        <w:t>Orthogeriatric</w:t>
      </w:r>
      <w:proofErr w:type="spellEnd"/>
      <w:r w:rsidRPr="00414A6D">
        <w:rPr>
          <w:rFonts w:ascii="Arial" w:hAnsi="Arial" w:cs="Arial"/>
          <w:sz w:val="22"/>
          <w:szCs w:val="22"/>
        </w:rPr>
        <w:t xml:space="preserve"> model of care</w:t>
      </w:r>
    </w:p>
    <w:p w14:paraId="2FF06042"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4 – Timing of surgery</w:t>
      </w:r>
    </w:p>
    <w:p w14:paraId="33A995E0"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5 – Mobilisation and weight bearing</w:t>
      </w:r>
    </w:p>
    <w:p w14:paraId="0BE77A4F"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6 – Minimise the risk of another fracture</w:t>
      </w:r>
    </w:p>
    <w:p w14:paraId="4A4BEA90" w14:textId="77777777" w:rsidR="00447E50" w:rsidRPr="00414A6D" w:rsidRDefault="00447E50" w:rsidP="007B1510">
      <w:pPr>
        <w:pStyle w:val="ListParagraph"/>
        <w:numPr>
          <w:ilvl w:val="0"/>
          <w:numId w:val="21"/>
        </w:numPr>
        <w:spacing w:before="120" w:after="120"/>
        <w:jc w:val="both"/>
        <w:rPr>
          <w:rFonts w:ascii="Arial" w:hAnsi="Arial" w:cs="Arial"/>
          <w:sz w:val="22"/>
          <w:szCs w:val="22"/>
        </w:rPr>
      </w:pPr>
      <w:r w:rsidRPr="00414A6D">
        <w:rPr>
          <w:rFonts w:ascii="Arial" w:hAnsi="Arial" w:cs="Arial"/>
          <w:sz w:val="22"/>
          <w:szCs w:val="22"/>
        </w:rPr>
        <w:t>Quality statement 7 – Transition from hospital care.</w:t>
      </w:r>
    </w:p>
    <w:p w14:paraId="5D726330" w14:textId="77777777" w:rsidR="00447E50" w:rsidRPr="00414A6D" w:rsidRDefault="00AC2148" w:rsidP="00447E50">
      <w:pPr>
        <w:spacing w:before="120" w:after="120"/>
        <w:jc w:val="both"/>
        <w:rPr>
          <w:rFonts w:ascii="Arial" w:hAnsi="Arial" w:cs="Arial"/>
          <w:sz w:val="22"/>
          <w:szCs w:val="22"/>
        </w:rPr>
      </w:pPr>
      <w:r w:rsidRPr="00414A6D">
        <w:rPr>
          <w:rFonts w:ascii="Arial" w:hAnsi="Arial" w:cs="Arial"/>
          <w:sz w:val="22"/>
          <w:szCs w:val="22"/>
        </w:rPr>
        <w:t xml:space="preserve">The indicators for each of these quality statements are included in the ANZHFR dataset. </w:t>
      </w:r>
      <w:r w:rsidR="009E4992" w:rsidRPr="00414A6D">
        <w:rPr>
          <w:rFonts w:ascii="Arial" w:hAnsi="Arial" w:cs="Arial"/>
          <w:sz w:val="22"/>
          <w:szCs w:val="22"/>
        </w:rPr>
        <w:t xml:space="preserve">Furthermore, the Sub-Committee heard that there </w:t>
      </w:r>
      <w:r w:rsidR="00447E50" w:rsidRPr="00414A6D">
        <w:rPr>
          <w:rFonts w:ascii="Arial" w:hAnsi="Arial" w:cs="Arial"/>
          <w:sz w:val="22"/>
          <w:szCs w:val="22"/>
        </w:rPr>
        <w:t xml:space="preserve">may also be a need for information beyond that required to support reporting on the Hip Fracture </w:t>
      </w:r>
      <w:r w:rsidR="00560CC6" w:rsidRPr="00414A6D">
        <w:rPr>
          <w:rFonts w:ascii="Arial" w:hAnsi="Arial" w:cs="Arial"/>
          <w:sz w:val="22"/>
          <w:szCs w:val="22"/>
        </w:rPr>
        <w:t>CCS</w:t>
      </w:r>
      <w:r w:rsidR="00447E50" w:rsidRPr="00414A6D">
        <w:rPr>
          <w:rFonts w:ascii="Arial" w:hAnsi="Arial" w:cs="Arial"/>
          <w:sz w:val="22"/>
          <w:szCs w:val="22"/>
        </w:rPr>
        <w:t xml:space="preserve"> that can </w:t>
      </w:r>
      <w:r w:rsidR="009E4992" w:rsidRPr="00414A6D">
        <w:rPr>
          <w:rFonts w:ascii="Arial" w:hAnsi="Arial" w:cs="Arial"/>
          <w:sz w:val="22"/>
          <w:szCs w:val="22"/>
        </w:rPr>
        <w:t xml:space="preserve">be used by clinicians to support </w:t>
      </w:r>
      <w:r w:rsidR="00447E50" w:rsidRPr="00414A6D">
        <w:rPr>
          <w:rFonts w:ascii="Arial" w:hAnsi="Arial" w:cs="Arial"/>
          <w:sz w:val="22"/>
          <w:szCs w:val="22"/>
        </w:rPr>
        <w:t>quality improvement. Such information would include</w:t>
      </w:r>
      <w:r w:rsidR="009E4992" w:rsidRPr="00414A6D">
        <w:rPr>
          <w:rFonts w:ascii="Arial" w:hAnsi="Arial" w:cs="Arial"/>
          <w:sz w:val="22"/>
          <w:szCs w:val="22"/>
        </w:rPr>
        <w:t>, for example</w:t>
      </w:r>
      <w:r w:rsidR="00447E50" w:rsidRPr="00414A6D">
        <w:rPr>
          <w:rFonts w:ascii="Arial" w:hAnsi="Arial" w:cs="Arial"/>
          <w:sz w:val="22"/>
          <w:szCs w:val="22"/>
        </w:rPr>
        <w:t>:</w:t>
      </w:r>
    </w:p>
    <w:p w14:paraId="08541038" w14:textId="77777777" w:rsidR="00447E50" w:rsidRPr="00414A6D" w:rsidRDefault="00447E50" w:rsidP="007B1510">
      <w:pPr>
        <w:pStyle w:val="ListParagraph"/>
        <w:numPr>
          <w:ilvl w:val="0"/>
          <w:numId w:val="22"/>
        </w:numPr>
        <w:spacing w:before="120" w:after="120"/>
        <w:jc w:val="both"/>
        <w:rPr>
          <w:rFonts w:ascii="Arial" w:hAnsi="Arial" w:cs="Arial"/>
          <w:sz w:val="22"/>
          <w:szCs w:val="22"/>
        </w:rPr>
      </w:pPr>
      <w:r w:rsidRPr="00414A6D">
        <w:rPr>
          <w:rFonts w:ascii="Arial" w:hAnsi="Arial" w:cs="Arial"/>
          <w:sz w:val="22"/>
          <w:szCs w:val="22"/>
        </w:rPr>
        <w:t>System performance measures – such as length of stay and surgery cancellation rates</w:t>
      </w:r>
    </w:p>
    <w:p w14:paraId="1BFED76A" w14:textId="5B2059DE" w:rsidR="00447E50" w:rsidRPr="00414A6D" w:rsidRDefault="00447E50" w:rsidP="007B1510">
      <w:pPr>
        <w:pStyle w:val="ListParagraph"/>
        <w:numPr>
          <w:ilvl w:val="0"/>
          <w:numId w:val="22"/>
        </w:numPr>
        <w:spacing w:before="120" w:after="120"/>
        <w:jc w:val="both"/>
        <w:rPr>
          <w:rFonts w:ascii="Arial" w:hAnsi="Arial" w:cs="Arial"/>
          <w:sz w:val="22"/>
          <w:szCs w:val="22"/>
        </w:rPr>
      </w:pPr>
      <w:r w:rsidRPr="00414A6D">
        <w:rPr>
          <w:rFonts w:ascii="Arial" w:hAnsi="Arial" w:cs="Arial"/>
          <w:sz w:val="22"/>
          <w:szCs w:val="22"/>
        </w:rPr>
        <w:t>Patient experience measures not covered by the CC</w:t>
      </w:r>
      <w:r w:rsidR="00727A02">
        <w:rPr>
          <w:rFonts w:ascii="Arial" w:hAnsi="Arial" w:cs="Arial"/>
          <w:sz w:val="22"/>
          <w:szCs w:val="22"/>
        </w:rPr>
        <w:t>S</w:t>
      </w:r>
    </w:p>
    <w:p w14:paraId="1A9AB149" w14:textId="77777777" w:rsidR="00447E50" w:rsidRPr="00414A6D" w:rsidRDefault="00447E50" w:rsidP="007B1510">
      <w:pPr>
        <w:pStyle w:val="ListParagraph"/>
        <w:numPr>
          <w:ilvl w:val="0"/>
          <w:numId w:val="22"/>
        </w:numPr>
        <w:spacing w:before="120" w:after="120"/>
        <w:jc w:val="both"/>
        <w:rPr>
          <w:rFonts w:ascii="Arial" w:hAnsi="Arial" w:cs="Arial"/>
          <w:sz w:val="22"/>
          <w:szCs w:val="22"/>
        </w:rPr>
      </w:pPr>
      <w:r w:rsidRPr="00414A6D">
        <w:rPr>
          <w:rFonts w:ascii="Arial" w:hAnsi="Arial" w:cs="Arial"/>
          <w:sz w:val="22"/>
          <w:szCs w:val="22"/>
        </w:rPr>
        <w:t>Outcomes measures – that can demonstrate the benefits of quality improvements</w:t>
      </w:r>
      <w:r w:rsidR="007305E1" w:rsidRPr="00414A6D">
        <w:rPr>
          <w:rFonts w:ascii="Arial" w:hAnsi="Arial" w:cs="Arial"/>
          <w:sz w:val="22"/>
          <w:szCs w:val="22"/>
        </w:rPr>
        <w:t xml:space="preserve"> over time</w:t>
      </w:r>
      <w:r w:rsidR="00AC2148" w:rsidRPr="00414A6D">
        <w:rPr>
          <w:rFonts w:ascii="Arial" w:hAnsi="Arial" w:cs="Arial"/>
          <w:sz w:val="22"/>
          <w:szCs w:val="22"/>
        </w:rPr>
        <w:t>, including Patient Reported Outcome Measures</w:t>
      </w:r>
    </w:p>
    <w:p w14:paraId="3B9004B4" w14:textId="77777777" w:rsidR="009E4992" w:rsidRPr="00414A6D" w:rsidRDefault="00447E50" w:rsidP="007B1510">
      <w:pPr>
        <w:pStyle w:val="ListParagraph"/>
        <w:numPr>
          <w:ilvl w:val="0"/>
          <w:numId w:val="22"/>
        </w:numPr>
        <w:spacing w:before="120" w:after="120"/>
        <w:jc w:val="both"/>
        <w:rPr>
          <w:rFonts w:ascii="Arial" w:hAnsi="Arial" w:cs="Arial"/>
          <w:sz w:val="22"/>
          <w:szCs w:val="22"/>
        </w:rPr>
      </w:pPr>
      <w:r w:rsidRPr="00414A6D">
        <w:rPr>
          <w:rFonts w:ascii="Arial" w:hAnsi="Arial" w:cs="Arial"/>
          <w:sz w:val="22"/>
          <w:szCs w:val="22"/>
        </w:rPr>
        <w:t>Information on cost drivers.</w:t>
      </w:r>
    </w:p>
    <w:p w14:paraId="1F11364C" w14:textId="77777777" w:rsidR="007028EB" w:rsidRPr="00414A6D" w:rsidRDefault="007028EB" w:rsidP="009E4992">
      <w:pPr>
        <w:pStyle w:val="ListParagraph"/>
        <w:spacing w:before="120" w:after="120"/>
        <w:ind w:left="0"/>
        <w:jc w:val="both"/>
        <w:rPr>
          <w:rFonts w:ascii="Arial" w:hAnsi="Arial" w:cs="Arial"/>
          <w:sz w:val="22"/>
          <w:szCs w:val="22"/>
        </w:rPr>
      </w:pPr>
    </w:p>
    <w:p w14:paraId="725CD155" w14:textId="77777777" w:rsidR="009E4992" w:rsidRPr="00414A6D" w:rsidRDefault="009E4992" w:rsidP="009E4992">
      <w:pPr>
        <w:pStyle w:val="ListParagraph"/>
        <w:spacing w:before="120" w:after="120"/>
        <w:ind w:left="0"/>
        <w:jc w:val="both"/>
        <w:rPr>
          <w:rFonts w:ascii="Arial" w:hAnsi="Arial" w:cs="Arial"/>
          <w:sz w:val="22"/>
          <w:szCs w:val="22"/>
        </w:rPr>
      </w:pPr>
      <w:r w:rsidRPr="00414A6D">
        <w:rPr>
          <w:rFonts w:ascii="Arial" w:hAnsi="Arial" w:cs="Arial"/>
          <w:sz w:val="22"/>
          <w:szCs w:val="22"/>
        </w:rPr>
        <w:t xml:space="preserve">Figure </w:t>
      </w:r>
      <w:r w:rsidR="00370A06" w:rsidRPr="00414A6D">
        <w:rPr>
          <w:rFonts w:ascii="Arial" w:hAnsi="Arial" w:cs="Arial"/>
          <w:sz w:val="22"/>
          <w:szCs w:val="22"/>
        </w:rPr>
        <w:t>2</w:t>
      </w:r>
      <w:r w:rsidRPr="00414A6D">
        <w:rPr>
          <w:rFonts w:ascii="Arial" w:hAnsi="Arial" w:cs="Arial"/>
          <w:sz w:val="22"/>
          <w:szCs w:val="22"/>
        </w:rPr>
        <w:t xml:space="preserve"> illustrates how information to inform best-practice price and funding determinations can be considered a subset of information needed across all the Hip Fracture </w:t>
      </w:r>
      <w:r w:rsidR="00560CC6" w:rsidRPr="00414A6D">
        <w:rPr>
          <w:rFonts w:ascii="Arial" w:hAnsi="Arial" w:cs="Arial"/>
          <w:sz w:val="22"/>
          <w:szCs w:val="22"/>
        </w:rPr>
        <w:t>CCS</w:t>
      </w:r>
      <w:r w:rsidRPr="00414A6D">
        <w:rPr>
          <w:rFonts w:ascii="Arial" w:hAnsi="Arial" w:cs="Arial"/>
          <w:sz w:val="22"/>
          <w:szCs w:val="22"/>
        </w:rPr>
        <w:t xml:space="preserve">, which can be considered a subset of information that clinicians may desire to support quality improvement. </w:t>
      </w:r>
      <w:r w:rsidR="0018750E" w:rsidRPr="00414A6D">
        <w:rPr>
          <w:rFonts w:ascii="Arial" w:hAnsi="Arial" w:cs="Arial"/>
          <w:sz w:val="22"/>
          <w:szCs w:val="22"/>
        </w:rPr>
        <w:t>Appendix G</w:t>
      </w:r>
      <w:r w:rsidRPr="00414A6D">
        <w:rPr>
          <w:rFonts w:ascii="Arial" w:hAnsi="Arial" w:cs="Arial"/>
          <w:sz w:val="22"/>
          <w:szCs w:val="22"/>
        </w:rPr>
        <w:t xml:space="preserve"> provides a broad list of possible measures across these categories.</w:t>
      </w:r>
    </w:p>
    <w:p w14:paraId="6DD78DE8" w14:textId="77777777" w:rsidR="009E4992" w:rsidRPr="00414A6D" w:rsidRDefault="009E4992" w:rsidP="009E4992">
      <w:pPr>
        <w:pStyle w:val="ListParagraph"/>
        <w:spacing w:before="120" w:after="120"/>
        <w:ind w:left="360"/>
        <w:jc w:val="both"/>
        <w:rPr>
          <w:rFonts w:ascii="Arial" w:hAnsi="Arial" w:cs="Arial"/>
          <w:sz w:val="22"/>
          <w:szCs w:val="22"/>
        </w:rPr>
      </w:pPr>
    </w:p>
    <w:p w14:paraId="016BEA02" w14:textId="77777777" w:rsidR="00447E50" w:rsidRPr="00727A02" w:rsidRDefault="00447E50" w:rsidP="00447E50">
      <w:pPr>
        <w:keepNext/>
        <w:spacing w:before="120" w:after="120"/>
        <w:jc w:val="both"/>
        <w:rPr>
          <w:rFonts w:ascii="Arial" w:hAnsi="Arial" w:cs="Arial"/>
          <w:b/>
          <w:sz w:val="22"/>
          <w:szCs w:val="22"/>
        </w:rPr>
      </w:pPr>
      <w:r w:rsidRPr="00727A02">
        <w:rPr>
          <w:rFonts w:ascii="Arial" w:hAnsi="Arial" w:cs="Arial"/>
          <w:b/>
          <w:sz w:val="22"/>
          <w:szCs w:val="22"/>
        </w:rPr>
        <w:lastRenderedPageBreak/>
        <w:t>Figure</w:t>
      </w:r>
      <w:r w:rsidR="009C6E73" w:rsidRPr="00727A02">
        <w:rPr>
          <w:rFonts w:ascii="Arial" w:hAnsi="Arial" w:cs="Arial"/>
          <w:b/>
          <w:sz w:val="22"/>
          <w:szCs w:val="22"/>
        </w:rPr>
        <w:t xml:space="preserve"> </w:t>
      </w:r>
      <w:r w:rsidR="00370A06" w:rsidRPr="00727A02">
        <w:rPr>
          <w:rFonts w:ascii="Arial" w:hAnsi="Arial" w:cs="Arial"/>
          <w:b/>
          <w:sz w:val="22"/>
          <w:szCs w:val="22"/>
        </w:rPr>
        <w:t>2</w:t>
      </w:r>
      <w:r w:rsidRPr="00727A02">
        <w:rPr>
          <w:rFonts w:ascii="Arial" w:hAnsi="Arial" w:cs="Arial"/>
          <w:b/>
          <w:sz w:val="22"/>
          <w:szCs w:val="22"/>
        </w:rPr>
        <w:t xml:space="preserve">: </w:t>
      </w:r>
      <w:r w:rsidR="009C6E73" w:rsidRPr="00727A02">
        <w:rPr>
          <w:rFonts w:ascii="Arial" w:hAnsi="Arial" w:cs="Arial"/>
          <w:b/>
          <w:sz w:val="22"/>
          <w:szCs w:val="22"/>
        </w:rPr>
        <w:t>S</w:t>
      </w:r>
      <w:r w:rsidRPr="00727A02">
        <w:rPr>
          <w:rFonts w:ascii="Arial" w:hAnsi="Arial" w:cs="Arial"/>
          <w:b/>
          <w:sz w:val="22"/>
          <w:szCs w:val="22"/>
        </w:rPr>
        <w:t>ubsets of continuous improvement information</w:t>
      </w:r>
      <w:r w:rsidR="009C6E73" w:rsidRPr="00727A02">
        <w:rPr>
          <w:rFonts w:ascii="Arial" w:hAnsi="Arial" w:cs="Arial"/>
          <w:b/>
          <w:sz w:val="22"/>
          <w:szCs w:val="22"/>
        </w:rPr>
        <w:t xml:space="preserve"> in relation to hip fracture.</w:t>
      </w:r>
    </w:p>
    <w:p w14:paraId="23FCF16C" w14:textId="77777777" w:rsidR="00447E50" w:rsidRPr="00414A6D" w:rsidRDefault="009E4992" w:rsidP="00447E50">
      <w:pPr>
        <w:spacing w:before="120" w:after="120"/>
        <w:jc w:val="both"/>
        <w:rPr>
          <w:rFonts w:ascii="Arial" w:hAnsi="Arial" w:cs="Arial"/>
          <w:b/>
          <w:sz w:val="22"/>
          <w:szCs w:val="22"/>
        </w:rPr>
      </w:pPr>
      <w:r w:rsidRPr="00414A6D">
        <w:rPr>
          <w:rFonts w:ascii="Arial" w:hAnsi="Arial" w:cs="Arial"/>
          <w:b/>
          <w:noProof/>
          <w:sz w:val="22"/>
          <w:szCs w:val="22"/>
        </w:rPr>
        <mc:AlternateContent>
          <mc:Choice Requires="wpg">
            <w:drawing>
              <wp:anchor distT="0" distB="0" distL="114300" distR="114300" simplePos="0" relativeHeight="251661312" behindDoc="0" locked="0" layoutInCell="1" allowOverlap="1" wp14:anchorId="794DF263" wp14:editId="3E58AC76">
                <wp:simplePos x="0" y="0"/>
                <wp:positionH relativeFrom="column">
                  <wp:posOffset>2695433</wp:posOffset>
                </wp:positionH>
                <wp:positionV relativeFrom="paragraph">
                  <wp:posOffset>195002</wp:posOffset>
                </wp:positionV>
                <wp:extent cx="1581150" cy="199898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1581150" cy="1998980"/>
                          <a:chOff x="143339" y="0"/>
                          <a:chExt cx="1581150" cy="1586607"/>
                        </a:xfrm>
                      </wpg:grpSpPr>
                      <wps:wsp>
                        <wps:cNvPr id="4" name="Rectangle 4"/>
                        <wps:cNvSpPr/>
                        <wps:spPr>
                          <a:xfrm>
                            <a:off x="143339" y="0"/>
                            <a:ext cx="1581150" cy="1586607"/>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17479" y="92074"/>
                            <a:ext cx="1176020" cy="1393907"/>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19C5C" w14:textId="77777777" w:rsidR="007D3B70" w:rsidRPr="005A5464" w:rsidRDefault="007D3B70" w:rsidP="00447E50">
                              <w:pPr>
                                <w:rPr>
                                  <w:rFonts w:ascii="Arial" w:hAnsi="Arial" w:cs="Arial"/>
                                  <w:lang w:val="en-US"/>
                                </w:rPr>
                              </w:pPr>
                              <w:r w:rsidRPr="005A5464">
                                <w:rPr>
                                  <w:rFonts w:ascii="Arial" w:hAnsi="Arial" w:cs="Arial"/>
                                  <w:lang w:val="en-US"/>
                                </w:rPr>
                                <w:t>Hip Fracture CCS indicators selected for inclusion in a best-practice pricing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 o:spid="_x0000_s1026" style="position:absolute;left:0;text-align:left;margin-left:212.25pt;margin-top:15.35pt;width:124.5pt;height:157.4pt;z-index:251661312;mso-height-relative:margin" coordorigin="1433" coordsize="15811,15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">
                <v:rect id="Rectangle 4" o:spid="_x0000_s1027" style="position:absolute;left:1433;width:15811;height:15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iksMA&#10;AADaAAAADwAAAGRycy9kb3ducmV2LnhtbESPQWvCQBSE70L/w/IKvelGa4tEN6FoBfEWm0OPj+wz&#10;iWbfbrPbGP99t1DocZiZb5hNPppODNT71rKC+SwBQVxZ3XKtoPzYT1cgfEDW2FkmBXfykGcPkw2m&#10;2t64oOEUahEh7FNU0ITgUil91ZBBP7OOOHpn2xsMUfa11D3eItx0cpEkr9Jgy3GhQUfbhqrr6dso&#10;6C4vxVe527rCHUfrjsPz53vNSj09jm9rEIHG8B/+ax+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BiksMAAADaAAAADwAAAAAAAAAAAAAAAACYAgAAZHJzL2Rv&#10;d25yZXYueG1sUEsFBgAAAAAEAAQA9QAAAIgDAAAAAA==&#10;" fillcolor="#95b3d7 [1940]" strokecolor="#243f60 [1604]" strokeweight="2pt"/>
                <v:shapetype id="_x0000_t202" coordsize="21600,21600" o:spt="202" path="m,l,21600r21600,l21600,xe">
                  <v:stroke joinstyle="miter"/>
                  <v:path gradientshapeok="t" o:connecttype="rect"/>
                </v:shapetype>
                <v:shape id="Text Box 7" o:spid="_x0000_s1028" type="#_x0000_t202" style="position:absolute;left:2174;top:920;width:11760;height:1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LX8IA&#10;AADaAAAADwAAAGRycy9kb3ducmV2LnhtbESPwW7CMBBE70j8g7VIvYFTDoWmGFRVINFbA3zAKl7i&#10;KPE6sl2S8PV1JSSOo5l5o9nsBtuKG/lQO1bwushAEJdO11wpuJwP8zWIEJE1to5JwUgBdtvpZIO5&#10;dj0XdDvFSiQIhxwVmBi7XMpQGrIYFq4jTt7VeYsxSV9J7bFPcNvKZZa9SYs1pwWDHX0ZKpvTr1VQ&#10;VO/lz9iP1/tofLM3301xvl+UepkNnx8gIg3xGX60j1rBCv6vp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ktfwgAAANoAAAAPAAAAAAAAAAAAAAAAAJgCAABkcnMvZG93&#10;bnJldi54bWxQSwUGAAAAAAQABAD1AAAAhwMAAAAA&#10;" fillcolor="#95b3d7 [1940]" stroked="f" strokeweight=".5pt">
                  <v:textbox>
                    <w:txbxContent>
                      <w:p w14:paraId="6BC19C5C" w14:textId="77777777" w:rsidR="007D3B70" w:rsidRPr="005A5464" w:rsidRDefault="007D3B70" w:rsidP="00447E50">
                        <w:pPr>
                          <w:rPr>
                            <w:rFonts w:ascii="Arial" w:hAnsi="Arial" w:cs="Arial"/>
                            <w:lang w:val="en-US"/>
                          </w:rPr>
                        </w:pPr>
                        <w:r w:rsidRPr="005A5464">
                          <w:rPr>
                            <w:rFonts w:ascii="Arial" w:hAnsi="Arial" w:cs="Arial"/>
                            <w:lang w:val="en-US"/>
                          </w:rPr>
                          <w:t>Hip Fracture CCS indicators selected for inclusion in a best-practice pricing scheme</w:t>
                        </w:r>
                      </w:p>
                    </w:txbxContent>
                  </v:textbox>
                </v:shape>
              </v:group>
            </w:pict>
          </mc:Fallback>
        </mc:AlternateContent>
      </w:r>
      <w:r w:rsidRPr="00414A6D">
        <w:rPr>
          <w:rFonts w:ascii="Arial" w:hAnsi="Arial" w:cs="Arial"/>
          <w:b/>
          <w:noProof/>
          <w:sz w:val="22"/>
          <w:szCs w:val="22"/>
        </w:rPr>
        <mc:AlternateContent>
          <mc:Choice Requires="wpg">
            <w:drawing>
              <wp:anchor distT="0" distB="0" distL="114300" distR="114300" simplePos="0" relativeHeight="251660288" behindDoc="0" locked="0" layoutInCell="1" allowOverlap="1" wp14:anchorId="6ADD054E" wp14:editId="3C216464">
                <wp:simplePos x="0" y="0"/>
                <wp:positionH relativeFrom="column">
                  <wp:posOffset>1644555</wp:posOffset>
                </wp:positionH>
                <wp:positionV relativeFrom="paragraph">
                  <wp:posOffset>100576</wp:posOffset>
                </wp:positionV>
                <wp:extent cx="2856110" cy="2210938"/>
                <wp:effectExtent l="0" t="0" r="20955" b="18415"/>
                <wp:wrapNone/>
                <wp:docPr id="9" name="Group 9"/>
                <wp:cNvGraphicFramePr/>
                <a:graphic xmlns:a="http://schemas.openxmlformats.org/drawingml/2006/main">
                  <a:graphicData uri="http://schemas.microsoft.com/office/word/2010/wordprocessingGroup">
                    <wpg:wgp>
                      <wpg:cNvGrpSpPr/>
                      <wpg:grpSpPr>
                        <a:xfrm>
                          <a:off x="0" y="0"/>
                          <a:ext cx="2856110" cy="2210938"/>
                          <a:chOff x="0" y="0"/>
                          <a:chExt cx="2920365" cy="1798955"/>
                        </a:xfrm>
                      </wpg:grpSpPr>
                      <wps:wsp>
                        <wps:cNvPr id="10" name="Rectangle 10"/>
                        <wps:cNvSpPr/>
                        <wps:spPr>
                          <a:xfrm>
                            <a:off x="0" y="0"/>
                            <a:ext cx="2920365" cy="179895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64255" y="217479"/>
                            <a:ext cx="1136273" cy="1383956"/>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AD6B3" w14:textId="77777777" w:rsidR="007D3B70" w:rsidRPr="005A5464" w:rsidRDefault="007D3B70" w:rsidP="00447E50">
                              <w:pPr>
                                <w:rPr>
                                  <w:rFonts w:ascii="Arial" w:hAnsi="Arial" w:cs="Arial"/>
                                  <w:lang w:val="en-US"/>
                                </w:rPr>
                              </w:pPr>
                              <w:r w:rsidRPr="005A5464">
                                <w:rPr>
                                  <w:rFonts w:ascii="Arial" w:hAnsi="Arial" w:cs="Arial"/>
                                  <w:lang w:val="en-US"/>
                                </w:rPr>
                                <w:t>All Hip Fracture CCS indicators (where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9" style="position:absolute;left:0;text-align:left;margin-left:129.5pt;margin-top:7.9pt;width:224.9pt;height:174.1pt;z-index:251660288;mso-width-relative:margin;mso-height-relative:margin" coordsize="29203,1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">
                <v:rect id="Rectangle 10" o:spid="_x0000_s1030" style="position:absolute;width:29203;height:17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CsEA&#10;AADbAAAADwAAAGRycy9kb3ducmV2LnhtbESPQWvCQBCF7wX/wzJCb3WjB7tEV1FBEHtqKngdsmMS&#10;zM6G7Griv+8cCr3N8N689816O/pWPamPTWAL81kGirgMruHKwuXn+GFAxYTssA1MFl4UYbuZvK0x&#10;d2Hgb3oWqVISwjFHC3VKXa51LGvyGGehIxbtFnqPSda+0q7HQcJ9qxdZttQeG5aGGjs61FTei4e3&#10;8BiL25m/jPPXT4PzgUxR7o2179NxtwKVaEz/5r/rkxN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TArBAAAA2wAAAA8AAAAAAAAAAAAAAAAAmAIAAGRycy9kb3du&#10;cmV2LnhtbFBLBQYAAAAABAAEAPUAAACGAwAAAAA=&#10;" fillcolor="#b8cce4 [1300]" strokecolor="#243f60 [1604]" strokeweight="2pt"/>
                <v:shape id="Text Box 11" o:spid="_x0000_s1031" type="#_x0000_t202" style="position:absolute;left:642;top:2174;width:11363;height:1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8B8MA&#10;AADbAAAADwAAAGRycy9kb3ducmV2LnhtbERPTWvCQBC9C/6HZYTedNceWk1dRYS2FnqottAeh+w0&#10;SZuZDdk1Rn99tyB4m8f7nMWq51p11IbKi4XpxIAiyb2rpLDw8f44noEKEcVh7YUsnCjAajkcLDBz&#10;/ig76vaxUClEQoYWyhibTOuQl8QYJr4hSdy3bxljgm2hXYvHFM61vjXmTjNWkhpKbGhTUv67P7AF&#10;uafu+dOc56+bn5ev9ZPhnN/Y2ptRv34AFamPV/HFvXVp/hT+f0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N8B8MAAADbAAAADwAAAAAAAAAAAAAAAACYAgAAZHJzL2Rv&#10;d25yZXYueG1sUEsFBgAAAAAEAAQA9QAAAIgDAAAAAA==&#10;" fillcolor="#b8cce4 [1300]" stroked="f" strokeweight=".5pt">
                  <v:textbox>
                    <w:txbxContent>
                      <w:p w14:paraId="5C0AD6B3" w14:textId="77777777" w:rsidR="007D3B70" w:rsidRPr="005A5464" w:rsidRDefault="007D3B70" w:rsidP="00447E50">
                        <w:pPr>
                          <w:rPr>
                            <w:rFonts w:ascii="Arial" w:hAnsi="Arial" w:cs="Arial"/>
                            <w:lang w:val="en-US"/>
                          </w:rPr>
                        </w:pPr>
                        <w:r w:rsidRPr="005A5464">
                          <w:rPr>
                            <w:rFonts w:ascii="Arial" w:hAnsi="Arial" w:cs="Arial"/>
                            <w:lang w:val="en-US"/>
                          </w:rPr>
                          <w:t>All Hip Fracture CCS indicators (where possible)</w:t>
                        </w:r>
                      </w:p>
                    </w:txbxContent>
                  </v:textbox>
                </v:shape>
              </v:group>
            </w:pict>
          </mc:Fallback>
        </mc:AlternateContent>
      </w:r>
      <w:r w:rsidR="00447E50" w:rsidRPr="00414A6D">
        <w:rPr>
          <w:rFonts w:ascii="Arial" w:hAnsi="Arial" w:cs="Arial"/>
          <w:b/>
          <w:noProof/>
          <w:sz w:val="22"/>
          <w:szCs w:val="22"/>
        </w:rPr>
        <mc:AlternateContent>
          <mc:Choice Requires="wps">
            <w:drawing>
              <wp:anchor distT="0" distB="0" distL="114300" distR="114300" simplePos="0" relativeHeight="251659264" behindDoc="0" locked="0" layoutInCell="1" allowOverlap="1" wp14:anchorId="68152F43" wp14:editId="0FC2FC81">
                <wp:simplePos x="0" y="0"/>
                <wp:positionH relativeFrom="column">
                  <wp:posOffset>88454</wp:posOffset>
                </wp:positionH>
                <wp:positionV relativeFrom="paragraph">
                  <wp:posOffset>262255</wp:posOffset>
                </wp:positionV>
                <wp:extent cx="1613466" cy="1675130"/>
                <wp:effectExtent l="0" t="0" r="6350" b="1270"/>
                <wp:wrapNone/>
                <wp:docPr id="12" name="Text Box 12"/>
                <wp:cNvGraphicFramePr/>
                <a:graphic xmlns:a="http://schemas.openxmlformats.org/drawingml/2006/main">
                  <a:graphicData uri="http://schemas.microsoft.com/office/word/2010/wordprocessingShape">
                    <wps:wsp>
                      <wps:cNvSpPr txBox="1"/>
                      <wps:spPr>
                        <a:xfrm>
                          <a:off x="0" y="0"/>
                          <a:ext cx="1613466" cy="167513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E0213" w14:textId="77777777" w:rsidR="007D3B70" w:rsidRPr="005A5464" w:rsidRDefault="007D3B70" w:rsidP="00447E50">
                            <w:pPr>
                              <w:rPr>
                                <w:rFonts w:ascii="Arial" w:hAnsi="Arial" w:cs="Arial"/>
                                <w:lang w:val="en-US"/>
                              </w:rPr>
                            </w:pPr>
                            <w:r w:rsidRPr="005A5464">
                              <w:rPr>
                                <w:rFonts w:ascii="Arial" w:hAnsi="Arial" w:cs="Arial"/>
                                <w:lang w:val="en-US"/>
                              </w:rPr>
                              <w:t>Broader continuous improvement measures</w:t>
                            </w:r>
                          </w:p>
                          <w:p w14:paraId="7EF2805E" w14:textId="77777777" w:rsidR="007D3B70" w:rsidRPr="005A5464" w:rsidRDefault="007D3B70" w:rsidP="007B1510">
                            <w:pPr>
                              <w:pStyle w:val="ListParagraph"/>
                              <w:numPr>
                                <w:ilvl w:val="0"/>
                                <w:numId w:val="23"/>
                              </w:numPr>
                              <w:rPr>
                                <w:rFonts w:ascii="Arial" w:hAnsi="Arial" w:cs="Arial"/>
                                <w:lang w:val="en-US"/>
                              </w:rPr>
                            </w:pPr>
                            <w:r w:rsidRPr="005A5464">
                              <w:rPr>
                                <w:rFonts w:ascii="Arial" w:hAnsi="Arial" w:cs="Arial"/>
                                <w:lang w:val="en-US"/>
                              </w:rPr>
                              <w:t>System performance</w:t>
                            </w:r>
                          </w:p>
                          <w:p w14:paraId="3833A4D0" w14:textId="77777777" w:rsidR="007D3B70" w:rsidRPr="005A5464" w:rsidRDefault="007D3B70" w:rsidP="007B1510">
                            <w:pPr>
                              <w:pStyle w:val="ListParagraph"/>
                              <w:numPr>
                                <w:ilvl w:val="0"/>
                                <w:numId w:val="23"/>
                              </w:numPr>
                              <w:rPr>
                                <w:rFonts w:ascii="Arial" w:hAnsi="Arial" w:cs="Arial"/>
                                <w:lang w:val="en-US"/>
                              </w:rPr>
                            </w:pPr>
                            <w:r w:rsidRPr="005A5464">
                              <w:rPr>
                                <w:rFonts w:ascii="Arial" w:hAnsi="Arial" w:cs="Arial"/>
                                <w:lang w:val="en-US"/>
                              </w:rPr>
                              <w:t>Patient Experience</w:t>
                            </w:r>
                          </w:p>
                          <w:p w14:paraId="30469369" w14:textId="77777777" w:rsidR="007D3B70" w:rsidRPr="005A5464" w:rsidRDefault="007D3B70" w:rsidP="007B1510">
                            <w:pPr>
                              <w:pStyle w:val="ListParagraph"/>
                              <w:numPr>
                                <w:ilvl w:val="0"/>
                                <w:numId w:val="23"/>
                              </w:numPr>
                              <w:rPr>
                                <w:rFonts w:ascii="Arial" w:hAnsi="Arial" w:cs="Arial"/>
                                <w:lang w:val="en-US"/>
                              </w:rPr>
                            </w:pPr>
                            <w:r w:rsidRPr="005A5464">
                              <w:rPr>
                                <w:rFonts w:ascii="Arial" w:hAnsi="Arial" w:cs="Arial"/>
                                <w:lang w:val="en-US"/>
                              </w:rPr>
                              <w:t>Outcomes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6.95pt;margin-top:20.65pt;width:127.05pt;height:1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" fillcolor="#dbe5f1 [660]" stroked="f" strokeweight=".5pt">
                <v:textbox>
                  <w:txbxContent>
                    <w:p w14:paraId="4C8E0213" w14:textId="77777777" w:rsidR="007D3B70" w:rsidRPr="005A5464" w:rsidRDefault="007D3B70" w:rsidP="00447E50">
                      <w:pPr>
                        <w:rPr>
                          <w:rFonts w:ascii="Arial" w:hAnsi="Arial" w:cs="Arial"/>
                          <w:lang w:val="en-US"/>
                        </w:rPr>
                      </w:pPr>
                      <w:r w:rsidRPr="005A5464">
                        <w:rPr>
                          <w:rFonts w:ascii="Arial" w:hAnsi="Arial" w:cs="Arial"/>
                          <w:lang w:val="en-US"/>
                        </w:rPr>
                        <w:t>Broader continuous improvement measures</w:t>
                      </w:r>
                    </w:p>
                    <w:p w14:paraId="7EF2805E" w14:textId="77777777" w:rsidR="007D3B70" w:rsidRPr="005A5464" w:rsidRDefault="007D3B70" w:rsidP="007B1510">
                      <w:pPr>
                        <w:pStyle w:val="ListParagraph"/>
                        <w:numPr>
                          <w:ilvl w:val="0"/>
                          <w:numId w:val="23"/>
                        </w:numPr>
                        <w:rPr>
                          <w:rFonts w:ascii="Arial" w:hAnsi="Arial" w:cs="Arial"/>
                          <w:lang w:val="en-US"/>
                        </w:rPr>
                      </w:pPr>
                      <w:r w:rsidRPr="005A5464">
                        <w:rPr>
                          <w:rFonts w:ascii="Arial" w:hAnsi="Arial" w:cs="Arial"/>
                          <w:lang w:val="en-US"/>
                        </w:rPr>
                        <w:t>System performance</w:t>
                      </w:r>
                    </w:p>
                    <w:p w14:paraId="3833A4D0" w14:textId="77777777" w:rsidR="007D3B70" w:rsidRPr="005A5464" w:rsidRDefault="007D3B70" w:rsidP="007B1510">
                      <w:pPr>
                        <w:pStyle w:val="ListParagraph"/>
                        <w:numPr>
                          <w:ilvl w:val="0"/>
                          <w:numId w:val="23"/>
                        </w:numPr>
                        <w:rPr>
                          <w:rFonts w:ascii="Arial" w:hAnsi="Arial" w:cs="Arial"/>
                          <w:lang w:val="en-US"/>
                        </w:rPr>
                      </w:pPr>
                      <w:r w:rsidRPr="005A5464">
                        <w:rPr>
                          <w:rFonts w:ascii="Arial" w:hAnsi="Arial" w:cs="Arial"/>
                          <w:lang w:val="en-US"/>
                        </w:rPr>
                        <w:t>Patient Experience</w:t>
                      </w:r>
                    </w:p>
                    <w:p w14:paraId="30469369" w14:textId="77777777" w:rsidR="007D3B70" w:rsidRPr="005A5464" w:rsidRDefault="007D3B70" w:rsidP="007B1510">
                      <w:pPr>
                        <w:pStyle w:val="ListParagraph"/>
                        <w:numPr>
                          <w:ilvl w:val="0"/>
                          <w:numId w:val="23"/>
                        </w:numPr>
                        <w:rPr>
                          <w:rFonts w:ascii="Arial" w:hAnsi="Arial" w:cs="Arial"/>
                          <w:lang w:val="en-US"/>
                        </w:rPr>
                      </w:pPr>
                      <w:r w:rsidRPr="005A5464">
                        <w:rPr>
                          <w:rFonts w:ascii="Arial" w:hAnsi="Arial" w:cs="Arial"/>
                          <w:lang w:val="en-US"/>
                        </w:rPr>
                        <w:t>Outcomes measures</w:t>
                      </w:r>
                    </w:p>
                  </w:txbxContent>
                </v:textbox>
              </v:shape>
            </w:pict>
          </mc:Fallback>
        </mc:AlternateContent>
      </w:r>
      <w:r w:rsidR="00447E50" w:rsidRPr="00414A6D">
        <w:rPr>
          <w:rFonts w:ascii="Arial" w:hAnsi="Arial" w:cs="Arial"/>
          <w:b/>
          <w:noProof/>
          <w:sz w:val="22"/>
          <w:szCs w:val="22"/>
        </w:rPr>
        <mc:AlternateContent>
          <mc:Choice Requires="wps">
            <w:drawing>
              <wp:inline distT="0" distB="0" distL="0" distR="0" wp14:anchorId="465D8833" wp14:editId="0D3EF43B">
                <wp:extent cx="4720281" cy="2545308"/>
                <wp:effectExtent l="0" t="0" r="23495" b="26670"/>
                <wp:docPr id="13" name="Rectangle 13"/>
                <wp:cNvGraphicFramePr/>
                <a:graphic xmlns:a="http://schemas.openxmlformats.org/drawingml/2006/main">
                  <a:graphicData uri="http://schemas.microsoft.com/office/word/2010/wordprocessingShape">
                    <wps:wsp>
                      <wps:cNvSpPr/>
                      <wps:spPr>
                        <a:xfrm>
                          <a:off x="0" y="0"/>
                          <a:ext cx="4720281" cy="254530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EDC0998" id="Rectangle 13" o:spid="_x0000_s1026" style="width:371.7pt;height:20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" fillcolor="#dbe5f1 [660]" strokecolor="#243f60 [1604]" strokeweight="2pt">
                <w10:anchorlock/>
              </v:rect>
            </w:pict>
          </mc:Fallback>
        </mc:AlternateContent>
      </w:r>
    </w:p>
    <w:p w14:paraId="39C67389" w14:textId="178297F7" w:rsidR="00447E50" w:rsidRPr="00414A6D" w:rsidRDefault="00261503" w:rsidP="00D206A4">
      <w:pPr>
        <w:pStyle w:val="Heading2"/>
        <w:numPr>
          <w:ilvl w:val="0"/>
          <w:numId w:val="0"/>
        </w:numPr>
        <w:spacing w:before="0" w:after="0"/>
        <w:ind w:left="227"/>
        <w:jc w:val="both"/>
        <w:rPr>
          <w:i w:val="0"/>
          <w:sz w:val="22"/>
        </w:rPr>
      </w:pPr>
      <w:bookmarkStart w:id="27" w:name="_Toc426633811"/>
      <w:r>
        <w:rPr>
          <w:i w:val="0"/>
          <w:sz w:val="22"/>
        </w:rPr>
        <w:t>5</w:t>
      </w:r>
      <w:r w:rsidR="00447E50" w:rsidRPr="00414A6D">
        <w:rPr>
          <w:i w:val="0"/>
          <w:sz w:val="22"/>
        </w:rPr>
        <w:t>.2</w:t>
      </w:r>
      <w:r w:rsidR="00447E50" w:rsidRPr="00414A6D">
        <w:rPr>
          <w:i w:val="0"/>
          <w:sz w:val="22"/>
        </w:rPr>
        <w:tab/>
        <w:t>The audience and timing of</w:t>
      </w:r>
      <w:r w:rsidR="00AC2148" w:rsidRPr="00414A6D">
        <w:rPr>
          <w:i w:val="0"/>
          <w:sz w:val="22"/>
        </w:rPr>
        <w:t xml:space="preserve"> providing quality improvement</w:t>
      </w:r>
      <w:r w:rsidR="00447E50" w:rsidRPr="00414A6D">
        <w:rPr>
          <w:i w:val="0"/>
          <w:sz w:val="22"/>
        </w:rPr>
        <w:t xml:space="preserve"> information</w:t>
      </w:r>
      <w:bookmarkEnd w:id="27"/>
      <w:r w:rsidR="00447E50" w:rsidRPr="00414A6D">
        <w:rPr>
          <w:i w:val="0"/>
          <w:sz w:val="22"/>
        </w:rPr>
        <w:t xml:space="preserve"> </w:t>
      </w:r>
    </w:p>
    <w:p w14:paraId="0D4B0FB3" w14:textId="77777777" w:rsidR="00447E50" w:rsidRPr="00414A6D" w:rsidRDefault="009E4992" w:rsidP="00370A06">
      <w:pPr>
        <w:spacing w:after="120"/>
        <w:jc w:val="both"/>
        <w:rPr>
          <w:rFonts w:ascii="Arial" w:hAnsi="Arial" w:cs="Arial"/>
          <w:sz w:val="22"/>
          <w:szCs w:val="22"/>
        </w:rPr>
      </w:pPr>
      <w:r w:rsidRPr="00414A6D">
        <w:rPr>
          <w:rFonts w:ascii="Arial" w:hAnsi="Arial" w:cs="Arial"/>
          <w:sz w:val="22"/>
          <w:szCs w:val="22"/>
        </w:rPr>
        <w:t>The</w:t>
      </w:r>
      <w:r w:rsidR="00447E50" w:rsidRPr="00414A6D">
        <w:rPr>
          <w:rFonts w:ascii="Arial" w:hAnsi="Arial" w:cs="Arial"/>
          <w:sz w:val="22"/>
          <w:szCs w:val="22"/>
        </w:rPr>
        <w:t xml:space="preserve"> target audience for quality improvement information is clinical teams and hospital </w:t>
      </w:r>
      <w:r w:rsidR="005B56FF" w:rsidRPr="00414A6D">
        <w:rPr>
          <w:rFonts w:ascii="Arial" w:hAnsi="Arial" w:cs="Arial"/>
          <w:sz w:val="22"/>
          <w:szCs w:val="22"/>
        </w:rPr>
        <w:t>managers</w:t>
      </w:r>
      <w:r w:rsidR="00447E50" w:rsidRPr="00414A6D">
        <w:rPr>
          <w:rFonts w:ascii="Arial" w:hAnsi="Arial" w:cs="Arial"/>
          <w:sz w:val="22"/>
          <w:szCs w:val="22"/>
        </w:rPr>
        <w:t>. Th</w:t>
      </w:r>
      <w:r w:rsidR="007305E1" w:rsidRPr="00414A6D">
        <w:rPr>
          <w:rFonts w:ascii="Arial" w:hAnsi="Arial" w:cs="Arial"/>
          <w:sz w:val="22"/>
          <w:szCs w:val="22"/>
        </w:rPr>
        <w:t>e requirements of this</w:t>
      </w:r>
      <w:r w:rsidR="00447E50" w:rsidRPr="00414A6D">
        <w:rPr>
          <w:rFonts w:ascii="Arial" w:hAnsi="Arial" w:cs="Arial"/>
          <w:sz w:val="22"/>
          <w:szCs w:val="22"/>
        </w:rPr>
        <w:t xml:space="preserve"> audience ha</w:t>
      </w:r>
      <w:r w:rsidR="007305E1" w:rsidRPr="00414A6D">
        <w:rPr>
          <w:rFonts w:ascii="Arial" w:hAnsi="Arial" w:cs="Arial"/>
          <w:sz w:val="22"/>
          <w:szCs w:val="22"/>
        </w:rPr>
        <w:t>ve</w:t>
      </w:r>
      <w:r w:rsidR="00447E50" w:rsidRPr="00414A6D">
        <w:rPr>
          <w:rFonts w:ascii="Arial" w:hAnsi="Arial" w:cs="Arial"/>
          <w:sz w:val="22"/>
          <w:szCs w:val="22"/>
        </w:rPr>
        <w:t xml:space="preserve"> particular implications for the timing of information provision and the appropriate level at which it is provided.</w:t>
      </w:r>
      <w:r w:rsidR="00EC7E42" w:rsidRPr="00414A6D">
        <w:rPr>
          <w:rFonts w:ascii="Arial" w:hAnsi="Arial" w:cs="Arial"/>
          <w:sz w:val="22"/>
          <w:szCs w:val="22"/>
        </w:rPr>
        <w:t xml:space="preserve"> Clinical information should be frequently used to drive improvements, and with a higher level of detail than the information that would be required for the purposes of determining best-practice for pricing purposes.</w:t>
      </w:r>
    </w:p>
    <w:p w14:paraId="13A5F563" w14:textId="27CD6F8A" w:rsidR="00447E50" w:rsidRPr="00414A6D" w:rsidRDefault="00447E50" w:rsidP="00447E50">
      <w:pPr>
        <w:spacing w:before="120" w:after="120"/>
        <w:jc w:val="both"/>
        <w:rPr>
          <w:rFonts w:ascii="Arial" w:hAnsi="Arial" w:cs="Arial"/>
          <w:sz w:val="22"/>
          <w:szCs w:val="22"/>
        </w:rPr>
      </w:pPr>
      <w:r w:rsidRPr="00414A6D">
        <w:rPr>
          <w:rFonts w:ascii="Arial" w:hAnsi="Arial" w:cs="Arial"/>
          <w:sz w:val="22"/>
          <w:szCs w:val="22"/>
        </w:rPr>
        <w:t xml:space="preserve">To best support clinical teams and hospital leaders to drive continuous improvement, the provision of </w:t>
      </w:r>
      <w:r w:rsidR="005B56FF" w:rsidRPr="00414A6D">
        <w:rPr>
          <w:rFonts w:ascii="Arial" w:hAnsi="Arial" w:cs="Arial"/>
          <w:sz w:val="22"/>
          <w:szCs w:val="22"/>
        </w:rPr>
        <w:t xml:space="preserve">comparable </w:t>
      </w:r>
      <w:r w:rsidRPr="00414A6D">
        <w:rPr>
          <w:rFonts w:ascii="Arial" w:hAnsi="Arial" w:cs="Arial"/>
          <w:sz w:val="22"/>
          <w:szCs w:val="22"/>
        </w:rPr>
        <w:t>information would need to commence before a best</w:t>
      </w:r>
      <w:r w:rsidR="00516A15">
        <w:rPr>
          <w:rFonts w:ascii="Arial" w:hAnsi="Arial" w:cs="Arial"/>
          <w:sz w:val="22"/>
          <w:szCs w:val="22"/>
        </w:rPr>
        <w:t>-</w:t>
      </w:r>
      <w:r w:rsidRPr="00414A6D">
        <w:rPr>
          <w:rFonts w:ascii="Arial" w:hAnsi="Arial" w:cs="Arial"/>
          <w:sz w:val="22"/>
          <w:szCs w:val="22"/>
        </w:rPr>
        <w:t>practice pricing model. This will give clinicians and hospital managers an understanding of the baseline for continuous improvement before any form of incentive pricing takes effect.</w:t>
      </w:r>
    </w:p>
    <w:p w14:paraId="60C382A5" w14:textId="77777777" w:rsidR="00447E50" w:rsidRPr="00414A6D" w:rsidRDefault="007A3B48" w:rsidP="009C6E73">
      <w:pPr>
        <w:spacing w:before="120" w:after="120"/>
        <w:jc w:val="both"/>
        <w:rPr>
          <w:rFonts w:ascii="Arial" w:hAnsi="Arial" w:cs="Arial"/>
          <w:sz w:val="22"/>
          <w:szCs w:val="22"/>
        </w:rPr>
      </w:pPr>
      <w:r w:rsidRPr="00414A6D">
        <w:rPr>
          <w:rFonts w:ascii="Arial" w:hAnsi="Arial" w:cs="Arial"/>
        </w:rPr>
        <w:t xml:space="preserve">A </w:t>
      </w:r>
      <w:r w:rsidRPr="00414A6D">
        <w:rPr>
          <w:rFonts w:ascii="Arial" w:hAnsi="Arial" w:cs="Arial"/>
          <w:sz w:val="22"/>
          <w:szCs w:val="22"/>
        </w:rPr>
        <w:t>determination in relation to the timeliness and frequency of this information is important to inform and enable monitoring of continuous improvement initiatives by clinicians and hospital managers</w:t>
      </w:r>
      <w:r w:rsidR="00447E50" w:rsidRPr="00414A6D">
        <w:rPr>
          <w:rFonts w:ascii="Arial" w:hAnsi="Arial" w:cs="Arial"/>
          <w:sz w:val="22"/>
          <w:szCs w:val="22"/>
        </w:rPr>
        <w:t>. This might initially mean providing information at six-monthly intervals, but in time this would ideally increase to quarterly provision.</w:t>
      </w:r>
    </w:p>
    <w:p w14:paraId="4777F02C" w14:textId="26EDC112" w:rsidR="0011031A" w:rsidRPr="00414A6D" w:rsidRDefault="0011031A" w:rsidP="0011031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5.1:</w:t>
      </w:r>
      <w:r w:rsidRPr="00414A6D">
        <w:rPr>
          <w:rFonts w:ascii="Arial" w:hAnsi="Arial" w:cs="Arial"/>
          <w:sz w:val="22"/>
          <w:szCs w:val="22"/>
        </w:rPr>
        <w:t xml:space="preserve"> </w:t>
      </w:r>
      <w:r w:rsidR="007305E1" w:rsidRPr="00414A6D">
        <w:rPr>
          <w:rFonts w:ascii="Arial" w:hAnsi="Arial" w:cs="Arial"/>
          <w:sz w:val="22"/>
          <w:szCs w:val="22"/>
        </w:rPr>
        <w:t>Based on the advice of the Sub-Committee</w:t>
      </w:r>
      <w:r w:rsidR="0098250D" w:rsidRPr="00414A6D">
        <w:rPr>
          <w:rFonts w:ascii="Arial" w:hAnsi="Arial" w:cs="Arial"/>
          <w:sz w:val="22"/>
          <w:szCs w:val="22"/>
        </w:rPr>
        <w:t>,</w:t>
      </w:r>
      <w:r w:rsidR="007305E1" w:rsidRPr="00414A6D">
        <w:rPr>
          <w:rFonts w:ascii="Arial" w:hAnsi="Arial" w:cs="Arial"/>
          <w:sz w:val="22"/>
          <w:szCs w:val="22"/>
        </w:rPr>
        <w:t xml:space="preserve"> </w:t>
      </w:r>
      <w:r w:rsidR="00726559" w:rsidRPr="00414A6D">
        <w:rPr>
          <w:rFonts w:ascii="Arial" w:hAnsi="Arial" w:cs="Arial"/>
          <w:sz w:val="22"/>
          <w:szCs w:val="22"/>
        </w:rPr>
        <w:t xml:space="preserve">the ACSQHC and </w:t>
      </w:r>
      <w:r w:rsidRPr="00414A6D">
        <w:rPr>
          <w:rFonts w:ascii="Arial" w:hAnsi="Arial" w:cs="Arial"/>
          <w:sz w:val="22"/>
          <w:szCs w:val="22"/>
        </w:rPr>
        <w:t>IHPA should determine which of the Hip Fracture CCS indicators will be used to determine whether best-practice has been delivered</w:t>
      </w:r>
      <w:r w:rsidR="00727A02">
        <w:rPr>
          <w:rFonts w:ascii="Arial" w:hAnsi="Arial" w:cs="Arial"/>
          <w:sz w:val="22"/>
          <w:szCs w:val="22"/>
        </w:rPr>
        <w:t>.</w:t>
      </w:r>
      <w:r w:rsidRPr="00414A6D">
        <w:rPr>
          <w:rFonts w:ascii="Arial" w:hAnsi="Arial" w:cs="Arial"/>
          <w:sz w:val="22"/>
          <w:szCs w:val="22"/>
        </w:rPr>
        <w:t xml:space="preserve"> </w:t>
      </w:r>
    </w:p>
    <w:p w14:paraId="5F45A7F7" w14:textId="77777777" w:rsidR="00AC2148" w:rsidRPr="00414A6D" w:rsidRDefault="00447E50"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 xml:space="preserve">Recommendation </w:t>
      </w:r>
      <w:r w:rsidR="009C6E73" w:rsidRPr="00414A6D">
        <w:rPr>
          <w:rFonts w:ascii="Arial" w:hAnsi="Arial" w:cs="Arial"/>
          <w:b/>
          <w:sz w:val="22"/>
          <w:szCs w:val="22"/>
        </w:rPr>
        <w:t>5</w:t>
      </w:r>
      <w:r w:rsidR="00AC2148" w:rsidRPr="00414A6D">
        <w:rPr>
          <w:rFonts w:ascii="Arial" w:hAnsi="Arial" w:cs="Arial"/>
          <w:b/>
          <w:sz w:val="22"/>
          <w:szCs w:val="22"/>
        </w:rPr>
        <w:t>.</w:t>
      </w:r>
      <w:r w:rsidR="0011031A" w:rsidRPr="00414A6D">
        <w:rPr>
          <w:rFonts w:ascii="Arial" w:hAnsi="Arial" w:cs="Arial"/>
          <w:b/>
          <w:sz w:val="22"/>
          <w:szCs w:val="22"/>
        </w:rPr>
        <w:t>2</w:t>
      </w:r>
      <w:r w:rsidRPr="00414A6D">
        <w:rPr>
          <w:rFonts w:ascii="Arial" w:hAnsi="Arial" w:cs="Arial"/>
          <w:b/>
          <w:sz w:val="22"/>
          <w:szCs w:val="22"/>
        </w:rPr>
        <w:t>:</w:t>
      </w:r>
      <w:r w:rsidRPr="00414A6D">
        <w:rPr>
          <w:rFonts w:ascii="Arial" w:hAnsi="Arial" w:cs="Arial"/>
          <w:sz w:val="22"/>
          <w:szCs w:val="22"/>
        </w:rPr>
        <w:t xml:space="preserve"> </w:t>
      </w:r>
      <w:r w:rsidR="00AC2148" w:rsidRPr="00414A6D">
        <w:rPr>
          <w:rFonts w:ascii="Arial" w:hAnsi="Arial" w:cs="Arial"/>
          <w:sz w:val="22"/>
          <w:szCs w:val="22"/>
        </w:rPr>
        <w:t xml:space="preserve">The </w:t>
      </w:r>
      <w:r w:rsidRPr="00414A6D">
        <w:rPr>
          <w:rFonts w:ascii="Arial" w:hAnsi="Arial" w:cs="Arial"/>
          <w:sz w:val="22"/>
          <w:szCs w:val="22"/>
        </w:rPr>
        <w:t xml:space="preserve">Hip Fracture </w:t>
      </w:r>
      <w:r w:rsidR="00560CC6" w:rsidRPr="00414A6D">
        <w:rPr>
          <w:rFonts w:ascii="Arial" w:hAnsi="Arial" w:cs="Arial"/>
          <w:sz w:val="22"/>
          <w:szCs w:val="22"/>
        </w:rPr>
        <w:t>CCS</w:t>
      </w:r>
      <w:r w:rsidRPr="00414A6D">
        <w:rPr>
          <w:rFonts w:ascii="Arial" w:hAnsi="Arial" w:cs="Arial"/>
          <w:sz w:val="22"/>
          <w:szCs w:val="22"/>
        </w:rPr>
        <w:t xml:space="preserve"> indicators </w:t>
      </w:r>
      <w:r w:rsidR="005B56FF" w:rsidRPr="00414A6D">
        <w:rPr>
          <w:rFonts w:ascii="Arial" w:hAnsi="Arial" w:cs="Arial"/>
          <w:sz w:val="22"/>
          <w:szCs w:val="22"/>
        </w:rPr>
        <w:t xml:space="preserve">selected for inclusion </w:t>
      </w:r>
      <w:r w:rsidRPr="00414A6D">
        <w:rPr>
          <w:rFonts w:ascii="Arial" w:hAnsi="Arial" w:cs="Arial"/>
          <w:sz w:val="22"/>
          <w:szCs w:val="22"/>
        </w:rPr>
        <w:t xml:space="preserve">into a </w:t>
      </w:r>
      <w:r w:rsidR="00CD7BD3" w:rsidRPr="00414A6D">
        <w:rPr>
          <w:rFonts w:ascii="Arial" w:hAnsi="Arial" w:cs="Arial"/>
          <w:sz w:val="22"/>
          <w:szCs w:val="22"/>
        </w:rPr>
        <w:t xml:space="preserve">national </w:t>
      </w:r>
      <w:r w:rsidRPr="00414A6D">
        <w:rPr>
          <w:rFonts w:ascii="Arial" w:hAnsi="Arial" w:cs="Arial"/>
          <w:sz w:val="22"/>
          <w:szCs w:val="22"/>
        </w:rPr>
        <w:t>best</w:t>
      </w:r>
      <w:r w:rsidR="0011031A" w:rsidRPr="00414A6D">
        <w:rPr>
          <w:rFonts w:ascii="Arial" w:hAnsi="Arial" w:cs="Arial"/>
          <w:sz w:val="22"/>
          <w:szCs w:val="22"/>
        </w:rPr>
        <w:noBreakHyphen/>
      </w:r>
      <w:r w:rsidRPr="00414A6D">
        <w:rPr>
          <w:rFonts w:ascii="Arial" w:hAnsi="Arial" w:cs="Arial"/>
          <w:sz w:val="22"/>
          <w:szCs w:val="22"/>
        </w:rPr>
        <w:t xml:space="preserve">practice pricing model </w:t>
      </w:r>
      <w:r w:rsidR="005B56FF" w:rsidRPr="00414A6D">
        <w:rPr>
          <w:rFonts w:ascii="Arial" w:hAnsi="Arial" w:cs="Arial"/>
          <w:sz w:val="22"/>
          <w:szCs w:val="22"/>
        </w:rPr>
        <w:t xml:space="preserve">should </w:t>
      </w:r>
      <w:r w:rsidR="007A3B48" w:rsidRPr="00414A6D">
        <w:rPr>
          <w:rFonts w:ascii="Arial" w:hAnsi="Arial" w:cs="Arial"/>
          <w:sz w:val="22"/>
          <w:szCs w:val="22"/>
        </w:rPr>
        <w:t xml:space="preserve">be coupled with </w:t>
      </w:r>
      <w:r w:rsidR="005B56FF" w:rsidRPr="00414A6D">
        <w:rPr>
          <w:rFonts w:ascii="Arial" w:hAnsi="Arial" w:cs="Arial"/>
          <w:sz w:val="22"/>
          <w:szCs w:val="22"/>
        </w:rPr>
        <w:t>define</w:t>
      </w:r>
      <w:r w:rsidR="007A3B48" w:rsidRPr="00414A6D">
        <w:rPr>
          <w:rFonts w:ascii="Arial" w:hAnsi="Arial" w:cs="Arial"/>
          <w:sz w:val="22"/>
          <w:szCs w:val="22"/>
        </w:rPr>
        <w:t>d,</w:t>
      </w:r>
      <w:r w:rsidR="005B56FF" w:rsidRPr="00414A6D">
        <w:rPr>
          <w:rFonts w:ascii="Arial" w:hAnsi="Arial" w:cs="Arial"/>
          <w:sz w:val="22"/>
          <w:szCs w:val="22"/>
        </w:rPr>
        <w:t xml:space="preserve"> more comparable information be provided to support clinical improvement than is needed for pric</w:t>
      </w:r>
      <w:r w:rsidR="0011031A" w:rsidRPr="00414A6D">
        <w:rPr>
          <w:rFonts w:ascii="Arial" w:hAnsi="Arial" w:cs="Arial"/>
          <w:sz w:val="22"/>
          <w:szCs w:val="22"/>
        </w:rPr>
        <w:t>ing</w:t>
      </w:r>
      <w:r w:rsidR="005B56FF" w:rsidRPr="00414A6D">
        <w:rPr>
          <w:rFonts w:ascii="Arial" w:hAnsi="Arial" w:cs="Arial"/>
          <w:sz w:val="22"/>
          <w:szCs w:val="22"/>
        </w:rPr>
        <w:t xml:space="preserve"> and funding determinations. </w:t>
      </w:r>
    </w:p>
    <w:p w14:paraId="0E49A2B9" w14:textId="7AE7F0E3" w:rsidR="00447E50" w:rsidRPr="00414A6D" w:rsidRDefault="00AC2148" w:rsidP="007C21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5.</w:t>
      </w:r>
      <w:r w:rsidR="0011031A" w:rsidRPr="00414A6D">
        <w:rPr>
          <w:rFonts w:ascii="Arial" w:hAnsi="Arial" w:cs="Arial"/>
          <w:b/>
          <w:sz w:val="22"/>
          <w:szCs w:val="22"/>
        </w:rPr>
        <w:t>3:</w:t>
      </w:r>
      <w:r w:rsidRPr="00414A6D">
        <w:rPr>
          <w:rFonts w:ascii="Arial" w:hAnsi="Arial" w:cs="Arial"/>
          <w:sz w:val="22"/>
          <w:szCs w:val="22"/>
        </w:rPr>
        <w:t xml:space="preserve"> </w:t>
      </w:r>
      <w:r w:rsidR="005B56FF" w:rsidRPr="00414A6D">
        <w:rPr>
          <w:rFonts w:ascii="Arial" w:hAnsi="Arial" w:cs="Arial"/>
          <w:sz w:val="22"/>
          <w:szCs w:val="22"/>
        </w:rPr>
        <w:t>This</w:t>
      </w:r>
      <w:r w:rsidRPr="00414A6D">
        <w:rPr>
          <w:rFonts w:ascii="Arial" w:hAnsi="Arial" w:cs="Arial"/>
          <w:sz w:val="22"/>
          <w:szCs w:val="22"/>
        </w:rPr>
        <w:t xml:space="preserve"> quality improvement</w:t>
      </w:r>
      <w:r w:rsidR="005B56FF" w:rsidRPr="00414A6D">
        <w:rPr>
          <w:rFonts w:ascii="Arial" w:hAnsi="Arial" w:cs="Arial"/>
          <w:sz w:val="22"/>
          <w:szCs w:val="22"/>
        </w:rPr>
        <w:t xml:space="preserve"> information should be provided</w:t>
      </w:r>
      <w:r w:rsidR="007A3B48" w:rsidRPr="00414A6D">
        <w:rPr>
          <w:rFonts w:ascii="Arial" w:hAnsi="Arial" w:cs="Arial"/>
          <w:sz w:val="22"/>
          <w:szCs w:val="22"/>
        </w:rPr>
        <w:t xml:space="preserve"> through the ANZHFR</w:t>
      </w:r>
      <w:r w:rsidR="005B56FF" w:rsidRPr="00414A6D">
        <w:rPr>
          <w:rFonts w:ascii="Arial" w:hAnsi="Arial" w:cs="Arial"/>
          <w:sz w:val="22"/>
          <w:szCs w:val="22"/>
        </w:rPr>
        <w:t xml:space="preserve"> to Local Hospital Networks and public hospitals </w:t>
      </w:r>
      <w:r w:rsidR="00447E50" w:rsidRPr="00414A6D">
        <w:rPr>
          <w:rFonts w:ascii="Arial" w:hAnsi="Arial" w:cs="Arial"/>
          <w:sz w:val="22"/>
          <w:szCs w:val="22"/>
        </w:rPr>
        <w:t>in advance of the commencement of any best</w:t>
      </w:r>
      <w:r w:rsidR="0011031A" w:rsidRPr="00414A6D">
        <w:rPr>
          <w:rFonts w:ascii="Arial" w:hAnsi="Arial" w:cs="Arial"/>
          <w:sz w:val="22"/>
          <w:szCs w:val="22"/>
        </w:rPr>
        <w:noBreakHyphen/>
      </w:r>
      <w:r w:rsidR="00447E50" w:rsidRPr="00414A6D">
        <w:rPr>
          <w:rFonts w:ascii="Arial" w:hAnsi="Arial" w:cs="Arial"/>
          <w:sz w:val="22"/>
          <w:szCs w:val="22"/>
        </w:rPr>
        <w:t>practice pricing model on a quarterly basis (even if initially provided on a six-monthly basis).</w:t>
      </w:r>
    </w:p>
    <w:p w14:paraId="39F44D94" w14:textId="77777777" w:rsidR="000218EA" w:rsidRPr="00414A6D" w:rsidRDefault="000218EA">
      <w:pPr>
        <w:rPr>
          <w:rFonts w:ascii="Arial" w:hAnsi="Arial" w:cs="Arial"/>
          <w:b/>
          <w:bCs/>
          <w:kern w:val="28"/>
          <w:sz w:val="22"/>
          <w:szCs w:val="22"/>
        </w:rPr>
      </w:pPr>
      <w:bookmarkStart w:id="28" w:name="_Toc419367746"/>
      <w:bookmarkEnd w:id="28"/>
      <w:r w:rsidRPr="00414A6D">
        <w:rPr>
          <w:rFonts w:ascii="Arial" w:hAnsi="Arial" w:cs="Arial"/>
          <w:sz w:val="22"/>
          <w:szCs w:val="22"/>
        </w:rPr>
        <w:br w:type="page"/>
      </w:r>
    </w:p>
    <w:p w14:paraId="6C50ED58" w14:textId="77777777" w:rsidR="0059667E" w:rsidRPr="00112D48" w:rsidRDefault="00E50034" w:rsidP="007B1510">
      <w:pPr>
        <w:pStyle w:val="Heading1"/>
        <w:numPr>
          <w:ilvl w:val="0"/>
          <w:numId w:val="14"/>
        </w:numPr>
        <w:ind w:left="414" w:hanging="357"/>
        <w:jc w:val="both"/>
        <w:rPr>
          <w:szCs w:val="28"/>
        </w:rPr>
      </w:pPr>
      <w:bookmarkStart w:id="29" w:name="_Toc419367747"/>
      <w:bookmarkStart w:id="30" w:name="_Toc426633812"/>
      <w:bookmarkEnd w:id="29"/>
      <w:r w:rsidRPr="00112D48">
        <w:rPr>
          <w:szCs w:val="28"/>
        </w:rPr>
        <w:lastRenderedPageBreak/>
        <w:t>Preferred i</w:t>
      </w:r>
      <w:r w:rsidR="0059667E" w:rsidRPr="00112D48">
        <w:rPr>
          <w:szCs w:val="28"/>
        </w:rPr>
        <w:t xml:space="preserve">nitial national model for best-practice pricing </w:t>
      </w:r>
      <w:r w:rsidRPr="00112D48">
        <w:rPr>
          <w:szCs w:val="28"/>
        </w:rPr>
        <w:t>of</w:t>
      </w:r>
      <w:r w:rsidR="0059667E" w:rsidRPr="00112D48">
        <w:rPr>
          <w:szCs w:val="28"/>
        </w:rPr>
        <w:t xml:space="preserve"> hip fracture</w:t>
      </w:r>
      <w:r w:rsidR="00745730" w:rsidRPr="00112D48">
        <w:rPr>
          <w:szCs w:val="28"/>
        </w:rPr>
        <w:t xml:space="preserve"> care</w:t>
      </w:r>
      <w:bookmarkEnd w:id="30"/>
      <w:r w:rsidR="0059667E" w:rsidRPr="00112D48">
        <w:rPr>
          <w:szCs w:val="28"/>
        </w:rPr>
        <w:t xml:space="preserve"> </w:t>
      </w:r>
    </w:p>
    <w:p w14:paraId="77AE4D37" w14:textId="77777777" w:rsidR="00DA0629" w:rsidRPr="00414A6D" w:rsidRDefault="00E50034" w:rsidP="00E50034">
      <w:pPr>
        <w:autoSpaceDE w:val="0"/>
        <w:autoSpaceDN w:val="0"/>
        <w:adjustRightInd w:val="0"/>
        <w:spacing w:before="120" w:after="120"/>
        <w:rPr>
          <w:rFonts w:ascii="Arial" w:hAnsi="Arial" w:cs="Arial"/>
          <w:sz w:val="22"/>
          <w:szCs w:val="22"/>
        </w:rPr>
      </w:pPr>
      <w:r w:rsidRPr="00414A6D">
        <w:rPr>
          <w:rFonts w:ascii="Arial" w:hAnsi="Arial" w:cs="Arial"/>
          <w:sz w:val="22"/>
          <w:szCs w:val="22"/>
        </w:rPr>
        <w:t xml:space="preserve">The </w:t>
      </w:r>
      <w:r w:rsidR="00AE06CD" w:rsidRPr="00414A6D">
        <w:rPr>
          <w:rFonts w:ascii="Arial" w:hAnsi="Arial" w:cs="Arial"/>
          <w:sz w:val="22"/>
          <w:szCs w:val="22"/>
        </w:rPr>
        <w:t xml:space="preserve">preferred </w:t>
      </w:r>
      <w:r w:rsidRPr="00414A6D">
        <w:rPr>
          <w:rFonts w:ascii="Arial" w:hAnsi="Arial" w:cs="Arial"/>
          <w:sz w:val="22"/>
          <w:szCs w:val="22"/>
        </w:rPr>
        <w:t>initial national model for best-practi</w:t>
      </w:r>
      <w:r w:rsidR="00D42BD5" w:rsidRPr="00414A6D">
        <w:rPr>
          <w:rFonts w:ascii="Arial" w:hAnsi="Arial" w:cs="Arial"/>
          <w:sz w:val="22"/>
          <w:szCs w:val="22"/>
        </w:rPr>
        <w:t>ce pricing for</w:t>
      </w:r>
      <w:r w:rsidRPr="00414A6D">
        <w:rPr>
          <w:rFonts w:ascii="Arial" w:hAnsi="Arial" w:cs="Arial"/>
          <w:sz w:val="22"/>
          <w:szCs w:val="22"/>
        </w:rPr>
        <w:t xml:space="preserve"> hip fr</w:t>
      </w:r>
      <w:r w:rsidR="00D14650" w:rsidRPr="00414A6D">
        <w:rPr>
          <w:rFonts w:ascii="Arial" w:hAnsi="Arial" w:cs="Arial"/>
          <w:sz w:val="22"/>
          <w:szCs w:val="22"/>
        </w:rPr>
        <w:t xml:space="preserve">actures would require a </w:t>
      </w:r>
      <w:r w:rsidRPr="00414A6D">
        <w:rPr>
          <w:rFonts w:ascii="Arial" w:hAnsi="Arial" w:cs="Arial"/>
          <w:sz w:val="22"/>
          <w:szCs w:val="22"/>
        </w:rPr>
        <w:t xml:space="preserve">set of indicators </w:t>
      </w:r>
      <w:r w:rsidR="009457C8" w:rsidRPr="00414A6D">
        <w:rPr>
          <w:rFonts w:ascii="Arial" w:hAnsi="Arial" w:cs="Arial"/>
          <w:sz w:val="22"/>
          <w:szCs w:val="22"/>
        </w:rPr>
        <w:t xml:space="preserve">to be established </w:t>
      </w:r>
      <w:r w:rsidR="00D14650" w:rsidRPr="00414A6D">
        <w:rPr>
          <w:rFonts w:ascii="Arial" w:hAnsi="Arial" w:cs="Arial"/>
          <w:sz w:val="22"/>
          <w:szCs w:val="22"/>
        </w:rPr>
        <w:t xml:space="preserve">so </w:t>
      </w:r>
      <w:r w:rsidR="00B06816" w:rsidRPr="00414A6D">
        <w:rPr>
          <w:rFonts w:ascii="Arial" w:hAnsi="Arial" w:cs="Arial"/>
          <w:sz w:val="22"/>
          <w:szCs w:val="22"/>
        </w:rPr>
        <w:t xml:space="preserve">that </w:t>
      </w:r>
      <w:r w:rsidR="00D14650" w:rsidRPr="00414A6D">
        <w:rPr>
          <w:rFonts w:ascii="Arial" w:hAnsi="Arial" w:cs="Arial"/>
          <w:sz w:val="22"/>
          <w:szCs w:val="22"/>
        </w:rPr>
        <w:t xml:space="preserve">it can </w:t>
      </w:r>
      <w:r w:rsidRPr="00414A6D">
        <w:rPr>
          <w:rFonts w:ascii="Arial" w:hAnsi="Arial" w:cs="Arial"/>
          <w:sz w:val="22"/>
          <w:szCs w:val="22"/>
        </w:rPr>
        <w:t>be determined whether best-practice had been achieved</w:t>
      </w:r>
      <w:r w:rsidR="00DA0629" w:rsidRPr="00414A6D">
        <w:rPr>
          <w:rFonts w:ascii="Arial" w:hAnsi="Arial" w:cs="Arial"/>
          <w:sz w:val="22"/>
          <w:szCs w:val="22"/>
        </w:rPr>
        <w:t>.</w:t>
      </w:r>
    </w:p>
    <w:p w14:paraId="74D527BF" w14:textId="2F112D2D" w:rsidR="009B4A8B" w:rsidRPr="00414A6D" w:rsidRDefault="00E50034">
      <w:pPr>
        <w:autoSpaceDE w:val="0"/>
        <w:autoSpaceDN w:val="0"/>
        <w:adjustRightInd w:val="0"/>
        <w:spacing w:before="120" w:after="120"/>
        <w:rPr>
          <w:rFonts w:ascii="Arial" w:hAnsi="Arial" w:cs="Arial"/>
          <w:sz w:val="22"/>
          <w:szCs w:val="22"/>
        </w:rPr>
      </w:pPr>
      <w:r w:rsidRPr="00414A6D">
        <w:rPr>
          <w:rFonts w:ascii="Arial" w:hAnsi="Arial" w:cs="Arial"/>
          <w:sz w:val="22"/>
          <w:szCs w:val="22"/>
        </w:rPr>
        <w:t>The Sub</w:t>
      </w:r>
      <w:r w:rsidRPr="00414A6D">
        <w:rPr>
          <w:rFonts w:ascii="Arial" w:hAnsi="Arial" w:cs="Arial"/>
          <w:sz w:val="22"/>
          <w:szCs w:val="22"/>
        </w:rPr>
        <w:noBreakHyphen/>
        <w:t xml:space="preserve">Committee reviewed the Hip Fracture CCS quality statements and associated indicators </w:t>
      </w:r>
      <w:r w:rsidR="00D14650" w:rsidRPr="00414A6D">
        <w:rPr>
          <w:rFonts w:ascii="Arial" w:hAnsi="Arial" w:cs="Arial"/>
          <w:sz w:val="22"/>
          <w:szCs w:val="22"/>
        </w:rPr>
        <w:t>(</w:t>
      </w:r>
      <w:r w:rsidRPr="00414A6D">
        <w:rPr>
          <w:rFonts w:ascii="Arial" w:hAnsi="Arial" w:cs="Arial"/>
          <w:sz w:val="22"/>
          <w:szCs w:val="22"/>
        </w:rPr>
        <w:t>included in Appendi</w:t>
      </w:r>
      <w:r w:rsidR="00E96E19">
        <w:rPr>
          <w:rFonts w:ascii="Arial" w:hAnsi="Arial" w:cs="Arial"/>
          <w:sz w:val="22"/>
          <w:szCs w:val="22"/>
        </w:rPr>
        <w:t>ces</w:t>
      </w:r>
      <w:r w:rsidRPr="00414A6D">
        <w:rPr>
          <w:rFonts w:ascii="Arial" w:hAnsi="Arial" w:cs="Arial"/>
          <w:sz w:val="22"/>
          <w:szCs w:val="22"/>
        </w:rPr>
        <w:t xml:space="preserve"> C</w:t>
      </w:r>
      <w:r w:rsidR="00E96E19">
        <w:rPr>
          <w:rFonts w:ascii="Arial" w:hAnsi="Arial" w:cs="Arial"/>
          <w:sz w:val="22"/>
          <w:szCs w:val="22"/>
        </w:rPr>
        <w:t xml:space="preserve"> and D</w:t>
      </w:r>
      <w:r w:rsidR="00D14650" w:rsidRPr="00414A6D">
        <w:rPr>
          <w:rFonts w:ascii="Arial" w:hAnsi="Arial" w:cs="Arial"/>
          <w:sz w:val="22"/>
          <w:szCs w:val="22"/>
        </w:rPr>
        <w:t>) and selected an initial set of indicators</w:t>
      </w:r>
      <w:r w:rsidRPr="00414A6D">
        <w:rPr>
          <w:rFonts w:ascii="Arial" w:hAnsi="Arial" w:cs="Arial"/>
          <w:sz w:val="22"/>
          <w:szCs w:val="22"/>
        </w:rPr>
        <w:t xml:space="preserve">. </w:t>
      </w:r>
    </w:p>
    <w:p w14:paraId="3062B277" w14:textId="77777777" w:rsidR="009B4A8B" w:rsidRPr="00414A6D" w:rsidRDefault="009B4A8B" w:rsidP="009B4A8B">
      <w:pPr>
        <w:autoSpaceDE w:val="0"/>
        <w:autoSpaceDN w:val="0"/>
        <w:adjustRightInd w:val="0"/>
        <w:spacing w:before="120" w:after="120"/>
        <w:rPr>
          <w:rFonts w:ascii="Arial" w:hAnsi="Arial" w:cs="Arial"/>
          <w:sz w:val="22"/>
          <w:szCs w:val="22"/>
        </w:rPr>
      </w:pPr>
      <w:r w:rsidRPr="00414A6D">
        <w:rPr>
          <w:rFonts w:ascii="Arial" w:hAnsi="Arial" w:cs="Arial"/>
          <w:sz w:val="22"/>
          <w:szCs w:val="22"/>
        </w:rPr>
        <w:t xml:space="preserve">The </w:t>
      </w:r>
      <w:r w:rsidR="00D14650" w:rsidRPr="00414A6D">
        <w:rPr>
          <w:rFonts w:ascii="Arial" w:hAnsi="Arial" w:cs="Arial"/>
          <w:sz w:val="22"/>
          <w:szCs w:val="22"/>
        </w:rPr>
        <w:t xml:space="preserve">Sub-Committee considered that the indicators need to be </w:t>
      </w:r>
      <w:r w:rsidRPr="00414A6D">
        <w:rPr>
          <w:rFonts w:ascii="Arial" w:hAnsi="Arial" w:cs="Arial"/>
          <w:sz w:val="22"/>
          <w:szCs w:val="22"/>
        </w:rPr>
        <w:t>meaningful to patients and clinicians, simple to un</w:t>
      </w:r>
      <w:r w:rsidR="00D14650" w:rsidRPr="00414A6D">
        <w:rPr>
          <w:rFonts w:ascii="Arial" w:hAnsi="Arial" w:cs="Arial"/>
          <w:sz w:val="22"/>
          <w:szCs w:val="22"/>
        </w:rPr>
        <w:t>derstand and easy to communicate</w:t>
      </w:r>
      <w:r w:rsidRPr="00414A6D">
        <w:rPr>
          <w:rFonts w:ascii="Arial" w:hAnsi="Arial" w:cs="Arial"/>
          <w:sz w:val="22"/>
          <w:szCs w:val="22"/>
        </w:rPr>
        <w:t>, feasible to collect, precise, achievable, measurable, and cover a spectrum of the standards.</w:t>
      </w:r>
    </w:p>
    <w:p w14:paraId="55653E3F" w14:textId="77777777" w:rsidR="00E50034" w:rsidRPr="00414A6D" w:rsidRDefault="00C6691F">
      <w:pPr>
        <w:autoSpaceDE w:val="0"/>
        <w:autoSpaceDN w:val="0"/>
        <w:adjustRightInd w:val="0"/>
        <w:spacing w:before="120" w:after="120"/>
        <w:rPr>
          <w:rFonts w:ascii="Arial" w:hAnsi="Arial" w:cs="Arial"/>
          <w:sz w:val="22"/>
          <w:szCs w:val="22"/>
        </w:rPr>
      </w:pPr>
      <w:r w:rsidRPr="00414A6D">
        <w:rPr>
          <w:rFonts w:ascii="Arial" w:hAnsi="Arial" w:cs="Arial"/>
          <w:sz w:val="22"/>
          <w:szCs w:val="22"/>
        </w:rPr>
        <w:t>Members recommended including the following preferred indicators for consideration by the JWP:</w:t>
      </w:r>
    </w:p>
    <w:p w14:paraId="40A0D67E" w14:textId="77777777" w:rsidR="00107664" w:rsidRPr="00414A6D" w:rsidRDefault="00107664" w:rsidP="007B1510">
      <w:pPr>
        <w:pStyle w:val="ListParagraph"/>
        <w:numPr>
          <w:ilvl w:val="0"/>
          <w:numId w:val="25"/>
        </w:numPr>
        <w:autoSpaceDE w:val="0"/>
        <w:autoSpaceDN w:val="0"/>
        <w:adjustRightInd w:val="0"/>
        <w:spacing w:before="120" w:after="120"/>
        <w:rPr>
          <w:rFonts w:ascii="Arial" w:hAnsi="Arial" w:cs="Arial"/>
          <w:sz w:val="22"/>
          <w:szCs w:val="22"/>
        </w:rPr>
      </w:pPr>
      <w:r w:rsidRPr="00414A6D">
        <w:rPr>
          <w:rFonts w:ascii="Arial" w:hAnsi="Arial" w:cs="Arial"/>
          <w:sz w:val="22"/>
          <w:szCs w:val="22"/>
        </w:rPr>
        <w:t>Surgery occurred on the same day or the day following presentation for patients who had surgery</w:t>
      </w:r>
    </w:p>
    <w:p w14:paraId="7551872C" w14:textId="77777777" w:rsidR="00107664" w:rsidRPr="00414A6D" w:rsidRDefault="00107664" w:rsidP="007B1510">
      <w:pPr>
        <w:pStyle w:val="ListParagraph"/>
        <w:numPr>
          <w:ilvl w:val="0"/>
          <w:numId w:val="25"/>
        </w:numPr>
        <w:autoSpaceDE w:val="0"/>
        <w:autoSpaceDN w:val="0"/>
        <w:adjustRightInd w:val="0"/>
        <w:spacing w:before="120" w:after="120"/>
        <w:rPr>
          <w:rFonts w:ascii="Arial" w:hAnsi="Arial" w:cs="Arial"/>
          <w:sz w:val="22"/>
          <w:szCs w:val="22"/>
        </w:rPr>
      </w:pPr>
      <w:r w:rsidRPr="00414A6D">
        <w:rPr>
          <w:rFonts w:ascii="Arial" w:hAnsi="Arial" w:cs="Arial"/>
          <w:sz w:val="22"/>
          <w:szCs w:val="22"/>
        </w:rPr>
        <w:t xml:space="preserve">An </w:t>
      </w:r>
      <w:proofErr w:type="spellStart"/>
      <w:r w:rsidRPr="00414A6D">
        <w:rPr>
          <w:rFonts w:ascii="Arial" w:hAnsi="Arial" w:cs="Arial"/>
          <w:sz w:val="22"/>
          <w:szCs w:val="22"/>
        </w:rPr>
        <w:t>orthogeriatric</w:t>
      </w:r>
      <w:proofErr w:type="spellEnd"/>
      <w:r w:rsidRPr="00414A6D">
        <w:rPr>
          <w:rFonts w:ascii="Arial" w:hAnsi="Arial" w:cs="Arial"/>
          <w:sz w:val="22"/>
          <w:szCs w:val="22"/>
        </w:rPr>
        <w:t xml:space="preserve"> model of care was used for patients aged over 65 years, and over 50 years for Indigenous patients</w:t>
      </w:r>
    </w:p>
    <w:p w14:paraId="53BB964C" w14:textId="77777777" w:rsidR="00107664" w:rsidRPr="00414A6D" w:rsidRDefault="00107664" w:rsidP="007B1510">
      <w:pPr>
        <w:pStyle w:val="ListParagraph"/>
        <w:numPr>
          <w:ilvl w:val="0"/>
          <w:numId w:val="25"/>
        </w:numPr>
        <w:autoSpaceDE w:val="0"/>
        <w:autoSpaceDN w:val="0"/>
        <w:adjustRightInd w:val="0"/>
        <w:spacing w:before="120" w:after="120"/>
        <w:rPr>
          <w:rFonts w:ascii="Arial" w:hAnsi="Arial" w:cs="Arial"/>
          <w:sz w:val="22"/>
          <w:szCs w:val="22"/>
        </w:rPr>
      </w:pPr>
      <w:r w:rsidRPr="00414A6D">
        <w:rPr>
          <w:rFonts w:ascii="Arial" w:hAnsi="Arial" w:cs="Arial"/>
          <w:sz w:val="22"/>
          <w:szCs w:val="22"/>
        </w:rPr>
        <w:t>Remobilisation occurred on the day after surgery (for surgical patients)</w:t>
      </w:r>
    </w:p>
    <w:p w14:paraId="5E81D06D" w14:textId="40FEE2CD" w:rsidR="00107664" w:rsidRPr="00414A6D" w:rsidRDefault="00107664" w:rsidP="007B1510">
      <w:pPr>
        <w:pStyle w:val="ListParagraph"/>
        <w:numPr>
          <w:ilvl w:val="0"/>
          <w:numId w:val="25"/>
        </w:numPr>
        <w:autoSpaceDE w:val="0"/>
        <w:autoSpaceDN w:val="0"/>
        <w:adjustRightInd w:val="0"/>
        <w:spacing w:before="120" w:after="120"/>
        <w:rPr>
          <w:rFonts w:ascii="Arial" w:hAnsi="Arial" w:cs="Arial"/>
          <w:sz w:val="22"/>
          <w:szCs w:val="22"/>
        </w:rPr>
      </w:pPr>
      <w:r w:rsidRPr="00414A6D">
        <w:rPr>
          <w:rFonts w:ascii="Arial" w:hAnsi="Arial" w:cs="Arial"/>
          <w:sz w:val="22"/>
          <w:szCs w:val="22"/>
        </w:rPr>
        <w:t>An abbreviated mental state test was conducted for all patients; pre</w:t>
      </w:r>
      <w:r w:rsidR="00E96E19">
        <w:rPr>
          <w:rFonts w:ascii="Arial" w:hAnsi="Arial" w:cs="Arial"/>
          <w:sz w:val="22"/>
          <w:szCs w:val="22"/>
        </w:rPr>
        <w:noBreakHyphen/>
      </w:r>
      <w:r w:rsidRPr="00414A6D">
        <w:rPr>
          <w:rFonts w:ascii="Arial" w:hAnsi="Arial" w:cs="Arial"/>
          <w:sz w:val="22"/>
          <w:szCs w:val="22"/>
        </w:rPr>
        <w:t>operatively for surgical patients</w:t>
      </w:r>
    </w:p>
    <w:p w14:paraId="3525D83D" w14:textId="77777777" w:rsidR="00107664" w:rsidRPr="00414A6D" w:rsidRDefault="00107664" w:rsidP="007B1510">
      <w:pPr>
        <w:pStyle w:val="ListParagraph"/>
        <w:numPr>
          <w:ilvl w:val="0"/>
          <w:numId w:val="25"/>
        </w:numPr>
        <w:autoSpaceDE w:val="0"/>
        <w:autoSpaceDN w:val="0"/>
        <w:adjustRightInd w:val="0"/>
        <w:spacing w:before="120" w:after="120"/>
        <w:rPr>
          <w:rFonts w:ascii="Arial" w:hAnsi="Arial" w:cs="Arial"/>
          <w:sz w:val="22"/>
          <w:szCs w:val="22"/>
        </w:rPr>
      </w:pPr>
      <w:r w:rsidRPr="00414A6D">
        <w:rPr>
          <w:rFonts w:ascii="Arial" w:hAnsi="Arial" w:cs="Arial"/>
          <w:sz w:val="22"/>
          <w:szCs w:val="22"/>
        </w:rPr>
        <w:t>A falls and bone health assessment was conducted before the patient was discharged.</w:t>
      </w:r>
    </w:p>
    <w:p w14:paraId="5A6CA3B5" w14:textId="77777777" w:rsidR="00E50034" w:rsidRPr="00414A6D" w:rsidRDefault="0055269C" w:rsidP="00597945">
      <w:pPr>
        <w:autoSpaceDE w:val="0"/>
        <w:autoSpaceDN w:val="0"/>
        <w:adjustRightInd w:val="0"/>
        <w:spacing w:before="120" w:after="120"/>
        <w:rPr>
          <w:rFonts w:ascii="Arial" w:hAnsi="Arial" w:cs="Arial"/>
          <w:sz w:val="22"/>
          <w:szCs w:val="22"/>
        </w:rPr>
      </w:pPr>
      <w:r w:rsidRPr="00414A6D">
        <w:rPr>
          <w:rFonts w:ascii="Arial" w:hAnsi="Arial" w:cs="Arial"/>
          <w:sz w:val="22"/>
          <w:szCs w:val="22"/>
        </w:rPr>
        <w:t>S</w:t>
      </w:r>
      <w:r w:rsidR="00E50034" w:rsidRPr="00414A6D">
        <w:rPr>
          <w:rFonts w:ascii="Arial" w:hAnsi="Arial" w:cs="Arial"/>
          <w:sz w:val="22"/>
          <w:szCs w:val="22"/>
        </w:rPr>
        <w:t>u</w:t>
      </w:r>
      <w:r w:rsidR="00AE06CD" w:rsidRPr="00414A6D">
        <w:rPr>
          <w:rFonts w:ascii="Arial" w:hAnsi="Arial" w:cs="Arial"/>
          <w:sz w:val="22"/>
          <w:szCs w:val="22"/>
        </w:rPr>
        <w:t>bject to consultation</w:t>
      </w:r>
      <w:r w:rsidR="00E71B32" w:rsidRPr="00414A6D">
        <w:rPr>
          <w:rFonts w:ascii="Arial" w:hAnsi="Arial" w:cs="Arial"/>
          <w:sz w:val="22"/>
          <w:szCs w:val="22"/>
        </w:rPr>
        <w:t xml:space="preserve"> with</w:t>
      </w:r>
      <w:r w:rsidR="009B4A8B" w:rsidRPr="00414A6D">
        <w:rPr>
          <w:rFonts w:ascii="Arial" w:hAnsi="Arial" w:cs="Arial"/>
          <w:sz w:val="22"/>
          <w:szCs w:val="22"/>
        </w:rPr>
        <w:t xml:space="preserve"> stakeholders</w:t>
      </w:r>
      <w:r w:rsidR="00AE06CD" w:rsidRPr="00414A6D">
        <w:rPr>
          <w:rFonts w:ascii="Arial" w:hAnsi="Arial" w:cs="Arial"/>
          <w:sz w:val="22"/>
          <w:szCs w:val="22"/>
        </w:rPr>
        <w:t xml:space="preserve">, </w:t>
      </w:r>
      <w:r w:rsidR="0044229A" w:rsidRPr="00414A6D">
        <w:rPr>
          <w:rFonts w:ascii="Arial" w:hAnsi="Arial" w:cs="Arial"/>
          <w:sz w:val="22"/>
          <w:szCs w:val="22"/>
        </w:rPr>
        <w:t>the Commission and</w:t>
      </w:r>
      <w:r w:rsidR="00522E1A" w:rsidRPr="00414A6D">
        <w:rPr>
          <w:rFonts w:ascii="Arial" w:hAnsi="Arial" w:cs="Arial"/>
          <w:sz w:val="22"/>
          <w:szCs w:val="22"/>
        </w:rPr>
        <w:t xml:space="preserve"> </w:t>
      </w:r>
      <w:r w:rsidR="00AE06CD" w:rsidRPr="00414A6D">
        <w:rPr>
          <w:rFonts w:ascii="Arial" w:hAnsi="Arial" w:cs="Arial"/>
          <w:sz w:val="22"/>
          <w:szCs w:val="22"/>
        </w:rPr>
        <w:t>IHPA should determine which of the five indicators</w:t>
      </w:r>
      <w:r w:rsidR="00E50034" w:rsidRPr="00414A6D">
        <w:rPr>
          <w:rFonts w:ascii="Arial" w:hAnsi="Arial" w:cs="Arial"/>
          <w:sz w:val="22"/>
          <w:szCs w:val="22"/>
        </w:rPr>
        <w:t xml:space="preserve"> </w:t>
      </w:r>
      <w:r w:rsidR="008D46D0" w:rsidRPr="00414A6D">
        <w:rPr>
          <w:rFonts w:ascii="Arial" w:hAnsi="Arial" w:cs="Arial"/>
          <w:sz w:val="22"/>
          <w:szCs w:val="22"/>
        </w:rPr>
        <w:t xml:space="preserve">are to be included in the initial model. </w:t>
      </w:r>
      <w:r w:rsidR="008541D3" w:rsidRPr="00414A6D">
        <w:rPr>
          <w:rFonts w:ascii="Arial" w:hAnsi="Arial" w:cs="Arial"/>
          <w:sz w:val="22"/>
          <w:szCs w:val="22"/>
        </w:rPr>
        <w:t xml:space="preserve">That is, there may be one to five indicators </w:t>
      </w:r>
      <w:r w:rsidR="00D14650" w:rsidRPr="00414A6D">
        <w:rPr>
          <w:rFonts w:ascii="Arial" w:hAnsi="Arial" w:cs="Arial"/>
          <w:sz w:val="22"/>
          <w:szCs w:val="22"/>
        </w:rPr>
        <w:t xml:space="preserve">initially chosen </w:t>
      </w:r>
      <w:r w:rsidR="008541D3" w:rsidRPr="00414A6D">
        <w:rPr>
          <w:rFonts w:ascii="Arial" w:hAnsi="Arial" w:cs="Arial"/>
          <w:sz w:val="22"/>
          <w:szCs w:val="22"/>
        </w:rPr>
        <w:t xml:space="preserve">in the </w:t>
      </w:r>
      <w:r w:rsidR="00D14650" w:rsidRPr="00414A6D">
        <w:rPr>
          <w:rFonts w:ascii="Arial" w:hAnsi="Arial" w:cs="Arial"/>
          <w:sz w:val="22"/>
          <w:szCs w:val="22"/>
        </w:rPr>
        <w:t xml:space="preserve">first iteration of a pricing </w:t>
      </w:r>
      <w:r w:rsidR="008541D3" w:rsidRPr="00414A6D">
        <w:rPr>
          <w:rFonts w:ascii="Arial" w:hAnsi="Arial" w:cs="Arial"/>
          <w:sz w:val="22"/>
          <w:szCs w:val="22"/>
        </w:rPr>
        <w:t>model.</w:t>
      </w:r>
    </w:p>
    <w:p w14:paraId="14D1376A" w14:textId="77777777" w:rsidR="00F461DC" w:rsidRPr="00414A6D" w:rsidRDefault="00AE06CD" w:rsidP="00E50034">
      <w:pPr>
        <w:autoSpaceDE w:val="0"/>
        <w:autoSpaceDN w:val="0"/>
        <w:adjustRightInd w:val="0"/>
        <w:spacing w:before="120" w:after="120"/>
        <w:rPr>
          <w:rFonts w:ascii="Arial" w:hAnsi="Arial" w:cs="Arial"/>
          <w:sz w:val="22"/>
          <w:szCs w:val="22"/>
        </w:rPr>
      </w:pPr>
      <w:r w:rsidRPr="00414A6D">
        <w:rPr>
          <w:rFonts w:ascii="Arial" w:hAnsi="Arial" w:cs="Arial"/>
          <w:sz w:val="22"/>
          <w:szCs w:val="22"/>
        </w:rPr>
        <w:t>T</w:t>
      </w:r>
      <w:r w:rsidR="00E50034" w:rsidRPr="00414A6D">
        <w:rPr>
          <w:rFonts w:ascii="Arial" w:hAnsi="Arial" w:cs="Arial"/>
          <w:sz w:val="22"/>
          <w:szCs w:val="22"/>
        </w:rPr>
        <w:t>he</w:t>
      </w:r>
      <w:r w:rsidRPr="00414A6D">
        <w:rPr>
          <w:rFonts w:ascii="Arial" w:hAnsi="Arial" w:cs="Arial"/>
          <w:sz w:val="22"/>
          <w:szCs w:val="22"/>
        </w:rPr>
        <w:t xml:space="preserve"> preferred initial national model for best-practice pricing for hip fractures would apply the best-practice price to all </w:t>
      </w:r>
      <w:r w:rsidR="00DA0629" w:rsidRPr="00414A6D">
        <w:rPr>
          <w:rFonts w:ascii="Arial" w:hAnsi="Arial" w:cs="Arial"/>
          <w:sz w:val="22"/>
          <w:szCs w:val="22"/>
        </w:rPr>
        <w:t>relevant hip fracture episode</w:t>
      </w:r>
      <w:r w:rsidRPr="00414A6D">
        <w:rPr>
          <w:rFonts w:ascii="Arial" w:hAnsi="Arial" w:cs="Arial"/>
          <w:sz w:val="22"/>
          <w:szCs w:val="22"/>
        </w:rPr>
        <w:t xml:space="preserve">s </w:t>
      </w:r>
      <w:r w:rsidR="003B6DFE" w:rsidRPr="00414A6D">
        <w:rPr>
          <w:rFonts w:ascii="Arial" w:hAnsi="Arial" w:cs="Arial"/>
          <w:sz w:val="22"/>
          <w:szCs w:val="22"/>
        </w:rPr>
        <w:t xml:space="preserve">that have met </w:t>
      </w:r>
      <w:r w:rsidR="008541D3" w:rsidRPr="00414A6D">
        <w:rPr>
          <w:rFonts w:ascii="Arial" w:hAnsi="Arial" w:cs="Arial"/>
          <w:sz w:val="22"/>
          <w:szCs w:val="22"/>
        </w:rPr>
        <w:t xml:space="preserve">all </w:t>
      </w:r>
      <w:r w:rsidR="003B6DFE" w:rsidRPr="00414A6D">
        <w:rPr>
          <w:rFonts w:ascii="Arial" w:hAnsi="Arial" w:cs="Arial"/>
          <w:sz w:val="22"/>
          <w:szCs w:val="22"/>
        </w:rPr>
        <w:t>the agreed indicator(s</w:t>
      </w:r>
      <w:r w:rsidR="00DA0629" w:rsidRPr="00414A6D">
        <w:rPr>
          <w:rFonts w:ascii="Arial" w:hAnsi="Arial" w:cs="Arial"/>
          <w:sz w:val="22"/>
          <w:szCs w:val="22"/>
        </w:rPr>
        <w:t>)</w:t>
      </w:r>
      <w:r w:rsidR="003B6DFE" w:rsidRPr="00414A6D">
        <w:rPr>
          <w:rFonts w:ascii="Arial" w:hAnsi="Arial" w:cs="Arial"/>
          <w:sz w:val="22"/>
          <w:szCs w:val="22"/>
        </w:rPr>
        <w:t>.</w:t>
      </w:r>
      <w:r w:rsidR="0055269C" w:rsidRPr="00414A6D">
        <w:rPr>
          <w:rFonts w:ascii="Arial" w:hAnsi="Arial" w:cs="Arial"/>
          <w:sz w:val="22"/>
          <w:szCs w:val="22"/>
        </w:rPr>
        <w:t xml:space="preserve"> That is, if data is supplied for an episode that satisfies that the indicator(s) has/have been met, the best-practice pri</w:t>
      </w:r>
      <w:r w:rsidR="00C6691F" w:rsidRPr="00414A6D">
        <w:rPr>
          <w:rFonts w:ascii="Arial" w:hAnsi="Arial" w:cs="Arial"/>
          <w:sz w:val="22"/>
          <w:szCs w:val="22"/>
        </w:rPr>
        <w:t>ce will apply for that episode.</w:t>
      </w:r>
    </w:p>
    <w:p w14:paraId="39479D1F" w14:textId="77777777" w:rsidR="00CE2683" w:rsidRPr="00414A6D" w:rsidRDefault="00CE2683" w:rsidP="00597945">
      <w:pPr>
        <w:autoSpaceDE w:val="0"/>
        <w:autoSpaceDN w:val="0"/>
        <w:adjustRightInd w:val="0"/>
        <w:spacing w:before="120" w:after="120"/>
        <w:rPr>
          <w:rFonts w:ascii="Arial" w:hAnsi="Arial" w:cs="Arial"/>
          <w:sz w:val="22"/>
          <w:szCs w:val="22"/>
        </w:rPr>
      </w:pPr>
      <w:r w:rsidRPr="00414A6D">
        <w:rPr>
          <w:rFonts w:ascii="Arial" w:hAnsi="Arial" w:cs="Arial"/>
          <w:sz w:val="22"/>
          <w:szCs w:val="22"/>
        </w:rPr>
        <w:t xml:space="preserve">Beyond the preferred initial national model for best-practice pricing for hip fractures, future </w:t>
      </w:r>
      <w:r w:rsidR="000218EA" w:rsidRPr="00414A6D">
        <w:rPr>
          <w:rFonts w:ascii="Arial" w:hAnsi="Arial" w:cs="Arial"/>
          <w:sz w:val="22"/>
          <w:szCs w:val="22"/>
        </w:rPr>
        <w:t>iterations</w:t>
      </w:r>
      <w:r w:rsidRPr="00414A6D">
        <w:rPr>
          <w:rFonts w:ascii="Arial" w:hAnsi="Arial" w:cs="Arial"/>
          <w:sz w:val="22"/>
          <w:szCs w:val="22"/>
        </w:rPr>
        <w:t xml:space="preserve"> of the model may include all aspects of the patient journey. This would be dependent on clinical care standards and indicators being available.</w:t>
      </w:r>
    </w:p>
    <w:p w14:paraId="0B639045" w14:textId="1F21D0AC" w:rsidR="009457C8" w:rsidRPr="00414A6D" w:rsidRDefault="003B6DFE" w:rsidP="00597945">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6.1:</w:t>
      </w:r>
      <w:r w:rsidRPr="00414A6D">
        <w:rPr>
          <w:rFonts w:ascii="Arial" w:hAnsi="Arial" w:cs="Arial"/>
          <w:sz w:val="22"/>
          <w:szCs w:val="22"/>
        </w:rPr>
        <w:t xml:space="preserve"> </w:t>
      </w:r>
      <w:r w:rsidR="00C6691F" w:rsidRPr="00414A6D">
        <w:rPr>
          <w:rFonts w:ascii="Arial" w:hAnsi="Arial" w:cs="Arial"/>
          <w:sz w:val="22"/>
          <w:szCs w:val="22"/>
        </w:rPr>
        <w:t>That the JWP endorse</w:t>
      </w:r>
      <w:r w:rsidR="009457C8" w:rsidRPr="00414A6D">
        <w:rPr>
          <w:rFonts w:ascii="Arial" w:hAnsi="Arial" w:cs="Arial"/>
          <w:sz w:val="22"/>
          <w:szCs w:val="22"/>
        </w:rPr>
        <w:t xml:space="preserve"> the </w:t>
      </w:r>
      <w:r w:rsidR="007A3B48" w:rsidRPr="00414A6D">
        <w:rPr>
          <w:rFonts w:ascii="Arial" w:hAnsi="Arial" w:cs="Arial"/>
          <w:sz w:val="22"/>
          <w:szCs w:val="22"/>
        </w:rPr>
        <w:t xml:space="preserve">Sub-Committee’s </w:t>
      </w:r>
      <w:r w:rsidR="009457C8" w:rsidRPr="00414A6D">
        <w:rPr>
          <w:rFonts w:ascii="Arial" w:hAnsi="Arial" w:cs="Arial"/>
          <w:sz w:val="22"/>
          <w:szCs w:val="22"/>
        </w:rPr>
        <w:t xml:space="preserve">preferred </w:t>
      </w:r>
      <w:r w:rsidR="007A3B48" w:rsidRPr="00414A6D">
        <w:rPr>
          <w:rFonts w:ascii="Arial" w:hAnsi="Arial" w:cs="Arial"/>
          <w:sz w:val="22"/>
          <w:szCs w:val="22"/>
        </w:rPr>
        <w:t xml:space="preserve">Hip Fracture CCS </w:t>
      </w:r>
      <w:r w:rsidR="009457C8" w:rsidRPr="00414A6D">
        <w:rPr>
          <w:rFonts w:ascii="Arial" w:hAnsi="Arial" w:cs="Arial"/>
          <w:sz w:val="22"/>
          <w:szCs w:val="22"/>
        </w:rPr>
        <w:t xml:space="preserve">indicators </w:t>
      </w:r>
      <w:r w:rsidR="007A3B48" w:rsidRPr="00414A6D">
        <w:rPr>
          <w:rFonts w:ascii="Arial" w:hAnsi="Arial" w:cs="Arial"/>
          <w:sz w:val="22"/>
          <w:szCs w:val="22"/>
        </w:rPr>
        <w:t>for best-practice pricing</w:t>
      </w:r>
      <w:r w:rsidR="009457C8" w:rsidRPr="00414A6D">
        <w:rPr>
          <w:rFonts w:ascii="Arial" w:hAnsi="Arial" w:cs="Arial"/>
          <w:sz w:val="22"/>
          <w:szCs w:val="22"/>
        </w:rPr>
        <w:t>.</w:t>
      </w:r>
      <w:r w:rsidR="003B0330">
        <w:rPr>
          <w:rFonts w:ascii="Arial" w:hAnsi="Arial" w:cs="Arial"/>
          <w:sz w:val="22"/>
          <w:szCs w:val="22"/>
        </w:rPr>
        <w:t xml:space="preserve"> </w:t>
      </w:r>
      <w:r w:rsidR="003B0330" w:rsidRPr="00C3513A">
        <w:rPr>
          <w:rFonts w:ascii="Arial" w:hAnsi="Arial" w:cs="Arial"/>
          <w:i/>
          <w:sz w:val="22"/>
          <w:szCs w:val="22"/>
        </w:rPr>
        <w:t>Note: the recommendations were endorsed by the JWP on 29 June 2015.</w:t>
      </w:r>
    </w:p>
    <w:p w14:paraId="05A27106" w14:textId="50AE8965" w:rsidR="00BF2B1A" w:rsidRPr="00414A6D" w:rsidRDefault="00BF2B1A" w:rsidP="00597945">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jc w:val="both"/>
        <w:rPr>
          <w:rFonts w:ascii="Arial" w:hAnsi="Arial" w:cs="Arial"/>
          <w:sz w:val="22"/>
          <w:szCs w:val="22"/>
        </w:rPr>
      </w:pPr>
      <w:r w:rsidRPr="00414A6D">
        <w:rPr>
          <w:rFonts w:ascii="Arial" w:hAnsi="Arial" w:cs="Arial"/>
          <w:b/>
          <w:sz w:val="22"/>
          <w:szCs w:val="22"/>
        </w:rPr>
        <w:t>Recommendation 6.2:</w:t>
      </w:r>
      <w:r w:rsidRPr="00414A6D">
        <w:rPr>
          <w:rFonts w:ascii="Arial" w:hAnsi="Arial" w:cs="Arial"/>
          <w:sz w:val="22"/>
          <w:szCs w:val="22"/>
        </w:rPr>
        <w:t xml:space="preserve"> Subject to consultation with the relevant stakeholders, IHPA should determine which of the initial set of indicators are to be included in the preferred initial model for best-practice pricing for hip fractures to be applied to surgical patients.</w:t>
      </w:r>
    </w:p>
    <w:p w14:paraId="43D6B15F" w14:textId="77777777" w:rsidR="006515FA" w:rsidRPr="00414A6D" w:rsidRDefault="006515FA">
      <w:pPr>
        <w:rPr>
          <w:rFonts w:ascii="Arial" w:hAnsi="Arial" w:cs="Arial"/>
          <w:b/>
          <w:bCs/>
          <w:kern w:val="28"/>
          <w:sz w:val="22"/>
          <w:szCs w:val="22"/>
        </w:rPr>
      </w:pPr>
      <w:r w:rsidRPr="00414A6D">
        <w:rPr>
          <w:rFonts w:ascii="Arial" w:hAnsi="Arial" w:cs="Arial"/>
          <w:sz w:val="22"/>
          <w:szCs w:val="22"/>
        </w:rPr>
        <w:br w:type="page"/>
      </w:r>
    </w:p>
    <w:p w14:paraId="1E5F5A36" w14:textId="77777777" w:rsidR="006D09A6" w:rsidRPr="00112D48" w:rsidRDefault="00D2204E" w:rsidP="007B1510">
      <w:pPr>
        <w:pStyle w:val="Heading1"/>
        <w:numPr>
          <w:ilvl w:val="0"/>
          <w:numId w:val="14"/>
        </w:numPr>
        <w:ind w:left="414" w:hanging="357"/>
        <w:jc w:val="both"/>
        <w:rPr>
          <w:szCs w:val="28"/>
        </w:rPr>
      </w:pPr>
      <w:bookmarkStart w:id="31" w:name="_Toc419367749"/>
      <w:bookmarkStart w:id="32" w:name="_Toc426633813"/>
      <w:bookmarkEnd w:id="31"/>
      <w:r w:rsidRPr="00112D48">
        <w:rPr>
          <w:szCs w:val="28"/>
        </w:rPr>
        <w:lastRenderedPageBreak/>
        <w:t>I</w:t>
      </w:r>
      <w:r w:rsidR="006B3A8D" w:rsidRPr="00112D48">
        <w:rPr>
          <w:szCs w:val="28"/>
        </w:rPr>
        <w:t>mplementation</w:t>
      </w:r>
      <w:r w:rsidRPr="00112D48">
        <w:rPr>
          <w:szCs w:val="28"/>
        </w:rPr>
        <w:t xml:space="preserve"> </w:t>
      </w:r>
      <w:r w:rsidR="000239E6" w:rsidRPr="00112D48">
        <w:rPr>
          <w:szCs w:val="28"/>
        </w:rPr>
        <w:t>approach</w:t>
      </w:r>
      <w:bookmarkEnd w:id="32"/>
    </w:p>
    <w:p w14:paraId="4B149525" w14:textId="660B3495" w:rsidR="00CE510B" w:rsidRPr="00414A6D" w:rsidRDefault="00261503" w:rsidP="00112D48">
      <w:pPr>
        <w:pStyle w:val="Heading2"/>
        <w:numPr>
          <w:ilvl w:val="0"/>
          <w:numId w:val="0"/>
        </w:numPr>
        <w:spacing w:before="0" w:after="0"/>
        <w:ind w:left="227"/>
        <w:jc w:val="both"/>
        <w:rPr>
          <w:i w:val="0"/>
          <w:sz w:val="22"/>
          <w:szCs w:val="22"/>
        </w:rPr>
      </w:pPr>
      <w:bookmarkStart w:id="33" w:name="_Toc426633814"/>
      <w:r>
        <w:rPr>
          <w:i w:val="0"/>
          <w:sz w:val="22"/>
          <w:szCs w:val="22"/>
        </w:rPr>
        <w:t>7</w:t>
      </w:r>
      <w:r w:rsidR="00346B84" w:rsidRPr="00414A6D">
        <w:rPr>
          <w:i w:val="0"/>
          <w:sz w:val="22"/>
          <w:szCs w:val="22"/>
        </w:rPr>
        <w:t>.</w:t>
      </w:r>
      <w:r w:rsidR="00D2204E" w:rsidRPr="00414A6D">
        <w:rPr>
          <w:i w:val="0"/>
          <w:sz w:val="22"/>
          <w:szCs w:val="22"/>
        </w:rPr>
        <w:t xml:space="preserve">1 </w:t>
      </w:r>
      <w:r w:rsidR="00B718C4" w:rsidRPr="00414A6D">
        <w:rPr>
          <w:i w:val="0"/>
          <w:sz w:val="22"/>
          <w:szCs w:val="22"/>
        </w:rPr>
        <w:t>Using e</w:t>
      </w:r>
      <w:r w:rsidR="00DC2428" w:rsidRPr="00414A6D">
        <w:rPr>
          <w:i w:val="0"/>
          <w:sz w:val="22"/>
          <w:szCs w:val="22"/>
        </w:rPr>
        <w:t>xisting data to support pricing and quality improvement</w:t>
      </w:r>
      <w:bookmarkEnd w:id="33"/>
    </w:p>
    <w:p w14:paraId="6FAA89E0" w14:textId="77777777" w:rsidR="00DC2428" w:rsidRPr="00414A6D" w:rsidRDefault="007034D9" w:rsidP="00DC2428">
      <w:pPr>
        <w:spacing w:before="120" w:after="120"/>
        <w:jc w:val="both"/>
        <w:rPr>
          <w:rFonts w:ascii="Arial" w:hAnsi="Arial" w:cs="Arial"/>
          <w:sz w:val="22"/>
          <w:szCs w:val="22"/>
        </w:rPr>
      </w:pPr>
      <w:r w:rsidRPr="00414A6D">
        <w:rPr>
          <w:rFonts w:ascii="Arial" w:hAnsi="Arial" w:cs="Arial"/>
          <w:sz w:val="22"/>
          <w:szCs w:val="22"/>
        </w:rPr>
        <w:t xml:space="preserve">In accordance with established processes, the Sub-Committee envisions that IHPA would work with jurisdictions including through the IHPA Jurisdictional Advisory Committee (JAC) to seek advice and guide implementation of any best-practice pricing scheme.  IHPA would signal its intention in relation to best-practice pricing for hip fractures to the Australian community in its </w:t>
      </w:r>
      <w:r w:rsidRPr="00D41ED6">
        <w:rPr>
          <w:rFonts w:ascii="Arial" w:hAnsi="Arial" w:cs="Arial"/>
          <w:i/>
          <w:sz w:val="22"/>
          <w:szCs w:val="22"/>
        </w:rPr>
        <w:t>Pricing Framework for Australian Public Hospital Services</w:t>
      </w:r>
      <w:r w:rsidRPr="00414A6D">
        <w:rPr>
          <w:rFonts w:ascii="Arial" w:hAnsi="Arial" w:cs="Arial"/>
          <w:sz w:val="22"/>
          <w:szCs w:val="22"/>
        </w:rPr>
        <w:t>.</w:t>
      </w:r>
    </w:p>
    <w:p w14:paraId="7C78439E" w14:textId="77777777" w:rsidR="001706BB" w:rsidRPr="00414A6D" w:rsidRDefault="001706BB" w:rsidP="00597945">
      <w:pPr>
        <w:spacing w:after="120"/>
        <w:jc w:val="both"/>
        <w:rPr>
          <w:rFonts w:ascii="Arial" w:hAnsi="Arial" w:cs="Arial"/>
          <w:sz w:val="22"/>
          <w:szCs w:val="22"/>
        </w:rPr>
      </w:pPr>
      <w:r w:rsidRPr="00414A6D">
        <w:rPr>
          <w:rFonts w:ascii="Arial" w:hAnsi="Arial" w:cs="Arial"/>
          <w:sz w:val="22"/>
          <w:szCs w:val="22"/>
        </w:rPr>
        <w:t xml:space="preserve">Following the public consultation around the hip fracture CCS, the Sub-Committee envisions that the Commission might opt to include in its Work Plan activities that support the collection, analyses and provision of timely, comparable hip fracture care information to Local Hospital Networks and relevant public hospitals. These activities would support answers to questions such as: </w:t>
      </w:r>
    </w:p>
    <w:p w14:paraId="2CC6FE4F" w14:textId="77777777" w:rsidR="001706BB" w:rsidRPr="00414A6D" w:rsidRDefault="001706BB" w:rsidP="007B1510">
      <w:pPr>
        <w:pStyle w:val="Commissionbodytext"/>
        <w:numPr>
          <w:ilvl w:val="0"/>
          <w:numId w:val="24"/>
        </w:numPr>
        <w:spacing w:line="240" w:lineRule="auto"/>
        <w:ind w:left="1037" w:hanging="357"/>
        <w:jc w:val="both"/>
        <w:rPr>
          <w:lang w:val="en-US"/>
        </w:rPr>
      </w:pPr>
      <w:r w:rsidRPr="00414A6D">
        <w:rPr>
          <w:lang w:val="en-US"/>
        </w:rPr>
        <w:t>How might comparable hospital-level information be routinely created from existing, nationally consistent databases to support efforts to improve hip fracture care</w:t>
      </w:r>
      <w:r w:rsidR="00061B2A" w:rsidRPr="00414A6D">
        <w:rPr>
          <w:lang w:val="en-US"/>
        </w:rPr>
        <w:t>?</w:t>
      </w:r>
    </w:p>
    <w:p w14:paraId="6916E48E" w14:textId="77777777" w:rsidR="001706BB" w:rsidRPr="00414A6D" w:rsidRDefault="001706BB" w:rsidP="007B1510">
      <w:pPr>
        <w:pStyle w:val="Commissionbodytext"/>
        <w:numPr>
          <w:ilvl w:val="0"/>
          <w:numId w:val="24"/>
        </w:numPr>
        <w:spacing w:line="240" w:lineRule="auto"/>
        <w:ind w:left="1037" w:hanging="357"/>
        <w:jc w:val="both"/>
        <w:rPr>
          <w:lang w:val="en-US"/>
        </w:rPr>
      </w:pPr>
      <w:r w:rsidRPr="00414A6D">
        <w:rPr>
          <w:lang w:val="en-US"/>
        </w:rPr>
        <w:t>How might comparable hospital-level information be routinely created with the new national clinical registry to support efforts to improve hip fracture care</w:t>
      </w:r>
      <w:r w:rsidR="00061B2A" w:rsidRPr="00414A6D">
        <w:rPr>
          <w:lang w:val="en-US"/>
        </w:rPr>
        <w:t>?</w:t>
      </w:r>
    </w:p>
    <w:p w14:paraId="2E4AFCD8" w14:textId="77777777" w:rsidR="001706BB" w:rsidRPr="00414A6D" w:rsidRDefault="001706BB" w:rsidP="007B1510">
      <w:pPr>
        <w:pStyle w:val="Commissionbodytext"/>
        <w:numPr>
          <w:ilvl w:val="0"/>
          <w:numId w:val="24"/>
        </w:numPr>
        <w:spacing w:after="120" w:line="240" w:lineRule="auto"/>
        <w:ind w:left="1037" w:hanging="357"/>
        <w:jc w:val="both"/>
        <w:rPr>
          <w:lang w:val="en-US"/>
        </w:rPr>
      </w:pPr>
      <w:r w:rsidRPr="00414A6D">
        <w:rPr>
          <w:lang w:val="en-US"/>
        </w:rPr>
        <w:t>How might the Commission support this work</w:t>
      </w:r>
      <w:r w:rsidR="00061B2A" w:rsidRPr="00414A6D">
        <w:rPr>
          <w:lang w:val="en-US"/>
        </w:rPr>
        <w:t>?</w:t>
      </w:r>
    </w:p>
    <w:p w14:paraId="0DD2BB78" w14:textId="0D4FA8F1" w:rsidR="00D35212" w:rsidRPr="00414A6D" w:rsidRDefault="0002719C" w:rsidP="00370A06">
      <w:pPr>
        <w:jc w:val="both"/>
        <w:rPr>
          <w:rFonts w:ascii="Arial" w:hAnsi="Arial" w:cs="Arial"/>
          <w:sz w:val="22"/>
          <w:szCs w:val="22"/>
        </w:rPr>
      </w:pPr>
      <w:r>
        <w:rPr>
          <w:rFonts w:ascii="Arial" w:hAnsi="Arial" w:cs="Arial"/>
          <w:sz w:val="22"/>
          <w:szCs w:val="22"/>
        </w:rPr>
        <w:t>There are</w:t>
      </w:r>
      <w:r w:rsidR="00183F28" w:rsidRPr="00414A6D">
        <w:rPr>
          <w:rFonts w:ascii="Arial" w:hAnsi="Arial" w:cs="Arial"/>
          <w:sz w:val="22"/>
          <w:szCs w:val="22"/>
        </w:rPr>
        <w:t xml:space="preserve"> established processes for accessing and using existing national databases through </w:t>
      </w:r>
      <w:r w:rsidRPr="00D41ED6">
        <w:rPr>
          <w:rFonts w:ascii="Arial" w:hAnsi="Arial" w:cs="Arial"/>
          <w:i/>
          <w:sz w:val="22"/>
          <w:szCs w:val="22"/>
        </w:rPr>
        <w:t xml:space="preserve">IHPA’s </w:t>
      </w:r>
      <w:r w:rsidR="00183F28" w:rsidRPr="00D41ED6">
        <w:rPr>
          <w:rFonts w:ascii="Arial" w:hAnsi="Arial" w:cs="Arial"/>
          <w:i/>
          <w:sz w:val="22"/>
          <w:szCs w:val="22"/>
        </w:rPr>
        <w:t>Three Year Data Plan</w:t>
      </w:r>
      <w:r>
        <w:rPr>
          <w:rFonts w:ascii="Arial" w:hAnsi="Arial" w:cs="Arial"/>
          <w:sz w:val="22"/>
          <w:szCs w:val="22"/>
        </w:rPr>
        <w:t xml:space="preserve"> and the Commission’s work plan respectively</w:t>
      </w:r>
      <w:r w:rsidR="00183F28" w:rsidRPr="00414A6D">
        <w:rPr>
          <w:rFonts w:ascii="Arial" w:hAnsi="Arial" w:cs="Arial"/>
          <w:sz w:val="22"/>
          <w:szCs w:val="22"/>
        </w:rPr>
        <w:t xml:space="preserve">. </w:t>
      </w:r>
      <w:r w:rsidR="00FE67A5" w:rsidRPr="00414A6D">
        <w:rPr>
          <w:rFonts w:ascii="Arial" w:hAnsi="Arial" w:cs="Arial"/>
          <w:sz w:val="22"/>
          <w:szCs w:val="22"/>
        </w:rPr>
        <w:t xml:space="preserve">If the development of new data elements is required, </w:t>
      </w:r>
      <w:r w:rsidR="007034D9" w:rsidRPr="00414A6D">
        <w:rPr>
          <w:rFonts w:ascii="Arial" w:hAnsi="Arial" w:cs="Arial"/>
          <w:sz w:val="22"/>
          <w:szCs w:val="22"/>
        </w:rPr>
        <w:t>consultation should occur with</w:t>
      </w:r>
      <w:r w:rsidR="00183F28" w:rsidRPr="00414A6D">
        <w:rPr>
          <w:rFonts w:ascii="Arial" w:hAnsi="Arial" w:cs="Arial"/>
          <w:sz w:val="22"/>
          <w:szCs w:val="22"/>
        </w:rPr>
        <w:t xml:space="preserve"> </w:t>
      </w:r>
      <w:r w:rsidR="00D35212" w:rsidRPr="00414A6D">
        <w:rPr>
          <w:rFonts w:ascii="Arial" w:hAnsi="Arial" w:cs="Arial"/>
          <w:sz w:val="22"/>
          <w:szCs w:val="22"/>
        </w:rPr>
        <w:t>j</w:t>
      </w:r>
      <w:r w:rsidR="00FE67A5" w:rsidRPr="00414A6D">
        <w:rPr>
          <w:rFonts w:ascii="Arial" w:hAnsi="Arial" w:cs="Arial"/>
          <w:sz w:val="22"/>
          <w:szCs w:val="22"/>
        </w:rPr>
        <w:t>urisdict</w:t>
      </w:r>
      <w:r w:rsidR="00EC7E42" w:rsidRPr="00414A6D">
        <w:rPr>
          <w:rFonts w:ascii="Arial" w:hAnsi="Arial" w:cs="Arial"/>
          <w:sz w:val="22"/>
          <w:szCs w:val="22"/>
        </w:rPr>
        <w:t>ions</w:t>
      </w:r>
      <w:r w:rsidR="007034D9" w:rsidRPr="00414A6D">
        <w:rPr>
          <w:rFonts w:ascii="Arial" w:hAnsi="Arial" w:cs="Arial"/>
          <w:sz w:val="22"/>
          <w:szCs w:val="22"/>
        </w:rPr>
        <w:t xml:space="preserve"> </w:t>
      </w:r>
      <w:r w:rsidR="00183F28" w:rsidRPr="00414A6D">
        <w:rPr>
          <w:rFonts w:ascii="Arial" w:hAnsi="Arial" w:cs="Arial"/>
          <w:sz w:val="22"/>
          <w:szCs w:val="22"/>
        </w:rPr>
        <w:t xml:space="preserve">and IHPA and the Commission, </w:t>
      </w:r>
      <w:r w:rsidR="007034D9" w:rsidRPr="00414A6D">
        <w:rPr>
          <w:rFonts w:ascii="Arial" w:hAnsi="Arial" w:cs="Arial"/>
          <w:sz w:val="22"/>
          <w:szCs w:val="22"/>
        </w:rPr>
        <w:t xml:space="preserve">as these data elements might already exist in state and territory data collections (e.g. time </w:t>
      </w:r>
      <w:r>
        <w:rPr>
          <w:rFonts w:ascii="Arial" w:hAnsi="Arial" w:cs="Arial"/>
          <w:sz w:val="22"/>
          <w:szCs w:val="22"/>
        </w:rPr>
        <w:t>to</w:t>
      </w:r>
      <w:r w:rsidR="007034D9" w:rsidRPr="00414A6D">
        <w:rPr>
          <w:rFonts w:ascii="Arial" w:hAnsi="Arial" w:cs="Arial"/>
          <w:sz w:val="22"/>
          <w:szCs w:val="22"/>
        </w:rPr>
        <w:t xml:space="preserve"> surgery)</w:t>
      </w:r>
      <w:r w:rsidR="008541D3" w:rsidRPr="00414A6D">
        <w:rPr>
          <w:rFonts w:ascii="Arial" w:hAnsi="Arial" w:cs="Arial"/>
          <w:sz w:val="22"/>
          <w:szCs w:val="22"/>
        </w:rPr>
        <w:t>,</w:t>
      </w:r>
      <w:r w:rsidR="007034D9" w:rsidRPr="00414A6D">
        <w:rPr>
          <w:rFonts w:ascii="Arial" w:hAnsi="Arial" w:cs="Arial"/>
          <w:sz w:val="22"/>
          <w:szCs w:val="22"/>
        </w:rPr>
        <w:t xml:space="preserve"> or might need to be specified through </w:t>
      </w:r>
      <w:r w:rsidR="00EC7E42" w:rsidRPr="00414A6D">
        <w:rPr>
          <w:rFonts w:ascii="Arial" w:hAnsi="Arial" w:cs="Arial"/>
          <w:sz w:val="22"/>
          <w:szCs w:val="22"/>
        </w:rPr>
        <w:t xml:space="preserve">national </w:t>
      </w:r>
      <w:r w:rsidR="00D35212" w:rsidRPr="00414A6D">
        <w:rPr>
          <w:rFonts w:ascii="Arial" w:hAnsi="Arial" w:cs="Arial"/>
          <w:sz w:val="22"/>
          <w:szCs w:val="22"/>
        </w:rPr>
        <w:t xml:space="preserve">data governance processes to </w:t>
      </w:r>
      <w:r w:rsidR="007034D9" w:rsidRPr="00414A6D">
        <w:rPr>
          <w:rFonts w:ascii="Arial" w:hAnsi="Arial" w:cs="Arial"/>
          <w:sz w:val="22"/>
          <w:szCs w:val="22"/>
        </w:rPr>
        <w:t>support their nationally consistent collection</w:t>
      </w:r>
      <w:r w:rsidR="00D35212" w:rsidRPr="00414A6D">
        <w:rPr>
          <w:rFonts w:ascii="Arial" w:hAnsi="Arial" w:cs="Arial"/>
          <w:sz w:val="22"/>
          <w:szCs w:val="22"/>
        </w:rPr>
        <w:t>.</w:t>
      </w:r>
    </w:p>
    <w:p w14:paraId="686EABA1" w14:textId="77777777" w:rsidR="00370A06" w:rsidRPr="00414A6D" w:rsidRDefault="00370A06" w:rsidP="00370A06">
      <w:pPr>
        <w:jc w:val="both"/>
        <w:rPr>
          <w:rFonts w:ascii="Arial" w:hAnsi="Arial" w:cs="Arial"/>
          <w:sz w:val="22"/>
          <w:szCs w:val="22"/>
        </w:rPr>
      </w:pPr>
    </w:p>
    <w:p w14:paraId="78BB32CD" w14:textId="630EB3C0" w:rsidR="00FC2F35" w:rsidRPr="00414A6D" w:rsidRDefault="00261503" w:rsidP="00112D48">
      <w:pPr>
        <w:pStyle w:val="Heading2"/>
        <w:numPr>
          <w:ilvl w:val="0"/>
          <w:numId w:val="0"/>
        </w:numPr>
        <w:spacing w:before="0" w:after="0"/>
        <w:ind w:left="227"/>
        <w:jc w:val="both"/>
        <w:rPr>
          <w:i w:val="0"/>
          <w:sz w:val="22"/>
          <w:szCs w:val="22"/>
        </w:rPr>
      </w:pPr>
      <w:bookmarkStart w:id="34" w:name="_Toc426633815"/>
      <w:r>
        <w:rPr>
          <w:i w:val="0"/>
          <w:sz w:val="22"/>
        </w:rPr>
        <w:t>7</w:t>
      </w:r>
      <w:r w:rsidR="00DC2428" w:rsidRPr="00414A6D">
        <w:rPr>
          <w:i w:val="0"/>
          <w:sz w:val="22"/>
        </w:rPr>
        <w:t>.</w:t>
      </w:r>
      <w:r w:rsidR="001706BB" w:rsidRPr="00414A6D">
        <w:rPr>
          <w:i w:val="0"/>
          <w:sz w:val="22"/>
        </w:rPr>
        <w:t>2</w:t>
      </w:r>
      <w:r w:rsidR="00CE510B" w:rsidRPr="00414A6D">
        <w:rPr>
          <w:i w:val="0"/>
          <w:sz w:val="22"/>
        </w:rPr>
        <w:t xml:space="preserve"> </w:t>
      </w:r>
      <w:r w:rsidR="001706BB" w:rsidRPr="00414A6D">
        <w:rPr>
          <w:i w:val="0"/>
          <w:sz w:val="22"/>
          <w:szCs w:val="22"/>
        </w:rPr>
        <w:t>Potential</w:t>
      </w:r>
      <w:r w:rsidR="00183F28" w:rsidRPr="00414A6D">
        <w:rPr>
          <w:i w:val="0"/>
          <w:sz w:val="22"/>
          <w:szCs w:val="22"/>
        </w:rPr>
        <w:t xml:space="preserve"> </w:t>
      </w:r>
      <w:r w:rsidR="00370A06" w:rsidRPr="00414A6D">
        <w:rPr>
          <w:i w:val="0"/>
          <w:sz w:val="22"/>
          <w:szCs w:val="22"/>
        </w:rPr>
        <w:t>data to s</w:t>
      </w:r>
      <w:r w:rsidR="00183F28" w:rsidRPr="00414A6D">
        <w:rPr>
          <w:i w:val="0"/>
          <w:sz w:val="22"/>
          <w:szCs w:val="22"/>
        </w:rPr>
        <w:t>upport</w:t>
      </w:r>
      <w:r w:rsidR="00370A06" w:rsidRPr="00414A6D">
        <w:rPr>
          <w:i w:val="0"/>
          <w:sz w:val="22"/>
          <w:szCs w:val="22"/>
        </w:rPr>
        <w:t xml:space="preserve"> pricing, funding and quality i</w:t>
      </w:r>
      <w:r w:rsidR="00183F28" w:rsidRPr="00414A6D">
        <w:rPr>
          <w:i w:val="0"/>
          <w:sz w:val="22"/>
          <w:szCs w:val="22"/>
        </w:rPr>
        <w:t>mprovement</w:t>
      </w:r>
      <w:bookmarkEnd w:id="34"/>
    </w:p>
    <w:p w14:paraId="4098D138" w14:textId="77777777" w:rsidR="00811840" w:rsidRPr="00414A6D" w:rsidRDefault="00811840" w:rsidP="00370A06">
      <w:pPr>
        <w:jc w:val="both"/>
        <w:rPr>
          <w:rFonts w:ascii="Arial" w:hAnsi="Arial" w:cs="Arial"/>
          <w:sz w:val="22"/>
          <w:szCs w:val="22"/>
        </w:rPr>
      </w:pPr>
      <w:r w:rsidRPr="00414A6D">
        <w:rPr>
          <w:rFonts w:ascii="Arial" w:hAnsi="Arial" w:cs="Arial"/>
          <w:sz w:val="22"/>
          <w:szCs w:val="22"/>
        </w:rPr>
        <w:t xml:space="preserve">In the NHS, Queensland and WA, the introduction of </w:t>
      </w:r>
      <w:r w:rsidR="00346B84" w:rsidRPr="00414A6D">
        <w:rPr>
          <w:rFonts w:ascii="Arial" w:hAnsi="Arial" w:cs="Arial"/>
          <w:sz w:val="22"/>
          <w:szCs w:val="22"/>
        </w:rPr>
        <w:t>best-practice</w:t>
      </w:r>
      <w:r w:rsidRPr="00414A6D">
        <w:rPr>
          <w:rFonts w:ascii="Arial" w:hAnsi="Arial" w:cs="Arial"/>
          <w:sz w:val="22"/>
          <w:szCs w:val="22"/>
        </w:rPr>
        <w:t xml:space="preserve"> pricing has focused on time to surgery and, in the case of the NHS, full participation in their clinical registry.  </w:t>
      </w:r>
    </w:p>
    <w:p w14:paraId="419F16CD" w14:textId="77777777" w:rsidR="00B718C4" w:rsidRPr="00414A6D" w:rsidRDefault="001706BB" w:rsidP="00597945">
      <w:pPr>
        <w:spacing w:before="120" w:after="120"/>
        <w:jc w:val="both"/>
        <w:rPr>
          <w:rFonts w:ascii="Arial" w:hAnsi="Arial" w:cs="Arial"/>
          <w:sz w:val="22"/>
          <w:szCs w:val="22"/>
        </w:rPr>
      </w:pPr>
      <w:r w:rsidRPr="00414A6D">
        <w:rPr>
          <w:rFonts w:ascii="Arial" w:hAnsi="Arial" w:cs="Arial"/>
          <w:sz w:val="22"/>
          <w:szCs w:val="22"/>
        </w:rPr>
        <w:t>T</w:t>
      </w:r>
      <w:r w:rsidR="00811840" w:rsidRPr="00414A6D">
        <w:rPr>
          <w:rFonts w:ascii="Arial" w:hAnsi="Arial" w:cs="Arial"/>
          <w:sz w:val="22"/>
          <w:szCs w:val="22"/>
        </w:rPr>
        <w:t xml:space="preserve">he </w:t>
      </w:r>
      <w:r w:rsidR="007F232E" w:rsidRPr="00414A6D">
        <w:rPr>
          <w:rFonts w:ascii="Arial" w:hAnsi="Arial" w:cs="Arial"/>
          <w:sz w:val="22"/>
          <w:szCs w:val="22"/>
        </w:rPr>
        <w:t>Sub-Committee</w:t>
      </w:r>
      <w:r w:rsidR="00811840" w:rsidRPr="00414A6D">
        <w:rPr>
          <w:rFonts w:ascii="Arial" w:hAnsi="Arial" w:cs="Arial"/>
          <w:sz w:val="22"/>
          <w:szCs w:val="22"/>
        </w:rPr>
        <w:t xml:space="preserve"> </w:t>
      </w:r>
      <w:r w:rsidR="00D13F78" w:rsidRPr="00414A6D">
        <w:rPr>
          <w:rFonts w:ascii="Arial" w:hAnsi="Arial" w:cs="Arial"/>
          <w:sz w:val="22"/>
          <w:szCs w:val="22"/>
        </w:rPr>
        <w:t>was advised</w:t>
      </w:r>
      <w:r w:rsidR="00811840" w:rsidRPr="00414A6D">
        <w:rPr>
          <w:rFonts w:ascii="Arial" w:hAnsi="Arial" w:cs="Arial"/>
          <w:sz w:val="22"/>
          <w:szCs w:val="22"/>
        </w:rPr>
        <w:t xml:space="preserve"> that the new ANZHFR collects information relevant to many more </w:t>
      </w:r>
      <w:r w:rsidR="00183F28" w:rsidRPr="00414A6D">
        <w:rPr>
          <w:rFonts w:ascii="Arial" w:hAnsi="Arial" w:cs="Arial"/>
          <w:sz w:val="22"/>
          <w:szCs w:val="22"/>
        </w:rPr>
        <w:t xml:space="preserve">indicators across the </w:t>
      </w:r>
      <w:r w:rsidR="00811840" w:rsidRPr="00414A6D">
        <w:rPr>
          <w:rFonts w:ascii="Arial" w:hAnsi="Arial" w:cs="Arial"/>
          <w:sz w:val="22"/>
          <w:szCs w:val="22"/>
        </w:rPr>
        <w:t xml:space="preserve">seven proposed Hip </w:t>
      </w:r>
      <w:r w:rsidR="00346B84" w:rsidRPr="00414A6D">
        <w:rPr>
          <w:rFonts w:ascii="Arial" w:hAnsi="Arial" w:cs="Arial"/>
          <w:sz w:val="22"/>
          <w:szCs w:val="22"/>
        </w:rPr>
        <w:t xml:space="preserve">Fracture </w:t>
      </w:r>
      <w:r w:rsidR="00560CC6" w:rsidRPr="00414A6D">
        <w:rPr>
          <w:rFonts w:ascii="Arial" w:hAnsi="Arial" w:cs="Arial"/>
          <w:sz w:val="22"/>
          <w:szCs w:val="22"/>
        </w:rPr>
        <w:t xml:space="preserve">CCS quality statements </w:t>
      </w:r>
      <w:r w:rsidR="00811840" w:rsidRPr="00414A6D">
        <w:rPr>
          <w:rFonts w:ascii="Arial" w:hAnsi="Arial" w:cs="Arial"/>
          <w:sz w:val="22"/>
          <w:szCs w:val="22"/>
        </w:rPr>
        <w:t>than existing</w:t>
      </w:r>
      <w:r w:rsidR="00183F28" w:rsidRPr="00414A6D">
        <w:rPr>
          <w:rFonts w:ascii="Arial" w:hAnsi="Arial" w:cs="Arial"/>
          <w:sz w:val="22"/>
          <w:szCs w:val="22"/>
        </w:rPr>
        <w:t xml:space="preserve"> nationally consistent</w:t>
      </w:r>
      <w:r w:rsidR="00811840" w:rsidRPr="00414A6D">
        <w:rPr>
          <w:rFonts w:ascii="Arial" w:hAnsi="Arial" w:cs="Arial"/>
          <w:sz w:val="22"/>
          <w:szCs w:val="22"/>
        </w:rPr>
        <w:t xml:space="preserve"> information systems. </w:t>
      </w:r>
      <w:r w:rsidR="00183F28" w:rsidRPr="00414A6D">
        <w:rPr>
          <w:rFonts w:ascii="Arial" w:hAnsi="Arial" w:cs="Arial"/>
          <w:sz w:val="22"/>
          <w:szCs w:val="22"/>
        </w:rPr>
        <w:t xml:space="preserve">However, </w:t>
      </w:r>
      <w:r w:rsidR="00811840" w:rsidRPr="00414A6D">
        <w:rPr>
          <w:rFonts w:ascii="Arial" w:hAnsi="Arial" w:cs="Arial"/>
          <w:sz w:val="22"/>
          <w:szCs w:val="22"/>
        </w:rPr>
        <w:t xml:space="preserve">these </w:t>
      </w:r>
      <w:r w:rsidR="00183F28" w:rsidRPr="00414A6D">
        <w:rPr>
          <w:rFonts w:ascii="Arial" w:hAnsi="Arial" w:cs="Arial"/>
          <w:sz w:val="22"/>
          <w:szCs w:val="22"/>
        </w:rPr>
        <w:t>ANZH</w:t>
      </w:r>
      <w:r w:rsidR="00560CC6" w:rsidRPr="00414A6D">
        <w:rPr>
          <w:rFonts w:ascii="Arial" w:hAnsi="Arial" w:cs="Arial"/>
          <w:sz w:val="22"/>
          <w:szCs w:val="22"/>
        </w:rPr>
        <w:t>FR</w:t>
      </w:r>
      <w:r w:rsidR="00183F28" w:rsidRPr="00414A6D">
        <w:rPr>
          <w:rFonts w:ascii="Arial" w:hAnsi="Arial" w:cs="Arial"/>
          <w:sz w:val="22"/>
          <w:szCs w:val="22"/>
        </w:rPr>
        <w:t xml:space="preserve"> </w:t>
      </w:r>
      <w:r w:rsidR="00811840" w:rsidRPr="00414A6D">
        <w:rPr>
          <w:rFonts w:ascii="Arial" w:hAnsi="Arial" w:cs="Arial"/>
          <w:sz w:val="22"/>
          <w:szCs w:val="22"/>
        </w:rPr>
        <w:t xml:space="preserve">data are not yet nationally complete for major and large public hospitals, </w:t>
      </w:r>
      <w:r w:rsidR="00183F28" w:rsidRPr="00414A6D">
        <w:rPr>
          <w:rFonts w:ascii="Arial" w:hAnsi="Arial" w:cs="Arial"/>
          <w:sz w:val="22"/>
          <w:szCs w:val="22"/>
        </w:rPr>
        <w:t xml:space="preserve">though </w:t>
      </w:r>
      <w:r w:rsidR="00811840" w:rsidRPr="00414A6D">
        <w:rPr>
          <w:rFonts w:ascii="Arial" w:hAnsi="Arial" w:cs="Arial"/>
          <w:sz w:val="22"/>
          <w:szCs w:val="22"/>
        </w:rPr>
        <w:t xml:space="preserve">hospital participation rates are increasing. </w:t>
      </w:r>
    </w:p>
    <w:p w14:paraId="0F3A9EED" w14:textId="77777777" w:rsidR="00564B2C" w:rsidRPr="00414A6D" w:rsidRDefault="00811840" w:rsidP="00D147A4">
      <w:pPr>
        <w:spacing w:before="120" w:after="120"/>
        <w:jc w:val="both"/>
        <w:rPr>
          <w:rFonts w:ascii="Arial" w:hAnsi="Arial" w:cs="Arial"/>
          <w:sz w:val="22"/>
          <w:szCs w:val="22"/>
        </w:rPr>
      </w:pPr>
      <w:r w:rsidRPr="00414A6D">
        <w:rPr>
          <w:rFonts w:ascii="Arial" w:hAnsi="Arial" w:cs="Arial"/>
          <w:sz w:val="22"/>
          <w:szCs w:val="22"/>
        </w:rPr>
        <w:t>If IHPA w</w:t>
      </w:r>
      <w:r w:rsidR="00564B2C" w:rsidRPr="00414A6D">
        <w:rPr>
          <w:rFonts w:ascii="Arial" w:hAnsi="Arial" w:cs="Arial"/>
          <w:sz w:val="22"/>
          <w:szCs w:val="22"/>
        </w:rPr>
        <w:t>as</w:t>
      </w:r>
      <w:r w:rsidRPr="00414A6D">
        <w:rPr>
          <w:rFonts w:ascii="Arial" w:hAnsi="Arial" w:cs="Arial"/>
          <w:sz w:val="22"/>
          <w:szCs w:val="22"/>
        </w:rPr>
        <w:t xml:space="preserve"> to commence </w:t>
      </w:r>
      <w:r w:rsidR="00346B84" w:rsidRPr="00414A6D">
        <w:rPr>
          <w:rFonts w:ascii="Arial" w:hAnsi="Arial" w:cs="Arial"/>
          <w:sz w:val="22"/>
          <w:szCs w:val="22"/>
        </w:rPr>
        <w:t>best-practice</w:t>
      </w:r>
      <w:r w:rsidRPr="00414A6D">
        <w:rPr>
          <w:rFonts w:ascii="Arial" w:hAnsi="Arial" w:cs="Arial"/>
          <w:sz w:val="22"/>
          <w:szCs w:val="22"/>
        </w:rPr>
        <w:t xml:space="preserve"> pricing </w:t>
      </w:r>
      <w:r w:rsidR="00B718C4" w:rsidRPr="00414A6D">
        <w:rPr>
          <w:rFonts w:ascii="Arial" w:hAnsi="Arial" w:cs="Arial"/>
          <w:sz w:val="22"/>
          <w:szCs w:val="22"/>
        </w:rPr>
        <w:t>using</w:t>
      </w:r>
      <w:r w:rsidRPr="00414A6D">
        <w:rPr>
          <w:rFonts w:ascii="Arial" w:hAnsi="Arial" w:cs="Arial"/>
          <w:sz w:val="22"/>
          <w:szCs w:val="22"/>
        </w:rPr>
        <w:t xml:space="preserve"> </w:t>
      </w:r>
      <w:r w:rsidR="00560CC6" w:rsidRPr="00414A6D">
        <w:rPr>
          <w:rFonts w:ascii="Arial" w:hAnsi="Arial" w:cs="Arial"/>
          <w:sz w:val="22"/>
          <w:szCs w:val="22"/>
        </w:rPr>
        <w:t>some</w:t>
      </w:r>
      <w:r w:rsidRPr="00414A6D">
        <w:rPr>
          <w:rFonts w:ascii="Arial" w:hAnsi="Arial" w:cs="Arial"/>
          <w:sz w:val="22"/>
          <w:szCs w:val="22"/>
        </w:rPr>
        <w:t xml:space="preserve"> of the proposed Hip </w:t>
      </w:r>
      <w:r w:rsidR="00346B84" w:rsidRPr="00414A6D">
        <w:rPr>
          <w:rFonts w:ascii="Arial" w:hAnsi="Arial" w:cs="Arial"/>
          <w:sz w:val="22"/>
          <w:szCs w:val="22"/>
        </w:rPr>
        <w:t xml:space="preserve">Fracture </w:t>
      </w:r>
      <w:r w:rsidR="00560CC6" w:rsidRPr="00414A6D">
        <w:rPr>
          <w:rFonts w:ascii="Arial" w:hAnsi="Arial" w:cs="Arial"/>
          <w:sz w:val="22"/>
          <w:szCs w:val="22"/>
        </w:rPr>
        <w:t>CCS indicators</w:t>
      </w:r>
      <w:r w:rsidRPr="00414A6D">
        <w:rPr>
          <w:rFonts w:ascii="Arial" w:hAnsi="Arial" w:cs="Arial"/>
          <w:sz w:val="22"/>
          <w:szCs w:val="22"/>
        </w:rPr>
        <w:t>, then it should promote early and rapid adoption of the ANZHFR by public hospitals</w:t>
      </w:r>
      <w:r w:rsidR="00B718C4" w:rsidRPr="00414A6D">
        <w:rPr>
          <w:rFonts w:ascii="Arial" w:hAnsi="Arial" w:cs="Arial"/>
          <w:sz w:val="22"/>
          <w:szCs w:val="22"/>
        </w:rPr>
        <w:t xml:space="preserve"> for future use of this data as a source of clinical quality improvement information as well as for establishing whether best-practice has been met for pricing and funding purposes.</w:t>
      </w:r>
      <w:r w:rsidRPr="00414A6D">
        <w:rPr>
          <w:rFonts w:ascii="Arial" w:hAnsi="Arial" w:cs="Arial"/>
          <w:sz w:val="22"/>
          <w:szCs w:val="22"/>
        </w:rPr>
        <w:t xml:space="preserve"> The </w:t>
      </w:r>
      <w:r w:rsidR="00D13F78" w:rsidRPr="00414A6D">
        <w:rPr>
          <w:rFonts w:ascii="Arial" w:hAnsi="Arial" w:cs="Arial"/>
          <w:sz w:val="22"/>
          <w:szCs w:val="22"/>
        </w:rPr>
        <w:t xml:space="preserve">Administrator and the </w:t>
      </w:r>
      <w:r w:rsidRPr="00414A6D">
        <w:rPr>
          <w:rFonts w:ascii="Arial" w:hAnsi="Arial" w:cs="Arial"/>
          <w:sz w:val="22"/>
          <w:szCs w:val="22"/>
        </w:rPr>
        <w:t xml:space="preserve">National Health Funding Body would need to access the resultant data for the purposes of funding determinations. </w:t>
      </w:r>
    </w:p>
    <w:p w14:paraId="56EFA584" w14:textId="77777777" w:rsidR="00811840" w:rsidRPr="00414A6D" w:rsidRDefault="00811840" w:rsidP="00D147A4">
      <w:pPr>
        <w:spacing w:before="120" w:after="120"/>
        <w:jc w:val="both"/>
        <w:rPr>
          <w:rFonts w:ascii="Arial" w:hAnsi="Arial" w:cs="Arial"/>
          <w:sz w:val="22"/>
          <w:szCs w:val="22"/>
        </w:rPr>
      </w:pPr>
      <w:r w:rsidRPr="00414A6D">
        <w:rPr>
          <w:rFonts w:ascii="Arial" w:hAnsi="Arial" w:cs="Arial"/>
          <w:sz w:val="22"/>
          <w:szCs w:val="22"/>
        </w:rPr>
        <w:t xml:space="preserve">IHPA could promote adoption </w:t>
      </w:r>
      <w:r w:rsidR="00D13F78" w:rsidRPr="00414A6D">
        <w:rPr>
          <w:rFonts w:ascii="Arial" w:hAnsi="Arial" w:cs="Arial"/>
          <w:sz w:val="22"/>
          <w:szCs w:val="22"/>
        </w:rPr>
        <w:t xml:space="preserve">of the ANZHFR </w:t>
      </w:r>
      <w:r w:rsidRPr="00414A6D">
        <w:rPr>
          <w:rFonts w:ascii="Arial" w:hAnsi="Arial" w:cs="Arial"/>
          <w:sz w:val="22"/>
          <w:szCs w:val="22"/>
        </w:rPr>
        <w:t xml:space="preserve">by including a requirement for these data in its </w:t>
      </w:r>
      <w:r w:rsidRPr="00D41ED6">
        <w:rPr>
          <w:rFonts w:ascii="Arial" w:hAnsi="Arial" w:cs="Arial"/>
          <w:i/>
          <w:sz w:val="22"/>
          <w:szCs w:val="22"/>
        </w:rPr>
        <w:t>Three Year Rolling Data Plan</w:t>
      </w:r>
      <w:r w:rsidRPr="00414A6D">
        <w:rPr>
          <w:rFonts w:ascii="Arial" w:hAnsi="Arial" w:cs="Arial"/>
          <w:sz w:val="22"/>
          <w:szCs w:val="22"/>
        </w:rPr>
        <w:t xml:space="preserve"> or</w:t>
      </w:r>
      <w:r w:rsidR="00564B2C" w:rsidRPr="00414A6D">
        <w:rPr>
          <w:rFonts w:ascii="Arial" w:hAnsi="Arial" w:cs="Arial"/>
          <w:sz w:val="22"/>
          <w:szCs w:val="22"/>
        </w:rPr>
        <w:t xml:space="preserve"> </w:t>
      </w:r>
      <w:r w:rsidRPr="00414A6D">
        <w:rPr>
          <w:rFonts w:ascii="Arial" w:hAnsi="Arial" w:cs="Arial"/>
          <w:sz w:val="22"/>
          <w:szCs w:val="22"/>
        </w:rPr>
        <w:t xml:space="preserve">by requiring the data as pre-requisite </w:t>
      </w:r>
      <w:r w:rsidR="00564B2C" w:rsidRPr="00414A6D">
        <w:rPr>
          <w:rFonts w:ascii="Arial" w:hAnsi="Arial" w:cs="Arial"/>
          <w:sz w:val="22"/>
          <w:szCs w:val="22"/>
        </w:rPr>
        <w:t xml:space="preserve">to be eligible for </w:t>
      </w:r>
      <w:r w:rsidR="00346B84" w:rsidRPr="00414A6D">
        <w:rPr>
          <w:rFonts w:ascii="Arial" w:hAnsi="Arial" w:cs="Arial"/>
          <w:sz w:val="22"/>
          <w:szCs w:val="22"/>
        </w:rPr>
        <w:t>best</w:t>
      </w:r>
      <w:r w:rsidR="00D13F78" w:rsidRPr="00414A6D">
        <w:rPr>
          <w:rFonts w:ascii="Arial" w:hAnsi="Arial" w:cs="Arial"/>
          <w:sz w:val="22"/>
          <w:szCs w:val="22"/>
        </w:rPr>
        <w:noBreakHyphen/>
      </w:r>
      <w:r w:rsidR="00346B84" w:rsidRPr="00414A6D">
        <w:rPr>
          <w:rFonts w:ascii="Arial" w:hAnsi="Arial" w:cs="Arial"/>
          <w:sz w:val="22"/>
          <w:szCs w:val="22"/>
        </w:rPr>
        <w:t>practice</w:t>
      </w:r>
      <w:r w:rsidRPr="00414A6D">
        <w:rPr>
          <w:rFonts w:ascii="Arial" w:hAnsi="Arial" w:cs="Arial"/>
          <w:sz w:val="22"/>
          <w:szCs w:val="22"/>
        </w:rPr>
        <w:t xml:space="preserve"> pricing. IHPA </w:t>
      </w:r>
      <w:r w:rsidR="00183F28" w:rsidRPr="00414A6D">
        <w:rPr>
          <w:rFonts w:ascii="Arial" w:hAnsi="Arial" w:cs="Arial"/>
          <w:sz w:val="22"/>
          <w:szCs w:val="22"/>
        </w:rPr>
        <w:t xml:space="preserve">and the Commission </w:t>
      </w:r>
      <w:r w:rsidRPr="00414A6D">
        <w:rPr>
          <w:rFonts w:ascii="Arial" w:hAnsi="Arial" w:cs="Arial"/>
          <w:sz w:val="22"/>
          <w:szCs w:val="22"/>
        </w:rPr>
        <w:t xml:space="preserve">could support national coordination of state and territory effort through </w:t>
      </w:r>
      <w:r w:rsidR="00183F28" w:rsidRPr="00414A6D">
        <w:rPr>
          <w:rFonts w:ascii="Arial" w:hAnsi="Arial" w:cs="Arial"/>
          <w:sz w:val="22"/>
          <w:szCs w:val="22"/>
        </w:rPr>
        <w:t>the National Health Information and Performance Principal Committee (</w:t>
      </w:r>
      <w:r w:rsidRPr="00106595">
        <w:rPr>
          <w:rFonts w:ascii="Arial" w:hAnsi="Arial" w:cs="Arial"/>
          <w:sz w:val="22"/>
          <w:szCs w:val="22"/>
        </w:rPr>
        <w:t>NHIPPC</w:t>
      </w:r>
      <w:r w:rsidR="00183F28" w:rsidRPr="00106595">
        <w:rPr>
          <w:rFonts w:ascii="Arial" w:hAnsi="Arial" w:cs="Arial"/>
          <w:sz w:val="22"/>
          <w:szCs w:val="22"/>
        </w:rPr>
        <w:t>)</w:t>
      </w:r>
      <w:r w:rsidR="00564B2C" w:rsidRPr="00414A6D">
        <w:rPr>
          <w:rFonts w:ascii="Arial" w:hAnsi="Arial" w:cs="Arial"/>
          <w:sz w:val="22"/>
          <w:szCs w:val="22"/>
        </w:rPr>
        <w:t xml:space="preserve"> and</w:t>
      </w:r>
      <w:r w:rsidR="00183F28" w:rsidRPr="00414A6D">
        <w:rPr>
          <w:rFonts w:ascii="Arial" w:hAnsi="Arial" w:cs="Arial"/>
          <w:sz w:val="22"/>
          <w:szCs w:val="22"/>
        </w:rPr>
        <w:t>, potentially,</w:t>
      </w:r>
      <w:r w:rsidR="00564B2C" w:rsidRPr="00414A6D">
        <w:rPr>
          <w:rFonts w:ascii="Arial" w:hAnsi="Arial" w:cs="Arial"/>
          <w:sz w:val="22"/>
          <w:szCs w:val="22"/>
        </w:rPr>
        <w:t xml:space="preserve"> </w:t>
      </w:r>
      <w:r w:rsidRPr="00414A6D">
        <w:rPr>
          <w:rFonts w:ascii="Arial" w:hAnsi="Arial" w:cs="Arial"/>
          <w:sz w:val="22"/>
          <w:szCs w:val="22"/>
        </w:rPr>
        <w:t>facilitat</w:t>
      </w:r>
      <w:r w:rsidR="00564B2C" w:rsidRPr="00414A6D">
        <w:rPr>
          <w:rFonts w:ascii="Arial" w:hAnsi="Arial" w:cs="Arial"/>
          <w:sz w:val="22"/>
          <w:szCs w:val="22"/>
        </w:rPr>
        <w:t>e</w:t>
      </w:r>
      <w:r w:rsidRPr="00414A6D">
        <w:rPr>
          <w:rFonts w:ascii="Arial" w:hAnsi="Arial" w:cs="Arial"/>
          <w:sz w:val="22"/>
          <w:szCs w:val="22"/>
        </w:rPr>
        <w:t xml:space="preserve"> a national approach to funding the registry via the NHIPPC. </w:t>
      </w:r>
    </w:p>
    <w:p w14:paraId="42AD945E" w14:textId="77777777" w:rsidR="003C3CD2" w:rsidRPr="00414A6D" w:rsidRDefault="00183F28" w:rsidP="00183F28">
      <w:pPr>
        <w:spacing w:before="120" w:after="120"/>
        <w:jc w:val="both"/>
        <w:rPr>
          <w:rFonts w:ascii="Arial" w:hAnsi="Arial" w:cs="Arial"/>
          <w:sz w:val="22"/>
          <w:szCs w:val="22"/>
        </w:rPr>
      </w:pPr>
      <w:r w:rsidRPr="00414A6D">
        <w:rPr>
          <w:rFonts w:ascii="Arial" w:hAnsi="Arial" w:cs="Arial"/>
          <w:sz w:val="22"/>
          <w:szCs w:val="22"/>
        </w:rPr>
        <w:lastRenderedPageBreak/>
        <w:t xml:space="preserve">Importantly, the ANZHFR has its own governance, funding and ownership arrangements which would need to be considered before implementation of </w:t>
      </w:r>
      <w:r w:rsidR="00B718C4" w:rsidRPr="00414A6D">
        <w:rPr>
          <w:rFonts w:ascii="Arial" w:hAnsi="Arial" w:cs="Arial"/>
          <w:sz w:val="22"/>
          <w:szCs w:val="22"/>
        </w:rPr>
        <w:t>a</w:t>
      </w:r>
      <w:r w:rsidR="00D13F78" w:rsidRPr="00414A6D">
        <w:rPr>
          <w:rFonts w:ascii="Arial" w:hAnsi="Arial" w:cs="Arial"/>
          <w:sz w:val="22"/>
          <w:szCs w:val="22"/>
        </w:rPr>
        <w:t xml:space="preserve"> </w:t>
      </w:r>
      <w:r w:rsidR="00E817F6" w:rsidRPr="00414A6D">
        <w:rPr>
          <w:rFonts w:ascii="Arial" w:hAnsi="Arial" w:cs="Arial"/>
          <w:sz w:val="22"/>
          <w:szCs w:val="22"/>
        </w:rPr>
        <w:t xml:space="preserve">best-practice pricing </w:t>
      </w:r>
      <w:r w:rsidR="00B718C4" w:rsidRPr="00414A6D">
        <w:rPr>
          <w:rFonts w:ascii="Arial" w:hAnsi="Arial" w:cs="Arial"/>
          <w:sz w:val="22"/>
          <w:szCs w:val="22"/>
        </w:rPr>
        <w:t>model</w:t>
      </w:r>
      <w:r w:rsidR="00E817F6" w:rsidRPr="00414A6D">
        <w:rPr>
          <w:rFonts w:ascii="Arial" w:hAnsi="Arial" w:cs="Arial"/>
          <w:sz w:val="22"/>
          <w:szCs w:val="22"/>
        </w:rPr>
        <w:t xml:space="preserve"> that depend</w:t>
      </w:r>
      <w:r w:rsidR="00B718C4" w:rsidRPr="00414A6D">
        <w:rPr>
          <w:rFonts w:ascii="Arial" w:hAnsi="Arial" w:cs="Arial"/>
          <w:sz w:val="22"/>
          <w:szCs w:val="22"/>
        </w:rPr>
        <w:t>s</w:t>
      </w:r>
      <w:r w:rsidR="00E817F6" w:rsidRPr="00414A6D">
        <w:rPr>
          <w:rFonts w:ascii="Arial" w:hAnsi="Arial" w:cs="Arial"/>
          <w:sz w:val="22"/>
          <w:szCs w:val="22"/>
        </w:rPr>
        <w:t xml:space="preserve"> on access, use and disclosure of information derived from ANZHFR data.</w:t>
      </w:r>
    </w:p>
    <w:p w14:paraId="1821A4B4" w14:textId="77777777" w:rsidR="00183F28" w:rsidRPr="00414A6D" w:rsidRDefault="00E817F6" w:rsidP="00183F28">
      <w:pPr>
        <w:spacing w:before="120" w:after="120"/>
        <w:jc w:val="both"/>
        <w:rPr>
          <w:rFonts w:ascii="Arial" w:hAnsi="Arial" w:cs="Arial"/>
          <w:sz w:val="22"/>
          <w:szCs w:val="22"/>
        </w:rPr>
      </w:pPr>
      <w:r w:rsidRPr="00414A6D">
        <w:rPr>
          <w:rFonts w:ascii="Arial" w:hAnsi="Arial" w:cs="Arial"/>
          <w:sz w:val="22"/>
          <w:szCs w:val="22"/>
        </w:rPr>
        <w:t xml:space="preserve"> </w:t>
      </w:r>
    </w:p>
    <w:tbl>
      <w:tblPr>
        <w:tblStyle w:val="TableGrid"/>
        <w:tblW w:w="0" w:type="auto"/>
        <w:tblLook w:val="04A0" w:firstRow="1" w:lastRow="0" w:firstColumn="1" w:lastColumn="0" w:noHBand="0" w:noVBand="1"/>
      </w:tblPr>
      <w:tblGrid>
        <w:gridCol w:w="9242"/>
      </w:tblGrid>
      <w:tr w:rsidR="00811840" w:rsidRPr="00414A6D" w14:paraId="382A7E2E" w14:textId="77777777" w:rsidTr="007C2141">
        <w:tc>
          <w:tcPr>
            <w:tcW w:w="9242" w:type="dxa"/>
            <w:shd w:val="clear" w:color="auto" w:fill="F2F2F2" w:themeFill="background1" w:themeFillShade="F2"/>
          </w:tcPr>
          <w:p w14:paraId="5DB85CF7" w14:textId="08E0000B" w:rsidR="001706BB" w:rsidRPr="00414A6D" w:rsidRDefault="001162CB" w:rsidP="001706BB">
            <w:pPr>
              <w:spacing w:before="120" w:after="120"/>
              <w:jc w:val="both"/>
              <w:rPr>
                <w:rFonts w:ascii="Arial" w:hAnsi="Arial" w:cs="Arial"/>
                <w:sz w:val="22"/>
                <w:szCs w:val="22"/>
              </w:rPr>
            </w:pPr>
            <w:r w:rsidRPr="00414A6D">
              <w:rPr>
                <w:rFonts w:ascii="Arial" w:hAnsi="Arial" w:cs="Arial"/>
                <w:b/>
                <w:sz w:val="22"/>
                <w:szCs w:val="22"/>
                <w:lang w:eastAsia="en-US"/>
              </w:rPr>
              <w:t xml:space="preserve">Recommendation </w:t>
            </w:r>
            <w:r w:rsidR="00BF2B1A" w:rsidRPr="00414A6D">
              <w:rPr>
                <w:rFonts w:ascii="Arial" w:hAnsi="Arial" w:cs="Arial"/>
                <w:b/>
                <w:sz w:val="22"/>
                <w:szCs w:val="22"/>
                <w:lang w:eastAsia="en-US"/>
              </w:rPr>
              <w:t>7</w:t>
            </w:r>
            <w:r w:rsidR="001706BB" w:rsidRPr="00414A6D">
              <w:rPr>
                <w:rFonts w:ascii="Arial" w:hAnsi="Arial" w:cs="Arial"/>
                <w:b/>
                <w:sz w:val="22"/>
                <w:szCs w:val="22"/>
                <w:lang w:eastAsia="en-US"/>
              </w:rPr>
              <w:t>.1</w:t>
            </w:r>
            <w:r w:rsidR="00811840" w:rsidRPr="00414A6D">
              <w:rPr>
                <w:rFonts w:ascii="Arial" w:hAnsi="Arial" w:cs="Arial"/>
                <w:b/>
                <w:sz w:val="22"/>
                <w:szCs w:val="22"/>
                <w:lang w:eastAsia="en-US"/>
              </w:rPr>
              <w:t>:</w:t>
            </w:r>
            <w:r w:rsidR="00811840" w:rsidRPr="00414A6D">
              <w:rPr>
                <w:rFonts w:ascii="Arial" w:hAnsi="Arial" w:cs="Arial"/>
                <w:sz w:val="22"/>
                <w:szCs w:val="22"/>
                <w:lang w:eastAsia="en-US"/>
              </w:rPr>
              <w:t xml:space="preserve"> </w:t>
            </w:r>
            <w:r w:rsidR="00330223" w:rsidRPr="00D41ED6">
              <w:rPr>
                <w:rFonts w:ascii="Arial" w:hAnsi="Arial" w:cs="Arial"/>
                <w:sz w:val="22"/>
                <w:szCs w:val="22"/>
                <w:lang w:eastAsia="en-US"/>
              </w:rPr>
              <w:t xml:space="preserve">IHPA must include appropriate best-practice data items within their </w:t>
            </w:r>
            <w:r w:rsidR="00330223" w:rsidRPr="00D41ED6">
              <w:rPr>
                <w:rFonts w:ascii="Arial" w:hAnsi="Arial" w:cs="Arial"/>
                <w:i/>
                <w:sz w:val="22"/>
                <w:szCs w:val="22"/>
                <w:lang w:eastAsia="en-US"/>
              </w:rPr>
              <w:t>Three Year Rolling Data Pl</w:t>
            </w:r>
            <w:r w:rsidR="00330223" w:rsidRPr="00D41ED6">
              <w:rPr>
                <w:rFonts w:ascii="Arial" w:hAnsi="Arial" w:cs="Arial"/>
                <w:i/>
                <w:sz w:val="22"/>
                <w:szCs w:val="22"/>
              </w:rPr>
              <w:t>an</w:t>
            </w:r>
            <w:r w:rsidR="00330223" w:rsidRPr="00D41ED6">
              <w:rPr>
                <w:rFonts w:ascii="Arial" w:hAnsi="Arial" w:cs="Arial"/>
                <w:sz w:val="22"/>
                <w:szCs w:val="22"/>
              </w:rPr>
              <w:t xml:space="preserve"> and the Commission similarly within their </w:t>
            </w:r>
            <w:r w:rsidR="00E96E19">
              <w:rPr>
                <w:rFonts w:ascii="Arial" w:hAnsi="Arial" w:cs="Arial"/>
                <w:sz w:val="22"/>
                <w:szCs w:val="22"/>
              </w:rPr>
              <w:t>W</w:t>
            </w:r>
            <w:r w:rsidR="00330223" w:rsidRPr="00D41ED6">
              <w:rPr>
                <w:rFonts w:ascii="Arial" w:hAnsi="Arial" w:cs="Arial"/>
                <w:sz w:val="22"/>
                <w:szCs w:val="22"/>
              </w:rPr>
              <w:t xml:space="preserve">ork </w:t>
            </w:r>
            <w:r w:rsidR="00E96E19">
              <w:rPr>
                <w:rFonts w:ascii="Arial" w:hAnsi="Arial" w:cs="Arial"/>
                <w:sz w:val="22"/>
                <w:szCs w:val="22"/>
              </w:rPr>
              <w:t>P</w:t>
            </w:r>
            <w:r w:rsidR="00330223" w:rsidRPr="00D41ED6">
              <w:rPr>
                <w:rFonts w:ascii="Arial" w:hAnsi="Arial" w:cs="Arial"/>
                <w:sz w:val="22"/>
                <w:szCs w:val="22"/>
              </w:rPr>
              <w:t>rogram,</w:t>
            </w:r>
            <w:r w:rsidR="00330223" w:rsidRPr="00D41ED6">
              <w:rPr>
                <w:rFonts w:cs="Arial"/>
                <w:sz w:val="22"/>
                <w:szCs w:val="22"/>
              </w:rPr>
              <w:t xml:space="preserve"> </w:t>
            </w:r>
            <w:r w:rsidRPr="00E96E19">
              <w:rPr>
                <w:rFonts w:ascii="Arial" w:hAnsi="Arial" w:cs="Arial"/>
                <w:sz w:val="22"/>
                <w:szCs w:val="22"/>
              </w:rPr>
              <w:t xml:space="preserve">as the mechanism </w:t>
            </w:r>
            <w:r w:rsidR="00E817F6" w:rsidRPr="00E96E19">
              <w:rPr>
                <w:rFonts w:ascii="Arial" w:hAnsi="Arial" w:cs="Arial"/>
                <w:sz w:val="22"/>
                <w:szCs w:val="22"/>
              </w:rPr>
              <w:t>to stimulate</w:t>
            </w:r>
            <w:r w:rsidR="00E817F6" w:rsidRPr="00414A6D">
              <w:rPr>
                <w:rFonts w:ascii="Arial" w:hAnsi="Arial" w:cs="Arial"/>
                <w:sz w:val="22"/>
                <w:szCs w:val="22"/>
              </w:rPr>
              <w:t xml:space="preserve"> </w:t>
            </w:r>
            <w:r w:rsidR="001706BB" w:rsidRPr="00414A6D">
              <w:rPr>
                <w:rFonts w:ascii="Arial" w:hAnsi="Arial" w:cs="Arial"/>
                <w:sz w:val="22"/>
                <w:szCs w:val="22"/>
              </w:rPr>
              <w:t xml:space="preserve">both </w:t>
            </w:r>
            <w:r w:rsidR="007B1C98" w:rsidRPr="00414A6D">
              <w:rPr>
                <w:rFonts w:ascii="Arial" w:hAnsi="Arial" w:cs="Arial"/>
                <w:sz w:val="22"/>
                <w:szCs w:val="22"/>
              </w:rPr>
              <w:t xml:space="preserve">data </w:t>
            </w:r>
            <w:r w:rsidR="001149A4" w:rsidRPr="00414A6D">
              <w:rPr>
                <w:rFonts w:ascii="Arial" w:hAnsi="Arial" w:cs="Arial"/>
                <w:sz w:val="22"/>
                <w:szCs w:val="22"/>
              </w:rPr>
              <w:t xml:space="preserve">collection </w:t>
            </w:r>
            <w:r w:rsidR="00E817F6" w:rsidRPr="00414A6D">
              <w:rPr>
                <w:rFonts w:ascii="Arial" w:hAnsi="Arial" w:cs="Arial"/>
                <w:sz w:val="22"/>
                <w:szCs w:val="22"/>
              </w:rPr>
              <w:t xml:space="preserve">to support </w:t>
            </w:r>
            <w:r w:rsidR="001706BB" w:rsidRPr="00414A6D">
              <w:rPr>
                <w:rFonts w:ascii="Arial" w:hAnsi="Arial" w:cs="Arial"/>
                <w:sz w:val="22"/>
                <w:szCs w:val="22"/>
              </w:rPr>
              <w:t xml:space="preserve">clinical improvement and </w:t>
            </w:r>
            <w:r w:rsidRPr="00414A6D">
              <w:rPr>
                <w:rFonts w:ascii="Arial" w:hAnsi="Arial" w:cs="Arial"/>
                <w:sz w:val="22"/>
                <w:szCs w:val="22"/>
              </w:rPr>
              <w:t xml:space="preserve">a </w:t>
            </w:r>
            <w:r w:rsidR="00346B84" w:rsidRPr="00414A6D">
              <w:rPr>
                <w:rFonts w:ascii="Arial" w:hAnsi="Arial" w:cs="Arial"/>
                <w:sz w:val="22"/>
                <w:szCs w:val="22"/>
              </w:rPr>
              <w:t>best</w:t>
            </w:r>
            <w:r w:rsidR="00E96E19">
              <w:rPr>
                <w:rFonts w:ascii="Arial" w:hAnsi="Arial" w:cs="Arial"/>
                <w:sz w:val="22"/>
                <w:szCs w:val="22"/>
              </w:rPr>
              <w:noBreakHyphen/>
            </w:r>
            <w:r w:rsidR="00346B84" w:rsidRPr="00414A6D">
              <w:rPr>
                <w:rFonts w:ascii="Arial" w:hAnsi="Arial" w:cs="Arial"/>
                <w:sz w:val="22"/>
                <w:szCs w:val="22"/>
              </w:rPr>
              <w:t>practice</w:t>
            </w:r>
            <w:r w:rsidRPr="00414A6D">
              <w:rPr>
                <w:rFonts w:ascii="Arial" w:hAnsi="Arial" w:cs="Arial"/>
                <w:sz w:val="22"/>
                <w:szCs w:val="22"/>
              </w:rPr>
              <w:t xml:space="preserve"> pricing approach for hip fracture care in Australia</w:t>
            </w:r>
            <w:r w:rsidR="004C334B" w:rsidRPr="00414A6D">
              <w:rPr>
                <w:rFonts w:ascii="Arial" w:hAnsi="Arial" w:cs="Arial"/>
                <w:sz w:val="22"/>
                <w:szCs w:val="22"/>
              </w:rPr>
              <w:t>.</w:t>
            </w:r>
            <w:r w:rsidR="00E817F6" w:rsidRPr="00414A6D">
              <w:rPr>
                <w:rFonts w:ascii="Arial" w:hAnsi="Arial" w:cs="Arial"/>
                <w:sz w:val="22"/>
                <w:szCs w:val="22"/>
              </w:rPr>
              <w:t xml:space="preserve"> </w:t>
            </w:r>
          </w:p>
          <w:p w14:paraId="04D345D4" w14:textId="52D9D250" w:rsidR="00811840" w:rsidRPr="00414A6D" w:rsidRDefault="001706BB" w:rsidP="008C4A43">
            <w:pPr>
              <w:spacing w:before="120" w:after="120"/>
              <w:jc w:val="both"/>
              <w:rPr>
                <w:rFonts w:ascii="Arial" w:hAnsi="Arial" w:cs="Arial"/>
                <w:sz w:val="22"/>
                <w:szCs w:val="22"/>
                <w:lang w:eastAsia="en-US"/>
              </w:rPr>
            </w:pPr>
            <w:r w:rsidRPr="00414A6D">
              <w:rPr>
                <w:rFonts w:ascii="Arial" w:hAnsi="Arial" w:cs="Arial"/>
                <w:b/>
                <w:sz w:val="22"/>
                <w:szCs w:val="22"/>
              </w:rPr>
              <w:t xml:space="preserve">Recommendation </w:t>
            </w:r>
            <w:r w:rsidR="00BF2B1A" w:rsidRPr="00414A6D">
              <w:rPr>
                <w:rFonts w:ascii="Arial" w:hAnsi="Arial" w:cs="Arial"/>
                <w:b/>
                <w:sz w:val="22"/>
                <w:szCs w:val="22"/>
              </w:rPr>
              <w:t>7</w:t>
            </w:r>
            <w:r w:rsidRPr="00414A6D">
              <w:rPr>
                <w:rFonts w:ascii="Arial" w:hAnsi="Arial" w:cs="Arial"/>
                <w:b/>
                <w:sz w:val="22"/>
                <w:szCs w:val="22"/>
              </w:rPr>
              <w:t>.2:</w:t>
            </w:r>
            <w:r w:rsidRPr="00414A6D">
              <w:rPr>
                <w:rFonts w:ascii="Arial" w:hAnsi="Arial" w:cs="Arial"/>
                <w:sz w:val="22"/>
                <w:szCs w:val="22"/>
              </w:rPr>
              <w:t xml:space="preserve"> </w:t>
            </w:r>
            <w:r w:rsidR="008C4A43" w:rsidRPr="00414A6D">
              <w:rPr>
                <w:rFonts w:ascii="Arial" w:hAnsi="Arial" w:cs="Arial"/>
                <w:sz w:val="22"/>
                <w:szCs w:val="22"/>
              </w:rPr>
              <w:t>JWP must further consult with s</w:t>
            </w:r>
            <w:r w:rsidR="00E817F6" w:rsidRPr="00414A6D">
              <w:rPr>
                <w:rFonts w:ascii="Arial" w:hAnsi="Arial" w:cs="Arial"/>
                <w:sz w:val="22"/>
                <w:szCs w:val="22"/>
              </w:rPr>
              <w:t xml:space="preserve">tates and territories </w:t>
            </w:r>
            <w:r w:rsidR="008C4A43" w:rsidRPr="00414A6D">
              <w:rPr>
                <w:rFonts w:ascii="Arial" w:hAnsi="Arial" w:cs="Arial"/>
                <w:sz w:val="22"/>
                <w:szCs w:val="22"/>
              </w:rPr>
              <w:t>about</w:t>
            </w:r>
            <w:r w:rsidR="00E817F6" w:rsidRPr="00414A6D">
              <w:rPr>
                <w:rFonts w:ascii="Arial" w:hAnsi="Arial" w:cs="Arial"/>
                <w:sz w:val="22"/>
                <w:szCs w:val="22"/>
              </w:rPr>
              <w:t xml:space="preserve"> participat</w:t>
            </w:r>
            <w:r w:rsidR="008C4A43" w:rsidRPr="00414A6D">
              <w:rPr>
                <w:rFonts w:ascii="Arial" w:hAnsi="Arial" w:cs="Arial"/>
                <w:sz w:val="22"/>
                <w:szCs w:val="22"/>
              </w:rPr>
              <w:t>ion</w:t>
            </w:r>
            <w:r w:rsidR="00E817F6" w:rsidRPr="00414A6D">
              <w:rPr>
                <w:rFonts w:ascii="Arial" w:hAnsi="Arial" w:cs="Arial"/>
                <w:sz w:val="22"/>
                <w:szCs w:val="22"/>
              </w:rPr>
              <w:t xml:space="preserve"> in </w:t>
            </w:r>
            <w:r w:rsidRPr="00414A6D">
              <w:rPr>
                <w:rFonts w:ascii="Arial" w:hAnsi="Arial" w:cs="Arial"/>
                <w:sz w:val="22"/>
                <w:szCs w:val="22"/>
              </w:rPr>
              <w:t>the</w:t>
            </w:r>
            <w:r w:rsidR="008C4A43" w:rsidRPr="00414A6D">
              <w:rPr>
                <w:rFonts w:ascii="Arial" w:hAnsi="Arial" w:cs="Arial"/>
                <w:sz w:val="22"/>
                <w:szCs w:val="22"/>
              </w:rPr>
              <w:t xml:space="preserve"> ANZHFR</w:t>
            </w:r>
            <w:r w:rsidR="00E817F6" w:rsidRPr="00414A6D">
              <w:rPr>
                <w:rFonts w:ascii="Arial" w:hAnsi="Arial" w:cs="Arial"/>
                <w:sz w:val="22"/>
                <w:szCs w:val="22"/>
              </w:rPr>
              <w:t xml:space="preserve"> </w:t>
            </w:r>
            <w:r w:rsidR="008C4A43" w:rsidRPr="00414A6D">
              <w:rPr>
                <w:rFonts w:ascii="Arial" w:hAnsi="Arial" w:cs="Arial"/>
                <w:sz w:val="22"/>
                <w:szCs w:val="22"/>
              </w:rPr>
              <w:t>so that</w:t>
            </w:r>
            <w:r w:rsidR="00E817F6" w:rsidRPr="00414A6D">
              <w:rPr>
                <w:rFonts w:ascii="Arial" w:hAnsi="Arial" w:cs="Arial"/>
                <w:sz w:val="22"/>
                <w:szCs w:val="22"/>
              </w:rPr>
              <w:t xml:space="preserve"> issues such as access, use and disclosure of data derived from this registry will need to be prospectively negotiated to support pricing and funding determinations. These arrangements will also be necessary if the Commission, states and territories are to play a role in the provision of timely, comparable hospital-level information on hip fracture care to clinicians and hospital managers. Importantly, NHIPPC could serve as a national forum for IHPA and the Commission to resolve these important issues. </w:t>
            </w:r>
          </w:p>
        </w:tc>
      </w:tr>
    </w:tbl>
    <w:p w14:paraId="51376BF9" w14:textId="564B4C7B" w:rsidR="0008380E" w:rsidRPr="00414A6D" w:rsidRDefault="00261503" w:rsidP="00112D48">
      <w:pPr>
        <w:pStyle w:val="Heading2"/>
        <w:numPr>
          <w:ilvl w:val="0"/>
          <w:numId w:val="0"/>
        </w:numPr>
        <w:ind w:left="227"/>
        <w:jc w:val="both"/>
        <w:rPr>
          <w:i w:val="0"/>
          <w:sz w:val="22"/>
        </w:rPr>
      </w:pPr>
      <w:bookmarkStart w:id="35" w:name="_Toc426633816"/>
      <w:r>
        <w:rPr>
          <w:i w:val="0"/>
          <w:sz w:val="22"/>
        </w:rPr>
        <w:t>7</w:t>
      </w:r>
      <w:r w:rsidR="0008380E" w:rsidRPr="00414A6D">
        <w:rPr>
          <w:i w:val="0"/>
          <w:sz w:val="22"/>
        </w:rPr>
        <w:t>.3 Further stakeholder engagement</w:t>
      </w:r>
      <w:r w:rsidR="00EC19BD" w:rsidRPr="00414A6D">
        <w:rPr>
          <w:i w:val="0"/>
          <w:sz w:val="22"/>
        </w:rPr>
        <w:t xml:space="preserve"> and implementation plans</w:t>
      </w:r>
      <w:bookmarkEnd w:id="35"/>
    </w:p>
    <w:p w14:paraId="56361150" w14:textId="77777777" w:rsidR="00485490" w:rsidRPr="00414A6D" w:rsidRDefault="00485490" w:rsidP="00597945">
      <w:pPr>
        <w:spacing w:before="120" w:after="120"/>
        <w:jc w:val="both"/>
        <w:rPr>
          <w:rStyle w:val="IntenseReference"/>
          <w:rFonts w:ascii="Arial" w:hAnsi="Arial" w:cs="Arial"/>
          <w:b w:val="0"/>
          <w:bCs w:val="0"/>
          <w:i w:val="0"/>
          <w:smallCaps w:val="0"/>
          <w:color w:val="auto"/>
          <w:spacing w:val="0"/>
          <w:sz w:val="22"/>
        </w:rPr>
      </w:pPr>
      <w:r w:rsidRPr="00414A6D">
        <w:rPr>
          <w:rStyle w:val="IntenseReference"/>
          <w:rFonts w:ascii="Arial" w:hAnsi="Arial" w:cs="Arial"/>
          <w:b w:val="0"/>
          <w:bCs w:val="0"/>
          <w:i w:val="0"/>
          <w:smallCaps w:val="0"/>
          <w:color w:val="auto"/>
          <w:spacing w:val="0"/>
          <w:sz w:val="22"/>
        </w:rPr>
        <w:t xml:space="preserve">Engaging and </w:t>
      </w:r>
      <w:r w:rsidR="009677A9" w:rsidRPr="00414A6D">
        <w:rPr>
          <w:rStyle w:val="IntenseReference"/>
          <w:rFonts w:ascii="Arial" w:hAnsi="Arial" w:cs="Arial"/>
          <w:b w:val="0"/>
          <w:bCs w:val="0"/>
          <w:i w:val="0"/>
          <w:smallCaps w:val="0"/>
          <w:color w:val="auto"/>
          <w:spacing w:val="0"/>
          <w:sz w:val="22"/>
        </w:rPr>
        <w:t>persuad</w:t>
      </w:r>
      <w:r w:rsidRPr="00414A6D">
        <w:rPr>
          <w:rStyle w:val="IntenseReference"/>
          <w:rFonts w:ascii="Arial" w:hAnsi="Arial" w:cs="Arial"/>
          <w:b w:val="0"/>
          <w:bCs w:val="0"/>
          <w:i w:val="0"/>
          <w:smallCaps w:val="0"/>
          <w:color w:val="auto"/>
          <w:spacing w:val="0"/>
          <w:sz w:val="22"/>
        </w:rPr>
        <w:t xml:space="preserve">ing stakeholders of the merits of a national </w:t>
      </w:r>
      <w:r w:rsidR="00346B84" w:rsidRPr="00414A6D">
        <w:rPr>
          <w:rStyle w:val="IntenseReference"/>
          <w:rFonts w:ascii="Arial" w:hAnsi="Arial" w:cs="Arial"/>
          <w:b w:val="0"/>
          <w:bCs w:val="0"/>
          <w:i w:val="0"/>
          <w:smallCaps w:val="0"/>
          <w:color w:val="auto"/>
          <w:spacing w:val="0"/>
          <w:sz w:val="22"/>
        </w:rPr>
        <w:t>best-practice</w:t>
      </w:r>
      <w:r w:rsidR="001162CB" w:rsidRPr="00414A6D">
        <w:rPr>
          <w:rStyle w:val="IntenseReference"/>
          <w:rFonts w:ascii="Arial" w:hAnsi="Arial" w:cs="Arial"/>
          <w:b w:val="0"/>
          <w:bCs w:val="0"/>
          <w:i w:val="0"/>
          <w:smallCaps w:val="0"/>
          <w:color w:val="auto"/>
          <w:spacing w:val="0"/>
          <w:sz w:val="22"/>
        </w:rPr>
        <w:t xml:space="preserve"> pricing</w:t>
      </w:r>
      <w:r w:rsidRPr="00414A6D">
        <w:rPr>
          <w:rStyle w:val="IntenseReference"/>
          <w:rFonts w:ascii="Arial" w:hAnsi="Arial" w:cs="Arial"/>
          <w:b w:val="0"/>
          <w:bCs w:val="0"/>
          <w:i w:val="0"/>
          <w:smallCaps w:val="0"/>
          <w:color w:val="auto"/>
          <w:spacing w:val="0"/>
          <w:sz w:val="22"/>
        </w:rPr>
        <w:t xml:space="preserve"> scheme will be important for clinical behaviour change. Key stakeholders include the Commonwealth, </w:t>
      </w:r>
      <w:r w:rsidR="00564B2C" w:rsidRPr="00414A6D">
        <w:rPr>
          <w:rStyle w:val="IntenseReference"/>
          <w:rFonts w:ascii="Arial" w:hAnsi="Arial" w:cs="Arial"/>
          <w:b w:val="0"/>
          <w:bCs w:val="0"/>
          <w:i w:val="0"/>
          <w:smallCaps w:val="0"/>
          <w:color w:val="auto"/>
          <w:spacing w:val="0"/>
          <w:sz w:val="22"/>
        </w:rPr>
        <w:t>states and territories</w:t>
      </w:r>
      <w:r w:rsidRPr="00414A6D">
        <w:rPr>
          <w:rStyle w:val="IntenseReference"/>
          <w:rFonts w:ascii="Arial" w:hAnsi="Arial" w:cs="Arial"/>
          <w:b w:val="0"/>
          <w:bCs w:val="0"/>
          <w:i w:val="0"/>
          <w:smallCaps w:val="0"/>
          <w:color w:val="auto"/>
          <w:spacing w:val="0"/>
          <w:sz w:val="22"/>
        </w:rPr>
        <w:t xml:space="preserve">, </w:t>
      </w:r>
      <w:r w:rsidR="00E817F6" w:rsidRPr="00414A6D">
        <w:rPr>
          <w:rStyle w:val="IntenseReference"/>
          <w:rFonts w:ascii="Arial" w:hAnsi="Arial" w:cs="Arial"/>
          <w:b w:val="0"/>
          <w:bCs w:val="0"/>
          <w:i w:val="0"/>
          <w:smallCaps w:val="0"/>
          <w:color w:val="auto"/>
          <w:spacing w:val="0"/>
          <w:sz w:val="22"/>
        </w:rPr>
        <w:t>L</w:t>
      </w:r>
      <w:r w:rsidRPr="00414A6D">
        <w:rPr>
          <w:rStyle w:val="IntenseReference"/>
          <w:rFonts w:ascii="Arial" w:hAnsi="Arial" w:cs="Arial"/>
          <w:b w:val="0"/>
          <w:bCs w:val="0"/>
          <w:i w:val="0"/>
          <w:smallCaps w:val="0"/>
          <w:color w:val="auto"/>
          <w:spacing w:val="0"/>
          <w:sz w:val="22"/>
        </w:rPr>
        <w:t xml:space="preserve">ocal </w:t>
      </w:r>
      <w:r w:rsidR="00E817F6" w:rsidRPr="00414A6D">
        <w:rPr>
          <w:rStyle w:val="IntenseReference"/>
          <w:rFonts w:ascii="Arial" w:hAnsi="Arial" w:cs="Arial"/>
          <w:b w:val="0"/>
          <w:bCs w:val="0"/>
          <w:i w:val="0"/>
          <w:smallCaps w:val="0"/>
          <w:color w:val="auto"/>
          <w:spacing w:val="0"/>
          <w:sz w:val="22"/>
        </w:rPr>
        <w:t>H</w:t>
      </w:r>
      <w:r w:rsidRPr="00414A6D">
        <w:rPr>
          <w:rStyle w:val="IntenseReference"/>
          <w:rFonts w:ascii="Arial" w:hAnsi="Arial" w:cs="Arial"/>
          <w:b w:val="0"/>
          <w:bCs w:val="0"/>
          <w:i w:val="0"/>
          <w:smallCaps w:val="0"/>
          <w:color w:val="auto"/>
          <w:spacing w:val="0"/>
          <w:sz w:val="22"/>
        </w:rPr>
        <w:t xml:space="preserve">ospital </w:t>
      </w:r>
      <w:r w:rsidR="00E817F6" w:rsidRPr="00414A6D">
        <w:rPr>
          <w:rStyle w:val="IntenseReference"/>
          <w:rFonts w:ascii="Arial" w:hAnsi="Arial" w:cs="Arial"/>
          <w:b w:val="0"/>
          <w:bCs w:val="0"/>
          <w:i w:val="0"/>
          <w:smallCaps w:val="0"/>
          <w:color w:val="auto"/>
          <w:spacing w:val="0"/>
          <w:sz w:val="22"/>
        </w:rPr>
        <w:t>N</w:t>
      </w:r>
      <w:r w:rsidRPr="00414A6D">
        <w:rPr>
          <w:rStyle w:val="IntenseReference"/>
          <w:rFonts w:ascii="Arial" w:hAnsi="Arial" w:cs="Arial"/>
          <w:b w:val="0"/>
          <w:bCs w:val="0"/>
          <w:i w:val="0"/>
          <w:smallCaps w:val="0"/>
          <w:color w:val="auto"/>
          <w:spacing w:val="0"/>
          <w:sz w:val="22"/>
        </w:rPr>
        <w:t xml:space="preserve">etworks, </w:t>
      </w:r>
      <w:r w:rsidR="00991AF0" w:rsidRPr="00414A6D">
        <w:rPr>
          <w:rStyle w:val="IntenseReference"/>
          <w:rFonts w:ascii="Arial" w:hAnsi="Arial" w:cs="Arial"/>
          <w:b w:val="0"/>
          <w:bCs w:val="0"/>
          <w:i w:val="0"/>
          <w:smallCaps w:val="0"/>
          <w:color w:val="auto"/>
          <w:spacing w:val="0"/>
          <w:sz w:val="22"/>
        </w:rPr>
        <w:t xml:space="preserve">Clinical Colleges, </w:t>
      </w:r>
      <w:r w:rsidRPr="00414A6D">
        <w:rPr>
          <w:rStyle w:val="IntenseReference"/>
          <w:rFonts w:ascii="Arial" w:hAnsi="Arial" w:cs="Arial"/>
          <w:b w:val="0"/>
          <w:bCs w:val="0"/>
          <w:i w:val="0"/>
          <w:smallCaps w:val="0"/>
          <w:color w:val="auto"/>
          <w:spacing w:val="0"/>
          <w:sz w:val="22"/>
        </w:rPr>
        <w:t xml:space="preserve">clinicians and consumer groups. </w:t>
      </w:r>
      <w:r w:rsidR="001162CB" w:rsidRPr="00414A6D">
        <w:rPr>
          <w:rStyle w:val="IntenseReference"/>
          <w:rFonts w:ascii="Arial" w:hAnsi="Arial" w:cs="Arial"/>
          <w:b w:val="0"/>
          <w:bCs w:val="0"/>
          <w:i w:val="0"/>
          <w:smallCaps w:val="0"/>
          <w:color w:val="auto"/>
          <w:spacing w:val="0"/>
          <w:sz w:val="22"/>
        </w:rPr>
        <w:t xml:space="preserve">The existing Commission </w:t>
      </w:r>
      <w:r w:rsidR="001706BB" w:rsidRPr="00414A6D">
        <w:rPr>
          <w:rStyle w:val="IntenseReference"/>
          <w:rFonts w:ascii="Arial" w:hAnsi="Arial" w:cs="Arial"/>
          <w:b w:val="0"/>
          <w:bCs w:val="0"/>
          <w:i w:val="0"/>
          <w:smallCaps w:val="0"/>
          <w:color w:val="auto"/>
          <w:spacing w:val="0"/>
          <w:sz w:val="22"/>
        </w:rPr>
        <w:t>CCS</w:t>
      </w:r>
      <w:r w:rsidR="001162CB" w:rsidRPr="00414A6D">
        <w:rPr>
          <w:rStyle w:val="IntenseReference"/>
          <w:rFonts w:ascii="Arial" w:hAnsi="Arial" w:cs="Arial"/>
          <w:b w:val="0"/>
          <w:bCs w:val="0"/>
          <w:i w:val="0"/>
          <w:smallCaps w:val="0"/>
          <w:color w:val="auto"/>
          <w:spacing w:val="0"/>
          <w:sz w:val="22"/>
        </w:rPr>
        <w:t xml:space="preserve"> Hip Fracture Topic Working Group has also been important to elucidate </w:t>
      </w:r>
      <w:r w:rsidR="00346B84" w:rsidRPr="00414A6D">
        <w:rPr>
          <w:rStyle w:val="IntenseReference"/>
          <w:rFonts w:ascii="Arial" w:hAnsi="Arial" w:cs="Arial"/>
          <w:b w:val="0"/>
          <w:bCs w:val="0"/>
          <w:i w:val="0"/>
          <w:smallCaps w:val="0"/>
          <w:color w:val="auto"/>
          <w:spacing w:val="0"/>
          <w:sz w:val="22"/>
        </w:rPr>
        <w:t>best-practice</w:t>
      </w:r>
      <w:r w:rsidR="001162CB" w:rsidRPr="00414A6D">
        <w:rPr>
          <w:rStyle w:val="IntenseReference"/>
          <w:rFonts w:ascii="Arial" w:hAnsi="Arial" w:cs="Arial"/>
          <w:b w:val="0"/>
          <w:bCs w:val="0"/>
          <w:i w:val="0"/>
          <w:smallCaps w:val="0"/>
          <w:color w:val="auto"/>
          <w:spacing w:val="0"/>
          <w:sz w:val="22"/>
        </w:rPr>
        <w:t xml:space="preserve">. Comprising clinicians, consumers and hospital administrators, this </w:t>
      </w:r>
      <w:r w:rsidR="00370A06" w:rsidRPr="00414A6D">
        <w:rPr>
          <w:rStyle w:val="IntenseReference"/>
          <w:rFonts w:ascii="Arial" w:hAnsi="Arial" w:cs="Arial"/>
          <w:b w:val="0"/>
          <w:bCs w:val="0"/>
          <w:i w:val="0"/>
          <w:smallCaps w:val="0"/>
          <w:color w:val="auto"/>
          <w:spacing w:val="0"/>
          <w:sz w:val="22"/>
        </w:rPr>
        <w:t xml:space="preserve">is </w:t>
      </w:r>
      <w:r w:rsidR="001162CB" w:rsidRPr="00414A6D">
        <w:rPr>
          <w:rStyle w:val="IntenseReference"/>
          <w:rFonts w:ascii="Arial" w:hAnsi="Arial" w:cs="Arial"/>
          <w:b w:val="0"/>
          <w:bCs w:val="0"/>
          <w:i w:val="0"/>
          <w:smallCaps w:val="0"/>
          <w:color w:val="auto"/>
          <w:spacing w:val="0"/>
          <w:sz w:val="22"/>
        </w:rPr>
        <w:t xml:space="preserve">a valuable </w:t>
      </w:r>
      <w:r w:rsidR="0031420A" w:rsidRPr="00414A6D">
        <w:rPr>
          <w:rStyle w:val="IntenseReference"/>
          <w:rFonts w:ascii="Arial" w:hAnsi="Arial" w:cs="Arial"/>
          <w:b w:val="0"/>
          <w:bCs w:val="0"/>
          <w:i w:val="0"/>
          <w:smallCaps w:val="0"/>
          <w:color w:val="auto"/>
          <w:spacing w:val="0"/>
          <w:sz w:val="22"/>
        </w:rPr>
        <w:t>group for development of an implementation plan.</w:t>
      </w:r>
      <w:r w:rsidR="001162CB" w:rsidRPr="00414A6D">
        <w:rPr>
          <w:rStyle w:val="IntenseReference"/>
          <w:rFonts w:ascii="Arial" w:hAnsi="Arial" w:cs="Arial"/>
          <w:b w:val="0"/>
          <w:bCs w:val="0"/>
          <w:i w:val="0"/>
          <w:smallCaps w:val="0"/>
          <w:color w:val="auto"/>
          <w:spacing w:val="0"/>
          <w:sz w:val="22"/>
        </w:rPr>
        <w:t xml:space="preserve"> </w:t>
      </w:r>
    </w:p>
    <w:p w14:paraId="73430C71" w14:textId="1E304E2D" w:rsidR="00485490" w:rsidRPr="00414A6D" w:rsidRDefault="00485490" w:rsidP="00597945">
      <w:pPr>
        <w:spacing w:after="120"/>
        <w:jc w:val="both"/>
        <w:rPr>
          <w:rFonts w:ascii="Arial" w:hAnsi="Arial" w:cs="Arial"/>
          <w:sz w:val="22"/>
          <w:szCs w:val="22"/>
        </w:rPr>
      </w:pPr>
      <w:r w:rsidRPr="00414A6D">
        <w:rPr>
          <w:rStyle w:val="IntenseReference"/>
          <w:rFonts w:ascii="Arial" w:hAnsi="Arial" w:cs="Arial"/>
          <w:b w:val="0"/>
          <w:bCs w:val="0"/>
          <w:i w:val="0"/>
          <w:smallCaps w:val="0"/>
          <w:color w:val="auto"/>
          <w:spacing w:val="0"/>
          <w:sz w:val="22"/>
          <w:szCs w:val="22"/>
        </w:rPr>
        <w:t xml:space="preserve">A formal communication and consultation strategy will need to be developed to manage expectations, refine the </w:t>
      </w:r>
      <w:r w:rsidR="00346B84" w:rsidRPr="00414A6D">
        <w:rPr>
          <w:rStyle w:val="IntenseReference"/>
          <w:rFonts w:ascii="Arial" w:hAnsi="Arial" w:cs="Arial"/>
          <w:b w:val="0"/>
          <w:bCs w:val="0"/>
          <w:i w:val="0"/>
          <w:smallCaps w:val="0"/>
          <w:color w:val="auto"/>
          <w:spacing w:val="0"/>
          <w:sz w:val="22"/>
          <w:szCs w:val="22"/>
        </w:rPr>
        <w:t>best-practice</w:t>
      </w:r>
      <w:r w:rsidR="001162CB" w:rsidRPr="00414A6D">
        <w:rPr>
          <w:rStyle w:val="IntenseReference"/>
          <w:rFonts w:ascii="Arial" w:hAnsi="Arial" w:cs="Arial"/>
          <w:b w:val="0"/>
          <w:bCs w:val="0"/>
          <w:i w:val="0"/>
          <w:smallCaps w:val="0"/>
          <w:color w:val="auto"/>
          <w:spacing w:val="0"/>
          <w:sz w:val="22"/>
          <w:szCs w:val="22"/>
        </w:rPr>
        <w:t xml:space="preserve"> price</w:t>
      </w:r>
      <w:r w:rsidRPr="00414A6D">
        <w:rPr>
          <w:rStyle w:val="IntenseReference"/>
          <w:rFonts w:ascii="Arial" w:hAnsi="Arial" w:cs="Arial"/>
          <w:b w:val="0"/>
          <w:bCs w:val="0"/>
          <w:i w:val="0"/>
          <w:smallCaps w:val="0"/>
          <w:color w:val="auto"/>
          <w:spacing w:val="0"/>
          <w:sz w:val="22"/>
          <w:szCs w:val="22"/>
        </w:rPr>
        <w:t xml:space="preserve">, and facilitate positive implementation. </w:t>
      </w:r>
      <w:r w:rsidRPr="00414A6D">
        <w:rPr>
          <w:rFonts w:ascii="Arial" w:hAnsi="Arial" w:cs="Arial"/>
          <w:sz w:val="22"/>
          <w:szCs w:val="22"/>
        </w:rPr>
        <w:t xml:space="preserve">Subject to </w:t>
      </w:r>
      <w:r w:rsidR="003B0330">
        <w:rPr>
          <w:rFonts w:ascii="Arial" w:hAnsi="Arial" w:cs="Arial"/>
          <w:sz w:val="22"/>
          <w:szCs w:val="22"/>
        </w:rPr>
        <w:t xml:space="preserve">public </w:t>
      </w:r>
      <w:r w:rsidR="001706BB" w:rsidRPr="00414A6D">
        <w:rPr>
          <w:rFonts w:ascii="Arial" w:hAnsi="Arial" w:cs="Arial"/>
          <w:sz w:val="22"/>
          <w:szCs w:val="22"/>
        </w:rPr>
        <w:t>consultation on the Hip Fracture CCS</w:t>
      </w:r>
      <w:r w:rsidRPr="00414A6D">
        <w:rPr>
          <w:rFonts w:ascii="Arial" w:hAnsi="Arial" w:cs="Arial"/>
          <w:sz w:val="22"/>
          <w:szCs w:val="22"/>
        </w:rPr>
        <w:t>, further consultation will need to be undertaken with relevant clinical groups. These include</w:t>
      </w:r>
      <w:r w:rsidR="00E817F6" w:rsidRPr="00414A6D">
        <w:rPr>
          <w:rFonts w:ascii="Arial" w:hAnsi="Arial" w:cs="Arial"/>
          <w:sz w:val="22"/>
          <w:szCs w:val="22"/>
        </w:rPr>
        <w:t>, for example</w:t>
      </w:r>
      <w:r w:rsidRPr="00414A6D">
        <w:rPr>
          <w:rFonts w:ascii="Arial" w:hAnsi="Arial" w:cs="Arial"/>
          <w:sz w:val="22"/>
          <w:szCs w:val="22"/>
        </w:rPr>
        <w:t>:</w:t>
      </w:r>
    </w:p>
    <w:p w14:paraId="6E4137D8" w14:textId="77777777" w:rsidR="00485490" w:rsidRPr="00414A6D" w:rsidRDefault="00485490" w:rsidP="007B1510">
      <w:pPr>
        <w:pStyle w:val="ListParagraph"/>
        <w:numPr>
          <w:ilvl w:val="0"/>
          <w:numId w:val="20"/>
        </w:numPr>
        <w:jc w:val="both"/>
        <w:rPr>
          <w:rFonts w:ascii="Arial" w:hAnsi="Arial" w:cs="Arial"/>
          <w:b/>
          <w:bCs/>
          <w:kern w:val="28"/>
          <w:sz w:val="22"/>
          <w:szCs w:val="22"/>
        </w:rPr>
      </w:pPr>
      <w:r w:rsidRPr="00414A6D">
        <w:rPr>
          <w:rFonts w:ascii="Arial" w:hAnsi="Arial" w:cs="Arial"/>
          <w:sz w:val="22"/>
          <w:szCs w:val="22"/>
        </w:rPr>
        <w:t>Australian Orthopaedic Association</w:t>
      </w:r>
    </w:p>
    <w:p w14:paraId="57084FC8" w14:textId="77777777" w:rsidR="00485490" w:rsidRPr="00414A6D" w:rsidRDefault="00485490" w:rsidP="007B1510">
      <w:pPr>
        <w:pStyle w:val="ListParagraph"/>
        <w:numPr>
          <w:ilvl w:val="0"/>
          <w:numId w:val="19"/>
        </w:numPr>
        <w:jc w:val="both"/>
        <w:rPr>
          <w:rFonts w:ascii="Arial" w:hAnsi="Arial" w:cs="Arial"/>
          <w:b/>
          <w:bCs/>
          <w:kern w:val="28"/>
          <w:sz w:val="22"/>
          <w:szCs w:val="22"/>
        </w:rPr>
      </w:pPr>
      <w:r w:rsidRPr="00414A6D">
        <w:rPr>
          <w:rFonts w:ascii="Arial" w:hAnsi="Arial" w:cs="Arial"/>
          <w:sz w:val="22"/>
          <w:szCs w:val="22"/>
        </w:rPr>
        <w:t>Royal Australian College of Surgeons</w:t>
      </w:r>
    </w:p>
    <w:p w14:paraId="74E97E4D" w14:textId="2141BA39" w:rsidR="00485490" w:rsidRPr="00414A6D" w:rsidRDefault="00E96E19" w:rsidP="007B1510">
      <w:pPr>
        <w:pStyle w:val="ListParagraph"/>
        <w:numPr>
          <w:ilvl w:val="0"/>
          <w:numId w:val="19"/>
        </w:numPr>
        <w:jc w:val="both"/>
        <w:rPr>
          <w:rFonts w:ascii="Arial" w:hAnsi="Arial" w:cs="Arial"/>
          <w:b/>
          <w:bCs/>
          <w:kern w:val="28"/>
          <w:sz w:val="22"/>
          <w:szCs w:val="22"/>
        </w:rPr>
      </w:pPr>
      <w:r>
        <w:rPr>
          <w:rFonts w:ascii="Arial" w:hAnsi="Arial" w:cs="Arial"/>
          <w:sz w:val="22"/>
          <w:szCs w:val="22"/>
        </w:rPr>
        <w:t xml:space="preserve">The </w:t>
      </w:r>
      <w:r w:rsidR="00485490" w:rsidRPr="00414A6D">
        <w:rPr>
          <w:rFonts w:ascii="Arial" w:hAnsi="Arial" w:cs="Arial"/>
          <w:sz w:val="22"/>
          <w:szCs w:val="22"/>
        </w:rPr>
        <w:t>Royal Australasian College of Physicians</w:t>
      </w:r>
    </w:p>
    <w:p w14:paraId="3C9F3739" w14:textId="146E5069" w:rsidR="00EC7E42" w:rsidRPr="00414A6D" w:rsidRDefault="00EC7E42" w:rsidP="007B1510">
      <w:pPr>
        <w:pStyle w:val="ListParagraph"/>
        <w:numPr>
          <w:ilvl w:val="0"/>
          <w:numId w:val="19"/>
        </w:numPr>
        <w:jc w:val="both"/>
        <w:rPr>
          <w:rFonts w:ascii="Arial" w:hAnsi="Arial" w:cs="Arial"/>
          <w:b/>
          <w:bCs/>
          <w:kern w:val="28"/>
          <w:sz w:val="22"/>
          <w:szCs w:val="22"/>
        </w:rPr>
      </w:pPr>
      <w:r w:rsidRPr="00414A6D">
        <w:rPr>
          <w:rFonts w:ascii="Arial" w:hAnsi="Arial" w:cs="Arial"/>
          <w:sz w:val="22"/>
          <w:szCs w:val="22"/>
        </w:rPr>
        <w:t xml:space="preserve">Australasian College </w:t>
      </w:r>
      <w:r w:rsidR="000C6B8D">
        <w:rPr>
          <w:rFonts w:ascii="Arial" w:hAnsi="Arial" w:cs="Arial"/>
          <w:sz w:val="22"/>
          <w:szCs w:val="22"/>
        </w:rPr>
        <w:t>for</w:t>
      </w:r>
      <w:r w:rsidR="0032004F" w:rsidRPr="00414A6D">
        <w:rPr>
          <w:rFonts w:ascii="Arial" w:hAnsi="Arial" w:cs="Arial"/>
          <w:sz w:val="22"/>
          <w:szCs w:val="22"/>
        </w:rPr>
        <w:t xml:space="preserve"> </w:t>
      </w:r>
      <w:r w:rsidRPr="00414A6D">
        <w:rPr>
          <w:rFonts w:ascii="Arial" w:hAnsi="Arial" w:cs="Arial"/>
          <w:sz w:val="22"/>
          <w:szCs w:val="22"/>
        </w:rPr>
        <w:t>Emergency Medicine</w:t>
      </w:r>
    </w:p>
    <w:p w14:paraId="43166B3C" w14:textId="77777777" w:rsidR="001706BB" w:rsidRPr="00414A6D" w:rsidRDefault="00131CF3" w:rsidP="007B1510">
      <w:pPr>
        <w:pStyle w:val="ListParagraph"/>
        <w:numPr>
          <w:ilvl w:val="0"/>
          <w:numId w:val="19"/>
        </w:numPr>
        <w:jc w:val="both"/>
        <w:rPr>
          <w:rFonts w:ascii="Arial" w:hAnsi="Arial" w:cs="Arial"/>
          <w:b/>
          <w:bCs/>
          <w:kern w:val="28"/>
          <w:sz w:val="22"/>
          <w:szCs w:val="22"/>
        </w:rPr>
      </w:pPr>
      <w:r w:rsidRPr="00414A6D">
        <w:rPr>
          <w:rFonts w:ascii="Arial" w:hAnsi="Arial" w:cs="Arial"/>
          <w:sz w:val="22"/>
          <w:szCs w:val="22"/>
        </w:rPr>
        <w:t>Australian and New Zealand College of Anaesthetists</w:t>
      </w:r>
    </w:p>
    <w:p w14:paraId="4E1CBB5B" w14:textId="5786151B" w:rsidR="00131CF3" w:rsidRPr="00414A6D" w:rsidRDefault="001706BB" w:rsidP="007B1510">
      <w:pPr>
        <w:pStyle w:val="ListParagraph"/>
        <w:numPr>
          <w:ilvl w:val="0"/>
          <w:numId w:val="19"/>
        </w:numPr>
        <w:spacing w:after="120"/>
        <w:ind w:left="357" w:hanging="357"/>
        <w:jc w:val="both"/>
        <w:rPr>
          <w:rFonts w:ascii="Arial" w:hAnsi="Arial" w:cs="Arial"/>
          <w:sz w:val="22"/>
          <w:szCs w:val="22"/>
        </w:rPr>
      </w:pPr>
      <w:r w:rsidRPr="00414A6D">
        <w:rPr>
          <w:rFonts w:ascii="Arial" w:hAnsi="Arial" w:cs="Arial"/>
          <w:sz w:val="22"/>
          <w:szCs w:val="22"/>
        </w:rPr>
        <w:t xml:space="preserve">Australian and New Zealand Society </w:t>
      </w:r>
      <w:r w:rsidR="000C6B8D">
        <w:rPr>
          <w:rFonts w:ascii="Arial" w:hAnsi="Arial" w:cs="Arial"/>
          <w:sz w:val="22"/>
          <w:szCs w:val="22"/>
        </w:rPr>
        <w:t xml:space="preserve">for </w:t>
      </w:r>
      <w:proofErr w:type="gramStart"/>
      <w:r w:rsidR="000C6B8D" w:rsidRPr="00414A6D">
        <w:rPr>
          <w:rFonts w:ascii="Arial" w:hAnsi="Arial" w:cs="Arial"/>
          <w:sz w:val="22"/>
          <w:szCs w:val="22"/>
        </w:rPr>
        <w:t xml:space="preserve">Geriatric </w:t>
      </w:r>
      <w:r w:rsidRPr="00414A6D">
        <w:rPr>
          <w:rFonts w:ascii="Arial" w:hAnsi="Arial" w:cs="Arial"/>
          <w:sz w:val="22"/>
          <w:szCs w:val="22"/>
        </w:rPr>
        <w:t xml:space="preserve"> Medicine</w:t>
      </w:r>
      <w:proofErr w:type="gramEnd"/>
      <w:r w:rsidR="00131CF3" w:rsidRPr="00414A6D">
        <w:rPr>
          <w:rFonts w:ascii="Arial" w:hAnsi="Arial" w:cs="Arial"/>
          <w:sz w:val="22"/>
          <w:szCs w:val="22"/>
        </w:rPr>
        <w:t>.</w:t>
      </w:r>
    </w:p>
    <w:p w14:paraId="3F4C74BD" w14:textId="77777777" w:rsidR="003C3CD2" w:rsidRPr="00414A6D" w:rsidRDefault="003C3CD2" w:rsidP="0044229A">
      <w:pPr>
        <w:pStyle w:val="ListParagraph"/>
        <w:spacing w:after="120"/>
        <w:ind w:left="357"/>
        <w:jc w:val="both"/>
        <w:rPr>
          <w:rFonts w:ascii="Arial" w:hAnsi="Arial" w:cs="Arial"/>
          <w:sz w:val="22"/>
          <w:szCs w:val="22"/>
        </w:rPr>
      </w:pPr>
    </w:p>
    <w:p w14:paraId="732758F7" w14:textId="77777777" w:rsidR="00370A06" w:rsidRPr="00414A6D" w:rsidRDefault="009C09D2" w:rsidP="00597945">
      <w:pPr>
        <w:pStyle w:val="Commissionbodytext"/>
        <w:pBdr>
          <w:top w:val="single" w:sz="4" w:space="1" w:color="auto"/>
          <w:left w:val="single" w:sz="4" w:space="23" w:color="auto"/>
          <w:bottom w:val="single" w:sz="4" w:space="1" w:color="auto"/>
          <w:right w:val="single" w:sz="4" w:space="4" w:color="auto"/>
        </w:pBdr>
        <w:shd w:val="clear" w:color="auto" w:fill="F2F2F2" w:themeFill="background1" w:themeFillShade="F2"/>
        <w:spacing w:line="240" w:lineRule="auto"/>
        <w:jc w:val="both"/>
      </w:pPr>
      <w:r w:rsidRPr="00414A6D">
        <w:rPr>
          <w:b/>
        </w:rPr>
        <w:t xml:space="preserve">Recommendation </w:t>
      </w:r>
      <w:r w:rsidR="008C4A43" w:rsidRPr="00414A6D">
        <w:rPr>
          <w:b/>
        </w:rPr>
        <w:t>8</w:t>
      </w:r>
      <w:r w:rsidRPr="00414A6D">
        <w:rPr>
          <w:b/>
        </w:rPr>
        <w:t>:</w:t>
      </w:r>
      <w:r w:rsidRPr="00414A6D">
        <w:t xml:space="preserve"> Further consultation </w:t>
      </w:r>
      <w:r w:rsidR="001706BB" w:rsidRPr="00414A6D">
        <w:t xml:space="preserve">with stakeholders </w:t>
      </w:r>
      <w:r w:rsidRPr="00414A6D">
        <w:t xml:space="preserve">on the design approach for the </w:t>
      </w:r>
      <w:r w:rsidR="000E1A0B" w:rsidRPr="00414A6D">
        <w:t>b</w:t>
      </w:r>
      <w:r w:rsidR="00346B84" w:rsidRPr="00414A6D">
        <w:t>est-practice</w:t>
      </w:r>
      <w:r w:rsidR="000E1A0B" w:rsidRPr="00414A6D">
        <w:t xml:space="preserve"> pricing m</w:t>
      </w:r>
      <w:r w:rsidRPr="00414A6D">
        <w:t xml:space="preserve">odel for </w:t>
      </w:r>
      <w:r w:rsidR="00EC19BD" w:rsidRPr="00414A6D">
        <w:t>h</w:t>
      </w:r>
      <w:r w:rsidRPr="00414A6D">
        <w:t xml:space="preserve">ip </w:t>
      </w:r>
      <w:r w:rsidR="00EC19BD" w:rsidRPr="00414A6D">
        <w:t>f</w:t>
      </w:r>
      <w:r w:rsidRPr="00414A6D">
        <w:t xml:space="preserve">racture care </w:t>
      </w:r>
      <w:r w:rsidR="00485490" w:rsidRPr="00414A6D">
        <w:t xml:space="preserve">should </w:t>
      </w:r>
      <w:r w:rsidRPr="00414A6D">
        <w:t xml:space="preserve">be undertaken </w:t>
      </w:r>
      <w:r w:rsidR="00485490" w:rsidRPr="00414A6D">
        <w:t xml:space="preserve">following </w:t>
      </w:r>
      <w:r w:rsidR="00564B2C" w:rsidRPr="00414A6D">
        <w:t xml:space="preserve">the Pricing Authority and Commission </w:t>
      </w:r>
      <w:r w:rsidR="00485490" w:rsidRPr="00414A6D">
        <w:t xml:space="preserve">Board endorsement and </w:t>
      </w:r>
      <w:r w:rsidR="00564B2C" w:rsidRPr="00414A6D">
        <w:t xml:space="preserve">be </w:t>
      </w:r>
      <w:r w:rsidR="00485490" w:rsidRPr="00414A6D">
        <w:t>complementary</w:t>
      </w:r>
      <w:r w:rsidRPr="00414A6D">
        <w:t xml:space="preserve"> to </w:t>
      </w:r>
      <w:r w:rsidR="00485490" w:rsidRPr="00414A6D">
        <w:t>development of an implementation plan.</w:t>
      </w:r>
    </w:p>
    <w:p w14:paraId="478CE18F" w14:textId="77777777" w:rsidR="00007110" w:rsidRPr="00414A6D" w:rsidRDefault="00007110" w:rsidP="00597945">
      <w:pPr>
        <w:spacing w:before="120" w:after="120"/>
        <w:jc w:val="both"/>
        <w:rPr>
          <w:rFonts w:ascii="Arial" w:hAnsi="Arial" w:cs="Arial"/>
          <w:sz w:val="22"/>
          <w:szCs w:val="22"/>
        </w:rPr>
      </w:pPr>
    </w:p>
    <w:p w14:paraId="02B5FF19" w14:textId="77777777" w:rsidR="00007110" w:rsidRPr="00414A6D" w:rsidRDefault="00007110" w:rsidP="00597945">
      <w:pPr>
        <w:spacing w:before="120" w:after="120"/>
        <w:jc w:val="both"/>
        <w:rPr>
          <w:rFonts w:ascii="Arial" w:hAnsi="Arial" w:cs="Arial"/>
          <w:sz w:val="22"/>
          <w:szCs w:val="22"/>
        </w:rPr>
      </w:pPr>
    </w:p>
    <w:p w14:paraId="1B0814E3" w14:textId="77777777" w:rsidR="00007110" w:rsidRPr="00414A6D" w:rsidRDefault="00007110" w:rsidP="00597945">
      <w:pPr>
        <w:spacing w:before="120" w:after="120"/>
        <w:jc w:val="both"/>
        <w:rPr>
          <w:rFonts w:ascii="Arial" w:hAnsi="Arial" w:cs="Arial"/>
          <w:sz w:val="22"/>
          <w:szCs w:val="22"/>
        </w:rPr>
      </w:pPr>
    </w:p>
    <w:p w14:paraId="201601CA" w14:textId="77777777" w:rsidR="00007110" w:rsidRPr="00414A6D" w:rsidRDefault="00007110" w:rsidP="00597945">
      <w:pPr>
        <w:spacing w:before="120" w:after="120"/>
        <w:jc w:val="both"/>
        <w:rPr>
          <w:rFonts w:ascii="Arial" w:hAnsi="Arial" w:cs="Arial"/>
          <w:sz w:val="22"/>
          <w:szCs w:val="22"/>
        </w:rPr>
      </w:pPr>
    </w:p>
    <w:p w14:paraId="074F6B24" w14:textId="77777777" w:rsidR="00B06816" w:rsidRPr="00414A6D" w:rsidRDefault="00EC19BD" w:rsidP="00007110">
      <w:pPr>
        <w:spacing w:before="120" w:after="120"/>
        <w:jc w:val="both"/>
        <w:rPr>
          <w:rFonts w:ascii="Arial" w:hAnsi="Arial" w:cs="Arial"/>
          <w:sz w:val="22"/>
          <w:szCs w:val="22"/>
        </w:rPr>
      </w:pPr>
      <w:r w:rsidRPr="00414A6D">
        <w:rPr>
          <w:rFonts w:ascii="Arial" w:hAnsi="Arial" w:cs="Arial"/>
          <w:sz w:val="22"/>
          <w:szCs w:val="22"/>
        </w:rPr>
        <w:lastRenderedPageBreak/>
        <w:t>A full implementation plan should be developed, but the Sub-Committee envisions that</w:t>
      </w:r>
      <w:r w:rsidR="001706BB" w:rsidRPr="00414A6D">
        <w:rPr>
          <w:rFonts w:ascii="Arial" w:hAnsi="Arial" w:cs="Arial"/>
          <w:sz w:val="22"/>
          <w:szCs w:val="22"/>
        </w:rPr>
        <w:t xml:space="preserve"> an</w:t>
      </w:r>
      <w:r w:rsidR="002359DF" w:rsidRPr="00414A6D">
        <w:rPr>
          <w:rFonts w:ascii="Arial" w:hAnsi="Arial" w:cs="Arial"/>
          <w:sz w:val="22"/>
          <w:szCs w:val="22"/>
        </w:rPr>
        <w:t xml:space="preserve"> indicative </w:t>
      </w:r>
      <w:r w:rsidRPr="00414A6D">
        <w:rPr>
          <w:rFonts w:ascii="Arial" w:hAnsi="Arial" w:cs="Arial"/>
          <w:sz w:val="22"/>
          <w:szCs w:val="22"/>
        </w:rPr>
        <w:t xml:space="preserve">plan </w:t>
      </w:r>
      <w:r w:rsidR="002359DF" w:rsidRPr="00414A6D">
        <w:rPr>
          <w:rFonts w:ascii="Arial" w:hAnsi="Arial" w:cs="Arial"/>
          <w:sz w:val="22"/>
          <w:szCs w:val="22"/>
        </w:rPr>
        <w:t xml:space="preserve">might include phases and key activities as illustrated in Figure </w:t>
      </w:r>
      <w:r w:rsidR="00370A06" w:rsidRPr="00414A6D">
        <w:rPr>
          <w:rFonts w:ascii="Arial" w:hAnsi="Arial" w:cs="Arial"/>
          <w:sz w:val="22"/>
          <w:szCs w:val="22"/>
        </w:rPr>
        <w:t>3</w:t>
      </w:r>
      <w:r w:rsidR="002359DF" w:rsidRPr="00414A6D">
        <w:rPr>
          <w:rFonts w:ascii="Arial" w:hAnsi="Arial" w:cs="Arial"/>
          <w:sz w:val="22"/>
          <w:szCs w:val="22"/>
        </w:rPr>
        <w:t>.</w:t>
      </w:r>
    </w:p>
    <w:p w14:paraId="0CCE05DE" w14:textId="77777777" w:rsidR="0090695D" w:rsidRPr="00106595" w:rsidRDefault="009B3EDB" w:rsidP="00597945">
      <w:pPr>
        <w:spacing w:after="120"/>
        <w:jc w:val="both"/>
        <w:rPr>
          <w:rFonts w:ascii="Arial" w:hAnsi="Arial" w:cs="Arial"/>
          <w:sz w:val="22"/>
          <w:szCs w:val="22"/>
        </w:rPr>
      </w:pPr>
      <w:proofErr w:type="gramStart"/>
      <w:r w:rsidRPr="00106595">
        <w:rPr>
          <w:rFonts w:ascii="Arial" w:hAnsi="Arial" w:cs="Arial"/>
          <w:b/>
          <w:sz w:val="22"/>
          <w:szCs w:val="22"/>
        </w:rPr>
        <w:t>Figure 3.</w:t>
      </w:r>
      <w:proofErr w:type="gramEnd"/>
      <w:r w:rsidRPr="00106595">
        <w:rPr>
          <w:rFonts w:ascii="Arial" w:hAnsi="Arial" w:cs="Arial"/>
          <w:b/>
          <w:sz w:val="22"/>
          <w:szCs w:val="22"/>
        </w:rPr>
        <w:t xml:space="preserve"> Indicative phasing of a best-practice pricing approach to hip fracture care</w:t>
      </w:r>
    </w:p>
    <w:tbl>
      <w:tblPr>
        <w:tblStyle w:val="TableGrid"/>
        <w:tblW w:w="5000" w:type="pct"/>
        <w:tblLayout w:type="fixed"/>
        <w:tblLook w:val="04A0" w:firstRow="1" w:lastRow="0" w:firstColumn="1" w:lastColumn="0" w:noHBand="0" w:noVBand="1"/>
      </w:tblPr>
      <w:tblGrid>
        <w:gridCol w:w="1653"/>
        <w:gridCol w:w="1150"/>
        <w:gridCol w:w="65"/>
        <w:gridCol w:w="74"/>
        <w:gridCol w:w="1277"/>
        <w:gridCol w:w="1798"/>
        <w:gridCol w:w="46"/>
        <w:gridCol w:w="1410"/>
        <w:gridCol w:w="153"/>
        <w:gridCol w:w="1616"/>
      </w:tblGrid>
      <w:tr w:rsidR="00840AE7" w:rsidRPr="00414A6D" w14:paraId="2793D81B" w14:textId="77777777" w:rsidTr="00597945">
        <w:trPr>
          <w:trHeight w:val="315"/>
        </w:trPr>
        <w:tc>
          <w:tcPr>
            <w:tcW w:w="894" w:type="pct"/>
            <w:tcBorders>
              <w:bottom w:val="single" w:sz="4" w:space="0" w:color="auto"/>
            </w:tcBorders>
            <w:shd w:val="clear" w:color="auto" w:fill="7F7F7F" w:themeFill="text1" w:themeFillTint="80"/>
            <w:noWrap/>
            <w:hideMark/>
          </w:tcPr>
          <w:p w14:paraId="56C3DB8E" w14:textId="77777777" w:rsidR="004E34BE" w:rsidRPr="00414A6D" w:rsidRDefault="004E34BE" w:rsidP="005E4AC9">
            <w:pPr>
              <w:jc w:val="center"/>
              <w:rPr>
                <w:rFonts w:ascii="Arial" w:hAnsi="Arial" w:cs="Arial"/>
                <w:b/>
                <w:bCs/>
                <w:sz w:val="18"/>
                <w:szCs w:val="18"/>
              </w:rPr>
            </w:pPr>
            <w:r w:rsidRPr="00414A6D">
              <w:rPr>
                <w:rFonts w:ascii="Arial" w:hAnsi="Arial" w:cs="Arial"/>
                <w:b/>
                <w:bCs/>
                <w:sz w:val="18"/>
                <w:szCs w:val="18"/>
              </w:rPr>
              <w:t>Key responsibilities</w:t>
            </w:r>
          </w:p>
        </w:tc>
        <w:tc>
          <w:tcPr>
            <w:tcW w:w="4106" w:type="pct"/>
            <w:gridSpan w:val="9"/>
            <w:tcBorders>
              <w:bottom w:val="single" w:sz="4" w:space="0" w:color="auto"/>
            </w:tcBorders>
            <w:shd w:val="clear" w:color="auto" w:fill="7F7F7F" w:themeFill="text1" w:themeFillTint="80"/>
            <w:noWrap/>
            <w:vAlign w:val="center"/>
            <w:hideMark/>
          </w:tcPr>
          <w:p w14:paraId="32CAC27C" w14:textId="77777777" w:rsidR="004E34BE" w:rsidRPr="00414A6D" w:rsidRDefault="004E34BE" w:rsidP="005E4AC9">
            <w:pPr>
              <w:jc w:val="center"/>
              <w:rPr>
                <w:rFonts w:ascii="Arial" w:hAnsi="Arial" w:cs="Arial"/>
                <w:b/>
                <w:bCs/>
                <w:sz w:val="18"/>
                <w:szCs w:val="18"/>
              </w:rPr>
            </w:pPr>
            <w:r w:rsidRPr="00414A6D">
              <w:rPr>
                <w:rFonts w:ascii="Arial" w:hAnsi="Arial" w:cs="Arial"/>
                <w:b/>
                <w:bCs/>
                <w:sz w:val="18"/>
                <w:szCs w:val="18"/>
              </w:rPr>
              <w:t>Phasing of key activities</w:t>
            </w:r>
          </w:p>
        </w:tc>
      </w:tr>
      <w:tr w:rsidR="004255FA" w:rsidRPr="00414A6D" w14:paraId="635CBD7D" w14:textId="77777777" w:rsidTr="00D41ED6">
        <w:trPr>
          <w:trHeight w:val="315"/>
        </w:trPr>
        <w:tc>
          <w:tcPr>
            <w:tcW w:w="894" w:type="pct"/>
            <w:shd w:val="clear" w:color="auto" w:fill="FFFFFF" w:themeFill="background1"/>
            <w:noWrap/>
          </w:tcPr>
          <w:p w14:paraId="6DD63B1A" w14:textId="77777777" w:rsidR="00840AE7" w:rsidRPr="00414A6D" w:rsidRDefault="00840AE7" w:rsidP="005E4AC9">
            <w:pPr>
              <w:jc w:val="center"/>
              <w:rPr>
                <w:rFonts w:ascii="Arial" w:hAnsi="Arial" w:cs="Arial"/>
                <w:b/>
                <w:bCs/>
                <w:sz w:val="18"/>
                <w:szCs w:val="18"/>
              </w:rPr>
            </w:pPr>
            <w:r w:rsidRPr="00414A6D">
              <w:rPr>
                <w:rFonts w:ascii="Arial" w:hAnsi="Arial" w:cs="Arial"/>
                <w:b/>
                <w:bCs/>
                <w:sz w:val="18"/>
                <w:szCs w:val="18"/>
              </w:rPr>
              <w:t>Timeframe</w:t>
            </w:r>
          </w:p>
        </w:tc>
        <w:tc>
          <w:tcPr>
            <w:tcW w:w="697" w:type="pct"/>
            <w:gridSpan w:val="3"/>
            <w:shd w:val="clear" w:color="auto" w:fill="FFFFFF" w:themeFill="background1"/>
            <w:noWrap/>
            <w:vAlign w:val="center"/>
          </w:tcPr>
          <w:p w14:paraId="4EA65698"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2014-15</w:t>
            </w:r>
          </w:p>
        </w:tc>
        <w:tc>
          <w:tcPr>
            <w:tcW w:w="691" w:type="pct"/>
            <w:shd w:val="clear" w:color="auto" w:fill="FFFFFF" w:themeFill="background1"/>
            <w:vAlign w:val="center"/>
          </w:tcPr>
          <w:p w14:paraId="5E54F2B0"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2015-16</w:t>
            </w:r>
          </w:p>
        </w:tc>
        <w:tc>
          <w:tcPr>
            <w:tcW w:w="973" w:type="pct"/>
            <w:shd w:val="clear" w:color="auto" w:fill="FFFFFF" w:themeFill="background1"/>
            <w:vAlign w:val="center"/>
          </w:tcPr>
          <w:p w14:paraId="7BEF323C"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2016-17</w:t>
            </w:r>
          </w:p>
        </w:tc>
        <w:tc>
          <w:tcPr>
            <w:tcW w:w="788" w:type="pct"/>
            <w:gridSpan w:val="2"/>
            <w:shd w:val="clear" w:color="auto" w:fill="FFFFFF" w:themeFill="background1"/>
            <w:vAlign w:val="center"/>
          </w:tcPr>
          <w:p w14:paraId="22672202"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2017-18</w:t>
            </w:r>
          </w:p>
        </w:tc>
        <w:tc>
          <w:tcPr>
            <w:tcW w:w="957" w:type="pct"/>
            <w:gridSpan w:val="2"/>
            <w:shd w:val="clear" w:color="auto" w:fill="FFFFFF" w:themeFill="background1"/>
            <w:vAlign w:val="center"/>
          </w:tcPr>
          <w:p w14:paraId="69906417"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2018-19</w:t>
            </w:r>
          </w:p>
        </w:tc>
      </w:tr>
      <w:tr w:rsidR="004255FA" w:rsidRPr="00414A6D" w14:paraId="30B2C999" w14:textId="77777777" w:rsidTr="00D41ED6">
        <w:trPr>
          <w:trHeight w:val="630"/>
        </w:trPr>
        <w:tc>
          <w:tcPr>
            <w:tcW w:w="894" w:type="pct"/>
            <w:shd w:val="clear" w:color="auto" w:fill="FDE9D9" w:themeFill="accent6" w:themeFillTint="33"/>
            <w:hideMark/>
          </w:tcPr>
          <w:p w14:paraId="77DE5D44" w14:textId="77777777" w:rsidR="004255FA" w:rsidRPr="00414A6D" w:rsidRDefault="004255FA" w:rsidP="009202A0">
            <w:pPr>
              <w:jc w:val="both"/>
              <w:rPr>
                <w:rFonts w:ascii="Arial" w:hAnsi="Arial" w:cs="Arial"/>
                <w:b/>
                <w:bCs/>
                <w:sz w:val="18"/>
                <w:szCs w:val="18"/>
              </w:rPr>
            </w:pPr>
            <w:r w:rsidRPr="00414A6D">
              <w:rPr>
                <w:rFonts w:ascii="Arial" w:hAnsi="Arial" w:cs="Arial"/>
                <w:b/>
                <w:bCs/>
                <w:sz w:val="18"/>
                <w:szCs w:val="18"/>
              </w:rPr>
              <w:t>Key communication</w:t>
            </w:r>
            <w:r w:rsidRPr="00414A6D">
              <w:rPr>
                <w:rFonts w:ascii="Arial" w:hAnsi="Arial" w:cs="Arial"/>
                <w:b/>
                <w:bCs/>
                <w:sz w:val="18"/>
                <w:szCs w:val="18"/>
              </w:rPr>
              <w:br/>
              <w:t>messages</w:t>
            </w:r>
          </w:p>
        </w:tc>
        <w:tc>
          <w:tcPr>
            <w:tcW w:w="1388" w:type="pct"/>
            <w:gridSpan w:val="4"/>
            <w:shd w:val="clear" w:color="auto" w:fill="FDE9D9" w:themeFill="accent6" w:themeFillTint="33"/>
            <w:noWrap/>
            <w:vAlign w:val="center"/>
            <w:hideMark/>
          </w:tcPr>
          <w:p w14:paraId="28ACF962" w14:textId="77777777" w:rsidR="004255FA" w:rsidRPr="00414A6D" w:rsidRDefault="004255FA" w:rsidP="00560CC6">
            <w:pPr>
              <w:jc w:val="center"/>
              <w:rPr>
                <w:rFonts w:ascii="Arial" w:hAnsi="Arial" w:cs="Arial"/>
                <w:bCs/>
                <w:sz w:val="19"/>
                <w:szCs w:val="19"/>
              </w:rPr>
            </w:pPr>
            <w:r w:rsidRPr="00414A6D">
              <w:rPr>
                <w:rFonts w:ascii="Arial" w:hAnsi="Arial" w:cs="Arial"/>
                <w:bCs/>
                <w:sz w:val="19"/>
                <w:szCs w:val="19"/>
              </w:rPr>
              <w:t>Hip Fracture CCS</w:t>
            </w:r>
          </w:p>
        </w:tc>
        <w:tc>
          <w:tcPr>
            <w:tcW w:w="1760" w:type="pct"/>
            <w:gridSpan w:val="3"/>
            <w:shd w:val="clear" w:color="auto" w:fill="FDE9D9" w:themeFill="accent6" w:themeFillTint="33"/>
            <w:noWrap/>
            <w:vAlign w:val="center"/>
            <w:hideMark/>
          </w:tcPr>
          <w:p w14:paraId="725026CB" w14:textId="0E5158D2" w:rsidR="004255FA" w:rsidRPr="00414A6D" w:rsidRDefault="004255FA" w:rsidP="00106595">
            <w:pPr>
              <w:jc w:val="center"/>
              <w:rPr>
                <w:rFonts w:ascii="Arial" w:hAnsi="Arial" w:cs="Arial"/>
                <w:bCs/>
                <w:sz w:val="19"/>
                <w:szCs w:val="19"/>
              </w:rPr>
            </w:pPr>
            <w:r w:rsidRPr="00414A6D">
              <w:rPr>
                <w:rFonts w:ascii="Arial" w:hAnsi="Arial" w:cs="Arial"/>
                <w:bCs/>
                <w:sz w:val="19"/>
                <w:szCs w:val="19"/>
              </w:rPr>
              <w:t>Best-practice pricing approach</w:t>
            </w:r>
          </w:p>
        </w:tc>
        <w:tc>
          <w:tcPr>
            <w:tcW w:w="957" w:type="pct"/>
            <w:gridSpan w:val="2"/>
            <w:shd w:val="clear" w:color="auto" w:fill="FDE9D9" w:themeFill="accent6" w:themeFillTint="33"/>
            <w:vAlign w:val="center"/>
          </w:tcPr>
          <w:p w14:paraId="07ED2BB7" w14:textId="77777777" w:rsidR="004255FA" w:rsidRPr="00414A6D" w:rsidRDefault="004255FA" w:rsidP="009B3EDB">
            <w:pPr>
              <w:jc w:val="center"/>
              <w:rPr>
                <w:rFonts w:ascii="Arial" w:hAnsi="Arial" w:cs="Arial"/>
                <w:bCs/>
                <w:sz w:val="19"/>
                <w:szCs w:val="19"/>
              </w:rPr>
            </w:pPr>
            <w:r w:rsidRPr="00414A6D">
              <w:rPr>
                <w:rFonts w:ascii="Arial" w:hAnsi="Arial" w:cs="Arial"/>
                <w:bCs/>
                <w:sz w:val="19"/>
                <w:szCs w:val="19"/>
              </w:rPr>
              <w:t xml:space="preserve">Implementation </w:t>
            </w:r>
          </w:p>
        </w:tc>
      </w:tr>
      <w:tr w:rsidR="004255FA" w:rsidRPr="00414A6D" w14:paraId="2120D130" w14:textId="77777777" w:rsidTr="00D41ED6">
        <w:trPr>
          <w:trHeight w:val="630"/>
        </w:trPr>
        <w:tc>
          <w:tcPr>
            <w:tcW w:w="894" w:type="pct"/>
            <w:shd w:val="clear" w:color="auto" w:fill="DAEEF3" w:themeFill="accent5" w:themeFillTint="33"/>
            <w:noWrap/>
          </w:tcPr>
          <w:p w14:paraId="55ECBC4F" w14:textId="77777777" w:rsidR="00840AE7" w:rsidRPr="00414A6D" w:rsidRDefault="00840AE7" w:rsidP="0090695D">
            <w:pPr>
              <w:jc w:val="both"/>
              <w:rPr>
                <w:rFonts w:ascii="Arial" w:hAnsi="Arial" w:cs="Arial"/>
                <w:b/>
                <w:bCs/>
                <w:sz w:val="18"/>
                <w:szCs w:val="18"/>
              </w:rPr>
            </w:pPr>
            <w:r w:rsidRPr="00414A6D">
              <w:rPr>
                <w:rFonts w:ascii="Arial" w:hAnsi="Arial" w:cs="Arial"/>
                <w:b/>
                <w:bCs/>
                <w:sz w:val="18"/>
                <w:szCs w:val="18"/>
              </w:rPr>
              <w:t>Key communication targets</w:t>
            </w:r>
          </w:p>
        </w:tc>
        <w:tc>
          <w:tcPr>
            <w:tcW w:w="622" w:type="pct"/>
            <w:shd w:val="clear" w:color="auto" w:fill="DAEEF3" w:themeFill="accent5" w:themeFillTint="33"/>
            <w:vAlign w:val="center"/>
          </w:tcPr>
          <w:p w14:paraId="760118B5" w14:textId="77777777" w:rsidR="00840AE7" w:rsidRPr="00414A6D" w:rsidRDefault="00840AE7" w:rsidP="001706BB">
            <w:pPr>
              <w:jc w:val="center"/>
              <w:rPr>
                <w:rFonts w:ascii="Arial" w:hAnsi="Arial" w:cs="Arial"/>
                <w:bCs/>
                <w:sz w:val="19"/>
                <w:szCs w:val="19"/>
              </w:rPr>
            </w:pPr>
            <w:r w:rsidRPr="00414A6D">
              <w:rPr>
                <w:rFonts w:ascii="Arial" w:hAnsi="Arial" w:cs="Arial"/>
                <w:bCs/>
                <w:sz w:val="19"/>
                <w:szCs w:val="19"/>
              </w:rPr>
              <w:t xml:space="preserve">Sub-Committee </w:t>
            </w:r>
          </w:p>
          <w:p w14:paraId="231DDB2E" w14:textId="77777777" w:rsidR="00840AE7" w:rsidRPr="00414A6D" w:rsidRDefault="00840AE7" w:rsidP="001706BB">
            <w:pPr>
              <w:jc w:val="center"/>
              <w:rPr>
                <w:rFonts w:ascii="Arial" w:hAnsi="Arial" w:cs="Arial"/>
                <w:bCs/>
                <w:sz w:val="19"/>
                <w:szCs w:val="19"/>
              </w:rPr>
            </w:pPr>
            <w:r w:rsidRPr="00414A6D">
              <w:rPr>
                <w:rFonts w:ascii="Arial" w:hAnsi="Arial" w:cs="Arial"/>
                <w:bCs/>
                <w:sz w:val="19"/>
                <w:szCs w:val="19"/>
              </w:rPr>
              <w:t>JWP</w:t>
            </w:r>
          </w:p>
          <w:p w14:paraId="4B6E3E44" w14:textId="77777777" w:rsidR="00840AE7" w:rsidRPr="00414A6D" w:rsidRDefault="00840AE7" w:rsidP="001706BB">
            <w:pPr>
              <w:jc w:val="center"/>
              <w:rPr>
                <w:rFonts w:ascii="Arial" w:hAnsi="Arial" w:cs="Arial"/>
                <w:bCs/>
                <w:sz w:val="19"/>
                <w:szCs w:val="19"/>
              </w:rPr>
            </w:pPr>
            <w:r w:rsidRPr="00414A6D">
              <w:rPr>
                <w:rFonts w:ascii="Arial" w:hAnsi="Arial" w:cs="Arial"/>
                <w:bCs/>
                <w:sz w:val="19"/>
                <w:szCs w:val="19"/>
              </w:rPr>
              <w:t>Clinicians</w:t>
            </w:r>
          </w:p>
          <w:p w14:paraId="5F578646" w14:textId="77777777" w:rsidR="00840AE7" w:rsidRPr="00414A6D" w:rsidRDefault="00840AE7" w:rsidP="001706BB">
            <w:pPr>
              <w:jc w:val="center"/>
              <w:rPr>
                <w:rFonts w:ascii="Arial" w:hAnsi="Arial" w:cs="Arial"/>
                <w:bCs/>
                <w:sz w:val="19"/>
                <w:szCs w:val="19"/>
              </w:rPr>
            </w:pPr>
          </w:p>
        </w:tc>
        <w:tc>
          <w:tcPr>
            <w:tcW w:w="766" w:type="pct"/>
            <w:gridSpan w:val="3"/>
            <w:shd w:val="clear" w:color="auto" w:fill="DAEEF3" w:themeFill="accent5" w:themeFillTint="33"/>
            <w:noWrap/>
            <w:vAlign w:val="center"/>
          </w:tcPr>
          <w:p w14:paraId="3BC727E3" w14:textId="77777777" w:rsidR="00840AE7" w:rsidRPr="00414A6D" w:rsidRDefault="00840AE7" w:rsidP="009202A0">
            <w:pPr>
              <w:jc w:val="center"/>
              <w:rPr>
                <w:rFonts w:ascii="Arial" w:hAnsi="Arial" w:cs="Arial"/>
                <w:bCs/>
                <w:sz w:val="19"/>
                <w:szCs w:val="19"/>
              </w:rPr>
            </w:pPr>
            <w:r w:rsidRPr="00414A6D">
              <w:rPr>
                <w:rFonts w:ascii="Arial" w:hAnsi="Arial" w:cs="Arial"/>
                <w:bCs/>
                <w:sz w:val="19"/>
                <w:szCs w:val="19"/>
              </w:rPr>
              <w:t>Pricing Authority</w:t>
            </w:r>
          </w:p>
          <w:p w14:paraId="6251FDFD" w14:textId="77777777" w:rsidR="00840AE7" w:rsidRPr="00414A6D" w:rsidRDefault="00840AE7" w:rsidP="009202A0">
            <w:pPr>
              <w:jc w:val="center"/>
              <w:rPr>
                <w:rFonts w:ascii="Arial" w:hAnsi="Arial" w:cs="Arial"/>
                <w:bCs/>
                <w:sz w:val="19"/>
                <w:szCs w:val="19"/>
              </w:rPr>
            </w:pPr>
            <w:r w:rsidRPr="00414A6D">
              <w:rPr>
                <w:rFonts w:ascii="Arial" w:hAnsi="Arial" w:cs="Arial"/>
                <w:bCs/>
                <w:sz w:val="19"/>
                <w:szCs w:val="19"/>
              </w:rPr>
              <w:t>Jurisdictions</w:t>
            </w:r>
          </w:p>
          <w:p w14:paraId="7E89BA88" w14:textId="77777777" w:rsidR="00840AE7" w:rsidRPr="00414A6D" w:rsidRDefault="00840AE7" w:rsidP="009202A0">
            <w:pPr>
              <w:jc w:val="center"/>
              <w:rPr>
                <w:rFonts w:ascii="Arial" w:hAnsi="Arial" w:cs="Arial"/>
                <w:bCs/>
                <w:sz w:val="19"/>
                <w:szCs w:val="19"/>
              </w:rPr>
            </w:pPr>
            <w:r w:rsidRPr="00414A6D">
              <w:rPr>
                <w:rFonts w:ascii="Arial" w:hAnsi="Arial" w:cs="Arial"/>
                <w:bCs/>
                <w:sz w:val="19"/>
                <w:szCs w:val="19"/>
              </w:rPr>
              <w:t>Clinicians</w:t>
            </w:r>
          </w:p>
          <w:p w14:paraId="04C5FBA1" w14:textId="77777777" w:rsidR="00840AE7" w:rsidRPr="00414A6D" w:rsidRDefault="00840AE7" w:rsidP="009202A0">
            <w:pPr>
              <w:jc w:val="center"/>
              <w:rPr>
                <w:rFonts w:ascii="Arial" w:hAnsi="Arial" w:cs="Arial"/>
                <w:bCs/>
                <w:sz w:val="19"/>
                <w:szCs w:val="19"/>
              </w:rPr>
            </w:pPr>
            <w:r w:rsidRPr="00414A6D">
              <w:rPr>
                <w:rFonts w:ascii="Arial" w:hAnsi="Arial" w:cs="Arial"/>
                <w:bCs/>
                <w:sz w:val="19"/>
                <w:szCs w:val="19"/>
              </w:rPr>
              <w:t>AHMAC</w:t>
            </w:r>
          </w:p>
          <w:p w14:paraId="3A530BA8" w14:textId="77777777" w:rsidR="00840AE7" w:rsidRPr="00414A6D" w:rsidRDefault="00840AE7" w:rsidP="001706BB">
            <w:pPr>
              <w:jc w:val="center"/>
              <w:rPr>
                <w:rFonts w:ascii="Arial" w:hAnsi="Arial" w:cs="Arial"/>
                <w:bCs/>
                <w:sz w:val="19"/>
                <w:szCs w:val="19"/>
              </w:rPr>
            </w:pPr>
            <w:r w:rsidRPr="00414A6D">
              <w:rPr>
                <w:rFonts w:ascii="Arial" w:hAnsi="Arial" w:cs="Arial"/>
                <w:bCs/>
                <w:sz w:val="19"/>
                <w:szCs w:val="19"/>
              </w:rPr>
              <w:t>Consumers</w:t>
            </w:r>
          </w:p>
          <w:p w14:paraId="1EF30067" w14:textId="77777777" w:rsidR="00840AE7" w:rsidRPr="00414A6D" w:rsidRDefault="00840AE7" w:rsidP="001706BB">
            <w:pPr>
              <w:jc w:val="center"/>
              <w:rPr>
                <w:rFonts w:ascii="Arial" w:hAnsi="Arial" w:cs="Arial"/>
                <w:bCs/>
                <w:sz w:val="19"/>
                <w:szCs w:val="19"/>
              </w:rPr>
            </w:pPr>
            <w:r w:rsidRPr="00414A6D">
              <w:rPr>
                <w:rFonts w:ascii="Arial" w:hAnsi="Arial" w:cs="Arial"/>
                <w:bCs/>
                <w:sz w:val="19"/>
                <w:szCs w:val="19"/>
              </w:rPr>
              <w:t xml:space="preserve">Colleges </w:t>
            </w:r>
          </w:p>
        </w:tc>
        <w:tc>
          <w:tcPr>
            <w:tcW w:w="973" w:type="pct"/>
            <w:shd w:val="clear" w:color="auto" w:fill="DAEEF3" w:themeFill="accent5" w:themeFillTint="33"/>
            <w:noWrap/>
            <w:vAlign w:val="center"/>
          </w:tcPr>
          <w:p w14:paraId="6B63371F" w14:textId="77777777" w:rsidR="00840AE7" w:rsidRPr="00414A6D" w:rsidRDefault="00840AE7" w:rsidP="00166E5B">
            <w:pPr>
              <w:jc w:val="center"/>
              <w:rPr>
                <w:rFonts w:ascii="Arial" w:hAnsi="Arial" w:cs="Arial"/>
                <w:bCs/>
                <w:sz w:val="19"/>
                <w:szCs w:val="19"/>
              </w:rPr>
            </w:pPr>
            <w:r w:rsidRPr="00414A6D">
              <w:rPr>
                <w:rFonts w:ascii="Arial" w:hAnsi="Arial" w:cs="Arial"/>
                <w:bCs/>
                <w:sz w:val="19"/>
                <w:szCs w:val="19"/>
              </w:rPr>
              <w:t>Pricing Authority</w:t>
            </w:r>
          </w:p>
          <w:p w14:paraId="584699F2" w14:textId="77777777" w:rsidR="00840AE7" w:rsidRPr="00414A6D" w:rsidRDefault="00840AE7" w:rsidP="00166E5B">
            <w:pPr>
              <w:jc w:val="center"/>
              <w:rPr>
                <w:rFonts w:ascii="Arial" w:hAnsi="Arial" w:cs="Arial"/>
                <w:bCs/>
                <w:sz w:val="19"/>
                <w:szCs w:val="19"/>
              </w:rPr>
            </w:pPr>
            <w:r w:rsidRPr="00414A6D">
              <w:rPr>
                <w:rFonts w:ascii="Arial" w:hAnsi="Arial" w:cs="Arial"/>
                <w:bCs/>
                <w:sz w:val="19"/>
                <w:szCs w:val="19"/>
              </w:rPr>
              <w:t>IHPA Committees</w:t>
            </w:r>
          </w:p>
          <w:p w14:paraId="278CB228" w14:textId="77777777" w:rsidR="00840AE7" w:rsidRPr="00414A6D" w:rsidRDefault="00840AE7" w:rsidP="00166E5B">
            <w:pPr>
              <w:jc w:val="center"/>
              <w:rPr>
                <w:rFonts w:ascii="Arial" w:hAnsi="Arial" w:cs="Arial"/>
                <w:bCs/>
                <w:sz w:val="19"/>
                <w:szCs w:val="19"/>
              </w:rPr>
            </w:pPr>
            <w:r w:rsidRPr="00414A6D">
              <w:rPr>
                <w:rFonts w:ascii="Arial" w:hAnsi="Arial" w:cs="Arial"/>
                <w:bCs/>
                <w:sz w:val="19"/>
                <w:szCs w:val="19"/>
              </w:rPr>
              <w:t>AHMAC</w:t>
            </w:r>
          </w:p>
          <w:p w14:paraId="5B9B68D2" w14:textId="77777777" w:rsidR="00840AE7" w:rsidRPr="00414A6D" w:rsidRDefault="00840AE7" w:rsidP="00166E5B">
            <w:pPr>
              <w:jc w:val="center"/>
              <w:rPr>
                <w:rFonts w:ascii="Arial" w:hAnsi="Arial" w:cs="Arial"/>
                <w:bCs/>
                <w:sz w:val="19"/>
                <w:szCs w:val="19"/>
              </w:rPr>
            </w:pPr>
            <w:r w:rsidRPr="00414A6D">
              <w:rPr>
                <w:rFonts w:ascii="Arial" w:hAnsi="Arial" w:cs="Arial"/>
                <w:bCs/>
                <w:sz w:val="19"/>
                <w:szCs w:val="19"/>
              </w:rPr>
              <w:t>Jurisdictions</w:t>
            </w:r>
          </w:p>
          <w:p w14:paraId="74111448" w14:textId="77777777" w:rsidR="00840AE7" w:rsidRPr="00414A6D" w:rsidRDefault="00840AE7" w:rsidP="00166E5B">
            <w:pPr>
              <w:jc w:val="center"/>
              <w:rPr>
                <w:rFonts w:ascii="Arial" w:hAnsi="Arial" w:cs="Arial"/>
                <w:bCs/>
                <w:sz w:val="19"/>
                <w:szCs w:val="19"/>
              </w:rPr>
            </w:pPr>
            <w:r w:rsidRPr="00414A6D">
              <w:rPr>
                <w:rFonts w:ascii="Arial" w:hAnsi="Arial" w:cs="Arial"/>
                <w:bCs/>
                <w:sz w:val="19"/>
                <w:szCs w:val="19"/>
              </w:rPr>
              <w:t>Other stakeholders</w:t>
            </w:r>
          </w:p>
        </w:tc>
        <w:tc>
          <w:tcPr>
            <w:tcW w:w="1745" w:type="pct"/>
            <w:gridSpan w:val="4"/>
            <w:shd w:val="clear" w:color="auto" w:fill="DAEEF3" w:themeFill="accent5" w:themeFillTint="33"/>
            <w:noWrap/>
            <w:vAlign w:val="center"/>
          </w:tcPr>
          <w:p w14:paraId="4E43FFBF"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Pricing Authority</w:t>
            </w:r>
          </w:p>
          <w:p w14:paraId="21B72A50"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IHPA Committees</w:t>
            </w:r>
          </w:p>
          <w:p w14:paraId="0ADF166F"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The Administrator</w:t>
            </w:r>
          </w:p>
          <w:p w14:paraId="2B6C4BDC"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AHMAC</w:t>
            </w:r>
          </w:p>
          <w:p w14:paraId="74A6FEDA"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Jurisdictions</w:t>
            </w:r>
          </w:p>
          <w:p w14:paraId="458BD96C" w14:textId="77777777" w:rsidR="00840AE7" w:rsidRPr="00414A6D" w:rsidDel="00166E5B" w:rsidRDefault="00840AE7" w:rsidP="00597945">
            <w:pPr>
              <w:jc w:val="center"/>
              <w:rPr>
                <w:rFonts w:ascii="Arial" w:hAnsi="Arial" w:cs="Arial"/>
                <w:bCs/>
                <w:sz w:val="19"/>
                <w:szCs w:val="19"/>
              </w:rPr>
            </w:pPr>
            <w:r w:rsidRPr="00414A6D">
              <w:rPr>
                <w:rFonts w:ascii="Arial" w:hAnsi="Arial" w:cs="Arial"/>
                <w:bCs/>
                <w:sz w:val="19"/>
                <w:szCs w:val="19"/>
              </w:rPr>
              <w:t>Other stakeholders</w:t>
            </w:r>
          </w:p>
        </w:tc>
      </w:tr>
      <w:tr w:rsidR="004255FA" w:rsidRPr="00414A6D" w14:paraId="50A64170" w14:textId="77777777" w:rsidTr="00D41ED6">
        <w:trPr>
          <w:trHeight w:val="630"/>
        </w:trPr>
        <w:tc>
          <w:tcPr>
            <w:tcW w:w="894" w:type="pct"/>
            <w:shd w:val="clear" w:color="auto" w:fill="DAEEF3" w:themeFill="accent5" w:themeFillTint="33"/>
            <w:noWrap/>
            <w:hideMark/>
          </w:tcPr>
          <w:p w14:paraId="0305E6D3" w14:textId="77777777" w:rsidR="00840AE7" w:rsidRPr="00414A6D" w:rsidRDefault="00840AE7" w:rsidP="0090695D">
            <w:pPr>
              <w:jc w:val="both"/>
              <w:rPr>
                <w:rFonts w:ascii="Arial" w:hAnsi="Arial" w:cs="Arial"/>
                <w:b/>
                <w:bCs/>
                <w:sz w:val="18"/>
                <w:szCs w:val="18"/>
              </w:rPr>
            </w:pPr>
            <w:r w:rsidRPr="00414A6D">
              <w:rPr>
                <w:rFonts w:ascii="Arial" w:hAnsi="Arial" w:cs="Arial"/>
                <w:b/>
                <w:bCs/>
                <w:sz w:val="18"/>
                <w:szCs w:val="18"/>
              </w:rPr>
              <w:t>Commission</w:t>
            </w:r>
          </w:p>
        </w:tc>
        <w:tc>
          <w:tcPr>
            <w:tcW w:w="622" w:type="pct"/>
            <w:shd w:val="clear" w:color="auto" w:fill="DAEEF3" w:themeFill="accent5" w:themeFillTint="33"/>
            <w:vAlign w:val="center"/>
            <w:hideMark/>
          </w:tcPr>
          <w:p w14:paraId="1474CB9A"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Finalise CCS</w:t>
            </w:r>
          </w:p>
        </w:tc>
        <w:tc>
          <w:tcPr>
            <w:tcW w:w="766" w:type="pct"/>
            <w:gridSpan w:val="3"/>
            <w:shd w:val="clear" w:color="auto" w:fill="DAEEF3" w:themeFill="accent5" w:themeFillTint="33"/>
            <w:noWrap/>
            <w:vAlign w:val="center"/>
            <w:hideMark/>
          </w:tcPr>
          <w:p w14:paraId="5FB38719"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Incorporate activities into the Commission’s Work Plan</w:t>
            </w:r>
          </w:p>
        </w:tc>
        <w:tc>
          <w:tcPr>
            <w:tcW w:w="973" w:type="pct"/>
            <w:shd w:val="clear" w:color="auto" w:fill="DAEEF3" w:themeFill="accent5" w:themeFillTint="33"/>
            <w:noWrap/>
            <w:vAlign w:val="center"/>
            <w:hideMark/>
          </w:tcPr>
          <w:p w14:paraId="0552A4C0"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Supports work that ensures baseline comparable  information is provided locally</w:t>
            </w:r>
          </w:p>
        </w:tc>
        <w:tc>
          <w:tcPr>
            <w:tcW w:w="870" w:type="pct"/>
            <w:gridSpan w:val="3"/>
            <w:shd w:val="clear" w:color="auto" w:fill="DAEEF3" w:themeFill="accent5" w:themeFillTint="33"/>
            <w:noWrap/>
            <w:vAlign w:val="center"/>
            <w:hideMark/>
          </w:tcPr>
          <w:p w14:paraId="4E8704FC" w14:textId="77777777" w:rsidR="00840AE7" w:rsidRPr="00414A6D" w:rsidRDefault="00840AE7">
            <w:pPr>
              <w:jc w:val="center"/>
              <w:rPr>
                <w:rFonts w:ascii="Arial" w:hAnsi="Arial" w:cs="Arial"/>
                <w:bCs/>
                <w:sz w:val="19"/>
                <w:szCs w:val="19"/>
              </w:rPr>
            </w:pPr>
            <w:r w:rsidRPr="00414A6D">
              <w:rPr>
                <w:rFonts w:ascii="Arial" w:hAnsi="Arial" w:cs="Arial"/>
                <w:bCs/>
                <w:sz w:val="19"/>
                <w:szCs w:val="19"/>
              </w:rPr>
              <w:t>Supports work to enhance the provision of comparable information</w:t>
            </w:r>
          </w:p>
        </w:tc>
        <w:tc>
          <w:tcPr>
            <w:tcW w:w="874" w:type="pct"/>
            <w:shd w:val="clear" w:color="auto" w:fill="DAEEF3" w:themeFill="accent5" w:themeFillTint="33"/>
            <w:vAlign w:val="center"/>
          </w:tcPr>
          <w:p w14:paraId="2CD709F8" w14:textId="77777777" w:rsidR="00840AE7" w:rsidRPr="00414A6D" w:rsidRDefault="004255FA">
            <w:pPr>
              <w:jc w:val="center"/>
              <w:rPr>
                <w:rFonts w:ascii="Arial" w:hAnsi="Arial" w:cs="Arial"/>
                <w:bCs/>
                <w:sz w:val="19"/>
                <w:szCs w:val="19"/>
              </w:rPr>
            </w:pPr>
            <w:r w:rsidRPr="00414A6D">
              <w:rPr>
                <w:rFonts w:ascii="Arial" w:hAnsi="Arial" w:cs="Arial"/>
                <w:bCs/>
                <w:sz w:val="19"/>
                <w:szCs w:val="19"/>
              </w:rPr>
              <w:t>Continue work to enhance the provision of comparable information</w:t>
            </w:r>
          </w:p>
        </w:tc>
      </w:tr>
      <w:tr w:rsidR="004255FA" w:rsidRPr="00414A6D" w14:paraId="3BF586F3" w14:textId="77777777" w:rsidTr="00D41ED6">
        <w:trPr>
          <w:trHeight w:val="630"/>
        </w:trPr>
        <w:tc>
          <w:tcPr>
            <w:tcW w:w="894" w:type="pct"/>
            <w:shd w:val="clear" w:color="auto" w:fill="EAF1DD" w:themeFill="accent3" w:themeFillTint="33"/>
            <w:noWrap/>
            <w:hideMark/>
          </w:tcPr>
          <w:p w14:paraId="1529576E" w14:textId="77777777" w:rsidR="004255FA" w:rsidRPr="00414A6D" w:rsidRDefault="004255FA" w:rsidP="0090695D">
            <w:pPr>
              <w:jc w:val="both"/>
              <w:rPr>
                <w:rFonts w:ascii="Arial" w:hAnsi="Arial" w:cs="Arial"/>
                <w:b/>
                <w:bCs/>
                <w:sz w:val="18"/>
                <w:szCs w:val="18"/>
              </w:rPr>
            </w:pPr>
            <w:r w:rsidRPr="00414A6D">
              <w:rPr>
                <w:rFonts w:ascii="Arial" w:hAnsi="Arial" w:cs="Arial"/>
                <w:b/>
                <w:bCs/>
                <w:sz w:val="18"/>
                <w:szCs w:val="18"/>
              </w:rPr>
              <w:t>IHPA</w:t>
            </w:r>
          </w:p>
        </w:tc>
        <w:tc>
          <w:tcPr>
            <w:tcW w:w="1388" w:type="pct"/>
            <w:gridSpan w:val="4"/>
            <w:shd w:val="clear" w:color="auto" w:fill="EAF1DD" w:themeFill="accent3" w:themeFillTint="33"/>
            <w:vAlign w:val="center"/>
            <w:hideMark/>
          </w:tcPr>
          <w:p w14:paraId="6E0BE675"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BPP development</w:t>
            </w:r>
          </w:p>
          <w:p w14:paraId="59950BFD"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Create dataset specifications for preferred initial model indicators</w:t>
            </w:r>
          </w:p>
        </w:tc>
        <w:tc>
          <w:tcPr>
            <w:tcW w:w="973" w:type="pct"/>
            <w:shd w:val="clear" w:color="auto" w:fill="EAF1DD" w:themeFill="accent3" w:themeFillTint="33"/>
            <w:vAlign w:val="center"/>
            <w:hideMark/>
          </w:tcPr>
          <w:p w14:paraId="45F9E1EB"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BPP signalled in Three Year Data Plan, including new data item(s).</w:t>
            </w:r>
          </w:p>
          <w:p w14:paraId="1E5CDBA0"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 xml:space="preserve">Price </w:t>
            </w:r>
            <w:r w:rsidRPr="00414A6D">
              <w:rPr>
                <w:rFonts w:ascii="Arial" w:hAnsi="Arial" w:cs="Arial"/>
                <w:bCs/>
                <w:sz w:val="19"/>
                <w:szCs w:val="19"/>
              </w:rPr>
              <w:br/>
              <w:t xml:space="preserve">development. </w:t>
            </w:r>
          </w:p>
        </w:tc>
        <w:tc>
          <w:tcPr>
            <w:tcW w:w="870" w:type="pct"/>
            <w:gridSpan w:val="3"/>
            <w:shd w:val="clear" w:color="auto" w:fill="EAF1DD" w:themeFill="accent3" w:themeFillTint="33"/>
            <w:vAlign w:val="center"/>
            <w:hideMark/>
          </w:tcPr>
          <w:p w14:paraId="6B624823"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NEP determination</w:t>
            </w:r>
            <w:r w:rsidRPr="00414A6D" w:rsidDel="00840AE7">
              <w:rPr>
                <w:rFonts w:ascii="Arial" w:hAnsi="Arial" w:cs="Arial"/>
                <w:bCs/>
                <w:sz w:val="19"/>
                <w:szCs w:val="19"/>
              </w:rPr>
              <w:t xml:space="preserve"> </w:t>
            </w:r>
          </w:p>
        </w:tc>
        <w:tc>
          <w:tcPr>
            <w:tcW w:w="874" w:type="pct"/>
            <w:shd w:val="clear" w:color="auto" w:fill="EAF1DD" w:themeFill="accent3" w:themeFillTint="33"/>
            <w:vAlign w:val="center"/>
          </w:tcPr>
          <w:p w14:paraId="34765DB4"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Implementation</w:t>
            </w:r>
          </w:p>
        </w:tc>
      </w:tr>
      <w:tr w:rsidR="004255FA" w:rsidRPr="00414A6D" w14:paraId="1820B233" w14:textId="77777777" w:rsidTr="00D41ED6">
        <w:trPr>
          <w:trHeight w:val="820"/>
        </w:trPr>
        <w:tc>
          <w:tcPr>
            <w:tcW w:w="894" w:type="pct"/>
            <w:vMerge w:val="restart"/>
            <w:shd w:val="clear" w:color="auto" w:fill="F2DBDB" w:themeFill="accent2" w:themeFillTint="33"/>
            <w:hideMark/>
          </w:tcPr>
          <w:p w14:paraId="5546F9D5" w14:textId="77777777" w:rsidR="004255FA" w:rsidRPr="00414A6D" w:rsidRDefault="004255FA" w:rsidP="009B3EDB">
            <w:pPr>
              <w:jc w:val="both"/>
              <w:rPr>
                <w:rFonts w:ascii="Arial" w:hAnsi="Arial" w:cs="Arial"/>
                <w:b/>
                <w:bCs/>
                <w:sz w:val="18"/>
                <w:szCs w:val="18"/>
              </w:rPr>
            </w:pPr>
            <w:r w:rsidRPr="00414A6D">
              <w:rPr>
                <w:rFonts w:ascii="Arial" w:hAnsi="Arial" w:cs="Arial"/>
                <w:b/>
                <w:bCs/>
                <w:sz w:val="18"/>
                <w:szCs w:val="18"/>
              </w:rPr>
              <w:t>Enhance data infrastructure</w:t>
            </w:r>
          </w:p>
        </w:tc>
        <w:tc>
          <w:tcPr>
            <w:tcW w:w="1388" w:type="pct"/>
            <w:gridSpan w:val="4"/>
            <w:shd w:val="clear" w:color="auto" w:fill="F2DBDB" w:themeFill="accent2" w:themeFillTint="33"/>
            <w:vAlign w:val="center"/>
            <w:hideMark/>
          </w:tcPr>
          <w:p w14:paraId="1EEB4D41"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Enhance nation-wide participation in the ANZHFR</w:t>
            </w:r>
          </w:p>
        </w:tc>
        <w:tc>
          <w:tcPr>
            <w:tcW w:w="1843" w:type="pct"/>
            <w:gridSpan w:val="4"/>
            <w:shd w:val="clear" w:color="auto" w:fill="F2DBDB" w:themeFill="accent2" w:themeFillTint="33"/>
            <w:vAlign w:val="center"/>
            <w:hideMark/>
          </w:tcPr>
          <w:p w14:paraId="43FF672B"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Data extracts support work to enhance the provision of comparable information and, potentially, the next NEP determination</w:t>
            </w:r>
            <w:r w:rsidRPr="00414A6D" w:rsidDel="004255FA">
              <w:rPr>
                <w:rFonts w:ascii="Arial" w:hAnsi="Arial" w:cs="Arial"/>
                <w:bCs/>
                <w:sz w:val="19"/>
                <w:szCs w:val="19"/>
              </w:rPr>
              <w:t xml:space="preserve"> </w:t>
            </w:r>
          </w:p>
        </w:tc>
        <w:tc>
          <w:tcPr>
            <w:tcW w:w="874" w:type="pct"/>
            <w:vMerge w:val="restart"/>
            <w:shd w:val="clear" w:color="auto" w:fill="F2DBDB" w:themeFill="accent2" w:themeFillTint="33"/>
          </w:tcPr>
          <w:p w14:paraId="3825AB12" w14:textId="77777777" w:rsidR="004255FA" w:rsidRPr="00414A6D" w:rsidRDefault="004255FA" w:rsidP="005A5464">
            <w:pPr>
              <w:jc w:val="center"/>
              <w:rPr>
                <w:rFonts w:ascii="Arial" w:hAnsi="Arial" w:cs="Arial"/>
                <w:bCs/>
                <w:sz w:val="19"/>
                <w:szCs w:val="19"/>
              </w:rPr>
            </w:pPr>
          </w:p>
        </w:tc>
      </w:tr>
      <w:tr w:rsidR="004255FA" w:rsidRPr="00414A6D" w14:paraId="2807E2C7" w14:textId="77777777" w:rsidTr="00597945">
        <w:trPr>
          <w:trHeight w:val="820"/>
        </w:trPr>
        <w:tc>
          <w:tcPr>
            <w:tcW w:w="894" w:type="pct"/>
            <w:vMerge/>
            <w:shd w:val="clear" w:color="auto" w:fill="F2DBDB" w:themeFill="accent2" w:themeFillTint="33"/>
          </w:tcPr>
          <w:p w14:paraId="39610E24" w14:textId="77777777" w:rsidR="004255FA" w:rsidRPr="00414A6D" w:rsidRDefault="004255FA" w:rsidP="009B3EDB">
            <w:pPr>
              <w:jc w:val="both"/>
              <w:rPr>
                <w:rFonts w:ascii="Arial" w:hAnsi="Arial" w:cs="Arial"/>
                <w:b/>
                <w:bCs/>
                <w:sz w:val="18"/>
                <w:szCs w:val="18"/>
              </w:rPr>
            </w:pPr>
          </w:p>
        </w:tc>
        <w:tc>
          <w:tcPr>
            <w:tcW w:w="657" w:type="pct"/>
            <w:gridSpan w:val="2"/>
            <w:shd w:val="clear" w:color="auto" w:fill="F2DBDB" w:themeFill="accent2" w:themeFillTint="33"/>
            <w:vAlign w:val="center"/>
          </w:tcPr>
          <w:p w14:paraId="5B685D15" w14:textId="77777777" w:rsidR="004255FA" w:rsidRPr="00414A6D" w:rsidRDefault="004255FA">
            <w:pPr>
              <w:jc w:val="center"/>
              <w:rPr>
                <w:rFonts w:ascii="Arial" w:hAnsi="Arial" w:cs="Arial"/>
                <w:bCs/>
                <w:sz w:val="19"/>
                <w:szCs w:val="19"/>
              </w:rPr>
            </w:pPr>
          </w:p>
        </w:tc>
        <w:tc>
          <w:tcPr>
            <w:tcW w:w="1729" w:type="pct"/>
            <w:gridSpan w:val="4"/>
            <w:shd w:val="clear" w:color="auto" w:fill="F2DBDB" w:themeFill="accent2" w:themeFillTint="33"/>
            <w:vAlign w:val="center"/>
          </w:tcPr>
          <w:p w14:paraId="4DC7DEF2" w14:textId="77777777" w:rsidR="004255FA" w:rsidRPr="00414A6D" w:rsidRDefault="004255FA">
            <w:pPr>
              <w:jc w:val="center"/>
              <w:rPr>
                <w:rFonts w:ascii="Arial" w:hAnsi="Arial" w:cs="Arial"/>
                <w:bCs/>
                <w:sz w:val="19"/>
                <w:szCs w:val="19"/>
              </w:rPr>
            </w:pPr>
            <w:r w:rsidRPr="00414A6D">
              <w:rPr>
                <w:rFonts w:ascii="Arial" w:hAnsi="Arial" w:cs="Arial"/>
                <w:bCs/>
                <w:sz w:val="19"/>
                <w:szCs w:val="19"/>
              </w:rPr>
              <w:t>Establish agreements around access, use and disclosure of data to support best-practice pricing</w:t>
            </w:r>
          </w:p>
        </w:tc>
        <w:tc>
          <w:tcPr>
            <w:tcW w:w="846" w:type="pct"/>
            <w:gridSpan w:val="2"/>
            <w:shd w:val="clear" w:color="auto" w:fill="F2DBDB" w:themeFill="accent2" w:themeFillTint="33"/>
            <w:vAlign w:val="center"/>
          </w:tcPr>
          <w:p w14:paraId="07C0CE79" w14:textId="77777777" w:rsidR="004255FA" w:rsidRPr="00414A6D" w:rsidRDefault="004255FA">
            <w:pPr>
              <w:jc w:val="center"/>
              <w:rPr>
                <w:rFonts w:ascii="Arial" w:hAnsi="Arial" w:cs="Arial"/>
                <w:bCs/>
                <w:sz w:val="19"/>
                <w:szCs w:val="19"/>
              </w:rPr>
            </w:pPr>
          </w:p>
        </w:tc>
        <w:tc>
          <w:tcPr>
            <w:tcW w:w="874" w:type="pct"/>
            <w:vMerge/>
            <w:shd w:val="clear" w:color="auto" w:fill="F2DBDB" w:themeFill="accent2" w:themeFillTint="33"/>
          </w:tcPr>
          <w:p w14:paraId="0ABDA24C" w14:textId="77777777" w:rsidR="004255FA" w:rsidRPr="00414A6D" w:rsidRDefault="004255FA" w:rsidP="005A5464">
            <w:pPr>
              <w:jc w:val="center"/>
              <w:rPr>
                <w:rFonts w:ascii="Arial" w:hAnsi="Arial" w:cs="Arial"/>
                <w:bCs/>
                <w:sz w:val="19"/>
                <w:szCs w:val="19"/>
              </w:rPr>
            </w:pPr>
          </w:p>
        </w:tc>
      </w:tr>
    </w:tbl>
    <w:p w14:paraId="5193A35D" w14:textId="77777777" w:rsidR="000E1A0B" w:rsidRPr="00414A6D" w:rsidRDefault="000E1A0B" w:rsidP="00D147A4">
      <w:pPr>
        <w:jc w:val="both"/>
        <w:rPr>
          <w:rFonts w:ascii="Arial" w:hAnsi="Arial" w:cs="Arial"/>
          <w:sz w:val="16"/>
          <w:szCs w:val="16"/>
        </w:rPr>
      </w:pPr>
    </w:p>
    <w:p w14:paraId="27EF1408" w14:textId="77777777" w:rsidR="00915087" w:rsidRPr="00414A6D" w:rsidRDefault="00EC7E42" w:rsidP="007C21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IntenseReference"/>
          <w:rFonts w:ascii="Arial" w:hAnsi="Arial" w:cs="Arial"/>
          <w:b w:val="0"/>
          <w:bCs w:val="0"/>
          <w:i w:val="0"/>
          <w:smallCaps w:val="0"/>
          <w:color w:val="auto"/>
          <w:spacing w:val="0"/>
          <w:sz w:val="22"/>
        </w:rPr>
      </w:pPr>
      <w:r w:rsidRPr="00414A6D">
        <w:rPr>
          <w:rStyle w:val="IntenseReference"/>
          <w:rFonts w:ascii="Arial" w:hAnsi="Arial" w:cs="Arial"/>
          <w:bCs w:val="0"/>
          <w:i w:val="0"/>
          <w:smallCaps w:val="0"/>
          <w:color w:val="auto"/>
          <w:spacing w:val="0"/>
          <w:sz w:val="22"/>
        </w:rPr>
        <w:t xml:space="preserve">Recommendation </w:t>
      </w:r>
      <w:r w:rsidR="008C4A43" w:rsidRPr="00414A6D">
        <w:rPr>
          <w:rStyle w:val="IntenseReference"/>
          <w:rFonts w:ascii="Arial" w:hAnsi="Arial" w:cs="Arial"/>
          <w:bCs w:val="0"/>
          <w:i w:val="0"/>
          <w:smallCaps w:val="0"/>
          <w:color w:val="auto"/>
          <w:spacing w:val="0"/>
          <w:sz w:val="22"/>
        </w:rPr>
        <w:t>9</w:t>
      </w:r>
      <w:r w:rsidR="000E1A0B" w:rsidRPr="00414A6D">
        <w:rPr>
          <w:rStyle w:val="IntenseReference"/>
          <w:rFonts w:ascii="Arial" w:hAnsi="Arial" w:cs="Arial"/>
          <w:bCs w:val="0"/>
          <w:i w:val="0"/>
          <w:smallCaps w:val="0"/>
          <w:color w:val="auto"/>
          <w:spacing w:val="0"/>
          <w:sz w:val="22"/>
        </w:rPr>
        <w:t>:</w:t>
      </w:r>
      <w:r w:rsidR="000E1A0B" w:rsidRPr="00414A6D">
        <w:rPr>
          <w:rStyle w:val="IntenseReference"/>
          <w:rFonts w:ascii="Arial" w:hAnsi="Arial" w:cs="Arial"/>
          <w:b w:val="0"/>
          <w:bCs w:val="0"/>
          <w:i w:val="0"/>
          <w:smallCaps w:val="0"/>
          <w:color w:val="auto"/>
          <w:spacing w:val="0"/>
          <w:sz w:val="22"/>
        </w:rPr>
        <w:t xml:space="preserve"> A phased approach to </w:t>
      </w:r>
      <w:r w:rsidR="003B33DB" w:rsidRPr="00414A6D">
        <w:rPr>
          <w:rStyle w:val="IntenseReference"/>
          <w:rFonts w:ascii="Arial" w:hAnsi="Arial" w:cs="Arial"/>
          <w:b w:val="0"/>
          <w:bCs w:val="0"/>
          <w:i w:val="0"/>
          <w:smallCaps w:val="0"/>
          <w:color w:val="auto"/>
          <w:spacing w:val="0"/>
          <w:sz w:val="22"/>
        </w:rPr>
        <w:t xml:space="preserve">implementation of </w:t>
      </w:r>
      <w:r w:rsidR="000E1A0B" w:rsidRPr="00414A6D">
        <w:rPr>
          <w:rStyle w:val="IntenseReference"/>
          <w:rFonts w:ascii="Arial" w:hAnsi="Arial" w:cs="Arial"/>
          <w:b w:val="0"/>
          <w:bCs w:val="0"/>
          <w:i w:val="0"/>
          <w:smallCaps w:val="0"/>
          <w:color w:val="auto"/>
          <w:spacing w:val="0"/>
          <w:sz w:val="22"/>
        </w:rPr>
        <w:t>a national hip fracture best</w:t>
      </w:r>
      <w:r w:rsidR="00564B2C" w:rsidRPr="00414A6D">
        <w:rPr>
          <w:rStyle w:val="IntenseReference"/>
          <w:rFonts w:ascii="Arial" w:hAnsi="Arial" w:cs="Arial"/>
          <w:b w:val="0"/>
          <w:bCs w:val="0"/>
          <w:i w:val="0"/>
          <w:smallCaps w:val="0"/>
          <w:color w:val="auto"/>
          <w:spacing w:val="0"/>
          <w:sz w:val="22"/>
        </w:rPr>
        <w:noBreakHyphen/>
      </w:r>
      <w:r w:rsidR="000E1A0B" w:rsidRPr="00414A6D">
        <w:rPr>
          <w:rStyle w:val="IntenseReference"/>
          <w:rFonts w:ascii="Arial" w:hAnsi="Arial" w:cs="Arial"/>
          <w:b w:val="0"/>
          <w:bCs w:val="0"/>
          <w:i w:val="0"/>
          <w:smallCaps w:val="0"/>
          <w:color w:val="auto"/>
          <w:spacing w:val="0"/>
          <w:sz w:val="22"/>
        </w:rPr>
        <w:t xml:space="preserve">practice price </w:t>
      </w:r>
      <w:r w:rsidR="00166E5B" w:rsidRPr="00414A6D">
        <w:rPr>
          <w:rStyle w:val="IntenseReference"/>
          <w:rFonts w:ascii="Arial" w:hAnsi="Arial" w:cs="Arial"/>
          <w:b w:val="0"/>
          <w:bCs w:val="0"/>
          <w:i w:val="0"/>
          <w:smallCaps w:val="0"/>
          <w:color w:val="auto"/>
          <w:spacing w:val="0"/>
          <w:sz w:val="22"/>
        </w:rPr>
        <w:t xml:space="preserve">and provision of clinical quality information </w:t>
      </w:r>
      <w:r w:rsidR="000E1A0B" w:rsidRPr="00414A6D">
        <w:rPr>
          <w:rStyle w:val="IntenseReference"/>
          <w:rFonts w:ascii="Arial" w:hAnsi="Arial" w:cs="Arial"/>
          <w:b w:val="0"/>
          <w:bCs w:val="0"/>
          <w:i w:val="0"/>
          <w:smallCaps w:val="0"/>
          <w:color w:val="auto"/>
          <w:spacing w:val="0"/>
          <w:sz w:val="22"/>
        </w:rPr>
        <w:t xml:space="preserve">should be taken. This should be based around the </w:t>
      </w:r>
      <w:r w:rsidR="003B33DB" w:rsidRPr="00414A6D">
        <w:rPr>
          <w:rStyle w:val="IntenseReference"/>
          <w:rFonts w:ascii="Arial" w:hAnsi="Arial" w:cs="Arial"/>
          <w:b w:val="0"/>
          <w:bCs w:val="0"/>
          <w:i w:val="0"/>
          <w:smallCaps w:val="0"/>
          <w:color w:val="auto"/>
          <w:spacing w:val="0"/>
          <w:sz w:val="22"/>
        </w:rPr>
        <w:t xml:space="preserve">timing of the </w:t>
      </w:r>
      <w:r w:rsidR="000E1A0B" w:rsidRPr="00414A6D">
        <w:rPr>
          <w:rStyle w:val="IntenseReference"/>
          <w:rFonts w:ascii="Arial" w:hAnsi="Arial" w:cs="Arial"/>
          <w:b w:val="0"/>
          <w:bCs w:val="0"/>
          <w:i w:val="0"/>
          <w:smallCaps w:val="0"/>
          <w:color w:val="auto"/>
          <w:spacing w:val="0"/>
          <w:sz w:val="22"/>
        </w:rPr>
        <w:t xml:space="preserve">development and implementation of the </w:t>
      </w:r>
      <w:r w:rsidR="002359DF" w:rsidRPr="00414A6D">
        <w:rPr>
          <w:rStyle w:val="IntenseReference"/>
          <w:rFonts w:ascii="Arial" w:hAnsi="Arial" w:cs="Arial"/>
          <w:b w:val="0"/>
          <w:bCs w:val="0"/>
          <w:i w:val="0"/>
          <w:smallCaps w:val="0"/>
          <w:color w:val="auto"/>
          <w:spacing w:val="0"/>
          <w:sz w:val="22"/>
        </w:rPr>
        <w:t>H</w:t>
      </w:r>
      <w:r w:rsidR="003B33DB" w:rsidRPr="00414A6D">
        <w:rPr>
          <w:rStyle w:val="IntenseReference"/>
          <w:rFonts w:ascii="Arial" w:hAnsi="Arial" w:cs="Arial"/>
          <w:b w:val="0"/>
          <w:bCs w:val="0"/>
          <w:i w:val="0"/>
          <w:smallCaps w:val="0"/>
          <w:color w:val="auto"/>
          <w:spacing w:val="0"/>
          <w:sz w:val="22"/>
        </w:rPr>
        <w:t xml:space="preserve">ip </w:t>
      </w:r>
      <w:r w:rsidR="002359DF" w:rsidRPr="00414A6D">
        <w:rPr>
          <w:rStyle w:val="IntenseReference"/>
          <w:rFonts w:ascii="Arial" w:hAnsi="Arial" w:cs="Arial"/>
          <w:b w:val="0"/>
          <w:bCs w:val="0"/>
          <w:i w:val="0"/>
          <w:smallCaps w:val="0"/>
          <w:color w:val="auto"/>
          <w:spacing w:val="0"/>
          <w:sz w:val="22"/>
        </w:rPr>
        <w:t>F</w:t>
      </w:r>
      <w:r w:rsidR="003B33DB" w:rsidRPr="00414A6D">
        <w:rPr>
          <w:rStyle w:val="IntenseReference"/>
          <w:rFonts w:ascii="Arial" w:hAnsi="Arial" w:cs="Arial"/>
          <w:b w:val="0"/>
          <w:bCs w:val="0"/>
          <w:i w:val="0"/>
          <w:smallCaps w:val="0"/>
          <w:color w:val="auto"/>
          <w:spacing w:val="0"/>
          <w:sz w:val="22"/>
        </w:rPr>
        <w:t xml:space="preserve">racture </w:t>
      </w:r>
      <w:r w:rsidR="00560CC6" w:rsidRPr="00414A6D">
        <w:rPr>
          <w:rStyle w:val="IntenseReference"/>
          <w:rFonts w:ascii="Arial" w:hAnsi="Arial" w:cs="Arial"/>
          <w:b w:val="0"/>
          <w:bCs w:val="0"/>
          <w:i w:val="0"/>
          <w:smallCaps w:val="0"/>
          <w:color w:val="auto"/>
          <w:spacing w:val="0"/>
          <w:sz w:val="22"/>
        </w:rPr>
        <w:t>CCS indicators</w:t>
      </w:r>
      <w:r w:rsidR="000E1A0B" w:rsidRPr="00414A6D">
        <w:rPr>
          <w:rStyle w:val="IntenseReference"/>
          <w:rFonts w:ascii="Arial" w:hAnsi="Arial" w:cs="Arial"/>
          <w:b w:val="0"/>
          <w:bCs w:val="0"/>
          <w:i w:val="0"/>
          <w:smallCaps w:val="0"/>
          <w:color w:val="auto"/>
          <w:spacing w:val="0"/>
          <w:sz w:val="22"/>
        </w:rPr>
        <w:t xml:space="preserve">, </w:t>
      </w:r>
      <w:r w:rsidR="002359DF" w:rsidRPr="00414A6D">
        <w:rPr>
          <w:rStyle w:val="IntenseReference"/>
          <w:rFonts w:ascii="Arial" w:hAnsi="Arial" w:cs="Arial"/>
          <w:b w:val="0"/>
          <w:bCs w:val="0"/>
          <w:i w:val="0"/>
          <w:smallCaps w:val="0"/>
          <w:color w:val="auto"/>
          <w:spacing w:val="0"/>
          <w:sz w:val="22"/>
        </w:rPr>
        <w:t>and in recognition of IHPA and the Commission’s Data Plans and Work Plans</w:t>
      </w:r>
      <w:r w:rsidR="00166E5B" w:rsidRPr="00414A6D">
        <w:rPr>
          <w:rStyle w:val="IntenseReference"/>
          <w:rFonts w:ascii="Arial" w:hAnsi="Arial" w:cs="Arial"/>
          <w:b w:val="0"/>
          <w:bCs w:val="0"/>
          <w:i w:val="0"/>
          <w:smallCaps w:val="0"/>
          <w:color w:val="auto"/>
          <w:spacing w:val="0"/>
          <w:sz w:val="22"/>
        </w:rPr>
        <w:t>.</w:t>
      </w:r>
      <w:r w:rsidR="002359DF" w:rsidRPr="00414A6D">
        <w:rPr>
          <w:rStyle w:val="IntenseReference"/>
          <w:rFonts w:ascii="Arial" w:hAnsi="Arial" w:cs="Arial"/>
          <w:b w:val="0"/>
          <w:bCs w:val="0"/>
          <w:i w:val="0"/>
          <w:smallCaps w:val="0"/>
          <w:color w:val="auto"/>
          <w:spacing w:val="0"/>
          <w:sz w:val="22"/>
        </w:rPr>
        <w:t xml:space="preserve"> </w:t>
      </w:r>
      <w:r w:rsidR="00166E5B" w:rsidRPr="00414A6D">
        <w:rPr>
          <w:rStyle w:val="IntenseReference"/>
          <w:rFonts w:ascii="Arial" w:hAnsi="Arial" w:cs="Arial"/>
          <w:b w:val="0"/>
          <w:bCs w:val="0"/>
          <w:i w:val="0"/>
          <w:smallCaps w:val="0"/>
          <w:color w:val="auto"/>
          <w:spacing w:val="0"/>
          <w:sz w:val="22"/>
        </w:rPr>
        <w:t>It should also</w:t>
      </w:r>
      <w:r w:rsidR="002359DF" w:rsidRPr="00414A6D">
        <w:rPr>
          <w:rStyle w:val="IntenseReference"/>
          <w:rFonts w:ascii="Arial" w:hAnsi="Arial" w:cs="Arial"/>
          <w:b w:val="0"/>
          <w:bCs w:val="0"/>
          <w:i w:val="0"/>
          <w:smallCaps w:val="0"/>
          <w:color w:val="auto"/>
          <w:spacing w:val="0"/>
          <w:sz w:val="22"/>
        </w:rPr>
        <w:t xml:space="preserve"> recogn</w:t>
      </w:r>
      <w:r w:rsidR="00166E5B" w:rsidRPr="00414A6D">
        <w:rPr>
          <w:rStyle w:val="IntenseReference"/>
          <w:rFonts w:ascii="Arial" w:hAnsi="Arial" w:cs="Arial"/>
          <w:b w:val="0"/>
          <w:bCs w:val="0"/>
          <w:i w:val="0"/>
          <w:smallCaps w:val="0"/>
          <w:color w:val="auto"/>
          <w:spacing w:val="0"/>
          <w:sz w:val="22"/>
        </w:rPr>
        <w:t>ise</w:t>
      </w:r>
      <w:r w:rsidR="002359DF" w:rsidRPr="00414A6D">
        <w:rPr>
          <w:rStyle w:val="IntenseReference"/>
          <w:rFonts w:ascii="Arial" w:hAnsi="Arial" w:cs="Arial"/>
          <w:b w:val="0"/>
          <w:bCs w:val="0"/>
          <w:i w:val="0"/>
          <w:smallCaps w:val="0"/>
          <w:color w:val="auto"/>
          <w:spacing w:val="0"/>
          <w:sz w:val="22"/>
        </w:rPr>
        <w:t xml:space="preserve"> the work and time required to establish processes to support the routine </w:t>
      </w:r>
      <w:r w:rsidR="00166E5B" w:rsidRPr="00414A6D">
        <w:rPr>
          <w:rStyle w:val="IntenseReference"/>
          <w:rFonts w:ascii="Arial" w:hAnsi="Arial" w:cs="Arial"/>
          <w:b w:val="0"/>
          <w:bCs w:val="0"/>
          <w:i w:val="0"/>
          <w:smallCaps w:val="0"/>
          <w:color w:val="auto"/>
          <w:spacing w:val="0"/>
          <w:sz w:val="22"/>
        </w:rPr>
        <w:t xml:space="preserve">collection and </w:t>
      </w:r>
      <w:r w:rsidR="002359DF" w:rsidRPr="00414A6D">
        <w:rPr>
          <w:rStyle w:val="IntenseReference"/>
          <w:rFonts w:ascii="Arial" w:hAnsi="Arial" w:cs="Arial"/>
          <w:b w:val="0"/>
          <w:bCs w:val="0"/>
          <w:i w:val="0"/>
          <w:smallCaps w:val="0"/>
          <w:color w:val="auto"/>
          <w:spacing w:val="0"/>
          <w:sz w:val="22"/>
        </w:rPr>
        <w:t xml:space="preserve">provision of timely, hospital-level comparable information on hip fracture care. </w:t>
      </w:r>
    </w:p>
    <w:p w14:paraId="19E04A4E" w14:textId="77777777" w:rsidR="00007110" w:rsidRPr="00414A6D" w:rsidRDefault="00007110">
      <w:pPr>
        <w:rPr>
          <w:rFonts w:ascii="Arial" w:hAnsi="Arial" w:cs="Arial"/>
          <w:b/>
          <w:bCs/>
          <w:iCs/>
          <w:sz w:val="22"/>
          <w:szCs w:val="28"/>
        </w:rPr>
      </w:pPr>
      <w:r w:rsidRPr="00414A6D">
        <w:rPr>
          <w:rFonts w:ascii="Arial" w:hAnsi="Arial" w:cs="Arial"/>
          <w:i/>
          <w:sz w:val="22"/>
        </w:rPr>
        <w:br w:type="page"/>
      </w:r>
    </w:p>
    <w:p w14:paraId="4C8F4C2E" w14:textId="285A03FB" w:rsidR="008E1021" w:rsidRPr="00414A6D" w:rsidRDefault="00261503" w:rsidP="00112D48">
      <w:pPr>
        <w:pStyle w:val="Heading2"/>
        <w:numPr>
          <w:ilvl w:val="0"/>
          <w:numId w:val="0"/>
        </w:numPr>
        <w:spacing w:before="120"/>
        <w:ind w:left="227"/>
        <w:jc w:val="both"/>
        <w:rPr>
          <w:i w:val="0"/>
          <w:sz w:val="22"/>
        </w:rPr>
      </w:pPr>
      <w:bookmarkStart w:id="36" w:name="_Toc426633817"/>
      <w:r>
        <w:rPr>
          <w:i w:val="0"/>
          <w:sz w:val="22"/>
        </w:rPr>
        <w:lastRenderedPageBreak/>
        <w:t>7</w:t>
      </w:r>
      <w:r w:rsidR="000A4E4E" w:rsidRPr="00414A6D">
        <w:rPr>
          <w:i w:val="0"/>
          <w:sz w:val="22"/>
        </w:rPr>
        <w:t xml:space="preserve">.4 </w:t>
      </w:r>
      <w:r w:rsidR="008E1021" w:rsidRPr="00414A6D">
        <w:rPr>
          <w:i w:val="0"/>
          <w:sz w:val="22"/>
        </w:rPr>
        <w:t>Evaluation</w:t>
      </w:r>
      <w:bookmarkEnd w:id="36"/>
      <w:r w:rsidR="008E1021" w:rsidRPr="00414A6D">
        <w:rPr>
          <w:i w:val="0"/>
          <w:sz w:val="22"/>
        </w:rPr>
        <w:t xml:space="preserve"> </w:t>
      </w:r>
    </w:p>
    <w:p w14:paraId="306A633E" w14:textId="77777777" w:rsidR="000A4E4E" w:rsidRPr="00414A6D" w:rsidRDefault="000E6E7C" w:rsidP="00597945">
      <w:pPr>
        <w:pStyle w:val="Commissionbodytext"/>
        <w:spacing w:after="120"/>
      </w:pPr>
      <w:r w:rsidRPr="00414A6D">
        <w:t xml:space="preserve">An evaluation process </w:t>
      </w:r>
      <w:r w:rsidR="000A4E4E" w:rsidRPr="00414A6D">
        <w:t>must be considered a key part of implementation of a best-practice pricing approach in Australia. Lessons learned from the NHS recommended building an evaluation process into the approach from the beginning of development.</w:t>
      </w:r>
    </w:p>
    <w:p w14:paraId="7C6E15E4" w14:textId="77777777" w:rsidR="000E6E7C" w:rsidRPr="00414A6D" w:rsidRDefault="003257AA" w:rsidP="00597945">
      <w:pPr>
        <w:pStyle w:val="Commissionbodytext"/>
        <w:spacing w:after="120"/>
      </w:pPr>
      <w:r w:rsidRPr="00414A6D">
        <w:t xml:space="preserve">The </w:t>
      </w:r>
      <w:r w:rsidR="005A5464" w:rsidRPr="00414A6D">
        <w:t>evaluation</w:t>
      </w:r>
      <w:r w:rsidR="000A4E4E" w:rsidRPr="00414A6D">
        <w:t xml:space="preserve"> could</w:t>
      </w:r>
      <w:r w:rsidR="004076D8" w:rsidRPr="00414A6D">
        <w:t xml:space="preserve"> consider issues such as the impacts of best-practice pricing; intended and unintended consequences; and should carefully identify how pricing and quality information provision separately and/or concurrently influenced behaviour and health outcomes.</w:t>
      </w:r>
    </w:p>
    <w:p w14:paraId="264AB9E6" w14:textId="77777777" w:rsidR="008E1021" w:rsidRPr="00414A6D" w:rsidRDefault="008C4A43" w:rsidP="007C21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IntenseReference"/>
          <w:rFonts w:ascii="Arial" w:hAnsi="Arial" w:cs="Arial"/>
          <w:b w:val="0"/>
          <w:bCs w:val="0"/>
          <w:i w:val="0"/>
          <w:smallCaps w:val="0"/>
          <w:color w:val="auto"/>
          <w:spacing w:val="0"/>
          <w:sz w:val="22"/>
        </w:rPr>
      </w:pPr>
      <w:r w:rsidRPr="00414A6D">
        <w:rPr>
          <w:rStyle w:val="IntenseReference"/>
          <w:rFonts w:ascii="Arial" w:hAnsi="Arial" w:cs="Arial"/>
          <w:bCs w:val="0"/>
          <w:i w:val="0"/>
          <w:smallCaps w:val="0"/>
          <w:color w:val="auto"/>
          <w:spacing w:val="0"/>
          <w:sz w:val="22"/>
        </w:rPr>
        <w:t>Recommendation 10</w:t>
      </w:r>
      <w:r w:rsidR="008E1021" w:rsidRPr="00414A6D">
        <w:rPr>
          <w:rStyle w:val="IntenseReference"/>
          <w:rFonts w:ascii="Arial" w:hAnsi="Arial" w:cs="Arial"/>
          <w:bCs w:val="0"/>
          <w:i w:val="0"/>
          <w:smallCaps w:val="0"/>
          <w:color w:val="auto"/>
          <w:spacing w:val="0"/>
          <w:sz w:val="22"/>
        </w:rPr>
        <w:t>:</w:t>
      </w:r>
      <w:r w:rsidR="008E1021" w:rsidRPr="00414A6D">
        <w:rPr>
          <w:rStyle w:val="IntenseReference"/>
          <w:rFonts w:ascii="Arial" w:hAnsi="Arial" w:cs="Arial"/>
          <w:b w:val="0"/>
          <w:bCs w:val="0"/>
          <w:i w:val="0"/>
          <w:smallCaps w:val="0"/>
          <w:color w:val="auto"/>
          <w:spacing w:val="0"/>
          <w:sz w:val="22"/>
        </w:rPr>
        <w:t xml:space="preserve"> An evaluation process should be built into any implementation plan</w:t>
      </w:r>
      <w:r w:rsidR="005A5464" w:rsidRPr="00414A6D">
        <w:rPr>
          <w:rStyle w:val="IntenseReference"/>
          <w:rFonts w:ascii="Arial" w:hAnsi="Arial" w:cs="Arial"/>
          <w:b w:val="0"/>
          <w:bCs w:val="0"/>
          <w:i w:val="0"/>
          <w:smallCaps w:val="0"/>
          <w:color w:val="auto"/>
          <w:spacing w:val="0"/>
          <w:sz w:val="22"/>
        </w:rPr>
        <w:t xml:space="preserve"> for an Australian national </w:t>
      </w:r>
      <w:r w:rsidR="00313F3A" w:rsidRPr="00414A6D">
        <w:rPr>
          <w:rStyle w:val="IntenseReference"/>
          <w:rFonts w:ascii="Arial" w:hAnsi="Arial" w:cs="Arial"/>
          <w:b w:val="0"/>
          <w:bCs w:val="0"/>
          <w:i w:val="0"/>
          <w:smallCaps w:val="0"/>
          <w:color w:val="auto"/>
          <w:spacing w:val="0"/>
          <w:sz w:val="22"/>
        </w:rPr>
        <w:t>a</w:t>
      </w:r>
      <w:r w:rsidR="005A5464" w:rsidRPr="00414A6D">
        <w:rPr>
          <w:rStyle w:val="IntenseReference"/>
          <w:rFonts w:ascii="Arial" w:hAnsi="Arial" w:cs="Arial"/>
          <w:b w:val="0"/>
          <w:bCs w:val="0"/>
          <w:i w:val="0"/>
          <w:smallCaps w:val="0"/>
          <w:color w:val="auto"/>
          <w:spacing w:val="0"/>
          <w:sz w:val="22"/>
        </w:rPr>
        <w:t>pproach to best-practice pricing in hip fracture care</w:t>
      </w:r>
      <w:r w:rsidR="008E1021" w:rsidRPr="00414A6D">
        <w:rPr>
          <w:rStyle w:val="IntenseReference"/>
          <w:rFonts w:ascii="Arial" w:hAnsi="Arial" w:cs="Arial"/>
          <w:b w:val="0"/>
          <w:bCs w:val="0"/>
          <w:i w:val="0"/>
          <w:smallCaps w:val="0"/>
          <w:color w:val="auto"/>
          <w:spacing w:val="0"/>
          <w:sz w:val="22"/>
        </w:rPr>
        <w:t xml:space="preserve">. </w:t>
      </w:r>
    </w:p>
    <w:p w14:paraId="1BCA7FF4" w14:textId="77777777" w:rsidR="00007110" w:rsidRPr="00414A6D" w:rsidRDefault="00007110">
      <w:pPr>
        <w:rPr>
          <w:rFonts w:ascii="Arial" w:hAnsi="Arial" w:cs="Arial"/>
          <w:b/>
          <w:bCs/>
          <w:kern w:val="28"/>
          <w:sz w:val="22"/>
          <w:szCs w:val="22"/>
        </w:rPr>
      </w:pPr>
      <w:r w:rsidRPr="00414A6D">
        <w:rPr>
          <w:rFonts w:ascii="Arial" w:hAnsi="Arial" w:cs="Arial"/>
          <w:sz w:val="22"/>
          <w:szCs w:val="22"/>
        </w:rPr>
        <w:br w:type="page"/>
      </w:r>
    </w:p>
    <w:p w14:paraId="429B6D7C" w14:textId="77777777" w:rsidR="009C5529" w:rsidRPr="00112D48" w:rsidRDefault="009C5529" w:rsidP="007B1510">
      <w:pPr>
        <w:pStyle w:val="Heading1"/>
        <w:numPr>
          <w:ilvl w:val="0"/>
          <w:numId w:val="14"/>
        </w:numPr>
        <w:ind w:left="414" w:hanging="357"/>
        <w:jc w:val="both"/>
        <w:rPr>
          <w:szCs w:val="28"/>
        </w:rPr>
      </w:pPr>
      <w:bookmarkStart w:id="37" w:name="_Toc426633818"/>
      <w:r w:rsidRPr="00112D48">
        <w:rPr>
          <w:szCs w:val="28"/>
        </w:rPr>
        <w:lastRenderedPageBreak/>
        <w:t>A</w:t>
      </w:r>
      <w:r w:rsidR="002668FB" w:rsidRPr="00112D48">
        <w:rPr>
          <w:szCs w:val="28"/>
        </w:rPr>
        <w:t>ppendices</w:t>
      </w:r>
      <w:bookmarkEnd w:id="37"/>
    </w:p>
    <w:p w14:paraId="5FC41093" w14:textId="77777777" w:rsidR="00EE41AA" w:rsidRPr="007F2BCE" w:rsidRDefault="007F232E" w:rsidP="00D41ED6">
      <w:pPr>
        <w:pStyle w:val="Commissionbodytext"/>
        <w:numPr>
          <w:ilvl w:val="0"/>
          <w:numId w:val="49"/>
        </w:numPr>
      </w:pPr>
      <w:r w:rsidRPr="00D41ED6">
        <w:rPr>
          <w:b/>
        </w:rPr>
        <w:t>Sub-Committee</w:t>
      </w:r>
      <w:r w:rsidR="00C1677C" w:rsidRPr="00D41ED6">
        <w:rPr>
          <w:b/>
        </w:rPr>
        <w:t xml:space="preserve"> on </w:t>
      </w:r>
      <w:r w:rsidR="00346B84" w:rsidRPr="00D41ED6">
        <w:rPr>
          <w:b/>
        </w:rPr>
        <w:t>Best-practice</w:t>
      </w:r>
      <w:r w:rsidR="00C1677C" w:rsidRPr="00D41ED6">
        <w:rPr>
          <w:b/>
        </w:rPr>
        <w:t xml:space="preserve"> Pricing </w:t>
      </w:r>
      <w:r w:rsidR="009C5529" w:rsidRPr="00D41ED6">
        <w:rPr>
          <w:b/>
        </w:rPr>
        <w:t>Terms of Reference</w:t>
      </w:r>
      <w:r w:rsidR="00C1677C" w:rsidRPr="00D41ED6">
        <w:rPr>
          <w:b/>
        </w:rPr>
        <w:t xml:space="preserve"> </w:t>
      </w:r>
    </w:p>
    <w:p w14:paraId="7FBCD222" w14:textId="77777777" w:rsidR="00F06FD0" w:rsidRPr="007F2BCE" w:rsidRDefault="00F06FD0" w:rsidP="00D41ED6">
      <w:pPr>
        <w:pStyle w:val="Commissionbodytext"/>
        <w:numPr>
          <w:ilvl w:val="0"/>
          <w:numId w:val="49"/>
        </w:numPr>
      </w:pPr>
      <w:r w:rsidRPr="00D41ED6">
        <w:rPr>
          <w:b/>
        </w:rPr>
        <w:t xml:space="preserve">Suggested design improvements to increase </w:t>
      </w:r>
      <w:r w:rsidR="005E702F" w:rsidRPr="00D41ED6">
        <w:rPr>
          <w:b/>
        </w:rPr>
        <w:t>the im</w:t>
      </w:r>
      <w:r w:rsidRPr="00D41ED6">
        <w:rPr>
          <w:b/>
        </w:rPr>
        <w:t>p</w:t>
      </w:r>
      <w:r w:rsidR="005E702F" w:rsidRPr="00D41ED6">
        <w:rPr>
          <w:b/>
        </w:rPr>
        <w:t>act</w:t>
      </w:r>
      <w:r w:rsidRPr="00D41ED6">
        <w:rPr>
          <w:b/>
        </w:rPr>
        <w:t xml:space="preserve"> of pay for performance schemes</w:t>
      </w:r>
    </w:p>
    <w:p w14:paraId="09D6506D" w14:textId="77777777" w:rsidR="009C5529" w:rsidRPr="007F2BCE" w:rsidRDefault="008A2747" w:rsidP="00D41ED6">
      <w:pPr>
        <w:pStyle w:val="Commissionbodytext"/>
        <w:numPr>
          <w:ilvl w:val="0"/>
          <w:numId w:val="49"/>
        </w:numPr>
      </w:pPr>
      <w:r w:rsidRPr="00D41ED6">
        <w:rPr>
          <w:b/>
        </w:rPr>
        <w:t xml:space="preserve">The Commission’s </w:t>
      </w:r>
      <w:r w:rsidR="00DA0A69" w:rsidRPr="00D41ED6">
        <w:rPr>
          <w:b/>
        </w:rPr>
        <w:t>proposed</w:t>
      </w:r>
      <w:r w:rsidR="00C1677C" w:rsidRPr="00D41ED6">
        <w:rPr>
          <w:b/>
        </w:rPr>
        <w:t xml:space="preserve"> </w:t>
      </w:r>
      <w:r w:rsidRPr="00D41ED6">
        <w:rPr>
          <w:b/>
        </w:rPr>
        <w:t>clinical c</w:t>
      </w:r>
      <w:r w:rsidR="009C5529" w:rsidRPr="00D41ED6">
        <w:rPr>
          <w:b/>
        </w:rPr>
        <w:t xml:space="preserve">are </w:t>
      </w:r>
      <w:r w:rsidRPr="00D41ED6">
        <w:rPr>
          <w:b/>
        </w:rPr>
        <w:t>s</w:t>
      </w:r>
      <w:r w:rsidR="009C5529" w:rsidRPr="00D41ED6">
        <w:rPr>
          <w:b/>
        </w:rPr>
        <w:t>tan</w:t>
      </w:r>
      <w:r w:rsidR="00346B84" w:rsidRPr="00D41ED6">
        <w:rPr>
          <w:b/>
        </w:rPr>
        <w:t>dard</w:t>
      </w:r>
      <w:r w:rsidRPr="00D41ED6">
        <w:rPr>
          <w:b/>
        </w:rPr>
        <w:t xml:space="preserve"> for </w:t>
      </w:r>
      <w:r w:rsidR="004C334B" w:rsidRPr="00D41ED6">
        <w:rPr>
          <w:b/>
        </w:rPr>
        <w:t>hip fracture</w:t>
      </w:r>
      <w:r w:rsidR="009C5529" w:rsidRPr="00D41ED6">
        <w:rPr>
          <w:b/>
        </w:rPr>
        <w:t xml:space="preserve"> </w:t>
      </w:r>
      <w:r w:rsidR="0018750E" w:rsidRPr="00D41ED6">
        <w:rPr>
          <w:b/>
        </w:rPr>
        <w:t>quality statements</w:t>
      </w:r>
    </w:p>
    <w:p w14:paraId="7DD812A0" w14:textId="77777777" w:rsidR="0018750E" w:rsidRPr="007F2BCE" w:rsidRDefault="0018750E" w:rsidP="00D41ED6">
      <w:pPr>
        <w:pStyle w:val="Commissionbodytext"/>
        <w:numPr>
          <w:ilvl w:val="0"/>
          <w:numId w:val="49"/>
        </w:numPr>
      </w:pPr>
      <w:r w:rsidRPr="00D41ED6">
        <w:rPr>
          <w:b/>
        </w:rPr>
        <w:t>The Commission’s proposed clinical care standard for hip fracture indicators</w:t>
      </w:r>
    </w:p>
    <w:p w14:paraId="654F8AB2" w14:textId="77777777" w:rsidR="009C5529" w:rsidRPr="007F2BCE" w:rsidRDefault="00EA5A7F" w:rsidP="00D41ED6">
      <w:pPr>
        <w:pStyle w:val="Commissionbodytext"/>
        <w:numPr>
          <w:ilvl w:val="0"/>
          <w:numId w:val="49"/>
        </w:numPr>
      </w:pPr>
      <w:r w:rsidRPr="00D41ED6">
        <w:rPr>
          <w:b/>
        </w:rPr>
        <w:t xml:space="preserve">International and Australian Hip Fracture Care Best-Practice Pricing Initiatives </w:t>
      </w:r>
    </w:p>
    <w:p w14:paraId="3788B132" w14:textId="77777777" w:rsidR="009C5529" w:rsidRPr="007F2BCE" w:rsidRDefault="009C5529" w:rsidP="00D41ED6">
      <w:pPr>
        <w:pStyle w:val="Commissionbodytext"/>
        <w:numPr>
          <w:ilvl w:val="1"/>
          <w:numId w:val="49"/>
        </w:numPr>
        <w:rPr>
          <w:i/>
        </w:rPr>
      </w:pPr>
      <w:bookmarkStart w:id="38" w:name="_Toc421185466"/>
      <w:r w:rsidRPr="00D41ED6">
        <w:rPr>
          <w:b/>
          <w:i/>
        </w:rPr>
        <w:t xml:space="preserve">WA </w:t>
      </w:r>
      <w:r w:rsidR="00E26AC6" w:rsidRPr="00D41ED6">
        <w:rPr>
          <w:b/>
          <w:i/>
        </w:rPr>
        <w:t>Hip Fracture Premium Payments</w:t>
      </w:r>
      <w:bookmarkEnd w:id="38"/>
      <w:r w:rsidR="00E26AC6" w:rsidRPr="00D41ED6">
        <w:rPr>
          <w:b/>
          <w:i/>
        </w:rPr>
        <w:t xml:space="preserve"> </w:t>
      </w:r>
    </w:p>
    <w:p w14:paraId="12029F89" w14:textId="77777777" w:rsidR="009C5529" w:rsidRPr="007F2BCE" w:rsidRDefault="00E26AC6" w:rsidP="00D41ED6">
      <w:pPr>
        <w:pStyle w:val="Commissionbodytext"/>
        <w:numPr>
          <w:ilvl w:val="1"/>
          <w:numId w:val="49"/>
        </w:numPr>
        <w:rPr>
          <w:i/>
        </w:rPr>
      </w:pPr>
      <w:bookmarkStart w:id="39" w:name="_Toc421185467"/>
      <w:r w:rsidRPr="00D41ED6">
        <w:rPr>
          <w:b/>
          <w:i/>
        </w:rPr>
        <w:t>Queensland Health Fractured Neck of Femur Purchasing Initiative</w:t>
      </w:r>
      <w:bookmarkEnd w:id="39"/>
    </w:p>
    <w:p w14:paraId="09AF127B" w14:textId="77777777" w:rsidR="009C5529" w:rsidRPr="007F2BCE" w:rsidRDefault="009C5529" w:rsidP="00D41ED6">
      <w:pPr>
        <w:pStyle w:val="Commissionbodytext"/>
        <w:numPr>
          <w:ilvl w:val="1"/>
          <w:numId w:val="49"/>
        </w:numPr>
        <w:rPr>
          <w:i/>
        </w:rPr>
      </w:pPr>
      <w:bookmarkStart w:id="40" w:name="_Toc421185468"/>
      <w:r w:rsidRPr="00D41ED6">
        <w:rPr>
          <w:b/>
          <w:i/>
        </w:rPr>
        <w:t xml:space="preserve">SA </w:t>
      </w:r>
      <w:r w:rsidR="00E26AC6" w:rsidRPr="00D41ED6">
        <w:rPr>
          <w:b/>
          <w:i/>
        </w:rPr>
        <w:t>Health Transforming Care</w:t>
      </w:r>
      <w:bookmarkEnd w:id="40"/>
    </w:p>
    <w:p w14:paraId="1C64A5A5" w14:textId="77777777" w:rsidR="009C5529" w:rsidRPr="007F2BCE" w:rsidRDefault="00E26AC6" w:rsidP="00D41ED6">
      <w:pPr>
        <w:pStyle w:val="Commissionbodytext"/>
        <w:numPr>
          <w:ilvl w:val="1"/>
          <w:numId w:val="49"/>
        </w:numPr>
        <w:rPr>
          <w:i/>
        </w:rPr>
      </w:pPr>
      <w:bookmarkStart w:id="41" w:name="_Toc421185469"/>
      <w:r w:rsidRPr="00D41ED6">
        <w:rPr>
          <w:b/>
          <w:i/>
        </w:rPr>
        <w:t>United Kingdom Fragility Hip Fracture Payment</w:t>
      </w:r>
      <w:bookmarkEnd w:id="41"/>
      <w:r w:rsidRPr="00D41ED6">
        <w:rPr>
          <w:b/>
          <w:i/>
        </w:rPr>
        <w:t xml:space="preserve"> </w:t>
      </w:r>
    </w:p>
    <w:p w14:paraId="5C335DD1" w14:textId="4DE49A6E" w:rsidR="00D627E9" w:rsidRPr="007F2BCE" w:rsidRDefault="00D627E9" w:rsidP="00D41ED6">
      <w:pPr>
        <w:pStyle w:val="Commissionbodytext"/>
        <w:numPr>
          <w:ilvl w:val="0"/>
          <w:numId w:val="49"/>
        </w:numPr>
      </w:pPr>
      <w:r w:rsidRPr="00D41ED6">
        <w:rPr>
          <w:b/>
        </w:rPr>
        <w:t>Supporting</w:t>
      </w:r>
      <w:r w:rsidR="00EA5A7F" w:rsidRPr="00D41ED6">
        <w:rPr>
          <w:b/>
        </w:rPr>
        <w:t xml:space="preserve"> data</w:t>
      </w:r>
      <w:r w:rsidRPr="00D41ED6">
        <w:rPr>
          <w:b/>
        </w:rPr>
        <w:t xml:space="preserve"> analysis for Chapter </w:t>
      </w:r>
      <w:r w:rsidR="000C6B8D" w:rsidRPr="00D41ED6">
        <w:rPr>
          <w:b/>
        </w:rPr>
        <w:t>4</w:t>
      </w:r>
      <w:r w:rsidRPr="00D41ED6">
        <w:rPr>
          <w:b/>
        </w:rPr>
        <w:t xml:space="preserve"> - Designing and implementing the </w:t>
      </w:r>
      <w:r w:rsidR="00346B84" w:rsidRPr="00D41ED6">
        <w:rPr>
          <w:b/>
        </w:rPr>
        <w:t>best</w:t>
      </w:r>
      <w:r w:rsidR="007B1C98" w:rsidRPr="00D41ED6">
        <w:rPr>
          <w:b/>
        </w:rPr>
        <w:noBreakHyphen/>
      </w:r>
      <w:r w:rsidR="00346B84" w:rsidRPr="00D41ED6">
        <w:rPr>
          <w:b/>
        </w:rPr>
        <w:t>practice</w:t>
      </w:r>
      <w:r w:rsidRPr="00D41ED6">
        <w:rPr>
          <w:b/>
        </w:rPr>
        <w:t xml:space="preserve"> pricing model </w:t>
      </w:r>
      <w:r w:rsidR="000C6B8D" w:rsidRPr="00D41ED6">
        <w:rPr>
          <w:b/>
        </w:rPr>
        <w:t>for hip fracture care</w:t>
      </w:r>
    </w:p>
    <w:p w14:paraId="39A30194" w14:textId="211783FD" w:rsidR="00AB2248" w:rsidRPr="007F2BCE" w:rsidRDefault="000C6B8D" w:rsidP="00D41ED6">
      <w:pPr>
        <w:pStyle w:val="Commissionbodytext"/>
        <w:numPr>
          <w:ilvl w:val="0"/>
          <w:numId w:val="49"/>
        </w:numPr>
      </w:pPr>
      <w:r w:rsidRPr="00D41ED6">
        <w:rPr>
          <w:b/>
        </w:rPr>
        <w:t>Additional potential measures for consideration in a hip fracture best</w:t>
      </w:r>
      <w:r w:rsidRPr="00D41ED6">
        <w:rPr>
          <w:b/>
        </w:rPr>
        <w:noBreakHyphen/>
        <w:t>practice pricing approach</w:t>
      </w:r>
    </w:p>
    <w:p w14:paraId="3D805EC3" w14:textId="77777777" w:rsidR="00E0362E" w:rsidRPr="007F2BCE" w:rsidRDefault="00E0362E" w:rsidP="00D41ED6">
      <w:pPr>
        <w:pStyle w:val="Commissionbodytext"/>
        <w:numPr>
          <w:ilvl w:val="0"/>
          <w:numId w:val="49"/>
        </w:numPr>
      </w:pPr>
      <w:r w:rsidRPr="00D41ED6">
        <w:rPr>
          <w:b/>
        </w:rPr>
        <w:t>Reference</w:t>
      </w:r>
      <w:r w:rsidR="008C59BD" w:rsidRPr="00D41ED6">
        <w:rPr>
          <w:b/>
        </w:rPr>
        <w:t xml:space="preserve"> list</w:t>
      </w:r>
    </w:p>
    <w:p w14:paraId="00C02A12" w14:textId="77777777" w:rsidR="00E0362E" w:rsidRPr="00414A6D" w:rsidRDefault="00E0362E" w:rsidP="00D147A4">
      <w:pPr>
        <w:spacing w:before="20" w:after="60"/>
        <w:ind w:left="1080" w:right="-85"/>
        <w:jc w:val="both"/>
        <w:rPr>
          <w:rFonts w:ascii="Arial" w:hAnsi="Arial" w:cs="Arial"/>
          <w:sz w:val="21"/>
          <w:szCs w:val="21"/>
        </w:rPr>
      </w:pPr>
    </w:p>
    <w:p w14:paraId="671AB619" w14:textId="1466C6BA" w:rsidR="0072383D" w:rsidRPr="00D41ED6" w:rsidRDefault="00E0362E" w:rsidP="00D41ED6">
      <w:pPr>
        <w:pStyle w:val="Heading2"/>
        <w:numPr>
          <w:ilvl w:val="0"/>
          <w:numId w:val="0"/>
        </w:numPr>
        <w:rPr>
          <w:sz w:val="22"/>
          <w:szCs w:val="22"/>
        </w:rPr>
      </w:pPr>
      <w:r w:rsidRPr="00414A6D">
        <w:rPr>
          <w:b w:val="0"/>
          <w:sz w:val="21"/>
          <w:szCs w:val="21"/>
        </w:rPr>
        <w:br w:type="page"/>
      </w:r>
      <w:bookmarkStart w:id="42" w:name="_Toc426633819"/>
      <w:r w:rsidR="00B61E00" w:rsidRPr="00D41ED6">
        <w:rPr>
          <w:sz w:val="22"/>
          <w:szCs w:val="22"/>
        </w:rPr>
        <w:lastRenderedPageBreak/>
        <w:t>Appendix</w:t>
      </w:r>
      <w:r w:rsidR="0072383D" w:rsidRPr="00D41ED6">
        <w:rPr>
          <w:sz w:val="22"/>
          <w:szCs w:val="22"/>
        </w:rPr>
        <w:t xml:space="preserve"> </w:t>
      </w:r>
      <w:r w:rsidR="009C6E73" w:rsidRPr="00D41ED6">
        <w:rPr>
          <w:sz w:val="22"/>
          <w:szCs w:val="22"/>
        </w:rPr>
        <w:t>A</w:t>
      </w:r>
      <w:r w:rsidR="0072383D" w:rsidRPr="00D41ED6">
        <w:rPr>
          <w:sz w:val="22"/>
          <w:szCs w:val="22"/>
        </w:rPr>
        <w:t xml:space="preserve">. </w:t>
      </w:r>
      <w:r w:rsidR="007F232E" w:rsidRPr="00D41ED6">
        <w:rPr>
          <w:sz w:val="22"/>
          <w:szCs w:val="22"/>
        </w:rPr>
        <w:t>Sub-Committee</w:t>
      </w:r>
      <w:r w:rsidR="0072383D" w:rsidRPr="00D41ED6">
        <w:rPr>
          <w:sz w:val="22"/>
          <w:szCs w:val="22"/>
        </w:rPr>
        <w:t xml:space="preserve"> on </w:t>
      </w:r>
      <w:r w:rsidR="00346B84" w:rsidRPr="00D41ED6">
        <w:rPr>
          <w:sz w:val="22"/>
          <w:szCs w:val="22"/>
        </w:rPr>
        <w:t>Best-practice</w:t>
      </w:r>
      <w:r w:rsidR="0072383D" w:rsidRPr="00D41ED6">
        <w:rPr>
          <w:sz w:val="22"/>
          <w:szCs w:val="22"/>
        </w:rPr>
        <w:t xml:space="preserve"> Pricing and Quality </w:t>
      </w:r>
      <w:r w:rsidR="000C6B8D" w:rsidRPr="00D41ED6">
        <w:rPr>
          <w:sz w:val="22"/>
          <w:szCs w:val="22"/>
        </w:rPr>
        <w:t>Information</w:t>
      </w:r>
      <w:r w:rsidR="0072383D" w:rsidRPr="00D41ED6">
        <w:rPr>
          <w:sz w:val="22"/>
          <w:szCs w:val="22"/>
        </w:rPr>
        <w:t xml:space="preserve"> Terms of Reference</w:t>
      </w:r>
      <w:bookmarkEnd w:id="42"/>
    </w:p>
    <w:p w14:paraId="06C8DAD1" w14:textId="77777777" w:rsidR="00FA3DBC" w:rsidRPr="00414A6D" w:rsidRDefault="00FA3DBC" w:rsidP="00D147A4">
      <w:pPr>
        <w:spacing w:before="120" w:after="120"/>
        <w:jc w:val="both"/>
        <w:rPr>
          <w:rFonts w:ascii="Arial" w:hAnsi="Arial" w:cs="Arial"/>
          <w:sz w:val="16"/>
          <w:szCs w:val="16"/>
        </w:rPr>
      </w:pPr>
      <w:r w:rsidRPr="00414A6D">
        <w:rPr>
          <w:rFonts w:ascii="Arial" w:hAnsi="Arial" w:cs="Arial"/>
          <w:sz w:val="16"/>
          <w:szCs w:val="16"/>
        </w:rPr>
        <w:t>TRIM (ACSQHC): D14-28232</w:t>
      </w:r>
    </w:p>
    <w:p w14:paraId="627F3AEC" w14:textId="77777777" w:rsidR="002668FB" w:rsidRPr="00414A6D" w:rsidRDefault="002668FB" w:rsidP="00D147A4">
      <w:pPr>
        <w:spacing w:before="120" w:after="120"/>
        <w:jc w:val="both"/>
        <w:rPr>
          <w:rFonts w:ascii="Arial" w:hAnsi="Arial" w:cs="Arial"/>
          <w:sz w:val="16"/>
          <w:szCs w:val="16"/>
        </w:rPr>
      </w:pPr>
    </w:p>
    <w:p w14:paraId="46045603" w14:textId="77777777" w:rsidR="00FA3DBC" w:rsidRPr="00414A6D" w:rsidRDefault="00FA3DBC" w:rsidP="00D147A4">
      <w:pPr>
        <w:spacing w:before="120" w:after="120"/>
        <w:jc w:val="both"/>
        <w:rPr>
          <w:rFonts w:ascii="Arial" w:hAnsi="Arial" w:cs="Arial"/>
          <w:b/>
        </w:rPr>
      </w:pPr>
      <w:r w:rsidRPr="00414A6D">
        <w:rPr>
          <w:rFonts w:ascii="Arial" w:hAnsi="Arial" w:cs="Arial"/>
          <w:b/>
        </w:rPr>
        <w:t>TERMS OF REFERENCE</w:t>
      </w:r>
    </w:p>
    <w:p w14:paraId="2F64889C" w14:textId="77777777" w:rsidR="00FA3DBC" w:rsidRPr="00414A6D" w:rsidRDefault="00FA3DBC" w:rsidP="00D147A4">
      <w:pPr>
        <w:spacing w:before="120" w:after="120"/>
        <w:jc w:val="both"/>
        <w:rPr>
          <w:rFonts w:ascii="Arial" w:hAnsi="Arial" w:cs="Arial"/>
          <w:sz w:val="22"/>
          <w:szCs w:val="22"/>
        </w:rPr>
      </w:pPr>
    </w:p>
    <w:p w14:paraId="3ED98224" w14:textId="77777777" w:rsidR="00FA3DBC" w:rsidRPr="00414A6D" w:rsidRDefault="00FA3DBC" w:rsidP="00D147A4">
      <w:pPr>
        <w:spacing w:before="120" w:after="240"/>
        <w:jc w:val="both"/>
        <w:rPr>
          <w:rFonts w:ascii="Arial" w:hAnsi="Arial" w:cs="Arial"/>
          <w:b/>
        </w:rPr>
      </w:pPr>
      <w:r w:rsidRPr="00414A6D">
        <w:rPr>
          <w:rFonts w:ascii="Arial" w:hAnsi="Arial" w:cs="Arial"/>
          <w:b/>
        </w:rPr>
        <w:t>Joint Working Party on Pricing for Safety and Quality in Australian Public Hospital Services (JWP) of the Australian Commission on Safety and Quality in Health Care (the Commission) and Independent Hospital Pricing Authority (IHPA)</w:t>
      </w:r>
    </w:p>
    <w:p w14:paraId="39628522" w14:textId="77777777" w:rsidR="00FA3DBC" w:rsidRPr="00414A6D" w:rsidRDefault="007F232E" w:rsidP="00D147A4">
      <w:pPr>
        <w:pBdr>
          <w:top w:val="single" w:sz="4" w:space="1" w:color="auto"/>
          <w:left w:val="single" w:sz="4" w:space="4" w:color="auto"/>
          <w:bottom w:val="single" w:sz="4" w:space="1" w:color="auto"/>
          <w:right w:val="single" w:sz="4" w:space="4" w:color="auto"/>
        </w:pBdr>
        <w:spacing w:before="120" w:after="120"/>
        <w:jc w:val="both"/>
        <w:rPr>
          <w:rFonts w:ascii="Arial" w:hAnsi="Arial" w:cs="Arial"/>
          <w:b/>
          <w:caps/>
        </w:rPr>
      </w:pPr>
      <w:r w:rsidRPr="00414A6D">
        <w:rPr>
          <w:rFonts w:ascii="Arial" w:hAnsi="Arial" w:cs="Arial"/>
          <w:b/>
          <w:caps/>
        </w:rPr>
        <w:t>Sub-Committee</w:t>
      </w:r>
      <w:r w:rsidR="00FA3DBC" w:rsidRPr="00414A6D">
        <w:rPr>
          <w:rFonts w:ascii="Arial" w:hAnsi="Arial" w:cs="Arial"/>
          <w:b/>
          <w:caps/>
        </w:rPr>
        <w:t xml:space="preserve"> on </w:t>
      </w:r>
      <w:r w:rsidR="00346B84" w:rsidRPr="00414A6D">
        <w:rPr>
          <w:rFonts w:ascii="Arial" w:hAnsi="Arial" w:cs="Arial"/>
          <w:b/>
          <w:caps/>
        </w:rPr>
        <w:t>Best-practice</w:t>
      </w:r>
      <w:r w:rsidR="00FA3DBC" w:rsidRPr="00414A6D">
        <w:rPr>
          <w:rFonts w:ascii="Arial" w:hAnsi="Arial" w:cs="Arial"/>
          <w:b/>
          <w:caps/>
        </w:rPr>
        <w:t xml:space="preserve"> pricing and Clinical Quality information</w:t>
      </w:r>
    </w:p>
    <w:p w14:paraId="139A2BF7" w14:textId="77777777" w:rsidR="00FA3DBC" w:rsidRPr="00414A6D" w:rsidRDefault="00FA3DBC" w:rsidP="00D147A4">
      <w:pPr>
        <w:spacing w:before="120" w:after="120"/>
        <w:jc w:val="both"/>
        <w:rPr>
          <w:rFonts w:ascii="Arial" w:hAnsi="Arial" w:cs="Arial"/>
          <w:b/>
        </w:rPr>
      </w:pPr>
    </w:p>
    <w:p w14:paraId="1C956891" w14:textId="77777777" w:rsidR="00FA3DBC" w:rsidRPr="00414A6D" w:rsidRDefault="00FA3DBC" w:rsidP="00D147A4">
      <w:pPr>
        <w:spacing w:before="120" w:after="120"/>
        <w:jc w:val="both"/>
        <w:rPr>
          <w:rFonts w:ascii="Arial" w:hAnsi="Arial" w:cs="Arial"/>
          <w:b/>
          <w:sz w:val="22"/>
          <w:szCs w:val="22"/>
        </w:rPr>
      </w:pPr>
      <w:r w:rsidRPr="00414A6D">
        <w:rPr>
          <w:rFonts w:ascii="Arial" w:hAnsi="Arial" w:cs="Arial"/>
          <w:b/>
          <w:sz w:val="22"/>
          <w:szCs w:val="22"/>
        </w:rPr>
        <w:t>1.</w:t>
      </w:r>
      <w:r w:rsidRPr="00414A6D">
        <w:rPr>
          <w:rFonts w:ascii="Arial" w:hAnsi="Arial" w:cs="Arial"/>
          <w:b/>
          <w:sz w:val="22"/>
          <w:szCs w:val="22"/>
        </w:rPr>
        <w:tab/>
        <w:t>Purpose</w:t>
      </w:r>
    </w:p>
    <w:p w14:paraId="2AD9413E"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t xml:space="preserve">To investigate and advise the JWP on potential approaches to (a) </w:t>
      </w:r>
      <w:r w:rsidR="00346B84" w:rsidRPr="00414A6D">
        <w:rPr>
          <w:rFonts w:ascii="Arial" w:hAnsi="Arial" w:cs="Arial"/>
          <w:sz w:val="22"/>
          <w:szCs w:val="22"/>
        </w:rPr>
        <w:t>best-practice</w:t>
      </w:r>
      <w:r w:rsidRPr="00414A6D">
        <w:rPr>
          <w:rFonts w:ascii="Arial" w:hAnsi="Arial" w:cs="Arial"/>
          <w:sz w:val="22"/>
          <w:szCs w:val="22"/>
        </w:rPr>
        <w:t xml:space="preserve"> pricing, and (b) provision of hospital-level safety and quality data in relation to select clinical areas identified as a priority by the JWP.  </w:t>
      </w:r>
    </w:p>
    <w:p w14:paraId="6BA8B4B2" w14:textId="77777777" w:rsidR="00FA3DBC" w:rsidRPr="00414A6D" w:rsidRDefault="00FA3DBC" w:rsidP="00D147A4">
      <w:pPr>
        <w:spacing w:before="120" w:after="120"/>
        <w:jc w:val="both"/>
        <w:rPr>
          <w:rFonts w:ascii="Arial" w:hAnsi="Arial" w:cs="Arial"/>
          <w:sz w:val="22"/>
          <w:szCs w:val="22"/>
        </w:rPr>
      </w:pPr>
    </w:p>
    <w:p w14:paraId="42291450" w14:textId="77777777" w:rsidR="00FA3DBC" w:rsidRPr="00414A6D" w:rsidRDefault="00FA3DBC" w:rsidP="00D147A4">
      <w:pPr>
        <w:tabs>
          <w:tab w:val="left" w:pos="720"/>
          <w:tab w:val="left" w:pos="1440"/>
          <w:tab w:val="left" w:pos="2160"/>
          <w:tab w:val="left" w:pos="5676"/>
        </w:tabs>
        <w:spacing w:before="120" w:after="120"/>
        <w:jc w:val="both"/>
        <w:rPr>
          <w:rFonts w:ascii="Arial" w:hAnsi="Arial" w:cs="Arial"/>
          <w:b/>
          <w:sz w:val="22"/>
          <w:szCs w:val="22"/>
        </w:rPr>
      </w:pPr>
      <w:r w:rsidRPr="00414A6D">
        <w:rPr>
          <w:rFonts w:ascii="Arial" w:hAnsi="Arial" w:cs="Arial"/>
          <w:b/>
          <w:sz w:val="22"/>
          <w:szCs w:val="22"/>
        </w:rPr>
        <w:t>2.</w:t>
      </w:r>
      <w:r w:rsidRPr="00414A6D">
        <w:rPr>
          <w:rFonts w:ascii="Arial" w:hAnsi="Arial" w:cs="Arial"/>
          <w:b/>
          <w:sz w:val="22"/>
          <w:szCs w:val="22"/>
        </w:rPr>
        <w:tab/>
        <w:t>Background</w:t>
      </w:r>
      <w:r w:rsidRPr="00414A6D">
        <w:rPr>
          <w:rFonts w:ascii="Arial" w:hAnsi="Arial" w:cs="Arial"/>
          <w:b/>
          <w:sz w:val="22"/>
          <w:szCs w:val="22"/>
        </w:rPr>
        <w:tab/>
      </w:r>
      <w:r w:rsidRPr="00414A6D">
        <w:rPr>
          <w:rFonts w:ascii="Arial" w:hAnsi="Arial" w:cs="Arial"/>
          <w:b/>
          <w:sz w:val="22"/>
          <w:szCs w:val="22"/>
        </w:rPr>
        <w:tab/>
      </w:r>
    </w:p>
    <w:p w14:paraId="3CFD2072"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t>The JWP was established in August 2012 to advise the Commission and IHPA on:</w:t>
      </w:r>
    </w:p>
    <w:p w14:paraId="55D29805" w14:textId="77777777" w:rsidR="00FA3DBC" w:rsidRPr="00414A6D" w:rsidRDefault="00FA3DBC" w:rsidP="007B1510">
      <w:pPr>
        <w:numPr>
          <w:ilvl w:val="0"/>
          <w:numId w:val="4"/>
        </w:numPr>
        <w:tabs>
          <w:tab w:val="clear" w:pos="720"/>
          <w:tab w:val="num" w:pos="360"/>
        </w:tabs>
        <w:spacing w:before="120" w:after="120"/>
        <w:ind w:left="360"/>
        <w:jc w:val="both"/>
        <w:rPr>
          <w:rFonts w:ascii="Arial" w:hAnsi="Arial" w:cs="Arial"/>
          <w:sz w:val="22"/>
          <w:szCs w:val="22"/>
        </w:rPr>
      </w:pPr>
      <w:r w:rsidRPr="00414A6D">
        <w:rPr>
          <w:rFonts w:ascii="Arial" w:hAnsi="Arial" w:cs="Arial"/>
          <w:sz w:val="22"/>
          <w:szCs w:val="22"/>
        </w:rPr>
        <w:t>Emerging local and international literature on, and evidence for, pricing schemes and mechanisms, including how these would translate to the Australian context.</w:t>
      </w:r>
    </w:p>
    <w:p w14:paraId="0B1ED328" w14:textId="77777777" w:rsidR="00FA3DBC" w:rsidRPr="00414A6D" w:rsidRDefault="00FA3DBC" w:rsidP="007B1510">
      <w:pPr>
        <w:numPr>
          <w:ilvl w:val="0"/>
          <w:numId w:val="4"/>
        </w:numPr>
        <w:tabs>
          <w:tab w:val="clear" w:pos="720"/>
          <w:tab w:val="num" w:pos="360"/>
        </w:tabs>
        <w:spacing w:before="120" w:after="120"/>
        <w:ind w:left="360"/>
        <w:jc w:val="both"/>
        <w:rPr>
          <w:rFonts w:ascii="Arial" w:hAnsi="Arial" w:cs="Arial"/>
          <w:sz w:val="22"/>
          <w:szCs w:val="22"/>
        </w:rPr>
      </w:pPr>
      <w:r w:rsidRPr="00414A6D">
        <w:rPr>
          <w:rFonts w:ascii="Arial" w:hAnsi="Arial" w:cs="Arial"/>
          <w:sz w:val="22"/>
          <w:szCs w:val="22"/>
        </w:rPr>
        <w:t xml:space="preserve">The project aiming to develop and pilot ways in which data and information can be provided to clinical teams in the hospital environment to promote improvement in safety and quality. Specifically, the JWP will provide advice on a proof of concept to test the draft national set of high priority hospital complications in selected Australian hospitals. </w:t>
      </w:r>
    </w:p>
    <w:p w14:paraId="3897691E" w14:textId="77777777" w:rsidR="00FA3DBC" w:rsidRPr="00414A6D" w:rsidRDefault="00FA3DBC" w:rsidP="007B1510">
      <w:pPr>
        <w:numPr>
          <w:ilvl w:val="0"/>
          <w:numId w:val="4"/>
        </w:numPr>
        <w:tabs>
          <w:tab w:val="clear" w:pos="720"/>
          <w:tab w:val="num" w:pos="360"/>
        </w:tabs>
        <w:spacing w:before="120" w:after="120"/>
        <w:ind w:left="360"/>
        <w:jc w:val="both"/>
        <w:rPr>
          <w:rFonts w:ascii="Arial" w:hAnsi="Arial" w:cs="Arial"/>
          <w:sz w:val="22"/>
          <w:szCs w:val="22"/>
        </w:rPr>
      </w:pPr>
      <w:r w:rsidRPr="00414A6D">
        <w:rPr>
          <w:rFonts w:ascii="Arial" w:hAnsi="Arial" w:cs="Arial"/>
          <w:sz w:val="22"/>
          <w:szCs w:val="22"/>
        </w:rPr>
        <w:t>Ongoing consideration of the objectives of incorporating safety and quality in the pricing of Australian public hospital services, including:</w:t>
      </w:r>
    </w:p>
    <w:p w14:paraId="23A87798" w14:textId="77777777" w:rsidR="00FA3DBC" w:rsidRPr="00414A6D" w:rsidRDefault="00FA3DBC" w:rsidP="007B1510">
      <w:pPr>
        <w:numPr>
          <w:ilvl w:val="1"/>
          <w:numId w:val="4"/>
        </w:numPr>
        <w:spacing w:before="120" w:after="120"/>
        <w:jc w:val="both"/>
        <w:rPr>
          <w:rFonts w:ascii="Arial" w:hAnsi="Arial" w:cs="Arial"/>
          <w:sz w:val="22"/>
          <w:szCs w:val="22"/>
        </w:rPr>
      </w:pPr>
      <w:r w:rsidRPr="00414A6D">
        <w:rPr>
          <w:rFonts w:ascii="Arial" w:hAnsi="Arial" w:cs="Arial"/>
          <w:sz w:val="22"/>
          <w:szCs w:val="22"/>
        </w:rPr>
        <w:t>identifying necessary features of potential schemes</w:t>
      </w:r>
    </w:p>
    <w:p w14:paraId="1100D7F1" w14:textId="77777777" w:rsidR="00FA3DBC" w:rsidRPr="00414A6D" w:rsidRDefault="00FA3DBC" w:rsidP="007B1510">
      <w:pPr>
        <w:numPr>
          <w:ilvl w:val="1"/>
          <w:numId w:val="4"/>
        </w:numPr>
        <w:spacing w:before="120" w:after="120"/>
        <w:jc w:val="both"/>
        <w:rPr>
          <w:rFonts w:ascii="Arial" w:hAnsi="Arial" w:cs="Arial"/>
          <w:sz w:val="22"/>
          <w:szCs w:val="22"/>
        </w:rPr>
      </w:pPr>
      <w:proofErr w:type="gramStart"/>
      <w:r w:rsidRPr="00414A6D">
        <w:rPr>
          <w:rFonts w:ascii="Arial" w:hAnsi="Arial" w:cs="Arial"/>
          <w:sz w:val="22"/>
          <w:szCs w:val="22"/>
        </w:rPr>
        <w:t>emerging</w:t>
      </w:r>
      <w:proofErr w:type="gramEnd"/>
      <w:r w:rsidRPr="00414A6D">
        <w:rPr>
          <w:rFonts w:ascii="Arial" w:hAnsi="Arial" w:cs="Arial"/>
          <w:sz w:val="22"/>
          <w:szCs w:val="22"/>
        </w:rPr>
        <w:t xml:space="preserve"> risks and opportunities unique to the Australian context.</w:t>
      </w:r>
    </w:p>
    <w:p w14:paraId="6868E43B" w14:textId="77777777" w:rsidR="00FA3DBC" w:rsidRPr="00414A6D" w:rsidRDefault="00FA3DBC" w:rsidP="007B1510">
      <w:pPr>
        <w:numPr>
          <w:ilvl w:val="0"/>
          <w:numId w:val="4"/>
        </w:numPr>
        <w:tabs>
          <w:tab w:val="clear" w:pos="720"/>
          <w:tab w:val="num" w:pos="360"/>
        </w:tabs>
        <w:spacing w:before="120" w:after="120"/>
        <w:ind w:left="360"/>
        <w:jc w:val="both"/>
        <w:rPr>
          <w:rFonts w:ascii="Arial" w:hAnsi="Arial" w:cs="Arial"/>
          <w:sz w:val="22"/>
          <w:szCs w:val="22"/>
        </w:rPr>
      </w:pPr>
      <w:r w:rsidRPr="00414A6D">
        <w:rPr>
          <w:rFonts w:ascii="Arial" w:hAnsi="Arial" w:cs="Arial"/>
          <w:sz w:val="22"/>
          <w:szCs w:val="22"/>
        </w:rPr>
        <w:t>Possible options for national implementation of mechanisms identified, studied and piloted, including:</w:t>
      </w:r>
    </w:p>
    <w:p w14:paraId="1B08A7AB" w14:textId="77777777" w:rsidR="00FA3DBC" w:rsidRPr="00414A6D" w:rsidRDefault="00FA3DBC" w:rsidP="007B1510">
      <w:pPr>
        <w:numPr>
          <w:ilvl w:val="1"/>
          <w:numId w:val="4"/>
        </w:numPr>
        <w:spacing w:before="120" w:after="120"/>
        <w:jc w:val="both"/>
        <w:rPr>
          <w:rFonts w:ascii="Arial" w:hAnsi="Arial" w:cs="Arial"/>
          <w:sz w:val="22"/>
          <w:szCs w:val="22"/>
        </w:rPr>
      </w:pPr>
      <w:r w:rsidRPr="00414A6D">
        <w:rPr>
          <w:rFonts w:ascii="Arial" w:hAnsi="Arial" w:cs="Arial"/>
          <w:sz w:val="22"/>
          <w:szCs w:val="22"/>
        </w:rPr>
        <w:t>the potential effects, consequences, risks and benefits to the Australian community of the options identified</w:t>
      </w:r>
    </w:p>
    <w:p w14:paraId="361504BE" w14:textId="77777777" w:rsidR="00FA3DBC" w:rsidRPr="00414A6D" w:rsidRDefault="00FA3DBC" w:rsidP="007B1510">
      <w:pPr>
        <w:numPr>
          <w:ilvl w:val="1"/>
          <w:numId w:val="4"/>
        </w:numPr>
        <w:spacing w:before="120" w:after="120"/>
        <w:jc w:val="both"/>
        <w:rPr>
          <w:rFonts w:ascii="Arial" w:hAnsi="Arial" w:cs="Arial"/>
          <w:sz w:val="22"/>
          <w:szCs w:val="22"/>
        </w:rPr>
      </w:pPr>
      <w:proofErr w:type="gramStart"/>
      <w:r w:rsidRPr="00414A6D">
        <w:rPr>
          <w:rFonts w:ascii="Arial" w:hAnsi="Arial" w:cs="Arial"/>
          <w:sz w:val="22"/>
          <w:szCs w:val="22"/>
        </w:rPr>
        <w:t>strategies</w:t>
      </w:r>
      <w:proofErr w:type="gramEnd"/>
      <w:r w:rsidRPr="00414A6D">
        <w:rPr>
          <w:rFonts w:ascii="Arial" w:hAnsi="Arial" w:cs="Arial"/>
          <w:sz w:val="22"/>
          <w:szCs w:val="22"/>
        </w:rPr>
        <w:t xml:space="preserve"> and specific issues for consideration prior to, and as part of, implementation of the identified options, including requirements to obtain the support of Australian governments and other stakeholders.</w:t>
      </w:r>
    </w:p>
    <w:p w14:paraId="5F63BAA6"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lastRenderedPageBreak/>
        <w:t xml:space="preserve">In early 2014 the JWP established a </w:t>
      </w:r>
      <w:r w:rsidR="007F232E" w:rsidRPr="00414A6D">
        <w:rPr>
          <w:rFonts w:ascii="Arial" w:hAnsi="Arial" w:cs="Arial"/>
          <w:sz w:val="22"/>
          <w:szCs w:val="22"/>
        </w:rPr>
        <w:t>Sub-Committee</w:t>
      </w:r>
      <w:r w:rsidRPr="00414A6D">
        <w:rPr>
          <w:rFonts w:ascii="Arial" w:hAnsi="Arial" w:cs="Arial"/>
          <w:sz w:val="22"/>
          <w:szCs w:val="22"/>
        </w:rPr>
        <w:t xml:space="preserve"> to undertake work in relation to the proof of concept to test a draft national set of high priority hospital complications (item 2 above). </w:t>
      </w:r>
    </w:p>
    <w:p w14:paraId="0FFC530A"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t xml:space="preserve">In June 2014 the JWP agreed to establish a second </w:t>
      </w:r>
      <w:r w:rsidR="007F232E" w:rsidRPr="00414A6D">
        <w:rPr>
          <w:rFonts w:ascii="Arial" w:hAnsi="Arial" w:cs="Arial"/>
          <w:sz w:val="22"/>
          <w:szCs w:val="22"/>
        </w:rPr>
        <w:t>Sub-Committee</w:t>
      </w:r>
      <w:r w:rsidRPr="00414A6D">
        <w:rPr>
          <w:rFonts w:ascii="Arial" w:hAnsi="Arial" w:cs="Arial"/>
          <w:sz w:val="22"/>
          <w:szCs w:val="22"/>
        </w:rPr>
        <w:t xml:space="preserve"> to address issues in relation to items 1, 3 and 4 above, with a particular focus on the selected clinical area of hip fracture. </w:t>
      </w:r>
    </w:p>
    <w:p w14:paraId="5E0A6D37" w14:textId="77777777" w:rsidR="00FA3DBC" w:rsidRPr="00414A6D" w:rsidRDefault="00FA3DBC" w:rsidP="00D147A4">
      <w:pPr>
        <w:spacing w:before="120" w:after="120"/>
        <w:jc w:val="both"/>
        <w:rPr>
          <w:rFonts w:ascii="Arial" w:hAnsi="Arial" w:cs="Arial"/>
          <w:b/>
          <w:sz w:val="22"/>
          <w:szCs w:val="22"/>
        </w:rPr>
      </w:pPr>
    </w:p>
    <w:p w14:paraId="510CB4DD" w14:textId="77777777" w:rsidR="00FA3DBC" w:rsidRPr="00414A6D" w:rsidRDefault="00FA3DBC" w:rsidP="00D147A4">
      <w:pPr>
        <w:spacing w:before="120" w:after="120"/>
        <w:jc w:val="both"/>
        <w:rPr>
          <w:rFonts w:ascii="Arial" w:hAnsi="Arial" w:cs="Arial"/>
          <w:b/>
          <w:sz w:val="22"/>
          <w:szCs w:val="22"/>
        </w:rPr>
      </w:pPr>
      <w:r w:rsidRPr="00414A6D">
        <w:rPr>
          <w:rFonts w:ascii="Arial" w:hAnsi="Arial" w:cs="Arial"/>
          <w:b/>
          <w:sz w:val="22"/>
          <w:szCs w:val="22"/>
        </w:rPr>
        <w:t>3.</w:t>
      </w:r>
      <w:r w:rsidRPr="00414A6D">
        <w:rPr>
          <w:rFonts w:ascii="Arial" w:hAnsi="Arial" w:cs="Arial"/>
          <w:b/>
          <w:sz w:val="22"/>
          <w:szCs w:val="22"/>
        </w:rPr>
        <w:tab/>
        <w:t>Terms of reference</w:t>
      </w:r>
    </w:p>
    <w:p w14:paraId="6F8372FA"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on </w:t>
      </w:r>
      <w:r w:rsidR="00346B84" w:rsidRPr="00414A6D">
        <w:rPr>
          <w:rFonts w:ascii="Arial" w:hAnsi="Arial" w:cs="Arial"/>
          <w:sz w:val="22"/>
          <w:szCs w:val="22"/>
        </w:rPr>
        <w:t>Best-practice</w:t>
      </w:r>
      <w:r w:rsidRPr="00414A6D">
        <w:rPr>
          <w:rFonts w:ascii="Arial" w:hAnsi="Arial" w:cs="Arial"/>
          <w:sz w:val="22"/>
          <w:szCs w:val="22"/>
        </w:rPr>
        <w:t xml:space="preserve"> Pricing and Clinical Quality Information</w:t>
      </w:r>
      <w:r w:rsidRPr="00414A6D">
        <w:rPr>
          <w:rFonts w:ascii="Arial" w:hAnsi="Arial" w:cs="Arial"/>
          <w:b/>
          <w:sz w:val="22"/>
          <w:szCs w:val="22"/>
        </w:rPr>
        <w:t xml:space="preserve"> </w:t>
      </w:r>
      <w:r w:rsidRPr="00414A6D">
        <w:rPr>
          <w:rFonts w:ascii="Arial" w:hAnsi="Arial" w:cs="Arial"/>
          <w:sz w:val="22"/>
          <w:szCs w:val="22"/>
        </w:rPr>
        <w:t xml:space="preserve">(the </w:t>
      </w:r>
      <w:r w:rsidR="007F232E" w:rsidRPr="00414A6D">
        <w:rPr>
          <w:rFonts w:ascii="Arial" w:hAnsi="Arial" w:cs="Arial"/>
          <w:sz w:val="22"/>
          <w:szCs w:val="22"/>
        </w:rPr>
        <w:t>Sub</w:t>
      </w:r>
      <w:r w:rsidR="00C2472F" w:rsidRPr="00414A6D">
        <w:rPr>
          <w:rFonts w:ascii="Arial" w:hAnsi="Arial" w:cs="Arial"/>
          <w:sz w:val="22"/>
          <w:szCs w:val="22"/>
        </w:rPr>
        <w:noBreakHyphen/>
      </w:r>
      <w:r w:rsidR="007F232E" w:rsidRPr="00414A6D">
        <w:rPr>
          <w:rFonts w:ascii="Arial" w:hAnsi="Arial" w:cs="Arial"/>
          <w:sz w:val="22"/>
          <w:szCs w:val="22"/>
        </w:rPr>
        <w:t>Committee</w:t>
      </w:r>
      <w:r w:rsidRPr="00414A6D">
        <w:rPr>
          <w:rFonts w:ascii="Arial" w:hAnsi="Arial" w:cs="Arial"/>
          <w:sz w:val="22"/>
          <w:szCs w:val="22"/>
        </w:rPr>
        <w:t xml:space="preserve">) is established to support the JWP by developing advice on proof of concepts in select clinical areas identified as a priority by the Chair of the JWP.  Specifically, the </w:t>
      </w:r>
      <w:r w:rsidR="007F232E" w:rsidRPr="00414A6D">
        <w:rPr>
          <w:rFonts w:ascii="Arial" w:hAnsi="Arial" w:cs="Arial"/>
          <w:sz w:val="22"/>
          <w:szCs w:val="22"/>
        </w:rPr>
        <w:t>Sub</w:t>
      </w:r>
      <w:r w:rsidR="00C2472F" w:rsidRPr="00414A6D">
        <w:rPr>
          <w:rFonts w:ascii="Arial" w:hAnsi="Arial" w:cs="Arial"/>
          <w:sz w:val="22"/>
          <w:szCs w:val="22"/>
        </w:rPr>
        <w:noBreakHyphen/>
      </w:r>
      <w:r w:rsidR="007F232E" w:rsidRPr="00414A6D">
        <w:rPr>
          <w:rFonts w:ascii="Arial" w:hAnsi="Arial" w:cs="Arial"/>
          <w:sz w:val="22"/>
          <w:szCs w:val="22"/>
        </w:rPr>
        <w:t>Committee</w:t>
      </w:r>
      <w:r w:rsidRPr="00414A6D">
        <w:rPr>
          <w:rFonts w:ascii="Arial" w:hAnsi="Arial" w:cs="Arial"/>
          <w:sz w:val="22"/>
          <w:szCs w:val="22"/>
        </w:rPr>
        <w:t xml:space="preserve"> will explore, and advise the JWP on the following:</w:t>
      </w:r>
    </w:p>
    <w:p w14:paraId="20DEC1DB" w14:textId="77777777" w:rsidR="00FA3DBC" w:rsidRPr="00414A6D" w:rsidRDefault="00FA3DBC" w:rsidP="007B1510">
      <w:pPr>
        <w:pStyle w:val="ListParagraph"/>
        <w:numPr>
          <w:ilvl w:val="0"/>
          <w:numId w:val="13"/>
        </w:numPr>
        <w:spacing w:before="120" w:after="120"/>
        <w:contextualSpacing w:val="0"/>
        <w:jc w:val="both"/>
        <w:rPr>
          <w:rFonts w:ascii="Arial" w:hAnsi="Arial" w:cs="Arial"/>
          <w:sz w:val="22"/>
          <w:szCs w:val="22"/>
        </w:rPr>
      </w:pPr>
      <w:r w:rsidRPr="00414A6D">
        <w:rPr>
          <w:rFonts w:ascii="Arial" w:hAnsi="Arial" w:cs="Arial"/>
          <w:sz w:val="22"/>
          <w:szCs w:val="22"/>
        </w:rPr>
        <w:t xml:space="preserve">The requirements and feasibility of introducing </w:t>
      </w:r>
      <w:r w:rsidR="00346B84" w:rsidRPr="00414A6D">
        <w:rPr>
          <w:rFonts w:ascii="Arial" w:hAnsi="Arial" w:cs="Arial"/>
          <w:sz w:val="22"/>
          <w:szCs w:val="22"/>
        </w:rPr>
        <w:t>best-practice</w:t>
      </w:r>
      <w:r w:rsidRPr="00414A6D">
        <w:rPr>
          <w:rFonts w:ascii="Arial" w:hAnsi="Arial" w:cs="Arial"/>
          <w:sz w:val="22"/>
          <w:szCs w:val="22"/>
        </w:rPr>
        <w:t xml:space="preserve"> pricing in Australian public hospitals, with a specific focus on priority clinical areas, focusing on hip care (fractured </w:t>
      </w:r>
      <w:r w:rsidR="004C334B" w:rsidRPr="00414A6D">
        <w:rPr>
          <w:rFonts w:ascii="Arial" w:hAnsi="Arial" w:cs="Arial"/>
          <w:sz w:val="22"/>
          <w:szCs w:val="22"/>
        </w:rPr>
        <w:t>hip</w:t>
      </w:r>
      <w:r w:rsidRPr="00414A6D">
        <w:rPr>
          <w:rFonts w:ascii="Arial" w:hAnsi="Arial" w:cs="Arial"/>
          <w:sz w:val="22"/>
          <w:szCs w:val="22"/>
        </w:rPr>
        <w:t>). This includes:</w:t>
      </w:r>
    </w:p>
    <w:p w14:paraId="1CBFAABA" w14:textId="77777777" w:rsidR="00FA3DBC" w:rsidRPr="00414A6D" w:rsidRDefault="00FA3DBC" w:rsidP="007B1510">
      <w:pPr>
        <w:pStyle w:val="ListParagraph"/>
        <w:numPr>
          <w:ilvl w:val="1"/>
          <w:numId w:val="13"/>
        </w:numPr>
        <w:spacing w:before="120" w:after="120"/>
        <w:contextualSpacing w:val="0"/>
        <w:jc w:val="both"/>
        <w:rPr>
          <w:rFonts w:ascii="Arial" w:hAnsi="Arial" w:cs="Arial"/>
          <w:sz w:val="22"/>
          <w:szCs w:val="22"/>
        </w:rPr>
      </w:pPr>
      <w:r w:rsidRPr="00414A6D">
        <w:rPr>
          <w:rFonts w:ascii="Arial" w:hAnsi="Arial" w:cs="Arial"/>
          <w:sz w:val="22"/>
          <w:szCs w:val="22"/>
        </w:rPr>
        <w:t>closer examination of local and international schemes</w:t>
      </w:r>
    </w:p>
    <w:p w14:paraId="000575F2" w14:textId="77777777" w:rsidR="00F9155F" w:rsidRPr="00414A6D" w:rsidRDefault="00FA3DBC" w:rsidP="007B1510">
      <w:pPr>
        <w:pStyle w:val="ListParagraph"/>
        <w:numPr>
          <w:ilvl w:val="1"/>
          <w:numId w:val="13"/>
        </w:numPr>
        <w:spacing w:before="120" w:after="120"/>
        <w:contextualSpacing w:val="0"/>
        <w:jc w:val="both"/>
        <w:rPr>
          <w:rFonts w:ascii="Arial" w:hAnsi="Arial" w:cs="Arial"/>
          <w:sz w:val="22"/>
          <w:szCs w:val="22"/>
        </w:rPr>
      </w:pPr>
      <w:r w:rsidRPr="00414A6D">
        <w:rPr>
          <w:rFonts w:ascii="Arial" w:hAnsi="Arial" w:cs="Arial"/>
          <w:sz w:val="22"/>
          <w:szCs w:val="22"/>
        </w:rPr>
        <w:t>process for adopting or developing a clinical pathway or achieving consensus on ‘</w:t>
      </w:r>
      <w:r w:rsidR="00346B84" w:rsidRPr="00414A6D">
        <w:rPr>
          <w:rFonts w:ascii="Arial" w:hAnsi="Arial" w:cs="Arial"/>
          <w:sz w:val="22"/>
          <w:szCs w:val="22"/>
        </w:rPr>
        <w:t>best-practice</w:t>
      </w:r>
      <w:r w:rsidRPr="00414A6D">
        <w:rPr>
          <w:rFonts w:ascii="Arial" w:hAnsi="Arial" w:cs="Arial"/>
          <w:sz w:val="22"/>
          <w:szCs w:val="22"/>
        </w:rPr>
        <w:t xml:space="preserve">’, with initial focus on management of fractured </w:t>
      </w:r>
      <w:r w:rsidR="004C334B" w:rsidRPr="00414A6D">
        <w:rPr>
          <w:rFonts w:ascii="Arial" w:hAnsi="Arial" w:cs="Arial"/>
          <w:sz w:val="22"/>
          <w:szCs w:val="22"/>
        </w:rPr>
        <w:t>hip</w:t>
      </w:r>
    </w:p>
    <w:p w14:paraId="6C8A6641" w14:textId="77777777" w:rsidR="00FA3DBC" w:rsidRPr="00414A6D" w:rsidRDefault="00FA3DBC" w:rsidP="007B1510">
      <w:pPr>
        <w:pStyle w:val="ListParagraph"/>
        <w:numPr>
          <w:ilvl w:val="1"/>
          <w:numId w:val="13"/>
        </w:numPr>
        <w:spacing w:before="120" w:after="120"/>
        <w:contextualSpacing w:val="0"/>
        <w:jc w:val="both"/>
        <w:rPr>
          <w:rFonts w:ascii="Arial" w:hAnsi="Arial" w:cs="Arial"/>
          <w:sz w:val="22"/>
          <w:szCs w:val="22"/>
        </w:rPr>
      </w:pPr>
      <w:proofErr w:type="gramStart"/>
      <w:r w:rsidRPr="00414A6D">
        <w:rPr>
          <w:rFonts w:ascii="Arial" w:hAnsi="Arial" w:cs="Arial"/>
          <w:sz w:val="22"/>
          <w:szCs w:val="22"/>
        </w:rPr>
        <w:t>preliminary</w:t>
      </w:r>
      <w:proofErr w:type="gramEnd"/>
      <w:r w:rsidRPr="00414A6D">
        <w:rPr>
          <w:rFonts w:ascii="Arial" w:hAnsi="Arial" w:cs="Arial"/>
          <w:sz w:val="22"/>
          <w:szCs w:val="22"/>
        </w:rPr>
        <w:t xml:space="preserve"> scoping of a national </w:t>
      </w:r>
      <w:r w:rsidR="00346B84" w:rsidRPr="00414A6D">
        <w:rPr>
          <w:rFonts w:ascii="Arial" w:hAnsi="Arial" w:cs="Arial"/>
          <w:sz w:val="22"/>
          <w:szCs w:val="22"/>
        </w:rPr>
        <w:t>best-practice</w:t>
      </w:r>
      <w:r w:rsidRPr="00414A6D">
        <w:rPr>
          <w:rFonts w:ascii="Arial" w:hAnsi="Arial" w:cs="Arial"/>
          <w:sz w:val="22"/>
          <w:szCs w:val="22"/>
        </w:rPr>
        <w:t xml:space="preserve"> pricing model in the Australian public hospital funding context in light of (a) and (b).</w:t>
      </w:r>
    </w:p>
    <w:p w14:paraId="1481C54D" w14:textId="77777777" w:rsidR="00FA3DBC" w:rsidRPr="00414A6D" w:rsidRDefault="00FA3DBC" w:rsidP="007B1510">
      <w:pPr>
        <w:pStyle w:val="ListParagraph"/>
        <w:numPr>
          <w:ilvl w:val="0"/>
          <w:numId w:val="13"/>
        </w:numPr>
        <w:spacing w:before="120" w:after="120"/>
        <w:ind w:left="714" w:hanging="357"/>
        <w:contextualSpacing w:val="0"/>
        <w:jc w:val="both"/>
        <w:rPr>
          <w:rFonts w:ascii="Arial" w:hAnsi="Arial" w:cs="Arial"/>
          <w:sz w:val="22"/>
          <w:szCs w:val="22"/>
        </w:rPr>
      </w:pPr>
      <w:r w:rsidRPr="00414A6D">
        <w:rPr>
          <w:rFonts w:ascii="Arial" w:hAnsi="Arial" w:cs="Arial"/>
          <w:sz w:val="22"/>
          <w:szCs w:val="22"/>
        </w:rPr>
        <w:t xml:space="preserve">An appropriate mechanism and format for providing safety and quality data to clinical teams and hospital leaders to drive quality improvement (including patient experience). This mechanism should support implementation of </w:t>
      </w:r>
      <w:r w:rsidR="00346B84" w:rsidRPr="00414A6D">
        <w:rPr>
          <w:rFonts w:ascii="Arial" w:hAnsi="Arial" w:cs="Arial"/>
          <w:sz w:val="22"/>
          <w:szCs w:val="22"/>
        </w:rPr>
        <w:t>best-practice</w:t>
      </w:r>
      <w:r w:rsidRPr="00414A6D">
        <w:rPr>
          <w:rFonts w:ascii="Arial" w:hAnsi="Arial" w:cs="Arial"/>
          <w:sz w:val="22"/>
          <w:szCs w:val="22"/>
        </w:rPr>
        <w:t xml:space="preserve"> pricing in priority clinical areas, with a focus on hip care. </w:t>
      </w:r>
    </w:p>
    <w:p w14:paraId="517ADBC9"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is not expected to undertake pilot work, or explore mechanisms that would involve public reporting. </w:t>
      </w:r>
    </w:p>
    <w:p w14:paraId="714E8C6D" w14:textId="77777777" w:rsidR="00FA3DBC" w:rsidRPr="00414A6D" w:rsidRDefault="00FA3DBC" w:rsidP="00D147A4">
      <w:pPr>
        <w:spacing w:before="120" w:after="120"/>
        <w:jc w:val="both"/>
        <w:rPr>
          <w:rFonts w:ascii="Arial" w:hAnsi="Arial" w:cs="Arial"/>
          <w:sz w:val="22"/>
          <w:szCs w:val="22"/>
        </w:rPr>
      </w:pPr>
      <w:r w:rsidRPr="00414A6D">
        <w:rPr>
          <w:rFonts w:ascii="Arial" w:hAnsi="Arial" w:cs="Arial"/>
          <w:sz w:val="22"/>
          <w:szCs w:val="22"/>
        </w:rPr>
        <w:t xml:space="preserve">In exploring and advising the JWP on these matters, the </w:t>
      </w:r>
      <w:r w:rsidR="007F232E" w:rsidRPr="00414A6D">
        <w:rPr>
          <w:rFonts w:ascii="Arial" w:hAnsi="Arial" w:cs="Arial"/>
          <w:sz w:val="22"/>
          <w:szCs w:val="22"/>
        </w:rPr>
        <w:t>Sub-Committee</w:t>
      </w:r>
      <w:r w:rsidRPr="00414A6D">
        <w:rPr>
          <w:rFonts w:ascii="Arial" w:hAnsi="Arial" w:cs="Arial"/>
          <w:sz w:val="22"/>
          <w:szCs w:val="22"/>
        </w:rPr>
        <w:t xml:space="preserve"> will communicate with the appropriate agencies including, but not limited to, the Commission, IHPA and clinical specialty groups.</w:t>
      </w:r>
    </w:p>
    <w:p w14:paraId="6D6E2CB4" w14:textId="77777777" w:rsidR="00FA3DBC" w:rsidRPr="00414A6D" w:rsidRDefault="00FA3DBC" w:rsidP="00D147A4">
      <w:pPr>
        <w:spacing w:before="120" w:after="120"/>
        <w:jc w:val="both"/>
        <w:rPr>
          <w:rFonts w:ascii="Arial" w:hAnsi="Arial" w:cs="Arial"/>
          <w:b/>
          <w:sz w:val="22"/>
          <w:szCs w:val="22"/>
        </w:rPr>
      </w:pPr>
      <w:r w:rsidRPr="00414A6D">
        <w:rPr>
          <w:rFonts w:ascii="Arial" w:hAnsi="Arial" w:cs="Arial"/>
          <w:b/>
          <w:sz w:val="22"/>
          <w:szCs w:val="22"/>
        </w:rPr>
        <w:t xml:space="preserve"> </w:t>
      </w:r>
    </w:p>
    <w:p w14:paraId="36B5E004" w14:textId="77777777" w:rsidR="00FA3DBC" w:rsidRPr="00414A6D" w:rsidRDefault="00FA3DBC" w:rsidP="00D147A4">
      <w:pPr>
        <w:spacing w:before="120" w:after="120"/>
        <w:jc w:val="both"/>
        <w:rPr>
          <w:rFonts w:ascii="Arial" w:hAnsi="Arial" w:cs="Arial"/>
          <w:b/>
          <w:sz w:val="22"/>
          <w:szCs w:val="22"/>
        </w:rPr>
      </w:pPr>
      <w:r w:rsidRPr="00414A6D">
        <w:rPr>
          <w:rFonts w:ascii="Arial" w:hAnsi="Arial" w:cs="Arial"/>
          <w:b/>
          <w:sz w:val="22"/>
          <w:szCs w:val="22"/>
        </w:rPr>
        <w:t>4.</w:t>
      </w:r>
      <w:r w:rsidRPr="00414A6D">
        <w:rPr>
          <w:rFonts w:ascii="Arial" w:hAnsi="Arial" w:cs="Arial"/>
          <w:b/>
          <w:sz w:val="22"/>
          <w:szCs w:val="22"/>
        </w:rPr>
        <w:tab/>
        <w:t>Membership</w:t>
      </w:r>
    </w:p>
    <w:tbl>
      <w:tblPr>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15"/>
        <w:gridCol w:w="5760"/>
      </w:tblGrid>
      <w:tr w:rsidR="00FA3DBC" w:rsidRPr="00414A6D" w14:paraId="544DF736"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tcPr>
          <w:p w14:paraId="7A5FBF35"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b/>
                <w:bCs/>
                <w:sz w:val="21"/>
                <w:szCs w:val="21"/>
                <w:lang w:val="en-US" w:eastAsia="ja-JP"/>
              </w:rPr>
              <w:t>Member</w:t>
            </w:r>
          </w:p>
        </w:tc>
        <w:tc>
          <w:tcPr>
            <w:tcW w:w="5760" w:type="dxa"/>
            <w:tcBorders>
              <w:top w:val="outset" w:sz="6" w:space="0" w:color="auto"/>
              <w:left w:val="outset" w:sz="6" w:space="0" w:color="auto"/>
              <w:bottom w:val="outset" w:sz="6" w:space="0" w:color="auto"/>
              <w:right w:val="outset" w:sz="6" w:space="0" w:color="auto"/>
            </w:tcBorders>
          </w:tcPr>
          <w:p w14:paraId="46375894"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b/>
                <w:bCs/>
                <w:sz w:val="21"/>
                <w:szCs w:val="21"/>
                <w:lang w:val="en-US" w:eastAsia="ja-JP"/>
              </w:rPr>
              <w:t>Position</w:t>
            </w:r>
          </w:p>
        </w:tc>
      </w:tr>
      <w:tr w:rsidR="00FA3DBC" w:rsidRPr="00414A6D" w14:paraId="6AC23AEA"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4E11BD77"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Diane Watson (Co-Chair)</w:t>
            </w:r>
          </w:p>
        </w:tc>
        <w:tc>
          <w:tcPr>
            <w:tcW w:w="5760" w:type="dxa"/>
            <w:tcBorders>
              <w:top w:val="outset" w:sz="6" w:space="0" w:color="auto"/>
              <w:left w:val="outset" w:sz="6" w:space="0" w:color="auto"/>
              <w:bottom w:val="outset" w:sz="6" w:space="0" w:color="auto"/>
              <w:right w:val="outset" w:sz="6" w:space="0" w:color="auto"/>
            </w:tcBorders>
            <w:vAlign w:val="center"/>
          </w:tcPr>
          <w:p w14:paraId="199E58D2"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CEO National Health Performance Authority</w:t>
            </w:r>
          </w:p>
        </w:tc>
      </w:tr>
      <w:tr w:rsidR="00FA3DBC" w:rsidRPr="00414A6D" w14:paraId="3D91DD15"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385B1FEA"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Robert Herkes (Co-Chair)</w:t>
            </w:r>
          </w:p>
        </w:tc>
        <w:tc>
          <w:tcPr>
            <w:tcW w:w="5760" w:type="dxa"/>
            <w:tcBorders>
              <w:top w:val="outset" w:sz="6" w:space="0" w:color="auto"/>
              <w:left w:val="outset" w:sz="6" w:space="0" w:color="auto"/>
              <w:bottom w:val="outset" w:sz="6" w:space="0" w:color="auto"/>
              <w:right w:val="outset" w:sz="6" w:space="0" w:color="auto"/>
            </w:tcBorders>
            <w:vAlign w:val="center"/>
          </w:tcPr>
          <w:p w14:paraId="1AE425FB"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Clinical Director, Australian Commission on Safety and Quality in Health Care</w:t>
            </w:r>
          </w:p>
        </w:tc>
      </w:tr>
      <w:tr w:rsidR="00FA3DBC" w:rsidRPr="00414A6D" w14:paraId="2AB7B61D"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1FDB52BC"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A/ Professor Brian </w:t>
            </w:r>
            <w:proofErr w:type="spellStart"/>
            <w:r w:rsidRPr="00414A6D">
              <w:rPr>
                <w:rFonts w:ascii="Arial" w:eastAsia="MS Mincho" w:hAnsi="Arial" w:cs="Arial"/>
                <w:sz w:val="21"/>
                <w:szCs w:val="21"/>
                <w:lang w:val="en-US" w:eastAsia="ja-JP"/>
              </w:rPr>
              <w:t>McCaughan</w:t>
            </w:r>
            <w:proofErr w:type="spellEnd"/>
          </w:p>
        </w:tc>
        <w:tc>
          <w:tcPr>
            <w:tcW w:w="5760" w:type="dxa"/>
            <w:tcBorders>
              <w:top w:val="outset" w:sz="6" w:space="0" w:color="auto"/>
              <w:left w:val="outset" w:sz="6" w:space="0" w:color="auto"/>
              <w:bottom w:val="outset" w:sz="6" w:space="0" w:color="auto"/>
              <w:right w:val="outset" w:sz="6" w:space="0" w:color="auto"/>
            </w:tcBorders>
            <w:vAlign w:val="center"/>
          </w:tcPr>
          <w:p w14:paraId="3C01C38C"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Cardiothoracic surgeon, Board Chair, Clinical Excellence Commission Board Chair, Agency for Clinical Innovation</w:t>
            </w:r>
          </w:p>
        </w:tc>
      </w:tr>
      <w:tr w:rsidR="00FA3DBC" w:rsidRPr="00414A6D" w14:paraId="5CDFFA48"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64D251B9"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Stephen Christley</w:t>
            </w:r>
          </w:p>
        </w:tc>
        <w:tc>
          <w:tcPr>
            <w:tcW w:w="5760" w:type="dxa"/>
            <w:tcBorders>
              <w:top w:val="outset" w:sz="6" w:space="0" w:color="auto"/>
              <w:left w:val="outset" w:sz="6" w:space="0" w:color="auto"/>
              <w:bottom w:val="outset" w:sz="6" w:space="0" w:color="auto"/>
              <w:right w:val="outset" w:sz="6" w:space="0" w:color="auto"/>
            </w:tcBorders>
            <w:vAlign w:val="center"/>
          </w:tcPr>
          <w:p w14:paraId="73960237"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Chief Public Health Officer and Executive Director, Public Health and Clinical Systems at SA Health</w:t>
            </w:r>
          </w:p>
        </w:tc>
      </w:tr>
      <w:tr w:rsidR="00FA3DBC" w:rsidRPr="00414A6D" w14:paraId="2DCDFC16"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17917134"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A/ Professor Graham Reynolds</w:t>
            </w:r>
          </w:p>
        </w:tc>
        <w:tc>
          <w:tcPr>
            <w:tcW w:w="5760" w:type="dxa"/>
            <w:tcBorders>
              <w:top w:val="outset" w:sz="6" w:space="0" w:color="auto"/>
              <w:left w:val="outset" w:sz="6" w:space="0" w:color="auto"/>
              <w:bottom w:val="outset" w:sz="6" w:space="0" w:color="auto"/>
              <w:right w:val="outset" w:sz="6" w:space="0" w:color="auto"/>
            </w:tcBorders>
            <w:vAlign w:val="center"/>
          </w:tcPr>
          <w:p w14:paraId="41B09196"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Consultant </w:t>
            </w:r>
            <w:proofErr w:type="spellStart"/>
            <w:r w:rsidRPr="00414A6D">
              <w:rPr>
                <w:rFonts w:ascii="Arial" w:eastAsia="MS Mincho" w:hAnsi="Arial" w:cs="Arial"/>
                <w:sz w:val="21"/>
                <w:szCs w:val="21"/>
                <w:lang w:val="en-US" w:eastAsia="ja-JP"/>
              </w:rPr>
              <w:t>Paediatrician</w:t>
            </w:r>
            <w:proofErr w:type="spellEnd"/>
            <w:r w:rsidRPr="00414A6D">
              <w:rPr>
                <w:rFonts w:ascii="Arial" w:eastAsia="MS Mincho" w:hAnsi="Arial" w:cs="Arial"/>
                <w:sz w:val="21"/>
                <w:szCs w:val="21"/>
                <w:lang w:val="en-US" w:eastAsia="ja-JP"/>
              </w:rPr>
              <w:t xml:space="preserve"> and Associate Dean (admissions) Australian National University Medical School</w:t>
            </w:r>
          </w:p>
        </w:tc>
      </w:tr>
      <w:tr w:rsidR="00FA3DBC" w:rsidRPr="00414A6D" w14:paraId="5A6EBC11"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524CB49A"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Dr Karen Luxford</w:t>
            </w:r>
          </w:p>
        </w:tc>
        <w:tc>
          <w:tcPr>
            <w:tcW w:w="5760" w:type="dxa"/>
            <w:tcBorders>
              <w:top w:val="outset" w:sz="6" w:space="0" w:color="auto"/>
              <w:left w:val="outset" w:sz="6" w:space="0" w:color="auto"/>
              <w:bottom w:val="outset" w:sz="6" w:space="0" w:color="auto"/>
              <w:right w:val="outset" w:sz="6" w:space="0" w:color="auto"/>
            </w:tcBorders>
            <w:vAlign w:val="center"/>
          </w:tcPr>
          <w:p w14:paraId="63B96544"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Director Patient Based Care, Clinical Excellence Commission, NSW Health </w:t>
            </w:r>
          </w:p>
        </w:tc>
      </w:tr>
      <w:tr w:rsidR="00FA3DBC" w:rsidRPr="00414A6D" w14:paraId="6F763BC2"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6531B443" w14:textId="77777777" w:rsidR="00FA3DBC" w:rsidRPr="00414A6D" w:rsidRDefault="00FA3DBC" w:rsidP="00D147A4">
            <w:pPr>
              <w:jc w:val="both"/>
              <w:rPr>
                <w:rFonts w:ascii="Arial" w:hAnsi="Arial" w:cs="Arial"/>
                <w:color w:val="000000"/>
                <w:sz w:val="20"/>
                <w:szCs w:val="20"/>
              </w:rPr>
            </w:pPr>
            <w:r w:rsidRPr="00414A6D">
              <w:rPr>
                <w:rFonts w:ascii="Arial" w:eastAsia="MS Mincho" w:hAnsi="Arial" w:cs="Arial"/>
                <w:sz w:val="21"/>
                <w:szCs w:val="21"/>
                <w:lang w:val="en-US" w:eastAsia="ja-JP"/>
              </w:rPr>
              <w:lastRenderedPageBreak/>
              <w:t>Ms Janet Anderson (or Commonwealth nominee)</w:t>
            </w:r>
          </w:p>
        </w:tc>
        <w:tc>
          <w:tcPr>
            <w:tcW w:w="5760" w:type="dxa"/>
            <w:tcBorders>
              <w:top w:val="outset" w:sz="6" w:space="0" w:color="auto"/>
              <w:left w:val="outset" w:sz="6" w:space="0" w:color="auto"/>
              <w:bottom w:val="outset" w:sz="6" w:space="0" w:color="auto"/>
              <w:right w:val="outset" w:sz="6" w:space="0" w:color="auto"/>
            </w:tcBorders>
            <w:vAlign w:val="center"/>
          </w:tcPr>
          <w:p w14:paraId="3EDD513F" w14:textId="77777777" w:rsidR="00FA3DBC" w:rsidRPr="00414A6D" w:rsidRDefault="00FA3DBC" w:rsidP="00D147A4">
            <w:pPr>
              <w:jc w:val="both"/>
              <w:rPr>
                <w:rFonts w:ascii="Arial" w:hAnsi="Arial" w:cs="Arial"/>
                <w:sz w:val="21"/>
                <w:szCs w:val="21"/>
              </w:rPr>
            </w:pPr>
            <w:r w:rsidRPr="00414A6D">
              <w:rPr>
                <w:rFonts w:ascii="Arial" w:hAnsi="Arial" w:cs="Arial"/>
                <w:sz w:val="21"/>
                <w:szCs w:val="21"/>
              </w:rPr>
              <w:t xml:space="preserve">First Assistant Secretary, </w:t>
            </w:r>
            <w:r w:rsidRPr="00414A6D">
              <w:rPr>
                <w:rFonts w:ascii="Arial" w:eastAsia="MS Mincho" w:hAnsi="Arial" w:cs="Arial"/>
                <w:sz w:val="21"/>
                <w:szCs w:val="21"/>
                <w:lang w:val="en-US" w:eastAsia="ja-JP"/>
              </w:rPr>
              <w:t>Acute Care Division</w:t>
            </w:r>
          </w:p>
          <w:p w14:paraId="4B82AEBC" w14:textId="77777777" w:rsidR="00FA3DBC" w:rsidRPr="00414A6D" w:rsidRDefault="00FA3DBC" w:rsidP="00D147A4">
            <w:pPr>
              <w:jc w:val="both"/>
              <w:rPr>
                <w:rFonts w:ascii="Arial" w:hAnsi="Arial" w:cs="Arial"/>
                <w:color w:val="000000"/>
                <w:sz w:val="20"/>
                <w:szCs w:val="20"/>
              </w:rPr>
            </w:pPr>
            <w:r w:rsidRPr="00414A6D">
              <w:rPr>
                <w:rFonts w:ascii="Arial" w:hAnsi="Arial" w:cs="Arial"/>
                <w:sz w:val="21"/>
                <w:szCs w:val="21"/>
              </w:rPr>
              <w:t>Australian Government Department of Health</w:t>
            </w:r>
          </w:p>
        </w:tc>
      </w:tr>
      <w:tr w:rsidR="00FA3DBC" w:rsidRPr="00414A6D" w14:paraId="06D60F25"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25DF7D09"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Prof Bernard Whitfield</w:t>
            </w:r>
          </w:p>
        </w:tc>
        <w:tc>
          <w:tcPr>
            <w:tcW w:w="5760" w:type="dxa"/>
            <w:tcBorders>
              <w:top w:val="outset" w:sz="6" w:space="0" w:color="auto"/>
              <w:left w:val="outset" w:sz="6" w:space="0" w:color="auto"/>
              <w:bottom w:val="outset" w:sz="6" w:space="0" w:color="auto"/>
              <w:right w:val="outset" w:sz="6" w:space="0" w:color="auto"/>
            </w:tcBorders>
            <w:vAlign w:val="center"/>
          </w:tcPr>
          <w:p w14:paraId="09CC89FB" w14:textId="77777777" w:rsidR="00FA3DBC" w:rsidRPr="00414A6D" w:rsidRDefault="00FA3DBC" w:rsidP="00D147A4">
            <w:pPr>
              <w:jc w:val="both"/>
              <w:rPr>
                <w:rFonts w:ascii="Arial" w:hAnsi="Arial" w:cs="Arial"/>
                <w:sz w:val="21"/>
                <w:szCs w:val="21"/>
              </w:rPr>
            </w:pPr>
            <w:r w:rsidRPr="00414A6D">
              <w:rPr>
                <w:rFonts w:ascii="Arial" w:hAnsi="Arial" w:cs="Arial"/>
                <w:sz w:val="21"/>
                <w:szCs w:val="21"/>
              </w:rPr>
              <w:t>Otolaryngology Head and Neck Chair – Royal Australasian College of Surgeons (QLD)</w:t>
            </w:r>
          </w:p>
        </w:tc>
      </w:tr>
      <w:tr w:rsidR="00FA3DBC" w:rsidRPr="00414A6D" w14:paraId="60A36E42"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5D0FB151"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Ms Cindy Schultz-Ferguson</w:t>
            </w:r>
          </w:p>
        </w:tc>
        <w:tc>
          <w:tcPr>
            <w:tcW w:w="5760" w:type="dxa"/>
            <w:tcBorders>
              <w:top w:val="outset" w:sz="6" w:space="0" w:color="auto"/>
              <w:left w:val="outset" w:sz="6" w:space="0" w:color="auto"/>
              <w:bottom w:val="outset" w:sz="6" w:space="0" w:color="auto"/>
              <w:right w:val="outset" w:sz="6" w:space="0" w:color="auto"/>
            </w:tcBorders>
            <w:vAlign w:val="center"/>
          </w:tcPr>
          <w:p w14:paraId="3E125714"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Nominee Consumers' Health Forum</w:t>
            </w:r>
          </w:p>
        </w:tc>
      </w:tr>
      <w:tr w:rsidR="00FA3DBC" w:rsidRPr="00414A6D" w14:paraId="5D5E36E7"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78C9CB91"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Professor Jaqueline Close</w:t>
            </w:r>
          </w:p>
        </w:tc>
        <w:tc>
          <w:tcPr>
            <w:tcW w:w="5760" w:type="dxa"/>
            <w:tcBorders>
              <w:top w:val="outset" w:sz="6" w:space="0" w:color="auto"/>
              <w:left w:val="outset" w:sz="6" w:space="0" w:color="auto"/>
              <w:bottom w:val="outset" w:sz="6" w:space="0" w:color="auto"/>
              <w:right w:val="outset" w:sz="6" w:space="0" w:color="auto"/>
            </w:tcBorders>
            <w:vAlign w:val="center"/>
          </w:tcPr>
          <w:p w14:paraId="70936199" w14:textId="77777777" w:rsidR="00FA3DBC" w:rsidRPr="00414A6D" w:rsidRDefault="00FA3DBC" w:rsidP="00D147A4">
            <w:pPr>
              <w:jc w:val="both"/>
              <w:rPr>
                <w:rFonts w:ascii="Arial" w:hAnsi="Arial" w:cs="Arial"/>
                <w:sz w:val="21"/>
                <w:szCs w:val="21"/>
              </w:rPr>
            </w:pPr>
            <w:r w:rsidRPr="00414A6D">
              <w:rPr>
                <w:rFonts w:ascii="Arial" w:hAnsi="Arial" w:cs="Arial"/>
                <w:sz w:val="21"/>
                <w:szCs w:val="21"/>
              </w:rPr>
              <w:t>Conjoint Professor, UNSW</w:t>
            </w:r>
          </w:p>
          <w:p w14:paraId="61142863" w14:textId="77777777" w:rsidR="00FA3DBC" w:rsidRPr="00414A6D" w:rsidRDefault="00FA3DBC" w:rsidP="00D147A4">
            <w:pPr>
              <w:jc w:val="both"/>
              <w:rPr>
                <w:rFonts w:ascii="Arial" w:hAnsi="Arial" w:cs="Arial"/>
                <w:color w:val="333333"/>
                <w:sz w:val="18"/>
                <w:szCs w:val="18"/>
              </w:rPr>
            </w:pPr>
            <w:r w:rsidRPr="00414A6D">
              <w:rPr>
                <w:rFonts w:ascii="Arial" w:hAnsi="Arial" w:cs="Arial"/>
                <w:sz w:val="21"/>
                <w:szCs w:val="21"/>
              </w:rPr>
              <w:t>Consultant Geriatrician, Prince of Wales Hospital</w:t>
            </w:r>
          </w:p>
        </w:tc>
      </w:tr>
      <w:tr w:rsidR="00FA3DBC" w:rsidRPr="00414A6D" w14:paraId="593C3C22"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shd w:val="clear" w:color="auto" w:fill="auto"/>
            <w:vAlign w:val="center"/>
          </w:tcPr>
          <w:p w14:paraId="026D2D10"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Professor Ian Harris</w:t>
            </w:r>
          </w:p>
        </w:tc>
        <w:tc>
          <w:tcPr>
            <w:tcW w:w="5760" w:type="dxa"/>
            <w:tcBorders>
              <w:top w:val="outset" w:sz="6" w:space="0" w:color="auto"/>
              <w:left w:val="outset" w:sz="6" w:space="0" w:color="auto"/>
              <w:bottom w:val="outset" w:sz="6" w:space="0" w:color="auto"/>
              <w:right w:val="outset" w:sz="6" w:space="0" w:color="auto"/>
            </w:tcBorders>
            <w:shd w:val="clear" w:color="auto" w:fill="auto"/>
            <w:vAlign w:val="center"/>
          </w:tcPr>
          <w:p w14:paraId="31667CEE" w14:textId="77777777" w:rsidR="00FA3DBC" w:rsidRPr="00414A6D" w:rsidRDefault="00FA3DBC" w:rsidP="00D147A4">
            <w:pPr>
              <w:jc w:val="both"/>
              <w:rPr>
                <w:rFonts w:ascii="Arial" w:hAnsi="Arial" w:cs="Arial"/>
                <w:sz w:val="21"/>
                <w:szCs w:val="21"/>
              </w:rPr>
            </w:pPr>
            <w:r w:rsidRPr="00414A6D">
              <w:rPr>
                <w:rFonts w:ascii="Arial" w:hAnsi="Arial" w:cs="Arial"/>
                <w:sz w:val="21"/>
                <w:szCs w:val="21"/>
              </w:rPr>
              <w:t xml:space="preserve">Professor of Orthopaedic Surgery, </w:t>
            </w:r>
          </w:p>
          <w:p w14:paraId="43D38031" w14:textId="77777777" w:rsidR="00FA3DBC" w:rsidRPr="00414A6D" w:rsidRDefault="00FA3DBC" w:rsidP="00D147A4">
            <w:pPr>
              <w:jc w:val="both"/>
              <w:rPr>
                <w:rFonts w:ascii="Arial" w:hAnsi="Arial" w:cs="Arial"/>
                <w:sz w:val="21"/>
                <w:szCs w:val="21"/>
              </w:rPr>
            </w:pPr>
            <w:r w:rsidRPr="00414A6D">
              <w:rPr>
                <w:rFonts w:ascii="Arial" w:hAnsi="Arial" w:cs="Arial"/>
                <w:sz w:val="21"/>
                <w:szCs w:val="21"/>
              </w:rPr>
              <w:t xml:space="preserve">University of NSW, Director of surgical specialties, </w:t>
            </w:r>
          </w:p>
          <w:p w14:paraId="23E9BE74" w14:textId="77777777" w:rsidR="00FA3DBC" w:rsidRPr="00414A6D" w:rsidRDefault="00FA3DBC" w:rsidP="00D147A4">
            <w:pPr>
              <w:jc w:val="both"/>
              <w:rPr>
                <w:rFonts w:ascii="Arial" w:hAnsi="Arial" w:cs="Arial"/>
                <w:sz w:val="21"/>
                <w:szCs w:val="21"/>
              </w:rPr>
            </w:pPr>
            <w:r w:rsidRPr="00414A6D">
              <w:rPr>
                <w:rFonts w:ascii="Arial" w:hAnsi="Arial" w:cs="Arial"/>
                <w:sz w:val="21"/>
                <w:szCs w:val="21"/>
              </w:rPr>
              <w:t>South Western Sydney Local Health District</w:t>
            </w:r>
          </w:p>
        </w:tc>
      </w:tr>
      <w:tr w:rsidR="00FA3DBC" w:rsidRPr="00414A6D" w14:paraId="4C872DC3" w14:textId="77777777" w:rsidTr="00191FCB">
        <w:trPr>
          <w:tblCellSpacing w:w="0" w:type="dxa"/>
        </w:trPr>
        <w:tc>
          <w:tcPr>
            <w:tcW w:w="3015" w:type="dxa"/>
            <w:tcBorders>
              <w:top w:val="outset" w:sz="6" w:space="0" w:color="auto"/>
              <w:left w:val="outset" w:sz="6" w:space="0" w:color="auto"/>
              <w:bottom w:val="outset" w:sz="6" w:space="0" w:color="auto"/>
              <w:right w:val="outset" w:sz="6" w:space="0" w:color="auto"/>
            </w:tcBorders>
            <w:vAlign w:val="center"/>
          </w:tcPr>
          <w:p w14:paraId="76DBD5F1" w14:textId="77777777" w:rsidR="00FA3DBC" w:rsidRPr="00414A6D" w:rsidRDefault="00FA3DBC" w:rsidP="00D147A4">
            <w:pPr>
              <w:jc w:val="both"/>
              <w:rPr>
                <w:rFonts w:ascii="Arial" w:eastAsia="MS Mincho" w:hAnsi="Arial" w:cs="Arial"/>
                <w:sz w:val="21"/>
                <w:szCs w:val="21"/>
                <w:highlight w:val="yellow"/>
                <w:lang w:val="en-US" w:eastAsia="ja-JP"/>
              </w:rPr>
            </w:pPr>
            <w:r w:rsidRPr="00414A6D">
              <w:rPr>
                <w:rFonts w:ascii="Arial" w:eastAsia="MS Mincho" w:hAnsi="Arial" w:cs="Arial"/>
                <w:sz w:val="21"/>
                <w:szCs w:val="21"/>
                <w:lang w:val="en-US" w:eastAsia="ja-JP"/>
              </w:rPr>
              <w:t>Ms Frances Diver</w:t>
            </w:r>
          </w:p>
        </w:tc>
        <w:tc>
          <w:tcPr>
            <w:tcW w:w="5760" w:type="dxa"/>
            <w:tcBorders>
              <w:top w:val="outset" w:sz="6" w:space="0" w:color="auto"/>
              <w:left w:val="outset" w:sz="6" w:space="0" w:color="auto"/>
              <w:bottom w:val="outset" w:sz="6" w:space="0" w:color="auto"/>
              <w:right w:val="outset" w:sz="6" w:space="0" w:color="auto"/>
            </w:tcBorders>
            <w:vAlign w:val="center"/>
          </w:tcPr>
          <w:p w14:paraId="6AAB6679" w14:textId="77777777" w:rsidR="00FA3DBC" w:rsidRPr="00414A6D" w:rsidRDefault="00FA3DBC" w:rsidP="00D147A4">
            <w:pPr>
              <w:jc w:val="both"/>
              <w:rPr>
                <w:rFonts w:ascii="Arial" w:hAnsi="Arial" w:cs="Arial"/>
                <w:sz w:val="21"/>
                <w:szCs w:val="21"/>
                <w:highlight w:val="yellow"/>
              </w:rPr>
            </w:pPr>
            <w:r w:rsidRPr="00414A6D">
              <w:rPr>
                <w:rFonts w:ascii="Arial" w:hAnsi="Arial" w:cs="Arial"/>
                <w:sz w:val="21"/>
                <w:szCs w:val="21"/>
              </w:rPr>
              <w:t>Deputy Secretary, Health Service Performance and Programs, Victorian Department of Health</w:t>
            </w:r>
          </w:p>
        </w:tc>
      </w:tr>
    </w:tbl>
    <w:p w14:paraId="78F36AB4" w14:textId="77777777" w:rsidR="00FA3DBC" w:rsidRPr="00414A6D" w:rsidRDefault="00FA3DBC" w:rsidP="00D147A4">
      <w:pPr>
        <w:spacing w:before="120" w:after="120"/>
        <w:jc w:val="both"/>
        <w:rPr>
          <w:rFonts w:ascii="Arial" w:hAnsi="Arial" w:cs="Arial"/>
          <w:sz w:val="22"/>
          <w:szCs w:val="22"/>
          <w:lang w:val="en-US"/>
        </w:rPr>
      </w:pPr>
    </w:p>
    <w:p w14:paraId="2D516591" w14:textId="77777777" w:rsidR="00FA3DBC" w:rsidRPr="00414A6D" w:rsidRDefault="00FA3DBC" w:rsidP="00D147A4">
      <w:pPr>
        <w:spacing w:before="120" w:after="120"/>
        <w:jc w:val="both"/>
        <w:rPr>
          <w:rFonts w:ascii="Arial" w:hAnsi="Arial" w:cs="Arial"/>
          <w:sz w:val="22"/>
          <w:szCs w:val="22"/>
          <w:lang w:val="en-US"/>
        </w:rPr>
      </w:pPr>
      <w:r w:rsidRPr="00414A6D">
        <w:rPr>
          <w:rFonts w:ascii="Arial" w:hAnsi="Arial" w:cs="Arial"/>
          <w:sz w:val="22"/>
          <w:szCs w:val="22"/>
          <w:lang w:val="en-US"/>
        </w:rPr>
        <w:t>Other attendees</w:t>
      </w:r>
    </w:p>
    <w:tbl>
      <w:tblPr>
        <w:tblStyle w:val="TableGrid"/>
        <w:tblW w:w="0" w:type="auto"/>
        <w:tblLook w:val="04A0" w:firstRow="1" w:lastRow="0" w:firstColumn="1" w:lastColumn="0" w:noHBand="0" w:noVBand="1"/>
      </w:tblPr>
      <w:tblGrid>
        <w:gridCol w:w="3005"/>
        <w:gridCol w:w="6237"/>
      </w:tblGrid>
      <w:tr w:rsidR="00FA3DBC" w:rsidRPr="00414A6D" w14:paraId="043DB3DA" w14:textId="77777777" w:rsidTr="00191FCB">
        <w:tc>
          <w:tcPr>
            <w:tcW w:w="3085" w:type="dxa"/>
            <w:vAlign w:val="center"/>
          </w:tcPr>
          <w:p w14:paraId="26B22DFD" w14:textId="77777777" w:rsidR="00FA3DBC" w:rsidRPr="00414A6D" w:rsidRDefault="00FA3DBC" w:rsidP="00D147A4">
            <w:pPr>
              <w:jc w:val="both"/>
              <w:rPr>
                <w:rFonts w:ascii="Arial" w:hAnsi="Arial" w:cs="Arial"/>
                <w:sz w:val="22"/>
                <w:szCs w:val="22"/>
                <w:lang w:val="en-US"/>
              </w:rPr>
            </w:pPr>
            <w:proofErr w:type="spellStart"/>
            <w:r w:rsidRPr="00414A6D">
              <w:rPr>
                <w:rFonts w:ascii="Arial" w:eastAsia="MS Mincho" w:hAnsi="Arial" w:cs="Arial"/>
                <w:sz w:val="21"/>
                <w:szCs w:val="21"/>
                <w:lang w:val="en-US" w:eastAsia="ja-JP"/>
              </w:rPr>
              <w:t>Mr</w:t>
            </w:r>
            <w:proofErr w:type="spellEnd"/>
            <w:r w:rsidRPr="00414A6D">
              <w:rPr>
                <w:rFonts w:ascii="Arial" w:eastAsia="MS Mincho" w:hAnsi="Arial" w:cs="Arial"/>
                <w:sz w:val="21"/>
                <w:szCs w:val="21"/>
                <w:lang w:val="en-US" w:eastAsia="ja-JP"/>
              </w:rPr>
              <w:t xml:space="preserve"> Luke Clarke</w:t>
            </w:r>
          </w:p>
        </w:tc>
        <w:tc>
          <w:tcPr>
            <w:tcW w:w="6463" w:type="dxa"/>
            <w:vAlign w:val="center"/>
          </w:tcPr>
          <w:p w14:paraId="1C9B133C" w14:textId="77777777" w:rsidR="00FA3DBC" w:rsidRPr="00414A6D" w:rsidRDefault="00FA3DBC" w:rsidP="00D147A4">
            <w:pPr>
              <w:jc w:val="both"/>
              <w:rPr>
                <w:rFonts w:ascii="Arial" w:hAnsi="Arial" w:cs="Arial"/>
                <w:sz w:val="22"/>
                <w:szCs w:val="22"/>
                <w:lang w:val="en-US"/>
              </w:rPr>
            </w:pPr>
            <w:r w:rsidRPr="00414A6D">
              <w:rPr>
                <w:rFonts w:ascii="Arial" w:eastAsia="MS Mincho" w:hAnsi="Arial" w:cs="Arial"/>
                <w:sz w:val="21"/>
                <w:szCs w:val="21"/>
                <w:lang w:val="en-US" w:eastAsia="ja-JP"/>
              </w:rPr>
              <w:t>Director, Policy Development, IHPA</w:t>
            </w:r>
          </w:p>
        </w:tc>
      </w:tr>
      <w:tr w:rsidR="00FA3DBC" w:rsidRPr="00414A6D" w14:paraId="11BD2F97" w14:textId="77777777" w:rsidTr="00191FCB">
        <w:tc>
          <w:tcPr>
            <w:tcW w:w="3085" w:type="dxa"/>
            <w:vAlign w:val="center"/>
          </w:tcPr>
          <w:p w14:paraId="4E295782" w14:textId="77777777" w:rsidR="00FA3DBC" w:rsidRPr="00414A6D" w:rsidRDefault="00FA3DBC" w:rsidP="00D147A4">
            <w:pPr>
              <w:jc w:val="both"/>
              <w:rPr>
                <w:rFonts w:ascii="Arial" w:eastAsia="MS Mincho" w:hAnsi="Arial" w:cs="Arial"/>
                <w:sz w:val="21"/>
                <w:szCs w:val="21"/>
                <w:lang w:val="en-US" w:eastAsia="ja-JP"/>
              </w:rPr>
            </w:pPr>
            <w:proofErr w:type="spellStart"/>
            <w:r w:rsidRPr="00414A6D">
              <w:rPr>
                <w:rFonts w:ascii="Arial" w:eastAsia="MS Mincho" w:hAnsi="Arial" w:cs="Arial"/>
                <w:sz w:val="21"/>
                <w:szCs w:val="21"/>
                <w:lang w:val="en-US" w:eastAsia="ja-JP"/>
              </w:rPr>
              <w:t>Mr</w:t>
            </w:r>
            <w:proofErr w:type="spellEnd"/>
            <w:r w:rsidRPr="00414A6D">
              <w:rPr>
                <w:rFonts w:ascii="Arial" w:eastAsia="MS Mincho" w:hAnsi="Arial" w:cs="Arial"/>
                <w:sz w:val="21"/>
                <w:szCs w:val="21"/>
                <w:lang w:val="en-US" w:eastAsia="ja-JP"/>
              </w:rPr>
              <w:t xml:space="preserve"> Luke </w:t>
            </w:r>
            <w:proofErr w:type="spellStart"/>
            <w:r w:rsidRPr="00414A6D">
              <w:rPr>
                <w:rFonts w:ascii="Arial" w:eastAsia="MS Mincho" w:hAnsi="Arial" w:cs="Arial"/>
                <w:sz w:val="21"/>
                <w:szCs w:val="21"/>
                <w:lang w:val="en-US" w:eastAsia="ja-JP"/>
              </w:rPr>
              <w:t>Slawomirski</w:t>
            </w:r>
            <w:proofErr w:type="spellEnd"/>
          </w:p>
        </w:tc>
        <w:tc>
          <w:tcPr>
            <w:tcW w:w="6463" w:type="dxa"/>
            <w:vAlign w:val="center"/>
          </w:tcPr>
          <w:p w14:paraId="230F019A"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 xml:space="preserve">Program Manager, the Commission </w:t>
            </w:r>
          </w:p>
        </w:tc>
      </w:tr>
      <w:tr w:rsidR="00FA3DBC" w:rsidRPr="00414A6D" w14:paraId="73C1FFEB" w14:textId="77777777" w:rsidTr="00191FCB">
        <w:tc>
          <w:tcPr>
            <w:tcW w:w="3085" w:type="dxa"/>
            <w:vAlign w:val="center"/>
          </w:tcPr>
          <w:p w14:paraId="21D761A4"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Ms Janelle Painter</w:t>
            </w:r>
          </w:p>
        </w:tc>
        <w:tc>
          <w:tcPr>
            <w:tcW w:w="6463" w:type="dxa"/>
            <w:vAlign w:val="center"/>
          </w:tcPr>
          <w:p w14:paraId="5EC98361"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Senior Policy Officer, IHPA</w:t>
            </w:r>
          </w:p>
        </w:tc>
      </w:tr>
      <w:tr w:rsidR="00FA3DBC" w:rsidRPr="00414A6D" w14:paraId="34132DE2" w14:textId="77777777" w:rsidTr="00191FCB">
        <w:tc>
          <w:tcPr>
            <w:tcW w:w="3085" w:type="dxa"/>
            <w:vAlign w:val="center"/>
          </w:tcPr>
          <w:p w14:paraId="7483D8D9"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Ms Amanda Mulcahy</w:t>
            </w:r>
          </w:p>
        </w:tc>
        <w:tc>
          <w:tcPr>
            <w:tcW w:w="6463" w:type="dxa"/>
            <w:vAlign w:val="center"/>
          </w:tcPr>
          <w:p w14:paraId="0122EE0E"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Senior Program Officer, the Commission (</w:t>
            </w:r>
            <w:r w:rsidRPr="00414A6D">
              <w:rPr>
                <w:rFonts w:ascii="Arial" w:eastAsia="MS Mincho" w:hAnsi="Arial" w:cs="Arial"/>
                <w:b/>
                <w:sz w:val="21"/>
                <w:szCs w:val="21"/>
                <w:lang w:val="en-US" w:eastAsia="ja-JP"/>
              </w:rPr>
              <w:t>Secretariat</w:t>
            </w:r>
            <w:r w:rsidRPr="00414A6D">
              <w:rPr>
                <w:rFonts w:ascii="Arial" w:eastAsia="MS Mincho" w:hAnsi="Arial" w:cs="Arial"/>
                <w:sz w:val="21"/>
                <w:szCs w:val="21"/>
                <w:lang w:val="en-US" w:eastAsia="ja-JP"/>
              </w:rPr>
              <w:t>)</w:t>
            </w:r>
          </w:p>
        </w:tc>
      </w:tr>
      <w:tr w:rsidR="00FA3DBC" w:rsidRPr="00414A6D" w14:paraId="76B0CCA2" w14:textId="77777777" w:rsidTr="00191FCB">
        <w:tc>
          <w:tcPr>
            <w:tcW w:w="3085" w:type="dxa"/>
          </w:tcPr>
          <w:p w14:paraId="5ED403AE" w14:textId="77777777" w:rsidR="00FA3DBC" w:rsidRPr="00414A6D" w:rsidRDefault="00FA3DBC" w:rsidP="00D147A4">
            <w:pPr>
              <w:jc w:val="both"/>
              <w:rPr>
                <w:rFonts w:ascii="Arial" w:eastAsia="MS Mincho" w:hAnsi="Arial" w:cs="Arial"/>
                <w:sz w:val="21"/>
                <w:szCs w:val="21"/>
                <w:lang w:val="en-US" w:eastAsia="ja-JP"/>
              </w:rPr>
            </w:pPr>
            <w:proofErr w:type="spellStart"/>
            <w:r w:rsidRPr="00414A6D">
              <w:rPr>
                <w:rFonts w:ascii="Arial" w:eastAsia="MS Mincho" w:hAnsi="Arial" w:cs="Arial"/>
                <w:sz w:val="21"/>
                <w:szCs w:val="21"/>
                <w:lang w:val="en-US" w:eastAsia="ja-JP"/>
              </w:rPr>
              <w:t>Mr</w:t>
            </w:r>
            <w:proofErr w:type="spellEnd"/>
            <w:r w:rsidRPr="00414A6D">
              <w:rPr>
                <w:rFonts w:ascii="Arial" w:eastAsia="MS Mincho" w:hAnsi="Arial" w:cs="Arial"/>
                <w:sz w:val="21"/>
                <w:szCs w:val="21"/>
                <w:lang w:val="en-US" w:eastAsia="ja-JP"/>
              </w:rPr>
              <w:t xml:space="preserve"> Michael Frost</w:t>
            </w:r>
          </w:p>
        </w:tc>
        <w:tc>
          <w:tcPr>
            <w:tcW w:w="6463" w:type="dxa"/>
          </w:tcPr>
          <w:p w14:paraId="069E019E" w14:textId="77777777" w:rsidR="00FA3DBC" w:rsidRPr="00414A6D" w:rsidRDefault="00FA3DBC" w:rsidP="00D147A4">
            <w:pPr>
              <w:jc w:val="both"/>
              <w:rPr>
                <w:rFonts w:ascii="Arial" w:eastAsia="MS Mincho" w:hAnsi="Arial" w:cs="Arial"/>
                <w:sz w:val="21"/>
                <w:szCs w:val="21"/>
                <w:lang w:val="en-US" w:eastAsia="ja-JP"/>
              </w:rPr>
            </w:pPr>
            <w:r w:rsidRPr="00414A6D">
              <w:rPr>
                <w:rFonts w:ascii="Arial" w:eastAsia="MS Mincho" w:hAnsi="Arial" w:cs="Arial"/>
                <w:sz w:val="21"/>
                <w:szCs w:val="21"/>
                <w:lang w:val="en-US" w:eastAsia="ja-JP"/>
              </w:rPr>
              <w:t>Executive Director, National Health Performance Authority</w:t>
            </w:r>
          </w:p>
        </w:tc>
      </w:tr>
    </w:tbl>
    <w:p w14:paraId="77A75291" w14:textId="77777777" w:rsidR="00FA3DBC" w:rsidRPr="00414A6D" w:rsidRDefault="00FA3DBC" w:rsidP="00D147A4">
      <w:pPr>
        <w:spacing w:before="120" w:after="120"/>
        <w:jc w:val="both"/>
        <w:rPr>
          <w:rFonts w:ascii="Arial" w:hAnsi="Arial" w:cs="Arial"/>
          <w:sz w:val="22"/>
          <w:szCs w:val="22"/>
          <w:lang w:val="en-US"/>
        </w:rPr>
      </w:pPr>
    </w:p>
    <w:p w14:paraId="69177E48" w14:textId="77777777" w:rsidR="00FA3DBC" w:rsidRPr="00414A6D" w:rsidRDefault="00FA3DBC" w:rsidP="00D147A4">
      <w:pPr>
        <w:jc w:val="both"/>
        <w:rPr>
          <w:rFonts w:ascii="Arial" w:hAnsi="Arial" w:cs="Arial"/>
          <w:b/>
          <w:sz w:val="22"/>
          <w:szCs w:val="22"/>
        </w:rPr>
      </w:pPr>
      <w:r w:rsidRPr="00414A6D">
        <w:rPr>
          <w:rFonts w:ascii="Arial" w:hAnsi="Arial" w:cs="Arial"/>
          <w:b/>
          <w:sz w:val="22"/>
          <w:szCs w:val="22"/>
        </w:rPr>
        <w:t>5.</w:t>
      </w:r>
      <w:r w:rsidRPr="00414A6D">
        <w:rPr>
          <w:rFonts w:ascii="Arial" w:hAnsi="Arial" w:cs="Arial"/>
          <w:b/>
          <w:sz w:val="22"/>
          <w:szCs w:val="22"/>
        </w:rPr>
        <w:tab/>
        <w:t xml:space="preserve">Reporting </w:t>
      </w:r>
    </w:p>
    <w:p w14:paraId="455488DE" w14:textId="77777777" w:rsidR="00FA3DBC" w:rsidRPr="00414A6D" w:rsidRDefault="00FA3DBC" w:rsidP="00D147A4">
      <w:pPr>
        <w:jc w:val="both"/>
        <w:rPr>
          <w:rFonts w:ascii="Arial" w:hAnsi="Arial" w:cs="Arial"/>
          <w:strike/>
          <w:sz w:val="22"/>
          <w:szCs w:val="22"/>
        </w:rPr>
      </w:pPr>
      <w:r w:rsidRPr="00414A6D">
        <w:rPr>
          <w:rFonts w:ascii="Arial" w:hAnsi="Arial" w:cs="Arial"/>
          <w:sz w:val="22"/>
          <w:szCs w:val="22"/>
        </w:rPr>
        <w:t xml:space="preserve">The </w:t>
      </w:r>
      <w:r w:rsidR="007F232E" w:rsidRPr="00414A6D">
        <w:rPr>
          <w:rFonts w:ascii="Arial" w:hAnsi="Arial" w:cs="Arial"/>
          <w:sz w:val="22"/>
          <w:szCs w:val="22"/>
        </w:rPr>
        <w:t>Sub-Committee</w:t>
      </w:r>
      <w:r w:rsidRPr="00414A6D">
        <w:rPr>
          <w:rFonts w:ascii="Arial" w:hAnsi="Arial" w:cs="Arial"/>
          <w:sz w:val="22"/>
          <w:szCs w:val="22"/>
        </w:rPr>
        <w:t xml:space="preserve"> will provide a report at each meeting of the JWP, as a standing agenda item.</w:t>
      </w:r>
    </w:p>
    <w:p w14:paraId="57137806" w14:textId="77777777" w:rsidR="00FA3DBC" w:rsidRPr="00414A6D" w:rsidRDefault="00FA3DBC" w:rsidP="00D147A4">
      <w:pPr>
        <w:spacing w:before="120" w:after="120"/>
        <w:jc w:val="both"/>
        <w:rPr>
          <w:rFonts w:ascii="Arial" w:hAnsi="Arial" w:cs="Arial"/>
          <w:sz w:val="22"/>
          <w:szCs w:val="22"/>
        </w:rPr>
      </w:pPr>
    </w:p>
    <w:p w14:paraId="20F0740B" w14:textId="77777777" w:rsidR="00FA3DBC" w:rsidRPr="00414A6D" w:rsidRDefault="00FA3DBC" w:rsidP="00D147A4">
      <w:pPr>
        <w:jc w:val="both"/>
        <w:rPr>
          <w:rFonts w:ascii="Arial" w:hAnsi="Arial" w:cs="Arial"/>
          <w:b/>
          <w:sz w:val="22"/>
          <w:szCs w:val="22"/>
        </w:rPr>
      </w:pPr>
      <w:r w:rsidRPr="00414A6D">
        <w:rPr>
          <w:rFonts w:ascii="Arial" w:hAnsi="Arial" w:cs="Arial"/>
          <w:b/>
          <w:sz w:val="22"/>
          <w:szCs w:val="22"/>
        </w:rPr>
        <w:t>6.</w:t>
      </w:r>
      <w:r w:rsidRPr="00414A6D">
        <w:rPr>
          <w:rFonts w:ascii="Arial" w:hAnsi="Arial" w:cs="Arial"/>
          <w:b/>
          <w:sz w:val="22"/>
          <w:szCs w:val="22"/>
        </w:rPr>
        <w:tab/>
        <w:t>Timeframe</w:t>
      </w:r>
    </w:p>
    <w:p w14:paraId="43A0991F" w14:textId="77777777" w:rsidR="00FA3DBC" w:rsidRPr="00414A6D" w:rsidRDefault="00FA3DBC" w:rsidP="00D147A4">
      <w:pPr>
        <w:jc w:val="both"/>
        <w:rPr>
          <w:rFonts w:ascii="Arial" w:hAnsi="Arial" w:cs="Arial"/>
          <w:sz w:val="22"/>
          <w:szCs w:val="22"/>
        </w:rPr>
      </w:pPr>
      <w:r w:rsidRPr="00414A6D">
        <w:rPr>
          <w:rFonts w:ascii="Arial" w:hAnsi="Arial" w:cs="Arial"/>
          <w:sz w:val="22"/>
          <w:szCs w:val="22"/>
        </w:rPr>
        <w:t>These Terms of Reference are effective from date of acceptance until 30 June 2015.</w:t>
      </w:r>
    </w:p>
    <w:p w14:paraId="031F0CE9" w14:textId="77777777" w:rsidR="00FA3DBC" w:rsidRPr="00414A6D" w:rsidRDefault="00FA3DBC" w:rsidP="00D147A4">
      <w:pPr>
        <w:jc w:val="both"/>
        <w:rPr>
          <w:rFonts w:ascii="Arial" w:hAnsi="Arial" w:cs="Arial"/>
          <w:sz w:val="22"/>
          <w:szCs w:val="22"/>
        </w:rPr>
      </w:pPr>
    </w:p>
    <w:p w14:paraId="593F0788" w14:textId="77777777" w:rsidR="00FA3DBC" w:rsidRPr="00414A6D" w:rsidRDefault="00FA3DBC" w:rsidP="00D147A4">
      <w:pPr>
        <w:jc w:val="both"/>
        <w:rPr>
          <w:rFonts w:ascii="Arial" w:hAnsi="Arial" w:cs="Arial"/>
          <w:sz w:val="22"/>
          <w:szCs w:val="22"/>
        </w:rPr>
      </w:pPr>
    </w:p>
    <w:p w14:paraId="6210D1C9" w14:textId="77777777" w:rsidR="00FA3DBC" w:rsidRPr="00414A6D" w:rsidRDefault="00FA3DBC" w:rsidP="00D147A4">
      <w:pPr>
        <w:jc w:val="both"/>
        <w:rPr>
          <w:rFonts w:ascii="Arial" w:hAnsi="Arial" w:cs="Arial"/>
          <w:b/>
          <w:sz w:val="22"/>
          <w:szCs w:val="22"/>
        </w:rPr>
      </w:pPr>
      <w:r w:rsidRPr="00414A6D">
        <w:rPr>
          <w:rFonts w:ascii="Arial" w:hAnsi="Arial" w:cs="Arial"/>
          <w:b/>
          <w:sz w:val="22"/>
          <w:szCs w:val="22"/>
        </w:rPr>
        <w:t>7.</w:t>
      </w:r>
      <w:r w:rsidRPr="00414A6D">
        <w:rPr>
          <w:rFonts w:ascii="Arial" w:hAnsi="Arial" w:cs="Arial"/>
          <w:b/>
          <w:sz w:val="22"/>
          <w:szCs w:val="22"/>
        </w:rPr>
        <w:tab/>
        <w:t xml:space="preserve">Acceptance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538"/>
      </w:tblGrid>
      <w:tr w:rsidR="00FA3DBC" w:rsidRPr="00414A6D" w14:paraId="306F3E35" w14:textId="77777777" w:rsidTr="00191FCB">
        <w:tc>
          <w:tcPr>
            <w:tcW w:w="1908" w:type="dxa"/>
            <w:shd w:val="clear" w:color="auto" w:fill="auto"/>
          </w:tcPr>
          <w:p w14:paraId="3A4CF3A5" w14:textId="77777777" w:rsidR="00FA3DBC" w:rsidRPr="00414A6D" w:rsidRDefault="00FA3DBC" w:rsidP="00D147A4">
            <w:pPr>
              <w:spacing w:before="120" w:after="120"/>
              <w:jc w:val="both"/>
              <w:rPr>
                <w:rFonts w:ascii="Arial" w:hAnsi="Arial" w:cs="Arial"/>
                <w:b/>
                <w:sz w:val="20"/>
                <w:szCs w:val="20"/>
              </w:rPr>
            </w:pPr>
            <w:r w:rsidRPr="00414A6D">
              <w:rPr>
                <w:rFonts w:ascii="Arial" w:hAnsi="Arial" w:cs="Arial"/>
                <w:b/>
                <w:sz w:val="20"/>
                <w:szCs w:val="20"/>
              </w:rPr>
              <w:t>Version</w:t>
            </w:r>
          </w:p>
        </w:tc>
        <w:tc>
          <w:tcPr>
            <w:tcW w:w="2160" w:type="dxa"/>
            <w:shd w:val="clear" w:color="auto" w:fill="auto"/>
          </w:tcPr>
          <w:p w14:paraId="352BE2CC" w14:textId="77777777" w:rsidR="00FA3DBC" w:rsidRPr="00414A6D" w:rsidRDefault="00FA3DBC" w:rsidP="00D147A4">
            <w:pPr>
              <w:spacing w:before="120" w:after="120"/>
              <w:jc w:val="both"/>
              <w:rPr>
                <w:rFonts w:ascii="Arial" w:hAnsi="Arial" w:cs="Arial"/>
                <w:b/>
                <w:sz w:val="20"/>
                <w:szCs w:val="20"/>
              </w:rPr>
            </w:pPr>
            <w:r w:rsidRPr="00414A6D">
              <w:rPr>
                <w:rFonts w:ascii="Arial" w:hAnsi="Arial" w:cs="Arial"/>
                <w:b/>
                <w:sz w:val="20"/>
                <w:szCs w:val="20"/>
              </w:rPr>
              <w:t>Date accepted</w:t>
            </w:r>
          </w:p>
        </w:tc>
        <w:tc>
          <w:tcPr>
            <w:tcW w:w="5538" w:type="dxa"/>
            <w:shd w:val="clear" w:color="auto" w:fill="auto"/>
          </w:tcPr>
          <w:p w14:paraId="6FA88E7D" w14:textId="77777777" w:rsidR="00FA3DBC" w:rsidRPr="00414A6D" w:rsidRDefault="00FA3DBC" w:rsidP="00D147A4">
            <w:pPr>
              <w:spacing w:before="120" w:after="120"/>
              <w:jc w:val="both"/>
              <w:rPr>
                <w:rFonts w:ascii="Arial" w:hAnsi="Arial" w:cs="Arial"/>
                <w:b/>
                <w:sz w:val="20"/>
                <w:szCs w:val="20"/>
              </w:rPr>
            </w:pPr>
            <w:r w:rsidRPr="00414A6D">
              <w:rPr>
                <w:rFonts w:ascii="Arial" w:hAnsi="Arial" w:cs="Arial"/>
                <w:b/>
                <w:sz w:val="20"/>
                <w:szCs w:val="20"/>
              </w:rPr>
              <w:t>Accepted by</w:t>
            </w:r>
          </w:p>
        </w:tc>
      </w:tr>
      <w:tr w:rsidR="00FA3DBC" w:rsidRPr="00414A6D" w14:paraId="0A9CFE75" w14:textId="77777777" w:rsidTr="00191FCB">
        <w:tc>
          <w:tcPr>
            <w:tcW w:w="1908" w:type="dxa"/>
            <w:shd w:val="clear" w:color="auto" w:fill="auto"/>
          </w:tcPr>
          <w:p w14:paraId="36B24734" w14:textId="77777777" w:rsidR="00FA3DBC" w:rsidRPr="00414A6D" w:rsidRDefault="00FA3DBC" w:rsidP="00D147A4">
            <w:pPr>
              <w:spacing w:before="120" w:after="120"/>
              <w:jc w:val="both"/>
              <w:rPr>
                <w:rFonts w:ascii="Arial" w:hAnsi="Arial" w:cs="Arial"/>
                <w:sz w:val="20"/>
                <w:szCs w:val="20"/>
              </w:rPr>
            </w:pPr>
            <w:r w:rsidRPr="00414A6D">
              <w:rPr>
                <w:rFonts w:ascii="Arial" w:hAnsi="Arial" w:cs="Arial"/>
                <w:sz w:val="20"/>
                <w:szCs w:val="20"/>
              </w:rPr>
              <w:t>1.0</w:t>
            </w:r>
          </w:p>
        </w:tc>
        <w:tc>
          <w:tcPr>
            <w:tcW w:w="2160" w:type="dxa"/>
            <w:shd w:val="clear" w:color="auto" w:fill="auto"/>
          </w:tcPr>
          <w:p w14:paraId="70626875" w14:textId="77777777" w:rsidR="00FA3DBC" w:rsidRPr="00414A6D" w:rsidRDefault="00FA3DBC" w:rsidP="00D147A4">
            <w:pPr>
              <w:spacing w:before="120" w:after="120"/>
              <w:jc w:val="both"/>
              <w:rPr>
                <w:rFonts w:ascii="Arial" w:hAnsi="Arial" w:cs="Arial"/>
                <w:sz w:val="20"/>
                <w:szCs w:val="20"/>
              </w:rPr>
            </w:pPr>
            <w:r w:rsidRPr="00414A6D">
              <w:rPr>
                <w:rFonts w:ascii="Arial" w:hAnsi="Arial" w:cs="Arial"/>
                <w:sz w:val="20"/>
                <w:szCs w:val="20"/>
              </w:rPr>
              <w:t>19 September 2014</w:t>
            </w:r>
          </w:p>
        </w:tc>
        <w:tc>
          <w:tcPr>
            <w:tcW w:w="5538" w:type="dxa"/>
            <w:shd w:val="clear" w:color="auto" w:fill="auto"/>
          </w:tcPr>
          <w:p w14:paraId="0A4E5727" w14:textId="77777777" w:rsidR="00FA3DBC" w:rsidRPr="00414A6D" w:rsidRDefault="00FA3DBC" w:rsidP="00D147A4">
            <w:pPr>
              <w:spacing w:before="120" w:after="120"/>
              <w:jc w:val="both"/>
              <w:rPr>
                <w:rFonts w:ascii="Arial" w:hAnsi="Arial" w:cs="Arial"/>
                <w:sz w:val="20"/>
                <w:szCs w:val="20"/>
              </w:rPr>
            </w:pPr>
            <w:r w:rsidRPr="00414A6D">
              <w:rPr>
                <w:rFonts w:ascii="Arial" w:hAnsi="Arial" w:cs="Arial"/>
                <w:sz w:val="20"/>
                <w:szCs w:val="20"/>
              </w:rPr>
              <w:t>Dr Tony Sherbon, CEO, IHPA</w:t>
            </w:r>
          </w:p>
          <w:p w14:paraId="7A723660" w14:textId="77777777" w:rsidR="00FA3DBC" w:rsidRPr="00414A6D" w:rsidRDefault="00FA3DBC" w:rsidP="00D147A4">
            <w:pPr>
              <w:spacing w:before="120" w:after="120"/>
              <w:jc w:val="both"/>
              <w:rPr>
                <w:rFonts w:ascii="Arial" w:hAnsi="Arial" w:cs="Arial"/>
                <w:sz w:val="20"/>
                <w:szCs w:val="20"/>
              </w:rPr>
            </w:pPr>
            <w:r w:rsidRPr="00414A6D">
              <w:rPr>
                <w:rFonts w:ascii="Arial" w:hAnsi="Arial" w:cs="Arial"/>
                <w:sz w:val="20"/>
                <w:szCs w:val="20"/>
              </w:rPr>
              <w:t>Prof D Picone AM, CEO, the Commission</w:t>
            </w:r>
          </w:p>
        </w:tc>
      </w:tr>
    </w:tbl>
    <w:p w14:paraId="43DA9277" w14:textId="77777777" w:rsidR="0081463B" w:rsidRPr="00414A6D" w:rsidRDefault="0081463B" w:rsidP="00D147A4">
      <w:pPr>
        <w:jc w:val="both"/>
        <w:rPr>
          <w:rFonts w:ascii="Arial" w:hAnsi="Arial" w:cs="Arial"/>
          <w:b/>
          <w:sz w:val="21"/>
          <w:szCs w:val="21"/>
        </w:rPr>
      </w:pPr>
      <w:r w:rsidRPr="00414A6D">
        <w:rPr>
          <w:rFonts w:ascii="Arial" w:hAnsi="Arial" w:cs="Arial"/>
          <w:b/>
          <w:sz w:val="21"/>
          <w:szCs w:val="21"/>
        </w:rPr>
        <w:br w:type="page"/>
      </w:r>
    </w:p>
    <w:p w14:paraId="3331AF68" w14:textId="45E27D73" w:rsidR="0081463B" w:rsidRPr="003B14AB" w:rsidRDefault="0081463B" w:rsidP="003B14AB">
      <w:pPr>
        <w:jc w:val="both"/>
      </w:pPr>
      <w:bookmarkStart w:id="43" w:name="_Toc426633820"/>
      <w:r w:rsidRPr="00D41ED6">
        <w:rPr>
          <w:rStyle w:val="Heading2Char"/>
          <w:sz w:val="22"/>
          <w:szCs w:val="22"/>
        </w:rPr>
        <w:lastRenderedPageBreak/>
        <w:t xml:space="preserve">Appendix </w:t>
      </w:r>
      <w:r w:rsidR="009C6E73" w:rsidRPr="00D41ED6">
        <w:rPr>
          <w:rStyle w:val="Heading2Char"/>
          <w:sz w:val="22"/>
          <w:szCs w:val="22"/>
        </w:rPr>
        <w:t>B</w:t>
      </w:r>
      <w:r w:rsidRPr="00D41ED6">
        <w:rPr>
          <w:rStyle w:val="Heading2Char"/>
          <w:sz w:val="22"/>
          <w:szCs w:val="22"/>
        </w:rPr>
        <w:t>. Suggested design improvements to increase impact of pay for performance schemes</w:t>
      </w:r>
      <w:bookmarkEnd w:id="43"/>
      <w:r w:rsidR="007B7596">
        <w:t xml:space="preserve"> </w:t>
      </w:r>
      <w:hyperlink w:anchor="_ENREF_2" w:tooltip="Mehrotra A, 2010 #153" w:history="1">
        <w:r w:rsidR="00402FBB" w:rsidRPr="003B14AB">
          <w:fldChar w:fldCharType="begin"/>
        </w:r>
        <w:r w:rsidR="00402FBB" w:rsidRPr="003B14AB">
          <w:instrText xml:space="preserve"> ADDIN EN.CITE &lt;EndNote&gt;&lt;Cite&gt;&lt;Author&gt;Mehrotra A&lt;/Author&gt;&lt;Year&gt;2010&lt;/Year&gt;&lt;RecNum&gt;153&lt;/RecNum&gt;&lt;DisplayText&gt;&lt;style face="superscript"&gt;2&lt;/style&gt;&lt;/DisplayText&gt;&lt;record&gt;&lt;rec-number&gt;153&lt;/rec-number&gt;&lt;foreign-keys&gt;&lt;key app="EN" db-id="pxsz0w0wuvwzapeptavv0erkef22f2rwz0w0"&gt;153&lt;/key&gt;&lt;/foreign-keys&gt;&lt;ref-type name="Manuscript"&gt;36&lt;/ref-type&gt;&lt;contributors&gt;&lt;authors&gt;&lt;author&gt;Mehrotra A,  &lt;/author&gt;&lt;author&gt;Sorbero M,&lt;/author&gt;&lt;author&gt;Damberg C,&lt;/author&gt;&lt;/authors&gt;&lt;/contributors&gt;&lt;titles&gt;&lt;title&gt;Using the lessons of behavioural economics to design more effective pay-for-performance programs&lt;/title&gt;&lt;secondary-title&gt;National Institutes of Health&lt;/secondary-title&gt;&lt;/titles&gt;&lt;pages&gt;497-503&lt;/pages&gt;&lt;volume&gt;16&lt;/volume&gt;&lt;num-vols&gt;7&lt;/num-vols&gt;&lt;dates&gt;&lt;year&gt;2010&lt;/year&gt;&lt;/dates&gt;&lt;pub-location&gt;Am J Manag Care &lt;/pub-location&gt;&lt;urls&gt;&lt;/urls&gt;&lt;/record&gt;&lt;/Cite&gt;&lt;/EndNote&gt;</w:instrText>
        </w:r>
        <w:r w:rsidR="00402FBB" w:rsidRPr="003B14AB">
          <w:fldChar w:fldCharType="separate"/>
        </w:r>
        <w:r w:rsidR="00402FBB" w:rsidRPr="003B14AB">
          <w:rPr>
            <w:noProof/>
            <w:vertAlign w:val="superscript"/>
          </w:rPr>
          <w:t>2</w:t>
        </w:r>
        <w:r w:rsidR="00402FBB" w:rsidRPr="003B14AB">
          <w:fldChar w:fldCharType="end"/>
        </w:r>
      </w:hyperlink>
    </w:p>
    <w:p w14:paraId="1422E9E6" w14:textId="77777777" w:rsidR="0081463B" w:rsidRPr="00414A6D" w:rsidRDefault="0081463B" w:rsidP="00D147A4">
      <w:pPr>
        <w:jc w:val="both"/>
        <w:rPr>
          <w:rFonts w:ascii="Arial" w:hAnsi="Arial" w:cs="Arial"/>
          <w:b/>
          <w:sz w:val="21"/>
          <w:szCs w:val="21"/>
        </w:rPr>
      </w:pPr>
    </w:p>
    <w:p w14:paraId="1A73CA1D" w14:textId="77777777" w:rsidR="005E702F" w:rsidRPr="00414A6D" w:rsidRDefault="0081463B" w:rsidP="00D147A4">
      <w:pPr>
        <w:jc w:val="both"/>
        <w:rPr>
          <w:rFonts w:ascii="Arial" w:hAnsi="Arial" w:cs="Arial"/>
          <w:b/>
          <w:sz w:val="21"/>
          <w:szCs w:val="21"/>
        </w:rPr>
      </w:pPr>
      <w:r w:rsidRPr="00414A6D">
        <w:rPr>
          <w:rFonts w:ascii="Arial" w:hAnsi="Arial" w:cs="Arial"/>
          <w:noProof/>
        </w:rPr>
        <w:drawing>
          <wp:inline distT="0" distB="0" distL="0" distR="0" wp14:anchorId="432C3DE5" wp14:editId="134F5874">
            <wp:extent cx="5315803" cy="2290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15293" cy="2290232"/>
                    </a:xfrm>
                    <a:prstGeom prst="rect">
                      <a:avLst/>
                    </a:prstGeom>
                  </pic:spPr>
                </pic:pic>
              </a:graphicData>
            </a:graphic>
          </wp:inline>
        </w:drawing>
      </w:r>
      <w:r w:rsidRPr="00414A6D">
        <w:rPr>
          <w:rFonts w:ascii="Arial" w:hAnsi="Arial" w:cs="Arial"/>
          <w:b/>
          <w:sz w:val="21"/>
          <w:szCs w:val="21"/>
        </w:rPr>
        <w:t xml:space="preserve"> </w:t>
      </w:r>
    </w:p>
    <w:p w14:paraId="671D7ECB" w14:textId="77777777" w:rsidR="005E702F" w:rsidRPr="00414A6D" w:rsidRDefault="005E702F" w:rsidP="00D147A4">
      <w:pPr>
        <w:jc w:val="both"/>
        <w:rPr>
          <w:rFonts w:ascii="Arial" w:hAnsi="Arial" w:cs="Arial"/>
          <w:b/>
          <w:sz w:val="21"/>
          <w:szCs w:val="21"/>
        </w:rPr>
      </w:pPr>
      <w:r w:rsidRPr="00414A6D">
        <w:rPr>
          <w:rFonts w:ascii="Arial" w:hAnsi="Arial" w:cs="Arial"/>
          <w:b/>
          <w:sz w:val="21"/>
          <w:szCs w:val="21"/>
        </w:rPr>
        <w:br w:type="page"/>
      </w:r>
    </w:p>
    <w:p w14:paraId="71961DCA" w14:textId="77777777" w:rsidR="00850657" w:rsidRPr="00D41ED6" w:rsidRDefault="009C6E73" w:rsidP="00D41ED6">
      <w:pPr>
        <w:pStyle w:val="Heading2"/>
        <w:numPr>
          <w:ilvl w:val="0"/>
          <w:numId w:val="0"/>
        </w:numPr>
        <w:rPr>
          <w:b w:val="0"/>
          <w:sz w:val="22"/>
          <w:szCs w:val="22"/>
        </w:rPr>
      </w:pPr>
      <w:bookmarkStart w:id="44" w:name="_Toc426633821"/>
      <w:r w:rsidRPr="00D41ED6">
        <w:rPr>
          <w:sz w:val="22"/>
          <w:szCs w:val="22"/>
        </w:rPr>
        <w:lastRenderedPageBreak/>
        <w:t>Appendix C</w:t>
      </w:r>
      <w:r w:rsidR="00850657" w:rsidRPr="00D41ED6">
        <w:rPr>
          <w:sz w:val="22"/>
          <w:szCs w:val="22"/>
        </w:rPr>
        <w:t xml:space="preserve">. Australian Commission on Safety and Quality in Health Care draft Hip Fracture Clinical Care Standard </w:t>
      </w:r>
      <w:r w:rsidR="009E4B30" w:rsidRPr="00D41ED6">
        <w:rPr>
          <w:sz w:val="22"/>
          <w:szCs w:val="22"/>
        </w:rPr>
        <w:t>quality statements</w:t>
      </w:r>
      <w:bookmarkEnd w:id="44"/>
      <w:r w:rsidR="009E4B30" w:rsidRPr="00D41ED6">
        <w:rPr>
          <w:sz w:val="22"/>
          <w:szCs w:val="22"/>
        </w:rPr>
        <w:t xml:space="preserve"> </w:t>
      </w:r>
    </w:p>
    <w:tbl>
      <w:tblPr>
        <w:tblW w:w="0" w:type="auto"/>
        <w:tblCellMar>
          <w:top w:w="57" w:type="dxa"/>
          <w:bottom w:w="57" w:type="dxa"/>
        </w:tblCellMar>
        <w:tblLook w:val="04A0" w:firstRow="1" w:lastRow="0" w:firstColumn="1" w:lastColumn="0" w:noHBand="0" w:noVBand="1"/>
      </w:tblPr>
      <w:tblGrid>
        <w:gridCol w:w="9242"/>
      </w:tblGrid>
      <w:tr w:rsidR="00850657" w:rsidRPr="00414A6D" w14:paraId="0AF1E728" w14:textId="77777777" w:rsidTr="003853F8">
        <w:tc>
          <w:tcPr>
            <w:tcW w:w="9242" w:type="dxa"/>
            <w:tcBorders>
              <w:bottom w:val="single" w:sz="4" w:space="0" w:color="auto"/>
            </w:tcBorders>
            <w:shd w:val="clear" w:color="auto" w:fill="auto"/>
          </w:tcPr>
          <w:p w14:paraId="2701CBBD" w14:textId="597E70AD" w:rsidR="00850657" w:rsidRPr="00414A6D" w:rsidRDefault="00E179AB" w:rsidP="001149A4">
            <w:pPr>
              <w:keepNext/>
              <w:spacing w:before="180" w:after="120"/>
              <w:rPr>
                <w:rFonts w:ascii="Arial" w:hAnsi="Arial" w:cs="Arial"/>
                <w:bCs/>
                <w:color w:val="000000"/>
                <w:sz w:val="22"/>
                <w:szCs w:val="22"/>
              </w:rPr>
            </w:pPr>
            <w:r w:rsidRPr="00414A6D">
              <w:rPr>
                <w:rFonts w:ascii="Arial" w:hAnsi="Arial" w:cs="Arial"/>
                <w:bCs/>
                <w:color w:val="000000"/>
                <w:sz w:val="22"/>
                <w:szCs w:val="22"/>
              </w:rPr>
              <w:t xml:space="preserve">Note: public consultation on </w:t>
            </w:r>
            <w:r w:rsidR="001149A4" w:rsidRPr="00414A6D">
              <w:rPr>
                <w:rFonts w:ascii="Arial" w:hAnsi="Arial" w:cs="Arial"/>
                <w:bCs/>
                <w:color w:val="000000"/>
                <w:sz w:val="22"/>
                <w:szCs w:val="22"/>
              </w:rPr>
              <w:t xml:space="preserve">this </w:t>
            </w:r>
            <w:r w:rsidRPr="00414A6D">
              <w:rPr>
                <w:rFonts w:ascii="Arial" w:hAnsi="Arial" w:cs="Arial"/>
                <w:bCs/>
                <w:color w:val="000000"/>
                <w:sz w:val="22"/>
                <w:szCs w:val="22"/>
              </w:rPr>
              <w:t xml:space="preserve">standard </w:t>
            </w:r>
            <w:r w:rsidR="001149A4" w:rsidRPr="00414A6D">
              <w:rPr>
                <w:rFonts w:ascii="Arial" w:hAnsi="Arial" w:cs="Arial"/>
                <w:bCs/>
                <w:color w:val="000000"/>
                <w:sz w:val="22"/>
                <w:szCs w:val="22"/>
              </w:rPr>
              <w:t>is</w:t>
            </w:r>
            <w:r w:rsidRPr="00414A6D">
              <w:rPr>
                <w:rFonts w:ascii="Arial" w:hAnsi="Arial" w:cs="Arial"/>
                <w:bCs/>
                <w:color w:val="000000"/>
                <w:sz w:val="22"/>
                <w:szCs w:val="22"/>
              </w:rPr>
              <w:t xml:space="preserve"> available at </w:t>
            </w:r>
            <w:hyperlink r:id="rId19" w:history="1">
              <w:r w:rsidRPr="00414A6D">
                <w:rPr>
                  <w:rStyle w:val="Hyperlink"/>
                  <w:rFonts w:ascii="Arial" w:hAnsi="Arial" w:cs="Arial"/>
                  <w:bCs/>
                  <w:sz w:val="22"/>
                  <w:szCs w:val="22"/>
                </w:rPr>
                <w:t>http://www.safetyandquality.gov.au/our-work/clinical-care-standards/hip-fracture-care-clinical-care-standard/</w:t>
              </w:r>
            </w:hyperlink>
            <w:r w:rsidRPr="00414A6D">
              <w:rPr>
                <w:rFonts w:ascii="Arial" w:hAnsi="Arial" w:cs="Arial"/>
                <w:bCs/>
                <w:color w:val="000000"/>
                <w:sz w:val="22"/>
                <w:szCs w:val="22"/>
              </w:rPr>
              <w:t xml:space="preserve"> </w:t>
            </w:r>
          </w:p>
        </w:tc>
      </w:tr>
      <w:tr w:rsidR="003853F8" w:rsidRPr="00414A6D" w14:paraId="412FF6B7"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D3DA6AB" w14:textId="62B57962" w:rsidR="003853F8" w:rsidRPr="00414A6D" w:rsidRDefault="003853F8" w:rsidP="001149A4">
            <w:pPr>
              <w:spacing w:after="240"/>
              <w:jc w:val="center"/>
              <w:rPr>
                <w:rFonts w:ascii="Arial" w:hAnsi="Arial" w:cs="Arial"/>
                <w:b/>
                <w:color w:val="000000"/>
              </w:rPr>
            </w:pPr>
            <w:r w:rsidRPr="00414A6D">
              <w:rPr>
                <w:rFonts w:ascii="Arial" w:hAnsi="Arial" w:cs="Arial"/>
                <w:b/>
                <w:color w:val="000000"/>
              </w:rPr>
              <w:t xml:space="preserve">Hip Fracture Clinical Care Standard as at </w:t>
            </w:r>
            <w:r w:rsidR="001149A4" w:rsidRPr="00414A6D">
              <w:rPr>
                <w:rFonts w:ascii="Arial" w:hAnsi="Arial" w:cs="Arial"/>
                <w:b/>
                <w:color w:val="000000"/>
              </w:rPr>
              <w:t xml:space="preserve">May </w:t>
            </w:r>
            <w:r w:rsidRPr="00414A6D">
              <w:rPr>
                <w:rFonts w:ascii="Arial" w:hAnsi="Arial" w:cs="Arial"/>
                <w:b/>
                <w:color w:val="000000"/>
              </w:rPr>
              <w:t>2015</w:t>
            </w:r>
          </w:p>
        </w:tc>
      </w:tr>
      <w:tr w:rsidR="00850657" w:rsidRPr="00414A6D" w14:paraId="40603BD2"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18A96A" w14:textId="77777777" w:rsidR="00850657" w:rsidRPr="00414A6D" w:rsidRDefault="00850657" w:rsidP="004D653E">
            <w:pPr>
              <w:rPr>
                <w:rFonts w:ascii="Arial" w:hAnsi="Arial" w:cs="Arial"/>
                <w:color w:val="000000"/>
              </w:rPr>
            </w:pPr>
            <w:r w:rsidRPr="00414A6D">
              <w:rPr>
                <w:rFonts w:ascii="Arial" w:hAnsi="Arial" w:cs="Arial"/>
                <w:color w:val="000000"/>
              </w:rPr>
              <w:t>1</w:t>
            </w:r>
            <w:r w:rsidRPr="00414A6D">
              <w:rPr>
                <w:rFonts w:ascii="Arial" w:hAnsi="Arial" w:cs="Arial"/>
                <w:color w:val="000000"/>
              </w:rPr>
              <w:tab/>
              <w:t>Care at presentation</w:t>
            </w:r>
          </w:p>
          <w:p w14:paraId="152826AB" w14:textId="66FE8AF4" w:rsidR="00850657" w:rsidRPr="00414A6D" w:rsidRDefault="00850657" w:rsidP="00D41ED6">
            <w:pPr>
              <w:spacing w:after="120"/>
              <w:ind w:left="720"/>
              <w:rPr>
                <w:rFonts w:ascii="Arial" w:hAnsi="Arial" w:cs="Arial"/>
                <w:color w:val="000000"/>
              </w:rPr>
            </w:pPr>
            <w:r w:rsidRPr="00414A6D">
              <w:rPr>
                <w:rFonts w:ascii="Arial" w:hAnsi="Arial" w:cs="Arial"/>
                <w:color w:val="000000"/>
                <w:sz w:val="20"/>
              </w:rPr>
              <w:t xml:space="preserve">A patient presenting to hospital with a suspected hip fracture receives care guided by timely assessment and management of the medical conditions, including diagnostic imaging, pain </w:t>
            </w:r>
            <w:r w:rsidR="001149A4" w:rsidRPr="00414A6D">
              <w:rPr>
                <w:rFonts w:ascii="Arial" w:hAnsi="Arial" w:cs="Arial"/>
                <w:color w:val="000000"/>
                <w:sz w:val="20"/>
              </w:rPr>
              <w:t xml:space="preserve">assessment </w:t>
            </w:r>
            <w:r w:rsidRPr="00414A6D">
              <w:rPr>
                <w:rFonts w:ascii="Arial" w:hAnsi="Arial" w:cs="Arial"/>
                <w:color w:val="000000"/>
                <w:sz w:val="20"/>
              </w:rPr>
              <w:t>and cognitive assessment.</w:t>
            </w:r>
          </w:p>
        </w:tc>
      </w:tr>
      <w:tr w:rsidR="00850657" w:rsidRPr="00414A6D" w14:paraId="11BE128F"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E3CEFD" w14:textId="77777777" w:rsidR="00850657" w:rsidRPr="00414A6D" w:rsidRDefault="00850657" w:rsidP="004D653E">
            <w:pPr>
              <w:rPr>
                <w:rFonts w:ascii="Arial" w:hAnsi="Arial" w:cs="Arial"/>
                <w:color w:val="000000"/>
              </w:rPr>
            </w:pPr>
            <w:r w:rsidRPr="00414A6D">
              <w:rPr>
                <w:rFonts w:ascii="Arial" w:hAnsi="Arial" w:cs="Arial"/>
                <w:color w:val="000000"/>
              </w:rPr>
              <w:t>2</w:t>
            </w:r>
            <w:r w:rsidRPr="00414A6D">
              <w:rPr>
                <w:rFonts w:ascii="Arial" w:hAnsi="Arial" w:cs="Arial"/>
                <w:color w:val="000000"/>
              </w:rPr>
              <w:tab/>
              <w:t>Pain management</w:t>
            </w:r>
          </w:p>
          <w:p w14:paraId="2C88A8BD" w14:textId="6CDDA53B" w:rsidR="00850657" w:rsidRPr="00414A6D" w:rsidRDefault="00850657" w:rsidP="00D41ED6">
            <w:pPr>
              <w:spacing w:after="120"/>
              <w:ind w:left="720"/>
              <w:rPr>
                <w:rFonts w:ascii="Arial" w:hAnsi="Arial" w:cs="Arial"/>
                <w:color w:val="000000"/>
              </w:rPr>
            </w:pPr>
            <w:r w:rsidRPr="00414A6D">
              <w:rPr>
                <w:rFonts w:ascii="Arial" w:hAnsi="Arial" w:cs="Arial"/>
                <w:color w:val="000000"/>
                <w:sz w:val="20"/>
              </w:rPr>
              <w:t>A patient with a hip fracture is assessed for pain at the time of presentation and regularly throughout their hospital stay, and receives pain management including the use of multimodal analgesia as clinically appropriate.</w:t>
            </w:r>
          </w:p>
        </w:tc>
      </w:tr>
      <w:tr w:rsidR="00850657" w:rsidRPr="00414A6D" w14:paraId="375E563F"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ABEC2" w14:textId="77777777" w:rsidR="00850657" w:rsidRPr="00414A6D" w:rsidRDefault="00850657" w:rsidP="004D653E">
            <w:pPr>
              <w:rPr>
                <w:rFonts w:ascii="Arial" w:hAnsi="Arial" w:cs="Arial"/>
                <w:color w:val="000000"/>
              </w:rPr>
            </w:pPr>
            <w:r w:rsidRPr="00414A6D">
              <w:rPr>
                <w:rFonts w:ascii="Arial" w:hAnsi="Arial" w:cs="Arial"/>
                <w:color w:val="000000"/>
              </w:rPr>
              <w:t>3</w:t>
            </w:r>
            <w:r w:rsidRPr="00414A6D">
              <w:rPr>
                <w:rFonts w:ascii="Arial" w:hAnsi="Arial" w:cs="Arial"/>
                <w:color w:val="000000"/>
              </w:rPr>
              <w:tab/>
            </w:r>
            <w:proofErr w:type="spellStart"/>
            <w:r w:rsidRPr="00414A6D">
              <w:rPr>
                <w:rFonts w:ascii="Arial" w:hAnsi="Arial" w:cs="Arial"/>
                <w:color w:val="000000"/>
              </w:rPr>
              <w:t>Orthogeriatric</w:t>
            </w:r>
            <w:proofErr w:type="spellEnd"/>
            <w:r w:rsidRPr="00414A6D">
              <w:rPr>
                <w:rFonts w:ascii="Arial" w:hAnsi="Arial" w:cs="Arial"/>
                <w:color w:val="000000"/>
              </w:rPr>
              <w:t xml:space="preserve"> model of care</w:t>
            </w:r>
          </w:p>
          <w:p w14:paraId="39D4E4E7" w14:textId="77777777" w:rsidR="00850657" w:rsidRPr="00414A6D" w:rsidRDefault="00850657" w:rsidP="00D41ED6">
            <w:pPr>
              <w:spacing w:after="120"/>
              <w:ind w:left="720"/>
              <w:rPr>
                <w:rFonts w:ascii="Arial" w:hAnsi="Arial" w:cs="Arial"/>
                <w:color w:val="000000"/>
                <w:sz w:val="20"/>
              </w:rPr>
            </w:pPr>
            <w:r w:rsidRPr="00414A6D">
              <w:rPr>
                <w:rFonts w:ascii="Arial" w:hAnsi="Arial" w:cs="Arial"/>
                <w:color w:val="000000"/>
                <w:sz w:val="20"/>
              </w:rPr>
              <w:t xml:space="preserve">A patient with a hip fracture is offered treatment based on an </w:t>
            </w:r>
            <w:proofErr w:type="spellStart"/>
            <w:r w:rsidRPr="00414A6D">
              <w:rPr>
                <w:rFonts w:ascii="Arial" w:hAnsi="Arial" w:cs="Arial"/>
                <w:color w:val="000000"/>
                <w:sz w:val="20"/>
              </w:rPr>
              <w:t>orthogeriatric</w:t>
            </w:r>
            <w:proofErr w:type="spellEnd"/>
            <w:r w:rsidRPr="00414A6D">
              <w:rPr>
                <w:rFonts w:ascii="Arial" w:hAnsi="Arial" w:cs="Arial"/>
                <w:color w:val="000000"/>
                <w:sz w:val="20"/>
              </w:rPr>
              <w:t xml:space="preserve"> model of care as defined in the Australian </w:t>
            </w:r>
            <w:r w:rsidRPr="003B14AB">
              <w:rPr>
                <w:rFonts w:ascii="Arial" w:hAnsi="Arial" w:cs="Arial"/>
                <w:color w:val="000000"/>
                <w:sz w:val="20"/>
                <w:szCs w:val="20"/>
              </w:rPr>
              <w:t xml:space="preserve">and </w:t>
            </w:r>
            <w:r w:rsidRPr="00940602">
              <w:rPr>
                <w:rFonts w:ascii="Arial" w:hAnsi="Arial" w:cs="Arial"/>
                <w:color w:val="000000"/>
                <w:sz w:val="20"/>
                <w:szCs w:val="20"/>
              </w:rPr>
              <w:t>New Zealand</w:t>
            </w:r>
            <w:r w:rsidRPr="00414A6D">
              <w:rPr>
                <w:rFonts w:ascii="Arial" w:hAnsi="Arial" w:cs="Arial"/>
                <w:color w:val="000000"/>
                <w:sz w:val="20"/>
              </w:rPr>
              <w:t xml:space="preserve"> Guideline for Hip Fracture Care.</w:t>
            </w:r>
          </w:p>
        </w:tc>
      </w:tr>
      <w:tr w:rsidR="00850657" w:rsidRPr="00414A6D" w14:paraId="6CD622C6"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1F910B" w14:textId="77777777" w:rsidR="00850657" w:rsidRPr="00414A6D" w:rsidRDefault="00850657" w:rsidP="004D653E">
            <w:pPr>
              <w:rPr>
                <w:rFonts w:ascii="Arial" w:hAnsi="Arial" w:cs="Arial"/>
                <w:color w:val="000000"/>
              </w:rPr>
            </w:pPr>
            <w:r w:rsidRPr="00414A6D">
              <w:rPr>
                <w:rFonts w:ascii="Arial" w:hAnsi="Arial" w:cs="Arial"/>
                <w:color w:val="000000"/>
              </w:rPr>
              <w:t>4</w:t>
            </w:r>
            <w:r w:rsidRPr="00414A6D">
              <w:rPr>
                <w:rFonts w:ascii="Arial" w:hAnsi="Arial" w:cs="Arial"/>
                <w:color w:val="000000"/>
              </w:rPr>
              <w:tab/>
              <w:t>Timing of surgery</w:t>
            </w:r>
          </w:p>
          <w:p w14:paraId="0B0C2AE4" w14:textId="77777777" w:rsidR="00850657" w:rsidRPr="00414A6D" w:rsidRDefault="00850657" w:rsidP="00D41ED6">
            <w:pPr>
              <w:spacing w:after="120"/>
              <w:ind w:left="720"/>
              <w:rPr>
                <w:rFonts w:ascii="Arial" w:hAnsi="Arial" w:cs="Arial"/>
                <w:color w:val="000000"/>
              </w:rPr>
            </w:pPr>
            <w:r w:rsidRPr="00414A6D">
              <w:rPr>
                <w:rFonts w:ascii="Arial" w:hAnsi="Arial" w:cs="Arial"/>
                <w:color w:val="000000"/>
                <w:sz w:val="20"/>
              </w:rPr>
              <w:t xml:space="preserve">A patient presenting to hospital with a hip fracture or sustaining a hip fracture while in hospital, receives surgery on the day of or the day after, where clinically indicated and surgery is preferred by the patient. </w:t>
            </w:r>
          </w:p>
        </w:tc>
      </w:tr>
      <w:tr w:rsidR="00850657" w:rsidRPr="00414A6D" w14:paraId="74BC03C2"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00FDBD" w14:textId="77777777" w:rsidR="00850657" w:rsidRPr="00414A6D" w:rsidRDefault="00850657" w:rsidP="004D653E">
            <w:pPr>
              <w:rPr>
                <w:rFonts w:ascii="Arial" w:hAnsi="Arial" w:cs="Arial"/>
                <w:color w:val="000000"/>
              </w:rPr>
            </w:pPr>
            <w:r w:rsidRPr="00414A6D">
              <w:rPr>
                <w:rFonts w:ascii="Arial" w:hAnsi="Arial" w:cs="Arial"/>
                <w:color w:val="000000"/>
              </w:rPr>
              <w:t>5</w:t>
            </w:r>
            <w:r w:rsidRPr="00414A6D">
              <w:rPr>
                <w:rFonts w:ascii="Arial" w:hAnsi="Arial" w:cs="Arial"/>
                <w:color w:val="000000"/>
              </w:rPr>
              <w:tab/>
              <w:t>Mobilisation and weight-bearing</w:t>
            </w:r>
          </w:p>
          <w:p w14:paraId="37132695" w14:textId="77777777" w:rsidR="00850657" w:rsidRPr="00414A6D" w:rsidRDefault="00850657" w:rsidP="00D41ED6">
            <w:pPr>
              <w:spacing w:after="120"/>
              <w:ind w:left="720"/>
              <w:rPr>
                <w:rFonts w:ascii="Arial" w:hAnsi="Arial" w:cs="Arial"/>
                <w:color w:val="000000"/>
              </w:rPr>
            </w:pPr>
            <w:r w:rsidRPr="00414A6D">
              <w:rPr>
                <w:rFonts w:ascii="Arial" w:hAnsi="Arial" w:cs="Arial"/>
                <w:color w:val="000000"/>
                <w:sz w:val="20"/>
              </w:rPr>
              <w:t>A patient with a hip fracture is offered mobilisation without weight-bearing restriction the day after surgery and at least once a day thereafter, depending on the patient’s clinical condition and agreed goals of care.</w:t>
            </w:r>
          </w:p>
        </w:tc>
      </w:tr>
      <w:tr w:rsidR="00850657" w:rsidRPr="00414A6D" w14:paraId="1F213C5A"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E91D50" w14:textId="77777777" w:rsidR="00850657" w:rsidRPr="00414A6D" w:rsidRDefault="00850657" w:rsidP="004D653E">
            <w:pPr>
              <w:rPr>
                <w:rFonts w:ascii="Arial" w:hAnsi="Arial" w:cs="Arial"/>
                <w:color w:val="000000"/>
              </w:rPr>
            </w:pPr>
            <w:r w:rsidRPr="00414A6D">
              <w:rPr>
                <w:rFonts w:ascii="Arial" w:hAnsi="Arial" w:cs="Arial"/>
                <w:color w:val="000000"/>
              </w:rPr>
              <w:t>6</w:t>
            </w:r>
            <w:r w:rsidRPr="00414A6D">
              <w:rPr>
                <w:rFonts w:ascii="Arial" w:hAnsi="Arial" w:cs="Arial"/>
                <w:color w:val="000000"/>
              </w:rPr>
              <w:tab/>
              <w:t>Minimise the risk of another fracture</w:t>
            </w:r>
          </w:p>
          <w:p w14:paraId="69167F5F" w14:textId="77777777" w:rsidR="00850657" w:rsidRPr="00414A6D" w:rsidRDefault="00850657" w:rsidP="00D41ED6">
            <w:pPr>
              <w:spacing w:after="120"/>
              <w:ind w:left="720"/>
              <w:rPr>
                <w:rFonts w:ascii="Arial" w:hAnsi="Arial" w:cs="Arial"/>
                <w:color w:val="000000"/>
              </w:rPr>
            </w:pPr>
            <w:r w:rsidRPr="00414A6D">
              <w:rPr>
                <w:rFonts w:ascii="Arial" w:hAnsi="Arial" w:cs="Arial"/>
                <w:color w:val="000000"/>
                <w:sz w:val="20"/>
              </w:rPr>
              <w:t>Before a patient with a hip fracture leaves hospital, they are offered a falls and bone health assessment, and a management plan based on this assessment to reduce the risk of another fracture.</w:t>
            </w:r>
          </w:p>
        </w:tc>
      </w:tr>
      <w:tr w:rsidR="00850657" w:rsidRPr="00414A6D" w14:paraId="39E8FDEF" w14:textId="77777777" w:rsidTr="003853F8">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14FE31" w14:textId="77777777" w:rsidR="00850657" w:rsidRPr="00414A6D" w:rsidRDefault="00850657" w:rsidP="004D653E">
            <w:pPr>
              <w:rPr>
                <w:rFonts w:ascii="Arial" w:hAnsi="Arial" w:cs="Arial"/>
                <w:color w:val="000000"/>
              </w:rPr>
            </w:pPr>
            <w:r w:rsidRPr="00414A6D">
              <w:rPr>
                <w:rFonts w:ascii="Arial" w:hAnsi="Arial" w:cs="Arial"/>
                <w:color w:val="000000"/>
              </w:rPr>
              <w:t>7</w:t>
            </w:r>
            <w:r w:rsidRPr="00414A6D">
              <w:rPr>
                <w:rFonts w:ascii="Arial" w:hAnsi="Arial" w:cs="Arial"/>
                <w:color w:val="000000"/>
              </w:rPr>
              <w:tab/>
            </w:r>
            <w:r w:rsidRPr="00414A6D">
              <w:rPr>
                <w:rFonts w:ascii="Arial" w:hAnsi="Arial" w:cs="Arial"/>
              </w:rPr>
              <w:t>Transition from hospital care</w:t>
            </w:r>
          </w:p>
          <w:p w14:paraId="1568922B" w14:textId="77777777" w:rsidR="00850657" w:rsidRPr="00414A6D" w:rsidRDefault="00850657" w:rsidP="00850657">
            <w:pPr>
              <w:spacing w:after="240"/>
              <w:ind w:left="720"/>
              <w:rPr>
                <w:rFonts w:ascii="Arial" w:hAnsi="Arial" w:cs="Arial"/>
                <w:color w:val="000000"/>
                <w:sz w:val="20"/>
              </w:rPr>
            </w:pPr>
            <w:r w:rsidRPr="00414A6D">
              <w:rPr>
                <w:rFonts w:ascii="Arial" w:hAnsi="Arial" w:cs="Arial"/>
                <w:color w:val="000000"/>
                <w:sz w:val="20"/>
              </w:rPr>
              <w:t xml:space="preserve">Before a patient leaves hospital, the patient and their carer are involved in the development of an individualised care plan that describes the ongoing care that the patient will require after they leave hospital. The plan includes a summary of any changes in medicines, any new medicines, mobilisation, wound care and function post injury, recommendations for future fracture prevention and referral to ongoing rehabilitation if clinically indicated. </w:t>
            </w:r>
          </w:p>
          <w:p w14:paraId="67BC3277" w14:textId="77777777" w:rsidR="00850657" w:rsidRPr="00414A6D" w:rsidRDefault="00850657" w:rsidP="00D41ED6">
            <w:pPr>
              <w:spacing w:after="120"/>
              <w:ind w:left="720"/>
              <w:rPr>
                <w:rFonts w:ascii="Arial" w:hAnsi="Arial" w:cs="Arial"/>
                <w:color w:val="000000"/>
                <w:sz w:val="20"/>
              </w:rPr>
            </w:pPr>
            <w:r w:rsidRPr="00414A6D">
              <w:rPr>
                <w:rFonts w:ascii="Arial" w:hAnsi="Arial" w:cs="Arial"/>
                <w:color w:val="000000"/>
                <w:sz w:val="20"/>
              </w:rPr>
              <w:t>This plan is provided to the patient and their general practitioner or ongoing clinical provider within 48 hours of discharge.</w:t>
            </w:r>
          </w:p>
        </w:tc>
      </w:tr>
    </w:tbl>
    <w:p w14:paraId="3A629995" w14:textId="77777777" w:rsidR="00850657" w:rsidRPr="00414A6D" w:rsidRDefault="00850657">
      <w:pPr>
        <w:rPr>
          <w:rFonts w:ascii="Arial" w:hAnsi="Arial" w:cs="Arial"/>
          <w:b/>
          <w:sz w:val="22"/>
          <w:szCs w:val="22"/>
        </w:rPr>
      </w:pPr>
    </w:p>
    <w:p w14:paraId="73AAC836" w14:textId="77777777" w:rsidR="009E4B30" w:rsidRPr="003B14AB" w:rsidRDefault="009E4B30" w:rsidP="00D41ED6">
      <w:pPr>
        <w:pStyle w:val="Heading2"/>
        <w:numPr>
          <w:ilvl w:val="0"/>
          <w:numId w:val="0"/>
        </w:numPr>
        <w:rPr>
          <w:sz w:val="22"/>
          <w:szCs w:val="22"/>
        </w:rPr>
      </w:pPr>
      <w:bookmarkStart w:id="45" w:name="_Toc426633822"/>
      <w:r w:rsidRPr="003B14AB">
        <w:rPr>
          <w:sz w:val="22"/>
          <w:szCs w:val="22"/>
        </w:rPr>
        <w:lastRenderedPageBreak/>
        <w:t>Appendix D. Australian Commission on Safety and Quality in Health Care draft Hip Fracture Clinical Care Standard indicators</w:t>
      </w:r>
      <w:bookmarkEnd w:id="45"/>
      <w:r w:rsidRPr="003B14AB">
        <w:rPr>
          <w:sz w:val="22"/>
          <w:szCs w:val="22"/>
        </w:rPr>
        <w:t xml:space="preserve"> </w:t>
      </w:r>
    </w:p>
    <w:p w14:paraId="79CFACB6" w14:textId="77777777" w:rsidR="009E4B30" w:rsidRPr="00940602" w:rsidRDefault="009E4B30">
      <w:pPr>
        <w:rPr>
          <w:rFonts w:ascii="Arial" w:hAnsi="Arial" w:cs="Arial"/>
          <w:b/>
          <w:sz w:val="22"/>
          <w:szCs w:val="22"/>
        </w:rPr>
      </w:pPr>
    </w:p>
    <w:tbl>
      <w:tblPr>
        <w:tblStyle w:val="TableGrid"/>
        <w:tblW w:w="0" w:type="auto"/>
        <w:tblLook w:val="04A0" w:firstRow="1" w:lastRow="0" w:firstColumn="1" w:lastColumn="0" w:noHBand="0" w:noVBand="1"/>
      </w:tblPr>
      <w:tblGrid>
        <w:gridCol w:w="7621"/>
        <w:gridCol w:w="540"/>
        <w:gridCol w:w="541"/>
      </w:tblGrid>
      <w:tr w:rsidR="00597945" w:rsidRPr="00414A6D" w14:paraId="106D49F1" w14:textId="77777777" w:rsidTr="0018750E">
        <w:trPr>
          <w:cantSplit/>
          <w:trHeight w:val="1182"/>
        </w:trPr>
        <w:tc>
          <w:tcPr>
            <w:tcW w:w="7621" w:type="dxa"/>
          </w:tcPr>
          <w:p w14:paraId="2F21ADF1" w14:textId="77777777" w:rsidR="00597945" w:rsidRPr="00414A6D" w:rsidRDefault="00597945" w:rsidP="0018750E">
            <w:pPr>
              <w:keepNext/>
              <w:rPr>
                <w:rFonts w:ascii="Arial" w:hAnsi="Arial" w:cs="Arial"/>
              </w:rPr>
            </w:pPr>
          </w:p>
        </w:tc>
        <w:tc>
          <w:tcPr>
            <w:tcW w:w="540" w:type="dxa"/>
            <w:textDirection w:val="btLr"/>
          </w:tcPr>
          <w:p w14:paraId="3A1AB8B7" w14:textId="77777777" w:rsidR="00597945" w:rsidRPr="00414A6D" w:rsidRDefault="00597945" w:rsidP="0018750E">
            <w:pPr>
              <w:ind w:left="113" w:right="113"/>
              <w:rPr>
                <w:rFonts w:ascii="Arial" w:hAnsi="Arial" w:cs="Arial"/>
                <w:sz w:val="16"/>
                <w:szCs w:val="16"/>
              </w:rPr>
            </w:pPr>
            <w:r w:rsidRPr="00414A6D">
              <w:rPr>
                <w:rFonts w:ascii="Arial" w:hAnsi="Arial" w:cs="Arial"/>
                <w:sz w:val="16"/>
                <w:szCs w:val="16"/>
              </w:rPr>
              <w:t>Supports improvement</w:t>
            </w:r>
          </w:p>
        </w:tc>
        <w:tc>
          <w:tcPr>
            <w:tcW w:w="541" w:type="dxa"/>
            <w:textDirection w:val="btLr"/>
          </w:tcPr>
          <w:p w14:paraId="2E2D06DE" w14:textId="77777777" w:rsidR="00597945" w:rsidRPr="00414A6D" w:rsidRDefault="00597945" w:rsidP="0018750E">
            <w:pPr>
              <w:ind w:left="113" w:right="113"/>
              <w:rPr>
                <w:rFonts w:ascii="Arial" w:hAnsi="Arial" w:cs="Arial"/>
                <w:sz w:val="16"/>
                <w:szCs w:val="16"/>
              </w:rPr>
            </w:pPr>
            <w:r w:rsidRPr="00414A6D">
              <w:rPr>
                <w:rFonts w:ascii="Arial" w:hAnsi="Arial" w:cs="Arial"/>
                <w:sz w:val="16"/>
                <w:szCs w:val="16"/>
              </w:rPr>
              <w:t>Outcome measure</w:t>
            </w:r>
          </w:p>
        </w:tc>
      </w:tr>
      <w:tr w:rsidR="00597945" w:rsidRPr="00414A6D" w14:paraId="28197134" w14:textId="77777777" w:rsidTr="0018750E">
        <w:trPr>
          <w:cantSplit/>
        </w:trPr>
        <w:tc>
          <w:tcPr>
            <w:tcW w:w="7621" w:type="dxa"/>
            <w:tcBorders>
              <w:bottom w:val="nil"/>
            </w:tcBorders>
          </w:tcPr>
          <w:p w14:paraId="4BBA6D7B" w14:textId="77777777" w:rsidR="00597945" w:rsidRPr="00414A6D" w:rsidRDefault="00597945" w:rsidP="0018750E">
            <w:pPr>
              <w:keepNext/>
              <w:rPr>
                <w:rFonts w:ascii="Arial" w:hAnsi="Arial" w:cs="Arial"/>
                <w:sz w:val="22"/>
                <w:szCs w:val="22"/>
              </w:rPr>
            </w:pPr>
            <w:r w:rsidRPr="00414A6D">
              <w:rPr>
                <w:rFonts w:ascii="Arial" w:hAnsi="Arial" w:cs="Arial"/>
                <w:sz w:val="22"/>
                <w:szCs w:val="22"/>
              </w:rPr>
              <w:t xml:space="preserve">Quality statement 1 – </w:t>
            </w:r>
            <w:r w:rsidRPr="00414A6D">
              <w:rPr>
                <w:rFonts w:ascii="Arial" w:hAnsi="Arial" w:cs="Arial"/>
                <w:b/>
                <w:sz w:val="22"/>
                <w:szCs w:val="22"/>
              </w:rPr>
              <w:t>Care at presentation</w:t>
            </w:r>
            <w:r w:rsidRPr="00414A6D">
              <w:rPr>
                <w:rFonts w:ascii="Arial" w:hAnsi="Arial" w:cs="Arial"/>
                <w:sz w:val="22"/>
                <w:szCs w:val="22"/>
              </w:rPr>
              <w:t>:</w:t>
            </w:r>
          </w:p>
        </w:tc>
        <w:tc>
          <w:tcPr>
            <w:tcW w:w="540" w:type="dxa"/>
            <w:tcBorders>
              <w:bottom w:val="nil"/>
            </w:tcBorders>
          </w:tcPr>
          <w:p w14:paraId="4A06D3BC" w14:textId="77777777" w:rsidR="00597945" w:rsidRPr="00414A6D" w:rsidRDefault="00597945" w:rsidP="0018750E">
            <w:pPr>
              <w:rPr>
                <w:rFonts w:ascii="Arial" w:hAnsi="Arial" w:cs="Arial"/>
                <w:sz w:val="22"/>
                <w:szCs w:val="22"/>
              </w:rPr>
            </w:pPr>
          </w:p>
        </w:tc>
        <w:tc>
          <w:tcPr>
            <w:tcW w:w="541" w:type="dxa"/>
            <w:tcBorders>
              <w:bottom w:val="nil"/>
            </w:tcBorders>
          </w:tcPr>
          <w:p w14:paraId="02F5BB27" w14:textId="77777777" w:rsidR="00597945" w:rsidRPr="00414A6D" w:rsidRDefault="00597945" w:rsidP="0018750E">
            <w:pPr>
              <w:rPr>
                <w:rFonts w:ascii="Arial" w:hAnsi="Arial" w:cs="Arial"/>
                <w:sz w:val="22"/>
                <w:szCs w:val="22"/>
              </w:rPr>
            </w:pPr>
          </w:p>
        </w:tc>
      </w:tr>
      <w:tr w:rsidR="00597945" w:rsidRPr="00414A6D" w14:paraId="37E68E16" w14:textId="77777777" w:rsidTr="0018750E">
        <w:tc>
          <w:tcPr>
            <w:tcW w:w="7621" w:type="dxa"/>
            <w:tcBorders>
              <w:top w:val="nil"/>
              <w:bottom w:val="nil"/>
            </w:tcBorders>
          </w:tcPr>
          <w:p w14:paraId="7318ADE8"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1a: Evidence of local arrangements for the management of patients with hip fracture in the emergency department.</w:t>
            </w:r>
          </w:p>
        </w:tc>
        <w:tc>
          <w:tcPr>
            <w:tcW w:w="540" w:type="dxa"/>
            <w:tcBorders>
              <w:top w:val="nil"/>
              <w:bottom w:val="nil"/>
            </w:tcBorders>
          </w:tcPr>
          <w:p w14:paraId="14D4A235"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3C5F87B9" w14:textId="77777777" w:rsidR="00597945" w:rsidRPr="00414A6D" w:rsidRDefault="00597945" w:rsidP="0018750E">
            <w:pPr>
              <w:rPr>
                <w:rFonts w:ascii="Arial" w:hAnsi="Arial" w:cs="Arial"/>
                <w:sz w:val="22"/>
                <w:szCs w:val="22"/>
              </w:rPr>
            </w:pPr>
          </w:p>
        </w:tc>
      </w:tr>
      <w:tr w:rsidR="00597945" w:rsidRPr="00414A6D" w14:paraId="70DEF8E5" w14:textId="77777777" w:rsidTr="0018750E">
        <w:tc>
          <w:tcPr>
            <w:tcW w:w="7621" w:type="dxa"/>
            <w:tcBorders>
              <w:top w:val="nil"/>
              <w:bottom w:val="nil"/>
            </w:tcBorders>
          </w:tcPr>
          <w:p w14:paraId="22E5BF94"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1b: Proportion of patients with a hip fracture who have had their pre-operative cognitive status assessed.</w:t>
            </w:r>
          </w:p>
        </w:tc>
        <w:tc>
          <w:tcPr>
            <w:tcW w:w="540" w:type="dxa"/>
            <w:tcBorders>
              <w:top w:val="nil"/>
              <w:bottom w:val="nil"/>
            </w:tcBorders>
          </w:tcPr>
          <w:p w14:paraId="62F36595"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2E8CF6A6" w14:textId="77777777" w:rsidR="00597945" w:rsidRPr="00414A6D" w:rsidRDefault="00597945" w:rsidP="0018750E">
            <w:pPr>
              <w:rPr>
                <w:rFonts w:ascii="Arial" w:hAnsi="Arial" w:cs="Arial"/>
                <w:sz w:val="22"/>
                <w:szCs w:val="22"/>
              </w:rPr>
            </w:pPr>
          </w:p>
        </w:tc>
      </w:tr>
      <w:tr w:rsidR="00597945" w:rsidRPr="00414A6D" w14:paraId="3A9580ED" w14:textId="77777777" w:rsidTr="0018750E">
        <w:tc>
          <w:tcPr>
            <w:tcW w:w="7621" w:type="dxa"/>
            <w:tcBorders>
              <w:bottom w:val="nil"/>
            </w:tcBorders>
          </w:tcPr>
          <w:p w14:paraId="34FF6B0B" w14:textId="77777777" w:rsidR="00597945" w:rsidRPr="00414A6D" w:rsidRDefault="00597945" w:rsidP="0018750E">
            <w:pPr>
              <w:rPr>
                <w:rFonts w:ascii="Arial" w:hAnsi="Arial" w:cs="Arial"/>
                <w:sz w:val="22"/>
                <w:szCs w:val="22"/>
              </w:rPr>
            </w:pPr>
            <w:r w:rsidRPr="00414A6D">
              <w:rPr>
                <w:rFonts w:ascii="Arial" w:hAnsi="Arial" w:cs="Arial"/>
                <w:sz w:val="22"/>
                <w:szCs w:val="22"/>
              </w:rPr>
              <w:t xml:space="preserve">Quality statement 2 – </w:t>
            </w:r>
            <w:r w:rsidRPr="00414A6D">
              <w:rPr>
                <w:rFonts w:ascii="Arial" w:hAnsi="Arial" w:cs="Arial"/>
                <w:b/>
                <w:sz w:val="22"/>
                <w:szCs w:val="22"/>
              </w:rPr>
              <w:t>Pain management</w:t>
            </w:r>
            <w:r w:rsidRPr="00414A6D">
              <w:rPr>
                <w:rFonts w:ascii="Arial" w:hAnsi="Arial" w:cs="Arial"/>
                <w:sz w:val="22"/>
                <w:szCs w:val="22"/>
              </w:rPr>
              <w:t>:</w:t>
            </w:r>
          </w:p>
        </w:tc>
        <w:tc>
          <w:tcPr>
            <w:tcW w:w="540" w:type="dxa"/>
            <w:tcBorders>
              <w:bottom w:val="nil"/>
            </w:tcBorders>
          </w:tcPr>
          <w:p w14:paraId="45BA5698" w14:textId="77777777" w:rsidR="00597945" w:rsidRPr="00414A6D" w:rsidRDefault="00597945" w:rsidP="0018750E">
            <w:pPr>
              <w:rPr>
                <w:rFonts w:ascii="Arial" w:hAnsi="Arial" w:cs="Arial"/>
                <w:sz w:val="22"/>
                <w:szCs w:val="22"/>
              </w:rPr>
            </w:pPr>
          </w:p>
        </w:tc>
        <w:tc>
          <w:tcPr>
            <w:tcW w:w="541" w:type="dxa"/>
            <w:tcBorders>
              <w:bottom w:val="nil"/>
            </w:tcBorders>
          </w:tcPr>
          <w:p w14:paraId="1898D7A5" w14:textId="77777777" w:rsidR="00597945" w:rsidRPr="00414A6D" w:rsidRDefault="00597945" w:rsidP="0018750E">
            <w:pPr>
              <w:rPr>
                <w:rFonts w:ascii="Arial" w:hAnsi="Arial" w:cs="Arial"/>
                <w:sz w:val="22"/>
                <w:szCs w:val="22"/>
              </w:rPr>
            </w:pPr>
          </w:p>
        </w:tc>
      </w:tr>
      <w:tr w:rsidR="00597945" w:rsidRPr="00414A6D" w14:paraId="52579A27" w14:textId="77777777" w:rsidTr="0018750E">
        <w:tc>
          <w:tcPr>
            <w:tcW w:w="7621" w:type="dxa"/>
            <w:tcBorders>
              <w:top w:val="nil"/>
              <w:bottom w:val="nil"/>
            </w:tcBorders>
          </w:tcPr>
          <w:p w14:paraId="147FCF7A"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2a: Evidence of local arrangements for timely and effective pain management for hip fracture.</w:t>
            </w:r>
          </w:p>
        </w:tc>
        <w:tc>
          <w:tcPr>
            <w:tcW w:w="540" w:type="dxa"/>
            <w:tcBorders>
              <w:top w:val="nil"/>
              <w:bottom w:val="nil"/>
            </w:tcBorders>
          </w:tcPr>
          <w:p w14:paraId="06474AD3"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780E2969" w14:textId="77777777" w:rsidR="00597945" w:rsidRPr="00414A6D" w:rsidRDefault="00597945" w:rsidP="0018750E">
            <w:pPr>
              <w:rPr>
                <w:rFonts w:ascii="Arial" w:hAnsi="Arial" w:cs="Arial"/>
                <w:sz w:val="22"/>
                <w:szCs w:val="22"/>
              </w:rPr>
            </w:pPr>
          </w:p>
        </w:tc>
      </w:tr>
      <w:tr w:rsidR="00597945" w:rsidRPr="00414A6D" w14:paraId="52656436" w14:textId="77777777" w:rsidTr="0018750E">
        <w:tc>
          <w:tcPr>
            <w:tcW w:w="7621" w:type="dxa"/>
            <w:tcBorders>
              <w:top w:val="nil"/>
              <w:bottom w:val="nil"/>
            </w:tcBorders>
          </w:tcPr>
          <w:p w14:paraId="05C1B17F"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2b: Proportion of patients with a hip fracture who receive analgesia or have documented assessment of pain within 30 minutes of presentation to the emergency department.</w:t>
            </w:r>
          </w:p>
        </w:tc>
        <w:tc>
          <w:tcPr>
            <w:tcW w:w="540" w:type="dxa"/>
            <w:tcBorders>
              <w:top w:val="nil"/>
              <w:bottom w:val="nil"/>
            </w:tcBorders>
          </w:tcPr>
          <w:p w14:paraId="72C31B1E"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41F440C4" w14:textId="77777777" w:rsidR="00597945" w:rsidRPr="00414A6D" w:rsidRDefault="00597945" w:rsidP="0018750E">
            <w:pPr>
              <w:rPr>
                <w:rFonts w:ascii="Arial" w:hAnsi="Arial" w:cs="Arial"/>
                <w:sz w:val="22"/>
                <w:szCs w:val="22"/>
              </w:rPr>
            </w:pPr>
          </w:p>
        </w:tc>
      </w:tr>
      <w:tr w:rsidR="00597945" w:rsidRPr="00414A6D" w14:paraId="3515AD19" w14:textId="77777777" w:rsidTr="0018750E">
        <w:tc>
          <w:tcPr>
            <w:tcW w:w="7621" w:type="dxa"/>
            <w:tcBorders>
              <w:bottom w:val="nil"/>
            </w:tcBorders>
          </w:tcPr>
          <w:p w14:paraId="16C250A0" w14:textId="77777777" w:rsidR="00597945" w:rsidRPr="00414A6D" w:rsidRDefault="00597945" w:rsidP="0018750E">
            <w:pPr>
              <w:keepNext/>
              <w:rPr>
                <w:rFonts w:ascii="Arial" w:hAnsi="Arial" w:cs="Arial"/>
                <w:sz w:val="22"/>
                <w:szCs w:val="22"/>
              </w:rPr>
            </w:pPr>
            <w:r w:rsidRPr="00414A6D">
              <w:rPr>
                <w:rFonts w:ascii="Arial" w:hAnsi="Arial" w:cs="Arial"/>
                <w:sz w:val="22"/>
                <w:szCs w:val="22"/>
              </w:rPr>
              <w:t xml:space="preserve">Quality statement 3 – </w:t>
            </w:r>
            <w:proofErr w:type="spellStart"/>
            <w:r w:rsidRPr="00414A6D">
              <w:rPr>
                <w:rFonts w:ascii="Arial" w:hAnsi="Arial" w:cs="Arial"/>
                <w:b/>
                <w:sz w:val="22"/>
                <w:szCs w:val="22"/>
              </w:rPr>
              <w:t>Orthogeriatric</w:t>
            </w:r>
            <w:proofErr w:type="spellEnd"/>
            <w:r w:rsidRPr="00414A6D">
              <w:rPr>
                <w:rFonts w:ascii="Arial" w:hAnsi="Arial" w:cs="Arial"/>
                <w:b/>
                <w:sz w:val="22"/>
                <w:szCs w:val="22"/>
              </w:rPr>
              <w:t xml:space="preserve"> model of care</w:t>
            </w:r>
            <w:r w:rsidRPr="00414A6D">
              <w:rPr>
                <w:rFonts w:ascii="Arial" w:hAnsi="Arial" w:cs="Arial"/>
                <w:sz w:val="22"/>
                <w:szCs w:val="22"/>
              </w:rPr>
              <w:t>:</w:t>
            </w:r>
          </w:p>
        </w:tc>
        <w:tc>
          <w:tcPr>
            <w:tcW w:w="540" w:type="dxa"/>
            <w:tcBorders>
              <w:bottom w:val="nil"/>
            </w:tcBorders>
          </w:tcPr>
          <w:p w14:paraId="379BB7E8" w14:textId="77777777" w:rsidR="00597945" w:rsidRPr="00414A6D" w:rsidRDefault="00597945" w:rsidP="0018750E">
            <w:pPr>
              <w:keepNext/>
              <w:rPr>
                <w:rFonts w:ascii="Arial" w:hAnsi="Arial" w:cs="Arial"/>
                <w:sz w:val="22"/>
                <w:szCs w:val="22"/>
              </w:rPr>
            </w:pPr>
          </w:p>
        </w:tc>
        <w:tc>
          <w:tcPr>
            <w:tcW w:w="541" w:type="dxa"/>
            <w:tcBorders>
              <w:bottom w:val="nil"/>
            </w:tcBorders>
          </w:tcPr>
          <w:p w14:paraId="6BEB1872" w14:textId="77777777" w:rsidR="00597945" w:rsidRPr="00414A6D" w:rsidRDefault="00597945" w:rsidP="0018750E">
            <w:pPr>
              <w:keepNext/>
              <w:rPr>
                <w:rFonts w:ascii="Arial" w:hAnsi="Arial" w:cs="Arial"/>
                <w:sz w:val="22"/>
                <w:szCs w:val="22"/>
              </w:rPr>
            </w:pPr>
          </w:p>
        </w:tc>
      </w:tr>
      <w:tr w:rsidR="00597945" w:rsidRPr="00414A6D" w14:paraId="563AF0BF" w14:textId="77777777" w:rsidTr="0018750E">
        <w:tc>
          <w:tcPr>
            <w:tcW w:w="7621" w:type="dxa"/>
            <w:tcBorders>
              <w:top w:val="nil"/>
              <w:bottom w:val="nil"/>
            </w:tcBorders>
          </w:tcPr>
          <w:p w14:paraId="1B9E7046" w14:textId="77777777" w:rsidR="00597945" w:rsidRPr="00414A6D" w:rsidRDefault="00597945" w:rsidP="007B1510">
            <w:pPr>
              <w:pStyle w:val="ListParagraph"/>
              <w:keepNext/>
              <w:numPr>
                <w:ilvl w:val="0"/>
                <w:numId w:val="17"/>
              </w:numPr>
              <w:rPr>
                <w:rFonts w:ascii="Arial" w:hAnsi="Arial" w:cs="Arial"/>
                <w:sz w:val="22"/>
                <w:szCs w:val="22"/>
              </w:rPr>
            </w:pPr>
            <w:r w:rsidRPr="00414A6D">
              <w:rPr>
                <w:rFonts w:ascii="Arial" w:hAnsi="Arial" w:cs="Arial"/>
                <w:sz w:val="22"/>
                <w:szCs w:val="22"/>
              </w:rPr>
              <w:t xml:space="preserve">Indicator 3a: Evidence of </w:t>
            </w:r>
            <w:proofErr w:type="spellStart"/>
            <w:r w:rsidRPr="00414A6D">
              <w:rPr>
                <w:rFonts w:ascii="Arial" w:hAnsi="Arial" w:cs="Arial"/>
                <w:sz w:val="22"/>
                <w:szCs w:val="22"/>
              </w:rPr>
              <w:t>orthogeriatric</w:t>
            </w:r>
            <w:proofErr w:type="spellEnd"/>
            <w:r w:rsidRPr="00414A6D">
              <w:rPr>
                <w:rFonts w:ascii="Arial" w:hAnsi="Arial" w:cs="Arial"/>
                <w:sz w:val="22"/>
                <w:szCs w:val="22"/>
              </w:rPr>
              <w:t xml:space="preserve"> (or alternative physician) management during their admitted hip fracture episode of care.</w:t>
            </w:r>
          </w:p>
        </w:tc>
        <w:tc>
          <w:tcPr>
            <w:tcW w:w="540" w:type="dxa"/>
            <w:tcBorders>
              <w:top w:val="nil"/>
              <w:bottom w:val="nil"/>
            </w:tcBorders>
          </w:tcPr>
          <w:p w14:paraId="2845FF41" w14:textId="77777777" w:rsidR="00597945" w:rsidRPr="00414A6D" w:rsidRDefault="00597945" w:rsidP="0018750E">
            <w:pPr>
              <w:keepNext/>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205E2194" w14:textId="77777777" w:rsidR="00597945" w:rsidRPr="00414A6D" w:rsidRDefault="00597945" w:rsidP="0018750E">
            <w:pPr>
              <w:keepNext/>
              <w:rPr>
                <w:rFonts w:ascii="Arial" w:hAnsi="Arial" w:cs="Arial"/>
                <w:sz w:val="22"/>
                <w:szCs w:val="22"/>
              </w:rPr>
            </w:pPr>
          </w:p>
        </w:tc>
      </w:tr>
      <w:tr w:rsidR="00597945" w:rsidRPr="00414A6D" w14:paraId="51BE7D88" w14:textId="77777777" w:rsidTr="0018750E">
        <w:tc>
          <w:tcPr>
            <w:tcW w:w="7621" w:type="dxa"/>
            <w:tcBorders>
              <w:top w:val="nil"/>
              <w:bottom w:val="nil"/>
            </w:tcBorders>
          </w:tcPr>
          <w:p w14:paraId="2E32C241"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 xml:space="preserve">Indicator 3b: Proportion of patients with a hip fracture receiving </w:t>
            </w:r>
            <w:proofErr w:type="spellStart"/>
            <w:r w:rsidRPr="00414A6D">
              <w:rPr>
                <w:rFonts w:ascii="Arial" w:hAnsi="Arial" w:cs="Arial"/>
                <w:sz w:val="22"/>
                <w:szCs w:val="22"/>
              </w:rPr>
              <w:t>orthogeriatric</w:t>
            </w:r>
            <w:proofErr w:type="spellEnd"/>
            <w:r w:rsidRPr="00414A6D">
              <w:rPr>
                <w:rFonts w:ascii="Arial" w:hAnsi="Arial" w:cs="Arial"/>
                <w:sz w:val="22"/>
                <w:szCs w:val="22"/>
              </w:rPr>
              <w:t xml:space="preserve"> (or alternative physician) assessment prior to hip fracture surgery.</w:t>
            </w:r>
          </w:p>
        </w:tc>
        <w:tc>
          <w:tcPr>
            <w:tcW w:w="540" w:type="dxa"/>
            <w:tcBorders>
              <w:top w:val="nil"/>
              <w:bottom w:val="nil"/>
            </w:tcBorders>
          </w:tcPr>
          <w:p w14:paraId="6C52FC8C"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46AF64E5" w14:textId="77777777" w:rsidR="00597945" w:rsidRPr="00414A6D" w:rsidRDefault="00597945" w:rsidP="0018750E">
            <w:pPr>
              <w:rPr>
                <w:rFonts w:ascii="Arial" w:hAnsi="Arial" w:cs="Arial"/>
                <w:sz w:val="22"/>
                <w:szCs w:val="22"/>
              </w:rPr>
            </w:pPr>
          </w:p>
        </w:tc>
      </w:tr>
      <w:tr w:rsidR="00597945" w:rsidRPr="00414A6D" w14:paraId="226568DA" w14:textId="77777777" w:rsidTr="0018750E">
        <w:tc>
          <w:tcPr>
            <w:tcW w:w="7621" w:type="dxa"/>
            <w:tcBorders>
              <w:bottom w:val="nil"/>
            </w:tcBorders>
          </w:tcPr>
          <w:p w14:paraId="13E2AA2B" w14:textId="77777777" w:rsidR="00597945" w:rsidRPr="00414A6D" w:rsidRDefault="00597945" w:rsidP="0018750E">
            <w:pPr>
              <w:rPr>
                <w:rFonts w:ascii="Arial" w:hAnsi="Arial" w:cs="Arial"/>
                <w:sz w:val="22"/>
                <w:szCs w:val="22"/>
              </w:rPr>
            </w:pPr>
            <w:r w:rsidRPr="00414A6D">
              <w:rPr>
                <w:rFonts w:ascii="Arial" w:hAnsi="Arial" w:cs="Arial"/>
                <w:sz w:val="22"/>
                <w:szCs w:val="22"/>
              </w:rPr>
              <w:t xml:space="preserve">Quality statement 4 – </w:t>
            </w:r>
            <w:r w:rsidRPr="00414A6D">
              <w:rPr>
                <w:rFonts w:ascii="Arial" w:hAnsi="Arial" w:cs="Arial"/>
                <w:b/>
                <w:sz w:val="22"/>
                <w:szCs w:val="22"/>
              </w:rPr>
              <w:t>Timing of surgery</w:t>
            </w:r>
            <w:r w:rsidRPr="00414A6D">
              <w:rPr>
                <w:rFonts w:ascii="Arial" w:hAnsi="Arial" w:cs="Arial"/>
                <w:sz w:val="22"/>
                <w:szCs w:val="22"/>
              </w:rPr>
              <w:t>:</w:t>
            </w:r>
          </w:p>
        </w:tc>
        <w:tc>
          <w:tcPr>
            <w:tcW w:w="540" w:type="dxa"/>
            <w:tcBorders>
              <w:bottom w:val="nil"/>
            </w:tcBorders>
          </w:tcPr>
          <w:p w14:paraId="79A6EC57" w14:textId="77777777" w:rsidR="00597945" w:rsidRPr="00414A6D" w:rsidRDefault="00597945" w:rsidP="0018750E">
            <w:pPr>
              <w:rPr>
                <w:rFonts w:ascii="Arial" w:hAnsi="Arial" w:cs="Arial"/>
                <w:sz w:val="22"/>
                <w:szCs w:val="22"/>
              </w:rPr>
            </w:pPr>
          </w:p>
        </w:tc>
        <w:tc>
          <w:tcPr>
            <w:tcW w:w="541" w:type="dxa"/>
            <w:tcBorders>
              <w:bottom w:val="nil"/>
            </w:tcBorders>
          </w:tcPr>
          <w:p w14:paraId="13C5B2B4" w14:textId="77777777" w:rsidR="00597945" w:rsidRPr="00414A6D" w:rsidRDefault="00597945" w:rsidP="0018750E">
            <w:pPr>
              <w:rPr>
                <w:rFonts w:ascii="Arial" w:hAnsi="Arial" w:cs="Arial"/>
                <w:sz w:val="22"/>
                <w:szCs w:val="22"/>
              </w:rPr>
            </w:pPr>
          </w:p>
        </w:tc>
      </w:tr>
      <w:tr w:rsidR="00597945" w:rsidRPr="00414A6D" w14:paraId="4C8D7480" w14:textId="77777777" w:rsidTr="0018750E">
        <w:tc>
          <w:tcPr>
            <w:tcW w:w="7621" w:type="dxa"/>
            <w:tcBorders>
              <w:top w:val="nil"/>
              <w:bottom w:val="nil"/>
            </w:tcBorders>
          </w:tcPr>
          <w:p w14:paraId="27743549"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 xml:space="preserve">Indicator 4a: Proportion of patients with a hip fracture receiving surgery on or the day after presentation with hip </w:t>
            </w:r>
            <w:proofErr w:type="spellStart"/>
            <w:r w:rsidRPr="00414A6D">
              <w:rPr>
                <w:rFonts w:ascii="Arial" w:hAnsi="Arial" w:cs="Arial"/>
                <w:sz w:val="22"/>
                <w:szCs w:val="22"/>
              </w:rPr>
              <w:t>fracture.</w:t>
            </w:r>
            <w:r w:rsidRPr="00414A6D">
              <w:rPr>
                <w:rFonts w:ascii="Arial" w:hAnsi="Arial" w:cs="Arial"/>
                <w:sz w:val="22"/>
                <w:szCs w:val="22"/>
                <w:vertAlign w:val="superscript"/>
              </w:rPr>
              <w:t>∞Φ</w:t>
            </w:r>
            <w:proofErr w:type="spellEnd"/>
            <w:r w:rsidRPr="00414A6D">
              <w:rPr>
                <w:rFonts w:ascii="Arial" w:hAnsi="Arial" w:cs="Arial"/>
                <w:sz w:val="22"/>
                <w:szCs w:val="22"/>
                <w:vertAlign w:val="superscript"/>
              </w:rPr>
              <w:t xml:space="preserve"> ɫ*</w:t>
            </w:r>
          </w:p>
        </w:tc>
        <w:tc>
          <w:tcPr>
            <w:tcW w:w="540" w:type="dxa"/>
            <w:tcBorders>
              <w:top w:val="nil"/>
              <w:bottom w:val="nil"/>
            </w:tcBorders>
          </w:tcPr>
          <w:p w14:paraId="302CECF0"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468A8E9A" w14:textId="77777777" w:rsidR="00597945" w:rsidRPr="00414A6D" w:rsidRDefault="00597945" w:rsidP="0018750E">
            <w:pPr>
              <w:rPr>
                <w:rFonts w:ascii="Arial" w:hAnsi="Arial" w:cs="Arial"/>
                <w:sz w:val="22"/>
                <w:szCs w:val="22"/>
              </w:rPr>
            </w:pPr>
          </w:p>
        </w:tc>
      </w:tr>
      <w:tr w:rsidR="00597945" w:rsidRPr="00414A6D" w14:paraId="7D572584" w14:textId="77777777" w:rsidTr="0018750E">
        <w:tc>
          <w:tcPr>
            <w:tcW w:w="7621" w:type="dxa"/>
            <w:tcBorders>
              <w:bottom w:val="nil"/>
            </w:tcBorders>
          </w:tcPr>
          <w:p w14:paraId="69BB2212" w14:textId="77777777" w:rsidR="00597945" w:rsidRPr="00414A6D" w:rsidRDefault="00597945" w:rsidP="0018750E">
            <w:pPr>
              <w:keepNext/>
              <w:rPr>
                <w:rFonts w:ascii="Arial" w:hAnsi="Arial" w:cs="Arial"/>
                <w:sz w:val="22"/>
                <w:szCs w:val="22"/>
              </w:rPr>
            </w:pPr>
            <w:r w:rsidRPr="00414A6D">
              <w:rPr>
                <w:rFonts w:ascii="Arial" w:hAnsi="Arial" w:cs="Arial"/>
                <w:sz w:val="22"/>
                <w:szCs w:val="22"/>
              </w:rPr>
              <w:t xml:space="preserve">Quality statement 5 – </w:t>
            </w:r>
            <w:r w:rsidRPr="00414A6D">
              <w:rPr>
                <w:rFonts w:ascii="Arial" w:hAnsi="Arial" w:cs="Arial"/>
                <w:b/>
                <w:sz w:val="22"/>
                <w:szCs w:val="22"/>
              </w:rPr>
              <w:t>Mobilisation and weight-bearing</w:t>
            </w:r>
            <w:r w:rsidRPr="00414A6D">
              <w:rPr>
                <w:rFonts w:ascii="Arial" w:hAnsi="Arial" w:cs="Arial"/>
                <w:sz w:val="22"/>
                <w:szCs w:val="22"/>
              </w:rPr>
              <w:t>:</w:t>
            </w:r>
          </w:p>
        </w:tc>
        <w:tc>
          <w:tcPr>
            <w:tcW w:w="540" w:type="dxa"/>
            <w:tcBorders>
              <w:bottom w:val="nil"/>
            </w:tcBorders>
          </w:tcPr>
          <w:p w14:paraId="4B1708FF" w14:textId="77777777" w:rsidR="00597945" w:rsidRPr="00414A6D" w:rsidRDefault="00597945" w:rsidP="0018750E">
            <w:pPr>
              <w:keepNext/>
              <w:rPr>
                <w:rFonts w:ascii="Arial" w:hAnsi="Arial" w:cs="Arial"/>
                <w:sz w:val="22"/>
                <w:szCs w:val="22"/>
              </w:rPr>
            </w:pPr>
          </w:p>
        </w:tc>
        <w:tc>
          <w:tcPr>
            <w:tcW w:w="541" w:type="dxa"/>
            <w:tcBorders>
              <w:bottom w:val="nil"/>
            </w:tcBorders>
          </w:tcPr>
          <w:p w14:paraId="4DC0ED29" w14:textId="77777777" w:rsidR="00597945" w:rsidRPr="00414A6D" w:rsidRDefault="00597945" w:rsidP="0018750E">
            <w:pPr>
              <w:keepNext/>
              <w:rPr>
                <w:rFonts w:ascii="Arial" w:hAnsi="Arial" w:cs="Arial"/>
                <w:sz w:val="22"/>
                <w:szCs w:val="22"/>
              </w:rPr>
            </w:pPr>
          </w:p>
        </w:tc>
      </w:tr>
      <w:tr w:rsidR="00597945" w:rsidRPr="00414A6D" w14:paraId="14A2F2DD" w14:textId="77777777" w:rsidTr="0018750E">
        <w:tc>
          <w:tcPr>
            <w:tcW w:w="7621" w:type="dxa"/>
            <w:tcBorders>
              <w:top w:val="nil"/>
              <w:bottom w:val="nil"/>
            </w:tcBorders>
          </w:tcPr>
          <w:p w14:paraId="1347412D" w14:textId="77777777" w:rsidR="00597945" w:rsidRPr="00414A6D" w:rsidRDefault="00597945" w:rsidP="007B1510">
            <w:pPr>
              <w:pStyle w:val="ListParagraph"/>
              <w:keepNext/>
              <w:numPr>
                <w:ilvl w:val="0"/>
                <w:numId w:val="17"/>
              </w:numPr>
              <w:rPr>
                <w:rFonts w:ascii="Arial" w:hAnsi="Arial" w:cs="Arial"/>
                <w:sz w:val="22"/>
                <w:szCs w:val="22"/>
              </w:rPr>
            </w:pPr>
            <w:r w:rsidRPr="00414A6D">
              <w:rPr>
                <w:rFonts w:ascii="Arial" w:hAnsi="Arial" w:cs="Arial"/>
                <w:sz w:val="22"/>
                <w:szCs w:val="22"/>
              </w:rPr>
              <w:t>Indicator 5a: Proportion of patients with a hip fracture who are mobilised on day one post-surgery.</w:t>
            </w:r>
            <w:r w:rsidRPr="00414A6D">
              <w:rPr>
                <w:rFonts w:ascii="Arial" w:hAnsi="Arial" w:cs="Arial"/>
                <w:sz w:val="22"/>
                <w:szCs w:val="22"/>
                <w:vertAlign w:val="superscript"/>
              </w:rPr>
              <w:t>*ɫ</w:t>
            </w:r>
          </w:p>
        </w:tc>
        <w:tc>
          <w:tcPr>
            <w:tcW w:w="540" w:type="dxa"/>
            <w:tcBorders>
              <w:top w:val="nil"/>
              <w:bottom w:val="nil"/>
            </w:tcBorders>
          </w:tcPr>
          <w:p w14:paraId="2F9C1784" w14:textId="77777777" w:rsidR="00597945" w:rsidRPr="00414A6D" w:rsidRDefault="00597945" w:rsidP="0018750E">
            <w:pPr>
              <w:keepNext/>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123EF753" w14:textId="77777777" w:rsidR="00597945" w:rsidRPr="00414A6D" w:rsidRDefault="00597945" w:rsidP="0018750E">
            <w:pPr>
              <w:keepNext/>
              <w:rPr>
                <w:rFonts w:ascii="Arial" w:hAnsi="Arial" w:cs="Arial"/>
                <w:sz w:val="22"/>
                <w:szCs w:val="22"/>
              </w:rPr>
            </w:pPr>
          </w:p>
        </w:tc>
      </w:tr>
      <w:tr w:rsidR="00597945" w:rsidRPr="00414A6D" w14:paraId="3B21FCC5" w14:textId="77777777" w:rsidTr="0018750E">
        <w:tc>
          <w:tcPr>
            <w:tcW w:w="7621" w:type="dxa"/>
            <w:tcBorders>
              <w:top w:val="nil"/>
              <w:bottom w:val="nil"/>
            </w:tcBorders>
          </w:tcPr>
          <w:p w14:paraId="4A4BB53E"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5b: Proportion of patients with a hip fracture with unrestricted weight-bearing immediately post-surgery.</w:t>
            </w:r>
          </w:p>
        </w:tc>
        <w:tc>
          <w:tcPr>
            <w:tcW w:w="540" w:type="dxa"/>
            <w:tcBorders>
              <w:top w:val="nil"/>
              <w:bottom w:val="nil"/>
            </w:tcBorders>
          </w:tcPr>
          <w:p w14:paraId="5574E4C3"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0078F37F" w14:textId="77777777" w:rsidR="00597945" w:rsidRPr="00414A6D" w:rsidRDefault="00597945" w:rsidP="0018750E">
            <w:pPr>
              <w:rPr>
                <w:rFonts w:ascii="Arial" w:hAnsi="Arial" w:cs="Arial"/>
                <w:sz w:val="22"/>
                <w:szCs w:val="22"/>
              </w:rPr>
            </w:pPr>
          </w:p>
        </w:tc>
      </w:tr>
      <w:tr w:rsidR="00597945" w:rsidRPr="00414A6D" w14:paraId="5359465D" w14:textId="77777777" w:rsidTr="0018750E">
        <w:tc>
          <w:tcPr>
            <w:tcW w:w="7621" w:type="dxa"/>
            <w:tcBorders>
              <w:top w:val="nil"/>
              <w:bottom w:val="nil"/>
            </w:tcBorders>
          </w:tcPr>
          <w:p w14:paraId="21EADCCC"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 xml:space="preserve">Indicator 5c: Proportion of patients with a hip fracture experiencing a new Stage II or higher pressure injury during their hospital </w:t>
            </w:r>
            <w:proofErr w:type="spellStart"/>
            <w:r w:rsidRPr="00414A6D">
              <w:rPr>
                <w:rFonts w:ascii="Arial" w:hAnsi="Arial" w:cs="Arial"/>
                <w:sz w:val="22"/>
                <w:szCs w:val="22"/>
              </w:rPr>
              <w:t>stay.</w:t>
            </w:r>
            <w:r w:rsidRPr="00414A6D">
              <w:rPr>
                <w:rFonts w:ascii="Arial" w:hAnsi="Arial" w:cs="Arial"/>
                <w:sz w:val="22"/>
                <w:szCs w:val="22"/>
                <w:vertAlign w:val="superscript"/>
              </w:rPr>
              <w:t>ɫѰ</w:t>
            </w:r>
            <w:proofErr w:type="spellEnd"/>
          </w:p>
        </w:tc>
        <w:tc>
          <w:tcPr>
            <w:tcW w:w="540" w:type="dxa"/>
            <w:tcBorders>
              <w:top w:val="nil"/>
              <w:bottom w:val="nil"/>
            </w:tcBorders>
          </w:tcPr>
          <w:p w14:paraId="4A254B23"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13C04D11"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r>
      <w:tr w:rsidR="00597945" w:rsidRPr="00414A6D" w14:paraId="5F50B490" w14:textId="77777777" w:rsidTr="0018750E">
        <w:tc>
          <w:tcPr>
            <w:tcW w:w="7621" w:type="dxa"/>
            <w:tcBorders>
              <w:top w:val="nil"/>
              <w:bottom w:val="nil"/>
            </w:tcBorders>
          </w:tcPr>
          <w:p w14:paraId="22ED38AD"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 xml:space="preserve">Indicator 5d: Proportion of patients with a hip fracture returning to pre-fracture </w:t>
            </w:r>
            <w:proofErr w:type="spellStart"/>
            <w:r w:rsidRPr="00414A6D">
              <w:rPr>
                <w:rFonts w:ascii="Arial" w:hAnsi="Arial" w:cs="Arial"/>
                <w:sz w:val="22"/>
                <w:szCs w:val="22"/>
              </w:rPr>
              <w:t>mobility.</w:t>
            </w:r>
            <w:r w:rsidRPr="00414A6D">
              <w:rPr>
                <w:rFonts w:ascii="Arial" w:hAnsi="Arial" w:cs="Arial"/>
                <w:sz w:val="22"/>
                <w:szCs w:val="22"/>
                <w:vertAlign w:val="superscript"/>
              </w:rPr>
              <w:t>ɫ</w:t>
            </w:r>
            <w:proofErr w:type="spellEnd"/>
          </w:p>
        </w:tc>
        <w:tc>
          <w:tcPr>
            <w:tcW w:w="540" w:type="dxa"/>
            <w:tcBorders>
              <w:top w:val="nil"/>
              <w:bottom w:val="nil"/>
            </w:tcBorders>
          </w:tcPr>
          <w:p w14:paraId="01A404FE"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0C6023F9"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r>
      <w:tr w:rsidR="00597945" w:rsidRPr="00414A6D" w14:paraId="67D0DE86" w14:textId="77777777" w:rsidTr="0018750E">
        <w:tc>
          <w:tcPr>
            <w:tcW w:w="7621" w:type="dxa"/>
            <w:tcBorders>
              <w:bottom w:val="nil"/>
            </w:tcBorders>
          </w:tcPr>
          <w:p w14:paraId="362BEAFE" w14:textId="77777777" w:rsidR="00597945" w:rsidRPr="00414A6D" w:rsidRDefault="00597945" w:rsidP="0018750E">
            <w:pPr>
              <w:keepNext/>
              <w:rPr>
                <w:rFonts w:ascii="Arial" w:hAnsi="Arial" w:cs="Arial"/>
                <w:sz w:val="22"/>
                <w:szCs w:val="22"/>
              </w:rPr>
            </w:pPr>
            <w:r w:rsidRPr="00414A6D">
              <w:rPr>
                <w:rFonts w:ascii="Arial" w:hAnsi="Arial" w:cs="Arial"/>
                <w:sz w:val="22"/>
                <w:szCs w:val="22"/>
              </w:rPr>
              <w:t xml:space="preserve">Quality statement 6 – </w:t>
            </w:r>
            <w:r w:rsidRPr="00414A6D">
              <w:rPr>
                <w:rFonts w:ascii="Arial" w:hAnsi="Arial" w:cs="Arial"/>
                <w:b/>
                <w:sz w:val="22"/>
                <w:szCs w:val="22"/>
              </w:rPr>
              <w:t>Minimise the risk of another fracture</w:t>
            </w:r>
            <w:r w:rsidRPr="00414A6D">
              <w:rPr>
                <w:rFonts w:ascii="Arial" w:hAnsi="Arial" w:cs="Arial"/>
                <w:sz w:val="22"/>
                <w:szCs w:val="22"/>
              </w:rPr>
              <w:t>:</w:t>
            </w:r>
          </w:p>
        </w:tc>
        <w:tc>
          <w:tcPr>
            <w:tcW w:w="540" w:type="dxa"/>
            <w:tcBorders>
              <w:bottom w:val="nil"/>
            </w:tcBorders>
          </w:tcPr>
          <w:p w14:paraId="4DE2D901" w14:textId="77777777" w:rsidR="00597945" w:rsidRPr="00414A6D" w:rsidRDefault="00597945" w:rsidP="0018750E">
            <w:pPr>
              <w:keepNext/>
              <w:rPr>
                <w:rFonts w:ascii="Arial" w:hAnsi="Arial" w:cs="Arial"/>
                <w:sz w:val="22"/>
                <w:szCs w:val="22"/>
              </w:rPr>
            </w:pPr>
          </w:p>
        </w:tc>
        <w:tc>
          <w:tcPr>
            <w:tcW w:w="541" w:type="dxa"/>
            <w:tcBorders>
              <w:bottom w:val="nil"/>
            </w:tcBorders>
          </w:tcPr>
          <w:p w14:paraId="12ABE730" w14:textId="77777777" w:rsidR="00597945" w:rsidRPr="00414A6D" w:rsidRDefault="00597945" w:rsidP="0018750E">
            <w:pPr>
              <w:keepNext/>
              <w:rPr>
                <w:rFonts w:ascii="Arial" w:hAnsi="Arial" w:cs="Arial"/>
                <w:sz w:val="22"/>
                <w:szCs w:val="22"/>
              </w:rPr>
            </w:pPr>
          </w:p>
        </w:tc>
      </w:tr>
      <w:tr w:rsidR="00597945" w:rsidRPr="00414A6D" w14:paraId="54393FB1" w14:textId="77777777" w:rsidTr="0018750E">
        <w:tc>
          <w:tcPr>
            <w:tcW w:w="7621" w:type="dxa"/>
            <w:tcBorders>
              <w:top w:val="nil"/>
              <w:bottom w:val="nil"/>
            </w:tcBorders>
          </w:tcPr>
          <w:p w14:paraId="52F59C76" w14:textId="77777777" w:rsidR="00597945" w:rsidRPr="00414A6D" w:rsidRDefault="00597945" w:rsidP="007B1510">
            <w:pPr>
              <w:pStyle w:val="ListParagraph"/>
              <w:keepNext/>
              <w:keepLines/>
              <w:numPr>
                <w:ilvl w:val="0"/>
                <w:numId w:val="17"/>
              </w:numPr>
              <w:rPr>
                <w:rFonts w:ascii="Arial" w:hAnsi="Arial" w:cs="Arial"/>
                <w:sz w:val="22"/>
                <w:szCs w:val="22"/>
              </w:rPr>
            </w:pPr>
            <w:r w:rsidRPr="00414A6D">
              <w:rPr>
                <w:rFonts w:ascii="Arial" w:hAnsi="Arial" w:cs="Arial"/>
                <w:sz w:val="22"/>
                <w:szCs w:val="22"/>
              </w:rPr>
              <w:t>Indicator 6a: Proportion of patients with a hip fracture receiving a specialist falls assessment prior to discharge from hospital.</w:t>
            </w:r>
            <w:r w:rsidRPr="00414A6D">
              <w:rPr>
                <w:rFonts w:ascii="Arial" w:hAnsi="Arial" w:cs="Arial"/>
                <w:sz w:val="22"/>
                <w:szCs w:val="22"/>
                <w:vertAlign w:val="superscript"/>
              </w:rPr>
              <w:t>*∞Φ</w:t>
            </w:r>
          </w:p>
        </w:tc>
        <w:tc>
          <w:tcPr>
            <w:tcW w:w="540" w:type="dxa"/>
            <w:tcBorders>
              <w:top w:val="nil"/>
              <w:bottom w:val="nil"/>
            </w:tcBorders>
          </w:tcPr>
          <w:p w14:paraId="33803648" w14:textId="77777777" w:rsidR="00597945" w:rsidRPr="00414A6D" w:rsidRDefault="00597945" w:rsidP="0018750E">
            <w:pPr>
              <w:keepNext/>
              <w:keepLines/>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58AF32B5" w14:textId="77777777" w:rsidR="00597945" w:rsidRPr="00414A6D" w:rsidRDefault="00597945" w:rsidP="0018750E">
            <w:pPr>
              <w:keepNext/>
              <w:keepLines/>
              <w:rPr>
                <w:rFonts w:ascii="Arial" w:hAnsi="Arial" w:cs="Arial"/>
                <w:sz w:val="22"/>
                <w:szCs w:val="22"/>
              </w:rPr>
            </w:pPr>
          </w:p>
        </w:tc>
      </w:tr>
      <w:tr w:rsidR="00597945" w:rsidRPr="00414A6D" w14:paraId="14E8012B" w14:textId="77777777" w:rsidTr="0018750E">
        <w:trPr>
          <w:cantSplit/>
        </w:trPr>
        <w:tc>
          <w:tcPr>
            <w:tcW w:w="7621" w:type="dxa"/>
            <w:tcBorders>
              <w:top w:val="nil"/>
              <w:bottom w:val="nil"/>
            </w:tcBorders>
          </w:tcPr>
          <w:p w14:paraId="334D3F65"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6b: Proportion of patients with a hip fracture receiving bone protection medication at discharge from the operating hospital.</w:t>
            </w:r>
          </w:p>
        </w:tc>
        <w:tc>
          <w:tcPr>
            <w:tcW w:w="540" w:type="dxa"/>
            <w:tcBorders>
              <w:top w:val="nil"/>
              <w:bottom w:val="nil"/>
            </w:tcBorders>
          </w:tcPr>
          <w:p w14:paraId="3585D438"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6A2B299B" w14:textId="77777777" w:rsidR="00597945" w:rsidRPr="00414A6D" w:rsidRDefault="00597945" w:rsidP="0018750E">
            <w:pPr>
              <w:rPr>
                <w:rFonts w:ascii="Arial" w:hAnsi="Arial" w:cs="Arial"/>
                <w:sz w:val="22"/>
                <w:szCs w:val="22"/>
              </w:rPr>
            </w:pPr>
          </w:p>
        </w:tc>
      </w:tr>
      <w:tr w:rsidR="00597945" w:rsidRPr="00414A6D" w14:paraId="13EF0535" w14:textId="77777777" w:rsidTr="0018750E">
        <w:tc>
          <w:tcPr>
            <w:tcW w:w="7621" w:type="dxa"/>
            <w:tcBorders>
              <w:top w:val="nil"/>
              <w:bottom w:val="nil"/>
            </w:tcBorders>
          </w:tcPr>
          <w:p w14:paraId="23818AA4"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6c: Proportion of patients with a hip fracture readmitted to hospital with another fracture.</w:t>
            </w:r>
          </w:p>
        </w:tc>
        <w:tc>
          <w:tcPr>
            <w:tcW w:w="540" w:type="dxa"/>
            <w:tcBorders>
              <w:top w:val="nil"/>
              <w:bottom w:val="nil"/>
            </w:tcBorders>
          </w:tcPr>
          <w:p w14:paraId="3BB07C03"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7C924F09"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r>
      <w:tr w:rsidR="00597945" w:rsidRPr="00414A6D" w14:paraId="3BC93219" w14:textId="77777777" w:rsidTr="0018750E">
        <w:tc>
          <w:tcPr>
            <w:tcW w:w="7621" w:type="dxa"/>
            <w:tcBorders>
              <w:bottom w:val="nil"/>
            </w:tcBorders>
          </w:tcPr>
          <w:p w14:paraId="53A77C53" w14:textId="77777777" w:rsidR="00597945" w:rsidRPr="00414A6D" w:rsidRDefault="00597945" w:rsidP="0018750E">
            <w:pPr>
              <w:rPr>
                <w:rFonts w:ascii="Arial" w:hAnsi="Arial" w:cs="Arial"/>
                <w:sz w:val="22"/>
                <w:szCs w:val="22"/>
              </w:rPr>
            </w:pPr>
            <w:r w:rsidRPr="00414A6D">
              <w:rPr>
                <w:rFonts w:ascii="Arial" w:hAnsi="Arial" w:cs="Arial"/>
                <w:sz w:val="22"/>
                <w:szCs w:val="22"/>
              </w:rPr>
              <w:t xml:space="preserve">Quality statement 7 – </w:t>
            </w:r>
            <w:r w:rsidRPr="00414A6D">
              <w:rPr>
                <w:rFonts w:ascii="Arial" w:hAnsi="Arial" w:cs="Arial"/>
                <w:b/>
                <w:sz w:val="22"/>
                <w:szCs w:val="22"/>
              </w:rPr>
              <w:t>Transition from hospital care</w:t>
            </w:r>
            <w:r w:rsidRPr="00414A6D">
              <w:rPr>
                <w:rFonts w:ascii="Arial" w:hAnsi="Arial" w:cs="Arial"/>
                <w:sz w:val="22"/>
                <w:szCs w:val="22"/>
              </w:rPr>
              <w:t>:</w:t>
            </w:r>
          </w:p>
        </w:tc>
        <w:tc>
          <w:tcPr>
            <w:tcW w:w="540" w:type="dxa"/>
            <w:tcBorders>
              <w:bottom w:val="nil"/>
            </w:tcBorders>
          </w:tcPr>
          <w:p w14:paraId="5B594D39" w14:textId="77777777" w:rsidR="00597945" w:rsidRPr="00414A6D" w:rsidRDefault="00597945" w:rsidP="0018750E">
            <w:pPr>
              <w:rPr>
                <w:rFonts w:ascii="Arial" w:hAnsi="Arial" w:cs="Arial"/>
                <w:sz w:val="22"/>
                <w:szCs w:val="22"/>
              </w:rPr>
            </w:pPr>
          </w:p>
        </w:tc>
        <w:tc>
          <w:tcPr>
            <w:tcW w:w="541" w:type="dxa"/>
            <w:tcBorders>
              <w:bottom w:val="nil"/>
            </w:tcBorders>
          </w:tcPr>
          <w:p w14:paraId="0BF47214" w14:textId="77777777" w:rsidR="00597945" w:rsidRPr="00414A6D" w:rsidRDefault="00597945" w:rsidP="0018750E">
            <w:pPr>
              <w:rPr>
                <w:rFonts w:ascii="Arial" w:hAnsi="Arial" w:cs="Arial"/>
                <w:sz w:val="22"/>
                <w:szCs w:val="22"/>
              </w:rPr>
            </w:pPr>
          </w:p>
        </w:tc>
      </w:tr>
      <w:tr w:rsidR="00597945" w:rsidRPr="00414A6D" w14:paraId="01E4FBFC" w14:textId="77777777" w:rsidTr="0018750E">
        <w:tc>
          <w:tcPr>
            <w:tcW w:w="7621" w:type="dxa"/>
            <w:tcBorders>
              <w:top w:val="nil"/>
              <w:bottom w:val="nil"/>
            </w:tcBorders>
          </w:tcPr>
          <w:p w14:paraId="3093B1D7"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7a: Proportion of patients with a hip fracture who have an individualised care plan at discharge.</w:t>
            </w:r>
          </w:p>
        </w:tc>
        <w:tc>
          <w:tcPr>
            <w:tcW w:w="540" w:type="dxa"/>
            <w:tcBorders>
              <w:top w:val="nil"/>
              <w:bottom w:val="nil"/>
            </w:tcBorders>
          </w:tcPr>
          <w:p w14:paraId="2D1A46E5"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641E8519" w14:textId="77777777" w:rsidR="00597945" w:rsidRPr="00414A6D" w:rsidRDefault="00597945" w:rsidP="0018750E">
            <w:pPr>
              <w:rPr>
                <w:rFonts w:ascii="Arial" w:hAnsi="Arial" w:cs="Arial"/>
                <w:sz w:val="22"/>
                <w:szCs w:val="22"/>
              </w:rPr>
            </w:pPr>
          </w:p>
        </w:tc>
      </w:tr>
      <w:tr w:rsidR="00597945" w:rsidRPr="00414A6D" w14:paraId="5AB27498" w14:textId="77777777" w:rsidTr="0018750E">
        <w:tc>
          <w:tcPr>
            <w:tcW w:w="7621" w:type="dxa"/>
            <w:tcBorders>
              <w:top w:val="nil"/>
              <w:bottom w:val="nil"/>
            </w:tcBorders>
          </w:tcPr>
          <w:p w14:paraId="48A3953D"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7b: Proportion of patients with a hip fracture returning to private residence.</w:t>
            </w:r>
          </w:p>
        </w:tc>
        <w:tc>
          <w:tcPr>
            <w:tcW w:w="540" w:type="dxa"/>
            <w:tcBorders>
              <w:top w:val="nil"/>
              <w:bottom w:val="nil"/>
            </w:tcBorders>
          </w:tcPr>
          <w:p w14:paraId="46A122D3"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2EC1C515"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r>
      <w:tr w:rsidR="00597945" w:rsidRPr="00414A6D" w14:paraId="6D839366" w14:textId="77777777" w:rsidTr="0018750E">
        <w:tc>
          <w:tcPr>
            <w:tcW w:w="7621" w:type="dxa"/>
            <w:tcBorders>
              <w:bottom w:val="nil"/>
            </w:tcBorders>
          </w:tcPr>
          <w:p w14:paraId="0B2FCD61" w14:textId="77777777" w:rsidR="00597945" w:rsidRPr="00414A6D" w:rsidRDefault="00597945" w:rsidP="0018750E">
            <w:pPr>
              <w:rPr>
                <w:rFonts w:ascii="Arial" w:hAnsi="Arial" w:cs="Arial"/>
                <w:sz w:val="22"/>
                <w:szCs w:val="22"/>
              </w:rPr>
            </w:pPr>
            <w:r w:rsidRPr="00414A6D">
              <w:rPr>
                <w:rFonts w:ascii="Arial" w:hAnsi="Arial" w:cs="Arial"/>
                <w:b/>
                <w:sz w:val="22"/>
                <w:szCs w:val="22"/>
              </w:rPr>
              <w:t>Indicators of effectiveness</w:t>
            </w:r>
            <w:r w:rsidRPr="00414A6D">
              <w:rPr>
                <w:rFonts w:ascii="Arial" w:hAnsi="Arial" w:cs="Arial"/>
                <w:sz w:val="22"/>
                <w:szCs w:val="22"/>
              </w:rPr>
              <w:t>:</w:t>
            </w:r>
          </w:p>
        </w:tc>
        <w:tc>
          <w:tcPr>
            <w:tcW w:w="540" w:type="dxa"/>
            <w:tcBorders>
              <w:bottom w:val="nil"/>
            </w:tcBorders>
          </w:tcPr>
          <w:p w14:paraId="43E6B3C4" w14:textId="77777777" w:rsidR="00597945" w:rsidRPr="00414A6D" w:rsidRDefault="00597945" w:rsidP="0018750E">
            <w:pPr>
              <w:rPr>
                <w:rFonts w:ascii="Arial" w:hAnsi="Arial" w:cs="Arial"/>
                <w:sz w:val="22"/>
                <w:szCs w:val="22"/>
              </w:rPr>
            </w:pPr>
          </w:p>
        </w:tc>
        <w:tc>
          <w:tcPr>
            <w:tcW w:w="541" w:type="dxa"/>
            <w:tcBorders>
              <w:bottom w:val="nil"/>
            </w:tcBorders>
          </w:tcPr>
          <w:p w14:paraId="048B4285" w14:textId="77777777" w:rsidR="00597945" w:rsidRPr="00414A6D" w:rsidRDefault="00597945" w:rsidP="0018750E">
            <w:pPr>
              <w:rPr>
                <w:rFonts w:ascii="Arial" w:hAnsi="Arial" w:cs="Arial"/>
                <w:sz w:val="22"/>
                <w:szCs w:val="22"/>
              </w:rPr>
            </w:pPr>
          </w:p>
        </w:tc>
      </w:tr>
      <w:tr w:rsidR="00597945" w:rsidRPr="00414A6D" w14:paraId="5986A6D4" w14:textId="77777777" w:rsidTr="0018750E">
        <w:tc>
          <w:tcPr>
            <w:tcW w:w="7621" w:type="dxa"/>
            <w:tcBorders>
              <w:top w:val="nil"/>
              <w:bottom w:val="nil"/>
            </w:tcBorders>
          </w:tcPr>
          <w:p w14:paraId="6BBA9AE6"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8a: Re-operation of hip fracture patients within 30 day follow up.</w:t>
            </w:r>
            <w:r w:rsidRPr="00414A6D">
              <w:rPr>
                <w:rFonts w:ascii="Arial" w:hAnsi="Arial" w:cs="Arial"/>
                <w:sz w:val="22"/>
                <w:szCs w:val="22"/>
                <w:vertAlign w:val="superscript"/>
              </w:rPr>
              <w:t>*</w:t>
            </w:r>
          </w:p>
        </w:tc>
        <w:tc>
          <w:tcPr>
            <w:tcW w:w="540" w:type="dxa"/>
            <w:tcBorders>
              <w:top w:val="nil"/>
              <w:bottom w:val="nil"/>
            </w:tcBorders>
          </w:tcPr>
          <w:p w14:paraId="70D56AA7"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466987AC"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r>
      <w:tr w:rsidR="00597945" w:rsidRPr="00414A6D" w14:paraId="34621852" w14:textId="77777777" w:rsidTr="009E4B30">
        <w:tc>
          <w:tcPr>
            <w:tcW w:w="7621" w:type="dxa"/>
            <w:tcBorders>
              <w:top w:val="nil"/>
              <w:bottom w:val="single" w:sz="4" w:space="0" w:color="auto"/>
            </w:tcBorders>
          </w:tcPr>
          <w:p w14:paraId="1DBAE896" w14:textId="77777777" w:rsidR="00597945" w:rsidRPr="00414A6D" w:rsidRDefault="00597945" w:rsidP="007B1510">
            <w:pPr>
              <w:pStyle w:val="ListParagraph"/>
              <w:numPr>
                <w:ilvl w:val="0"/>
                <w:numId w:val="17"/>
              </w:numPr>
              <w:rPr>
                <w:rFonts w:ascii="Arial" w:hAnsi="Arial" w:cs="Arial"/>
                <w:sz w:val="22"/>
                <w:szCs w:val="22"/>
              </w:rPr>
            </w:pPr>
            <w:r w:rsidRPr="00414A6D">
              <w:rPr>
                <w:rFonts w:ascii="Arial" w:hAnsi="Arial" w:cs="Arial"/>
                <w:sz w:val="22"/>
                <w:szCs w:val="22"/>
              </w:rPr>
              <w:t>Indicator 8b: Survival at 30 days post admission for hip fracture surgery.</w:t>
            </w:r>
            <w:r w:rsidRPr="00414A6D">
              <w:rPr>
                <w:rFonts w:ascii="Arial" w:hAnsi="Arial" w:cs="Arial"/>
                <w:sz w:val="22"/>
                <w:szCs w:val="22"/>
                <w:vertAlign w:val="superscript"/>
              </w:rPr>
              <w:t>*ɫ</w:t>
            </w:r>
          </w:p>
        </w:tc>
        <w:tc>
          <w:tcPr>
            <w:tcW w:w="540" w:type="dxa"/>
            <w:tcBorders>
              <w:top w:val="nil"/>
              <w:bottom w:val="single" w:sz="4" w:space="0" w:color="auto"/>
            </w:tcBorders>
          </w:tcPr>
          <w:p w14:paraId="2679869B"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single" w:sz="4" w:space="0" w:color="auto"/>
            </w:tcBorders>
          </w:tcPr>
          <w:p w14:paraId="1F2DA00F" w14:textId="77777777" w:rsidR="00597945" w:rsidRPr="00414A6D" w:rsidRDefault="00597945" w:rsidP="0018750E">
            <w:pPr>
              <w:rPr>
                <w:rFonts w:ascii="Arial" w:hAnsi="Arial" w:cs="Arial"/>
                <w:sz w:val="22"/>
                <w:szCs w:val="22"/>
              </w:rPr>
            </w:pPr>
            <w:r w:rsidRPr="00414A6D">
              <w:rPr>
                <w:rFonts w:ascii="Arial" w:hAnsi="Arial" w:cs="Arial"/>
                <w:sz w:val="22"/>
                <w:szCs w:val="22"/>
              </w:rPr>
              <w:sym w:font="Wingdings 2" w:char="F050"/>
            </w:r>
          </w:p>
        </w:tc>
      </w:tr>
    </w:tbl>
    <w:p w14:paraId="324BD676" w14:textId="77777777" w:rsidR="009E4B30" w:rsidRPr="00414A6D" w:rsidRDefault="009E4B30">
      <w:pPr>
        <w:rPr>
          <w:rFonts w:ascii="Arial" w:hAnsi="Arial" w:cs="Arial"/>
          <w:b/>
          <w:sz w:val="22"/>
          <w:szCs w:val="22"/>
        </w:rPr>
      </w:pPr>
      <w:r w:rsidRPr="00414A6D">
        <w:rPr>
          <w:rFonts w:ascii="Arial" w:hAnsi="Arial" w:cs="Arial"/>
          <w:b/>
          <w:sz w:val="22"/>
          <w:szCs w:val="22"/>
        </w:rPr>
        <w:t xml:space="preserve"> </w:t>
      </w:r>
      <w:r w:rsidRPr="00414A6D">
        <w:rPr>
          <w:rFonts w:ascii="Arial" w:hAnsi="Arial" w:cs="Arial"/>
          <w:b/>
          <w:sz w:val="22"/>
          <w:szCs w:val="22"/>
        </w:rPr>
        <w:br w:type="page"/>
      </w:r>
    </w:p>
    <w:p w14:paraId="226F2A16" w14:textId="77777777" w:rsidR="005E702F" w:rsidRPr="00D41ED6" w:rsidRDefault="005E702F" w:rsidP="00D41ED6">
      <w:pPr>
        <w:pStyle w:val="Heading2"/>
        <w:numPr>
          <w:ilvl w:val="0"/>
          <w:numId w:val="0"/>
        </w:numPr>
        <w:rPr>
          <w:b w:val="0"/>
          <w:sz w:val="22"/>
          <w:szCs w:val="22"/>
        </w:rPr>
      </w:pPr>
      <w:bookmarkStart w:id="46" w:name="_Toc426633823"/>
      <w:r w:rsidRPr="003B14AB">
        <w:rPr>
          <w:sz w:val="22"/>
          <w:szCs w:val="22"/>
        </w:rPr>
        <w:t xml:space="preserve">Appendix </w:t>
      </w:r>
      <w:r w:rsidR="009E4B30" w:rsidRPr="00940602">
        <w:rPr>
          <w:sz w:val="22"/>
          <w:szCs w:val="22"/>
        </w:rPr>
        <w:t>E</w:t>
      </w:r>
      <w:r w:rsidRPr="00940602">
        <w:rPr>
          <w:sz w:val="22"/>
          <w:szCs w:val="22"/>
        </w:rPr>
        <w:t xml:space="preserve">. </w:t>
      </w:r>
      <w:r w:rsidR="00EA5A7F" w:rsidRPr="00940602">
        <w:rPr>
          <w:sz w:val="22"/>
          <w:szCs w:val="22"/>
        </w:rPr>
        <w:t xml:space="preserve">International and </w:t>
      </w:r>
      <w:r w:rsidRPr="007F2BCE">
        <w:rPr>
          <w:sz w:val="22"/>
          <w:szCs w:val="22"/>
        </w:rPr>
        <w:t>Australian Hip Fracture Care Best</w:t>
      </w:r>
      <w:r w:rsidR="00EA5A7F" w:rsidRPr="00D41ED6">
        <w:rPr>
          <w:sz w:val="22"/>
          <w:szCs w:val="22"/>
        </w:rPr>
        <w:t>-Practice</w:t>
      </w:r>
      <w:r w:rsidRPr="00D41ED6">
        <w:rPr>
          <w:sz w:val="22"/>
          <w:szCs w:val="22"/>
        </w:rPr>
        <w:t xml:space="preserve"> Pricing Initiatives</w:t>
      </w:r>
      <w:bookmarkEnd w:id="46"/>
    </w:p>
    <w:p w14:paraId="1DAE50D5" w14:textId="77777777" w:rsidR="002668FB" w:rsidRPr="007B7596" w:rsidRDefault="002668FB" w:rsidP="00D147A4">
      <w:pPr>
        <w:spacing w:before="120" w:after="120"/>
        <w:ind w:right="-334"/>
        <w:jc w:val="both"/>
        <w:rPr>
          <w:rFonts w:ascii="Arial" w:hAnsi="Arial" w:cs="Arial"/>
          <w:b/>
          <w:i/>
          <w:sz w:val="22"/>
          <w:szCs w:val="22"/>
        </w:rPr>
      </w:pPr>
    </w:p>
    <w:p w14:paraId="435FAFC1" w14:textId="77777777" w:rsidR="005E702F" w:rsidRPr="00414A6D" w:rsidRDefault="005E702F" w:rsidP="00D147A4">
      <w:pPr>
        <w:spacing w:before="120" w:after="120"/>
        <w:ind w:right="-334"/>
        <w:jc w:val="both"/>
        <w:rPr>
          <w:rFonts w:ascii="Arial" w:hAnsi="Arial" w:cs="Arial"/>
          <w:b/>
          <w:i/>
          <w:sz w:val="22"/>
          <w:szCs w:val="22"/>
        </w:rPr>
      </w:pPr>
      <w:r w:rsidRPr="00414A6D">
        <w:rPr>
          <w:rFonts w:ascii="Arial" w:hAnsi="Arial" w:cs="Arial"/>
          <w:b/>
          <w:i/>
          <w:sz w:val="22"/>
          <w:szCs w:val="22"/>
        </w:rPr>
        <w:t>WA Health</w:t>
      </w:r>
    </w:p>
    <w:p w14:paraId="48E657AE" w14:textId="77777777" w:rsidR="005E702F" w:rsidRPr="00414A6D" w:rsidRDefault="005E702F" w:rsidP="00D147A4">
      <w:pPr>
        <w:spacing w:before="120" w:after="120"/>
        <w:ind w:right="-334"/>
        <w:jc w:val="both"/>
        <w:rPr>
          <w:rFonts w:ascii="Arial" w:hAnsi="Arial" w:cs="Arial"/>
          <w:sz w:val="22"/>
          <w:szCs w:val="22"/>
        </w:rPr>
      </w:pPr>
      <w:r w:rsidRPr="00414A6D">
        <w:rPr>
          <w:rFonts w:ascii="Arial" w:hAnsi="Arial" w:cs="Arial"/>
          <w:sz w:val="22"/>
          <w:szCs w:val="22"/>
        </w:rPr>
        <w:t>WA Health has integrated safety and quality into ABF since 2010. One of three WA performance based payments is for fracture neck of femur (others are for Stroke and Acute Myocardial Infarction).  A bonus payment of $200 is awarded per patient with fracture neck of femur over 65 years of age where all of these six clinical indicators are met:</w:t>
      </w:r>
    </w:p>
    <w:tbl>
      <w:tblPr>
        <w:tblStyle w:val="TableGrid"/>
        <w:tblW w:w="0" w:type="auto"/>
        <w:jc w:val="center"/>
        <w:tblLook w:val="04A0" w:firstRow="1" w:lastRow="0" w:firstColumn="1" w:lastColumn="0" w:noHBand="0" w:noVBand="1"/>
      </w:tblPr>
      <w:tblGrid>
        <w:gridCol w:w="585"/>
        <w:gridCol w:w="7472"/>
      </w:tblGrid>
      <w:tr w:rsidR="005E702F" w:rsidRPr="00414A6D" w14:paraId="59FECCB4" w14:textId="77777777" w:rsidTr="00C12446">
        <w:trPr>
          <w:jc w:val="center"/>
        </w:trPr>
        <w:tc>
          <w:tcPr>
            <w:tcW w:w="585" w:type="dxa"/>
          </w:tcPr>
          <w:p w14:paraId="47BE7C83" w14:textId="77777777" w:rsidR="005E702F" w:rsidRPr="00414A6D" w:rsidRDefault="005E702F" w:rsidP="00D147A4">
            <w:pPr>
              <w:ind w:right="-334"/>
              <w:jc w:val="both"/>
              <w:rPr>
                <w:rFonts w:ascii="Arial" w:hAnsi="Arial" w:cs="Arial"/>
                <w:b/>
                <w:sz w:val="16"/>
                <w:szCs w:val="16"/>
              </w:rPr>
            </w:pPr>
            <w:r w:rsidRPr="00414A6D">
              <w:rPr>
                <w:rFonts w:ascii="Arial" w:hAnsi="Arial" w:cs="Arial"/>
                <w:b/>
                <w:sz w:val="16"/>
                <w:szCs w:val="16"/>
              </w:rPr>
              <w:t>1</w:t>
            </w:r>
          </w:p>
        </w:tc>
        <w:tc>
          <w:tcPr>
            <w:tcW w:w="7472" w:type="dxa"/>
          </w:tcPr>
          <w:p w14:paraId="71BB804F"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 xml:space="preserve">Time to surgery within 36 hours from arrival in ED, or time of diagnosis </w:t>
            </w:r>
          </w:p>
          <w:p w14:paraId="413644EB"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if an inpatient</w:t>
            </w:r>
            <w:r w:rsidRPr="00414A6D">
              <w:rPr>
                <w:rStyle w:val="FootnoteReference"/>
                <w:rFonts w:ascii="Arial" w:hAnsi="Arial" w:cs="Arial"/>
                <w:sz w:val="16"/>
                <w:szCs w:val="16"/>
              </w:rPr>
              <w:footnoteReference w:id="3"/>
            </w:r>
          </w:p>
        </w:tc>
      </w:tr>
      <w:tr w:rsidR="005E702F" w:rsidRPr="00414A6D" w14:paraId="03402AB0" w14:textId="77777777" w:rsidTr="00C12446">
        <w:trPr>
          <w:jc w:val="center"/>
        </w:trPr>
        <w:tc>
          <w:tcPr>
            <w:tcW w:w="585" w:type="dxa"/>
          </w:tcPr>
          <w:p w14:paraId="1EFFED5C" w14:textId="77777777" w:rsidR="005E702F" w:rsidRPr="00414A6D" w:rsidRDefault="005E702F" w:rsidP="00D147A4">
            <w:pPr>
              <w:ind w:right="-334"/>
              <w:jc w:val="both"/>
              <w:rPr>
                <w:rFonts w:ascii="Arial" w:hAnsi="Arial" w:cs="Arial"/>
                <w:b/>
                <w:sz w:val="16"/>
                <w:szCs w:val="16"/>
              </w:rPr>
            </w:pPr>
            <w:r w:rsidRPr="00414A6D">
              <w:rPr>
                <w:rFonts w:ascii="Arial" w:hAnsi="Arial" w:cs="Arial"/>
                <w:b/>
                <w:sz w:val="16"/>
                <w:szCs w:val="16"/>
              </w:rPr>
              <w:t>2</w:t>
            </w:r>
          </w:p>
        </w:tc>
        <w:tc>
          <w:tcPr>
            <w:tcW w:w="7472" w:type="dxa"/>
          </w:tcPr>
          <w:p w14:paraId="5B419F56"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 xml:space="preserve">Admitted under the joint care of a consultant geriatrician and an </w:t>
            </w:r>
          </w:p>
          <w:p w14:paraId="7F8A99EE"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orthopaedic surgeon</w:t>
            </w:r>
          </w:p>
        </w:tc>
      </w:tr>
      <w:tr w:rsidR="005E702F" w:rsidRPr="00414A6D" w14:paraId="5C18120A" w14:textId="77777777" w:rsidTr="00C12446">
        <w:trPr>
          <w:jc w:val="center"/>
        </w:trPr>
        <w:tc>
          <w:tcPr>
            <w:tcW w:w="585" w:type="dxa"/>
          </w:tcPr>
          <w:p w14:paraId="4FB252B7" w14:textId="77777777" w:rsidR="005E702F" w:rsidRPr="00414A6D" w:rsidRDefault="005E702F" w:rsidP="00D147A4">
            <w:pPr>
              <w:ind w:right="-334"/>
              <w:jc w:val="both"/>
              <w:rPr>
                <w:rFonts w:ascii="Arial" w:hAnsi="Arial" w:cs="Arial"/>
                <w:b/>
                <w:sz w:val="16"/>
                <w:szCs w:val="16"/>
              </w:rPr>
            </w:pPr>
            <w:r w:rsidRPr="00414A6D">
              <w:rPr>
                <w:rFonts w:ascii="Arial" w:hAnsi="Arial" w:cs="Arial"/>
                <w:b/>
                <w:sz w:val="16"/>
                <w:szCs w:val="16"/>
              </w:rPr>
              <w:t>3</w:t>
            </w:r>
          </w:p>
        </w:tc>
        <w:tc>
          <w:tcPr>
            <w:tcW w:w="7472" w:type="dxa"/>
          </w:tcPr>
          <w:p w14:paraId="071C19D7"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Admitted using and assessment protocol agreed by geriatric medicine, orthopaedic surgery and anaesthetics</w:t>
            </w:r>
          </w:p>
        </w:tc>
      </w:tr>
      <w:tr w:rsidR="005E702F" w:rsidRPr="00414A6D" w14:paraId="55ACC051" w14:textId="77777777" w:rsidTr="00C12446">
        <w:trPr>
          <w:jc w:val="center"/>
        </w:trPr>
        <w:tc>
          <w:tcPr>
            <w:tcW w:w="585" w:type="dxa"/>
          </w:tcPr>
          <w:p w14:paraId="2278E7AC" w14:textId="77777777" w:rsidR="005E702F" w:rsidRPr="00414A6D" w:rsidRDefault="005E702F" w:rsidP="00D147A4">
            <w:pPr>
              <w:ind w:right="-334"/>
              <w:jc w:val="both"/>
              <w:rPr>
                <w:rFonts w:ascii="Arial" w:hAnsi="Arial" w:cs="Arial"/>
                <w:b/>
                <w:sz w:val="16"/>
                <w:szCs w:val="16"/>
              </w:rPr>
            </w:pPr>
            <w:r w:rsidRPr="00414A6D">
              <w:rPr>
                <w:rFonts w:ascii="Arial" w:hAnsi="Arial" w:cs="Arial"/>
                <w:b/>
                <w:sz w:val="16"/>
                <w:szCs w:val="16"/>
              </w:rPr>
              <w:t>4</w:t>
            </w:r>
          </w:p>
        </w:tc>
        <w:tc>
          <w:tcPr>
            <w:tcW w:w="7472" w:type="dxa"/>
          </w:tcPr>
          <w:p w14:paraId="135C6364"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 xml:space="preserve">Assessed by a geriatrician in the peri-operative period (within 72 hours </w:t>
            </w:r>
          </w:p>
          <w:p w14:paraId="5A5DA5C1"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of admission)</w:t>
            </w:r>
          </w:p>
        </w:tc>
      </w:tr>
      <w:tr w:rsidR="005E702F" w:rsidRPr="00414A6D" w14:paraId="04FB0108" w14:textId="77777777" w:rsidTr="00C12446">
        <w:trPr>
          <w:jc w:val="center"/>
        </w:trPr>
        <w:tc>
          <w:tcPr>
            <w:tcW w:w="585" w:type="dxa"/>
          </w:tcPr>
          <w:p w14:paraId="5F5AD025" w14:textId="77777777" w:rsidR="005E702F" w:rsidRPr="00414A6D" w:rsidRDefault="005E702F" w:rsidP="00D147A4">
            <w:pPr>
              <w:ind w:right="-334"/>
              <w:jc w:val="both"/>
              <w:rPr>
                <w:rFonts w:ascii="Arial" w:hAnsi="Arial" w:cs="Arial"/>
                <w:b/>
                <w:sz w:val="16"/>
                <w:szCs w:val="16"/>
              </w:rPr>
            </w:pPr>
            <w:r w:rsidRPr="00414A6D">
              <w:rPr>
                <w:rFonts w:ascii="Arial" w:hAnsi="Arial" w:cs="Arial"/>
                <w:b/>
                <w:sz w:val="16"/>
                <w:szCs w:val="16"/>
              </w:rPr>
              <w:t>5</w:t>
            </w:r>
          </w:p>
        </w:tc>
        <w:tc>
          <w:tcPr>
            <w:tcW w:w="7472" w:type="dxa"/>
          </w:tcPr>
          <w:p w14:paraId="39F00AC9"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 xml:space="preserve">Post-operative geriatrician-directed multi-professional </w:t>
            </w:r>
          </w:p>
          <w:p w14:paraId="48DA97B6"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rehabilitation team</w:t>
            </w:r>
          </w:p>
        </w:tc>
      </w:tr>
      <w:tr w:rsidR="005E702F" w:rsidRPr="00414A6D" w14:paraId="6237EACF" w14:textId="77777777" w:rsidTr="00C12446">
        <w:trPr>
          <w:jc w:val="center"/>
        </w:trPr>
        <w:tc>
          <w:tcPr>
            <w:tcW w:w="585" w:type="dxa"/>
          </w:tcPr>
          <w:p w14:paraId="2C633034" w14:textId="77777777" w:rsidR="005E702F" w:rsidRPr="00414A6D" w:rsidRDefault="005E702F" w:rsidP="00D147A4">
            <w:pPr>
              <w:ind w:right="-334"/>
              <w:jc w:val="both"/>
              <w:rPr>
                <w:rFonts w:ascii="Arial" w:hAnsi="Arial" w:cs="Arial"/>
                <w:b/>
                <w:sz w:val="16"/>
                <w:szCs w:val="16"/>
              </w:rPr>
            </w:pPr>
            <w:r w:rsidRPr="00414A6D">
              <w:rPr>
                <w:rFonts w:ascii="Arial" w:hAnsi="Arial" w:cs="Arial"/>
                <w:b/>
                <w:sz w:val="16"/>
                <w:szCs w:val="16"/>
              </w:rPr>
              <w:t>6</w:t>
            </w:r>
          </w:p>
        </w:tc>
        <w:tc>
          <w:tcPr>
            <w:tcW w:w="7472" w:type="dxa"/>
          </w:tcPr>
          <w:p w14:paraId="743CF961" w14:textId="77777777" w:rsidR="005E702F" w:rsidRPr="00414A6D" w:rsidRDefault="005E702F" w:rsidP="00D147A4">
            <w:pPr>
              <w:spacing w:line="276" w:lineRule="auto"/>
              <w:ind w:right="-334"/>
              <w:jc w:val="both"/>
              <w:rPr>
                <w:rFonts w:ascii="Arial" w:hAnsi="Arial" w:cs="Arial"/>
                <w:sz w:val="16"/>
                <w:szCs w:val="16"/>
              </w:rPr>
            </w:pPr>
            <w:r w:rsidRPr="00414A6D">
              <w:rPr>
                <w:rFonts w:ascii="Arial" w:hAnsi="Arial" w:cs="Arial"/>
                <w:sz w:val="16"/>
                <w:szCs w:val="16"/>
              </w:rPr>
              <w:t>Fracture prevention assessments (falls and bone health)</w:t>
            </w:r>
          </w:p>
        </w:tc>
      </w:tr>
    </w:tbl>
    <w:p w14:paraId="1637E8AF" w14:textId="77777777" w:rsidR="005E702F" w:rsidRPr="00414A6D" w:rsidRDefault="009F0749" w:rsidP="00D147A4">
      <w:pPr>
        <w:spacing w:before="120" w:after="120"/>
        <w:ind w:right="-334"/>
        <w:jc w:val="both"/>
        <w:rPr>
          <w:rFonts w:ascii="Arial" w:hAnsi="Arial" w:cs="Arial"/>
          <w:iCs/>
          <w:color w:val="000000"/>
          <w:sz w:val="22"/>
          <w:szCs w:val="22"/>
        </w:rPr>
      </w:pPr>
      <w:r w:rsidRPr="00414A6D">
        <w:rPr>
          <w:rFonts w:ascii="Arial" w:hAnsi="Arial" w:cs="Arial"/>
          <w:iCs/>
          <w:color w:val="000000"/>
          <w:sz w:val="22"/>
          <w:szCs w:val="22"/>
        </w:rPr>
        <w:t xml:space="preserve">The hip fracture bonus payment is implemented at the three tertiary hospitals in </w:t>
      </w:r>
      <w:r w:rsidR="00BC3A39" w:rsidRPr="00414A6D">
        <w:rPr>
          <w:rFonts w:ascii="Arial" w:hAnsi="Arial" w:cs="Arial"/>
          <w:iCs/>
          <w:color w:val="000000"/>
          <w:sz w:val="22"/>
          <w:szCs w:val="22"/>
        </w:rPr>
        <w:t>WA</w:t>
      </w:r>
      <w:r w:rsidRPr="00414A6D">
        <w:rPr>
          <w:rFonts w:ascii="Arial" w:hAnsi="Arial" w:cs="Arial"/>
          <w:iCs/>
          <w:color w:val="000000"/>
          <w:sz w:val="22"/>
          <w:szCs w:val="22"/>
        </w:rPr>
        <w:t xml:space="preserve">. </w:t>
      </w:r>
      <w:r w:rsidR="00BC3A39" w:rsidRPr="00414A6D">
        <w:rPr>
          <w:rFonts w:ascii="Arial" w:hAnsi="Arial" w:cs="Arial"/>
          <w:iCs/>
          <w:color w:val="000000"/>
          <w:sz w:val="22"/>
          <w:szCs w:val="22"/>
        </w:rPr>
        <w:t xml:space="preserve">Patients who transfer between hospitals only have the data entered at the operating tertiary hospital. Specifically, the time to surgery item </w:t>
      </w:r>
      <w:r w:rsidR="00BC3A39" w:rsidRPr="00414A6D">
        <w:rPr>
          <w:rFonts w:ascii="Arial" w:hAnsi="Arial" w:cs="Arial"/>
          <w:sz w:val="22"/>
          <w:szCs w:val="22"/>
        </w:rPr>
        <w:t xml:space="preserve">is measured from the time the patient arrived in ED at the </w:t>
      </w:r>
      <w:r w:rsidR="00BC3A39" w:rsidRPr="00414A6D">
        <w:rPr>
          <w:rFonts w:ascii="Arial" w:hAnsi="Arial" w:cs="Arial"/>
          <w:iCs/>
          <w:sz w:val="22"/>
          <w:szCs w:val="22"/>
        </w:rPr>
        <w:t>operating hospital.</w:t>
      </w:r>
      <w:r w:rsidR="00BC3A39" w:rsidRPr="00414A6D">
        <w:rPr>
          <w:rFonts w:ascii="Arial" w:hAnsi="Arial" w:cs="Arial"/>
          <w:sz w:val="22"/>
          <w:szCs w:val="22"/>
        </w:rPr>
        <w:t xml:space="preserve"> </w:t>
      </w:r>
      <w:r w:rsidR="005E702F" w:rsidRPr="00414A6D">
        <w:rPr>
          <w:rFonts w:ascii="Arial" w:hAnsi="Arial" w:cs="Arial"/>
          <w:iCs/>
          <w:color w:val="000000"/>
          <w:sz w:val="22"/>
          <w:szCs w:val="22"/>
        </w:rPr>
        <w:t>Patient level data are collected by hospital staff (usually an Orthopaedic Nurse) within a purpose built online clinical registry. To avoid duplication in collecting data items, approximately 1/3 of items migrate across to the clinical registry from existing Patient Administration System data. Data are then extracted by the Department of Health quarterly for payment to the appropriate Health Service.</w:t>
      </w:r>
    </w:p>
    <w:p w14:paraId="79E6411C" w14:textId="77777777" w:rsidR="005E702F" w:rsidRPr="00414A6D" w:rsidRDefault="005E702F" w:rsidP="00D147A4">
      <w:pPr>
        <w:spacing w:before="120" w:after="120"/>
        <w:ind w:right="-334"/>
        <w:jc w:val="both"/>
        <w:rPr>
          <w:rFonts w:ascii="Arial" w:hAnsi="Arial" w:cs="Arial"/>
          <w:b/>
          <w:i/>
          <w:iCs/>
          <w:color w:val="000000"/>
          <w:sz w:val="22"/>
          <w:szCs w:val="22"/>
        </w:rPr>
      </w:pPr>
      <w:r w:rsidRPr="00414A6D">
        <w:rPr>
          <w:rFonts w:ascii="Arial" w:hAnsi="Arial" w:cs="Arial"/>
          <w:b/>
          <w:i/>
          <w:iCs/>
          <w:color w:val="000000"/>
          <w:sz w:val="22"/>
          <w:szCs w:val="22"/>
        </w:rPr>
        <w:t>Queensland Health</w:t>
      </w:r>
    </w:p>
    <w:p w14:paraId="115CD094" w14:textId="77777777" w:rsidR="005E702F" w:rsidRPr="00414A6D" w:rsidRDefault="005E702F" w:rsidP="00D147A4">
      <w:pPr>
        <w:pStyle w:val="Default"/>
        <w:spacing w:before="120" w:after="120"/>
        <w:jc w:val="both"/>
        <w:rPr>
          <w:rFonts w:ascii="Arial" w:hAnsi="Arial" w:cs="Arial"/>
          <w:sz w:val="22"/>
          <w:szCs w:val="22"/>
        </w:rPr>
      </w:pPr>
      <w:r w:rsidRPr="00414A6D">
        <w:rPr>
          <w:rFonts w:ascii="Arial" w:hAnsi="Arial" w:cs="Arial"/>
          <w:sz w:val="22"/>
          <w:szCs w:val="22"/>
        </w:rPr>
        <w:t xml:space="preserve">The Queensland Health quality improvement incentive for care of fractured neck of femur relates principally to time to surgery and has evolved over the past three financial years. In 2012-13, a target of 95% for patients admitted as an emergency for fractured neck of femur repair to be taken to theatre within 48 hours of admission was set. If the target was achieved, a bonus payment would be paid to the associated health service. The target was not reached in its first year, and was reduced to 80% in 2013-14. In 2014-15 the program was further amended, and Queensland now reduces the price for a weighted activity unit for fractured neck of femur by 20% if the time to surgery is not achieved (refer to </w:t>
      </w:r>
      <w:r w:rsidR="00B61E00" w:rsidRPr="00414A6D">
        <w:rPr>
          <w:rFonts w:ascii="Arial" w:hAnsi="Arial" w:cs="Arial"/>
          <w:sz w:val="22"/>
          <w:szCs w:val="22"/>
        </w:rPr>
        <w:t>appendix</w:t>
      </w:r>
      <w:r w:rsidRPr="00414A6D">
        <w:rPr>
          <w:rFonts w:ascii="Arial" w:hAnsi="Arial" w:cs="Arial"/>
          <w:sz w:val="22"/>
          <w:szCs w:val="22"/>
        </w:rPr>
        <w:t xml:space="preserve"> </w:t>
      </w:r>
      <w:r w:rsidR="00B61E00" w:rsidRPr="00414A6D">
        <w:rPr>
          <w:rFonts w:ascii="Arial" w:hAnsi="Arial" w:cs="Arial"/>
          <w:sz w:val="22"/>
          <w:szCs w:val="22"/>
        </w:rPr>
        <w:t>4</w:t>
      </w:r>
      <w:r w:rsidRPr="00414A6D">
        <w:rPr>
          <w:rFonts w:ascii="Arial" w:hAnsi="Arial" w:cs="Arial"/>
          <w:sz w:val="22"/>
          <w:szCs w:val="22"/>
        </w:rPr>
        <w:t>). Queensland’s lessons learned from this project include:</w:t>
      </w:r>
    </w:p>
    <w:p w14:paraId="30BA658E" w14:textId="77777777" w:rsidR="005E702F" w:rsidRPr="00414A6D" w:rsidRDefault="005E702F" w:rsidP="007B1510">
      <w:pPr>
        <w:pStyle w:val="Default"/>
        <w:numPr>
          <w:ilvl w:val="0"/>
          <w:numId w:val="8"/>
        </w:numPr>
        <w:spacing w:before="120"/>
        <w:jc w:val="both"/>
        <w:rPr>
          <w:rFonts w:ascii="Arial" w:hAnsi="Arial" w:cs="Arial"/>
          <w:sz w:val="22"/>
          <w:szCs w:val="22"/>
        </w:rPr>
      </w:pPr>
      <w:r w:rsidRPr="00414A6D">
        <w:rPr>
          <w:rFonts w:ascii="Arial" w:hAnsi="Arial" w:cs="Arial"/>
          <w:sz w:val="22"/>
          <w:szCs w:val="22"/>
        </w:rPr>
        <w:t>Achievability of the target is essential.</w:t>
      </w:r>
    </w:p>
    <w:p w14:paraId="79D6BD5E" w14:textId="77777777" w:rsidR="005E702F" w:rsidRPr="00414A6D" w:rsidRDefault="005E702F" w:rsidP="007B1510">
      <w:pPr>
        <w:pStyle w:val="Default"/>
        <w:numPr>
          <w:ilvl w:val="0"/>
          <w:numId w:val="8"/>
        </w:numPr>
        <w:spacing w:before="120"/>
        <w:jc w:val="both"/>
        <w:rPr>
          <w:rFonts w:ascii="Arial" w:hAnsi="Arial" w:cs="Arial"/>
          <w:sz w:val="22"/>
          <w:szCs w:val="22"/>
        </w:rPr>
      </w:pPr>
      <w:r w:rsidRPr="00414A6D">
        <w:rPr>
          <w:rFonts w:ascii="Arial" w:hAnsi="Arial" w:cs="Arial"/>
          <w:sz w:val="22"/>
          <w:szCs w:val="22"/>
        </w:rPr>
        <w:t>Executive buy-in and quarterly performance information feedback at the executive team level is an important motivator.</w:t>
      </w:r>
    </w:p>
    <w:p w14:paraId="3E2BB59C" w14:textId="77777777" w:rsidR="005E702F" w:rsidRPr="00414A6D" w:rsidRDefault="005E702F" w:rsidP="007B1510">
      <w:pPr>
        <w:pStyle w:val="Default"/>
        <w:numPr>
          <w:ilvl w:val="0"/>
          <w:numId w:val="8"/>
        </w:numPr>
        <w:spacing w:before="120"/>
        <w:jc w:val="both"/>
        <w:rPr>
          <w:rFonts w:ascii="Arial" w:hAnsi="Arial" w:cs="Arial"/>
          <w:sz w:val="22"/>
          <w:szCs w:val="22"/>
        </w:rPr>
      </w:pPr>
      <w:r w:rsidRPr="00414A6D">
        <w:rPr>
          <w:rFonts w:ascii="Arial" w:hAnsi="Arial" w:cs="Arial"/>
          <w:sz w:val="22"/>
          <w:szCs w:val="22"/>
        </w:rPr>
        <w:t xml:space="preserve">Clinical engagement through networks and individual clinicians is essential during development process because it provides a sense of ownership. </w:t>
      </w:r>
    </w:p>
    <w:p w14:paraId="2DE30242" w14:textId="77777777" w:rsidR="005E702F" w:rsidRPr="00414A6D" w:rsidRDefault="005E702F" w:rsidP="00D147A4">
      <w:pPr>
        <w:spacing w:before="20" w:after="60"/>
        <w:ind w:right="-85"/>
        <w:jc w:val="both"/>
        <w:rPr>
          <w:rFonts w:ascii="Arial" w:hAnsi="Arial" w:cs="Arial"/>
          <w:sz w:val="21"/>
          <w:szCs w:val="21"/>
        </w:rPr>
      </w:pPr>
    </w:p>
    <w:p w14:paraId="78DA569F" w14:textId="77777777" w:rsidR="00666373" w:rsidRPr="00414A6D" w:rsidRDefault="00666373" w:rsidP="00D147A4">
      <w:pPr>
        <w:spacing w:before="20" w:after="60"/>
        <w:ind w:right="-85"/>
        <w:jc w:val="both"/>
        <w:rPr>
          <w:rFonts w:ascii="Arial" w:hAnsi="Arial" w:cs="Arial"/>
          <w:sz w:val="21"/>
          <w:szCs w:val="21"/>
        </w:rPr>
      </w:pPr>
    </w:p>
    <w:p w14:paraId="6B39F7E3" w14:textId="77777777" w:rsidR="00666373" w:rsidRPr="00414A6D" w:rsidRDefault="00666373" w:rsidP="00D147A4">
      <w:pPr>
        <w:spacing w:before="20" w:after="60"/>
        <w:ind w:right="-85"/>
        <w:jc w:val="both"/>
        <w:rPr>
          <w:rFonts w:ascii="Arial" w:hAnsi="Arial" w:cs="Arial"/>
          <w:sz w:val="21"/>
          <w:szCs w:val="21"/>
        </w:rPr>
      </w:pPr>
    </w:p>
    <w:p w14:paraId="29E7AF7C" w14:textId="77777777" w:rsidR="005E702F" w:rsidRPr="00414A6D" w:rsidRDefault="008C630B" w:rsidP="00D147A4">
      <w:pPr>
        <w:spacing w:before="120" w:after="120"/>
        <w:ind w:right="-334"/>
        <w:jc w:val="both"/>
        <w:rPr>
          <w:rFonts w:ascii="Arial" w:hAnsi="Arial" w:cs="Arial"/>
          <w:b/>
          <w:i/>
          <w:iCs/>
          <w:color w:val="000000"/>
          <w:sz w:val="22"/>
          <w:szCs w:val="22"/>
        </w:rPr>
      </w:pPr>
      <w:r w:rsidRPr="00414A6D">
        <w:rPr>
          <w:rFonts w:ascii="Arial" w:hAnsi="Arial" w:cs="Arial"/>
          <w:b/>
          <w:i/>
          <w:iCs/>
          <w:color w:val="000000"/>
          <w:sz w:val="22"/>
          <w:szCs w:val="22"/>
        </w:rPr>
        <w:t>SA Health</w:t>
      </w:r>
    </w:p>
    <w:p w14:paraId="3843F0CE" w14:textId="77777777" w:rsidR="00666373" w:rsidRPr="00414A6D" w:rsidRDefault="00666373" w:rsidP="00D147A4">
      <w:pPr>
        <w:pStyle w:val="Default"/>
        <w:spacing w:before="120" w:after="120"/>
        <w:jc w:val="both"/>
        <w:rPr>
          <w:rFonts w:ascii="Arial" w:hAnsi="Arial" w:cs="Arial"/>
          <w:sz w:val="22"/>
          <w:szCs w:val="22"/>
        </w:rPr>
      </w:pPr>
      <w:r w:rsidRPr="00414A6D">
        <w:rPr>
          <w:rFonts w:ascii="Arial" w:hAnsi="Arial" w:cs="Arial"/>
          <w:sz w:val="22"/>
          <w:szCs w:val="22"/>
        </w:rPr>
        <w:t xml:space="preserve">At time of writing, SA Health was exploring areas of </w:t>
      </w:r>
      <w:r w:rsidR="00346B84" w:rsidRPr="00414A6D">
        <w:rPr>
          <w:rFonts w:ascii="Arial" w:hAnsi="Arial" w:cs="Arial"/>
          <w:sz w:val="22"/>
          <w:szCs w:val="22"/>
        </w:rPr>
        <w:t>best-practice</w:t>
      </w:r>
      <w:r w:rsidRPr="00414A6D">
        <w:rPr>
          <w:rFonts w:ascii="Arial" w:hAnsi="Arial" w:cs="Arial"/>
          <w:sz w:val="22"/>
          <w:szCs w:val="22"/>
        </w:rPr>
        <w:t xml:space="preserve"> pricing.  The clinical areas of focus are likely to be stroke and hip fracture, with the aim of aligning to national standards and quality indicators where possible. SA Health is reviewing the programs implemented in Queensland and WA, and will keep the Secretariat informed of progress in the coming months.</w:t>
      </w:r>
    </w:p>
    <w:p w14:paraId="2179D0A0" w14:textId="77777777" w:rsidR="009C6E73" w:rsidRPr="00414A6D" w:rsidRDefault="009C6E73" w:rsidP="00D147A4">
      <w:pPr>
        <w:jc w:val="both"/>
        <w:rPr>
          <w:rFonts w:ascii="Arial" w:hAnsi="Arial" w:cs="Arial"/>
          <w:b/>
          <w:sz w:val="22"/>
          <w:szCs w:val="22"/>
        </w:rPr>
      </w:pPr>
    </w:p>
    <w:p w14:paraId="59455008" w14:textId="77777777" w:rsidR="005E702F" w:rsidRPr="00414A6D" w:rsidRDefault="00FA3DBC" w:rsidP="00D147A4">
      <w:pPr>
        <w:jc w:val="both"/>
        <w:rPr>
          <w:rFonts w:ascii="Arial" w:hAnsi="Arial" w:cs="Arial"/>
          <w:b/>
          <w:i/>
          <w:sz w:val="22"/>
          <w:szCs w:val="22"/>
        </w:rPr>
      </w:pPr>
      <w:r w:rsidRPr="00414A6D">
        <w:rPr>
          <w:rFonts w:ascii="Arial" w:hAnsi="Arial" w:cs="Arial"/>
          <w:b/>
          <w:i/>
          <w:sz w:val="22"/>
          <w:szCs w:val="22"/>
        </w:rPr>
        <w:t xml:space="preserve">NHS </w:t>
      </w:r>
      <w:r w:rsidR="00346B84" w:rsidRPr="00414A6D">
        <w:rPr>
          <w:rFonts w:ascii="Arial" w:hAnsi="Arial" w:cs="Arial"/>
          <w:b/>
          <w:i/>
          <w:sz w:val="22"/>
          <w:szCs w:val="22"/>
        </w:rPr>
        <w:t>Best-practice</w:t>
      </w:r>
      <w:r w:rsidRPr="00414A6D">
        <w:rPr>
          <w:rFonts w:ascii="Arial" w:hAnsi="Arial" w:cs="Arial"/>
          <w:b/>
          <w:i/>
          <w:sz w:val="22"/>
          <w:szCs w:val="22"/>
        </w:rPr>
        <w:t xml:space="preserve"> Tariff Program – Fragility Hip Fracture </w:t>
      </w:r>
    </w:p>
    <w:p w14:paraId="531C2ECD" w14:textId="77777777" w:rsidR="005E702F" w:rsidRPr="00414A6D" w:rsidRDefault="005E702F" w:rsidP="00D147A4">
      <w:pPr>
        <w:jc w:val="both"/>
        <w:rPr>
          <w:rFonts w:ascii="Arial" w:hAnsi="Arial" w:cs="Arial"/>
          <w:b/>
          <w:sz w:val="22"/>
          <w:szCs w:val="22"/>
        </w:rPr>
      </w:pPr>
    </w:p>
    <w:p w14:paraId="7B3C5DE3"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The NHS United Kingdom’s </w:t>
      </w:r>
      <w:r w:rsidR="00346B84" w:rsidRPr="00414A6D">
        <w:rPr>
          <w:rFonts w:ascii="Arial" w:hAnsi="Arial" w:cs="Arial"/>
          <w:sz w:val="22"/>
          <w:szCs w:val="22"/>
        </w:rPr>
        <w:t>Best-practice</w:t>
      </w:r>
      <w:r w:rsidRPr="00414A6D">
        <w:rPr>
          <w:rFonts w:ascii="Arial" w:hAnsi="Arial" w:cs="Arial"/>
          <w:sz w:val="22"/>
          <w:szCs w:val="22"/>
        </w:rPr>
        <w:t xml:space="preserve"> Tariff (BPT) program pays differential prices (tariff) for a set of hospital procedures/interventions in which specified processes and elements of </w:t>
      </w:r>
      <w:r w:rsidR="00346B84" w:rsidRPr="00414A6D">
        <w:rPr>
          <w:rFonts w:ascii="Arial" w:hAnsi="Arial" w:cs="Arial"/>
          <w:sz w:val="22"/>
          <w:szCs w:val="22"/>
        </w:rPr>
        <w:t>best-practice</w:t>
      </w:r>
      <w:r w:rsidRPr="00414A6D">
        <w:rPr>
          <w:rFonts w:ascii="Arial" w:hAnsi="Arial" w:cs="Arial"/>
          <w:sz w:val="22"/>
          <w:szCs w:val="22"/>
        </w:rPr>
        <w:t xml:space="preserve"> are met. It is a key feature of the NHS ‘payment by results’, tariff-based payment system for acute care (i.e. activity based funding). </w:t>
      </w:r>
    </w:p>
    <w:p w14:paraId="55EAD17D" w14:textId="77777777" w:rsidR="005E702F" w:rsidRPr="00414A6D" w:rsidRDefault="005E702F" w:rsidP="00D147A4">
      <w:pPr>
        <w:jc w:val="both"/>
        <w:rPr>
          <w:rFonts w:ascii="Arial" w:hAnsi="Arial" w:cs="Arial"/>
          <w:sz w:val="22"/>
          <w:szCs w:val="22"/>
        </w:rPr>
      </w:pPr>
    </w:p>
    <w:p w14:paraId="2C738459"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The aim of BPTs is to reduce unwarranted clinical variation and improve quality of care. The number of clinical areas, conditions and procedures covered by the scheme has grown from four to 18 since its inception in 2010-11. The criteria for selecting BPT clinical areas include</w:t>
      </w:r>
      <w:r w:rsidR="0018750E" w:rsidRPr="00414A6D">
        <w:rPr>
          <w:rFonts w:ascii="Arial" w:hAnsi="Arial" w:cs="Arial"/>
          <w:sz w:val="22"/>
          <w:szCs w:val="22"/>
        </w:rPr>
        <w:t>:</w:t>
      </w:r>
      <w:hyperlink w:anchor="_ENREF_10" w:tooltip="Department of Health, 2012 #68"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&lt;EndNote&gt;&lt;Cite&gt;&lt;Author&gt;Department of Health&lt;/Author&gt;&lt;Year&gt;2012&lt;/Year&gt;&lt;RecNum&gt;68&lt;/RecNum&gt;&lt;DisplayText&gt;&lt;style face="superscript"&gt;10&lt;/style&gt;&lt;/DisplayText&gt;&lt;record&gt;&lt;rec-number&gt;68&lt;/rec-number&gt;&lt;foreign-keys&gt;&lt;key app="EN" db-id="pxsz0w0wuvwzapeptavv0erkef22f2rwz0w0"&gt;68&lt;/key&gt;&lt;/foreign-keys&gt;&lt;ref-type name="Report"&gt;27&lt;/ref-type&gt;&lt;contributors&gt;&lt;authors&gt;&lt;author&gt;Department of Health,&lt;/author&gt;&lt;/authors&gt;&lt;/contributors&gt;&lt;titles&gt;&lt;title&gt;A simple guide to payment by results &lt;/title&gt;&lt;/titles&gt;&lt;dates&gt;&lt;year&gt;2012&lt;/year&gt;&lt;/dates&gt;&lt;pub-location&gt;United Kingdom&lt;/pub-location&gt;&lt;urls&gt;&lt;/urls&gt;&lt;/record&gt;&lt;/Cite&gt;&lt;/EndNote&gt;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10</w:t>
        </w:r>
        <w:r w:rsidR="00402FBB" w:rsidRPr="00414A6D">
          <w:rPr>
            <w:rFonts w:ascii="Arial" w:hAnsi="Arial" w:cs="Arial"/>
            <w:sz w:val="22"/>
            <w:szCs w:val="22"/>
          </w:rPr>
          <w:fldChar w:fldCharType="end"/>
        </w:r>
      </w:hyperlink>
    </w:p>
    <w:p w14:paraId="66A91F4C" w14:textId="77777777" w:rsidR="005E702F" w:rsidRPr="00414A6D" w:rsidRDefault="005E702F" w:rsidP="007B1510">
      <w:pPr>
        <w:pStyle w:val="ListParagraph"/>
        <w:numPr>
          <w:ilvl w:val="0"/>
          <w:numId w:val="12"/>
        </w:numPr>
        <w:jc w:val="both"/>
        <w:rPr>
          <w:rFonts w:ascii="Arial" w:hAnsi="Arial" w:cs="Arial"/>
          <w:sz w:val="22"/>
          <w:szCs w:val="22"/>
        </w:rPr>
      </w:pPr>
      <w:r w:rsidRPr="00414A6D">
        <w:rPr>
          <w:rFonts w:ascii="Arial" w:hAnsi="Arial" w:cs="Arial"/>
          <w:sz w:val="22"/>
          <w:szCs w:val="22"/>
        </w:rPr>
        <w:t>High impact (high volume, high variation in practice, or impact on outcomes)</w:t>
      </w:r>
    </w:p>
    <w:p w14:paraId="0122A611" w14:textId="77777777" w:rsidR="005E702F" w:rsidRPr="00414A6D" w:rsidRDefault="005E702F" w:rsidP="007B1510">
      <w:pPr>
        <w:pStyle w:val="ListParagraph"/>
        <w:numPr>
          <w:ilvl w:val="0"/>
          <w:numId w:val="12"/>
        </w:numPr>
        <w:jc w:val="both"/>
        <w:rPr>
          <w:rFonts w:ascii="Arial" w:hAnsi="Arial" w:cs="Arial"/>
          <w:sz w:val="22"/>
          <w:szCs w:val="22"/>
        </w:rPr>
      </w:pPr>
      <w:r w:rsidRPr="00414A6D">
        <w:rPr>
          <w:rFonts w:ascii="Arial" w:hAnsi="Arial" w:cs="Arial"/>
          <w:sz w:val="22"/>
          <w:szCs w:val="22"/>
        </w:rPr>
        <w:t xml:space="preserve">A strong evidence base on what constitutes </w:t>
      </w:r>
      <w:r w:rsidR="00346B84" w:rsidRPr="00414A6D">
        <w:rPr>
          <w:rFonts w:ascii="Arial" w:hAnsi="Arial" w:cs="Arial"/>
          <w:sz w:val="22"/>
          <w:szCs w:val="22"/>
        </w:rPr>
        <w:t>best-practice</w:t>
      </w:r>
      <w:r w:rsidRPr="00414A6D">
        <w:rPr>
          <w:rFonts w:ascii="Arial" w:hAnsi="Arial" w:cs="Arial"/>
          <w:sz w:val="22"/>
          <w:szCs w:val="22"/>
        </w:rPr>
        <w:t xml:space="preserve"> (and demonstrated benefit and cost effectiveness to the patient)</w:t>
      </w:r>
    </w:p>
    <w:p w14:paraId="29498C88" w14:textId="77777777" w:rsidR="005E702F" w:rsidRPr="00414A6D" w:rsidRDefault="005E702F" w:rsidP="007B1510">
      <w:pPr>
        <w:pStyle w:val="ListParagraph"/>
        <w:numPr>
          <w:ilvl w:val="0"/>
          <w:numId w:val="12"/>
        </w:numPr>
        <w:jc w:val="both"/>
        <w:rPr>
          <w:rFonts w:ascii="Arial" w:hAnsi="Arial" w:cs="Arial"/>
          <w:sz w:val="22"/>
          <w:szCs w:val="22"/>
        </w:rPr>
      </w:pPr>
      <w:r w:rsidRPr="00414A6D">
        <w:rPr>
          <w:rFonts w:ascii="Arial" w:hAnsi="Arial" w:cs="Arial"/>
          <w:sz w:val="22"/>
          <w:szCs w:val="22"/>
        </w:rPr>
        <w:t xml:space="preserve">Clinical consensus on the characteristics of </w:t>
      </w:r>
      <w:r w:rsidR="00346B84" w:rsidRPr="00414A6D">
        <w:rPr>
          <w:rFonts w:ascii="Arial" w:hAnsi="Arial" w:cs="Arial"/>
          <w:sz w:val="22"/>
          <w:szCs w:val="22"/>
        </w:rPr>
        <w:t>best-practice</w:t>
      </w:r>
    </w:p>
    <w:p w14:paraId="05A0F349" w14:textId="77777777" w:rsidR="005E702F" w:rsidRPr="00414A6D" w:rsidRDefault="005E702F" w:rsidP="007B1510">
      <w:pPr>
        <w:pStyle w:val="ListParagraph"/>
        <w:numPr>
          <w:ilvl w:val="0"/>
          <w:numId w:val="12"/>
        </w:numPr>
        <w:jc w:val="both"/>
        <w:rPr>
          <w:rFonts w:ascii="Arial" w:hAnsi="Arial" w:cs="Arial"/>
          <w:sz w:val="22"/>
          <w:szCs w:val="22"/>
        </w:rPr>
      </w:pPr>
      <w:r w:rsidRPr="00414A6D">
        <w:rPr>
          <w:rFonts w:ascii="Arial" w:hAnsi="Arial" w:cs="Arial"/>
          <w:sz w:val="22"/>
          <w:szCs w:val="22"/>
        </w:rPr>
        <w:t>The episode of care has a well-defined start and finish point</w:t>
      </w:r>
    </w:p>
    <w:p w14:paraId="0AA1E724" w14:textId="77777777" w:rsidR="005E702F" w:rsidRPr="00414A6D" w:rsidRDefault="005E702F" w:rsidP="007B1510">
      <w:pPr>
        <w:pStyle w:val="ListParagraph"/>
        <w:numPr>
          <w:ilvl w:val="0"/>
          <w:numId w:val="12"/>
        </w:numPr>
        <w:jc w:val="both"/>
        <w:rPr>
          <w:rFonts w:ascii="Arial" w:hAnsi="Arial" w:cs="Arial"/>
          <w:sz w:val="22"/>
          <w:szCs w:val="22"/>
        </w:rPr>
      </w:pPr>
      <w:r w:rsidRPr="00414A6D">
        <w:rPr>
          <w:rFonts w:ascii="Arial" w:hAnsi="Arial" w:cs="Arial"/>
          <w:sz w:val="22"/>
          <w:szCs w:val="22"/>
        </w:rPr>
        <w:t>The care is planned in advance.</w:t>
      </w:r>
    </w:p>
    <w:p w14:paraId="002D00F9" w14:textId="77777777" w:rsidR="005E702F" w:rsidRPr="00414A6D" w:rsidRDefault="005E702F" w:rsidP="00D147A4">
      <w:pPr>
        <w:pStyle w:val="ListParagraph"/>
        <w:jc w:val="both"/>
        <w:rPr>
          <w:rFonts w:ascii="Arial" w:hAnsi="Arial" w:cs="Arial"/>
          <w:sz w:val="22"/>
          <w:szCs w:val="22"/>
        </w:rPr>
      </w:pPr>
    </w:p>
    <w:p w14:paraId="598B04B8" w14:textId="77777777" w:rsidR="005E702F" w:rsidRPr="00414A6D" w:rsidRDefault="005E702F" w:rsidP="00D147A4">
      <w:pPr>
        <w:autoSpaceDE w:val="0"/>
        <w:autoSpaceDN w:val="0"/>
        <w:adjustRightInd w:val="0"/>
        <w:jc w:val="both"/>
        <w:rPr>
          <w:rFonts w:ascii="Arial" w:hAnsi="Arial" w:cs="Arial"/>
          <w:sz w:val="22"/>
          <w:szCs w:val="22"/>
        </w:rPr>
      </w:pPr>
      <w:r w:rsidRPr="00414A6D">
        <w:rPr>
          <w:rFonts w:ascii="Arial" w:hAnsi="Arial" w:cs="Arial"/>
          <w:sz w:val="22"/>
          <w:szCs w:val="22"/>
        </w:rPr>
        <w:t>The fragility hip fracture BPT rewards care meeting the following specified elements:</w:t>
      </w:r>
    </w:p>
    <w:p w14:paraId="4540E824" w14:textId="77777777" w:rsidR="005E702F" w:rsidRPr="00414A6D" w:rsidRDefault="005E702F" w:rsidP="00D147A4">
      <w:pPr>
        <w:autoSpaceDE w:val="0"/>
        <w:autoSpaceDN w:val="0"/>
        <w:adjustRightInd w:val="0"/>
        <w:jc w:val="both"/>
        <w:rPr>
          <w:rFonts w:ascii="Arial" w:hAnsi="Arial" w:cs="Arial"/>
          <w:sz w:val="22"/>
          <w:szCs w:val="22"/>
        </w:rPr>
      </w:pPr>
    </w:p>
    <w:p w14:paraId="66167CBA" w14:textId="1CF3813E" w:rsidR="005E702F" w:rsidRPr="00414A6D" w:rsidRDefault="005E702F" w:rsidP="00D147A4">
      <w:pPr>
        <w:autoSpaceDE w:val="0"/>
        <w:autoSpaceDN w:val="0"/>
        <w:adjustRightInd w:val="0"/>
        <w:jc w:val="both"/>
        <w:rPr>
          <w:rFonts w:ascii="Arial" w:hAnsi="Arial" w:cs="Arial"/>
          <w:b/>
          <w:sz w:val="20"/>
          <w:szCs w:val="20"/>
        </w:rPr>
      </w:pPr>
      <w:r w:rsidRPr="00414A6D">
        <w:rPr>
          <w:rFonts w:ascii="Arial" w:hAnsi="Arial" w:cs="Arial"/>
          <w:b/>
          <w:sz w:val="20"/>
          <w:szCs w:val="20"/>
        </w:rPr>
        <w:t xml:space="preserve">Table </w:t>
      </w:r>
      <w:r w:rsidR="00AD2C52" w:rsidRPr="00414A6D">
        <w:rPr>
          <w:rFonts w:ascii="Arial" w:hAnsi="Arial" w:cs="Arial"/>
          <w:b/>
          <w:sz w:val="20"/>
          <w:szCs w:val="20"/>
        </w:rPr>
        <w:t>1</w:t>
      </w:r>
      <w:r w:rsidRPr="00414A6D">
        <w:rPr>
          <w:rFonts w:ascii="Arial" w:hAnsi="Arial" w:cs="Arial"/>
          <w:b/>
          <w:sz w:val="20"/>
          <w:szCs w:val="20"/>
        </w:rPr>
        <w:t>.The eight NHS Fragility Hip Fracture clinical care elements</w:t>
      </w:r>
    </w:p>
    <w:tbl>
      <w:tblPr>
        <w:tblStyle w:val="TableGrid"/>
        <w:tblW w:w="0" w:type="auto"/>
        <w:jc w:val="center"/>
        <w:tblLook w:val="04A0" w:firstRow="1" w:lastRow="0" w:firstColumn="1" w:lastColumn="0" w:noHBand="0" w:noVBand="1"/>
      </w:tblPr>
      <w:tblGrid>
        <w:gridCol w:w="353"/>
        <w:gridCol w:w="6018"/>
      </w:tblGrid>
      <w:tr w:rsidR="005E702F" w:rsidRPr="00414A6D" w14:paraId="652BDA9D" w14:textId="77777777" w:rsidTr="00BC3A39">
        <w:trPr>
          <w:jc w:val="center"/>
        </w:trPr>
        <w:tc>
          <w:tcPr>
            <w:tcW w:w="353" w:type="dxa"/>
          </w:tcPr>
          <w:p w14:paraId="07BBC8A3"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1</w:t>
            </w:r>
          </w:p>
        </w:tc>
        <w:tc>
          <w:tcPr>
            <w:tcW w:w="6018" w:type="dxa"/>
          </w:tcPr>
          <w:p w14:paraId="4A0CB941"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Surgery within 36 hours of admission</w:t>
            </w:r>
          </w:p>
        </w:tc>
      </w:tr>
      <w:tr w:rsidR="005E702F" w:rsidRPr="00414A6D" w14:paraId="6AB61030" w14:textId="77777777" w:rsidTr="00BC3A39">
        <w:trPr>
          <w:jc w:val="center"/>
        </w:trPr>
        <w:tc>
          <w:tcPr>
            <w:tcW w:w="353" w:type="dxa"/>
          </w:tcPr>
          <w:p w14:paraId="5E6E975E"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2</w:t>
            </w:r>
          </w:p>
        </w:tc>
        <w:tc>
          <w:tcPr>
            <w:tcW w:w="6018" w:type="dxa"/>
          </w:tcPr>
          <w:p w14:paraId="53B1E549"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Shared care by surgeon and geriatrician</w:t>
            </w:r>
          </w:p>
        </w:tc>
      </w:tr>
      <w:tr w:rsidR="005E702F" w:rsidRPr="00414A6D" w14:paraId="29CE1CC5" w14:textId="77777777" w:rsidTr="00BC3A39">
        <w:trPr>
          <w:jc w:val="center"/>
        </w:trPr>
        <w:tc>
          <w:tcPr>
            <w:tcW w:w="353" w:type="dxa"/>
          </w:tcPr>
          <w:p w14:paraId="6597E624"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3</w:t>
            </w:r>
          </w:p>
        </w:tc>
        <w:tc>
          <w:tcPr>
            <w:tcW w:w="6018" w:type="dxa"/>
          </w:tcPr>
          <w:p w14:paraId="0F64D1B7"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Admission using a care protocol agreed by geriatrician, surgeon and anaesthetist</w:t>
            </w:r>
          </w:p>
        </w:tc>
      </w:tr>
      <w:tr w:rsidR="005E702F" w:rsidRPr="00414A6D" w14:paraId="0327FF2C" w14:textId="77777777" w:rsidTr="00BC3A39">
        <w:trPr>
          <w:jc w:val="center"/>
        </w:trPr>
        <w:tc>
          <w:tcPr>
            <w:tcW w:w="353" w:type="dxa"/>
          </w:tcPr>
          <w:p w14:paraId="63326963"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4</w:t>
            </w:r>
          </w:p>
        </w:tc>
        <w:tc>
          <w:tcPr>
            <w:tcW w:w="6018" w:type="dxa"/>
          </w:tcPr>
          <w:p w14:paraId="2001E12B"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Assessment by geriatrician within 72 hours of admission</w:t>
            </w:r>
          </w:p>
        </w:tc>
      </w:tr>
      <w:tr w:rsidR="005E702F" w:rsidRPr="00414A6D" w14:paraId="14DCD3C5" w14:textId="77777777" w:rsidTr="00BC3A39">
        <w:trPr>
          <w:jc w:val="center"/>
        </w:trPr>
        <w:tc>
          <w:tcPr>
            <w:tcW w:w="353" w:type="dxa"/>
          </w:tcPr>
          <w:p w14:paraId="3074F894"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5</w:t>
            </w:r>
          </w:p>
        </w:tc>
        <w:tc>
          <w:tcPr>
            <w:tcW w:w="6018" w:type="dxa"/>
          </w:tcPr>
          <w:p w14:paraId="12710516"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Pre- and postoperative abbreviated mental test score (AMTS) assessment</w:t>
            </w:r>
          </w:p>
        </w:tc>
      </w:tr>
      <w:tr w:rsidR="005E702F" w:rsidRPr="00414A6D" w14:paraId="4560D6F1" w14:textId="77777777" w:rsidTr="00BC3A39">
        <w:trPr>
          <w:jc w:val="center"/>
        </w:trPr>
        <w:tc>
          <w:tcPr>
            <w:tcW w:w="353" w:type="dxa"/>
          </w:tcPr>
          <w:p w14:paraId="76B4D792"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6</w:t>
            </w:r>
          </w:p>
        </w:tc>
        <w:tc>
          <w:tcPr>
            <w:tcW w:w="6018" w:type="dxa"/>
          </w:tcPr>
          <w:p w14:paraId="12BF0649"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Geriatrician-led multidisciplinary rehabilitation</w:t>
            </w:r>
          </w:p>
        </w:tc>
      </w:tr>
      <w:tr w:rsidR="005E702F" w:rsidRPr="00414A6D" w14:paraId="37FA3AF7" w14:textId="77777777" w:rsidTr="00BC3A39">
        <w:trPr>
          <w:jc w:val="center"/>
        </w:trPr>
        <w:tc>
          <w:tcPr>
            <w:tcW w:w="353" w:type="dxa"/>
          </w:tcPr>
          <w:p w14:paraId="2F22ACC6"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7</w:t>
            </w:r>
          </w:p>
        </w:tc>
        <w:tc>
          <w:tcPr>
            <w:tcW w:w="6018" w:type="dxa"/>
          </w:tcPr>
          <w:p w14:paraId="604AFDDF"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Secondary prevention of falls</w:t>
            </w:r>
          </w:p>
        </w:tc>
      </w:tr>
      <w:tr w:rsidR="005E702F" w:rsidRPr="00414A6D" w14:paraId="25BB4458" w14:textId="77777777" w:rsidTr="00BC3A39">
        <w:trPr>
          <w:jc w:val="center"/>
        </w:trPr>
        <w:tc>
          <w:tcPr>
            <w:tcW w:w="353" w:type="dxa"/>
          </w:tcPr>
          <w:p w14:paraId="15B4DF3D" w14:textId="77777777" w:rsidR="005E702F" w:rsidRPr="00414A6D" w:rsidRDefault="005E702F" w:rsidP="00D147A4">
            <w:pPr>
              <w:autoSpaceDE w:val="0"/>
              <w:autoSpaceDN w:val="0"/>
              <w:adjustRightInd w:val="0"/>
              <w:spacing w:line="276" w:lineRule="auto"/>
              <w:jc w:val="both"/>
              <w:rPr>
                <w:rFonts w:ascii="Arial" w:hAnsi="Arial" w:cs="Arial"/>
                <w:b/>
                <w:sz w:val="16"/>
                <w:szCs w:val="16"/>
              </w:rPr>
            </w:pPr>
            <w:r w:rsidRPr="00414A6D">
              <w:rPr>
                <w:rFonts w:ascii="Arial" w:hAnsi="Arial" w:cs="Arial"/>
                <w:b/>
                <w:sz w:val="16"/>
                <w:szCs w:val="16"/>
              </w:rPr>
              <w:t>8</w:t>
            </w:r>
          </w:p>
        </w:tc>
        <w:tc>
          <w:tcPr>
            <w:tcW w:w="6018" w:type="dxa"/>
          </w:tcPr>
          <w:p w14:paraId="56E4E1E7" w14:textId="77777777" w:rsidR="005E702F" w:rsidRPr="00414A6D" w:rsidRDefault="005E702F" w:rsidP="00D147A4">
            <w:pPr>
              <w:autoSpaceDE w:val="0"/>
              <w:autoSpaceDN w:val="0"/>
              <w:adjustRightInd w:val="0"/>
              <w:spacing w:line="276" w:lineRule="auto"/>
              <w:jc w:val="both"/>
              <w:rPr>
                <w:rFonts w:ascii="Arial" w:hAnsi="Arial" w:cs="Arial"/>
                <w:sz w:val="16"/>
                <w:szCs w:val="16"/>
              </w:rPr>
            </w:pPr>
            <w:r w:rsidRPr="00414A6D">
              <w:rPr>
                <w:rFonts w:ascii="Arial" w:hAnsi="Arial" w:cs="Arial"/>
                <w:sz w:val="16"/>
                <w:szCs w:val="16"/>
              </w:rPr>
              <w:t>Bone health assessment</w:t>
            </w:r>
          </w:p>
        </w:tc>
      </w:tr>
    </w:tbl>
    <w:p w14:paraId="1C39AD40" w14:textId="77777777" w:rsidR="005E702F" w:rsidRPr="00414A6D" w:rsidRDefault="005E702F" w:rsidP="00D147A4">
      <w:pPr>
        <w:jc w:val="both"/>
        <w:rPr>
          <w:rFonts w:ascii="Arial" w:hAnsi="Arial" w:cs="Arial"/>
          <w:b/>
          <w:sz w:val="22"/>
          <w:szCs w:val="22"/>
        </w:rPr>
      </w:pPr>
    </w:p>
    <w:p w14:paraId="6BB83C73" w14:textId="77777777" w:rsidR="005E702F" w:rsidRPr="00414A6D" w:rsidRDefault="005E702F" w:rsidP="00D147A4">
      <w:pPr>
        <w:jc w:val="both"/>
        <w:rPr>
          <w:rFonts w:ascii="Arial" w:hAnsi="Arial" w:cs="Arial"/>
          <w:b/>
          <w:sz w:val="22"/>
          <w:szCs w:val="22"/>
        </w:rPr>
      </w:pPr>
      <w:r w:rsidRPr="00414A6D">
        <w:rPr>
          <w:rFonts w:ascii="Arial" w:hAnsi="Arial" w:cs="Arial"/>
          <w:b/>
          <w:sz w:val="22"/>
          <w:szCs w:val="22"/>
        </w:rPr>
        <w:t>Data collection</w:t>
      </w:r>
    </w:p>
    <w:p w14:paraId="15F3FD91"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The data are collected in an online clinical registry at </w:t>
      </w:r>
      <w:hyperlink r:id="rId20" w:history="1">
        <w:r w:rsidRPr="00414A6D">
          <w:rPr>
            <w:rStyle w:val="Hyperlink"/>
            <w:rFonts w:ascii="Arial" w:hAnsi="Arial" w:cs="Arial"/>
            <w:sz w:val="22"/>
            <w:szCs w:val="22"/>
          </w:rPr>
          <w:t>www.nhfd.co.uk</w:t>
        </w:r>
      </w:hyperlink>
      <w:r w:rsidRPr="00414A6D">
        <w:rPr>
          <w:rFonts w:ascii="Arial" w:hAnsi="Arial" w:cs="Arial"/>
          <w:sz w:val="22"/>
          <w:szCs w:val="22"/>
        </w:rPr>
        <w:t xml:space="preserve">. Data are entered by hospital staff with new admissions for hip fracture and collected at 30 days, 120 days and 1 year post discharge. The BPT data items are mandatory fields. Data can be exported at any time into excel to be used by hospitals for local reporting and improvements. An annual report is also commissioned by the Healthcare Quality Improvement Partnership and managed by the Royal College of Physicians. </w:t>
      </w:r>
    </w:p>
    <w:p w14:paraId="4C536BD5" w14:textId="77777777" w:rsidR="005E702F" w:rsidRPr="00414A6D" w:rsidRDefault="005E702F" w:rsidP="00D147A4">
      <w:pPr>
        <w:jc w:val="both"/>
        <w:rPr>
          <w:rFonts w:ascii="Arial" w:hAnsi="Arial" w:cs="Arial"/>
          <w:sz w:val="22"/>
          <w:szCs w:val="22"/>
        </w:rPr>
      </w:pPr>
    </w:p>
    <w:p w14:paraId="375CA126"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For hip fracture care, the BPT is disbursed only if </w:t>
      </w:r>
      <w:r w:rsidRPr="00414A6D">
        <w:rPr>
          <w:rFonts w:ascii="Arial" w:hAnsi="Arial" w:cs="Arial"/>
          <w:sz w:val="22"/>
          <w:szCs w:val="22"/>
          <w:u w:val="single"/>
        </w:rPr>
        <w:t>all elements</w:t>
      </w:r>
      <w:r w:rsidRPr="00414A6D">
        <w:rPr>
          <w:rFonts w:ascii="Arial" w:hAnsi="Arial" w:cs="Arial"/>
          <w:sz w:val="22"/>
          <w:szCs w:val="22"/>
        </w:rPr>
        <w:t xml:space="preserve"> of care are completed </w:t>
      </w:r>
      <w:r w:rsidRPr="00414A6D">
        <w:rPr>
          <w:rFonts w:ascii="Arial" w:hAnsi="Arial" w:cs="Arial"/>
          <w:sz w:val="22"/>
          <w:szCs w:val="22"/>
          <w:u w:val="single"/>
        </w:rPr>
        <w:t>and</w:t>
      </w:r>
      <w:r w:rsidRPr="00414A6D">
        <w:rPr>
          <w:rFonts w:ascii="Arial" w:hAnsi="Arial" w:cs="Arial"/>
          <w:sz w:val="22"/>
          <w:szCs w:val="22"/>
        </w:rPr>
        <w:t xml:space="preserve"> submitted to the registry. In effect, the scheme also contains a ‘pay for data’ component.</w:t>
      </w:r>
    </w:p>
    <w:p w14:paraId="779EEF51" w14:textId="77777777" w:rsidR="005E702F" w:rsidRPr="00414A6D" w:rsidRDefault="005E702F" w:rsidP="00D147A4">
      <w:pPr>
        <w:jc w:val="both"/>
        <w:rPr>
          <w:rFonts w:ascii="Arial" w:hAnsi="Arial" w:cs="Arial"/>
          <w:sz w:val="22"/>
          <w:szCs w:val="22"/>
        </w:rPr>
      </w:pPr>
    </w:p>
    <w:p w14:paraId="274FDF54" w14:textId="77777777" w:rsidR="00F6419E" w:rsidRPr="00414A6D" w:rsidRDefault="00F6419E" w:rsidP="00D147A4">
      <w:pPr>
        <w:jc w:val="both"/>
        <w:rPr>
          <w:rFonts w:ascii="Arial" w:hAnsi="Arial" w:cs="Arial"/>
          <w:sz w:val="22"/>
          <w:szCs w:val="22"/>
        </w:rPr>
      </w:pPr>
    </w:p>
    <w:p w14:paraId="3E375862" w14:textId="77777777" w:rsidR="005E702F" w:rsidRPr="00414A6D" w:rsidRDefault="005E702F" w:rsidP="00D147A4">
      <w:pPr>
        <w:jc w:val="both"/>
        <w:rPr>
          <w:rFonts w:ascii="Arial" w:hAnsi="Arial" w:cs="Arial"/>
          <w:b/>
          <w:sz w:val="22"/>
          <w:szCs w:val="22"/>
        </w:rPr>
      </w:pPr>
      <w:r w:rsidRPr="00414A6D">
        <w:rPr>
          <w:rFonts w:ascii="Arial" w:hAnsi="Arial" w:cs="Arial"/>
          <w:b/>
          <w:sz w:val="22"/>
          <w:szCs w:val="22"/>
        </w:rPr>
        <w:t xml:space="preserve">Incentive mechanism </w:t>
      </w:r>
    </w:p>
    <w:p w14:paraId="6C466A49"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The incentive mechanism has been a progressive reduction in the base tariff, and the concomitant introduction of an additional payment for meeting </w:t>
      </w:r>
      <w:r w:rsidR="00346B84" w:rsidRPr="00414A6D">
        <w:rPr>
          <w:rFonts w:ascii="Arial" w:hAnsi="Arial" w:cs="Arial"/>
          <w:sz w:val="22"/>
          <w:szCs w:val="22"/>
        </w:rPr>
        <w:t>best-practice</w:t>
      </w:r>
      <w:r w:rsidRPr="00414A6D">
        <w:rPr>
          <w:rFonts w:ascii="Arial" w:hAnsi="Arial" w:cs="Arial"/>
          <w:sz w:val="22"/>
          <w:szCs w:val="22"/>
        </w:rPr>
        <w:t xml:space="preserve"> elements. This is illustrated in Figure 1. </w:t>
      </w:r>
    </w:p>
    <w:p w14:paraId="646865AF" w14:textId="77777777" w:rsidR="005E702F" w:rsidRPr="00414A6D" w:rsidRDefault="005E702F" w:rsidP="00D147A4">
      <w:pPr>
        <w:jc w:val="both"/>
        <w:rPr>
          <w:rFonts w:ascii="Arial" w:hAnsi="Arial" w:cs="Arial"/>
          <w:sz w:val="22"/>
          <w:szCs w:val="22"/>
        </w:rPr>
      </w:pPr>
    </w:p>
    <w:p w14:paraId="1411CB76" w14:textId="77777777" w:rsidR="005E702F" w:rsidRPr="00414A6D" w:rsidRDefault="005E702F" w:rsidP="00D147A4">
      <w:pPr>
        <w:jc w:val="both"/>
        <w:rPr>
          <w:rFonts w:ascii="Arial" w:hAnsi="Arial" w:cs="Arial"/>
          <w:sz w:val="22"/>
          <w:szCs w:val="22"/>
        </w:rPr>
      </w:pPr>
      <w:r w:rsidRPr="00414A6D">
        <w:rPr>
          <w:rFonts w:ascii="Arial" w:hAnsi="Arial" w:cs="Arial"/>
          <w:b/>
          <w:noProof/>
          <w:sz w:val="22"/>
          <w:szCs w:val="22"/>
        </w:rPr>
        <w:drawing>
          <wp:inline distT="0" distB="0" distL="0" distR="0" wp14:anchorId="660120F2" wp14:editId="5459D6B4">
            <wp:extent cx="4433777" cy="2359949"/>
            <wp:effectExtent l="19050" t="19050" r="2413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15836" b="13196"/>
                    <a:stretch/>
                  </pic:blipFill>
                  <pic:spPr bwMode="auto">
                    <a:xfrm>
                      <a:off x="0" y="0"/>
                      <a:ext cx="4434378" cy="2360269"/>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9B71C07" w14:textId="77777777" w:rsidR="005E702F" w:rsidRPr="00414A6D" w:rsidRDefault="005E702F" w:rsidP="00D147A4">
      <w:pPr>
        <w:autoSpaceDE w:val="0"/>
        <w:autoSpaceDN w:val="0"/>
        <w:adjustRightInd w:val="0"/>
        <w:jc w:val="both"/>
        <w:rPr>
          <w:rFonts w:ascii="Arial" w:hAnsi="Arial" w:cs="Arial"/>
          <w:b/>
          <w:sz w:val="22"/>
          <w:szCs w:val="22"/>
        </w:rPr>
      </w:pPr>
      <w:proofErr w:type="gramStart"/>
      <w:r w:rsidRPr="00414A6D">
        <w:rPr>
          <w:rFonts w:ascii="Arial" w:hAnsi="Arial" w:cs="Arial"/>
          <w:b/>
          <w:sz w:val="22"/>
          <w:szCs w:val="22"/>
        </w:rPr>
        <w:t>Figure 1.</w:t>
      </w:r>
      <w:proofErr w:type="gramEnd"/>
      <w:r w:rsidRPr="00414A6D">
        <w:rPr>
          <w:rFonts w:ascii="Arial" w:hAnsi="Arial" w:cs="Arial"/>
          <w:b/>
          <w:sz w:val="22"/>
          <w:szCs w:val="22"/>
        </w:rPr>
        <w:t xml:space="preserve"> NHS BPT structure and implementation</w:t>
      </w:r>
      <w:hyperlink w:anchor="_ENREF_11" w:tooltip="National Health Service, 2013 #80" w:history="1">
        <w:r w:rsidR="00402FBB" w:rsidRPr="00414A6D">
          <w:rPr>
            <w:rFonts w:ascii="Arial" w:hAnsi="Arial" w:cs="Arial"/>
            <w:b/>
            <w:sz w:val="22"/>
            <w:szCs w:val="22"/>
          </w:rPr>
          <w:fldChar w:fldCharType="begin"/>
        </w:r>
        <w:r w:rsidR="00402FBB" w:rsidRPr="00414A6D">
          <w:rPr>
            <w:rFonts w:ascii="Arial" w:hAnsi="Arial" w:cs="Arial"/>
            <w:b/>
            <w:sz w:val="22"/>
            <w:szCs w:val="22"/>
          </w:rPr>
          <w:instrText xml:space="preserve"> ADDIN EN.CITE &lt;EndNote&gt;&lt;Cite&gt;&lt;Author&gt;Service&lt;/Author&gt;&lt;Year&gt;2013&lt;/Year&gt;&lt;RecNum&gt;80&lt;/RecNum&gt;&lt;DisplayText&gt;&lt;style face="superscript"&gt;11&lt;/style&gt;&lt;/DisplayText&gt;&lt;record&gt;&lt;rec-number&gt;80&lt;/rec-number&gt;&lt;foreign-keys&gt;&lt;key app="EN" db-id="pxsz0w0wuvwzapeptavv0erkef22f2rwz0w0"&gt;80&lt;/key&gt;&lt;/foreign-keys&gt;&lt;ref-type name="Electronic Article"&gt;43&lt;/ref-type&gt;&lt;contributors&gt;&lt;authors&gt;&lt;author&gt;National Health Service,&lt;/author&gt;&lt;/authors&gt;&lt;/contributors&gt;&lt;titles&gt;&lt;title&gt;Payment by Results Guidance for 2013-14&lt;/title&gt;&lt;/titles&gt;&lt;dates&gt;&lt;year&gt;2013&lt;/year&gt;&lt;/dates&gt;&lt;pub-location&gt;United Kingdom&lt;/pub-location&gt;&lt;publisher&gt;Department of Health&lt;/publisher&gt;&lt;urls&gt;&lt;related-urls&gt;&lt;url&gt;https://www.gov.uk/government/uploads/system/uploads/attachment_data/file/214902/PbR-Guidance-2013-14.pdf&lt;/url&gt;&lt;/related-urls&gt;&lt;/urls&gt;&lt;/record&gt;&lt;/Cite&gt;&lt;/EndNote&gt;</w:instrText>
        </w:r>
        <w:r w:rsidR="00402FBB" w:rsidRPr="00414A6D">
          <w:rPr>
            <w:rFonts w:ascii="Arial" w:hAnsi="Arial" w:cs="Arial"/>
            <w:b/>
            <w:sz w:val="22"/>
            <w:szCs w:val="22"/>
          </w:rPr>
          <w:fldChar w:fldCharType="separate"/>
        </w:r>
        <w:r w:rsidR="00402FBB" w:rsidRPr="00414A6D">
          <w:rPr>
            <w:rFonts w:ascii="Arial" w:hAnsi="Arial" w:cs="Arial"/>
            <w:b/>
            <w:noProof/>
            <w:sz w:val="22"/>
            <w:szCs w:val="22"/>
            <w:vertAlign w:val="superscript"/>
          </w:rPr>
          <w:t>11</w:t>
        </w:r>
        <w:r w:rsidR="00402FBB" w:rsidRPr="00414A6D">
          <w:rPr>
            <w:rFonts w:ascii="Arial" w:hAnsi="Arial" w:cs="Arial"/>
            <w:b/>
            <w:sz w:val="22"/>
            <w:szCs w:val="22"/>
          </w:rPr>
          <w:fldChar w:fldCharType="end"/>
        </w:r>
      </w:hyperlink>
      <w:r w:rsidRPr="00414A6D">
        <w:rPr>
          <w:rFonts w:ascii="Arial" w:hAnsi="Arial" w:cs="Arial"/>
          <w:b/>
          <w:sz w:val="22"/>
          <w:szCs w:val="22"/>
        </w:rPr>
        <w:t>.</w:t>
      </w:r>
    </w:p>
    <w:p w14:paraId="50BAE7D2" w14:textId="77777777" w:rsidR="005E702F" w:rsidRPr="00414A6D" w:rsidRDefault="005E702F" w:rsidP="00D147A4">
      <w:pPr>
        <w:jc w:val="both"/>
        <w:rPr>
          <w:rFonts w:ascii="Arial" w:hAnsi="Arial" w:cs="Arial"/>
          <w:sz w:val="22"/>
          <w:szCs w:val="22"/>
        </w:rPr>
      </w:pPr>
    </w:p>
    <w:p w14:paraId="2D5C54BB" w14:textId="77777777" w:rsidR="005E702F" w:rsidRPr="00414A6D" w:rsidRDefault="005E702F" w:rsidP="00D147A4">
      <w:pPr>
        <w:jc w:val="both"/>
        <w:rPr>
          <w:rFonts w:ascii="Arial" w:hAnsi="Arial" w:cs="Arial"/>
          <w:color w:val="000000"/>
          <w:sz w:val="22"/>
          <w:szCs w:val="22"/>
        </w:rPr>
      </w:pPr>
      <w:r w:rsidRPr="00414A6D">
        <w:rPr>
          <w:rFonts w:ascii="Arial" w:hAnsi="Arial" w:cs="Arial"/>
          <w:sz w:val="22"/>
          <w:szCs w:val="22"/>
        </w:rPr>
        <w:t>The differential between the base tariff and additional payment has increased since  2010-11,</w:t>
      </w:r>
      <w:hyperlink w:anchor="_ENREF_12" w:tooltip="Marshall L, 2014 #67"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&lt;EndNote&gt;&lt;Cite&gt;&lt;Author&gt;Marshall L&lt;/Author&gt;&lt;Year&gt;2014&lt;/Year&gt;&lt;RecNum&gt;67&lt;/RecNum&gt;&lt;DisplayText&gt;&lt;style face="superscript"&gt;12&lt;/style&gt;&lt;/DisplayText&gt;&lt;record&gt;&lt;rec-number&gt;67&lt;/rec-number&gt;&lt;foreign-keys&gt;&lt;key app="EN" db-id="pxsz0w0wuvwzapeptavv0erkef22f2rwz0w0"&gt;67&lt;/key&gt;&lt;/foreign-keys&gt;&lt;ref-type name="Report"&gt;27&lt;/ref-type&gt;&lt;contributors&gt;&lt;authors&gt;&lt;author&gt;Marshall L, &lt;/author&gt;&lt;author&gt;Charlesworth A, &lt;/author&gt;&lt;author&gt;Hurst J,&lt;/author&gt;&lt;/authors&gt;&lt;secondary-authors&gt;&lt;author&gt;Nuffield Trust,&lt;/author&gt;&lt;/secondary-authors&gt;&lt;/contributors&gt;&lt;titles&gt;&lt;title&gt;The NHS payment system: evolving policy and emerging evidence&lt;/title&gt;&lt;/titles&gt;&lt;dates&gt;&lt;year&gt;2014&lt;/year&gt;&lt;/dates&gt;&lt;urls&gt;&lt;/urls&gt;&lt;/record&gt;&lt;/Cite&gt;&lt;/EndNote&gt;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12</w:t>
        </w:r>
        <w:r w:rsidR="00402FBB" w:rsidRPr="00414A6D">
          <w:rPr>
            <w:rFonts w:ascii="Arial" w:hAnsi="Arial" w:cs="Arial"/>
            <w:sz w:val="22"/>
            <w:szCs w:val="22"/>
          </w:rPr>
          <w:fldChar w:fldCharType="end"/>
        </w:r>
      </w:hyperlink>
      <w:r w:rsidRPr="00414A6D">
        <w:rPr>
          <w:rFonts w:ascii="Arial" w:hAnsi="Arial" w:cs="Arial"/>
          <w:sz w:val="22"/>
          <w:szCs w:val="22"/>
        </w:rPr>
        <w:t xml:space="preserve"> and is now at £1,335. This </w:t>
      </w:r>
      <w:r w:rsidRPr="00414A6D">
        <w:rPr>
          <w:rFonts w:ascii="Arial" w:hAnsi="Arial" w:cs="Arial"/>
          <w:color w:val="000000"/>
          <w:sz w:val="22"/>
          <w:szCs w:val="22"/>
        </w:rPr>
        <w:t>has been principally achieved by lowering the base tariff and increasing the additional payments</w:t>
      </w:r>
      <w:r w:rsidRPr="00414A6D">
        <w:rPr>
          <w:rFonts w:ascii="Arial" w:hAnsi="Arial" w:cs="Arial"/>
          <w:sz w:val="22"/>
          <w:szCs w:val="22"/>
        </w:rPr>
        <w:t xml:space="preserve"> (Table 2)</w:t>
      </w:r>
      <w:r w:rsidRPr="00414A6D">
        <w:rPr>
          <w:rFonts w:ascii="Arial" w:hAnsi="Arial" w:cs="Arial"/>
          <w:color w:val="000000"/>
          <w:sz w:val="22"/>
          <w:szCs w:val="22"/>
        </w:rPr>
        <w:t>. The overall payment for hip fracture has been reduced slightly between 2013-14 and 2014-15, in tandem with a reduction of episode-based tariffs across acute services in the NHS as part of a strategy to deliver efficiency dividends.</w:t>
      </w:r>
    </w:p>
    <w:p w14:paraId="4A2B63EC" w14:textId="77777777" w:rsidR="005E702F" w:rsidRPr="00414A6D" w:rsidRDefault="005E702F" w:rsidP="00D147A4">
      <w:pPr>
        <w:jc w:val="both"/>
        <w:rPr>
          <w:rFonts w:ascii="Arial" w:hAnsi="Arial" w:cs="Arial"/>
          <w:color w:val="000000"/>
          <w:sz w:val="22"/>
          <w:szCs w:val="22"/>
        </w:rPr>
      </w:pPr>
    </w:p>
    <w:p w14:paraId="7DA53457" w14:textId="77777777" w:rsidR="005E702F" w:rsidRPr="00414A6D" w:rsidRDefault="005E702F" w:rsidP="00D147A4">
      <w:pPr>
        <w:jc w:val="both"/>
        <w:rPr>
          <w:rFonts w:ascii="Arial" w:hAnsi="Arial" w:cs="Arial"/>
          <w:b/>
          <w:iCs/>
          <w:color w:val="000000"/>
          <w:sz w:val="22"/>
          <w:szCs w:val="22"/>
        </w:rPr>
      </w:pPr>
      <w:proofErr w:type="gramStart"/>
      <w:r w:rsidRPr="00414A6D">
        <w:rPr>
          <w:rFonts w:ascii="Arial" w:hAnsi="Arial" w:cs="Arial"/>
          <w:b/>
          <w:iCs/>
          <w:color w:val="000000"/>
          <w:sz w:val="22"/>
          <w:szCs w:val="22"/>
        </w:rPr>
        <w:t>Table 2.</w:t>
      </w:r>
      <w:proofErr w:type="gramEnd"/>
      <w:r w:rsidRPr="00414A6D">
        <w:rPr>
          <w:rFonts w:ascii="Arial" w:hAnsi="Arial" w:cs="Arial"/>
          <w:b/>
          <w:iCs/>
          <w:color w:val="000000"/>
          <w:sz w:val="22"/>
          <w:szCs w:val="22"/>
        </w:rPr>
        <w:t xml:space="preserve">  </w:t>
      </w:r>
      <w:proofErr w:type="gramStart"/>
      <w:r w:rsidRPr="00414A6D">
        <w:rPr>
          <w:rFonts w:ascii="Arial" w:hAnsi="Arial" w:cs="Arial"/>
          <w:b/>
          <w:iCs/>
          <w:color w:val="000000"/>
          <w:sz w:val="22"/>
          <w:szCs w:val="22"/>
        </w:rPr>
        <w:t xml:space="preserve">NHS Fragility hip fracture differential between base and </w:t>
      </w:r>
      <w:r w:rsidR="00346B84" w:rsidRPr="00414A6D">
        <w:rPr>
          <w:rFonts w:ascii="Arial" w:hAnsi="Arial" w:cs="Arial"/>
          <w:b/>
          <w:iCs/>
          <w:color w:val="000000"/>
          <w:sz w:val="22"/>
          <w:szCs w:val="22"/>
        </w:rPr>
        <w:t>best-practice</w:t>
      </w:r>
      <w:r w:rsidRPr="00414A6D">
        <w:rPr>
          <w:rFonts w:ascii="Arial" w:hAnsi="Arial" w:cs="Arial"/>
          <w:b/>
          <w:iCs/>
          <w:color w:val="000000"/>
          <w:sz w:val="22"/>
          <w:szCs w:val="22"/>
        </w:rPr>
        <w:t xml:space="preserve"> tariff</w:t>
      </w:r>
      <w:r w:rsidR="00BC3A39" w:rsidRPr="00414A6D">
        <w:rPr>
          <w:rFonts w:ascii="Arial" w:hAnsi="Arial" w:cs="Arial"/>
          <w:b/>
          <w:iCs/>
          <w:color w:val="000000"/>
          <w:sz w:val="22"/>
          <w:szCs w:val="22"/>
        </w:rPr>
        <w:t>.</w:t>
      </w:r>
      <w:proofErr w:type="gramEnd"/>
    </w:p>
    <w:tbl>
      <w:tblPr>
        <w:tblW w:w="0" w:type="auto"/>
        <w:jc w:val="center"/>
        <w:tblLayout w:type="fixed"/>
        <w:tblLook w:val="00A0" w:firstRow="1" w:lastRow="0" w:firstColumn="1" w:lastColumn="0" w:noHBand="0" w:noVBand="0"/>
      </w:tblPr>
      <w:tblGrid>
        <w:gridCol w:w="2905"/>
        <w:gridCol w:w="2690"/>
      </w:tblGrid>
      <w:tr w:rsidR="005E702F" w:rsidRPr="00414A6D" w14:paraId="1BE9FBF5" w14:textId="77777777" w:rsidTr="00C12446">
        <w:trPr>
          <w:trHeight w:val="148"/>
          <w:jc w:val="center"/>
        </w:trPr>
        <w:tc>
          <w:tcPr>
            <w:tcW w:w="2905" w:type="dxa"/>
            <w:tcBorders>
              <w:top w:val="single" w:sz="6" w:space="0" w:color="000000"/>
              <w:left w:val="single" w:sz="6" w:space="0" w:color="000000"/>
              <w:bottom w:val="single" w:sz="6" w:space="0" w:color="000000"/>
              <w:right w:val="single" w:sz="6" w:space="0" w:color="000000"/>
            </w:tcBorders>
            <w:vAlign w:val="center"/>
          </w:tcPr>
          <w:p w14:paraId="45D5E51E" w14:textId="77777777" w:rsidR="005E702F" w:rsidRPr="00414A6D" w:rsidRDefault="005E702F" w:rsidP="00D147A4">
            <w:pPr>
              <w:autoSpaceDE w:val="0"/>
              <w:autoSpaceDN w:val="0"/>
              <w:adjustRightInd w:val="0"/>
              <w:jc w:val="both"/>
              <w:rPr>
                <w:rFonts w:ascii="Arial" w:hAnsi="Arial" w:cs="Arial"/>
                <w:b/>
                <w:bCs/>
                <w:color w:val="000000"/>
                <w:sz w:val="22"/>
                <w:szCs w:val="22"/>
              </w:rPr>
            </w:pPr>
            <w:r w:rsidRPr="00414A6D">
              <w:rPr>
                <w:rFonts w:ascii="Arial" w:hAnsi="Arial" w:cs="Arial"/>
                <w:b/>
                <w:bCs/>
                <w:color w:val="000000"/>
                <w:sz w:val="22"/>
                <w:szCs w:val="22"/>
              </w:rPr>
              <w:t xml:space="preserve">Financial year </w:t>
            </w:r>
          </w:p>
        </w:tc>
        <w:tc>
          <w:tcPr>
            <w:tcW w:w="2690" w:type="dxa"/>
            <w:tcBorders>
              <w:top w:val="single" w:sz="6" w:space="0" w:color="000000"/>
              <w:left w:val="single" w:sz="6" w:space="0" w:color="000000"/>
              <w:bottom w:val="single" w:sz="6" w:space="0" w:color="000000"/>
              <w:right w:val="single" w:sz="6" w:space="0" w:color="000000"/>
            </w:tcBorders>
            <w:vAlign w:val="center"/>
          </w:tcPr>
          <w:p w14:paraId="39C37EF3" w14:textId="77777777" w:rsidR="005E702F" w:rsidRPr="00414A6D" w:rsidRDefault="005E702F" w:rsidP="00D147A4">
            <w:pPr>
              <w:autoSpaceDE w:val="0"/>
              <w:autoSpaceDN w:val="0"/>
              <w:adjustRightInd w:val="0"/>
              <w:jc w:val="both"/>
              <w:rPr>
                <w:rFonts w:ascii="Arial" w:hAnsi="Arial" w:cs="Arial"/>
                <w:b/>
                <w:bCs/>
                <w:color w:val="000000"/>
                <w:sz w:val="22"/>
                <w:szCs w:val="22"/>
              </w:rPr>
            </w:pPr>
            <w:r w:rsidRPr="00414A6D">
              <w:rPr>
                <w:rFonts w:ascii="Arial" w:hAnsi="Arial" w:cs="Arial"/>
                <w:b/>
                <w:bCs/>
                <w:color w:val="000000"/>
                <w:sz w:val="22"/>
                <w:szCs w:val="22"/>
              </w:rPr>
              <w:t xml:space="preserve">Differential </w:t>
            </w:r>
          </w:p>
        </w:tc>
      </w:tr>
      <w:tr w:rsidR="005E702F" w:rsidRPr="00414A6D" w14:paraId="0909A7DE" w14:textId="77777777" w:rsidTr="00C12446">
        <w:trPr>
          <w:trHeight w:val="148"/>
          <w:jc w:val="center"/>
        </w:trPr>
        <w:tc>
          <w:tcPr>
            <w:tcW w:w="2905" w:type="dxa"/>
            <w:tcBorders>
              <w:top w:val="single" w:sz="6" w:space="0" w:color="000000"/>
              <w:left w:val="single" w:sz="6" w:space="0" w:color="000000"/>
              <w:bottom w:val="single" w:sz="6" w:space="0" w:color="000000"/>
              <w:right w:val="single" w:sz="6" w:space="0" w:color="000000"/>
            </w:tcBorders>
            <w:vAlign w:val="center"/>
          </w:tcPr>
          <w:p w14:paraId="7A73AB02"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2010-11 </w:t>
            </w:r>
          </w:p>
        </w:tc>
        <w:tc>
          <w:tcPr>
            <w:tcW w:w="2690" w:type="dxa"/>
            <w:tcBorders>
              <w:top w:val="single" w:sz="6" w:space="0" w:color="000000"/>
              <w:left w:val="single" w:sz="6" w:space="0" w:color="000000"/>
              <w:bottom w:val="single" w:sz="6" w:space="0" w:color="000000"/>
              <w:right w:val="single" w:sz="6" w:space="0" w:color="000000"/>
            </w:tcBorders>
            <w:vAlign w:val="center"/>
          </w:tcPr>
          <w:p w14:paraId="42747718"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£445 </w:t>
            </w:r>
          </w:p>
        </w:tc>
      </w:tr>
      <w:tr w:rsidR="005E702F" w:rsidRPr="00414A6D" w14:paraId="592A87FB" w14:textId="77777777" w:rsidTr="00C12446">
        <w:trPr>
          <w:trHeight w:val="148"/>
          <w:jc w:val="center"/>
        </w:trPr>
        <w:tc>
          <w:tcPr>
            <w:tcW w:w="2905" w:type="dxa"/>
            <w:tcBorders>
              <w:top w:val="single" w:sz="6" w:space="0" w:color="000000"/>
              <w:left w:val="single" w:sz="6" w:space="0" w:color="000000"/>
              <w:bottom w:val="single" w:sz="6" w:space="0" w:color="000000"/>
              <w:right w:val="single" w:sz="6" w:space="0" w:color="000000"/>
            </w:tcBorders>
            <w:vAlign w:val="center"/>
          </w:tcPr>
          <w:p w14:paraId="5279A273"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2011-12 </w:t>
            </w:r>
          </w:p>
        </w:tc>
        <w:tc>
          <w:tcPr>
            <w:tcW w:w="2690" w:type="dxa"/>
            <w:tcBorders>
              <w:top w:val="single" w:sz="6" w:space="0" w:color="000000"/>
              <w:left w:val="single" w:sz="6" w:space="0" w:color="000000"/>
              <w:bottom w:val="single" w:sz="6" w:space="0" w:color="000000"/>
              <w:right w:val="single" w:sz="6" w:space="0" w:color="000000"/>
            </w:tcBorders>
            <w:vAlign w:val="center"/>
          </w:tcPr>
          <w:p w14:paraId="1F59F577"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£890 </w:t>
            </w:r>
          </w:p>
        </w:tc>
      </w:tr>
      <w:tr w:rsidR="005E702F" w:rsidRPr="00414A6D" w14:paraId="7FEB1F78" w14:textId="77777777" w:rsidTr="00C12446">
        <w:trPr>
          <w:trHeight w:val="148"/>
          <w:jc w:val="center"/>
        </w:trPr>
        <w:tc>
          <w:tcPr>
            <w:tcW w:w="2905" w:type="dxa"/>
            <w:tcBorders>
              <w:top w:val="single" w:sz="6" w:space="0" w:color="000000"/>
              <w:left w:val="single" w:sz="6" w:space="0" w:color="000000"/>
              <w:bottom w:val="single" w:sz="6" w:space="0" w:color="000000"/>
              <w:right w:val="single" w:sz="6" w:space="0" w:color="000000"/>
            </w:tcBorders>
            <w:vAlign w:val="center"/>
          </w:tcPr>
          <w:p w14:paraId="4FAF9966"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2012-13 </w:t>
            </w:r>
          </w:p>
        </w:tc>
        <w:tc>
          <w:tcPr>
            <w:tcW w:w="2690" w:type="dxa"/>
            <w:tcBorders>
              <w:top w:val="single" w:sz="6" w:space="0" w:color="000000"/>
              <w:left w:val="single" w:sz="6" w:space="0" w:color="000000"/>
              <w:bottom w:val="single" w:sz="6" w:space="0" w:color="000000"/>
              <w:right w:val="single" w:sz="6" w:space="0" w:color="000000"/>
            </w:tcBorders>
            <w:vAlign w:val="center"/>
          </w:tcPr>
          <w:p w14:paraId="1E9CC981"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£1,335 </w:t>
            </w:r>
          </w:p>
        </w:tc>
      </w:tr>
      <w:tr w:rsidR="005E702F" w:rsidRPr="00414A6D" w14:paraId="29094772" w14:textId="77777777" w:rsidTr="00C12446">
        <w:trPr>
          <w:trHeight w:val="148"/>
          <w:jc w:val="center"/>
        </w:trPr>
        <w:tc>
          <w:tcPr>
            <w:tcW w:w="2905" w:type="dxa"/>
            <w:tcBorders>
              <w:top w:val="single" w:sz="6" w:space="0" w:color="000000"/>
              <w:left w:val="single" w:sz="6" w:space="0" w:color="000000"/>
              <w:bottom w:val="single" w:sz="6" w:space="0" w:color="000000"/>
              <w:right w:val="single" w:sz="6" w:space="0" w:color="000000"/>
            </w:tcBorders>
            <w:vAlign w:val="center"/>
          </w:tcPr>
          <w:p w14:paraId="7A2334FA"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2013-14 </w:t>
            </w:r>
          </w:p>
        </w:tc>
        <w:tc>
          <w:tcPr>
            <w:tcW w:w="2690" w:type="dxa"/>
            <w:tcBorders>
              <w:top w:val="single" w:sz="6" w:space="0" w:color="000000"/>
              <w:left w:val="single" w:sz="6" w:space="0" w:color="000000"/>
              <w:bottom w:val="single" w:sz="6" w:space="0" w:color="000000"/>
              <w:right w:val="single" w:sz="6" w:space="0" w:color="000000"/>
            </w:tcBorders>
            <w:vAlign w:val="center"/>
          </w:tcPr>
          <w:p w14:paraId="33B45AB9"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£1,335 </w:t>
            </w:r>
          </w:p>
        </w:tc>
      </w:tr>
      <w:tr w:rsidR="005E702F" w:rsidRPr="00414A6D" w14:paraId="43BAFB53" w14:textId="77777777" w:rsidTr="00C12446">
        <w:trPr>
          <w:trHeight w:val="148"/>
          <w:jc w:val="center"/>
        </w:trPr>
        <w:tc>
          <w:tcPr>
            <w:tcW w:w="2905" w:type="dxa"/>
            <w:tcBorders>
              <w:top w:val="single" w:sz="6" w:space="0" w:color="000000"/>
              <w:left w:val="single" w:sz="6" w:space="0" w:color="000000"/>
              <w:bottom w:val="single" w:sz="6" w:space="0" w:color="000000"/>
              <w:right w:val="single" w:sz="6" w:space="0" w:color="000000"/>
            </w:tcBorders>
            <w:vAlign w:val="center"/>
          </w:tcPr>
          <w:p w14:paraId="6406AAE4"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2014-15</w:t>
            </w:r>
          </w:p>
        </w:tc>
        <w:tc>
          <w:tcPr>
            <w:tcW w:w="2690" w:type="dxa"/>
            <w:tcBorders>
              <w:top w:val="single" w:sz="6" w:space="0" w:color="000000"/>
              <w:left w:val="single" w:sz="6" w:space="0" w:color="000000"/>
              <w:bottom w:val="single" w:sz="6" w:space="0" w:color="000000"/>
              <w:right w:val="single" w:sz="6" w:space="0" w:color="000000"/>
            </w:tcBorders>
            <w:vAlign w:val="center"/>
          </w:tcPr>
          <w:p w14:paraId="6ED6DBCB" w14:textId="77777777" w:rsidR="005E702F" w:rsidRPr="00414A6D" w:rsidRDefault="005E702F" w:rsidP="00D147A4">
            <w:pPr>
              <w:autoSpaceDE w:val="0"/>
              <w:autoSpaceDN w:val="0"/>
              <w:adjustRightInd w:val="0"/>
              <w:jc w:val="both"/>
              <w:rPr>
                <w:rFonts w:ascii="Arial" w:hAnsi="Arial" w:cs="Arial"/>
                <w:color w:val="000000"/>
                <w:sz w:val="22"/>
                <w:szCs w:val="22"/>
              </w:rPr>
            </w:pPr>
            <w:r w:rsidRPr="00414A6D">
              <w:rPr>
                <w:rFonts w:ascii="Arial" w:hAnsi="Arial" w:cs="Arial"/>
                <w:color w:val="000000"/>
                <w:sz w:val="22"/>
                <w:szCs w:val="22"/>
              </w:rPr>
              <w:t xml:space="preserve">£1,335 </w:t>
            </w:r>
          </w:p>
        </w:tc>
      </w:tr>
    </w:tbl>
    <w:p w14:paraId="77486D4D" w14:textId="77777777" w:rsidR="005E702F" w:rsidRPr="00414A6D" w:rsidRDefault="005E702F" w:rsidP="00D147A4">
      <w:pPr>
        <w:jc w:val="both"/>
        <w:rPr>
          <w:rFonts w:ascii="Arial" w:hAnsi="Arial" w:cs="Arial"/>
          <w:i/>
          <w:iCs/>
          <w:color w:val="000000"/>
          <w:sz w:val="22"/>
          <w:szCs w:val="22"/>
        </w:rPr>
      </w:pPr>
    </w:p>
    <w:p w14:paraId="30960E1F" w14:textId="77777777" w:rsidR="005E702F" w:rsidRPr="00414A6D" w:rsidRDefault="005E702F" w:rsidP="00D147A4">
      <w:pPr>
        <w:autoSpaceDE w:val="0"/>
        <w:autoSpaceDN w:val="0"/>
        <w:adjustRightInd w:val="0"/>
        <w:jc w:val="both"/>
        <w:rPr>
          <w:rFonts w:ascii="Arial" w:hAnsi="Arial" w:cs="Arial"/>
          <w:sz w:val="22"/>
          <w:szCs w:val="22"/>
        </w:rPr>
      </w:pPr>
      <w:r w:rsidRPr="00414A6D">
        <w:rPr>
          <w:rFonts w:ascii="Arial" w:hAnsi="Arial" w:cs="Arial"/>
          <w:sz w:val="22"/>
          <w:szCs w:val="22"/>
        </w:rPr>
        <w:t>The approach to determining the differential price evolved year by year in consultation with health service managers, senior clinicians and consumers.</w:t>
      </w:r>
      <w:hyperlink w:anchor="_ENREF_13" w:tooltip="Willett, 2014 #96"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&lt;EndNote&gt;&lt;Cite&gt;&lt;Author&gt;Willett&lt;/Author&gt;&lt;Year&gt;2014&lt;/Year&gt;&lt;RecNum&gt;96&lt;/RecNum&gt;&lt;DisplayText&gt;&lt;style face="superscript"&gt;13&lt;/style&gt;&lt;/DisplayText&gt;&lt;record&gt;&lt;rec-number&gt;96&lt;/rec-number&gt;&lt;foreign-keys&gt;&lt;key app="EN" db-id="pxsz0w0wuvwzapeptavv0erkef22f2rwz0w0"&gt;96&lt;/key&gt;&lt;/foreign-keys&gt;&lt;ref-type name="Personal Communication"&gt;26&lt;/ref-type&gt;&lt;contributors&gt;&lt;authors&gt;&lt;author&gt;Willett, K.&lt;/author&gt;&lt;/authors&gt;&lt;secondary-authors&gt;&lt;author&gt;Mulcahy, A.&lt;/author&gt;&lt;/secondary-authors&gt;&lt;/contributors&gt;&lt;titles&gt;&lt;title&gt;Hip Fracture pricing in the UK&lt;/title&gt;&lt;/titles&gt;&lt;dates&gt;&lt;year&gt;2014&lt;/year&gt;&lt;pub-dates&gt;&lt;date&gt;21 November 2014.&lt;/date&gt;&lt;/pub-dates&gt;&lt;/dates&gt;&lt;pub-location&gt;Sydney NSW.&lt;/pub-location&gt;&lt;work-type&gt;Skype.&lt;/work-type&gt;&lt;urls&gt;&lt;/urls&gt;&lt;/record&gt;&lt;/Cite&gt;&lt;/EndNote&gt;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13</w:t>
        </w:r>
        <w:r w:rsidR="00402FBB" w:rsidRPr="00414A6D">
          <w:rPr>
            <w:rFonts w:ascii="Arial" w:hAnsi="Arial" w:cs="Arial"/>
            <w:sz w:val="22"/>
            <w:szCs w:val="22"/>
          </w:rPr>
          <w:fldChar w:fldCharType="end"/>
        </w:r>
      </w:hyperlink>
      <w:r w:rsidRPr="00414A6D">
        <w:rPr>
          <w:rFonts w:ascii="Arial" w:hAnsi="Arial" w:cs="Arial"/>
          <w:sz w:val="22"/>
          <w:szCs w:val="22"/>
        </w:rPr>
        <w:t xml:space="preserve"> To establish the first differential price in 2010-11, a costing exercise was undertaken by the NHS to determine a compliance adjustment to the average price for hip fracture HRGs. The differential between the base and </w:t>
      </w:r>
      <w:r w:rsidR="00346B84" w:rsidRPr="00414A6D">
        <w:rPr>
          <w:rFonts w:ascii="Arial" w:hAnsi="Arial" w:cs="Arial"/>
          <w:sz w:val="22"/>
          <w:szCs w:val="22"/>
        </w:rPr>
        <w:t>best-practice</w:t>
      </w:r>
      <w:r w:rsidRPr="00414A6D">
        <w:rPr>
          <w:rFonts w:ascii="Arial" w:hAnsi="Arial" w:cs="Arial"/>
          <w:sz w:val="22"/>
          <w:szCs w:val="22"/>
        </w:rPr>
        <w:t xml:space="preserve"> prices was calculated at 7%, i.e. </w:t>
      </w:r>
      <w:r w:rsidR="00346B84" w:rsidRPr="00414A6D">
        <w:rPr>
          <w:rFonts w:ascii="Arial" w:hAnsi="Arial" w:cs="Arial"/>
          <w:sz w:val="22"/>
          <w:szCs w:val="22"/>
        </w:rPr>
        <w:t>best-practice</w:t>
      </w:r>
      <w:r w:rsidRPr="00414A6D">
        <w:rPr>
          <w:rFonts w:ascii="Arial" w:hAnsi="Arial" w:cs="Arial"/>
          <w:sz w:val="22"/>
          <w:szCs w:val="22"/>
        </w:rPr>
        <w:t xml:space="preserve"> care was 7% more expensive than current average (base) care. In 2011-12, the differential was doubled as services improved their compliance with the </w:t>
      </w:r>
      <w:r w:rsidR="00346B84" w:rsidRPr="00414A6D">
        <w:rPr>
          <w:rFonts w:ascii="Arial" w:hAnsi="Arial" w:cs="Arial"/>
          <w:sz w:val="22"/>
          <w:szCs w:val="22"/>
        </w:rPr>
        <w:t>best-practice</w:t>
      </w:r>
      <w:r w:rsidRPr="00414A6D">
        <w:rPr>
          <w:rFonts w:ascii="Arial" w:hAnsi="Arial" w:cs="Arial"/>
          <w:sz w:val="22"/>
          <w:szCs w:val="22"/>
        </w:rPr>
        <w:t xml:space="preserve"> elements. It was then then tripled to 21% in 2012-13. The price differential has remained the same since.</w:t>
      </w:r>
      <w:hyperlink w:anchor="_ENREF_14" w:tooltip="Moran C, 2014 #55" w:history="1">
        <w:r w:rsidR="00402FBB" w:rsidRPr="00414A6D" w:rsidDel="005B6177">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&lt;EndNote&gt;&lt;Cite&gt;&lt;Author&gt;Moran C&lt;/Author&gt;&lt;Year&gt;2014&lt;/Year&gt;&lt;RecNum&gt;55&lt;/RecNum&gt;&lt;DisplayText&gt;&lt;style face="superscript"&gt;14&lt;/style&gt;&lt;/DisplayText&gt;&lt;record&gt;&lt;rec-number&gt;55&lt;/rec-number&gt;&lt;foreign-keys&gt;&lt;key app="EN" db-id="pxsz0w0wuvwzapeptavv0erkef22f2rwz0w0"&gt;55&lt;/key&gt;&lt;/foreign-keys&gt;&lt;ref-type name="Unpublished Work"&gt;34&lt;/ref-type&gt;&lt;contributors&gt;&lt;authors&gt;&lt;author&gt;Moran C, Boulton C, Johansen A, Wakeman R, Willett K&lt;/author&gt;&lt;/authors&gt;&lt;secondary-authors&gt;&lt;author&gt;National Health Service,&lt;/author&gt;&lt;/secondary-authors&gt;&lt;/contributors&gt;&lt;titles&gt;&lt;title&gt;National Hip Fracture Database and Best Practice Tariff&lt;/title&gt;&lt;/titles&gt;&lt;dates&gt;&lt;year&gt;2014&lt;/year&gt;&lt;/dates&gt;&lt;pub-location&gt;United Kingdom&lt;/pub-location&gt;&lt;urls&gt;&lt;/urls&gt;&lt;/record&gt;&lt;/Cite&gt;&lt;/EndNote&gt;</w:instrText>
        </w:r>
        <w:r w:rsidR="00402FBB" w:rsidRPr="00414A6D" w:rsidDel="005B6177">
          <w:rPr>
            <w:rFonts w:ascii="Arial" w:hAnsi="Arial" w:cs="Arial"/>
            <w:sz w:val="22"/>
            <w:szCs w:val="22"/>
          </w:rPr>
          <w:fldChar w:fldCharType="separate"/>
        </w:r>
        <w:r w:rsidR="00402FBB" w:rsidRPr="00414A6D">
          <w:rPr>
            <w:rFonts w:ascii="Arial" w:hAnsi="Arial" w:cs="Arial"/>
            <w:noProof/>
            <w:sz w:val="22"/>
            <w:szCs w:val="22"/>
            <w:vertAlign w:val="superscript"/>
          </w:rPr>
          <w:t>14</w:t>
        </w:r>
        <w:r w:rsidR="00402FBB" w:rsidRPr="00414A6D" w:rsidDel="005B6177">
          <w:rPr>
            <w:rFonts w:ascii="Arial" w:hAnsi="Arial" w:cs="Arial"/>
            <w:sz w:val="22"/>
            <w:szCs w:val="22"/>
          </w:rPr>
          <w:fldChar w:fldCharType="end"/>
        </w:r>
      </w:hyperlink>
      <w:r w:rsidRPr="00414A6D">
        <w:rPr>
          <w:rFonts w:ascii="Arial" w:hAnsi="Arial" w:cs="Arial"/>
          <w:sz w:val="22"/>
          <w:szCs w:val="22"/>
        </w:rPr>
        <w:t xml:space="preserve"> This is believed to be due to soft intelligence feedback from stakeholder groups. That is, clinicians were wary of the potential of any unintended systemic effects on care if the differential was increased further (e.g. safety concerns about reprioritizing theatre waitlists).</w:t>
      </w:r>
      <w:hyperlink w:anchor="_ENREF_13" w:tooltip="Willett, 2014 #96"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&lt;EndNote&gt;&lt;Cite&gt;&lt;Author&gt;Willett&lt;/Author&gt;&lt;Year&gt;2014&lt;/Year&gt;&lt;RecNum&gt;96&lt;/RecNum&gt;&lt;DisplayText&gt;&lt;style face="superscript"&gt;13&lt;/style&gt;&lt;/DisplayText&gt;&lt;record&gt;&lt;rec-number&gt;96&lt;/rec-number&gt;&lt;foreign-keys&gt;&lt;key app="EN" db-id="pxsz0w0wuvwzapeptavv0erkef22f2rwz0w0"&gt;96&lt;/key&gt;&lt;/foreign-keys&gt;&lt;ref-type name="Personal Communication"&gt;26&lt;/ref-type&gt;&lt;contributors&gt;&lt;authors&gt;&lt;author&gt;Willett, K.&lt;/author&gt;&lt;/authors&gt;&lt;secondary-authors&gt;&lt;author&gt;Mulcahy, A.&lt;/author&gt;&lt;/secondary-authors&gt;&lt;/contributors&gt;&lt;titles&gt;&lt;title&gt;Hip Fracture pricing in the UK&lt;/title&gt;&lt;/titles&gt;&lt;dates&gt;&lt;year&gt;2014&lt;/year&gt;&lt;pub-dates&gt;&lt;date&gt;21 November 2014.&lt;/date&gt;&lt;/pub-dates&gt;&lt;/dates&gt;&lt;pub-location&gt;Sydney NSW.&lt;/pub-location&gt;&lt;work-type&gt;Skype.&lt;/work-type&gt;&lt;urls&gt;&lt;/urls&gt;&lt;/record&gt;&lt;/Cite&gt;&lt;/EndNote&gt;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13</w:t>
        </w:r>
        <w:r w:rsidR="00402FBB" w:rsidRPr="00414A6D">
          <w:rPr>
            <w:rFonts w:ascii="Arial" w:hAnsi="Arial" w:cs="Arial"/>
            <w:sz w:val="22"/>
            <w:szCs w:val="22"/>
          </w:rPr>
          <w:fldChar w:fldCharType="end"/>
        </w:r>
      </w:hyperlink>
      <w:r w:rsidRPr="00414A6D">
        <w:rPr>
          <w:rFonts w:ascii="Arial" w:hAnsi="Arial" w:cs="Arial"/>
          <w:sz w:val="22"/>
          <w:szCs w:val="22"/>
        </w:rPr>
        <w:t xml:space="preserve"> A list of the 2014-15 base tariffs, </w:t>
      </w:r>
      <w:r w:rsidR="00346B84" w:rsidRPr="00414A6D">
        <w:rPr>
          <w:rFonts w:ascii="Arial" w:hAnsi="Arial" w:cs="Arial"/>
          <w:sz w:val="22"/>
          <w:szCs w:val="22"/>
        </w:rPr>
        <w:t>best-practice</w:t>
      </w:r>
      <w:r w:rsidRPr="00414A6D">
        <w:rPr>
          <w:rFonts w:ascii="Arial" w:hAnsi="Arial" w:cs="Arial"/>
          <w:sz w:val="22"/>
          <w:szCs w:val="22"/>
        </w:rPr>
        <w:t xml:space="preserve"> tariffs and differentials for hip fracture HRGs is below in table 3.</w:t>
      </w:r>
    </w:p>
    <w:p w14:paraId="07A88B84" w14:textId="77777777" w:rsidR="00735A68" w:rsidRPr="00414A6D" w:rsidRDefault="00735A68" w:rsidP="00D147A4">
      <w:pPr>
        <w:autoSpaceDE w:val="0"/>
        <w:autoSpaceDN w:val="0"/>
        <w:adjustRightInd w:val="0"/>
        <w:jc w:val="both"/>
        <w:rPr>
          <w:rFonts w:ascii="Arial" w:hAnsi="Arial" w:cs="Arial"/>
          <w:sz w:val="22"/>
          <w:szCs w:val="22"/>
        </w:rPr>
      </w:pPr>
    </w:p>
    <w:p w14:paraId="67FCE8AB" w14:textId="77777777" w:rsidR="005E702F" w:rsidRPr="00414A6D" w:rsidRDefault="005E702F" w:rsidP="00D147A4">
      <w:pPr>
        <w:autoSpaceDE w:val="0"/>
        <w:autoSpaceDN w:val="0"/>
        <w:adjustRightInd w:val="0"/>
        <w:jc w:val="both"/>
        <w:rPr>
          <w:rFonts w:ascii="Arial" w:hAnsi="Arial" w:cs="Arial"/>
          <w:b/>
          <w:sz w:val="22"/>
          <w:szCs w:val="22"/>
        </w:rPr>
      </w:pPr>
      <w:r w:rsidRPr="00414A6D">
        <w:rPr>
          <w:rFonts w:ascii="Arial" w:hAnsi="Arial" w:cs="Arial"/>
          <w:b/>
          <w:sz w:val="22"/>
          <w:szCs w:val="22"/>
        </w:rPr>
        <w:t xml:space="preserve">Table 3: Base tariffs, BPTs, differential and percentage of base for hip fracture HRGs </w:t>
      </w:r>
    </w:p>
    <w:p w14:paraId="6C76DE48" w14:textId="77777777" w:rsidR="005E702F" w:rsidRPr="00414A6D" w:rsidRDefault="005E702F" w:rsidP="00D147A4">
      <w:pPr>
        <w:autoSpaceDE w:val="0"/>
        <w:autoSpaceDN w:val="0"/>
        <w:adjustRightInd w:val="0"/>
        <w:jc w:val="both"/>
        <w:rPr>
          <w:rFonts w:ascii="Arial" w:hAnsi="Arial" w:cs="Arial"/>
          <w:b/>
          <w:sz w:val="22"/>
          <w:szCs w:val="22"/>
        </w:rPr>
      </w:pPr>
      <w:r w:rsidRPr="00414A6D">
        <w:rPr>
          <w:rFonts w:ascii="Arial" w:hAnsi="Arial" w:cs="Arial"/>
          <w:b/>
          <w:sz w:val="22"/>
          <w:szCs w:val="22"/>
        </w:rPr>
        <w:t>2014-15</w:t>
      </w:r>
      <w:hyperlink w:anchor="_ENREF_15" w:tooltip="NHS England, 2013 #94" w:history="1">
        <w:r w:rsidR="00402FBB" w:rsidRPr="00414A6D">
          <w:rPr>
            <w:rFonts w:ascii="Arial" w:hAnsi="Arial" w:cs="Arial"/>
            <w:b/>
            <w:sz w:val="22"/>
            <w:szCs w:val="22"/>
          </w:rPr>
          <w:fldChar w:fldCharType="begin"/>
        </w:r>
        <w:r w:rsidR="00402FBB" w:rsidRPr="00414A6D">
          <w:rPr>
            <w:rFonts w:ascii="Arial" w:hAnsi="Arial" w:cs="Arial"/>
            <w:b/>
            <w:sz w:val="22"/>
            <w:szCs w:val="22"/>
          </w:rPr>
          <w:instrText xml:space="preserve"> ADDIN EN.CITE &lt;EndNote&gt;&lt;Cite&gt;&lt;Author&gt;England&lt;/Author&gt;&lt;Year&gt;2013&lt;/Year&gt;&lt;RecNum&gt;94&lt;/RecNum&gt;&lt;DisplayText&gt;&lt;style face="superscript"&gt;15&lt;/style&gt;&lt;/DisplayText&gt;&lt;record&gt;&lt;rec-number&gt;94&lt;/rec-number&gt;&lt;foreign-keys&gt;&lt;key app="EN" db-id="pxsz0w0wuvwzapeptavv0erkef22f2rwz0w0"&gt;94&lt;/key&gt;&lt;/foreign-keys&gt;&lt;ref-type name="Report"&gt;27&lt;/ref-type&gt;&lt;contributors&gt;&lt;authors&gt;&lt;author&gt;NHS England,&lt;/author&gt;&lt;/authors&gt;&lt;secondary-authors&gt;&lt;author&gt;Monitor &lt;/author&gt;&lt;/secondary-authors&gt;&lt;/contributors&gt;&lt;titles&gt;&lt;title&gt;2014/15 National Tariff Payment System&lt;/title&gt;&lt;/titles&gt;&lt;dates&gt;&lt;year&gt;2013&lt;/year&gt;&lt;/dates&gt;&lt;pub-location&gt;United Kingdom&lt;/pub-location&gt;&lt;urls&gt;&lt;related-urls&gt;&lt;url&gt;https://www.gov.uk/government/uploads/system/uploads/attachment_data/file/300547/2014-15_National_Tariff_Payment_System_-Revised_26_Feb_14.pdf&lt;/url&gt;&lt;/related-urls&gt;&lt;/urls&gt;&lt;/record&gt;&lt;/Cite&gt;&lt;/EndNote&gt;</w:instrText>
        </w:r>
        <w:r w:rsidR="00402FBB" w:rsidRPr="00414A6D">
          <w:rPr>
            <w:rFonts w:ascii="Arial" w:hAnsi="Arial" w:cs="Arial"/>
            <w:b/>
            <w:sz w:val="22"/>
            <w:szCs w:val="22"/>
          </w:rPr>
          <w:fldChar w:fldCharType="separate"/>
        </w:r>
        <w:r w:rsidR="00402FBB" w:rsidRPr="00414A6D">
          <w:rPr>
            <w:rFonts w:ascii="Arial" w:hAnsi="Arial" w:cs="Arial"/>
            <w:b/>
            <w:noProof/>
            <w:sz w:val="22"/>
            <w:szCs w:val="22"/>
            <w:vertAlign w:val="superscript"/>
          </w:rPr>
          <w:t>15</w:t>
        </w:r>
        <w:r w:rsidR="00402FBB" w:rsidRPr="00414A6D">
          <w:rPr>
            <w:rFonts w:ascii="Arial" w:hAnsi="Arial" w:cs="Arial"/>
            <w:b/>
            <w:sz w:val="22"/>
            <w:szCs w:val="22"/>
          </w:rPr>
          <w:fldChar w:fldCharType="end"/>
        </w:r>
      </w:hyperlink>
      <w:r w:rsidRPr="00414A6D">
        <w:rPr>
          <w:rFonts w:ascii="Arial" w:hAnsi="Arial" w:cs="Arial"/>
          <w:b/>
          <w:sz w:val="22"/>
          <w:szCs w:val="22"/>
        </w:rPr>
        <w:t>.</w:t>
      </w:r>
    </w:p>
    <w:tbl>
      <w:tblPr>
        <w:tblW w:w="9622" w:type="dxa"/>
        <w:jc w:val="center"/>
        <w:tblLook w:val="04A0" w:firstRow="1" w:lastRow="0" w:firstColumn="1" w:lastColumn="0" w:noHBand="0" w:noVBand="1"/>
      </w:tblPr>
      <w:tblGrid>
        <w:gridCol w:w="993"/>
        <w:gridCol w:w="4828"/>
        <w:gridCol w:w="767"/>
        <w:gridCol w:w="987"/>
        <w:gridCol w:w="1268"/>
        <w:gridCol w:w="779"/>
      </w:tblGrid>
      <w:tr w:rsidR="005E702F" w:rsidRPr="00414A6D" w14:paraId="1D6791AB" w14:textId="77777777" w:rsidTr="00C12446">
        <w:trPr>
          <w:trHeight w:val="690"/>
          <w:jc w:val="center"/>
        </w:trPr>
        <w:tc>
          <w:tcPr>
            <w:tcW w:w="993"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14:paraId="273A5B2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HRG code</w:t>
            </w:r>
          </w:p>
        </w:tc>
        <w:tc>
          <w:tcPr>
            <w:tcW w:w="4828" w:type="dxa"/>
            <w:tcBorders>
              <w:top w:val="single" w:sz="8" w:space="0" w:color="auto"/>
              <w:left w:val="nil"/>
              <w:bottom w:val="single" w:sz="8" w:space="0" w:color="auto"/>
              <w:right w:val="nil"/>
            </w:tcBorders>
            <w:shd w:val="clear" w:color="auto" w:fill="BFBFBF" w:themeFill="background1" w:themeFillShade="BF"/>
            <w:vAlign w:val="center"/>
            <w:hideMark/>
          </w:tcPr>
          <w:p w14:paraId="04C7CFB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HRG name</w:t>
            </w:r>
          </w:p>
        </w:tc>
        <w:tc>
          <w:tcPr>
            <w:tcW w:w="767"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0077A20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Base tariff (£)</w:t>
            </w:r>
          </w:p>
        </w:tc>
        <w:tc>
          <w:tcPr>
            <w:tcW w:w="98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890A405" w14:textId="77777777" w:rsidR="005E702F" w:rsidRPr="00414A6D" w:rsidRDefault="00346B84" w:rsidP="00D147A4">
            <w:pPr>
              <w:jc w:val="both"/>
              <w:rPr>
                <w:rFonts w:ascii="Arial" w:hAnsi="Arial" w:cs="Arial"/>
                <w:sz w:val="18"/>
                <w:szCs w:val="18"/>
              </w:rPr>
            </w:pPr>
            <w:r w:rsidRPr="00414A6D">
              <w:rPr>
                <w:rFonts w:ascii="Arial" w:hAnsi="Arial" w:cs="Arial"/>
                <w:sz w:val="18"/>
                <w:szCs w:val="18"/>
              </w:rPr>
              <w:t>Best-practice</w:t>
            </w:r>
            <w:r w:rsidR="005E702F" w:rsidRPr="00414A6D">
              <w:rPr>
                <w:rFonts w:ascii="Arial" w:hAnsi="Arial" w:cs="Arial"/>
                <w:sz w:val="18"/>
                <w:szCs w:val="18"/>
              </w:rPr>
              <w:t xml:space="preserve"> tariff (£)</w:t>
            </w:r>
          </w:p>
        </w:tc>
        <w:tc>
          <w:tcPr>
            <w:tcW w:w="1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FF0F86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Differential</w:t>
            </w:r>
          </w:p>
        </w:tc>
        <w:tc>
          <w:tcPr>
            <w:tcW w:w="779"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hideMark/>
          </w:tcPr>
          <w:p w14:paraId="4A759F2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base</w:t>
            </w:r>
          </w:p>
        </w:tc>
      </w:tr>
      <w:tr w:rsidR="005E702F" w:rsidRPr="00414A6D" w14:paraId="2CE9E395"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294C1DE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HA11A</w:t>
            </w:r>
          </w:p>
        </w:tc>
        <w:tc>
          <w:tcPr>
            <w:tcW w:w="4828" w:type="dxa"/>
            <w:tcBorders>
              <w:top w:val="nil"/>
              <w:left w:val="nil"/>
              <w:bottom w:val="nil"/>
              <w:right w:val="nil"/>
            </w:tcBorders>
            <w:shd w:val="clear" w:color="auto" w:fill="auto"/>
            <w:noWrap/>
            <w:vAlign w:val="center"/>
            <w:hideMark/>
          </w:tcPr>
          <w:p w14:paraId="6823ACA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Major Hip Procedures category 2 for Trauma with Major CC</w:t>
            </w:r>
          </w:p>
        </w:tc>
        <w:tc>
          <w:tcPr>
            <w:tcW w:w="767" w:type="dxa"/>
            <w:tcBorders>
              <w:top w:val="nil"/>
              <w:left w:val="single" w:sz="8" w:space="0" w:color="auto"/>
              <w:bottom w:val="nil"/>
              <w:right w:val="single" w:sz="4" w:space="0" w:color="auto"/>
            </w:tcBorders>
            <w:shd w:val="clear" w:color="auto" w:fill="auto"/>
            <w:vAlign w:val="center"/>
            <w:hideMark/>
          </w:tcPr>
          <w:p w14:paraId="3BA4B54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7,569 </w:t>
            </w:r>
          </w:p>
        </w:tc>
        <w:tc>
          <w:tcPr>
            <w:tcW w:w="987" w:type="dxa"/>
            <w:tcBorders>
              <w:top w:val="nil"/>
              <w:left w:val="nil"/>
              <w:bottom w:val="nil"/>
              <w:right w:val="single" w:sz="4" w:space="0" w:color="auto"/>
            </w:tcBorders>
            <w:shd w:val="clear" w:color="auto" w:fill="auto"/>
            <w:noWrap/>
            <w:vAlign w:val="center"/>
            <w:hideMark/>
          </w:tcPr>
          <w:p w14:paraId="38CA45D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8,904 </w:t>
            </w:r>
          </w:p>
        </w:tc>
        <w:tc>
          <w:tcPr>
            <w:tcW w:w="1268" w:type="dxa"/>
            <w:tcBorders>
              <w:top w:val="single" w:sz="4" w:space="0" w:color="auto"/>
              <w:left w:val="single" w:sz="4" w:space="0" w:color="auto"/>
              <w:right w:val="single" w:sz="4" w:space="0" w:color="auto"/>
            </w:tcBorders>
            <w:shd w:val="clear" w:color="000000" w:fill="FFFFFF"/>
            <w:noWrap/>
            <w:vAlign w:val="center"/>
            <w:hideMark/>
          </w:tcPr>
          <w:p w14:paraId="42E74BE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single" w:sz="8" w:space="0" w:color="auto"/>
              <w:left w:val="single" w:sz="4" w:space="0" w:color="auto"/>
              <w:bottom w:val="nil"/>
              <w:right w:val="single" w:sz="8" w:space="0" w:color="auto"/>
            </w:tcBorders>
            <w:shd w:val="clear" w:color="000000" w:fill="FFFFFF"/>
            <w:vAlign w:val="center"/>
            <w:hideMark/>
          </w:tcPr>
          <w:p w14:paraId="3E570F1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18%</w:t>
            </w:r>
          </w:p>
        </w:tc>
      </w:tr>
      <w:tr w:rsidR="005E702F" w:rsidRPr="00414A6D" w14:paraId="3405C518"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23CC8DE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HA11B</w:t>
            </w:r>
          </w:p>
        </w:tc>
        <w:tc>
          <w:tcPr>
            <w:tcW w:w="4828" w:type="dxa"/>
            <w:tcBorders>
              <w:top w:val="nil"/>
              <w:left w:val="nil"/>
              <w:bottom w:val="nil"/>
              <w:right w:val="nil"/>
            </w:tcBorders>
            <w:shd w:val="clear" w:color="auto" w:fill="auto"/>
            <w:noWrap/>
            <w:vAlign w:val="center"/>
            <w:hideMark/>
          </w:tcPr>
          <w:p w14:paraId="796C379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Major Hip Procedures category 2 for Trauma with Intermediate CC</w:t>
            </w:r>
          </w:p>
        </w:tc>
        <w:tc>
          <w:tcPr>
            <w:tcW w:w="767" w:type="dxa"/>
            <w:tcBorders>
              <w:top w:val="nil"/>
              <w:left w:val="single" w:sz="8" w:space="0" w:color="auto"/>
              <w:bottom w:val="nil"/>
              <w:right w:val="single" w:sz="4" w:space="0" w:color="auto"/>
            </w:tcBorders>
            <w:shd w:val="clear" w:color="auto" w:fill="auto"/>
            <w:vAlign w:val="center"/>
            <w:hideMark/>
          </w:tcPr>
          <w:p w14:paraId="479DC54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6,741 </w:t>
            </w:r>
          </w:p>
        </w:tc>
        <w:tc>
          <w:tcPr>
            <w:tcW w:w="987" w:type="dxa"/>
            <w:tcBorders>
              <w:top w:val="nil"/>
              <w:left w:val="nil"/>
              <w:bottom w:val="nil"/>
              <w:right w:val="single" w:sz="4" w:space="0" w:color="auto"/>
            </w:tcBorders>
            <w:shd w:val="clear" w:color="auto" w:fill="auto"/>
            <w:noWrap/>
            <w:vAlign w:val="center"/>
            <w:hideMark/>
          </w:tcPr>
          <w:p w14:paraId="0AA5B61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8,076 </w:t>
            </w:r>
          </w:p>
        </w:tc>
        <w:tc>
          <w:tcPr>
            <w:tcW w:w="1268" w:type="dxa"/>
            <w:tcBorders>
              <w:left w:val="single" w:sz="4" w:space="0" w:color="auto"/>
              <w:right w:val="single" w:sz="4" w:space="0" w:color="auto"/>
            </w:tcBorders>
            <w:shd w:val="clear" w:color="000000" w:fill="FFFFFF"/>
            <w:noWrap/>
            <w:vAlign w:val="center"/>
            <w:hideMark/>
          </w:tcPr>
          <w:p w14:paraId="1246876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36C4B94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20%</w:t>
            </w:r>
          </w:p>
        </w:tc>
      </w:tr>
      <w:tr w:rsidR="005E702F" w:rsidRPr="00414A6D" w14:paraId="5D0A6C4C"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5C6708CD"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HA11C</w:t>
            </w:r>
          </w:p>
        </w:tc>
        <w:tc>
          <w:tcPr>
            <w:tcW w:w="4828" w:type="dxa"/>
            <w:tcBorders>
              <w:top w:val="nil"/>
              <w:left w:val="nil"/>
              <w:bottom w:val="nil"/>
              <w:right w:val="nil"/>
            </w:tcBorders>
            <w:shd w:val="clear" w:color="auto" w:fill="auto"/>
            <w:noWrap/>
            <w:vAlign w:val="center"/>
            <w:hideMark/>
          </w:tcPr>
          <w:p w14:paraId="77C98D9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Major Hip Procedures category 2 for Trauma without CC</w:t>
            </w:r>
          </w:p>
        </w:tc>
        <w:tc>
          <w:tcPr>
            <w:tcW w:w="767" w:type="dxa"/>
            <w:tcBorders>
              <w:top w:val="nil"/>
              <w:left w:val="single" w:sz="8" w:space="0" w:color="auto"/>
              <w:bottom w:val="nil"/>
              <w:right w:val="single" w:sz="4" w:space="0" w:color="auto"/>
            </w:tcBorders>
            <w:shd w:val="clear" w:color="auto" w:fill="auto"/>
            <w:vAlign w:val="center"/>
            <w:hideMark/>
          </w:tcPr>
          <w:p w14:paraId="0A48DF8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5,508 </w:t>
            </w:r>
          </w:p>
        </w:tc>
        <w:tc>
          <w:tcPr>
            <w:tcW w:w="987" w:type="dxa"/>
            <w:tcBorders>
              <w:top w:val="nil"/>
              <w:left w:val="nil"/>
              <w:bottom w:val="nil"/>
              <w:right w:val="single" w:sz="4" w:space="0" w:color="auto"/>
            </w:tcBorders>
            <w:shd w:val="clear" w:color="auto" w:fill="auto"/>
            <w:noWrap/>
            <w:vAlign w:val="center"/>
            <w:hideMark/>
          </w:tcPr>
          <w:p w14:paraId="28B2F3AA"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6,843 </w:t>
            </w:r>
          </w:p>
        </w:tc>
        <w:tc>
          <w:tcPr>
            <w:tcW w:w="1268" w:type="dxa"/>
            <w:tcBorders>
              <w:left w:val="single" w:sz="4" w:space="0" w:color="auto"/>
              <w:right w:val="single" w:sz="4" w:space="0" w:color="auto"/>
            </w:tcBorders>
            <w:shd w:val="clear" w:color="000000" w:fill="FFFFFF"/>
            <w:noWrap/>
            <w:vAlign w:val="center"/>
            <w:hideMark/>
          </w:tcPr>
          <w:p w14:paraId="743A832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03C5F9BD"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24%</w:t>
            </w:r>
          </w:p>
        </w:tc>
      </w:tr>
      <w:tr w:rsidR="005E702F" w:rsidRPr="00414A6D" w14:paraId="395CE086"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73E998F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HA12B</w:t>
            </w:r>
          </w:p>
        </w:tc>
        <w:tc>
          <w:tcPr>
            <w:tcW w:w="4828" w:type="dxa"/>
            <w:tcBorders>
              <w:top w:val="nil"/>
              <w:left w:val="nil"/>
              <w:bottom w:val="nil"/>
              <w:right w:val="nil"/>
            </w:tcBorders>
            <w:shd w:val="clear" w:color="auto" w:fill="auto"/>
            <w:noWrap/>
            <w:vAlign w:val="center"/>
            <w:hideMark/>
          </w:tcPr>
          <w:p w14:paraId="639F2C0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Major Hip Procedures category 1 for Trauma with CC</w:t>
            </w:r>
          </w:p>
        </w:tc>
        <w:tc>
          <w:tcPr>
            <w:tcW w:w="767" w:type="dxa"/>
            <w:tcBorders>
              <w:top w:val="nil"/>
              <w:left w:val="single" w:sz="8" w:space="0" w:color="auto"/>
              <w:bottom w:val="nil"/>
              <w:right w:val="single" w:sz="4" w:space="0" w:color="auto"/>
            </w:tcBorders>
            <w:shd w:val="clear" w:color="auto" w:fill="auto"/>
            <w:vAlign w:val="center"/>
            <w:hideMark/>
          </w:tcPr>
          <w:p w14:paraId="6C67F33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7,329 </w:t>
            </w:r>
          </w:p>
        </w:tc>
        <w:tc>
          <w:tcPr>
            <w:tcW w:w="987" w:type="dxa"/>
            <w:tcBorders>
              <w:top w:val="nil"/>
              <w:left w:val="nil"/>
              <w:bottom w:val="nil"/>
              <w:right w:val="single" w:sz="4" w:space="0" w:color="auto"/>
            </w:tcBorders>
            <w:shd w:val="clear" w:color="auto" w:fill="auto"/>
            <w:noWrap/>
            <w:vAlign w:val="center"/>
            <w:hideMark/>
          </w:tcPr>
          <w:p w14:paraId="6AEA381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8,664 </w:t>
            </w:r>
          </w:p>
        </w:tc>
        <w:tc>
          <w:tcPr>
            <w:tcW w:w="1268" w:type="dxa"/>
            <w:tcBorders>
              <w:left w:val="single" w:sz="4" w:space="0" w:color="auto"/>
              <w:right w:val="single" w:sz="4" w:space="0" w:color="auto"/>
            </w:tcBorders>
            <w:shd w:val="clear" w:color="000000" w:fill="FFFFFF"/>
            <w:noWrap/>
            <w:vAlign w:val="center"/>
            <w:hideMark/>
          </w:tcPr>
          <w:p w14:paraId="367652F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7459F01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18%</w:t>
            </w:r>
          </w:p>
        </w:tc>
      </w:tr>
      <w:tr w:rsidR="005E702F" w:rsidRPr="00414A6D" w14:paraId="4500C3DA"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3B1E4ED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HA12C</w:t>
            </w:r>
          </w:p>
        </w:tc>
        <w:tc>
          <w:tcPr>
            <w:tcW w:w="4828" w:type="dxa"/>
            <w:tcBorders>
              <w:top w:val="nil"/>
              <w:left w:val="nil"/>
              <w:bottom w:val="nil"/>
              <w:right w:val="nil"/>
            </w:tcBorders>
            <w:shd w:val="clear" w:color="auto" w:fill="auto"/>
            <w:noWrap/>
            <w:vAlign w:val="center"/>
            <w:hideMark/>
          </w:tcPr>
          <w:p w14:paraId="14C2957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Major Hip Procedures category 1 for Trauma without CC</w:t>
            </w:r>
          </w:p>
        </w:tc>
        <w:tc>
          <w:tcPr>
            <w:tcW w:w="767" w:type="dxa"/>
            <w:tcBorders>
              <w:top w:val="nil"/>
              <w:left w:val="single" w:sz="8" w:space="0" w:color="auto"/>
              <w:bottom w:val="nil"/>
              <w:right w:val="single" w:sz="4" w:space="0" w:color="auto"/>
            </w:tcBorders>
            <w:shd w:val="clear" w:color="auto" w:fill="auto"/>
            <w:vAlign w:val="center"/>
            <w:hideMark/>
          </w:tcPr>
          <w:p w14:paraId="07ED0BD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5,237 </w:t>
            </w:r>
          </w:p>
        </w:tc>
        <w:tc>
          <w:tcPr>
            <w:tcW w:w="987" w:type="dxa"/>
            <w:tcBorders>
              <w:top w:val="nil"/>
              <w:left w:val="nil"/>
              <w:bottom w:val="nil"/>
              <w:right w:val="single" w:sz="4" w:space="0" w:color="auto"/>
            </w:tcBorders>
            <w:shd w:val="clear" w:color="auto" w:fill="auto"/>
            <w:noWrap/>
            <w:vAlign w:val="center"/>
            <w:hideMark/>
          </w:tcPr>
          <w:p w14:paraId="2BECED0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6,572 </w:t>
            </w:r>
          </w:p>
        </w:tc>
        <w:tc>
          <w:tcPr>
            <w:tcW w:w="1268" w:type="dxa"/>
            <w:tcBorders>
              <w:left w:val="single" w:sz="4" w:space="0" w:color="auto"/>
              <w:right w:val="single" w:sz="4" w:space="0" w:color="auto"/>
            </w:tcBorders>
            <w:shd w:val="clear" w:color="000000" w:fill="FFFFFF"/>
            <w:noWrap/>
            <w:vAlign w:val="center"/>
            <w:hideMark/>
          </w:tcPr>
          <w:p w14:paraId="3B4D49C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1F135DC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25%</w:t>
            </w:r>
          </w:p>
        </w:tc>
      </w:tr>
      <w:tr w:rsidR="005E702F" w:rsidRPr="00414A6D" w14:paraId="33332194"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49665D0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HA13A</w:t>
            </w:r>
          </w:p>
        </w:tc>
        <w:tc>
          <w:tcPr>
            <w:tcW w:w="4828" w:type="dxa"/>
            <w:tcBorders>
              <w:top w:val="nil"/>
              <w:left w:val="nil"/>
              <w:bottom w:val="nil"/>
              <w:right w:val="nil"/>
            </w:tcBorders>
            <w:shd w:val="clear" w:color="auto" w:fill="auto"/>
            <w:noWrap/>
            <w:vAlign w:val="center"/>
            <w:hideMark/>
          </w:tcPr>
          <w:p w14:paraId="770AF54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Intermediate Hip Procedures for Trauma with Major CC</w:t>
            </w:r>
          </w:p>
        </w:tc>
        <w:tc>
          <w:tcPr>
            <w:tcW w:w="767" w:type="dxa"/>
            <w:tcBorders>
              <w:top w:val="nil"/>
              <w:left w:val="single" w:sz="8" w:space="0" w:color="auto"/>
              <w:bottom w:val="nil"/>
              <w:right w:val="single" w:sz="4" w:space="0" w:color="auto"/>
            </w:tcBorders>
            <w:shd w:val="clear" w:color="auto" w:fill="auto"/>
            <w:vAlign w:val="center"/>
            <w:hideMark/>
          </w:tcPr>
          <w:p w14:paraId="7A6FD58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5,932 </w:t>
            </w:r>
          </w:p>
        </w:tc>
        <w:tc>
          <w:tcPr>
            <w:tcW w:w="987" w:type="dxa"/>
            <w:tcBorders>
              <w:top w:val="nil"/>
              <w:left w:val="nil"/>
              <w:bottom w:val="nil"/>
              <w:right w:val="single" w:sz="4" w:space="0" w:color="auto"/>
            </w:tcBorders>
            <w:shd w:val="clear" w:color="auto" w:fill="auto"/>
            <w:noWrap/>
            <w:vAlign w:val="center"/>
            <w:hideMark/>
          </w:tcPr>
          <w:p w14:paraId="2F5F229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7,267 </w:t>
            </w:r>
          </w:p>
        </w:tc>
        <w:tc>
          <w:tcPr>
            <w:tcW w:w="1268" w:type="dxa"/>
            <w:tcBorders>
              <w:left w:val="single" w:sz="4" w:space="0" w:color="auto"/>
              <w:right w:val="single" w:sz="4" w:space="0" w:color="auto"/>
            </w:tcBorders>
            <w:shd w:val="clear" w:color="000000" w:fill="FFFFFF"/>
            <w:noWrap/>
            <w:vAlign w:val="center"/>
            <w:hideMark/>
          </w:tcPr>
          <w:p w14:paraId="6FBDC0A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5D94DEC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23%</w:t>
            </w:r>
          </w:p>
        </w:tc>
      </w:tr>
      <w:tr w:rsidR="005E702F" w:rsidRPr="00414A6D" w14:paraId="66D0B206"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4B9C07D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HA13B</w:t>
            </w:r>
          </w:p>
        </w:tc>
        <w:tc>
          <w:tcPr>
            <w:tcW w:w="4828" w:type="dxa"/>
            <w:tcBorders>
              <w:top w:val="nil"/>
              <w:left w:val="nil"/>
              <w:bottom w:val="nil"/>
              <w:right w:val="nil"/>
            </w:tcBorders>
            <w:shd w:val="clear" w:color="auto" w:fill="auto"/>
            <w:noWrap/>
            <w:vAlign w:val="center"/>
            <w:hideMark/>
          </w:tcPr>
          <w:p w14:paraId="3BE51A6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Intermediate Hip Procedures for Trauma with Intermediate CC</w:t>
            </w:r>
          </w:p>
        </w:tc>
        <w:tc>
          <w:tcPr>
            <w:tcW w:w="767" w:type="dxa"/>
            <w:tcBorders>
              <w:top w:val="nil"/>
              <w:left w:val="single" w:sz="8" w:space="0" w:color="auto"/>
              <w:bottom w:val="nil"/>
              <w:right w:val="single" w:sz="4" w:space="0" w:color="auto"/>
            </w:tcBorders>
            <w:shd w:val="clear" w:color="auto" w:fill="auto"/>
            <w:vAlign w:val="center"/>
            <w:hideMark/>
          </w:tcPr>
          <w:p w14:paraId="5F3362D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4,549 </w:t>
            </w:r>
          </w:p>
        </w:tc>
        <w:tc>
          <w:tcPr>
            <w:tcW w:w="987" w:type="dxa"/>
            <w:tcBorders>
              <w:top w:val="nil"/>
              <w:left w:val="nil"/>
              <w:bottom w:val="nil"/>
              <w:right w:val="single" w:sz="4" w:space="0" w:color="auto"/>
            </w:tcBorders>
            <w:shd w:val="clear" w:color="auto" w:fill="auto"/>
            <w:noWrap/>
            <w:vAlign w:val="center"/>
            <w:hideMark/>
          </w:tcPr>
          <w:p w14:paraId="5164E35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5,884 </w:t>
            </w:r>
          </w:p>
        </w:tc>
        <w:tc>
          <w:tcPr>
            <w:tcW w:w="1268" w:type="dxa"/>
            <w:tcBorders>
              <w:left w:val="single" w:sz="4" w:space="0" w:color="auto"/>
              <w:right w:val="single" w:sz="4" w:space="0" w:color="auto"/>
            </w:tcBorders>
            <w:shd w:val="clear" w:color="000000" w:fill="FFFFFF"/>
            <w:noWrap/>
            <w:vAlign w:val="center"/>
            <w:hideMark/>
          </w:tcPr>
          <w:p w14:paraId="26729B1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15B5497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29%</w:t>
            </w:r>
          </w:p>
        </w:tc>
      </w:tr>
      <w:tr w:rsidR="005E702F" w:rsidRPr="00414A6D" w14:paraId="3FD2FF24"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6F4A6ED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HA13C</w:t>
            </w:r>
          </w:p>
        </w:tc>
        <w:tc>
          <w:tcPr>
            <w:tcW w:w="4828" w:type="dxa"/>
            <w:tcBorders>
              <w:top w:val="nil"/>
              <w:left w:val="nil"/>
              <w:bottom w:val="nil"/>
              <w:right w:val="nil"/>
            </w:tcBorders>
            <w:shd w:val="clear" w:color="auto" w:fill="auto"/>
            <w:noWrap/>
            <w:vAlign w:val="center"/>
            <w:hideMark/>
          </w:tcPr>
          <w:p w14:paraId="158A0B37"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Intermediate Hip Procedures for Trauma without CC</w:t>
            </w:r>
          </w:p>
        </w:tc>
        <w:tc>
          <w:tcPr>
            <w:tcW w:w="767" w:type="dxa"/>
            <w:tcBorders>
              <w:top w:val="nil"/>
              <w:left w:val="single" w:sz="8" w:space="0" w:color="auto"/>
              <w:bottom w:val="nil"/>
              <w:right w:val="single" w:sz="4" w:space="0" w:color="auto"/>
            </w:tcBorders>
            <w:shd w:val="clear" w:color="auto" w:fill="auto"/>
            <w:vAlign w:val="center"/>
            <w:hideMark/>
          </w:tcPr>
          <w:p w14:paraId="6BDCF4F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4,548 </w:t>
            </w:r>
          </w:p>
        </w:tc>
        <w:tc>
          <w:tcPr>
            <w:tcW w:w="987" w:type="dxa"/>
            <w:tcBorders>
              <w:top w:val="nil"/>
              <w:left w:val="nil"/>
              <w:bottom w:val="nil"/>
              <w:right w:val="single" w:sz="4" w:space="0" w:color="auto"/>
            </w:tcBorders>
            <w:shd w:val="clear" w:color="auto" w:fill="auto"/>
            <w:noWrap/>
            <w:vAlign w:val="center"/>
            <w:hideMark/>
          </w:tcPr>
          <w:p w14:paraId="16AE026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5,883 </w:t>
            </w:r>
          </w:p>
        </w:tc>
        <w:tc>
          <w:tcPr>
            <w:tcW w:w="1268" w:type="dxa"/>
            <w:tcBorders>
              <w:left w:val="single" w:sz="4" w:space="0" w:color="auto"/>
              <w:right w:val="single" w:sz="4" w:space="0" w:color="auto"/>
            </w:tcBorders>
            <w:shd w:val="clear" w:color="000000" w:fill="FFFFFF"/>
            <w:noWrap/>
            <w:vAlign w:val="center"/>
            <w:hideMark/>
          </w:tcPr>
          <w:p w14:paraId="2C9F8B5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7FB0E1CA"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29%</w:t>
            </w:r>
          </w:p>
        </w:tc>
      </w:tr>
      <w:tr w:rsidR="005E702F" w:rsidRPr="00414A6D" w14:paraId="5FDC2F2F"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1C92CC3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HA14A</w:t>
            </w:r>
          </w:p>
        </w:tc>
        <w:tc>
          <w:tcPr>
            <w:tcW w:w="4828" w:type="dxa"/>
            <w:tcBorders>
              <w:top w:val="nil"/>
              <w:left w:val="nil"/>
              <w:bottom w:val="nil"/>
              <w:right w:val="nil"/>
            </w:tcBorders>
            <w:shd w:val="clear" w:color="auto" w:fill="auto"/>
            <w:noWrap/>
            <w:vAlign w:val="center"/>
            <w:hideMark/>
          </w:tcPr>
          <w:p w14:paraId="46B02B8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Minor Hip Procedures for Trauma with Major CC</w:t>
            </w:r>
          </w:p>
        </w:tc>
        <w:tc>
          <w:tcPr>
            <w:tcW w:w="767" w:type="dxa"/>
            <w:tcBorders>
              <w:top w:val="nil"/>
              <w:left w:val="single" w:sz="8" w:space="0" w:color="auto"/>
              <w:bottom w:val="nil"/>
              <w:right w:val="single" w:sz="4" w:space="0" w:color="auto"/>
            </w:tcBorders>
            <w:shd w:val="clear" w:color="auto" w:fill="auto"/>
            <w:vAlign w:val="center"/>
            <w:hideMark/>
          </w:tcPr>
          <w:p w14:paraId="6F837917"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1,662 </w:t>
            </w:r>
          </w:p>
        </w:tc>
        <w:tc>
          <w:tcPr>
            <w:tcW w:w="987" w:type="dxa"/>
            <w:tcBorders>
              <w:top w:val="nil"/>
              <w:left w:val="nil"/>
              <w:bottom w:val="nil"/>
              <w:right w:val="single" w:sz="4" w:space="0" w:color="auto"/>
            </w:tcBorders>
            <w:shd w:val="clear" w:color="auto" w:fill="auto"/>
            <w:noWrap/>
            <w:vAlign w:val="center"/>
            <w:hideMark/>
          </w:tcPr>
          <w:p w14:paraId="21C9626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2,997 </w:t>
            </w:r>
          </w:p>
        </w:tc>
        <w:tc>
          <w:tcPr>
            <w:tcW w:w="1268" w:type="dxa"/>
            <w:tcBorders>
              <w:left w:val="single" w:sz="4" w:space="0" w:color="auto"/>
              <w:right w:val="single" w:sz="4" w:space="0" w:color="auto"/>
            </w:tcBorders>
            <w:shd w:val="clear" w:color="000000" w:fill="FFFFFF"/>
            <w:noWrap/>
            <w:vAlign w:val="center"/>
            <w:hideMark/>
          </w:tcPr>
          <w:p w14:paraId="45D053B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6427A46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80%</w:t>
            </w:r>
          </w:p>
        </w:tc>
      </w:tr>
      <w:tr w:rsidR="005E702F" w:rsidRPr="00414A6D" w14:paraId="52541D17"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1D0AF76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HA14B</w:t>
            </w:r>
          </w:p>
        </w:tc>
        <w:tc>
          <w:tcPr>
            <w:tcW w:w="4828" w:type="dxa"/>
            <w:tcBorders>
              <w:top w:val="nil"/>
              <w:left w:val="nil"/>
              <w:bottom w:val="nil"/>
              <w:right w:val="nil"/>
            </w:tcBorders>
            <w:shd w:val="clear" w:color="auto" w:fill="auto"/>
            <w:noWrap/>
            <w:vAlign w:val="center"/>
            <w:hideMark/>
          </w:tcPr>
          <w:p w14:paraId="48C17E96"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Minor Hip Procedures for Trauma with Intermediate CC</w:t>
            </w:r>
          </w:p>
        </w:tc>
        <w:tc>
          <w:tcPr>
            <w:tcW w:w="767" w:type="dxa"/>
            <w:tcBorders>
              <w:top w:val="nil"/>
              <w:left w:val="single" w:sz="8" w:space="0" w:color="auto"/>
              <w:bottom w:val="nil"/>
              <w:right w:val="single" w:sz="4" w:space="0" w:color="auto"/>
            </w:tcBorders>
            <w:shd w:val="clear" w:color="auto" w:fill="auto"/>
            <w:vAlign w:val="center"/>
            <w:hideMark/>
          </w:tcPr>
          <w:p w14:paraId="4222105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1,052 </w:t>
            </w:r>
          </w:p>
        </w:tc>
        <w:tc>
          <w:tcPr>
            <w:tcW w:w="987" w:type="dxa"/>
            <w:tcBorders>
              <w:top w:val="nil"/>
              <w:left w:val="nil"/>
              <w:bottom w:val="nil"/>
              <w:right w:val="single" w:sz="4" w:space="0" w:color="auto"/>
            </w:tcBorders>
            <w:shd w:val="clear" w:color="auto" w:fill="auto"/>
            <w:noWrap/>
            <w:vAlign w:val="center"/>
            <w:hideMark/>
          </w:tcPr>
          <w:p w14:paraId="2FDAB1C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2,387 </w:t>
            </w:r>
          </w:p>
        </w:tc>
        <w:tc>
          <w:tcPr>
            <w:tcW w:w="1268" w:type="dxa"/>
            <w:tcBorders>
              <w:left w:val="single" w:sz="4" w:space="0" w:color="auto"/>
              <w:right w:val="single" w:sz="4" w:space="0" w:color="auto"/>
            </w:tcBorders>
            <w:shd w:val="clear" w:color="000000" w:fill="FFFFFF"/>
            <w:noWrap/>
            <w:vAlign w:val="center"/>
            <w:hideMark/>
          </w:tcPr>
          <w:p w14:paraId="73E1F727"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3ED37C4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127%</w:t>
            </w:r>
          </w:p>
        </w:tc>
      </w:tr>
      <w:tr w:rsidR="005E702F" w:rsidRPr="00414A6D" w14:paraId="3465A5BB"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7FECDF0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HA14C</w:t>
            </w:r>
          </w:p>
        </w:tc>
        <w:tc>
          <w:tcPr>
            <w:tcW w:w="4828" w:type="dxa"/>
            <w:tcBorders>
              <w:top w:val="nil"/>
              <w:left w:val="nil"/>
              <w:bottom w:val="nil"/>
              <w:right w:val="nil"/>
            </w:tcBorders>
            <w:shd w:val="clear" w:color="auto" w:fill="auto"/>
            <w:noWrap/>
            <w:vAlign w:val="center"/>
            <w:hideMark/>
          </w:tcPr>
          <w:p w14:paraId="3D343FE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Minor Hip Procedures for Trauma without CC</w:t>
            </w:r>
          </w:p>
        </w:tc>
        <w:tc>
          <w:tcPr>
            <w:tcW w:w="767" w:type="dxa"/>
            <w:tcBorders>
              <w:top w:val="nil"/>
              <w:left w:val="single" w:sz="8" w:space="0" w:color="auto"/>
              <w:bottom w:val="nil"/>
              <w:right w:val="single" w:sz="4" w:space="0" w:color="auto"/>
            </w:tcBorders>
            <w:shd w:val="clear" w:color="auto" w:fill="auto"/>
            <w:vAlign w:val="center"/>
            <w:hideMark/>
          </w:tcPr>
          <w:p w14:paraId="18840AE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428 </w:t>
            </w:r>
          </w:p>
        </w:tc>
        <w:tc>
          <w:tcPr>
            <w:tcW w:w="987" w:type="dxa"/>
            <w:tcBorders>
              <w:top w:val="nil"/>
              <w:left w:val="nil"/>
              <w:bottom w:val="nil"/>
              <w:right w:val="single" w:sz="4" w:space="0" w:color="auto"/>
            </w:tcBorders>
            <w:shd w:val="clear" w:color="auto" w:fill="auto"/>
            <w:noWrap/>
            <w:vAlign w:val="center"/>
            <w:hideMark/>
          </w:tcPr>
          <w:p w14:paraId="1CA2600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1,763 </w:t>
            </w:r>
          </w:p>
        </w:tc>
        <w:tc>
          <w:tcPr>
            <w:tcW w:w="1268" w:type="dxa"/>
            <w:tcBorders>
              <w:left w:val="single" w:sz="4" w:space="0" w:color="auto"/>
              <w:right w:val="single" w:sz="4" w:space="0" w:color="auto"/>
            </w:tcBorders>
            <w:shd w:val="clear" w:color="000000" w:fill="FFFFFF"/>
            <w:noWrap/>
            <w:vAlign w:val="center"/>
            <w:hideMark/>
          </w:tcPr>
          <w:p w14:paraId="1C4A19C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61CA993D"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312%</w:t>
            </w:r>
          </w:p>
        </w:tc>
      </w:tr>
      <w:tr w:rsidR="005E702F" w:rsidRPr="00414A6D" w14:paraId="4BF11B2E"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3A93D857"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VA11A</w:t>
            </w:r>
          </w:p>
        </w:tc>
        <w:tc>
          <w:tcPr>
            <w:tcW w:w="4828" w:type="dxa"/>
            <w:tcBorders>
              <w:top w:val="nil"/>
              <w:left w:val="nil"/>
              <w:bottom w:val="nil"/>
              <w:right w:val="nil"/>
            </w:tcBorders>
            <w:shd w:val="clear" w:color="auto" w:fill="auto"/>
            <w:noWrap/>
            <w:vAlign w:val="center"/>
            <w:hideMark/>
          </w:tcPr>
          <w:p w14:paraId="54DF608A"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&lt;=23, with Interventions score 1-8</w:t>
            </w:r>
          </w:p>
        </w:tc>
        <w:tc>
          <w:tcPr>
            <w:tcW w:w="767" w:type="dxa"/>
            <w:tcBorders>
              <w:top w:val="nil"/>
              <w:left w:val="single" w:sz="8" w:space="0" w:color="auto"/>
              <w:bottom w:val="nil"/>
              <w:right w:val="single" w:sz="4" w:space="0" w:color="auto"/>
            </w:tcBorders>
            <w:shd w:val="clear" w:color="auto" w:fill="auto"/>
            <w:vAlign w:val="center"/>
            <w:hideMark/>
          </w:tcPr>
          <w:p w14:paraId="18876D4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482 </w:t>
            </w:r>
          </w:p>
        </w:tc>
        <w:tc>
          <w:tcPr>
            <w:tcW w:w="987" w:type="dxa"/>
            <w:tcBorders>
              <w:top w:val="nil"/>
              <w:left w:val="nil"/>
              <w:bottom w:val="nil"/>
              <w:right w:val="single" w:sz="4" w:space="0" w:color="auto"/>
            </w:tcBorders>
            <w:shd w:val="clear" w:color="auto" w:fill="auto"/>
            <w:noWrap/>
            <w:vAlign w:val="center"/>
            <w:hideMark/>
          </w:tcPr>
          <w:p w14:paraId="1E78A3F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1,817 </w:t>
            </w:r>
          </w:p>
        </w:tc>
        <w:tc>
          <w:tcPr>
            <w:tcW w:w="1268" w:type="dxa"/>
            <w:tcBorders>
              <w:left w:val="single" w:sz="4" w:space="0" w:color="auto"/>
              <w:right w:val="single" w:sz="4" w:space="0" w:color="auto"/>
            </w:tcBorders>
            <w:shd w:val="clear" w:color="000000" w:fill="FFFFFF"/>
            <w:noWrap/>
            <w:vAlign w:val="center"/>
            <w:hideMark/>
          </w:tcPr>
          <w:p w14:paraId="1536629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627209D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277%</w:t>
            </w:r>
          </w:p>
        </w:tc>
      </w:tr>
      <w:tr w:rsidR="005E702F" w:rsidRPr="00414A6D" w14:paraId="63DA12DD"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7BACA0E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VA11B</w:t>
            </w:r>
          </w:p>
        </w:tc>
        <w:tc>
          <w:tcPr>
            <w:tcW w:w="4828" w:type="dxa"/>
            <w:tcBorders>
              <w:top w:val="nil"/>
              <w:left w:val="nil"/>
              <w:bottom w:val="nil"/>
              <w:right w:val="nil"/>
            </w:tcBorders>
            <w:shd w:val="clear" w:color="auto" w:fill="auto"/>
            <w:noWrap/>
            <w:vAlign w:val="center"/>
            <w:hideMark/>
          </w:tcPr>
          <w:p w14:paraId="28A4CA8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24-32, with Interventions score 1-8</w:t>
            </w:r>
          </w:p>
        </w:tc>
        <w:tc>
          <w:tcPr>
            <w:tcW w:w="767" w:type="dxa"/>
            <w:tcBorders>
              <w:top w:val="nil"/>
              <w:left w:val="single" w:sz="8" w:space="0" w:color="auto"/>
              <w:bottom w:val="nil"/>
              <w:right w:val="single" w:sz="4" w:space="0" w:color="auto"/>
            </w:tcBorders>
            <w:shd w:val="clear" w:color="auto" w:fill="auto"/>
            <w:vAlign w:val="center"/>
            <w:hideMark/>
          </w:tcPr>
          <w:p w14:paraId="54FA815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1,445 </w:t>
            </w:r>
          </w:p>
        </w:tc>
        <w:tc>
          <w:tcPr>
            <w:tcW w:w="987" w:type="dxa"/>
            <w:tcBorders>
              <w:top w:val="nil"/>
              <w:left w:val="nil"/>
              <w:bottom w:val="nil"/>
              <w:right w:val="single" w:sz="4" w:space="0" w:color="auto"/>
            </w:tcBorders>
            <w:shd w:val="clear" w:color="auto" w:fill="auto"/>
            <w:noWrap/>
            <w:vAlign w:val="center"/>
            <w:hideMark/>
          </w:tcPr>
          <w:p w14:paraId="2941FBA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2,780 </w:t>
            </w:r>
          </w:p>
        </w:tc>
        <w:tc>
          <w:tcPr>
            <w:tcW w:w="1268" w:type="dxa"/>
            <w:tcBorders>
              <w:left w:val="single" w:sz="4" w:space="0" w:color="auto"/>
              <w:right w:val="single" w:sz="4" w:space="0" w:color="auto"/>
            </w:tcBorders>
            <w:shd w:val="clear" w:color="000000" w:fill="FFFFFF"/>
            <w:noWrap/>
            <w:vAlign w:val="center"/>
            <w:hideMark/>
          </w:tcPr>
          <w:p w14:paraId="6360A70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0DF3FA6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92%</w:t>
            </w:r>
          </w:p>
        </w:tc>
      </w:tr>
      <w:tr w:rsidR="005E702F" w:rsidRPr="00414A6D" w14:paraId="3562206F"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40129322"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VA11C</w:t>
            </w:r>
          </w:p>
        </w:tc>
        <w:tc>
          <w:tcPr>
            <w:tcW w:w="4828" w:type="dxa"/>
            <w:tcBorders>
              <w:top w:val="nil"/>
              <w:left w:val="nil"/>
              <w:bottom w:val="nil"/>
              <w:right w:val="nil"/>
            </w:tcBorders>
            <w:shd w:val="clear" w:color="auto" w:fill="auto"/>
            <w:noWrap/>
            <w:vAlign w:val="center"/>
            <w:hideMark/>
          </w:tcPr>
          <w:p w14:paraId="23A359F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33-50, with Interventions score 1-8</w:t>
            </w:r>
          </w:p>
        </w:tc>
        <w:tc>
          <w:tcPr>
            <w:tcW w:w="767" w:type="dxa"/>
            <w:tcBorders>
              <w:top w:val="nil"/>
              <w:left w:val="single" w:sz="8" w:space="0" w:color="auto"/>
              <w:bottom w:val="nil"/>
              <w:right w:val="single" w:sz="4" w:space="0" w:color="auto"/>
            </w:tcBorders>
            <w:shd w:val="clear" w:color="auto" w:fill="auto"/>
            <w:vAlign w:val="center"/>
            <w:hideMark/>
          </w:tcPr>
          <w:p w14:paraId="4CBE3D2E"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3,130 </w:t>
            </w:r>
          </w:p>
        </w:tc>
        <w:tc>
          <w:tcPr>
            <w:tcW w:w="987" w:type="dxa"/>
            <w:tcBorders>
              <w:top w:val="nil"/>
              <w:left w:val="nil"/>
              <w:bottom w:val="nil"/>
              <w:right w:val="single" w:sz="4" w:space="0" w:color="auto"/>
            </w:tcBorders>
            <w:shd w:val="clear" w:color="auto" w:fill="auto"/>
            <w:noWrap/>
            <w:vAlign w:val="center"/>
            <w:hideMark/>
          </w:tcPr>
          <w:p w14:paraId="393DE44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4,465 </w:t>
            </w:r>
          </w:p>
        </w:tc>
        <w:tc>
          <w:tcPr>
            <w:tcW w:w="1268" w:type="dxa"/>
            <w:tcBorders>
              <w:left w:val="single" w:sz="4" w:space="0" w:color="auto"/>
              <w:right w:val="single" w:sz="4" w:space="0" w:color="auto"/>
            </w:tcBorders>
            <w:shd w:val="clear" w:color="000000" w:fill="FFFFFF"/>
            <w:noWrap/>
            <w:vAlign w:val="center"/>
            <w:hideMark/>
          </w:tcPr>
          <w:p w14:paraId="166A6396"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0A7B406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43%</w:t>
            </w:r>
          </w:p>
        </w:tc>
      </w:tr>
      <w:tr w:rsidR="005E702F" w:rsidRPr="00414A6D" w14:paraId="23B6CE66"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10830F9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VA11D</w:t>
            </w:r>
          </w:p>
        </w:tc>
        <w:tc>
          <w:tcPr>
            <w:tcW w:w="4828" w:type="dxa"/>
            <w:tcBorders>
              <w:top w:val="nil"/>
              <w:left w:val="nil"/>
              <w:bottom w:val="nil"/>
              <w:right w:val="nil"/>
            </w:tcBorders>
            <w:shd w:val="clear" w:color="auto" w:fill="auto"/>
            <w:noWrap/>
            <w:vAlign w:val="center"/>
            <w:hideMark/>
          </w:tcPr>
          <w:p w14:paraId="0EF95EA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&gt;=51, with Interventions score 1-8</w:t>
            </w:r>
          </w:p>
        </w:tc>
        <w:tc>
          <w:tcPr>
            <w:tcW w:w="767" w:type="dxa"/>
            <w:tcBorders>
              <w:top w:val="nil"/>
              <w:left w:val="single" w:sz="8" w:space="0" w:color="auto"/>
              <w:bottom w:val="nil"/>
              <w:right w:val="single" w:sz="4" w:space="0" w:color="auto"/>
            </w:tcBorders>
            <w:shd w:val="clear" w:color="auto" w:fill="auto"/>
            <w:vAlign w:val="center"/>
            <w:hideMark/>
          </w:tcPr>
          <w:p w14:paraId="0FB12E3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6,657 </w:t>
            </w:r>
          </w:p>
        </w:tc>
        <w:tc>
          <w:tcPr>
            <w:tcW w:w="987" w:type="dxa"/>
            <w:tcBorders>
              <w:top w:val="nil"/>
              <w:left w:val="nil"/>
              <w:bottom w:val="nil"/>
              <w:right w:val="single" w:sz="4" w:space="0" w:color="auto"/>
            </w:tcBorders>
            <w:shd w:val="clear" w:color="auto" w:fill="auto"/>
            <w:noWrap/>
            <w:vAlign w:val="center"/>
            <w:hideMark/>
          </w:tcPr>
          <w:p w14:paraId="1B46F65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7,992 </w:t>
            </w:r>
          </w:p>
        </w:tc>
        <w:tc>
          <w:tcPr>
            <w:tcW w:w="1268" w:type="dxa"/>
            <w:tcBorders>
              <w:left w:val="single" w:sz="4" w:space="0" w:color="auto"/>
              <w:right w:val="single" w:sz="4" w:space="0" w:color="auto"/>
            </w:tcBorders>
            <w:shd w:val="clear" w:color="000000" w:fill="FFFFFF"/>
            <w:noWrap/>
            <w:vAlign w:val="center"/>
            <w:hideMark/>
          </w:tcPr>
          <w:p w14:paraId="0C65DD0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3ADBF79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20%</w:t>
            </w:r>
          </w:p>
        </w:tc>
      </w:tr>
      <w:tr w:rsidR="005E702F" w:rsidRPr="00414A6D" w14:paraId="6C3F244A"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3718F7C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VA12A</w:t>
            </w:r>
          </w:p>
        </w:tc>
        <w:tc>
          <w:tcPr>
            <w:tcW w:w="4828" w:type="dxa"/>
            <w:tcBorders>
              <w:top w:val="nil"/>
              <w:left w:val="nil"/>
              <w:bottom w:val="nil"/>
              <w:right w:val="nil"/>
            </w:tcBorders>
            <w:shd w:val="clear" w:color="auto" w:fill="auto"/>
            <w:noWrap/>
            <w:vAlign w:val="center"/>
            <w:hideMark/>
          </w:tcPr>
          <w:p w14:paraId="53E61CCD"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&lt;=23, with Interventions score 9-18</w:t>
            </w:r>
          </w:p>
        </w:tc>
        <w:tc>
          <w:tcPr>
            <w:tcW w:w="767" w:type="dxa"/>
            <w:tcBorders>
              <w:top w:val="nil"/>
              <w:left w:val="single" w:sz="8" w:space="0" w:color="auto"/>
              <w:bottom w:val="nil"/>
              <w:right w:val="single" w:sz="4" w:space="0" w:color="auto"/>
            </w:tcBorders>
            <w:shd w:val="clear" w:color="auto" w:fill="auto"/>
            <w:vAlign w:val="center"/>
            <w:hideMark/>
          </w:tcPr>
          <w:p w14:paraId="3DEBD55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2,259 </w:t>
            </w:r>
          </w:p>
        </w:tc>
        <w:tc>
          <w:tcPr>
            <w:tcW w:w="987" w:type="dxa"/>
            <w:tcBorders>
              <w:top w:val="nil"/>
              <w:left w:val="nil"/>
              <w:bottom w:val="nil"/>
              <w:right w:val="single" w:sz="4" w:space="0" w:color="auto"/>
            </w:tcBorders>
            <w:shd w:val="clear" w:color="auto" w:fill="auto"/>
            <w:noWrap/>
            <w:vAlign w:val="center"/>
            <w:hideMark/>
          </w:tcPr>
          <w:p w14:paraId="1B634D0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3,594 </w:t>
            </w:r>
          </w:p>
        </w:tc>
        <w:tc>
          <w:tcPr>
            <w:tcW w:w="1268" w:type="dxa"/>
            <w:tcBorders>
              <w:left w:val="single" w:sz="4" w:space="0" w:color="auto"/>
              <w:right w:val="single" w:sz="4" w:space="0" w:color="auto"/>
            </w:tcBorders>
            <w:shd w:val="clear" w:color="000000" w:fill="FFFFFF"/>
            <w:noWrap/>
            <w:vAlign w:val="center"/>
            <w:hideMark/>
          </w:tcPr>
          <w:p w14:paraId="4B8F061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48EAA16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59%</w:t>
            </w:r>
          </w:p>
        </w:tc>
      </w:tr>
      <w:tr w:rsidR="005E702F" w:rsidRPr="00414A6D" w14:paraId="0F83CC39"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4D60215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VA12B</w:t>
            </w:r>
          </w:p>
        </w:tc>
        <w:tc>
          <w:tcPr>
            <w:tcW w:w="4828" w:type="dxa"/>
            <w:tcBorders>
              <w:top w:val="nil"/>
              <w:left w:val="nil"/>
              <w:bottom w:val="nil"/>
              <w:right w:val="nil"/>
            </w:tcBorders>
            <w:shd w:val="clear" w:color="auto" w:fill="auto"/>
            <w:noWrap/>
            <w:vAlign w:val="center"/>
            <w:hideMark/>
          </w:tcPr>
          <w:p w14:paraId="7BEC0D8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24-32, with Interventions score 9-18</w:t>
            </w:r>
          </w:p>
        </w:tc>
        <w:tc>
          <w:tcPr>
            <w:tcW w:w="767" w:type="dxa"/>
            <w:tcBorders>
              <w:top w:val="nil"/>
              <w:left w:val="single" w:sz="8" w:space="0" w:color="auto"/>
              <w:bottom w:val="nil"/>
              <w:right w:val="single" w:sz="4" w:space="0" w:color="auto"/>
            </w:tcBorders>
            <w:shd w:val="clear" w:color="auto" w:fill="auto"/>
            <w:vAlign w:val="center"/>
            <w:hideMark/>
          </w:tcPr>
          <w:p w14:paraId="29D0B93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3,942 </w:t>
            </w:r>
          </w:p>
        </w:tc>
        <w:tc>
          <w:tcPr>
            <w:tcW w:w="987" w:type="dxa"/>
            <w:tcBorders>
              <w:top w:val="nil"/>
              <w:left w:val="nil"/>
              <w:bottom w:val="nil"/>
              <w:right w:val="single" w:sz="4" w:space="0" w:color="auto"/>
            </w:tcBorders>
            <w:shd w:val="clear" w:color="auto" w:fill="auto"/>
            <w:noWrap/>
            <w:vAlign w:val="center"/>
            <w:hideMark/>
          </w:tcPr>
          <w:p w14:paraId="475EF290"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5,277 </w:t>
            </w:r>
          </w:p>
        </w:tc>
        <w:tc>
          <w:tcPr>
            <w:tcW w:w="1268" w:type="dxa"/>
            <w:tcBorders>
              <w:left w:val="single" w:sz="4" w:space="0" w:color="auto"/>
              <w:right w:val="single" w:sz="4" w:space="0" w:color="auto"/>
            </w:tcBorders>
            <w:shd w:val="clear" w:color="000000" w:fill="FFFFFF"/>
            <w:noWrap/>
            <w:vAlign w:val="center"/>
            <w:hideMark/>
          </w:tcPr>
          <w:p w14:paraId="208C47E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40AEDDE7"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34%</w:t>
            </w:r>
          </w:p>
        </w:tc>
      </w:tr>
      <w:tr w:rsidR="005E702F" w:rsidRPr="00414A6D" w14:paraId="1B0BACDB" w14:textId="77777777" w:rsidTr="00C12446">
        <w:trPr>
          <w:trHeight w:val="225"/>
          <w:jc w:val="center"/>
        </w:trPr>
        <w:tc>
          <w:tcPr>
            <w:tcW w:w="993" w:type="dxa"/>
            <w:tcBorders>
              <w:top w:val="nil"/>
              <w:left w:val="single" w:sz="8" w:space="0" w:color="auto"/>
              <w:bottom w:val="nil"/>
              <w:right w:val="single" w:sz="4" w:space="0" w:color="auto"/>
            </w:tcBorders>
            <w:shd w:val="clear" w:color="auto" w:fill="auto"/>
            <w:noWrap/>
            <w:vAlign w:val="center"/>
            <w:hideMark/>
          </w:tcPr>
          <w:p w14:paraId="4E3E705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VA12C</w:t>
            </w:r>
          </w:p>
        </w:tc>
        <w:tc>
          <w:tcPr>
            <w:tcW w:w="4828" w:type="dxa"/>
            <w:tcBorders>
              <w:top w:val="nil"/>
              <w:left w:val="nil"/>
              <w:bottom w:val="nil"/>
              <w:right w:val="nil"/>
            </w:tcBorders>
            <w:shd w:val="clear" w:color="auto" w:fill="auto"/>
            <w:noWrap/>
            <w:vAlign w:val="center"/>
            <w:hideMark/>
          </w:tcPr>
          <w:p w14:paraId="4C696877"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33-50, with Interventions score 9-18</w:t>
            </w:r>
          </w:p>
        </w:tc>
        <w:tc>
          <w:tcPr>
            <w:tcW w:w="767" w:type="dxa"/>
            <w:tcBorders>
              <w:top w:val="nil"/>
              <w:left w:val="single" w:sz="8" w:space="0" w:color="auto"/>
              <w:bottom w:val="nil"/>
              <w:right w:val="single" w:sz="4" w:space="0" w:color="auto"/>
            </w:tcBorders>
            <w:shd w:val="clear" w:color="auto" w:fill="auto"/>
            <w:vAlign w:val="center"/>
            <w:hideMark/>
          </w:tcPr>
          <w:p w14:paraId="02D97E6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5,446 </w:t>
            </w:r>
          </w:p>
        </w:tc>
        <w:tc>
          <w:tcPr>
            <w:tcW w:w="987" w:type="dxa"/>
            <w:tcBorders>
              <w:top w:val="nil"/>
              <w:left w:val="nil"/>
              <w:bottom w:val="nil"/>
              <w:right w:val="single" w:sz="4" w:space="0" w:color="auto"/>
            </w:tcBorders>
            <w:shd w:val="clear" w:color="auto" w:fill="auto"/>
            <w:noWrap/>
            <w:vAlign w:val="center"/>
            <w:hideMark/>
          </w:tcPr>
          <w:p w14:paraId="6CD37289"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6,781 </w:t>
            </w:r>
          </w:p>
        </w:tc>
        <w:tc>
          <w:tcPr>
            <w:tcW w:w="1268" w:type="dxa"/>
            <w:tcBorders>
              <w:left w:val="single" w:sz="4" w:space="0" w:color="auto"/>
              <w:right w:val="single" w:sz="4" w:space="0" w:color="auto"/>
            </w:tcBorders>
            <w:shd w:val="clear" w:color="000000" w:fill="FFFFFF"/>
            <w:noWrap/>
            <w:vAlign w:val="center"/>
            <w:hideMark/>
          </w:tcPr>
          <w:p w14:paraId="06DDDD4C"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nil"/>
              <w:right w:val="single" w:sz="8" w:space="0" w:color="auto"/>
            </w:tcBorders>
            <w:shd w:val="clear" w:color="000000" w:fill="FFFFFF"/>
            <w:vAlign w:val="center"/>
            <w:hideMark/>
          </w:tcPr>
          <w:p w14:paraId="087F69D4"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25%</w:t>
            </w:r>
          </w:p>
        </w:tc>
      </w:tr>
      <w:tr w:rsidR="005E702F" w:rsidRPr="00414A6D" w14:paraId="300E53ED" w14:textId="77777777" w:rsidTr="00C12446">
        <w:trPr>
          <w:trHeight w:val="240"/>
          <w:jc w:val="center"/>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9F301EF"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VA12D</w:t>
            </w:r>
          </w:p>
        </w:tc>
        <w:tc>
          <w:tcPr>
            <w:tcW w:w="4828" w:type="dxa"/>
            <w:tcBorders>
              <w:top w:val="nil"/>
              <w:left w:val="nil"/>
              <w:bottom w:val="single" w:sz="8" w:space="0" w:color="auto"/>
              <w:right w:val="nil"/>
            </w:tcBorders>
            <w:shd w:val="clear" w:color="auto" w:fill="auto"/>
            <w:noWrap/>
            <w:vAlign w:val="center"/>
            <w:hideMark/>
          </w:tcPr>
          <w:p w14:paraId="6A9E0663"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Multiple Trauma Diagnoses score &gt;=51, with Interventions score 9-18</w:t>
            </w:r>
          </w:p>
        </w:tc>
        <w:tc>
          <w:tcPr>
            <w:tcW w:w="767" w:type="dxa"/>
            <w:tcBorders>
              <w:top w:val="nil"/>
              <w:left w:val="single" w:sz="8" w:space="0" w:color="auto"/>
              <w:bottom w:val="single" w:sz="8" w:space="0" w:color="auto"/>
              <w:right w:val="single" w:sz="4" w:space="0" w:color="auto"/>
            </w:tcBorders>
            <w:shd w:val="clear" w:color="auto" w:fill="auto"/>
            <w:vAlign w:val="center"/>
            <w:hideMark/>
          </w:tcPr>
          <w:p w14:paraId="4B67F8A1"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8,669 </w:t>
            </w:r>
          </w:p>
        </w:tc>
        <w:tc>
          <w:tcPr>
            <w:tcW w:w="987" w:type="dxa"/>
            <w:tcBorders>
              <w:top w:val="nil"/>
              <w:left w:val="nil"/>
              <w:bottom w:val="single" w:sz="8" w:space="0" w:color="auto"/>
              <w:right w:val="single" w:sz="4" w:space="0" w:color="auto"/>
            </w:tcBorders>
            <w:shd w:val="clear" w:color="auto" w:fill="auto"/>
            <w:noWrap/>
            <w:vAlign w:val="center"/>
            <w:hideMark/>
          </w:tcPr>
          <w:p w14:paraId="6EBA0B35"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10,004 </w:t>
            </w:r>
          </w:p>
        </w:tc>
        <w:tc>
          <w:tcPr>
            <w:tcW w:w="1268" w:type="dxa"/>
            <w:tcBorders>
              <w:left w:val="single" w:sz="4" w:space="0" w:color="auto"/>
              <w:bottom w:val="single" w:sz="4" w:space="0" w:color="auto"/>
              <w:right w:val="single" w:sz="4" w:space="0" w:color="auto"/>
            </w:tcBorders>
            <w:shd w:val="clear" w:color="000000" w:fill="FFFFFF"/>
            <w:noWrap/>
            <w:vAlign w:val="center"/>
            <w:hideMark/>
          </w:tcPr>
          <w:p w14:paraId="724CDE78"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 xml:space="preserve">1,335 </w:t>
            </w:r>
          </w:p>
        </w:tc>
        <w:tc>
          <w:tcPr>
            <w:tcW w:w="779" w:type="dxa"/>
            <w:tcBorders>
              <w:top w:val="nil"/>
              <w:left w:val="single" w:sz="4" w:space="0" w:color="auto"/>
              <w:bottom w:val="single" w:sz="8" w:space="0" w:color="auto"/>
              <w:right w:val="single" w:sz="8" w:space="0" w:color="auto"/>
            </w:tcBorders>
            <w:shd w:val="clear" w:color="000000" w:fill="FFFFFF"/>
            <w:vAlign w:val="center"/>
            <w:hideMark/>
          </w:tcPr>
          <w:p w14:paraId="09FFA94B" w14:textId="77777777" w:rsidR="005E702F" w:rsidRPr="00414A6D" w:rsidRDefault="005E702F" w:rsidP="00D147A4">
            <w:pPr>
              <w:jc w:val="both"/>
              <w:rPr>
                <w:rFonts w:ascii="Arial" w:hAnsi="Arial" w:cs="Arial"/>
                <w:sz w:val="18"/>
                <w:szCs w:val="18"/>
              </w:rPr>
            </w:pPr>
            <w:r w:rsidRPr="00414A6D">
              <w:rPr>
                <w:rFonts w:ascii="Arial" w:hAnsi="Arial" w:cs="Arial"/>
                <w:sz w:val="18"/>
                <w:szCs w:val="18"/>
              </w:rPr>
              <w:t>15%</w:t>
            </w:r>
          </w:p>
        </w:tc>
      </w:tr>
    </w:tbl>
    <w:p w14:paraId="30B66EFC" w14:textId="77777777" w:rsidR="005E702F" w:rsidRPr="00414A6D" w:rsidRDefault="005E702F" w:rsidP="00D147A4">
      <w:pPr>
        <w:jc w:val="both"/>
        <w:rPr>
          <w:rStyle w:val="IntenseReference"/>
          <w:rFonts w:ascii="Arial" w:hAnsi="Arial" w:cs="Arial"/>
          <w:b w:val="0"/>
          <w:bCs w:val="0"/>
          <w:i w:val="0"/>
          <w:smallCaps w:val="0"/>
          <w:color w:val="auto"/>
          <w:spacing w:val="0"/>
          <w:sz w:val="22"/>
          <w:szCs w:val="22"/>
          <w:lang w:val="en-US"/>
        </w:rPr>
      </w:pPr>
    </w:p>
    <w:p w14:paraId="61CC82C0" w14:textId="77777777" w:rsidR="005E702F" w:rsidRPr="00414A6D" w:rsidRDefault="005E702F" w:rsidP="00D147A4">
      <w:pPr>
        <w:jc w:val="both"/>
        <w:rPr>
          <w:rStyle w:val="IntenseReference"/>
          <w:rFonts w:ascii="Arial" w:hAnsi="Arial" w:cs="Arial"/>
          <w:bCs w:val="0"/>
          <w:i w:val="0"/>
          <w:smallCaps w:val="0"/>
          <w:color w:val="auto"/>
          <w:spacing w:val="0"/>
          <w:sz w:val="22"/>
          <w:szCs w:val="22"/>
          <w:lang w:val="en-US"/>
        </w:rPr>
      </w:pPr>
      <w:r w:rsidRPr="00414A6D">
        <w:rPr>
          <w:rStyle w:val="IntenseReference"/>
          <w:rFonts w:ascii="Arial" w:hAnsi="Arial" w:cs="Arial"/>
          <w:bCs w:val="0"/>
          <w:i w:val="0"/>
          <w:smallCaps w:val="0"/>
          <w:color w:val="auto"/>
          <w:spacing w:val="0"/>
          <w:sz w:val="22"/>
          <w:szCs w:val="22"/>
          <w:lang w:val="en-US"/>
        </w:rPr>
        <w:t xml:space="preserve">Results </w:t>
      </w:r>
    </w:p>
    <w:p w14:paraId="7DC0EB58" w14:textId="77777777" w:rsidR="005E702F" w:rsidRPr="00414A6D" w:rsidRDefault="005E702F" w:rsidP="00D147A4">
      <w:pPr>
        <w:jc w:val="both"/>
        <w:rPr>
          <w:rFonts w:ascii="Arial" w:hAnsi="Arial" w:cs="Arial"/>
          <w:sz w:val="22"/>
          <w:szCs w:val="22"/>
        </w:rPr>
      </w:pPr>
      <w:r w:rsidRPr="00414A6D">
        <w:rPr>
          <w:rStyle w:val="IntenseReference"/>
          <w:rFonts w:ascii="Arial" w:hAnsi="Arial" w:cs="Arial"/>
          <w:b w:val="0"/>
          <w:bCs w:val="0"/>
          <w:i w:val="0"/>
          <w:smallCaps w:val="0"/>
          <w:color w:val="auto"/>
          <w:spacing w:val="0"/>
          <w:sz w:val="22"/>
          <w:szCs w:val="22"/>
          <w:lang w:val="en-US"/>
        </w:rPr>
        <w:t xml:space="preserve">There has been a considerable increase in the achievement of </w:t>
      </w:r>
      <w:r w:rsidR="00346B84" w:rsidRPr="00414A6D">
        <w:rPr>
          <w:rStyle w:val="IntenseReference"/>
          <w:rFonts w:ascii="Arial" w:hAnsi="Arial" w:cs="Arial"/>
          <w:b w:val="0"/>
          <w:bCs w:val="0"/>
          <w:i w:val="0"/>
          <w:smallCaps w:val="0"/>
          <w:color w:val="auto"/>
          <w:spacing w:val="0"/>
          <w:sz w:val="22"/>
          <w:szCs w:val="22"/>
          <w:lang w:val="en-US"/>
        </w:rPr>
        <w:t>best-practice</w:t>
      </w:r>
      <w:r w:rsidRPr="00414A6D">
        <w:rPr>
          <w:rStyle w:val="IntenseReference"/>
          <w:rFonts w:ascii="Arial" w:hAnsi="Arial" w:cs="Arial"/>
          <w:b w:val="0"/>
          <w:bCs w:val="0"/>
          <w:i w:val="0"/>
          <w:smallCaps w:val="0"/>
          <w:color w:val="auto"/>
          <w:spacing w:val="0"/>
          <w:sz w:val="22"/>
          <w:szCs w:val="22"/>
          <w:lang w:val="en-US"/>
        </w:rPr>
        <w:t xml:space="preserve"> elements over the course of the initiative. </w:t>
      </w:r>
      <w:r w:rsidRPr="00414A6D">
        <w:rPr>
          <w:rFonts w:ascii="Arial" w:hAnsi="Arial" w:cs="Arial"/>
          <w:sz w:val="22"/>
          <w:szCs w:val="22"/>
        </w:rPr>
        <w:t>In the last quarter of 2013, care for 64% of hip fracture patient episodes qualified for the BPT. This figure was 59% for the same period in 2012.  Two English hospitals report that none of their patients received care that was eligible for BPT throughout 2013.</w:t>
      </w:r>
      <w:hyperlink w:anchor="_ENREF_16" w:tooltip="Royal College of Physicians, 2014 #60" w:history="1">
        <w:r w:rsidR="00402FBB" w:rsidRPr="00414A6D">
          <w:rPr>
            <w:rFonts w:ascii="Arial" w:hAnsi="Arial" w:cs="Arial"/>
            <w:sz w:val="22"/>
            <w:szCs w:val="22"/>
          </w:rPr>
          <w:fldChar w:fldCharType="begin"/>
        </w:r>
        <w:r w:rsidR="00402FBB" w:rsidRPr="00414A6D">
          <w:rPr>
            <w:rFonts w:ascii="Arial" w:hAnsi="Arial" w:cs="Arial"/>
            <w:sz w:val="22"/>
            <w:szCs w:val="22"/>
          </w:rPr>
          <w:instrText xml:space="preserve"> ADDIN EN.CITE &lt;EndNote&gt;&lt;Cite&gt;&lt;Author&gt;Royal College of Physicians&lt;/Author&gt;&lt;Year&gt;2014&lt;/Year&gt;&lt;RecNum&gt;60&lt;/RecNum&gt;&lt;DisplayText&gt;&lt;style face="superscript"&gt;16&lt;/style&gt;&lt;/DisplayText&gt;&lt;record&gt;&lt;rec-number&gt;60&lt;/rec-number&gt;&lt;foreign-keys&gt;&lt;key app="EN" db-id="pxsz0w0wuvwzapeptavv0erkef22f2rwz0w0"&gt;60&lt;/key&gt;&lt;/foreign-keys&gt;&lt;ref-type name="Report"&gt;27&lt;/ref-type&gt;&lt;contributors&gt;&lt;authors&gt;&lt;author&gt;Royal College of Physicians,&lt;/author&gt;&lt;/authors&gt;&lt;secondary-authors&gt;&lt;author&gt;RCP&lt;/author&gt;&lt;/secondary-authors&gt;&lt;/contributors&gt;&lt;titles&gt;&lt;title&gt;National Hip Fracture Database extended report 2014&lt;/title&gt;&lt;secondary-title&gt;Falls and Fragility Fracture Audit Programme&lt;/secondary-title&gt;&lt;/titles&gt;&lt;dates&gt;&lt;year&gt;2014&lt;/year&gt;&lt;/dates&gt;&lt;urls&gt;&lt;related-urls&gt;&lt;url&gt;http://www.nhfd.co.uk/20/hipfractureR.nsf/vwcontent/2014reportPDFs/$file/NHFD2014ExtendedReport.pdf?OpenElement&lt;/url&gt;&lt;/related-urls&gt;&lt;/urls&gt;&lt;/record&gt;&lt;/Cite&gt;&lt;/EndNote&gt;</w:instrText>
        </w:r>
        <w:r w:rsidR="00402FBB" w:rsidRPr="00414A6D">
          <w:rPr>
            <w:rFonts w:ascii="Arial" w:hAnsi="Arial" w:cs="Arial"/>
            <w:sz w:val="22"/>
            <w:szCs w:val="22"/>
          </w:rPr>
          <w:fldChar w:fldCharType="separate"/>
        </w:r>
        <w:r w:rsidR="00402FBB" w:rsidRPr="00414A6D">
          <w:rPr>
            <w:rFonts w:ascii="Arial" w:hAnsi="Arial" w:cs="Arial"/>
            <w:noProof/>
            <w:sz w:val="22"/>
            <w:szCs w:val="22"/>
            <w:vertAlign w:val="superscript"/>
          </w:rPr>
          <w:t>16</w:t>
        </w:r>
        <w:r w:rsidR="00402FBB" w:rsidRPr="00414A6D">
          <w:rPr>
            <w:rFonts w:ascii="Arial" w:hAnsi="Arial" w:cs="Arial"/>
            <w:sz w:val="22"/>
            <w:szCs w:val="22"/>
          </w:rPr>
          <w:fldChar w:fldCharType="end"/>
        </w:r>
      </w:hyperlink>
    </w:p>
    <w:p w14:paraId="6D1188E0" w14:textId="77777777" w:rsidR="005E702F" w:rsidRPr="00414A6D" w:rsidRDefault="005E702F" w:rsidP="00D147A4">
      <w:pPr>
        <w:jc w:val="both"/>
        <w:rPr>
          <w:rFonts w:ascii="Arial" w:hAnsi="Arial" w:cs="Arial"/>
          <w:sz w:val="22"/>
          <w:szCs w:val="22"/>
        </w:rPr>
      </w:pPr>
    </w:p>
    <w:p w14:paraId="54BCE798" w14:textId="77777777" w:rsidR="005E702F" w:rsidRPr="00414A6D" w:rsidRDefault="005E702F" w:rsidP="00D147A4">
      <w:pPr>
        <w:jc w:val="both"/>
        <w:rPr>
          <w:rStyle w:val="IntenseReference"/>
          <w:rFonts w:ascii="Arial" w:hAnsi="Arial" w:cs="Arial"/>
          <w:b w:val="0"/>
          <w:bCs w:val="0"/>
          <w:i w:val="0"/>
          <w:smallCaps w:val="0"/>
          <w:color w:val="auto"/>
          <w:spacing w:val="0"/>
          <w:sz w:val="22"/>
          <w:szCs w:val="22"/>
          <w:lang w:val="en-US"/>
        </w:rPr>
      </w:pPr>
      <w:r w:rsidRPr="00414A6D">
        <w:rPr>
          <w:rFonts w:ascii="Arial" w:hAnsi="Arial" w:cs="Arial"/>
          <w:sz w:val="22"/>
          <w:szCs w:val="22"/>
        </w:rPr>
        <w:t xml:space="preserve">Overall, </w:t>
      </w:r>
      <w:r w:rsidRPr="00414A6D">
        <w:rPr>
          <w:rStyle w:val="IntenseReference"/>
          <w:rFonts w:ascii="Arial" w:hAnsi="Arial" w:cs="Arial"/>
          <w:b w:val="0"/>
          <w:bCs w:val="0"/>
          <w:i w:val="0"/>
          <w:smallCaps w:val="0"/>
          <w:color w:val="auto"/>
          <w:spacing w:val="0"/>
          <w:sz w:val="22"/>
          <w:szCs w:val="22"/>
          <w:lang w:val="en-US"/>
        </w:rPr>
        <w:t>hip fracture care has been one of few clinical domains included in the BPT scheme to impact on outcome measures, with a modest but significant reduction in patient 30-day mortality</w:t>
      </w:r>
      <w:hyperlink w:anchor="_ENREF_12" w:tooltip="Marshall L, 2014 #67" w:history="1">
        <w:r w:rsidR="00402FBB" w:rsidRPr="00414A6D">
          <w:rPr>
            <w:rStyle w:val="IntenseReference"/>
            <w:rFonts w:ascii="Arial" w:hAnsi="Arial" w:cs="Arial"/>
            <w:b w:val="0"/>
            <w:bCs w:val="0"/>
            <w:i w:val="0"/>
            <w:smallCaps w:val="0"/>
            <w:color w:val="auto"/>
            <w:spacing w:val="0"/>
            <w:sz w:val="22"/>
            <w:szCs w:val="22"/>
            <w:lang w:val="en-US"/>
          </w:rPr>
          <w:fldChar w:fldCharType="begin"/>
        </w:r>
        <w:r w:rsidR="00402FBB" w:rsidRPr="00414A6D">
          <w:rPr>
            <w:rStyle w:val="IntenseReference"/>
            <w:rFonts w:ascii="Arial" w:hAnsi="Arial" w:cs="Arial"/>
            <w:b w:val="0"/>
            <w:bCs w:val="0"/>
            <w:i w:val="0"/>
            <w:smallCaps w:val="0"/>
            <w:color w:val="auto"/>
            <w:spacing w:val="0"/>
            <w:sz w:val="22"/>
            <w:szCs w:val="22"/>
            <w:lang w:val="en-US"/>
          </w:rPr>
          <w:instrText xml:space="preserve"> ADDIN EN.CITE &lt;EndNote&gt;&lt;Cite&gt;&lt;Author&gt;Marshall L&lt;/Author&gt;&lt;Year&gt;2014&lt;/Year&gt;&lt;RecNum&gt;67&lt;/RecNum&gt;&lt;DisplayText&gt;&lt;style face="superscript"&gt;12&lt;/style&gt;&lt;/DisplayText&gt;&lt;record&gt;&lt;rec-number&gt;67&lt;/rec-number&gt;&lt;foreign-keys&gt;&lt;key app="EN" db-id="pxsz0w0wuvwzapeptavv0erkef22f2rwz0w0"&gt;67&lt;/key&gt;&lt;/foreign-keys&gt;&lt;ref-type name="Report"&gt;27&lt;/ref-type&gt;&lt;contributors&gt;&lt;authors&gt;&lt;author&gt;Marshall L, &lt;/author&gt;&lt;author&gt;Charlesworth A, &lt;/author&gt;&lt;author&gt;Hurst J,&lt;/author&gt;&lt;/authors&gt;&lt;secondary-authors&gt;&lt;author&gt;Nuffield Trust,&lt;/author&gt;&lt;/secondary-authors&gt;&lt;/contributors&gt;&lt;titles&gt;&lt;title&gt;The NHS payment system: evolving policy and emerging evidence&lt;/title&gt;&lt;/titles&gt;&lt;dates&gt;&lt;year&gt;2014&lt;/year&gt;&lt;/dates&gt;&lt;urls&gt;&lt;/urls&gt;&lt;/record&gt;&lt;/Cite&gt;&lt;/EndNote&gt;</w:instrText>
        </w:r>
        <w:r w:rsidR="00402FBB" w:rsidRPr="00414A6D">
          <w:rPr>
            <w:rStyle w:val="IntenseReference"/>
            <w:rFonts w:ascii="Arial" w:hAnsi="Arial" w:cs="Arial"/>
            <w:b w:val="0"/>
            <w:bCs w:val="0"/>
            <w:i w:val="0"/>
            <w:smallCaps w:val="0"/>
            <w:color w:val="auto"/>
            <w:spacing w:val="0"/>
            <w:sz w:val="22"/>
            <w:szCs w:val="22"/>
            <w:lang w:val="en-US"/>
          </w:rPr>
          <w:fldChar w:fldCharType="separate"/>
        </w:r>
        <w:r w:rsidR="00402FBB" w:rsidRPr="00414A6D">
          <w:rPr>
            <w:rStyle w:val="IntenseReference"/>
            <w:rFonts w:ascii="Arial" w:hAnsi="Arial" w:cs="Arial"/>
            <w:b w:val="0"/>
            <w:bCs w:val="0"/>
            <w:i w:val="0"/>
            <w:smallCaps w:val="0"/>
            <w:noProof/>
            <w:color w:val="auto"/>
            <w:spacing w:val="0"/>
            <w:sz w:val="22"/>
            <w:szCs w:val="22"/>
            <w:vertAlign w:val="superscript"/>
            <w:lang w:val="en-US"/>
          </w:rPr>
          <w:t>12</w:t>
        </w:r>
        <w:r w:rsidR="00402FBB" w:rsidRPr="00414A6D">
          <w:rPr>
            <w:rStyle w:val="IntenseReference"/>
            <w:rFonts w:ascii="Arial" w:hAnsi="Arial" w:cs="Arial"/>
            <w:b w:val="0"/>
            <w:bCs w:val="0"/>
            <w:i w:val="0"/>
            <w:smallCaps w:val="0"/>
            <w:color w:val="auto"/>
            <w:spacing w:val="0"/>
            <w:sz w:val="22"/>
            <w:szCs w:val="22"/>
            <w:lang w:val="en-US"/>
          </w:rPr>
          <w:fldChar w:fldCharType="end"/>
        </w:r>
      </w:hyperlink>
      <w:r w:rsidR="00B61E00" w:rsidRPr="00414A6D">
        <w:rPr>
          <w:rStyle w:val="IntenseReference"/>
          <w:rFonts w:ascii="Arial" w:hAnsi="Arial" w:cs="Arial"/>
          <w:b w:val="0"/>
          <w:bCs w:val="0"/>
          <w:i w:val="0"/>
          <w:smallCaps w:val="0"/>
          <w:color w:val="auto"/>
          <w:spacing w:val="0"/>
          <w:sz w:val="22"/>
          <w:szCs w:val="22"/>
          <w:lang w:val="en-US"/>
        </w:rPr>
        <w:t xml:space="preserve">. </w:t>
      </w:r>
      <w:r w:rsidRPr="00414A6D">
        <w:rPr>
          <w:rStyle w:val="IntenseReference"/>
          <w:rFonts w:ascii="Arial" w:hAnsi="Arial" w:cs="Arial"/>
          <w:b w:val="0"/>
          <w:bCs w:val="0"/>
          <w:i w:val="0"/>
          <w:smallCaps w:val="0"/>
          <w:color w:val="auto"/>
          <w:spacing w:val="0"/>
          <w:sz w:val="22"/>
          <w:szCs w:val="22"/>
          <w:lang w:val="en-US"/>
        </w:rPr>
        <w:t xml:space="preserve">Patient-reported outcomes have not yet been formally evaluated. </w:t>
      </w:r>
    </w:p>
    <w:p w14:paraId="6E0D938C" w14:textId="77777777" w:rsidR="005E702F" w:rsidRPr="00414A6D" w:rsidRDefault="005E702F" w:rsidP="00D147A4">
      <w:pPr>
        <w:jc w:val="both"/>
        <w:rPr>
          <w:rStyle w:val="IntenseReference"/>
          <w:rFonts w:ascii="Arial" w:hAnsi="Arial" w:cs="Arial"/>
          <w:b w:val="0"/>
          <w:bCs w:val="0"/>
          <w:i w:val="0"/>
          <w:smallCaps w:val="0"/>
          <w:color w:val="auto"/>
          <w:spacing w:val="0"/>
          <w:sz w:val="22"/>
          <w:szCs w:val="22"/>
          <w:lang w:val="en-US"/>
        </w:rPr>
      </w:pPr>
    </w:p>
    <w:p w14:paraId="19E26031" w14:textId="77777777" w:rsidR="005E702F" w:rsidRPr="00414A6D" w:rsidRDefault="005E702F" w:rsidP="00D147A4">
      <w:pPr>
        <w:jc w:val="both"/>
        <w:rPr>
          <w:rStyle w:val="IntenseReference"/>
          <w:rFonts w:ascii="Arial" w:hAnsi="Arial" w:cs="Arial"/>
          <w:b w:val="0"/>
          <w:bCs w:val="0"/>
          <w:i w:val="0"/>
          <w:smallCaps w:val="0"/>
          <w:color w:val="auto"/>
          <w:spacing w:val="0"/>
          <w:sz w:val="22"/>
          <w:szCs w:val="22"/>
          <w:lang w:val="en-US"/>
        </w:rPr>
      </w:pPr>
      <w:r w:rsidRPr="00414A6D">
        <w:rPr>
          <w:rStyle w:val="IntenseReference"/>
          <w:rFonts w:ascii="Arial" w:hAnsi="Arial" w:cs="Arial"/>
          <w:b w:val="0"/>
          <w:bCs w:val="0"/>
          <w:i w:val="0"/>
          <w:smallCaps w:val="0"/>
          <w:color w:val="auto"/>
          <w:spacing w:val="0"/>
          <w:sz w:val="22"/>
          <w:szCs w:val="22"/>
          <w:lang w:val="en-US"/>
        </w:rPr>
        <w:t xml:space="preserve">Internal reviews of the Hip Fracture BPT have also demonstrated that there was no expenditure by the NHS in implementing the program. The total expenditure on hip fracture care by NHS purchasers has actually slightly reduced year by year (from </w:t>
      </w:r>
      <w:r w:rsidRPr="00414A6D">
        <w:rPr>
          <w:rFonts w:ascii="Arial" w:hAnsi="Arial" w:cs="Arial"/>
          <w:sz w:val="22"/>
          <w:szCs w:val="22"/>
        </w:rPr>
        <w:t>£320 million in the year prior to the BPT implementation to £295 million two years after implementation).</w:t>
      </w:r>
      <w:r w:rsidRPr="00414A6D">
        <w:rPr>
          <w:rFonts w:ascii="Arial" w:hAnsi="Arial" w:cs="Arial"/>
          <w:sz w:val="22"/>
          <w:szCs w:val="22"/>
          <w:vertAlign w:val="superscript"/>
        </w:rPr>
        <w:t>4</w:t>
      </w:r>
    </w:p>
    <w:p w14:paraId="1C90F4DF" w14:textId="77777777" w:rsidR="005E702F" w:rsidRPr="00414A6D" w:rsidRDefault="005E702F" w:rsidP="00D147A4">
      <w:pPr>
        <w:jc w:val="both"/>
        <w:rPr>
          <w:rFonts w:ascii="Arial" w:hAnsi="Arial" w:cs="Arial"/>
          <w:b/>
          <w:i/>
          <w:sz w:val="22"/>
          <w:szCs w:val="22"/>
        </w:rPr>
      </w:pPr>
      <w:r w:rsidRPr="00414A6D">
        <w:rPr>
          <w:rFonts w:ascii="Arial" w:hAnsi="Arial" w:cs="Arial"/>
          <w:b/>
          <w:sz w:val="22"/>
          <w:szCs w:val="22"/>
        </w:rPr>
        <w:t>NHS England 2014-15 National Tariff Payment System Report – Patient Reported Outcome Measures</w:t>
      </w:r>
      <w:hyperlink w:anchor="_ENREF_17" w:tooltip="National Health Service, 2014 #155" w:history="1">
        <w:r w:rsidR="00402FBB" w:rsidRPr="00414A6D">
          <w:rPr>
            <w:rFonts w:ascii="Arial" w:hAnsi="Arial" w:cs="Arial"/>
            <w:b/>
            <w:sz w:val="22"/>
            <w:szCs w:val="22"/>
          </w:rPr>
          <w:fldChar w:fldCharType="begin"/>
        </w:r>
        <w:r w:rsidR="00402FBB" w:rsidRPr="00414A6D">
          <w:rPr>
            <w:rFonts w:ascii="Arial" w:hAnsi="Arial" w:cs="Arial"/>
            <w:b/>
            <w:sz w:val="22"/>
            <w:szCs w:val="22"/>
          </w:rPr>
          <w:instrText xml:space="preserve"> ADDIN EN.CITE &lt;EndNote&gt;&lt;Cite&gt;&lt;Author&gt;Service&lt;/Author&gt;&lt;Year&gt;2014&lt;/Year&gt;&lt;RecNum&gt;155&lt;/RecNum&gt;&lt;DisplayText&gt;&lt;style face="superscript"&gt;17&lt;/style&gt;&lt;/DisplayText&gt;&lt;record&gt;&lt;rec-number&gt;155&lt;/rec-number&gt;&lt;foreign-keys&gt;&lt;key app="EN" db-id="pxsz0w0wuvwzapeptavv0erkef22f2rwz0w0"&gt;155&lt;/key&gt;&lt;/foreign-keys&gt;&lt;ref-type name="Report"&gt;27&lt;/ref-type&gt;&lt;contributors&gt;&lt;authors&gt;&lt;author&gt;National Health Service,&lt;/author&gt;&lt;/authors&gt;&lt;/contributors&gt;&lt;titles&gt;&lt;title&gt;2014-15 National Tariff Payment System Report&lt;/title&gt;&lt;/titles&gt;&lt;dates&gt;&lt;year&gt;2014&lt;/year&gt;&lt;/dates&gt;&lt;urls&gt;&lt;related-urls&gt;&lt;url&gt;https://www.gov.uk/government/uploads/system/uploads/attachment_data/file/300547/2014-15_National_Tariff_Payment_System_-Revised_26_Feb_14.pd&lt;/url&gt;&lt;/related-urls&gt;&lt;/urls&gt;&lt;/record&gt;&lt;/Cite&gt;&lt;/EndNote&gt;</w:instrText>
        </w:r>
        <w:r w:rsidR="00402FBB" w:rsidRPr="00414A6D">
          <w:rPr>
            <w:rFonts w:ascii="Arial" w:hAnsi="Arial" w:cs="Arial"/>
            <w:b/>
            <w:sz w:val="22"/>
            <w:szCs w:val="22"/>
          </w:rPr>
          <w:fldChar w:fldCharType="separate"/>
        </w:r>
        <w:r w:rsidR="00402FBB" w:rsidRPr="00414A6D">
          <w:rPr>
            <w:rFonts w:ascii="Arial" w:hAnsi="Arial" w:cs="Arial"/>
            <w:b/>
            <w:noProof/>
            <w:sz w:val="22"/>
            <w:szCs w:val="22"/>
            <w:vertAlign w:val="superscript"/>
          </w:rPr>
          <w:t>17</w:t>
        </w:r>
        <w:r w:rsidR="00402FBB" w:rsidRPr="00414A6D">
          <w:rPr>
            <w:rFonts w:ascii="Arial" w:hAnsi="Arial" w:cs="Arial"/>
            <w:b/>
            <w:sz w:val="22"/>
            <w:szCs w:val="22"/>
          </w:rPr>
          <w:fldChar w:fldCharType="end"/>
        </w:r>
      </w:hyperlink>
      <w:r w:rsidRPr="00414A6D">
        <w:rPr>
          <w:rFonts w:ascii="Arial" w:hAnsi="Arial" w:cs="Arial"/>
          <w:b/>
          <w:i/>
          <w:sz w:val="22"/>
          <w:szCs w:val="22"/>
        </w:rPr>
        <w:t xml:space="preserve"> </w:t>
      </w:r>
    </w:p>
    <w:p w14:paraId="000EC3EA" w14:textId="77777777" w:rsidR="00735A68" w:rsidRPr="00414A6D" w:rsidRDefault="00735A68" w:rsidP="00D147A4">
      <w:pPr>
        <w:jc w:val="both"/>
        <w:rPr>
          <w:rFonts w:ascii="Arial" w:hAnsi="Arial" w:cs="Arial"/>
          <w:b/>
          <w:i/>
          <w:sz w:val="22"/>
          <w:szCs w:val="22"/>
        </w:rPr>
      </w:pPr>
    </w:p>
    <w:p w14:paraId="517EA4A0" w14:textId="44B1E08B"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This BPT is </w:t>
      </w:r>
      <w:r w:rsidR="00735A68" w:rsidRPr="00414A6D">
        <w:rPr>
          <w:rFonts w:ascii="Arial" w:hAnsi="Arial" w:cs="Arial"/>
          <w:sz w:val="22"/>
          <w:szCs w:val="22"/>
        </w:rPr>
        <w:t>the</w:t>
      </w:r>
      <w:r w:rsidRPr="00414A6D">
        <w:rPr>
          <w:rFonts w:ascii="Arial" w:hAnsi="Arial" w:cs="Arial"/>
          <w:sz w:val="22"/>
          <w:szCs w:val="22"/>
        </w:rPr>
        <w:t xml:space="preserve"> first step towards linking payment to</w:t>
      </w:r>
      <w:r w:rsidR="00735A68" w:rsidRPr="00414A6D">
        <w:rPr>
          <w:rFonts w:ascii="Arial" w:hAnsi="Arial" w:cs="Arial"/>
          <w:sz w:val="22"/>
          <w:szCs w:val="22"/>
        </w:rPr>
        <w:t xml:space="preserve"> outcomes achieved for patients for the NHS. The system</w:t>
      </w:r>
      <w:r w:rsidRPr="00414A6D">
        <w:rPr>
          <w:rFonts w:ascii="Arial" w:hAnsi="Arial" w:cs="Arial"/>
          <w:sz w:val="22"/>
          <w:szCs w:val="22"/>
        </w:rPr>
        <w:t xml:space="preserve"> believe</w:t>
      </w:r>
      <w:r w:rsidR="00735A68" w:rsidRPr="00414A6D">
        <w:rPr>
          <w:rFonts w:ascii="Arial" w:hAnsi="Arial" w:cs="Arial"/>
          <w:sz w:val="22"/>
          <w:szCs w:val="22"/>
        </w:rPr>
        <w:t>s</w:t>
      </w:r>
      <w:r w:rsidRPr="00414A6D">
        <w:rPr>
          <w:rFonts w:ascii="Arial" w:hAnsi="Arial" w:cs="Arial"/>
          <w:sz w:val="22"/>
          <w:szCs w:val="22"/>
        </w:rPr>
        <w:t xml:space="preserve"> that through linking payment more closely to what matters to patients, namely their outcomes and experiences of care</w:t>
      </w:r>
      <w:r w:rsidR="00686288" w:rsidRPr="00414A6D">
        <w:rPr>
          <w:rFonts w:ascii="Arial" w:hAnsi="Arial" w:cs="Arial"/>
          <w:sz w:val="22"/>
          <w:szCs w:val="22"/>
        </w:rPr>
        <w:t>, incentives</w:t>
      </w:r>
      <w:r w:rsidRPr="00414A6D">
        <w:rPr>
          <w:rFonts w:ascii="Arial" w:hAnsi="Arial" w:cs="Arial"/>
          <w:sz w:val="22"/>
          <w:szCs w:val="22"/>
        </w:rPr>
        <w:t xml:space="preserve"> </w:t>
      </w:r>
      <w:r w:rsidR="00735A68" w:rsidRPr="00414A6D">
        <w:rPr>
          <w:rFonts w:ascii="Arial" w:hAnsi="Arial" w:cs="Arial"/>
          <w:sz w:val="22"/>
          <w:szCs w:val="22"/>
        </w:rPr>
        <w:t xml:space="preserve">can be created </w:t>
      </w:r>
      <w:r w:rsidRPr="00414A6D">
        <w:rPr>
          <w:rFonts w:ascii="Arial" w:hAnsi="Arial" w:cs="Arial"/>
          <w:sz w:val="22"/>
          <w:szCs w:val="22"/>
        </w:rPr>
        <w:t xml:space="preserve">for a more consistent delivery of efficient and clinically effective care. </w:t>
      </w:r>
    </w:p>
    <w:p w14:paraId="027E65F2" w14:textId="77777777" w:rsidR="005E702F" w:rsidRPr="00414A6D" w:rsidRDefault="005E702F" w:rsidP="00D147A4">
      <w:pPr>
        <w:jc w:val="both"/>
        <w:rPr>
          <w:rFonts w:ascii="Arial" w:hAnsi="Arial" w:cs="Arial"/>
          <w:sz w:val="22"/>
          <w:szCs w:val="22"/>
        </w:rPr>
      </w:pPr>
    </w:p>
    <w:p w14:paraId="4619B188"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The aim of the BPT is to reduce the unexplained variation that exists between providers in terms of the outcomes of surgery as reported by patients. The new BPT applies to all elective admissions that generate HRGs HB12B, HB12C, HB21B and HB21C. This BPT replaces the BPT for primary hip and knee replacements set out in previous 2013/14 guidance under the Payment by Results system. Payment of the BPT is conditional on criteria linked to data collected through Patient Reported Outcome Measures (PROMs) and the National Joint Registry (NJR), set out below. </w:t>
      </w:r>
    </w:p>
    <w:p w14:paraId="62BC8639" w14:textId="77777777" w:rsidR="005E702F" w:rsidRPr="00414A6D" w:rsidRDefault="005E702F" w:rsidP="00D147A4">
      <w:pPr>
        <w:jc w:val="both"/>
        <w:rPr>
          <w:rFonts w:ascii="Arial" w:hAnsi="Arial" w:cs="Arial"/>
          <w:sz w:val="22"/>
          <w:szCs w:val="22"/>
        </w:rPr>
      </w:pPr>
    </w:p>
    <w:p w14:paraId="7576250D"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There are considerable differences between individual providers’ levels of compliance with both the PROMs and NJR collections. Collecting data on quality of care through PROMs and clinical audits is important as these data underpin high quality care and can inform choices made by commissioners and patients, as well as the development of policy. By linking payment for the BPT to achieving minimum levels of compliance and consent rates, we aim to improve data collection, submission and response rates. </w:t>
      </w:r>
    </w:p>
    <w:p w14:paraId="50785696" w14:textId="77777777" w:rsidR="005E702F" w:rsidRPr="00414A6D" w:rsidRDefault="005E702F" w:rsidP="00D147A4">
      <w:pPr>
        <w:jc w:val="both"/>
        <w:rPr>
          <w:rFonts w:ascii="Arial" w:hAnsi="Arial" w:cs="Arial"/>
          <w:sz w:val="22"/>
          <w:szCs w:val="22"/>
        </w:rPr>
      </w:pPr>
    </w:p>
    <w:p w14:paraId="339EA3DE"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Payment of the new BPT is therefore conditional on two areas of </w:t>
      </w:r>
      <w:r w:rsidR="00346B84" w:rsidRPr="00414A6D">
        <w:rPr>
          <w:rFonts w:ascii="Arial" w:hAnsi="Arial" w:cs="Arial"/>
          <w:sz w:val="22"/>
          <w:szCs w:val="22"/>
        </w:rPr>
        <w:t>best-practice</w:t>
      </w:r>
      <w:r w:rsidRPr="00414A6D">
        <w:rPr>
          <w:rFonts w:ascii="Arial" w:hAnsi="Arial" w:cs="Arial"/>
          <w:sz w:val="22"/>
          <w:szCs w:val="22"/>
        </w:rPr>
        <w:t xml:space="preserve">. The criteria for payment of the BPT are: </w:t>
      </w:r>
    </w:p>
    <w:p w14:paraId="68013A49" w14:textId="77777777" w:rsidR="005E702F" w:rsidRPr="00414A6D" w:rsidRDefault="005E702F" w:rsidP="007B1510">
      <w:pPr>
        <w:pStyle w:val="ListParagraph"/>
        <w:numPr>
          <w:ilvl w:val="0"/>
          <w:numId w:val="11"/>
        </w:numPr>
        <w:jc w:val="both"/>
        <w:rPr>
          <w:rFonts w:ascii="Arial" w:hAnsi="Arial" w:cs="Arial"/>
          <w:sz w:val="22"/>
          <w:szCs w:val="22"/>
        </w:rPr>
      </w:pPr>
      <w:r w:rsidRPr="00414A6D">
        <w:rPr>
          <w:rFonts w:ascii="Arial" w:hAnsi="Arial" w:cs="Arial"/>
          <w:sz w:val="22"/>
          <w:szCs w:val="22"/>
        </w:rPr>
        <w:t>the provider not having an average health gain significantly below the national average (defined as 3 standard deviations (99.8% significance) below the mean)</w:t>
      </w:r>
    </w:p>
    <w:p w14:paraId="1225FD08" w14:textId="77777777" w:rsidR="005E702F" w:rsidRPr="00414A6D" w:rsidRDefault="005E702F" w:rsidP="007B1510">
      <w:pPr>
        <w:pStyle w:val="ListParagraph"/>
        <w:numPr>
          <w:ilvl w:val="0"/>
          <w:numId w:val="11"/>
        </w:numPr>
        <w:jc w:val="both"/>
        <w:rPr>
          <w:rFonts w:ascii="Arial" w:hAnsi="Arial" w:cs="Arial"/>
          <w:sz w:val="22"/>
          <w:szCs w:val="22"/>
        </w:rPr>
      </w:pPr>
      <w:r w:rsidRPr="00414A6D">
        <w:rPr>
          <w:rFonts w:ascii="Arial" w:hAnsi="Arial" w:cs="Arial"/>
          <w:sz w:val="22"/>
          <w:szCs w:val="22"/>
        </w:rPr>
        <w:t xml:space="preserve">the provider adhering to the following data submission standards: </w:t>
      </w:r>
    </w:p>
    <w:p w14:paraId="5668CEB5" w14:textId="77777777" w:rsidR="005E702F" w:rsidRPr="00414A6D" w:rsidRDefault="005E702F" w:rsidP="007B1510">
      <w:pPr>
        <w:pStyle w:val="ListParagraph"/>
        <w:numPr>
          <w:ilvl w:val="0"/>
          <w:numId w:val="10"/>
        </w:numPr>
        <w:jc w:val="both"/>
        <w:rPr>
          <w:rFonts w:ascii="Arial" w:hAnsi="Arial" w:cs="Arial"/>
          <w:sz w:val="22"/>
          <w:szCs w:val="22"/>
        </w:rPr>
      </w:pPr>
      <w:r w:rsidRPr="00414A6D">
        <w:rPr>
          <w:rFonts w:ascii="Arial" w:hAnsi="Arial" w:cs="Arial"/>
          <w:sz w:val="22"/>
          <w:szCs w:val="22"/>
        </w:rPr>
        <w:t xml:space="preserve">a minimum PROMs participation rate of 50%; </w:t>
      </w:r>
    </w:p>
    <w:p w14:paraId="0DCED571" w14:textId="77777777" w:rsidR="005E702F" w:rsidRPr="00414A6D" w:rsidRDefault="005E702F" w:rsidP="007B1510">
      <w:pPr>
        <w:pStyle w:val="ListParagraph"/>
        <w:numPr>
          <w:ilvl w:val="0"/>
          <w:numId w:val="10"/>
        </w:numPr>
        <w:jc w:val="both"/>
        <w:rPr>
          <w:rFonts w:ascii="Arial" w:hAnsi="Arial" w:cs="Arial"/>
          <w:sz w:val="22"/>
          <w:szCs w:val="22"/>
        </w:rPr>
      </w:pPr>
      <w:r w:rsidRPr="00414A6D">
        <w:rPr>
          <w:rFonts w:ascii="Arial" w:hAnsi="Arial" w:cs="Arial"/>
          <w:sz w:val="22"/>
          <w:szCs w:val="22"/>
        </w:rPr>
        <w:t xml:space="preserve">a minimum NJR compliance rate of 75%; and </w:t>
      </w:r>
    </w:p>
    <w:p w14:paraId="52DF01CD" w14:textId="77777777" w:rsidR="005E702F" w:rsidRPr="00414A6D" w:rsidRDefault="005E702F" w:rsidP="007B1510">
      <w:pPr>
        <w:pStyle w:val="ListParagraph"/>
        <w:numPr>
          <w:ilvl w:val="0"/>
          <w:numId w:val="10"/>
        </w:numPr>
        <w:jc w:val="both"/>
        <w:rPr>
          <w:rFonts w:ascii="Arial" w:hAnsi="Arial" w:cs="Arial"/>
          <w:sz w:val="22"/>
          <w:szCs w:val="22"/>
        </w:rPr>
      </w:pPr>
      <w:proofErr w:type="gramStart"/>
      <w:r w:rsidRPr="00414A6D">
        <w:rPr>
          <w:rFonts w:ascii="Arial" w:hAnsi="Arial" w:cs="Arial"/>
          <w:sz w:val="22"/>
          <w:szCs w:val="22"/>
        </w:rPr>
        <w:t>an</w:t>
      </w:r>
      <w:proofErr w:type="gramEnd"/>
      <w:r w:rsidRPr="00414A6D">
        <w:rPr>
          <w:rFonts w:ascii="Arial" w:hAnsi="Arial" w:cs="Arial"/>
          <w:sz w:val="22"/>
          <w:szCs w:val="22"/>
        </w:rPr>
        <w:t xml:space="preserve"> NJR unknown consent rate below 25%. </w:t>
      </w:r>
    </w:p>
    <w:p w14:paraId="505506B0"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Where these criteria are not met, providers will receive a price 10% below </w:t>
      </w:r>
      <w:r w:rsidR="00AD2C52" w:rsidRPr="00414A6D">
        <w:rPr>
          <w:rFonts w:ascii="Arial" w:hAnsi="Arial" w:cs="Arial"/>
          <w:sz w:val="22"/>
          <w:szCs w:val="22"/>
        </w:rPr>
        <w:t xml:space="preserve">the </w:t>
      </w:r>
      <w:r w:rsidR="00346B84" w:rsidRPr="00414A6D">
        <w:rPr>
          <w:rFonts w:ascii="Arial" w:hAnsi="Arial" w:cs="Arial"/>
          <w:sz w:val="22"/>
          <w:szCs w:val="22"/>
        </w:rPr>
        <w:t>best-practice</w:t>
      </w:r>
      <w:r w:rsidRPr="00414A6D">
        <w:rPr>
          <w:rFonts w:ascii="Arial" w:hAnsi="Arial" w:cs="Arial"/>
          <w:sz w:val="22"/>
          <w:szCs w:val="22"/>
        </w:rPr>
        <w:t xml:space="preserve"> price. </w:t>
      </w:r>
    </w:p>
    <w:p w14:paraId="68EE7962" w14:textId="77777777" w:rsidR="005E702F" w:rsidRPr="00414A6D" w:rsidRDefault="005E702F" w:rsidP="00D147A4">
      <w:pPr>
        <w:jc w:val="both"/>
        <w:rPr>
          <w:rFonts w:ascii="Arial" w:hAnsi="Arial" w:cs="Arial"/>
          <w:sz w:val="22"/>
          <w:szCs w:val="22"/>
        </w:rPr>
      </w:pPr>
    </w:p>
    <w:p w14:paraId="1FB39093"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Health gain will be measured by the condition-specific Oxford hip score and Oxford knee score after applying a </w:t>
      </w:r>
      <w:proofErr w:type="spellStart"/>
      <w:r w:rsidRPr="00414A6D">
        <w:rPr>
          <w:rFonts w:ascii="Arial" w:hAnsi="Arial" w:cs="Arial"/>
          <w:sz w:val="22"/>
          <w:szCs w:val="22"/>
        </w:rPr>
        <w:t>casemix</w:t>
      </w:r>
      <w:proofErr w:type="spellEnd"/>
      <w:r w:rsidRPr="00414A6D">
        <w:rPr>
          <w:rFonts w:ascii="Arial" w:hAnsi="Arial" w:cs="Arial"/>
          <w:sz w:val="22"/>
          <w:szCs w:val="22"/>
        </w:rPr>
        <w:t xml:space="preserve"> adjustment for primary joint replacement procedures only. The </w:t>
      </w:r>
      <w:proofErr w:type="spellStart"/>
      <w:r w:rsidRPr="00414A6D">
        <w:rPr>
          <w:rFonts w:ascii="Arial" w:hAnsi="Arial" w:cs="Arial"/>
          <w:sz w:val="22"/>
          <w:szCs w:val="22"/>
        </w:rPr>
        <w:t>casemix</w:t>
      </w:r>
      <w:proofErr w:type="spellEnd"/>
      <w:r w:rsidRPr="00414A6D">
        <w:rPr>
          <w:rFonts w:ascii="Arial" w:hAnsi="Arial" w:cs="Arial"/>
          <w:sz w:val="22"/>
          <w:szCs w:val="22"/>
        </w:rPr>
        <w:t xml:space="preserve"> adjustment controls for patient characteristics, including the patient’s health status before the operation and the average health that would be expected. </w:t>
      </w:r>
    </w:p>
    <w:p w14:paraId="46BE276D" w14:textId="77777777" w:rsidR="005E702F" w:rsidRPr="00414A6D" w:rsidRDefault="005E702F" w:rsidP="00D147A4">
      <w:pPr>
        <w:jc w:val="both"/>
        <w:rPr>
          <w:rFonts w:ascii="Arial" w:hAnsi="Arial" w:cs="Arial"/>
          <w:sz w:val="22"/>
          <w:szCs w:val="22"/>
        </w:rPr>
      </w:pPr>
    </w:p>
    <w:p w14:paraId="07FB5A24" w14:textId="77777777" w:rsidR="005E702F" w:rsidRPr="00414A6D" w:rsidRDefault="005E702F" w:rsidP="00D147A4">
      <w:pPr>
        <w:jc w:val="both"/>
        <w:rPr>
          <w:rFonts w:ascii="Arial" w:hAnsi="Arial" w:cs="Arial"/>
          <w:sz w:val="22"/>
          <w:szCs w:val="22"/>
        </w:rPr>
      </w:pPr>
      <w:r w:rsidRPr="00414A6D">
        <w:rPr>
          <w:rFonts w:ascii="Arial" w:hAnsi="Arial" w:cs="Arial"/>
          <w:sz w:val="22"/>
          <w:szCs w:val="22"/>
        </w:rPr>
        <w:t xml:space="preserve">Collections of these data are well established so we do not expect this new requirement to be burdensome to providers. These particular collections contain all of the information a commissioner would need to help identify whether a provider is achieving </w:t>
      </w:r>
      <w:r w:rsidR="00346B84" w:rsidRPr="00414A6D">
        <w:rPr>
          <w:rFonts w:ascii="Arial" w:hAnsi="Arial" w:cs="Arial"/>
          <w:sz w:val="22"/>
          <w:szCs w:val="22"/>
        </w:rPr>
        <w:t>best-practice</w:t>
      </w:r>
      <w:r w:rsidRPr="00414A6D">
        <w:rPr>
          <w:rFonts w:ascii="Arial" w:hAnsi="Arial" w:cs="Arial"/>
          <w:sz w:val="22"/>
          <w:szCs w:val="22"/>
        </w:rPr>
        <w:t xml:space="preserve">. As data are regularly updated and published, commissioners will need to use the latest available data sets to assess whether or not providers have met the </w:t>
      </w:r>
      <w:r w:rsidR="00346B84" w:rsidRPr="00414A6D">
        <w:rPr>
          <w:rFonts w:ascii="Arial" w:hAnsi="Arial" w:cs="Arial"/>
          <w:sz w:val="22"/>
          <w:szCs w:val="22"/>
        </w:rPr>
        <w:t>best-practice</w:t>
      </w:r>
      <w:r w:rsidRPr="00414A6D">
        <w:rPr>
          <w:rFonts w:ascii="Arial" w:hAnsi="Arial" w:cs="Arial"/>
          <w:sz w:val="22"/>
          <w:szCs w:val="22"/>
        </w:rPr>
        <w:t xml:space="preserve"> payment </w:t>
      </w:r>
    </w:p>
    <w:p w14:paraId="50BDCCE0" w14:textId="77777777" w:rsidR="005E702F" w:rsidRPr="00414A6D" w:rsidRDefault="005E702F" w:rsidP="00D147A4">
      <w:pPr>
        <w:jc w:val="both"/>
        <w:rPr>
          <w:rFonts w:ascii="Arial" w:hAnsi="Arial" w:cs="Arial"/>
          <w:sz w:val="22"/>
          <w:szCs w:val="22"/>
        </w:rPr>
      </w:pPr>
      <w:proofErr w:type="gramStart"/>
      <w:r w:rsidRPr="00414A6D">
        <w:rPr>
          <w:rFonts w:ascii="Arial" w:hAnsi="Arial" w:cs="Arial"/>
          <w:sz w:val="22"/>
          <w:szCs w:val="22"/>
        </w:rPr>
        <w:t>criteria</w:t>
      </w:r>
      <w:proofErr w:type="gramEnd"/>
      <w:r w:rsidRPr="00414A6D">
        <w:rPr>
          <w:rFonts w:ascii="Arial" w:hAnsi="Arial" w:cs="Arial"/>
          <w:sz w:val="22"/>
          <w:szCs w:val="22"/>
        </w:rPr>
        <w:t xml:space="preserve">. These are to be found at: </w:t>
      </w:r>
    </w:p>
    <w:p w14:paraId="1C699740" w14:textId="77777777" w:rsidR="005E702F" w:rsidRPr="00414A6D" w:rsidRDefault="005E702F" w:rsidP="007B1510">
      <w:pPr>
        <w:pStyle w:val="ListParagraph"/>
        <w:numPr>
          <w:ilvl w:val="0"/>
          <w:numId w:val="9"/>
        </w:numPr>
        <w:jc w:val="both"/>
        <w:rPr>
          <w:rFonts w:ascii="Arial" w:hAnsi="Arial" w:cs="Arial"/>
          <w:sz w:val="22"/>
          <w:szCs w:val="22"/>
        </w:rPr>
      </w:pPr>
      <w:r w:rsidRPr="00414A6D">
        <w:rPr>
          <w:rFonts w:ascii="Arial" w:hAnsi="Arial" w:cs="Arial"/>
          <w:sz w:val="22"/>
          <w:szCs w:val="22"/>
        </w:rPr>
        <w:t xml:space="preserve">PROMs: </w:t>
      </w:r>
      <w:hyperlink r:id="rId22" w:history="1">
        <w:r w:rsidRPr="00414A6D">
          <w:rPr>
            <w:rStyle w:val="Hyperlink"/>
            <w:rFonts w:ascii="Arial" w:hAnsi="Arial" w:cs="Arial"/>
            <w:sz w:val="22"/>
            <w:szCs w:val="22"/>
          </w:rPr>
          <w:t>www.hscic.gov.uk/proms</w:t>
        </w:r>
      </w:hyperlink>
      <w:r w:rsidRPr="00414A6D">
        <w:rPr>
          <w:rFonts w:ascii="Arial" w:hAnsi="Arial" w:cs="Arial"/>
          <w:sz w:val="22"/>
          <w:szCs w:val="22"/>
        </w:rPr>
        <w:t xml:space="preserve">  </w:t>
      </w:r>
    </w:p>
    <w:p w14:paraId="19DC3EFB" w14:textId="77777777" w:rsidR="005E702F" w:rsidRPr="00414A6D" w:rsidRDefault="005E702F" w:rsidP="007B1510">
      <w:pPr>
        <w:pStyle w:val="ListParagraph"/>
        <w:numPr>
          <w:ilvl w:val="0"/>
          <w:numId w:val="9"/>
        </w:numPr>
        <w:jc w:val="both"/>
        <w:rPr>
          <w:rFonts w:ascii="Arial" w:hAnsi="Arial" w:cs="Arial"/>
          <w:sz w:val="22"/>
          <w:szCs w:val="22"/>
        </w:rPr>
      </w:pPr>
      <w:r w:rsidRPr="00414A6D">
        <w:rPr>
          <w:rFonts w:ascii="Arial" w:hAnsi="Arial" w:cs="Arial"/>
          <w:sz w:val="22"/>
          <w:szCs w:val="22"/>
        </w:rPr>
        <w:t xml:space="preserve">NJR: </w:t>
      </w:r>
      <w:hyperlink r:id="rId23" w:history="1">
        <w:r w:rsidRPr="00414A6D">
          <w:rPr>
            <w:rStyle w:val="Hyperlink"/>
            <w:rFonts w:ascii="Arial" w:hAnsi="Arial" w:cs="Arial"/>
            <w:sz w:val="22"/>
            <w:szCs w:val="22"/>
          </w:rPr>
          <w:t>www.njrcentre.org.uk</w:t>
        </w:r>
      </w:hyperlink>
      <w:r w:rsidRPr="00414A6D">
        <w:rPr>
          <w:rFonts w:ascii="Arial" w:hAnsi="Arial" w:cs="Arial"/>
          <w:sz w:val="22"/>
          <w:szCs w:val="22"/>
        </w:rPr>
        <w:t xml:space="preserve"> </w:t>
      </w:r>
    </w:p>
    <w:p w14:paraId="3168D6A9" w14:textId="77777777" w:rsidR="005E702F" w:rsidRPr="00414A6D" w:rsidRDefault="005E702F" w:rsidP="00D147A4">
      <w:pPr>
        <w:jc w:val="both"/>
        <w:rPr>
          <w:rFonts w:ascii="Arial" w:hAnsi="Arial" w:cs="Arial"/>
          <w:sz w:val="22"/>
          <w:szCs w:val="22"/>
        </w:rPr>
      </w:pPr>
    </w:p>
    <w:p w14:paraId="1DFFE312" w14:textId="77777777" w:rsidR="005E702F" w:rsidRPr="00414A6D" w:rsidRDefault="005E702F" w:rsidP="00D147A4">
      <w:pPr>
        <w:jc w:val="both"/>
        <w:rPr>
          <w:rFonts w:ascii="Arial" w:hAnsi="Arial" w:cs="Arial"/>
          <w:b/>
          <w:color w:val="3333CC"/>
          <w:sz w:val="28"/>
          <w:szCs w:val="28"/>
        </w:rPr>
      </w:pPr>
      <w:r w:rsidRPr="00414A6D">
        <w:rPr>
          <w:rFonts w:ascii="Arial" w:hAnsi="Arial" w:cs="Arial"/>
          <w:sz w:val="22"/>
          <w:szCs w:val="22"/>
        </w:rPr>
        <w:t xml:space="preserve">This is a new and innovative approach to BPTs and the payment criteria have been set accordingly. The minimum criteria required to receive the BPT have been set at a level thought achievable by most providers but below levels currently delivered by the highest achieving providers. The intention is that these rates will increase in future years in line with improvements. Therefore, all providers should strive to improve regardless of whether or not they meet the current standard. The intention is that providers and commissioners will monitor their data and, where identified as outliers, improve their performance. We recognise that there are circumstances where some providers will not be able to demonstrate that they meet all of the </w:t>
      </w:r>
      <w:r w:rsidR="00346B84" w:rsidRPr="00414A6D">
        <w:rPr>
          <w:rFonts w:ascii="Arial" w:hAnsi="Arial" w:cs="Arial"/>
          <w:sz w:val="22"/>
          <w:szCs w:val="22"/>
        </w:rPr>
        <w:t>best-practice</w:t>
      </w:r>
      <w:r w:rsidRPr="00414A6D">
        <w:rPr>
          <w:rFonts w:ascii="Arial" w:hAnsi="Arial" w:cs="Arial"/>
          <w:sz w:val="22"/>
          <w:szCs w:val="22"/>
        </w:rPr>
        <w:t xml:space="preserve"> criteria, but where it would be inappropriate for the full BPT not to be paid. </w:t>
      </w:r>
    </w:p>
    <w:p w14:paraId="7CB6DC90" w14:textId="77777777" w:rsidR="005E702F" w:rsidRPr="00414A6D" w:rsidRDefault="005E702F" w:rsidP="00D147A4">
      <w:pPr>
        <w:jc w:val="both"/>
        <w:rPr>
          <w:rFonts w:ascii="Arial" w:hAnsi="Arial" w:cs="Arial"/>
          <w:b/>
          <w:color w:val="76923C" w:themeColor="accent3" w:themeShade="BF"/>
          <w:sz w:val="21"/>
          <w:szCs w:val="21"/>
        </w:rPr>
      </w:pPr>
      <w:r w:rsidRPr="00414A6D">
        <w:rPr>
          <w:rFonts w:ascii="Arial" w:hAnsi="Arial" w:cs="Arial"/>
          <w:b/>
          <w:color w:val="76923C" w:themeColor="accent3" w:themeShade="BF"/>
          <w:sz w:val="21"/>
          <w:szCs w:val="21"/>
        </w:rPr>
        <w:br w:type="page"/>
      </w:r>
    </w:p>
    <w:p w14:paraId="0E3874E7" w14:textId="77777777" w:rsidR="008F41E2" w:rsidRPr="00D41ED6" w:rsidRDefault="00B61E00" w:rsidP="00D41ED6">
      <w:pPr>
        <w:pStyle w:val="Heading2"/>
        <w:numPr>
          <w:ilvl w:val="0"/>
          <w:numId w:val="0"/>
        </w:numPr>
        <w:rPr>
          <w:b w:val="0"/>
          <w:sz w:val="22"/>
          <w:szCs w:val="22"/>
        </w:rPr>
      </w:pPr>
      <w:bookmarkStart w:id="47" w:name="_Toc426633824"/>
      <w:r w:rsidRPr="00D41ED6">
        <w:rPr>
          <w:sz w:val="22"/>
          <w:szCs w:val="22"/>
        </w:rPr>
        <w:t>Appendix</w:t>
      </w:r>
      <w:r w:rsidR="00303073" w:rsidRPr="00D41ED6">
        <w:rPr>
          <w:sz w:val="22"/>
          <w:szCs w:val="22"/>
        </w:rPr>
        <w:t xml:space="preserve"> </w:t>
      </w:r>
      <w:r w:rsidR="009E4B30" w:rsidRPr="00D41ED6">
        <w:rPr>
          <w:sz w:val="22"/>
          <w:szCs w:val="22"/>
        </w:rPr>
        <w:t>F</w:t>
      </w:r>
      <w:r w:rsidR="00303073" w:rsidRPr="00D41ED6">
        <w:rPr>
          <w:sz w:val="22"/>
          <w:szCs w:val="22"/>
        </w:rPr>
        <w:t>.</w:t>
      </w:r>
      <w:r w:rsidR="00735A68" w:rsidRPr="00D41ED6">
        <w:rPr>
          <w:sz w:val="22"/>
          <w:szCs w:val="22"/>
        </w:rPr>
        <w:t xml:space="preserve"> </w:t>
      </w:r>
      <w:r w:rsidR="008F41E2" w:rsidRPr="00D41ED6">
        <w:rPr>
          <w:sz w:val="22"/>
          <w:szCs w:val="22"/>
        </w:rPr>
        <w:t xml:space="preserve">Supporting analysis for Chapter 5 - </w:t>
      </w:r>
      <w:r w:rsidR="00735A68" w:rsidRPr="003B14AB">
        <w:rPr>
          <w:sz w:val="22"/>
          <w:szCs w:val="22"/>
        </w:rPr>
        <w:t>Designing a</w:t>
      </w:r>
      <w:r w:rsidR="006570B3" w:rsidRPr="00940602">
        <w:rPr>
          <w:sz w:val="22"/>
          <w:szCs w:val="22"/>
        </w:rPr>
        <w:t xml:space="preserve"> national </w:t>
      </w:r>
      <w:r w:rsidR="00735A68" w:rsidRPr="00940602">
        <w:rPr>
          <w:sz w:val="22"/>
          <w:szCs w:val="22"/>
        </w:rPr>
        <w:t>b</w:t>
      </w:r>
      <w:r w:rsidR="00346B84" w:rsidRPr="007F2BCE">
        <w:rPr>
          <w:sz w:val="22"/>
          <w:szCs w:val="22"/>
        </w:rPr>
        <w:t>est</w:t>
      </w:r>
      <w:r w:rsidR="00564B2C" w:rsidRPr="00D41ED6">
        <w:rPr>
          <w:sz w:val="22"/>
          <w:szCs w:val="22"/>
        </w:rPr>
        <w:noBreakHyphen/>
      </w:r>
      <w:r w:rsidR="00346B84" w:rsidRPr="00D41ED6">
        <w:rPr>
          <w:sz w:val="22"/>
          <w:szCs w:val="22"/>
        </w:rPr>
        <w:t>practice</w:t>
      </w:r>
      <w:r w:rsidR="008F41E2" w:rsidRPr="00D41ED6">
        <w:rPr>
          <w:sz w:val="22"/>
          <w:szCs w:val="22"/>
        </w:rPr>
        <w:t xml:space="preserve"> pricing model </w:t>
      </w:r>
      <w:r w:rsidR="006570B3" w:rsidRPr="00D41ED6">
        <w:rPr>
          <w:sz w:val="22"/>
          <w:szCs w:val="22"/>
        </w:rPr>
        <w:t>for hip fracture care</w:t>
      </w:r>
      <w:bookmarkEnd w:id="47"/>
    </w:p>
    <w:p w14:paraId="26E98DAC" w14:textId="77777777" w:rsidR="008F41E2" w:rsidRPr="00414A6D" w:rsidRDefault="008F41E2" w:rsidP="007B7596">
      <w:pPr>
        <w:jc w:val="both"/>
        <w:rPr>
          <w:rFonts w:ascii="Arial" w:hAnsi="Arial" w:cs="Arial"/>
          <w:sz w:val="22"/>
          <w:szCs w:val="22"/>
        </w:rPr>
      </w:pPr>
    </w:p>
    <w:p w14:paraId="68ECCB76" w14:textId="77777777" w:rsidR="008F41E2" w:rsidRPr="00414A6D" w:rsidRDefault="008F41E2" w:rsidP="008F41E2">
      <w:pPr>
        <w:spacing w:after="12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1</w:t>
      </w:r>
      <w:r w:rsidRPr="00414A6D">
        <w:rPr>
          <w:rFonts w:ascii="Arial" w:hAnsi="Arial" w:cs="Arial"/>
          <w:sz w:val="22"/>
          <w:szCs w:val="22"/>
        </w:rPr>
        <w:tab/>
      </w:r>
      <w:r w:rsidRPr="00414A6D">
        <w:rPr>
          <w:rFonts w:ascii="Arial" w:hAnsi="Arial" w:cs="Arial"/>
          <w:sz w:val="22"/>
          <w:szCs w:val="22"/>
          <w:u w:val="single"/>
        </w:rPr>
        <w:t xml:space="preserve">Defining hip fracture diagnoses for the initial cohort </w:t>
      </w:r>
    </w:p>
    <w:tbl>
      <w:tblPr>
        <w:tblStyle w:val="TableGrid"/>
        <w:tblW w:w="0" w:type="auto"/>
        <w:tblLook w:val="04A0" w:firstRow="1" w:lastRow="0" w:firstColumn="1" w:lastColumn="0" w:noHBand="0" w:noVBand="1"/>
      </w:tblPr>
      <w:tblGrid>
        <w:gridCol w:w="1384"/>
        <w:gridCol w:w="7858"/>
      </w:tblGrid>
      <w:tr w:rsidR="008F41E2" w:rsidRPr="00414A6D" w14:paraId="0DD95CB6" w14:textId="77777777" w:rsidTr="008F41E2">
        <w:tc>
          <w:tcPr>
            <w:tcW w:w="1384" w:type="dxa"/>
            <w:shd w:val="clear" w:color="auto" w:fill="92D050"/>
            <w:vAlign w:val="bottom"/>
          </w:tcPr>
          <w:p w14:paraId="5F464EBF" w14:textId="77777777" w:rsidR="008F41E2" w:rsidRPr="00414A6D" w:rsidRDefault="008F41E2" w:rsidP="008F41E2">
            <w:pPr>
              <w:spacing w:before="40" w:after="40"/>
              <w:rPr>
                <w:rFonts w:ascii="Arial" w:hAnsi="Arial" w:cs="Arial"/>
                <w:sz w:val="22"/>
                <w:szCs w:val="22"/>
              </w:rPr>
            </w:pPr>
            <w:r w:rsidRPr="00414A6D">
              <w:rPr>
                <w:rFonts w:ascii="Arial" w:hAnsi="Arial" w:cs="Arial"/>
                <w:b/>
                <w:sz w:val="22"/>
                <w:szCs w:val="22"/>
              </w:rPr>
              <w:t xml:space="preserve">Diagnosis code </w:t>
            </w:r>
          </w:p>
        </w:tc>
        <w:tc>
          <w:tcPr>
            <w:tcW w:w="7858" w:type="dxa"/>
            <w:shd w:val="clear" w:color="auto" w:fill="92D050"/>
            <w:vAlign w:val="bottom"/>
          </w:tcPr>
          <w:p w14:paraId="2747F045" w14:textId="77777777" w:rsidR="008F41E2" w:rsidRPr="00414A6D" w:rsidRDefault="008F41E2" w:rsidP="008F41E2">
            <w:pPr>
              <w:spacing w:before="40" w:after="40"/>
              <w:rPr>
                <w:rFonts w:ascii="Arial" w:hAnsi="Arial" w:cs="Arial"/>
                <w:sz w:val="22"/>
                <w:szCs w:val="22"/>
              </w:rPr>
            </w:pPr>
            <w:r w:rsidRPr="00414A6D">
              <w:rPr>
                <w:rFonts w:ascii="Arial" w:hAnsi="Arial" w:cs="Arial"/>
                <w:b/>
                <w:sz w:val="22"/>
                <w:szCs w:val="22"/>
              </w:rPr>
              <w:t>Diagnosis</w:t>
            </w:r>
          </w:p>
        </w:tc>
      </w:tr>
      <w:tr w:rsidR="008F41E2" w:rsidRPr="00414A6D" w14:paraId="75A7D4C6" w14:textId="77777777" w:rsidTr="008F41E2">
        <w:tc>
          <w:tcPr>
            <w:tcW w:w="1384" w:type="dxa"/>
            <w:vAlign w:val="center"/>
          </w:tcPr>
          <w:p w14:paraId="66C67D31"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S72.00 </w:t>
            </w:r>
          </w:p>
        </w:tc>
        <w:tc>
          <w:tcPr>
            <w:tcW w:w="7858" w:type="dxa"/>
            <w:vAlign w:val="center"/>
          </w:tcPr>
          <w:p w14:paraId="67BDC127"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Fracture of neck of femur, part unspecified</w:t>
            </w:r>
          </w:p>
        </w:tc>
      </w:tr>
      <w:tr w:rsidR="008F41E2" w:rsidRPr="00414A6D" w14:paraId="70CAD61F" w14:textId="77777777" w:rsidTr="008F41E2">
        <w:tc>
          <w:tcPr>
            <w:tcW w:w="1384" w:type="dxa"/>
            <w:vAlign w:val="center"/>
          </w:tcPr>
          <w:p w14:paraId="429AA771"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S72.01 </w:t>
            </w:r>
          </w:p>
        </w:tc>
        <w:tc>
          <w:tcPr>
            <w:tcW w:w="7858" w:type="dxa"/>
            <w:vAlign w:val="center"/>
          </w:tcPr>
          <w:p w14:paraId="4216691A"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Fracture of </w:t>
            </w:r>
            <w:proofErr w:type="spellStart"/>
            <w:r w:rsidRPr="00414A6D">
              <w:rPr>
                <w:rFonts w:ascii="Arial" w:hAnsi="Arial" w:cs="Arial"/>
                <w:sz w:val="22"/>
                <w:szCs w:val="22"/>
              </w:rPr>
              <w:t>intracapsular</w:t>
            </w:r>
            <w:proofErr w:type="spellEnd"/>
            <w:r w:rsidRPr="00414A6D">
              <w:rPr>
                <w:rFonts w:ascii="Arial" w:hAnsi="Arial" w:cs="Arial"/>
                <w:sz w:val="22"/>
                <w:szCs w:val="22"/>
              </w:rPr>
              <w:t xml:space="preserve"> section of femur</w:t>
            </w:r>
          </w:p>
        </w:tc>
      </w:tr>
      <w:tr w:rsidR="008F41E2" w:rsidRPr="00414A6D" w14:paraId="31536293" w14:textId="77777777" w:rsidTr="008F41E2">
        <w:tc>
          <w:tcPr>
            <w:tcW w:w="1384" w:type="dxa"/>
            <w:vAlign w:val="center"/>
          </w:tcPr>
          <w:p w14:paraId="30854EA3"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S72.02 </w:t>
            </w:r>
          </w:p>
        </w:tc>
        <w:tc>
          <w:tcPr>
            <w:tcW w:w="7858" w:type="dxa"/>
            <w:vAlign w:val="center"/>
          </w:tcPr>
          <w:p w14:paraId="052681EF"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Fracture of upper epiphysis (separation) of femur</w:t>
            </w:r>
          </w:p>
        </w:tc>
      </w:tr>
      <w:tr w:rsidR="008F41E2" w:rsidRPr="00414A6D" w14:paraId="775A9D8C" w14:textId="77777777" w:rsidTr="008F41E2">
        <w:tc>
          <w:tcPr>
            <w:tcW w:w="1384" w:type="dxa"/>
            <w:vAlign w:val="center"/>
          </w:tcPr>
          <w:p w14:paraId="66F97672"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S72.03 </w:t>
            </w:r>
          </w:p>
        </w:tc>
        <w:tc>
          <w:tcPr>
            <w:tcW w:w="7858" w:type="dxa"/>
            <w:vAlign w:val="center"/>
          </w:tcPr>
          <w:p w14:paraId="0B41D37A"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Fracture of </w:t>
            </w:r>
            <w:proofErr w:type="spellStart"/>
            <w:r w:rsidRPr="00414A6D">
              <w:rPr>
                <w:rFonts w:ascii="Arial" w:hAnsi="Arial" w:cs="Arial"/>
                <w:sz w:val="22"/>
                <w:szCs w:val="22"/>
              </w:rPr>
              <w:t>subcapital</w:t>
            </w:r>
            <w:proofErr w:type="spellEnd"/>
            <w:r w:rsidRPr="00414A6D">
              <w:rPr>
                <w:rFonts w:ascii="Arial" w:hAnsi="Arial" w:cs="Arial"/>
                <w:sz w:val="22"/>
                <w:szCs w:val="22"/>
              </w:rPr>
              <w:t xml:space="preserve"> section of femur</w:t>
            </w:r>
          </w:p>
        </w:tc>
      </w:tr>
      <w:tr w:rsidR="008F41E2" w:rsidRPr="00414A6D" w14:paraId="5167DB64" w14:textId="77777777" w:rsidTr="008F41E2">
        <w:tc>
          <w:tcPr>
            <w:tcW w:w="1384" w:type="dxa"/>
            <w:vAlign w:val="center"/>
          </w:tcPr>
          <w:p w14:paraId="6A5B06D5"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S72.04</w:t>
            </w:r>
          </w:p>
        </w:tc>
        <w:tc>
          <w:tcPr>
            <w:tcW w:w="7858" w:type="dxa"/>
            <w:vAlign w:val="center"/>
          </w:tcPr>
          <w:p w14:paraId="412206B3"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Fracture of </w:t>
            </w:r>
            <w:proofErr w:type="spellStart"/>
            <w:r w:rsidRPr="00414A6D">
              <w:rPr>
                <w:rFonts w:ascii="Arial" w:hAnsi="Arial" w:cs="Arial"/>
                <w:sz w:val="22"/>
                <w:szCs w:val="22"/>
              </w:rPr>
              <w:t>midcervical</w:t>
            </w:r>
            <w:proofErr w:type="spellEnd"/>
            <w:r w:rsidRPr="00414A6D">
              <w:rPr>
                <w:rFonts w:ascii="Arial" w:hAnsi="Arial" w:cs="Arial"/>
                <w:sz w:val="22"/>
                <w:szCs w:val="22"/>
              </w:rPr>
              <w:t xml:space="preserve"> section of femur (</w:t>
            </w:r>
            <w:proofErr w:type="spellStart"/>
            <w:r w:rsidRPr="00414A6D">
              <w:rPr>
                <w:rFonts w:ascii="Arial" w:hAnsi="Arial" w:cs="Arial"/>
                <w:sz w:val="22"/>
                <w:szCs w:val="22"/>
              </w:rPr>
              <w:t>Transcervical</w:t>
            </w:r>
            <w:proofErr w:type="spellEnd"/>
            <w:r w:rsidRPr="00414A6D">
              <w:rPr>
                <w:rFonts w:ascii="Arial" w:hAnsi="Arial" w:cs="Arial"/>
                <w:sz w:val="22"/>
                <w:szCs w:val="22"/>
              </w:rPr>
              <w:t xml:space="preserve"> Not Otherwise Specified)</w:t>
            </w:r>
          </w:p>
        </w:tc>
      </w:tr>
      <w:tr w:rsidR="008F41E2" w:rsidRPr="00414A6D" w14:paraId="7442235A" w14:textId="77777777" w:rsidTr="008F41E2">
        <w:tc>
          <w:tcPr>
            <w:tcW w:w="1384" w:type="dxa"/>
            <w:vAlign w:val="center"/>
          </w:tcPr>
          <w:p w14:paraId="1858676B"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S72.05 </w:t>
            </w:r>
          </w:p>
        </w:tc>
        <w:tc>
          <w:tcPr>
            <w:tcW w:w="7858" w:type="dxa"/>
            <w:vAlign w:val="center"/>
          </w:tcPr>
          <w:p w14:paraId="1284306B"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Fracture of base of neck of femur (</w:t>
            </w:r>
            <w:proofErr w:type="spellStart"/>
            <w:r w:rsidRPr="00414A6D">
              <w:rPr>
                <w:rFonts w:ascii="Arial" w:hAnsi="Arial" w:cs="Arial"/>
                <w:sz w:val="22"/>
                <w:szCs w:val="22"/>
              </w:rPr>
              <w:t>Cervicotrochanteric</w:t>
            </w:r>
            <w:proofErr w:type="spellEnd"/>
            <w:r w:rsidRPr="00414A6D">
              <w:rPr>
                <w:rFonts w:ascii="Arial" w:hAnsi="Arial" w:cs="Arial"/>
                <w:sz w:val="22"/>
                <w:szCs w:val="22"/>
              </w:rPr>
              <w:t xml:space="preserve"> section)</w:t>
            </w:r>
          </w:p>
        </w:tc>
      </w:tr>
      <w:tr w:rsidR="008F41E2" w:rsidRPr="00414A6D" w14:paraId="7BB8C8BF" w14:textId="77777777" w:rsidTr="008F41E2">
        <w:tc>
          <w:tcPr>
            <w:tcW w:w="1384" w:type="dxa"/>
            <w:vAlign w:val="center"/>
          </w:tcPr>
          <w:p w14:paraId="28533386"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S72.08 </w:t>
            </w:r>
          </w:p>
        </w:tc>
        <w:tc>
          <w:tcPr>
            <w:tcW w:w="7858" w:type="dxa"/>
            <w:vAlign w:val="center"/>
          </w:tcPr>
          <w:p w14:paraId="1AEC7107"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Fracture of other parts of neck of femur (Fracture of hip Not Otherwise Specified, Head of femur)</w:t>
            </w:r>
          </w:p>
        </w:tc>
      </w:tr>
      <w:tr w:rsidR="008F41E2" w:rsidRPr="00414A6D" w14:paraId="1C192917" w14:textId="77777777" w:rsidTr="008F41E2">
        <w:tc>
          <w:tcPr>
            <w:tcW w:w="1384" w:type="dxa"/>
            <w:vAlign w:val="center"/>
          </w:tcPr>
          <w:p w14:paraId="7AFA31DB"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S72.10 </w:t>
            </w:r>
          </w:p>
        </w:tc>
        <w:tc>
          <w:tcPr>
            <w:tcW w:w="7858" w:type="dxa"/>
            <w:vAlign w:val="center"/>
          </w:tcPr>
          <w:p w14:paraId="6B57A31B"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Fracture of trochanteric section of femur, unspecified, (Greater trochanter, lesser trochanter, </w:t>
            </w:r>
            <w:proofErr w:type="spellStart"/>
            <w:r w:rsidRPr="00414A6D">
              <w:rPr>
                <w:rFonts w:ascii="Arial" w:hAnsi="Arial" w:cs="Arial"/>
                <w:sz w:val="22"/>
                <w:szCs w:val="22"/>
              </w:rPr>
              <w:t>transtrochanteric</w:t>
            </w:r>
            <w:proofErr w:type="spellEnd"/>
            <w:r w:rsidRPr="00414A6D">
              <w:rPr>
                <w:rFonts w:ascii="Arial" w:hAnsi="Arial" w:cs="Arial"/>
                <w:sz w:val="22"/>
                <w:szCs w:val="22"/>
              </w:rPr>
              <w:t xml:space="preserve"> fracture)</w:t>
            </w:r>
          </w:p>
        </w:tc>
      </w:tr>
      <w:tr w:rsidR="008F41E2" w:rsidRPr="00414A6D" w14:paraId="77A0E664" w14:textId="77777777" w:rsidTr="008F41E2">
        <w:tc>
          <w:tcPr>
            <w:tcW w:w="1384" w:type="dxa"/>
            <w:vAlign w:val="center"/>
          </w:tcPr>
          <w:p w14:paraId="0C4A0896"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S72.11 </w:t>
            </w:r>
          </w:p>
        </w:tc>
        <w:tc>
          <w:tcPr>
            <w:tcW w:w="7858" w:type="dxa"/>
            <w:vAlign w:val="center"/>
          </w:tcPr>
          <w:p w14:paraId="0F3822EF"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Fracture of intertrochanteric section of femur</w:t>
            </w:r>
          </w:p>
        </w:tc>
      </w:tr>
      <w:tr w:rsidR="008F41E2" w:rsidRPr="00414A6D" w14:paraId="13AC50D2" w14:textId="77777777" w:rsidTr="008F41E2">
        <w:tc>
          <w:tcPr>
            <w:tcW w:w="1384" w:type="dxa"/>
            <w:vAlign w:val="center"/>
          </w:tcPr>
          <w:p w14:paraId="72B373AD" w14:textId="77777777" w:rsidR="008F41E2" w:rsidRPr="00414A6D" w:rsidRDefault="008F41E2" w:rsidP="008F41E2">
            <w:pPr>
              <w:spacing w:before="40" w:after="40"/>
              <w:rPr>
                <w:rFonts w:ascii="Arial" w:hAnsi="Arial" w:cs="Arial"/>
                <w:sz w:val="22"/>
                <w:szCs w:val="22"/>
              </w:rPr>
            </w:pPr>
            <w:r w:rsidRPr="00414A6D">
              <w:rPr>
                <w:rFonts w:ascii="Arial" w:hAnsi="Arial" w:cs="Arial"/>
                <w:sz w:val="22"/>
                <w:szCs w:val="22"/>
              </w:rPr>
              <w:t xml:space="preserve">S72.2 </w:t>
            </w:r>
          </w:p>
        </w:tc>
        <w:tc>
          <w:tcPr>
            <w:tcW w:w="7858" w:type="dxa"/>
            <w:vAlign w:val="center"/>
          </w:tcPr>
          <w:p w14:paraId="69699CAC" w14:textId="77777777" w:rsidR="008F41E2" w:rsidRPr="00414A6D" w:rsidRDefault="008F41E2" w:rsidP="008F41E2">
            <w:pPr>
              <w:spacing w:before="40" w:after="40"/>
              <w:rPr>
                <w:rFonts w:ascii="Arial" w:hAnsi="Arial" w:cs="Arial"/>
                <w:sz w:val="22"/>
                <w:szCs w:val="22"/>
              </w:rPr>
            </w:pPr>
            <w:proofErr w:type="spellStart"/>
            <w:r w:rsidRPr="00414A6D">
              <w:rPr>
                <w:rFonts w:ascii="Arial" w:hAnsi="Arial" w:cs="Arial"/>
                <w:sz w:val="22"/>
                <w:szCs w:val="22"/>
              </w:rPr>
              <w:t>Subtrochanteric</w:t>
            </w:r>
            <w:proofErr w:type="spellEnd"/>
            <w:r w:rsidRPr="00414A6D">
              <w:rPr>
                <w:rFonts w:ascii="Arial" w:hAnsi="Arial" w:cs="Arial"/>
                <w:sz w:val="22"/>
                <w:szCs w:val="22"/>
              </w:rPr>
              <w:t xml:space="preserve"> fracture</w:t>
            </w:r>
          </w:p>
        </w:tc>
      </w:tr>
    </w:tbl>
    <w:p w14:paraId="54A55610" w14:textId="77777777" w:rsidR="008F41E2" w:rsidRPr="00414A6D" w:rsidRDefault="008F41E2" w:rsidP="008F41E2">
      <w:pPr>
        <w:spacing w:before="240" w:after="120"/>
        <w:rPr>
          <w:rFonts w:ascii="Arial" w:hAnsi="Arial" w:cs="Arial"/>
          <w:sz w:val="22"/>
          <w:szCs w:val="22"/>
        </w:rPr>
      </w:pPr>
      <w:r w:rsidRPr="00414A6D">
        <w:rPr>
          <w:rFonts w:ascii="Arial" w:hAnsi="Arial" w:cs="Arial"/>
          <w:sz w:val="22"/>
          <w:szCs w:val="22"/>
        </w:rPr>
        <w:t xml:space="preserve">Clinical advice confirmed that the diagnoses in Table </w:t>
      </w:r>
      <w:r w:rsidR="0018750E" w:rsidRPr="00414A6D">
        <w:rPr>
          <w:rFonts w:ascii="Arial" w:hAnsi="Arial" w:cs="Arial"/>
          <w:sz w:val="22"/>
          <w:szCs w:val="22"/>
        </w:rPr>
        <w:t>F1</w:t>
      </w:r>
      <w:r w:rsidRPr="00414A6D">
        <w:rPr>
          <w:rFonts w:ascii="Arial" w:hAnsi="Arial" w:cs="Arial"/>
          <w:sz w:val="22"/>
          <w:szCs w:val="22"/>
        </w:rPr>
        <w:t xml:space="preserve"> are the relevant </w:t>
      </w:r>
      <w:r w:rsidRPr="00414A6D">
        <w:rPr>
          <w:rFonts w:ascii="Arial" w:hAnsi="Arial" w:cs="Arial"/>
          <w:sz w:val="22"/>
          <w:szCs w:val="22"/>
          <w:shd w:val="clear" w:color="auto" w:fill="FFFFFF"/>
        </w:rPr>
        <w:t>International Statistical Classification of Diseases and Related Health Problems, Tenth Revision, Australian Modification</w:t>
      </w:r>
      <w:r w:rsidRPr="00414A6D">
        <w:rPr>
          <w:rFonts w:ascii="Arial" w:hAnsi="Arial" w:cs="Arial"/>
          <w:sz w:val="22"/>
          <w:szCs w:val="22"/>
        </w:rPr>
        <w:t xml:space="preserve"> (ICD</w:t>
      </w:r>
      <w:r w:rsidRPr="00414A6D">
        <w:rPr>
          <w:rFonts w:ascii="Arial" w:hAnsi="Arial" w:cs="Arial"/>
          <w:sz w:val="22"/>
          <w:szCs w:val="22"/>
        </w:rPr>
        <w:noBreakHyphen/>
        <w:t>10</w:t>
      </w:r>
      <w:r w:rsidRPr="00414A6D">
        <w:rPr>
          <w:rFonts w:ascii="Arial" w:hAnsi="Arial" w:cs="Arial"/>
          <w:sz w:val="22"/>
          <w:szCs w:val="22"/>
        </w:rPr>
        <w:noBreakHyphen/>
        <w:t>AM) hip fracture diagnosis codes for the cohort of interest.</w:t>
      </w:r>
    </w:p>
    <w:p w14:paraId="65E3927B" w14:textId="77777777" w:rsidR="008F41E2" w:rsidRPr="00414A6D" w:rsidRDefault="008F41E2" w:rsidP="008F41E2">
      <w:pPr>
        <w:spacing w:after="120"/>
        <w:jc w:val="both"/>
        <w:rPr>
          <w:rFonts w:ascii="Arial" w:hAnsi="Arial" w:cs="Arial"/>
          <w:sz w:val="22"/>
          <w:szCs w:val="22"/>
        </w:rPr>
      </w:pPr>
    </w:p>
    <w:p w14:paraId="66775D63" w14:textId="4E259120" w:rsidR="008F41E2" w:rsidRPr="00414A6D" w:rsidRDefault="008F41E2" w:rsidP="008F41E2">
      <w:pPr>
        <w:spacing w:after="12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2</w:t>
      </w:r>
      <w:r w:rsidRPr="00414A6D">
        <w:rPr>
          <w:rFonts w:ascii="Arial" w:hAnsi="Arial" w:cs="Arial"/>
          <w:sz w:val="22"/>
          <w:szCs w:val="22"/>
        </w:rPr>
        <w:tab/>
      </w:r>
      <w:r w:rsidRPr="00414A6D">
        <w:rPr>
          <w:rFonts w:ascii="Arial" w:hAnsi="Arial" w:cs="Arial"/>
          <w:sz w:val="22"/>
          <w:szCs w:val="22"/>
          <w:u w:val="single"/>
        </w:rPr>
        <w:t>Age of patient</w:t>
      </w:r>
      <w:r w:rsidR="003F5B05" w:rsidRPr="00414A6D">
        <w:rPr>
          <w:rFonts w:ascii="Arial" w:hAnsi="Arial" w:cs="Arial"/>
          <w:sz w:val="22"/>
          <w:szCs w:val="22"/>
          <w:u w:val="single"/>
        </w:rPr>
        <w:t xml:space="preserve"> separations</w:t>
      </w:r>
      <w:r w:rsidRPr="00414A6D">
        <w:rPr>
          <w:rFonts w:ascii="Arial" w:hAnsi="Arial" w:cs="Arial"/>
          <w:sz w:val="22"/>
          <w:szCs w:val="22"/>
          <w:u w:val="single"/>
        </w:rPr>
        <w:t xml:space="preserve"> with hip fracture diagnoses*</w:t>
      </w:r>
    </w:p>
    <w:tbl>
      <w:tblPr>
        <w:tblW w:w="5000" w:type="pct"/>
        <w:tblLook w:val="04A0" w:firstRow="1" w:lastRow="0" w:firstColumn="1" w:lastColumn="0" w:noHBand="0" w:noVBand="1"/>
      </w:tblPr>
      <w:tblGrid>
        <w:gridCol w:w="2562"/>
        <w:gridCol w:w="1636"/>
        <w:gridCol w:w="1301"/>
        <w:gridCol w:w="1636"/>
        <w:gridCol w:w="2107"/>
      </w:tblGrid>
      <w:tr w:rsidR="008F41E2" w:rsidRPr="00414A6D" w14:paraId="51123E66" w14:textId="77777777" w:rsidTr="008F41E2">
        <w:trPr>
          <w:trHeight w:val="765"/>
        </w:trPr>
        <w:tc>
          <w:tcPr>
            <w:tcW w:w="1386" w:type="pct"/>
            <w:tcBorders>
              <w:top w:val="single" w:sz="4" w:space="0" w:color="auto"/>
              <w:left w:val="single" w:sz="4" w:space="0" w:color="auto"/>
              <w:bottom w:val="single" w:sz="4" w:space="0" w:color="auto"/>
              <w:right w:val="single" w:sz="4" w:space="0" w:color="auto"/>
            </w:tcBorders>
            <w:shd w:val="clear" w:color="auto" w:fill="92D050"/>
            <w:vAlign w:val="bottom"/>
            <w:hideMark/>
          </w:tcPr>
          <w:p w14:paraId="0C467D9A"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Age Split</w:t>
            </w:r>
          </w:p>
        </w:tc>
        <w:tc>
          <w:tcPr>
            <w:tcW w:w="885" w:type="pct"/>
            <w:tcBorders>
              <w:top w:val="single" w:sz="4" w:space="0" w:color="auto"/>
              <w:left w:val="nil"/>
              <w:bottom w:val="single" w:sz="4" w:space="0" w:color="auto"/>
              <w:right w:val="single" w:sz="4" w:space="0" w:color="auto"/>
            </w:tcBorders>
            <w:shd w:val="clear" w:color="auto" w:fill="92D050"/>
            <w:vAlign w:val="bottom"/>
            <w:hideMark/>
          </w:tcPr>
          <w:p w14:paraId="074D403C"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Total n</w:t>
            </w:r>
            <w:r w:rsidR="006570B3" w:rsidRPr="00414A6D">
              <w:rPr>
                <w:rFonts w:ascii="Arial" w:hAnsi="Arial" w:cs="Arial"/>
                <w:b/>
                <w:bCs/>
                <w:color w:val="000000"/>
                <w:sz w:val="20"/>
                <w:szCs w:val="20"/>
              </w:rPr>
              <w:t>umber</w:t>
            </w:r>
            <w:r w:rsidRPr="00414A6D">
              <w:rPr>
                <w:rFonts w:ascii="Arial" w:hAnsi="Arial" w:cs="Arial"/>
                <w:b/>
                <w:bCs/>
                <w:color w:val="000000"/>
                <w:sz w:val="20"/>
                <w:szCs w:val="20"/>
              </w:rPr>
              <w:t xml:space="preserve"> of patients</w:t>
            </w:r>
          </w:p>
        </w:tc>
        <w:tc>
          <w:tcPr>
            <w:tcW w:w="704" w:type="pct"/>
            <w:tcBorders>
              <w:top w:val="single" w:sz="4" w:space="0" w:color="auto"/>
              <w:left w:val="nil"/>
              <w:bottom w:val="single" w:sz="4" w:space="0" w:color="auto"/>
              <w:right w:val="single" w:sz="4" w:space="0" w:color="auto"/>
            </w:tcBorders>
            <w:shd w:val="clear" w:color="auto" w:fill="92D050"/>
            <w:vAlign w:val="bottom"/>
            <w:hideMark/>
          </w:tcPr>
          <w:p w14:paraId="39A5F59F"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 xml:space="preserve">Average </w:t>
            </w:r>
            <w:r w:rsidR="006570B3" w:rsidRPr="00414A6D">
              <w:rPr>
                <w:rFonts w:ascii="Arial" w:hAnsi="Arial" w:cs="Arial"/>
                <w:b/>
                <w:bCs/>
                <w:color w:val="000000"/>
                <w:sz w:val="20"/>
                <w:szCs w:val="20"/>
              </w:rPr>
              <w:t>length of stay</w:t>
            </w:r>
          </w:p>
          <w:p w14:paraId="2ECC949A"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(days)</w:t>
            </w:r>
          </w:p>
        </w:tc>
        <w:tc>
          <w:tcPr>
            <w:tcW w:w="885" w:type="pct"/>
            <w:tcBorders>
              <w:top w:val="single" w:sz="4" w:space="0" w:color="auto"/>
              <w:left w:val="nil"/>
              <w:bottom w:val="single" w:sz="4" w:space="0" w:color="auto"/>
              <w:right w:val="single" w:sz="4" w:space="0" w:color="auto"/>
            </w:tcBorders>
            <w:shd w:val="clear" w:color="auto" w:fill="92D050"/>
            <w:vAlign w:val="bottom"/>
            <w:hideMark/>
          </w:tcPr>
          <w:p w14:paraId="796DA87D"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Average Cost</w:t>
            </w:r>
          </w:p>
        </w:tc>
        <w:tc>
          <w:tcPr>
            <w:tcW w:w="1140" w:type="pct"/>
            <w:tcBorders>
              <w:top w:val="single" w:sz="4" w:space="0" w:color="auto"/>
              <w:left w:val="nil"/>
              <w:bottom w:val="single" w:sz="4" w:space="0" w:color="auto"/>
              <w:right w:val="single" w:sz="4" w:space="0" w:color="auto"/>
            </w:tcBorders>
            <w:shd w:val="clear" w:color="auto" w:fill="92D050"/>
            <w:vAlign w:val="bottom"/>
            <w:hideMark/>
          </w:tcPr>
          <w:p w14:paraId="7EE5CDB9"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Total Cost</w:t>
            </w:r>
          </w:p>
        </w:tc>
      </w:tr>
      <w:tr w:rsidR="008F41E2" w:rsidRPr="00414A6D" w14:paraId="74ED186A" w14:textId="77777777" w:rsidTr="008F41E2">
        <w:trPr>
          <w:trHeight w:val="675"/>
        </w:trPr>
        <w:tc>
          <w:tcPr>
            <w:tcW w:w="1386" w:type="pct"/>
            <w:tcBorders>
              <w:top w:val="nil"/>
              <w:left w:val="single" w:sz="4" w:space="0" w:color="auto"/>
              <w:bottom w:val="single" w:sz="4" w:space="0" w:color="auto"/>
              <w:right w:val="single" w:sz="4" w:space="0" w:color="auto"/>
            </w:tcBorders>
            <w:shd w:val="clear" w:color="auto" w:fill="auto"/>
            <w:noWrap/>
            <w:vAlign w:val="center"/>
            <w:hideMark/>
          </w:tcPr>
          <w:p w14:paraId="43F0A333" w14:textId="77777777" w:rsidR="008F41E2" w:rsidRPr="00414A6D" w:rsidRDefault="008F41E2" w:rsidP="008F41E2">
            <w:pPr>
              <w:rPr>
                <w:rFonts w:ascii="Arial" w:hAnsi="Arial" w:cs="Arial"/>
                <w:color w:val="000000"/>
                <w:sz w:val="22"/>
                <w:szCs w:val="22"/>
              </w:rPr>
            </w:pPr>
            <w:r w:rsidRPr="00414A6D">
              <w:rPr>
                <w:rFonts w:ascii="Arial" w:hAnsi="Arial" w:cs="Arial"/>
                <w:color w:val="000000"/>
                <w:sz w:val="22"/>
                <w:szCs w:val="22"/>
              </w:rPr>
              <w:t>0 to &lt;50 years</w:t>
            </w:r>
          </w:p>
        </w:tc>
        <w:tc>
          <w:tcPr>
            <w:tcW w:w="885" w:type="pct"/>
            <w:tcBorders>
              <w:top w:val="nil"/>
              <w:left w:val="nil"/>
              <w:bottom w:val="single" w:sz="4" w:space="0" w:color="auto"/>
              <w:right w:val="single" w:sz="4" w:space="0" w:color="auto"/>
            </w:tcBorders>
            <w:shd w:val="clear" w:color="auto" w:fill="auto"/>
            <w:noWrap/>
            <w:vAlign w:val="center"/>
            <w:hideMark/>
          </w:tcPr>
          <w:p w14:paraId="01B1B4B2"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865</w:t>
            </w:r>
          </w:p>
        </w:tc>
        <w:tc>
          <w:tcPr>
            <w:tcW w:w="704" w:type="pct"/>
            <w:tcBorders>
              <w:top w:val="nil"/>
              <w:left w:val="nil"/>
              <w:bottom w:val="single" w:sz="4" w:space="0" w:color="auto"/>
              <w:right w:val="single" w:sz="4" w:space="0" w:color="auto"/>
            </w:tcBorders>
            <w:shd w:val="clear" w:color="auto" w:fill="auto"/>
            <w:noWrap/>
            <w:vAlign w:val="center"/>
            <w:hideMark/>
          </w:tcPr>
          <w:p w14:paraId="196DC9FD"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9</w:t>
            </w:r>
          </w:p>
        </w:tc>
        <w:tc>
          <w:tcPr>
            <w:tcW w:w="885" w:type="pct"/>
            <w:tcBorders>
              <w:top w:val="nil"/>
              <w:left w:val="nil"/>
              <w:bottom w:val="single" w:sz="4" w:space="0" w:color="auto"/>
              <w:right w:val="single" w:sz="4" w:space="0" w:color="auto"/>
            </w:tcBorders>
            <w:shd w:val="clear" w:color="auto" w:fill="auto"/>
            <w:noWrap/>
            <w:vAlign w:val="center"/>
            <w:hideMark/>
          </w:tcPr>
          <w:p w14:paraId="23EAA0AB"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$22,548</w:t>
            </w:r>
          </w:p>
        </w:tc>
        <w:tc>
          <w:tcPr>
            <w:tcW w:w="1140" w:type="pct"/>
            <w:tcBorders>
              <w:top w:val="nil"/>
              <w:left w:val="nil"/>
              <w:bottom w:val="single" w:sz="4" w:space="0" w:color="auto"/>
              <w:right w:val="single" w:sz="4" w:space="0" w:color="auto"/>
            </w:tcBorders>
            <w:shd w:val="clear" w:color="auto" w:fill="auto"/>
            <w:noWrap/>
            <w:vAlign w:val="center"/>
            <w:hideMark/>
          </w:tcPr>
          <w:p w14:paraId="7B227B9C"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$19,504,265</w:t>
            </w:r>
          </w:p>
        </w:tc>
      </w:tr>
      <w:tr w:rsidR="008F41E2" w:rsidRPr="00414A6D" w14:paraId="11844102" w14:textId="77777777" w:rsidTr="008F41E2">
        <w:trPr>
          <w:trHeight w:val="685"/>
        </w:trPr>
        <w:tc>
          <w:tcPr>
            <w:tcW w:w="1386" w:type="pct"/>
            <w:tcBorders>
              <w:top w:val="nil"/>
              <w:left w:val="single" w:sz="4" w:space="0" w:color="auto"/>
              <w:bottom w:val="single" w:sz="4" w:space="0" w:color="auto"/>
              <w:right w:val="single" w:sz="4" w:space="0" w:color="auto"/>
            </w:tcBorders>
            <w:shd w:val="clear" w:color="auto" w:fill="auto"/>
            <w:noWrap/>
            <w:vAlign w:val="center"/>
            <w:hideMark/>
          </w:tcPr>
          <w:p w14:paraId="46CE8761" w14:textId="77777777" w:rsidR="008F41E2" w:rsidRPr="00414A6D" w:rsidRDefault="008F41E2" w:rsidP="008F41E2">
            <w:pPr>
              <w:rPr>
                <w:rFonts w:ascii="Arial" w:hAnsi="Arial" w:cs="Arial"/>
                <w:color w:val="000000"/>
                <w:sz w:val="22"/>
                <w:szCs w:val="22"/>
              </w:rPr>
            </w:pPr>
            <w:r w:rsidRPr="00414A6D">
              <w:rPr>
                <w:rFonts w:ascii="Arial" w:hAnsi="Arial" w:cs="Arial"/>
                <w:color w:val="000000"/>
                <w:sz w:val="22"/>
                <w:szCs w:val="22"/>
              </w:rPr>
              <w:t>50 to &lt;65 years</w:t>
            </w:r>
          </w:p>
        </w:tc>
        <w:tc>
          <w:tcPr>
            <w:tcW w:w="885" w:type="pct"/>
            <w:tcBorders>
              <w:top w:val="nil"/>
              <w:left w:val="nil"/>
              <w:bottom w:val="single" w:sz="4" w:space="0" w:color="auto"/>
              <w:right w:val="single" w:sz="4" w:space="0" w:color="auto"/>
            </w:tcBorders>
            <w:shd w:val="clear" w:color="auto" w:fill="auto"/>
            <w:noWrap/>
            <w:vAlign w:val="center"/>
            <w:hideMark/>
          </w:tcPr>
          <w:p w14:paraId="7C2C6B3A"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1,623</w:t>
            </w:r>
          </w:p>
        </w:tc>
        <w:tc>
          <w:tcPr>
            <w:tcW w:w="704" w:type="pct"/>
            <w:tcBorders>
              <w:top w:val="nil"/>
              <w:left w:val="nil"/>
              <w:bottom w:val="single" w:sz="4" w:space="0" w:color="auto"/>
              <w:right w:val="single" w:sz="4" w:space="0" w:color="auto"/>
            </w:tcBorders>
            <w:shd w:val="clear" w:color="auto" w:fill="auto"/>
            <w:noWrap/>
            <w:vAlign w:val="center"/>
            <w:hideMark/>
          </w:tcPr>
          <w:p w14:paraId="4F1A8BDA"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9.9</w:t>
            </w:r>
          </w:p>
        </w:tc>
        <w:tc>
          <w:tcPr>
            <w:tcW w:w="885" w:type="pct"/>
            <w:tcBorders>
              <w:top w:val="nil"/>
              <w:left w:val="nil"/>
              <w:bottom w:val="single" w:sz="4" w:space="0" w:color="auto"/>
              <w:right w:val="single" w:sz="4" w:space="0" w:color="auto"/>
            </w:tcBorders>
            <w:shd w:val="clear" w:color="auto" w:fill="auto"/>
            <w:noWrap/>
            <w:vAlign w:val="center"/>
            <w:hideMark/>
          </w:tcPr>
          <w:p w14:paraId="487406BB"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$20,071</w:t>
            </w:r>
          </w:p>
        </w:tc>
        <w:tc>
          <w:tcPr>
            <w:tcW w:w="1140" w:type="pct"/>
            <w:tcBorders>
              <w:top w:val="nil"/>
              <w:left w:val="nil"/>
              <w:bottom w:val="single" w:sz="4" w:space="0" w:color="auto"/>
              <w:right w:val="single" w:sz="4" w:space="0" w:color="auto"/>
            </w:tcBorders>
            <w:shd w:val="clear" w:color="auto" w:fill="auto"/>
            <w:noWrap/>
            <w:vAlign w:val="center"/>
            <w:hideMark/>
          </w:tcPr>
          <w:p w14:paraId="26331A4A"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$32,575,118</w:t>
            </w:r>
          </w:p>
        </w:tc>
      </w:tr>
      <w:tr w:rsidR="008F41E2" w:rsidRPr="00414A6D" w14:paraId="4D9A36CE" w14:textId="77777777" w:rsidTr="008F41E2">
        <w:trPr>
          <w:trHeight w:val="510"/>
        </w:trPr>
        <w:tc>
          <w:tcPr>
            <w:tcW w:w="1386" w:type="pct"/>
            <w:tcBorders>
              <w:top w:val="nil"/>
              <w:left w:val="single" w:sz="4" w:space="0" w:color="auto"/>
              <w:bottom w:val="single" w:sz="4" w:space="0" w:color="auto"/>
              <w:right w:val="single" w:sz="4" w:space="0" w:color="auto"/>
            </w:tcBorders>
            <w:shd w:val="clear" w:color="auto" w:fill="auto"/>
            <w:noWrap/>
            <w:vAlign w:val="center"/>
            <w:hideMark/>
          </w:tcPr>
          <w:p w14:paraId="19BE9F14" w14:textId="77777777" w:rsidR="008F41E2" w:rsidRPr="00414A6D" w:rsidRDefault="008F41E2" w:rsidP="008F41E2">
            <w:pPr>
              <w:rPr>
                <w:rFonts w:ascii="Arial" w:hAnsi="Arial" w:cs="Arial"/>
                <w:color w:val="000000"/>
                <w:sz w:val="22"/>
                <w:szCs w:val="22"/>
              </w:rPr>
            </w:pPr>
            <w:r w:rsidRPr="00414A6D">
              <w:rPr>
                <w:rFonts w:ascii="Arial" w:hAnsi="Arial" w:cs="Arial"/>
                <w:color w:val="000000"/>
                <w:sz w:val="22"/>
                <w:szCs w:val="22"/>
              </w:rPr>
              <w:t>65 years and over</w:t>
            </w:r>
          </w:p>
        </w:tc>
        <w:tc>
          <w:tcPr>
            <w:tcW w:w="885" w:type="pct"/>
            <w:tcBorders>
              <w:top w:val="nil"/>
              <w:left w:val="nil"/>
              <w:bottom w:val="single" w:sz="4" w:space="0" w:color="auto"/>
              <w:right w:val="single" w:sz="4" w:space="0" w:color="auto"/>
            </w:tcBorders>
            <w:shd w:val="clear" w:color="auto" w:fill="auto"/>
            <w:noWrap/>
            <w:vAlign w:val="center"/>
            <w:hideMark/>
          </w:tcPr>
          <w:p w14:paraId="40E98254"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18,273</w:t>
            </w:r>
          </w:p>
        </w:tc>
        <w:tc>
          <w:tcPr>
            <w:tcW w:w="704" w:type="pct"/>
            <w:tcBorders>
              <w:top w:val="nil"/>
              <w:left w:val="nil"/>
              <w:bottom w:val="single" w:sz="4" w:space="0" w:color="auto"/>
              <w:right w:val="single" w:sz="4" w:space="0" w:color="auto"/>
            </w:tcBorders>
            <w:shd w:val="clear" w:color="auto" w:fill="auto"/>
            <w:noWrap/>
            <w:vAlign w:val="center"/>
            <w:hideMark/>
          </w:tcPr>
          <w:p w14:paraId="5939B5F8"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9.1</w:t>
            </w:r>
          </w:p>
        </w:tc>
        <w:tc>
          <w:tcPr>
            <w:tcW w:w="885" w:type="pct"/>
            <w:tcBorders>
              <w:top w:val="nil"/>
              <w:left w:val="nil"/>
              <w:bottom w:val="single" w:sz="4" w:space="0" w:color="auto"/>
              <w:right w:val="single" w:sz="4" w:space="0" w:color="auto"/>
            </w:tcBorders>
            <w:shd w:val="clear" w:color="auto" w:fill="auto"/>
            <w:noWrap/>
            <w:vAlign w:val="center"/>
            <w:hideMark/>
          </w:tcPr>
          <w:p w14:paraId="1606C2B0"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$16,267</w:t>
            </w:r>
          </w:p>
        </w:tc>
        <w:tc>
          <w:tcPr>
            <w:tcW w:w="1140" w:type="pct"/>
            <w:tcBorders>
              <w:top w:val="nil"/>
              <w:left w:val="nil"/>
              <w:bottom w:val="single" w:sz="4" w:space="0" w:color="auto"/>
              <w:right w:val="single" w:sz="4" w:space="0" w:color="auto"/>
            </w:tcBorders>
            <w:shd w:val="clear" w:color="auto" w:fill="auto"/>
            <w:noWrap/>
            <w:vAlign w:val="center"/>
            <w:hideMark/>
          </w:tcPr>
          <w:p w14:paraId="1C679A61"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$297,252,824</w:t>
            </w:r>
          </w:p>
        </w:tc>
      </w:tr>
      <w:tr w:rsidR="008F41E2" w:rsidRPr="00414A6D" w14:paraId="0BAA58CD" w14:textId="77777777" w:rsidTr="008F41E2">
        <w:trPr>
          <w:trHeight w:val="765"/>
        </w:trPr>
        <w:tc>
          <w:tcPr>
            <w:tcW w:w="1386" w:type="pct"/>
            <w:tcBorders>
              <w:top w:val="nil"/>
              <w:left w:val="single" w:sz="4" w:space="0" w:color="auto"/>
              <w:bottom w:val="single" w:sz="4" w:space="0" w:color="auto"/>
              <w:right w:val="single" w:sz="4" w:space="0" w:color="auto"/>
            </w:tcBorders>
            <w:shd w:val="clear" w:color="auto" w:fill="auto"/>
            <w:vAlign w:val="center"/>
            <w:hideMark/>
          </w:tcPr>
          <w:p w14:paraId="30356630" w14:textId="77777777" w:rsidR="008F41E2" w:rsidRPr="00414A6D" w:rsidRDefault="008F41E2" w:rsidP="008F41E2">
            <w:pPr>
              <w:rPr>
                <w:rFonts w:ascii="Arial" w:hAnsi="Arial" w:cs="Arial"/>
                <w:b/>
                <w:bCs/>
                <w:color w:val="000000"/>
                <w:sz w:val="22"/>
                <w:szCs w:val="22"/>
              </w:rPr>
            </w:pPr>
            <w:r w:rsidRPr="00414A6D">
              <w:rPr>
                <w:rFonts w:ascii="Arial" w:hAnsi="Arial" w:cs="Arial"/>
                <w:b/>
                <w:bCs/>
                <w:color w:val="000000"/>
                <w:sz w:val="22"/>
                <w:szCs w:val="22"/>
              </w:rPr>
              <w:t>Subtotal: 50 years and over</w:t>
            </w:r>
          </w:p>
        </w:tc>
        <w:tc>
          <w:tcPr>
            <w:tcW w:w="885" w:type="pct"/>
            <w:tcBorders>
              <w:top w:val="nil"/>
              <w:left w:val="nil"/>
              <w:bottom w:val="single" w:sz="4" w:space="0" w:color="auto"/>
              <w:right w:val="single" w:sz="4" w:space="0" w:color="auto"/>
            </w:tcBorders>
            <w:shd w:val="clear" w:color="auto" w:fill="auto"/>
            <w:noWrap/>
            <w:vAlign w:val="center"/>
            <w:hideMark/>
          </w:tcPr>
          <w:p w14:paraId="0B9E01C1"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19,896</w:t>
            </w:r>
          </w:p>
        </w:tc>
        <w:tc>
          <w:tcPr>
            <w:tcW w:w="704" w:type="pct"/>
            <w:tcBorders>
              <w:top w:val="nil"/>
              <w:left w:val="nil"/>
              <w:bottom w:val="single" w:sz="4" w:space="0" w:color="auto"/>
              <w:right w:val="single" w:sz="4" w:space="0" w:color="auto"/>
            </w:tcBorders>
            <w:shd w:val="clear" w:color="auto" w:fill="auto"/>
            <w:noWrap/>
            <w:vAlign w:val="center"/>
            <w:hideMark/>
          </w:tcPr>
          <w:p w14:paraId="47B5F313"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9.2</w:t>
            </w:r>
          </w:p>
        </w:tc>
        <w:tc>
          <w:tcPr>
            <w:tcW w:w="885" w:type="pct"/>
            <w:tcBorders>
              <w:top w:val="nil"/>
              <w:left w:val="nil"/>
              <w:bottom w:val="single" w:sz="4" w:space="0" w:color="auto"/>
              <w:right w:val="single" w:sz="4" w:space="0" w:color="auto"/>
            </w:tcBorders>
            <w:shd w:val="clear" w:color="auto" w:fill="auto"/>
            <w:noWrap/>
            <w:vAlign w:val="center"/>
            <w:hideMark/>
          </w:tcPr>
          <w:p w14:paraId="2A3AEEF4"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$16,578</w:t>
            </w:r>
          </w:p>
        </w:tc>
        <w:tc>
          <w:tcPr>
            <w:tcW w:w="1140" w:type="pct"/>
            <w:tcBorders>
              <w:top w:val="nil"/>
              <w:left w:val="nil"/>
              <w:bottom w:val="single" w:sz="4" w:space="0" w:color="auto"/>
              <w:right w:val="single" w:sz="4" w:space="0" w:color="auto"/>
            </w:tcBorders>
            <w:shd w:val="clear" w:color="auto" w:fill="auto"/>
            <w:noWrap/>
            <w:vAlign w:val="center"/>
            <w:hideMark/>
          </w:tcPr>
          <w:p w14:paraId="31EDD252"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$329,827,942</w:t>
            </w:r>
          </w:p>
        </w:tc>
      </w:tr>
      <w:tr w:rsidR="008F41E2" w:rsidRPr="00414A6D" w14:paraId="62601E2D" w14:textId="77777777" w:rsidTr="008F41E2">
        <w:trPr>
          <w:trHeight w:val="300"/>
        </w:trPr>
        <w:tc>
          <w:tcPr>
            <w:tcW w:w="1386" w:type="pct"/>
            <w:tcBorders>
              <w:top w:val="nil"/>
              <w:left w:val="single" w:sz="4" w:space="0" w:color="auto"/>
              <w:bottom w:val="single" w:sz="4" w:space="0" w:color="auto"/>
              <w:right w:val="single" w:sz="4" w:space="0" w:color="auto"/>
            </w:tcBorders>
            <w:shd w:val="clear" w:color="auto" w:fill="auto"/>
            <w:noWrap/>
            <w:vAlign w:val="center"/>
            <w:hideMark/>
          </w:tcPr>
          <w:p w14:paraId="211D6F1D" w14:textId="77777777" w:rsidR="008F41E2" w:rsidRPr="00414A6D" w:rsidRDefault="008F41E2" w:rsidP="008F41E2">
            <w:pPr>
              <w:rPr>
                <w:rFonts w:ascii="Arial" w:hAnsi="Arial" w:cs="Arial"/>
                <w:b/>
                <w:color w:val="000000"/>
                <w:sz w:val="22"/>
                <w:szCs w:val="22"/>
              </w:rPr>
            </w:pPr>
            <w:r w:rsidRPr="00414A6D">
              <w:rPr>
                <w:rFonts w:ascii="Arial" w:hAnsi="Arial" w:cs="Arial"/>
                <w:b/>
                <w:color w:val="000000"/>
                <w:sz w:val="22"/>
                <w:szCs w:val="22"/>
              </w:rPr>
              <w:t>Total acute episodes</w:t>
            </w:r>
          </w:p>
        </w:tc>
        <w:tc>
          <w:tcPr>
            <w:tcW w:w="885" w:type="pct"/>
            <w:tcBorders>
              <w:top w:val="nil"/>
              <w:left w:val="nil"/>
              <w:bottom w:val="single" w:sz="4" w:space="0" w:color="auto"/>
              <w:right w:val="single" w:sz="4" w:space="0" w:color="auto"/>
            </w:tcBorders>
            <w:shd w:val="clear" w:color="auto" w:fill="auto"/>
            <w:noWrap/>
            <w:vAlign w:val="center"/>
            <w:hideMark/>
          </w:tcPr>
          <w:p w14:paraId="013C7FAF"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20,761</w:t>
            </w:r>
          </w:p>
        </w:tc>
        <w:tc>
          <w:tcPr>
            <w:tcW w:w="704" w:type="pct"/>
            <w:tcBorders>
              <w:top w:val="nil"/>
              <w:left w:val="nil"/>
              <w:bottom w:val="single" w:sz="4" w:space="0" w:color="auto"/>
              <w:right w:val="single" w:sz="4" w:space="0" w:color="auto"/>
            </w:tcBorders>
            <w:shd w:val="clear" w:color="auto" w:fill="auto"/>
            <w:noWrap/>
            <w:vAlign w:val="center"/>
            <w:hideMark/>
          </w:tcPr>
          <w:p w14:paraId="08FB0F61"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9.2</w:t>
            </w:r>
          </w:p>
        </w:tc>
        <w:tc>
          <w:tcPr>
            <w:tcW w:w="885" w:type="pct"/>
            <w:tcBorders>
              <w:top w:val="nil"/>
              <w:left w:val="nil"/>
              <w:bottom w:val="single" w:sz="4" w:space="0" w:color="auto"/>
              <w:right w:val="single" w:sz="4" w:space="0" w:color="auto"/>
            </w:tcBorders>
            <w:shd w:val="clear" w:color="auto" w:fill="auto"/>
            <w:noWrap/>
            <w:vAlign w:val="center"/>
            <w:hideMark/>
          </w:tcPr>
          <w:p w14:paraId="2289B590"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$16,826</w:t>
            </w:r>
          </w:p>
        </w:tc>
        <w:tc>
          <w:tcPr>
            <w:tcW w:w="1140" w:type="pct"/>
            <w:tcBorders>
              <w:top w:val="nil"/>
              <w:left w:val="nil"/>
              <w:bottom w:val="single" w:sz="4" w:space="0" w:color="auto"/>
              <w:right w:val="single" w:sz="4" w:space="0" w:color="auto"/>
            </w:tcBorders>
            <w:shd w:val="clear" w:color="auto" w:fill="auto"/>
            <w:noWrap/>
            <w:vAlign w:val="center"/>
            <w:hideMark/>
          </w:tcPr>
          <w:p w14:paraId="18071292"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$349,332,206</w:t>
            </w:r>
          </w:p>
        </w:tc>
      </w:tr>
    </w:tbl>
    <w:p w14:paraId="1C729036" w14:textId="77777777" w:rsidR="008F41E2" w:rsidRPr="00414A6D" w:rsidRDefault="008F41E2" w:rsidP="008F41E2">
      <w:pPr>
        <w:jc w:val="both"/>
        <w:rPr>
          <w:rFonts w:ascii="Arial" w:hAnsi="Arial" w:cs="Arial"/>
          <w:sz w:val="22"/>
          <w:szCs w:val="22"/>
        </w:rPr>
      </w:pPr>
      <w:r w:rsidRPr="00414A6D">
        <w:rPr>
          <w:rFonts w:ascii="Arial" w:hAnsi="Arial" w:cs="Arial"/>
          <w:sz w:val="22"/>
          <w:szCs w:val="22"/>
        </w:rPr>
        <w:t xml:space="preserve">*Hip fracture diagnoses are those identified in Table </w:t>
      </w:r>
      <w:r w:rsidR="0018750E" w:rsidRPr="00414A6D">
        <w:rPr>
          <w:rFonts w:ascii="Arial" w:hAnsi="Arial" w:cs="Arial"/>
          <w:sz w:val="22"/>
          <w:szCs w:val="22"/>
        </w:rPr>
        <w:t>F1</w:t>
      </w:r>
      <w:r w:rsidRPr="00414A6D">
        <w:rPr>
          <w:rFonts w:ascii="Arial" w:hAnsi="Arial" w:cs="Arial"/>
          <w:sz w:val="22"/>
          <w:szCs w:val="22"/>
        </w:rPr>
        <w:t>.</w:t>
      </w:r>
    </w:p>
    <w:p w14:paraId="721319F7" w14:textId="77777777" w:rsidR="008F41E2" w:rsidRPr="00414A6D" w:rsidRDefault="008F41E2" w:rsidP="008F41E2">
      <w:pPr>
        <w:rPr>
          <w:rFonts w:ascii="Arial" w:hAnsi="Arial" w:cs="Arial"/>
          <w:sz w:val="22"/>
          <w:szCs w:val="22"/>
        </w:rPr>
      </w:pPr>
    </w:p>
    <w:p w14:paraId="61D81B54" w14:textId="77777777" w:rsidR="008F41E2" w:rsidRPr="00414A6D" w:rsidRDefault="008F41E2" w:rsidP="008F41E2">
      <w:pPr>
        <w:rPr>
          <w:rFonts w:ascii="Arial" w:hAnsi="Arial" w:cs="Arial"/>
          <w:sz w:val="22"/>
          <w:szCs w:val="22"/>
        </w:rPr>
      </w:pPr>
    </w:p>
    <w:p w14:paraId="3A9D566F" w14:textId="77777777" w:rsidR="008F41E2" w:rsidRPr="00414A6D" w:rsidRDefault="008F41E2" w:rsidP="008F41E2">
      <w:pPr>
        <w:rPr>
          <w:rFonts w:ascii="Arial" w:hAnsi="Arial" w:cs="Arial"/>
          <w:sz w:val="22"/>
          <w:szCs w:val="22"/>
        </w:rPr>
      </w:pPr>
    </w:p>
    <w:p w14:paraId="4109AFE6" w14:textId="77777777" w:rsidR="008F41E2" w:rsidRPr="00414A6D" w:rsidRDefault="008F41E2" w:rsidP="00597945">
      <w:pPr>
        <w:spacing w:after="120"/>
        <w:ind w:left="1440" w:hanging="144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3</w:t>
      </w:r>
      <w:r w:rsidRPr="00414A6D">
        <w:rPr>
          <w:rFonts w:ascii="Arial" w:hAnsi="Arial" w:cs="Arial"/>
          <w:sz w:val="22"/>
          <w:szCs w:val="22"/>
        </w:rPr>
        <w:tab/>
      </w:r>
      <w:r w:rsidRPr="00414A6D">
        <w:rPr>
          <w:rFonts w:ascii="Arial" w:hAnsi="Arial" w:cs="Arial"/>
          <w:sz w:val="22"/>
          <w:szCs w:val="22"/>
          <w:u w:val="single"/>
        </w:rPr>
        <w:t>Principal and additional diagnoses of hip fracture cohort</w:t>
      </w:r>
    </w:p>
    <w:tbl>
      <w:tblPr>
        <w:tblW w:w="4737" w:type="pct"/>
        <w:tblLayout w:type="fixed"/>
        <w:tblLook w:val="04A0" w:firstRow="1" w:lastRow="0" w:firstColumn="1" w:lastColumn="0" w:noHBand="0" w:noVBand="1"/>
      </w:tblPr>
      <w:tblGrid>
        <w:gridCol w:w="1098"/>
        <w:gridCol w:w="1986"/>
        <w:gridCol w:w="1275"/>
        <w:gridCol w:w="1560"/>
        <w:gridCol w:w="1135"/>
        <w:gridCol w:w="1702"/>
      </w:tblGrid>
      <w:tr w:rsidR="005A5C68" w:rsidRPr="00414A6D" w14:paraId="53CBDE63" w14:textId="77777777" w:rsidTr="00597945">
        <w:trPr>
          <w:trHeight w:val="510"/>
        </w:trPr>
        <w:tc>
          <w:tcPr>
            <w:tcW w:w="627" w:type="pct"/>
            <w:tcBorders>
              <w:top w:val="single" w:sz="8" w:space="0" w:color="auto"/>
              <w:left w:val="single" w:sz="4" w:space="0" w:color="auto"/>
              <w:bottom w:val="single" w:sz="4" w:space="0" w:color="auto"/>
              <w:right w:val="single" w:sz="4" w:space="0" w:color="auto"/>
            </w:tcBorders>
            <w:shd w:val="clear" w:color="auto" w:fill="92D050"/>
            <w:vAlign w:val="bottom"/>
            <w:hideMark/>
          </w:tcPr>
          <w:p w14:paraId="2BADE0A6"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Age</w:t>
            </w:r>
          </w:p>
        </w:tc>
        <w:tc>
          <w:tcPr>
            <w:tcW w:w="1134" w:type="pct"/>
            <w:tcBorders>
              <w:top w:val="single" w:sz="8" w:space="0" w:color="auto"/>
              <w:left w:val="nil"/>
              <w:bottom w:val="single" w:sz="4" w:space="0" w:color="auto"/>
              <w:right w:val="single" w:sz="4" w:space="0" w:color="auto"/>
            </w:tcBorders>
            <w:shd w:val="clear" w:color="auto" w:fill="92D050"/>
            <w:vAlign w:val="bottom"/>
            <w:hideMark/>
          </w:tcPr>
          <w:p w14:paraId="48900ED4"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Diagnosis split</w:t>
            </w:r>
          </w:p>
        </w:tc>
        <w:tc>
          <w:tcPr>
            <w:tcW w:w="728" w:type="pct"/>
            <w:tcBorders>
              <w:top w:val="single" w:sz="8" w:space="0" w:color="auto"/>
              <w:left w:val="nil"/>
              <w:bottom w:val="single" w:sz="4" w:space="0" w:color="auto"/>
              <w:right w:val="single" w:sz="4" w:space="0" w:color="auto"/>
            </w:tcBorders>
            <w:shd w:val="clear" w:color="auto" w:fill="92D050"/>
            <w:vAlign w:val="bottom"/>
            <w:hideMark/>
          </w:tcPr>
          <w:p w14:paraId="5995C2A4"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N</w:t>
            </w:r>
            <w:r w:rsidR="006570B3" w:rsidRPr="00414A6D">
              <w:rPr>
                <w:rFonts w:ascii="Arial" w:hAnsi="Arial" w:cs="Arial"/>
                <w:b/>
                <w:bCs/>
                <w:color w:val="000000"/>
                <w:sz w:val="20"/>
                <w:szCs w:val="20"/>
              </w:rPr>
              <w:t>umber</w:t>
            </w:r>
            <w:r w:rsidRPr="00414A6D">
              <w:rPr>
                <w:rFonts w:ascii="Arial" w:hAnsi="Arial" w:cs="Arial"/>
                <w:b/>
                <w:bCs/>
                <w:color w:val="000000"/>
                <w:sz w:val="20"/>
                <w:szCs w:val="20"/>
              </w:rPr>
              <w:t xml:space="preserve"> of cases</w:t>
            </w:r>
          </w:p>
        </w:tc>
        <w:tc>
          <w:tcPr>
            <w:tcW w:w="891" w:type="pct"/>
            <w:tcBorders>
              <w:top w:val="single" w:sz="8" w:space="0" w:color="auto"/>
              <w:left w:val="nil"/>
              <w:bottom w:val="single" w:sz="4" w:space="0" w:color="auto"/>
              <w:right w:val="single" w:sz="4" w:space="0" w:color="auto"/>
            </w:tcBorders>
            <w:shd w:val="clear" w:color="auto" w:fill="92D050"/>
            <w:vAlign w:val="bottom"/>
            <w:hideMark/>
          </w:tcPr>
          <w:p w14:paraId="6158EF6F"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Average</w:t>
            </w:r>
            <w:r w:rsidR="006570B3" w:rsidRPr="00414A6D">
              <w:rPr>
                <w:rFonts w:ascii="Arial" w:hAnsi="Arial" w:cs="Arial"/>
                <w:b/>
                <w:bCs/>
                <w:color w:val="000000"/>
                <w:sz w:val="20"/>
                <w:szCs w:val="20"/>
              </w:rPr>
              <w:t xml:space="preserve"> length of stay</w:t>
            </w:r>
            <w:r w:rsidRPr="00414A6D">
              <w:rPr>
                <w:rFonts w:ascii="Arial" w:hAnsi="Arial" w:cs="Arial"/>
                <w:b/>
                <w:bCs/>
                <w:color w:val="000000"/>
                <w:sz w:val="20"/>
                <w:szCs w:val="20"/>
              </w:rPr>
              <w:t xml:space="preserve"> (days)</w:t>
            </w:r>
          </w:p>
        </w:tc>
        <w:tc>
          <w:tcPr>
            <w:tcW w:w="648" w:type="pct"/>
            <w:tcBorders>
              <w:top w:val="single" w:sz="8" w:space="0" w:color="auto"/>
              <w:left w:val="nil"/>
              <w:bottom w:val="single" w:sz="4" w:space="0" w:color="auto"/>
              <w:right w:val="single" w:sz="4" w:space="0" w:color="auto"/>
            </w:tcBorders>
            <w:shd w:val="clear" w:color="auto" w:fill="92D050"/>
            <w:vAlign w:val="bottom"/>
            <w:hideMark/>
          </w:tcPr>
          <w:p w14:paraId="2BE657B5"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Average Cost</w:t>
            </w:r>
          </w:p>
        </w:tc>
        <w:tc>
          <w:tcPr>
            <w:tcW w:w="972" w:type="pct"/>
            <w:tcBorders>
              <w:top w:val="single" w:sz="8" w:space="0" w:color="auto"/>
              <w:left w:val="nil"/>
              <w:bottom w:val="single" w:sz="4" w:space="0" w:color="auto"/>
              <w:right w:val="single" w:sz="8" w:space="0" w:color="auto"/>
            </w:tcBorders>
            <w:shd w:val="clear" w:color="auto" w:fill="92D050"/>
            <w:vAlign w:val="bottom"/>
            <w:hideMark/>
          </w:tcPr>
          <w:p w14:paraId="3EBF8130"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Total Cost</w:t>
            </w:r>
          </w:p>
        </w:tc>
      </w:tr>
      <w:tr w:rsidR="005A5C68" w:rsidRPr="00414A6D" w14:paraId="5399178B" w14:textId="77777777" w:rsidTr="00597945">
        <w:trPr>
          <w:trHeight w:val="730"/>
        </w:trPr>
        <w:tc>
          <w:tcPr>
            <w:tcW w:w="627" w:type="pct"/>
            <w:vMerge w:val="restart"/>
            <w:tcBorders>
              <w:top w:val="nil"/>
              <w:left w:val="single" w:sz="4" w:space="0" w:color="auto"/>
              <w:right w:val="single" w:sz="4" w:space="0" w:color="auto"/>
            </w:tcBorders>
            <w:shd w:val="clear" w:color="auto" w:fill="auto"/>
            <w:noWrap/>
            <w:vAlign w:val="center"/>
            <w:hideMark/>
          </w:tcPr>
          <w:p w14:paraId="4F1F4E89" w14:textId="77777777" w:rsidR="008F41E2" w:rsidRPr="00414A6D" w:rsidRDefault="008F41E2" w:rsidP="008F41E2">
            <w:pPr>
              <w:rPr>
                <w:rFonts w:ascii="Arial" w:hAnsi="Arial" w:cs="Arial"/>
                <w:color w:val="000000"/>
                <w:sz w:val="22"/>
                <w:szCs w:val="22"/>
              </w:rPr>
            </w:pPr>
            <w:r w:rsidRPr="00414A6D">
              <w:rPr>
                <w:rFonts w:ascii="Arial" w:hAnsi="Arial" w:cs="Arial"/>
                <w:color w:val="000000"/>
                <w:sz w:val="22"/>
                <w:szCs w:val="22"/>
              </w:rPr>
              <w:t>50 years and over</w:t>
            </w:r>
          </w:p>
          <w:p w14:paraId="7F14BE0D" w14:textId="77777777" w:rsidR="008F41E2" w:rsidRPr="00414A6D" w:rsidRDefault="008F41E2" w:rsidP="008F41E2">
            <w:pPr>
              <w:rPr>
                <w:rFonts w:ascii="Arial" w:hAnsi="Arial" w:cs="Arial"/>
                <w:color w:val="000000"/>
                <w:sz w:val="22"/>
                <w:szCs w:val="22"/>
              </w:rPr>
            </w:pPr>
            <w:r w:rsidRPr="00414A6D">
              <w:rPr>
                <w:rFonts w:ascii="Arial" w:hAnsi="Arial" w:cs="Arial"/>
                <w:bCs/>
                <w:color w:val="000000"/>
                <w:sz w:val="22"/>
                <w:szCs w:val="22"/>
              </w:rPr>
              <w:t> </w:t>
            </w:r>
          </w:p>
        </w:tc>
        <w:tc>
          <w:tcPr>
            <w:tcW w:w="1134" w:type="pct"/>
            <w:tcBorders>
              <w:top w:val="nil"/>
              <w:left w:val="nil"/>
              <w:bottom w:val="single" w:sz="4" w:space="0" w:color="auto"/>
              <w:right w:val="single" w:sz="4" w:space="0" w:color="auto"/>
            </w:tcBorders>
            <w:shd w:val="clear" w:color="auto" w:fill="auto"/>
            <w:vAlign w:val="center"/>
            <w:hideMark/>
          </w:tcPr>
          <w:p w14:paraId="59CBE238" w14:textId="77777777" w:rsidR="008F41E2" w:rsidRPr="00414A6D" w:rsidRDefault="008F41E2" w:rsidP="008F41E2">
            <w:pPr>
              <w:rPr>
                <w:rFonts w:ascii="Arial" w:hAnsi="Arial" w:cs="Arial"/>
                <w:bCs/>
                <w:color w:val="000000"/>
                <w:sz w:val="22"/>
                <w:szCs w:val="22"/>
              </w:rPr>
            </w:pPr>
            <w:r w:rsidRPr="00414A6D">
              <w:rPr>
                <w:rFonts w:ascii="Arial" w:hAnsi="Arial" w:cs="Arial"/>
                <w:bCs/>
                <w:color w:val="000000"/>
                <w:sz w:val="22"/>
                <w:szCs w:val="22"/>
              </w:rPr>
              <w:t>Principal diagnosis</w:t>
            </w:r>
          </w:p>
        </w:tc>
        <w:tc>
          <w:tcPr>
            <w:tcW w:w="728" w:type="pct"/>
            <w:tcBorders>
              <w:top w:val="nil"/>
              <w:left w:val="nil"/>
              <w:bottom w:val="single" w:sz="4" w:space="0" w:color="auto"/>
              <w:right w:val="single" w:sz="4" w:space="0" w:color="auto"/>
            </w:tcBorders>
            <w:shd w:val="clear" w:color="auto" w:fill="auto"/>
            <w:noWrap/>
            <w:vAlign w:val="center"/>
            <w:hideMark/>
          </w:tcPr>
          <w:p w14:paraId="7DB274F4"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17,917</w:t>
            </w:r>
          </w:p>
        </w:tc>
        <w:tc>
          <w:tcPr>
            <w:tcW w:w="891" w:type="pct"/>
            <w:tcBorders>
              <w:top w:val="nil"/>
              <w:left w:val="nil"/>
              <w:bottom w:val="single" w:sz="4" w:space="0" w:color="auto"/>
              <w:right w:val="single" w:sz="4" w:space="0" w:color="auto"/>
            </w:tcBorders>
            <w:shd w:val="clear" w:color="auto" w:fill="auto"/>
            <w:noWrap/>
            <w:vAlign w:val="center"/>
            <w:hideMark/>
          </w:tcPr>
          <w:p w14:paraId="423DA316"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8.7</w:t>
            </w:r>
          </w:p>
        </w:tc>
        <w:tc>
          <w:tcPr>
            <w:tcW w:w="648" w:type="pct"/>
            <w:tcBorders>
              <w:top w:val="nil"/>
              <w:left w:val="nil"/>
              <w:bottom w:val="single" w:sz="4" w:space="0" w:color="auto"/>
              <w:right w:val="single" w:sz="4" w:space="0" w:color="auto"/>
            </w:tcBorders>
            <w:shd w:val="clear" w:color="auto" w:fill="auto"/>
            <w:noWrap/>
            <w:vAlign w:val="center"/>
            <w:hideMark/>
          </w:tcPr>
          <w:p w14:paraId="51A652F1"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$16,179</w:t>
            </w:r>
          </w:p>
        </w:tc>
        <w:tc>
          <w:tcPr>
            <w:tcW w:w="972" w:type="pct"/>
            <w:tcBorders>
              <w:top w:val="nil"/>
              <w:left w:val="nil"/>
              <w:bottom w:val="single" w:sz="4" w:space="0" w:color="auto"/>
              <w:right w:val="single" w:sz="8" w:space="0" w:color="auto"/>
            </w:tcBorders>
            <w:shd w:val="clear" w:color="auto" w:fill="auto"/>
            <w:noWrap/>
            <w:vAlign w:val="center"/>
            <w:hideMark/>
          </w:tcPr>
          <w:p w14:paraId="74C8BA1E"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$289,873,606</w:t>
            </w:r>
          </w:p>
        </w:tc>
      </w:tr>
      <w:tr w:rsidR="005A5C68" w:rsidRPr="00414A6D" w14:paraId="5B1E7214" w14:textId="77777777" w:rsidTr="00597945">
        <w:trPr>
          <w:trHeight w:val="687"/>
        </w:trPr>
        <w:tc>
          <w:tcPr>
            <w:tcW w:w="627" w:type="pct"/>
            <w:vMerge/>
            <w:tcBorders>
              <w:left w:val="single" w:sz="4" w:space="0" w:color="auto"/>
              <w:right w:val="single" w:sz="4" w:space="0" w:color="auto"/>
            </w:tcBorders>
            <w:vAlign w:val="center"/>
            <w:hideMark/>
          </w:tcPr>
          <w:p w14:paraId="33291912" w14:textId="77777777" w:rsidR="008F41E2" w:rsidRPr="00414A6D" w:rsidRDefault="008F41E2" w:rsidP="008F41E2">
            <w:pPr>
              <w:rPr>
                <w:rFonts w:ascii="Arial" w:hAnsi="Arial" w:cs="Arial"/>
                <w:color w:val="000000"/>
                <w:sz w:val="22"/>
                <w:szCs w:val="22"/>
              </w:rPr>
            </w:pPr>
          </w:p>
        </w:tc>
        <w:tc>
          <w:tcPr>
            <w:tcW w:w="1134" w:type="pct"/>
            <w:tcBorders>
              <w:top w:val="nil"/>
              <w:left w:val="nil"/>
              <w:bottom w:val="single" w:sz="4" w:space="0" w:color="auto"/>
              <w:right w:val="single" w:sz="4" w:space="0" w:color="auto"/>
            </w:tcBorders>
            <w:shd w:val="clear" w:color="auto" w:fill="auto"/>
            <w:vAlign w:val="center"/>
            <w:hideMark/>
          </w:tcPr>
          <w:p w14:paraId="4AB39EC1" w14:textId="77777777" w:rsidR="008F41E2" w:rsidRPr="00414A6D" w:rsidRDefault="008F41E2" w:rsidP="008F41E2">
            <w:pPr>
              <w:rPr>
                <w:rFonts w:ascii="Arial" w:hAnsi="Arial" w:cs="Arial"/>
                <w:bCs/>
                <w:color w:val="000000"/>
                <w:sz w:val="22"/>
                <w:szCs w:val="22"/>
              </w:rPr>
            </w:pPr>
            <w:r w:rsidRPr="00414A6D">
              <w:rPr>
                <w:rFonts w:ascii="Arial" w:hAnsi="Arial" w:cs="Arial"/>
                <w:bCs/>
                <w:color w:val="000000"/>
                <w:sz w:val="22"/>
                <w:szCs w:val="22"/>
              </w:rPr>
              <w:t>Additional diagnosis</w:t>
            </w:r>
          </w:p>
        </w:tc>
        <w:tc>
          <w:tcPr>
            <w:tcW w:w="728" w:type="pct"/>
            <w:tcBorders>
              <w:top w:val="nil"/>
              <w:left w:val="nil"/>
              <w:bottom w:val="single" w:sz="4" w:space="0" w:color="auto"/>
              <w:right w:val="single" w:sz="4" w:space="0" w:color="auto"/>
            </w:tcBorders>
            <w:shd w:val="clear" w:color="auto" w:fill="auto"/>
            <w:noWrap/>
            <w:vAlign w:val="center"/>
            <w:hideMark/>
          </w:tcPr>
          <w:p w14:paraId="67DE3C6F"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1,979</w:t>
            </w:r>
          </w:p>
        </w:tc>
        <w:tc>
          <w:tcPr>
            <w:tcW w:w="891" w:type="pct"/>
            <w:tcBorders>
              <w:top w:val="nil"/>
              <w:left w:val="nil"/>
              <w:bottom w:val="single" w:sz="4" w:space="0" w:color="auto"/>
              <w:right w:val="single" w:sz="4" w:space="0" w:color="auto"/>
            </w:tcBorders>
            <w:shd w:val="clear" w:color="auto" w:fill="auto"/>
            <w:noWrap/>
            <w:vAlign w:val="center"/>
            <w:hideMark/>
          </w:tcPr>
          <w:p w14:paraId="53C164DC"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13.2</w:t>
            </w:r>
          </w:p>
        </w:tc>
        <w:tc>
          <w:tcPr>
            <w:tcW w:w="648" w:type="pct"/>
            <w:tcBorders>
              <w:top w:val="nil"/>
              <w:left w:val="nil"/>
              <w:bottom w:val="single" w:sz="4" w:space="0" w:color="auto"/>
              <w:right w:val="single" w:sz="4" w:space="0" w:color="auto"/>
            </w:tcBorders>
            <w:shd w:val="clear" w:color="auto" w:fill="auto"/>
            <w:noWrap/>
            <w:vAlign w:val="center"/>
            <w:hideMark/>
          </w:tcPr>
          <w:p w14:paraId="3D473366"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$20,189</w:t>
            </w:r>
          </w:p>
        </w:tc>
        <w:tc>
          <w:tcPr>
            <w:tcW w:w="972" w:type="pct"/>
            <w:tcBorders>
              <w:top w:val="nil"/>
              <w:left w:val="nil"/>
              <w:bottom w:val="single" w:sz="4" w:space="0" w:color="auto"/>
              <w:right w:val="single" w:sz="8" w:space="0" w:color="auto"/>
            </w:tcBorders>
            <w:shd w:val="clear" w:color="auto" w:fill="auto"/>
            <w:noWrap/>
            <w:vAlign w:val="center"/>
            <w:hideMark/>
          </w:tcPr>
          <w:p w14:paraId="6F8BA3F9"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$39,954,336</w:t>
            </w:r>
          </w:p>
        </w:tc>
      </w:tr>
      <w:tr w:rsidR="005A5C68" w:rsidRPr="00414A6D" w14:paraId="2E438B71" w14:textId="77777777" w:rsidTr="00597945">
        <w:trPr>
          <w:trHeight w:val="569"/>
        </w:trPr>
        <w:tc>
          <w:tcPr>
            <w:tcW w:w="627" w:type="pct"/>
            <w:vMerge/>
            <w:tcBorders>
              <w:left w:val="single" w:sz="4" w:space="0" w:color="auto"/>
              <w:bottom w:val="single" w:sz="8" w:space="0" w:color="auto"/>
              <w:right w:val="single" w:sz="4" w:space="0" w:color="auto"/>
            </w:tcBorders>
            <w:shd w:val="clear" w:color="auto" w:fill="auto"/>
            <w:noWrap/>
            <w:vAlign w:val="bottom"/>
            <w:hideMark/>
          </w:tcPr>
          <w:p w14:paraId="3A0B5563" w14:textId="77777777" w:rsidR="008F41E2" w:rsidRPr="00414A6D" w:rsidRDefault="008F41E2" w:rsidP="008F41E2">
            <w:pPr>
              <w:rPr>
                <w:rFonts w:ascii="Arial" w:hAnsi="Arial" w:cs="Arial"/>
                <w:bCs/>
                <w:color w:val="000000"/>
                <w:sz w:val="22"/>
                <w:szCs w:val="22"/>
              </w:rPr>
            </w:pPr>
          </w:p>
        </w:tc>
        <w:tc>
          <w:tcPr>
            <w:tcW w:w="1134" w:type="pct"/>
            <w:tcBorders>
              <w:top w:val="nil"/>
              <w:left w:val="nil"/>
              <w:bottom w:val="single" w:sz="8" w:space="0" w:color="auto"/>
              <w:right w:val="single" w:sz="4" w:space="0" w:color="auto"/>
            </w:tcBorders>
            <w:shd w:val="clear" w:color="auto" w:fill="auto"/>
            <w:vAlign w:val="center"/>
            <w:hideMark/>
          </w:tcPr>
          <w:p w14:paraId="5FD794EC" w14:textId="77777777" w:rsidR="008F41E2" w:rsidRPr="00414A6D" w:rsidRDefault="008F41E2" w:rsidP="008F41E2">
            <w:pPr>
              <w:rPr>
                <w:rFonts w:ascii="Arial" w:hAnsi="Arial" w:cs="Arial"/>
                <w:bCs/>
                <w:color w:val="000000"/>
                <w:sz w:val="22"/>
                <w:szCs w:val="22"/>
              </w:rPr>
            </w:pPr>
            <w:r w:rsidRPr="00414A6D">
              <w:rPr>
                <w:rFonts w:ascii="Arial" w:hAnsi="Arial" w:cs="Arial"/>
                <w:bCs/>
                <w:color w:val="000000"/>
                <w:sz w:val="22"/>
                <w:szCs w:val="22"/>
              </w:rPr>
              <w:t>Total aged 50 years and over</w:t>
            </w:r>
          </w:p>
        </w:tc>
        <w:tc>
          <w:tcPr>
            <w:tcW w:w="728" w:type="pct"/>
            <w:tcBorders>
              <w:top w:val="nil"/>
              <w:left w:val="nil"/>
              <w:bottom w:val="single" w:sz="8" w:space="0" w:color="auto"/>
              <w:right w:val="single" w:sz="4" w:space="0" w:color="auto"/>
            </w:tcBorders>
            <w:shd w:val="clear" w:color="auto" w:fill="auto"/>
            <w:noWrap/>
            <w:vAlign w:val="center"/>
            <w:hideMark/>
          </w:tcPr>
          <w:p w14:paraId="6C791964"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19,896</w:t>
            </w:r>
          </w:p>
        </w:tc>
        <w:tc>
          <w:tcPr>
            <w:tcW w:w="891" w:type="pct"/>
            <w:tcBorders>
              <w:top w:val="nil"/>
              <w:left w:val="nil"/>
              <w:bottom w:val="single" w:sz="8" w:space="0" w:color="auto"/>
              <w:right w:val="single" w:sz="4" w:space="0" w:color="auto"/>
            </w:tcBorders>
            <w:shd w:val="clear" w:color="auto" w:fill="auto"/>
            <w:noWrap/>
            <w:vAlign w:val="center"/>
            <w:hideMark/>
          </w:tcPr>
          <w:p w14:paraId="7CD01499"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9.2</w:t>
            </w:r>
          </w:p>
        </w:tc>
        <w:tc>
          <w:tcPr>
            <w:tcW w:w="648" w:type="pct"/>
            <w:tcBorders>
              <w:top w:val="nil"/>
              <w:left w:val="nil"/>
              <w:bottom w:val="single" w:sz="8" w:space="0" w:color="auto"/>
              <w:right w:val="single" w:sz="4" w:space="0" w:color="auto"/>
            </w:tcBorders>
            <w:shd w:val="clear" w:color="auto" w:fill="auto"/>
            <w:noWrap/>
            <w:vAlign w:val="center"/>
            <w:hideMark/>
          </w:tcPr>
          <w:p w14:paraId="55B33AC6"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$16,578</w:t>
            </w:r>
          </w:p>
        </w:tc>
        <w:tc>
          <w:tcPr>
            <w:tcW w:w="972" w:type="pct"/>
            <w:tcBorders>
              <w:top w:val="nil"/>
              <w:left w:val="nil"/>
              <w:bottom w:val="single" w:sz="8" w:space="0" w:color="auto"/>
              <w:right w:val="single" w:sz="8" w:space="0" w:color="auto"/>
            </w:tcBorders>
            <w:shd w:val="clear" w:color="auto" w:fill="auto"/>
            <w:noWrap/>
            <w:vAlign w:val="center"/>
            <w:hideMark/>
          </w:tcPr>
          <w:p w14:paraId="57E2AE3F" w14:textId="77777777" w:rsidR="008F41E2" w:rsidRPr="00414A6D" w:rsidRDefault="008F41E2" w:rsidP="008F41E2">
            <w:pPr>
              <w:jc w:val="center"/>
              <w:rPr>
                <w:rFonts w:ascii="Arial" w:hAnsi="Arial" w:cs="Arial"/>
                <w:color w:val="000000"/>
                <w:sz w:val="22"/>
                <w:szCs w:val="22"/>
              </w:rPr>
            </w:pPr>
            <w:r w:rsidRPr="00414A6D">
              <w:rPr>
                <w:rFonts w:ascii="Arial" w:hAnsi="Arial" w:cs="Arial"/>
                <w:color w:val="000000"/>
                <w:sz w:val="22"/>
                <w:szCs w:val="22"/>
              </w:rPr>
              <w:t>$329,827,942</w:t>
            </w:r>
          </w:p>
        </w:tc>
      </w:tr>
    </w:tbl>
    <w:p w14:paraId="70493EBF" w14:textId="77777777" w:rsidR="008F41E2" w:rsidRPr="00414A6D" w:rsidRDefault="008F41E2" w:rsidP="008F41E2">
      <w:pPr>
        <w:jc w:val="both"/>
        <w:rPr>
          <w:rFonts w:ascii="Arial" w:hAnsi="Arial" w:cs="Arial"/>
          <w:sz w:val="22"/>
          <w:szCs w:val="22"/>
        </w:rPr>
      </w:pPr>
    </w:p>
    <w:p w14:paraId="44F91747" w14:textId="77777777" w:rsidR="008F41E2" w:rsidRPr="00414A6D" w:rsidRDefault="008F41E2" w:rsidP="008F41E2">
      <w:pPr>
        <w:jc w:val="both"/>
        <w:rPr>
          <w:rFonts w:ascii="Arial" w:hAnsi="Arial" w:cs="Arial"/>
          <w:sz w:val="22"/>
          <w:szCs w:val="22"/>
        </w:rPr>
      </w:pPr>
    </w:p>
    <w:p w14:paraId="22FEDC3B" w14:textId="77777777" w:rsidR="008F41E2" w:rsidRPr="00414A6D" w:rsidRDefault="008F41E2" w:rsidP="008F41E2">
      <w:pPr>
        <w:spacing w:after="120"/>
        <w:ind w:left="1440" w:hanging="144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4</w:t>
      </w:r>
      <w:r w:rsidRPr="00414A6D">
        <w:rPr>
          <w:rFonts w:ascii="Arial" w:hAnsi="Arial" w:cs="Arial"/>
          <w:sz w:val="22"/>
          <w:szCs w:val="22"/>
        </w:rPr>
        <w:tab/>
      </w:r>
      <w:r w:rsidRPr="00414A6D">
        <w:rPr>
          <w:rFonts w:ascii="Arial" w:hAnsi="Arial" w:cs="Arial"/>
          <w:sz w:val="22"/>
          <w:szCs w:val="22"/>
          <w:u w:val="single"/>
        </w:rPr>
        <w:t>Multiple trauma codes (Major Diagnostic Category 21A) AR-DRG version 7</w:t>
      </w:r>
    </w:p>
    <w:tbl>
      <w:tblPr>
        <w:tblStyle w:val="TableGrid"/>
        <w:tblW w:w="0" w:type="auto"/>
        <w:tblLook w:val="04A0" w:firstRow="1" w:lastRow="0" w:firstColumn="1" w:lastColumn="0" w:noHBand="0" w:noVBand="1"/>
      </w:tblPr>
      <w:tblGrid>
        <w:gridCol w:w="959"/>
        <w:gridCol w:w="7796"/>
      </w:tblGrid>
      <w:tr w:rsidR="008F41E2" w:rsidRPr="00414A6D" w14:paraId="623B107F" w14:textId="77777777" w:rsidTr="00597945">
        <w:tc>
          <w:tcPr>
            <w:tcW w:w="959" w:type="dxa"/>
            <w:shd w:val="clear" w:color="auto" w:fill="92D050"/>
          </w:tcPr>
          <w:p w14:paraId="26538A51"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DRG code</w:t>
            </w:r>
          </w:p>
        </w:tc>
        <w:tc>
          <w:tcPr>
            <w:tcW w:w="7796" w:type="dxa"/>
            <w:shd w:val="clear" w:color="auto" w:fill="92D050"/>
          </w:tcPr>
          <w:p w14:paraId="6DEE18D2"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DRG Long Descriptions</w:t>
            </w:r>
          </w:p>
        </w:tc>
      </w:tr>
      <w:tr w:rsidR="008F41E2" w:rsidRPr="00414A6D" w14:paraId="5EC7D77A" w14:textId="77777777" w:rsidTr="00597945">
        <w:tc>
          <w:tcPr>
            <w:tcW w:w="959" w:type="dxa"/>
          </w:tcPr>
          <w:p w14:paraId="0EF4BAAC"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W01A </w:t>
            </w:r>
          </w:p>
        </w:tc>
        <w:tc>
          <w:tcPr>
            <w:tcW w:w="7796" w:type="dxa"/>
          </w:tcPr>
          <w:p w14:paraId="5DAA067D"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Tracheostomy for Multiple Significant Trauma</w:t>
            </w:r>
          </w:p>
        </w:tc>
      </w:tr>
      <w:tr w:rsidR="008F41E2" w:rsidRPr="00414A6D" w14:paraId="28DAA299" w14:textId="77777777" w:rsidTr="00597945">
        <w:tc>
          <w:tcPr>
            <w:tcW w:w="959" w:type="dxa"/>
          </w:tcPr>
          <w:p w14:paraId="33A25D01"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W01B</w:t>
            </w:r>
          </w:p>
        </w:tc>
        <w:tc>
          <w:tcPr>
            <w:tcW w:w="7796" w:type="dxa"/>
          </w:tcPr>
          <w:p w14:paraId="76D6C89A"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Vent</w:t>
            </w:r>
            <w:r w:rsidR="001C2BE7" w:rsidRPr="00414A6D">
              <w:rPr>
                <w:rFonts w:ascii="Arial" w:hAnsi="Arial" w:cs="Arial"/>
                <w:sz w:val="22"/>
                <w:szCs w:val="22"/>
              </w:rPr>
              <w:t>ilation</w:t>
            </w:r>
            <w:r w:rsidRPr="00414A6D">
              <w:rPr>
                <w:rFonts w:ascii="Arial" w:hAnsi="Arial" w:cs="Arial"/>
                <w:sz w:val="22"/>
                <w:szCs w:val="22"/>
              </w:rPr>
              <w:t xml:space="preserve"> </w:t>
            </w:r>
            <w:r w:rsidR="001C2BE7" w:rsidRPr="00414A6D">
              <w:rPr>
                <w:rFonts w:ascii="Arial" w:hAnsi="Arial" w:cs="Arial"/>
                <w:sz w:val="22"/>
                <w:szCs w:val="22"/>
              </w:rPr>
              <w:t>and</w:t>
            </w:r>
            <w:r w:rsidRPr="00414A6D">
              <w:rPr>
                <w:rFonts w:ascii="Arial" w:hAnsi="Arial" w:cs="Arial"/>
                <w:sz w:val="22"/>
                <w:szCs w:val="22"/>
              </w:rPr>
              <w:t xml:space="preserve"> Cran</w:t>
            </w:r>
            <w:r w:rsidR="001C2BE7" w:rsidRPr="00414A6D">
              <w:rPr>
                <w:rFonts w:ascii="Arial" w:hAnsi="Arial" w:cs="Arial"/>
                <w:sz w:val="22"/>
                <w:szCs w:val="22"/>
              </w:rPr>
              <w:t>ial</w:t>
            </w:r>
            <w:r w:rsidRPr="00414A6D">
              <w:rPr>
                <w:rFonts w:ascii="Arial" w:hAnsi="Arial" w:cs="Arial"/>
                <w:sz w:val="22"/>
                <w:szCs w:val="22"/>
              </w:rPr>
              <w:t xml:space="preserve"> Proc</w:t>
            </w:r>
            <w:r w:rsidR="001C2BE7" w:rsidRPr="00414A6D">
              <w:rPr>
                <w:rFonts w:ascii="Arial" w:hAnsi="Arial" w:cs="Arial"/>
                <w:sz w:val="22"/>
                <w:szCs w:val="22"/>
              </w:rPr>
              <w:t>edure</w:t>
            </w:r>
            <w:r w:rsidRPr="00414A6D">
              <w:rPr>
                <w:rFonts w:ascii="Arial" w:hAnsi="Arial" w:cs="Arial"/>
                <w:sz w:val="22"/>
                <w:szCs w:val="22"/>
              </w:rPr>
              <w:t>s for Mult</w:t>
            </w:r>
            <w:r w:rsidR="00544F6A" w:rsidRPr="00414A6D">
              <w:rPr>
                <w:rFonts w:ascii="Arial" w:hAnsi="Arial" w:cs="Arial"/>
                <w:sz w:val="22"/>
                <w:szCs w:val="22"/>
              </w:rPr>
              <w:t>iple</w:t>
            </w:r>
            <w:r w:rsidRPr="00414A6D">
              <w:rPr>
                <w:rFonts w:ascii="Arial" w:hAnsi="Arial" w:cs="Arial"/>
                <w:sz w:val="22"/>
                <w:szCs w:val="22"/>
              </w:rPr>
              <w:t xml:space="preserve"> Sig</w:t>
            </w:r>
            <w:r w:rsidR="00544F6A" w:rsidRPr="00414A6D">
              <w:rPr>
                <w:rFonts w:ascii="Arial" w:hAnsi="Arial" w:cs="Arial"/>
                <w:sz w:val="22"/>
                <w:szCs w:val="22"/>
              </w:rPr>
              <w:t>nificant</w:t>
            </w:r>
            <w:r w:rsidRPr="00414A6D">
              <w:rPr>
                <w:rFonts w:ascii="Arial" w:hAnsi="Arial" w:cs="Arial"/>
                <w:sz w:val="22"/>
                <w:szCs w:val="22"/>
              </w:rPr>
              <w:t xml:space="preserve"> Trauma, </w:t>
            </w:r>
            <w:r w:rsidR="00613080" w:rsidRPr="00414A6D">
              <w:rPr>
                <w:rFonts w:ascii="Arial" w:hAnsi="Arial" w:cs="Arial"/>
                <w:sz w:val="22"/>
                <w:szCs w:val="22"/>
              </w:rPr>
              <w:t>without</w:t>
            </w:r>
            <w:r w:rsidRPr="00414A6D">
              <w:rPr>
                <w:rFonts w:ascii="Arial" w:hAnsi="Arial" w:cs="Arial"/>
                <w:sz w:val="22"/>
                <w:szCs w:val="22"/>
              </w:rPr>
              <w:t xml:space="preserve"> Trach</w:t>
            </w:r>
            <w:r w:rsidR="00544F6A" w:rsidRPr="00414A6D">
              <w:rPr>
                <w:rFonts w:ascii="Arial" w:hAnsi="Arial" w:cs="Arial"/>
                <w:sz w:val="22"/>
                <w:szCs w:val="22"/>
              </w:rPr>
              <w:t>eostomy</w:t>
            </w:r>
            <w:r w:rsidRPr="00414A6D">
              <w:rPr>
                <w:rFonts w:ascii="Arial" w:hAnsi="Arial" w:cs="Arial"/>
                <w:sz w:val="22"/>
                <w:szCs w:val="22"/>
              </w:rPr>
              <w:t xml:space="preserve"> </w:t>
            </w:r>
            <w:r w:rsidR="00544F6A" w:rsidRPr="00414A6D">
              <w:rPr>
                <w:rFonts w:ascii="Arial" w:hAnsi="Arial" w:cs="Arial"/>
                <w:sz w:val="22"/>
                <w:szCs w:val="22"/>
              </w:rPr>
              <w:t>with</w:t>
            </w:r>
            <w:r w:rsidRPr="00414A6D">
              <w:rPr>
                <w:rFonts w:ascii="Arial" w:hAnsi="Arial" w:cs="Arial"/>
                <w:sz w:val="22"/>
                <w:szCs w:val="22"/>
              </w:rPr>
              <w:t xml:space="preserve"> (Vent</w:t>
            </w:r>
            <w:r w:rsidR="001C2BE7" w:rsidRPr="00414A6D">
              <w:rPr>
                <w:rFonts w:ascii="Arial" w:hAnsi="Arial" w:cs="Arial"/>
                <w:sz w:val="22"/>
                <w:szCs w:val="22"/>
              </w:rPr>
              <w:t>ilation</w:t>
            </w:r>
            <w:r w:rsidRPr="00414A6D">
              <w:rPr>
                <w:rFonts w:ascii="Arial" w:hAnsi="Arial" w:cs="Arial"/>
                <w:sz w:val="22"/>
                <w:szCs w:val="22"/>
              </w:rPr>
              <w:t xml:space="preserve"> &gt;=96h</w:t>
            </w:r>
            <w:r w:rsidR="001C2BE7" w:rsidRPr="00414A6D">
              <w:rPr>
                <w:rFonts w:ascii="Arial" w:hAnsi="Arial" w:cs="Arial"/>
                <w:sz w:val="22"/>
                <w:szCs w:val="22"/>
              </w:rPr>
              <w:t>our</w:t>
            </w:r>
            <w:r w:rsidRPr="00414A6D">
              <w:rPr>
                <w:rFonts w:ascii="Arial" w:hAnsi="Arial" w:cs="Arial"/>
                <w:sz w:val="22"/>
                <w:szCs w:val="22"/>
              </w:rPr>
              <w:t>s or Cat</w:t>
            </w:r>
            <w:r w:rsidR="00544F6A" w:rsidRPr="00414A6D">
              <w:rPr>
                <w:rFonts w:ascii="Arial" w:hAnsi="Arial" w:cs="Arial"/>
                <w:sz w:val="22"/>
                <w:szCs w:val="22"/>
              </w:rPr>
              <w:t>astrophic</w:t>
            </w:r>
            <w:r w:rsidRPr="00414A6D">
              <w:rPr>
                <w:rFonts w:ascii="Arial" w:hAnsi="Arial" w:cs="Arial"/>
                <w:sz w:val="22"/>
                <w:szCs w:val="22"/>
              </w:rPr>
              <w:t xml:space="preserve"> </w:t>
            </w:r>
            <w:r w:rsidR="00544F6A" w:rsidRPr="00414A6D">
              <w:rPr>
                <w:rFonts w:ascii="Arial" w:hAnsi="Arial" w:cs="Arial"/>
                <w:sz w:val="22"/>
                <w:szCs w:val="22"/>
              </w:rPr>
              <w:t xml:space="preserve">Complications </w:t>
            </w:r>
            <w:r w:rsidR="001C2BE7" w:rsidRPr="00414A6D">
              <w:rPr>
                <w:rFonts w:ascii="Arial" w:hAnsi="Arial" w:cs="Arial"/>
                <w:sz w:val="22"/>
                <w:szCs w:val="22"/>
              </w:rPr>
              <w:t>and/</w:t>
            </w:r>
            <w:r w:rsidR="00544F6A" w:rsidRPr="00414A6D">
              <w:rPr>
                <w:rFonts w:ascii="Arial" w:hAnsi="Arial" w:cs="Arial"/>
                <w:sz w:val="22"/>
                <w:szCs w:val="22"/>
              </w:rPr>
              <w:t>or Comorbidities</w:t>
            </w:r>
            <w:r w:rsidR="00544F6A" w:rsidRPr="00414A6D" w:rsidDel="00544F6A">
              <w:rPr>
                <w:rFonts w:ascii="Arial" w:hAnsi="Arial" w:cs="Arial"/>
                <w:sz w:val="22"/>
                <w:szCs w:val="22"/>
              </w:rPr>
              <w:t xml:space="preserve"> </w:t>
            </w:r>
            <w:r w:rsidRPr="00414A6D">
              <w:rPr>
                <w:rFonts w:ascii="Arial" w:hAnsi="Arial" w:cs="Arial"/>
                <w:sz w:val="22"/>
                <w:szCs w:val="22"/>
              </w:rPr>
              <w:t>)</w:t>
            </w:r>
          </w:p>
        </w:tc>
      </w:tr>
      <w:tr w:rsidR="008F41E2" w:rsidRPr="00414A6D" w14:paraId="58A896FB" w14:textId="77777777" w:rsidTr="00597945">
        <w:tc>
          <w:tcPr>
            <w:tcW w:w="959" w:type="dxa"/>
          </w:tcPr>
          <w:p w14:paraId="669C9BB9"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W01C </w:t>
            </w:r>
          </w:p>
        </w:tc>
        <w:tc>
          <w:tcPr>
            <w:tcW w:w="7796" w:type="dxa"/>
          </w:tcPr>
          <w:p w14:paraId="210F07BD"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Vent</w:t>
            </w:r>
            <w:r w:rsidR="001C2BE7" w:rsidRPr="00414A6D">
              <w:rPr>
                <w:rFonts w:ascii="Arial" w:hAnsi="Arial" w:cs="Arial"/>
                <w:sz w:val="22"/>
                <w:szCs w:val="22"/>
              </w:rPr>
              <w:t>ilation and</w:t>
            </w:r>
            <w:r w:rsidRPr="00414A6D">
              <w:rPr>
                <w:rFonts w:ascii="Arial" w:hAnsi="Arial" w:cs="Arial"/>
                <w:sz w:val="22"/>
                <w:szCs w:val="22"/>
              </w:rPr>
              <w:t xml:space="preserve">  Cran</w:t>
            </w:r>
            <w:r w:rsidR="001C2BE7" w:rsidRPr="00414A6D">
              <w:rPr>
                <w:rFonts w:ascii="Arial" w:hAnsi="Arial" w:cs="Arial"/>
                <w:sz w:val="22"/>
                <w:szCs w:val="22"/>
              </w:rPr>
              <w:t>ial</w:t>
            </w:r>
            <w:r w:rsidRPr="00414A6D">
              <w:rPr>
                <w:rFonts w:ascii="Arial" w:hAnsi="Arial" w:cs="Arial"/>
                <w:sz w:val="22"/>
                <w:szCs w:val="22"/>
              </w:rPr>
              <w:t xml:space="preserve"> Proc</w:t>
            </w:r>
            <w:r w:rsidR="00544F6A" w:rsidRPr="00414A6D">
              <w:rPr>
                <w:rFonts w:ascii="Arial" w:hAnsi="Arial" w:cs="Arial"/>
                <w:sz w:val="22"/>
                <w:szCs w:val="22"/>
              </w:rPr>
              <w:t>edure</w:t>
            </w:r>
            <w:r w:rsidRPr="00414A6D">
              <w:rPr>
                <w:rFonts w:ascii="Arial" w:hAnsi="Arial" w:cs="Arial"/>
                <w:sz w:val="22"/>
                <w:szCs w:val="22"/>
              </w:rPr>
              <w:t>s for Mult</w:t>
            </w:r>
            <w:r w:rsidR="00544F6A" w:rsidRPr="00414A6D">
              <w:rPr>
                <w:rFonts w:ascii="Arial" w:hAnsi="Arial" w:cs="Arial"/>
                <w:sz w:val="22"/>
                <w:szCs w:val="22"/>
              </w:rPr>
              <w:t>iple</w:t>
            </w:r>
            <w:r w:rsidRPr="00414A6D">
              <w:rPr>
                <w:rFonts w:ascii="Arial" w:hAnsi="Arial" w:cs="Arial"/>
                <w:sz w:val="22"/>
                <w:szCs w:val="22"/>
              </w:rPr>
              <w:t xml:space="preserve"> Sig</w:t>
            </w:r>
            <w:r w:rsidR="00544F6A" w:rsidRPr="00414A6D">
              <w:rPr>
                <w:rFonts w:ascii="Arial" w:hAnsi="Arial" w:cs="Arial"/>
                <w:sz w:val="22"/>
                <w:szCs w:val="22"/>
              </w:rPr>
              <w:t>nificant</w:t>
            </w:r>
            <w:r w:rsidRPr="00414A6D">
              <w:rPr>
                <w:rFonts w:ascii="Arial" w:hAnsi="Arial" w:cs="Arial"/>
                <w:sz w:val="22"/>
                <w:szCs w:val="22"/>
              </w:rPr>
              <w:t xml:space="preserve"> Trauma, </w:t>
            </w:r>
            <w:r w:rsidR="00613080" w:rsidRPr="00414A6D">
              <w:rPr>
                <w:rFonts w:ascii="Arial" w:hAnsi="Arial" w:cs="Arial"/>
                <w:sz w:val="22"/>
                <w:szCs w:val="22"/>
              </w:rPr>
              <w:t xml:space="preserve">without </w:t>
            </w:r>
            <w:r w:rsidRPr="00414A6D">
              <w:rPr>
                <w:rFonts w:ascii="Arial" w:hAnsi="Arial" w:cs="Arial"/>
                <w:sz w:val="22"/>
                <w:szCs w:val="22"/>
              </w:rPr>
              <w:t>Trach</w:t>
            </w:r>
            <w:r w:rsidR="00544F6A" w:rsidRPr="00414A6D">
              <w:rPr>
                <w:rFonts w:ascii="Arial" w:hAnsi="Arial" w:cs="Arial"/>
                <w:sz w:val="22"/>
                <w:szCs w:val="22"/>
              </w:rPr>
              <w:t>eostomy</w:t>
            </w:r>
            <w:r w:rsidRPr="00414A6D">
              <w:rPr>
                <w:rFonts w:ascii="Arial" w:hAnsi="Arial" w:cs="Arial"/>
                <w:sz w:val="22"/>
                <w:szCs w:val="22"/>
              </w:rPr>
              <w:t xml:space="preserve"> </w:t>
            </w:r>
            <w:r w:rsidR="00613080" w:rsidRPr="00414A6D">
              <w:rPr>
                <w:rFonts w:ascii="Arial" w:hAnsi="Arial" w:cs="Arial"/>
                <w:sz w:val="22"/>
                <w:szCs w:val="22"/>
              </w:rPr>
              <w:t xml:space="preserve">without </w:t>
            </w:r>
            <w:r w:rsidRPr="00414A6D">
              <w:rPr>
                <w:rFonts w:ascii="Arial" w:hAnsi="Arial" w:cs="Arial"/>
                <w:sz w:val="22"/>
                <w:szCs w:val="22"/>
              </w:rPr>
              <w:t>Vent</w:t>
            </w:r>
            <w:r w:rsidR="001C2BE7" w:rsidRPr="00414A6D">
              <w:rPr>
                <w:rFonts w:ascii="Arial" w:hAnsi="Arial" w:cs="Arial"/>
                <w:sz w:val="22"/>
                <w:szCs w:val="22"/>
              </w:rPr>
              <w:t>ilation</w:t>
            </w:r>
            <w:r w:rsidRPr="00414A6D">
              <w:rPr>
                <w:rFonts w:ascii="Arial" w:hAnsi="Arial" w:cs="Arial"/>
                <w:sz w:val="22"/>
                <w:szCs w:val="22"/>
              </w:rPr>
              <w:t xml:space="preserve"> &gt;=96hrs </w:t>
            </w:r>
            <w:r w:rsidR="00613080" w:rsidRPr="00414A6D">
              <w:rPr>
                <w:rFonts w:ascii="Arial" w:hAnsi="Arial" w:cs="Arial"/>
                <w:sz w:val="22"/>
                <w:szCs w:val="22"/>
              </w:rPr>
              <w:t xml:space="preserve">without </w:t>
            </w:r>
            <w:r w:rsidRPr="00414A6D">
              <w:rPr>
                <w:rFonts w:ascii="Arial" w:hAnsi="Arial" w:cs="Arial"/>
                <w:sz w:val="22"/>
                <w:szCs w:val="22"/>
              </w:rPr>
              <w:t>Cat</w:t>
            </w:r>
            <w:r w:rsidR="00544F6A" w:rsidRPr="00414A6D">
              <w:rPr>
                <w:rFonts w:ascii="Arial" w:hAnsi="Arial" w:cs="Arial"/>
                <w:sz w:val="22"/>
                <w:szCs w:val="22"/>
              </w:rPr>
              <w:t>astrophic</w:t>
            </w:r>
            <w:r w:rsidRPr="00414A6D">
              <w:rPr>
                <w:rFonts w:ascii="Arial" w:hAnsi="Arial" w:cs="Arial"/>
                <w:sz w:val="22"/>
                <w:szCs w:val="22"/>
              </w:rPr>
              <w:t xml:space="preserve"> </w:t>
            </w:r>
            <w:r w:rsidR="00544F6A" w:rsidRPr="00414A6D">
              <w:rPr>
                <w:rFonts w:ascii="Arial" w:hAnsi="Arial" w:cs="Arial"/>
                <w:sz w:val="22"/>
                <w:szCs w:val="22"/>
              </w:rPr>
              <w:t xml:space="preserve">Complications </w:t>
            </w:r>
            <w:r w:rsidR="001C2BE7" w:rsidRPr="00414A6D">
              <w:rPr>
                <w:rFonts w:ascii="Arial" w:hAnsi="Arial" w:cs="Arial"/>
                <w:sz w:val="22"/>
                <w:szCs w:val="22"/>
              </w:rPr>
              <w:t>and/</w:t>
            </w:r>
            <w:r w:rsidR="00544F6A" w:rsidRPr="00414A6D">
              <w:rPr>
                <w:rFonts w:ascii="Arial" w:hAnsi="Arial" w:cs="Arial"/>
                <w:sz w:val="22"/>
                <w:szCs w:val="22"/>
              </w:rPr>
              <w:t>or Comorbidities</w:t>
            </w:r>
            <w:r w:rsidR="00544F6A" w:rsidRPr="00414A6D" w:rsidDel="00544F6A">
              <w:rPr>
                <w:rFonts w:ascii="Arial" w:hAnsi="Arial" w:cs="Arial"/>
                <w:sz w:val="22"/>
                <w:szCs w:val="22"/>
              </w:rPr>
              <w:t xml:space="preserve"> </w:t>
            </w:r>
          </w:p>
        </w:tc>
      </w:tr>
      <w:tr w:rsidR="008F41E2" w:rsidRPr="00414A6D" w14:paraId="07F4D91A" w14:textId="77777777" w:rsidTr="00597945">
        <w:tc>
          <w:tcPr>
            <w:tcW w:w="959" w:type="dxa"/>
          </w:tcPr>
          <w:p w14:paraId="56B4F34C"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W02A </w:t>
            </w:r>
          </w:p>
        </w:tc>
        <w:tc>
          <w:tcPr>
            <w:tcW w:w="7796" w:type="dxa"/>
          </w:tcPr>
          <w:p w14:paraId="76E69BD3"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Hip, Femur &amp; Lower Limb Proc</w:t>
            </w:r>
            <w:r w:rsidR="00544F6A" w:rsidRPr="00414A6D">
              <w:rPr>
                <w:rFonts w:ascii="Arial" w:hAnsi="Arial" w:cs="Arial"/>
                <w:sz w:val="22"/>
                <w:szCs w:val="22"/>
              </w:rPr>
              <w:t>edures</w:t>
            </w:r>
            <w:r w:rsidRPr="00414A6D">
              <w:rPr>
                <w:rFonts w:ascii="Arial" w:hAnsi="Arial" w:cs="Arial"/>
                <w:sz w:val="22"/>
                <w:szCs w:val="22"/>
              </w:rPr>
              <w:t xml:space="preserve"> for Mult</w:t>
            </w:r>
            <w:r w:rsidR="00544F6A" w:rsidRPr="00414A6D">
              <w:rPr>
                <w:rFonts w:ascii="Arial" w:hAnsi="Arial" w:cs="Arial"/>
                <w:sz w:val="22"/>
                <w:szCs w:val="22"/>
              </w:rPr>
              <w:t>iple</w:t>
            </w:r>
            <w:r w:rsidRPr="00414A6D">
              <w:rPr>
                <w:rFonts w:ascii="Arial" w:hAnsi="Arial" w:cs="Arial"/>
                <w:sz w:val="22"/>
                <w:szCs w:val="22"/>
              </w:rPr>
              <w:t xml:space="preserve"> Significant Trauma </w:t>
            </w:r>
            <w:r w:rsidR="00544F6A" w:rsidRPr="00414A6D">
              <w:rPr>
                <w:rFonts w:ascii="Arial" w:hAnsi="Arial" w:cs="Arial"/>
                <w:sz w:val="22"/>
                <w:szCs w:val="22"/>
              </w:rPr>
              <w:t>with</w:t>
            </w:r>
            <w:r w:rsidRPr="00414A6D">
              <w:rPr>
                <w:rFonts w:ascii="Arial" w:hAnsi="Arial" w:cs="Arial"/>
                <w:sz w:val="22"/>
                <w:szCs w:val="22"/>
              </w:rPr>
              <w:t xml:space="preserve"> Cat</w:t>
            </w:r>
            <w:r w:rsidR="00544F6A" w:rsidRPr="00414A6D">
              <w:rPr>
                <w:rFonts w:ascii="Arial" w:hAnsi="Arial" w:cs="Arial"/>
                <w:sz w:val="22"/>
                <w:szCs w:val="22"/>
              </w:rPr>
              <w:t>astrophic</w:t>
            </w:r>
            <w:r w:rsidRPr="00414A6D">
              <w:rPr>
                <w:rFonts w:ascii="Arial" w:hAnsi="Arial" w:cs="Arial"/>
                <w:sz w:val="22"/>
                <w:szCs w:val="22"/>
              </w:rPr>
              <w:t xml:space="preserve"> or Sev</w:t>
            </w:r>
            <w:r w:rsidR="00544F6A" w:rsidRPr="00414A6D">
              <w:rPr>
                <w:rFonts w:ascii="Arial" w:hAnsi="Arial" w:cs="Arial"/>
                <w:sz w:val="22"/>
                <w:szCs w:val="22"/>
              </w:rPr>
              <w:t>ere</w:t>
            </w:r>
            <w:r w:rsidRPr="00414A6D">
              <w:rPr>
                <w:rFonts w:ascii="Arial" w:hAnsi="Arial" w:cs="Arial"/>
                <w:sz w:val="22"/>
                <w:szCs w:val="22"/>
              </w:rPr>
              <w:t xml:space="preserve"> C</w:t>
            </w:r>
            <w:r w:rsidR="00544F6A" w:rsidRPr="00414A6D">
              <w:rPr>
                <w:rFonts w:ascii="Arial" w:hAnsi="Arial" w:cs="Arial"/>
                <w:sz w:val="22"/>
                <w:szCs w:val="22"/>
              </w:rPr>
              <w:t xml:space="preserve">omplications </w:t>
            </w:r>
            <w:r w:rsidR="001C2BE7" w:rsidRPr="00414A6D">
              <w:rPr>
                <w:rFonts w:ascii="Arial" w:hAnsi="Arial" w:cs="Arial"/>
                <w:sz w:val="22"/>
                <w:szCs w:val="22"/>
              </w:rPr>
              <w:t>and/</w:t>
            </w:r>
            <w:r w:rsidR="00544F6A" w:rsidRPr="00414A6D">
              <w:rPr>
                <w:rFonts w:ascii="Arial" w:hAnsi="Arial" w:cs="Arial"/>
                <w:sz w:val="22"/>
                <w:szCs w:val="22"/>
              </w:rPr>
              <w:t xml:space="preserve">or </w:t>
            </w:r>
            <w:r w:rsidRPr="00414A6D">
              <w:rPr>
                <w:rFonts w:ascii="Arial" w:hAnsi="Arial" w:cs="Arial"/>
                <w:sz w:val="22"/>
                <w:szCs w:val="22"/>
              </w:rPr>
              <w:t>C</w:t>
            </w:r>
            <w:r w:rsidR="00544F6A" w:rsidRPr="00414A6D">
              <w:rPr>
                <w:rFonts w:ascii="Arial" w:hAnsi="Arial" w:cs="Arial"/>
                <w:sz w:val="22"/>
                <w:szCs w:val="22"/>
              </w:rPr>
              <w:t>omorbidities</w:t>
            </w:r>
          </w:p>
        </w:tc>
      </w:tr>
      <w:tr w:rsidR="008F41E2" w:rsidRPr="00414A6D" w14:paraId="7244047D" w14:textId="77777777" w:rsidTr="00597945">
        <w:tc>
          <w:tcPr>
            <w:tcW w:w="959" w:type="dxa"/>
          </w:tcPr>
          <w:p w14:paraId="57398034"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W02B </w:t>
            </w:r>
          </w:p>
        </w:tc>
        <w:tc>
          <w:tcPr>
            <w:tcW w:w="7796" w:type="dxa"/>
          </w:tcPr>
          <w:p w14:paraId="53F828DA" w14:textId="77777777" w:rsidR="008F41E2" w:rsidRPr="00414A6D" w:rsidRDefault="008F41E2" w:rsidP="00544F6A">
            <w:pPr>
              <w:autoSpaceDE w:val="0"/>
              <w:autoSpaceDN w:val="0"/>
              <w:adjustRightInd w:val="0"/>
              <w:rPr>
                <w:rFonts w:ascii="Arial" w:hAnsi="Arial" w:cs="Arial"/>
                <w:sz w:val="22"/>
                <w:szCs w:val="22"/>
              </w:rPr>
            </w:pPr>
            <w:r w:rsidRPr="00414A6D">
              <w:rPr>
                <w:rFonts w:ascii="Arial" w:hAnsi="Arial" w:cs="Arial"/>
                <w:sz w:val="22"/>
                <w:szCs w:val="22"/>
              </w:rPr>
              <w:t>Hip, Femur &amp; Lower Limb Proc</w:t>
            </w:r>
            <w:r w:rsidR="00544F6A" w:rsidRPr="00414A6D">
              <w:rPr>
                <w:rFonts w:ascii="Arial" w:hAnsi="Arial" w:cs="Arial"/>
                <w:sz w:val="22"/>
                <w:szCs w:val="22"/>
              </w:rPr>
              <w:t>edure</w:t>
            </w:r>
            <w:r w:rsidRPr="00414A6D">
              <w:rPr>
                <w:rFonts w:ascii="Arial" w:hAnsi="Arial" w:cs="Arial"/>
                <w:sz w:val="22"/>
                <w:szCs w:val="22"/>
              </w:rPr>
              <w:t>s for Mult</w:t>
            </w:r>
            <w:r w:rsidR="00544F6A" w:rsidRPr="00414A6D">
              <w:rPr>
                <w:rFonts w:ascii="Arial" w:hAnsi="Arial" w:cs="Arial"/>
                <w:sz w:val="22"/>
                <w:szCs w:val="22"/>
              </w:rPr>
              <w:t>iple</w:t>
            </w:r>
            <w:r w:rsidRPr="00414A6D">
              <w:rPr>
                <w:rFonts w:ascii="Arial" w:hAnsi="Arial" w:cs="Arial"/>
                <w:sz w:val="22"/>
                <w:szCs w:val="22"/>
              </w:rPr>
              <w:t xml:space="preserve"> Significant Trauma </w:t>
            </w:r>
            <w:r w:rsidR="00613080" w:rsidRPr="00414A6D">
              <w:rPr>
                <w:rFonts w:ascii="Arial" w:hAnsi="Arial" w:cs="Arial"/>
                <w:sz w:val="22"/>
                <w:szCs w:val="22"/>
              </w:rPr>
              <w:t xml:space="preserve">without </w:t>
            </w:r>
            <w:r w:rsidR="00544F6A" w:rsidRPr="00414A6D">
              <w:rPr>
                <w:rFonts w:ascii="Arial" w:hAnsi="Arial" w:cs="Arial"/>
                <w:sz w:val="22"/>
                <w:szCs w:val="22"/>
              </w:rPr>
              <w:t xml:space="preserve"> Catastrophic or Severe Complications </w:t>
            </w:r>
            <w:r w:rsidR="001C2BE7" w:rsidRPr="00414A6D">
              <w:rPr>
                <w:rFonts w:ascii="Arial" w:hAnsi="Arial" w:cs="Arial"/>
                <w:sz w:val="22"/>
                <w:szCs w:val="22"/>
              </w:rPr>
              <w:t>and/</w:t>
            </w:r>
            <w:r w:rsidR="00544F6A" w:rsidRPr="00414A6D">
              <w:rPr>
                <w:rFonts w:ascii="Arial" w:hAnsi="Arial" w:cs="Arial"/>
                <w:sz w:val="22"/>
                <w:szCs w:val="22"/>
              </w:rPr>
              <w:t>or Comorbidities</w:t>
            </w:r>
          </w:p>
        </w:tc>
      </w:tr>
      <w:tr w:rsidR="008F41E2" w:rsidRPr="00414A6D" w14:paraId="6E1FCDA8" w14:textId="77777777" w:rsidTr="00597945">
        <w:tc>
          <w:tcPr>
            <w:tcW w:w="959" w:type="dxa"/>
          </w:tcPr>
          <w:p w14:paraId="366D32AF"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W03Z </w:t>
            </w:r>
          </w:p>
        </w:tc>
        <w:tc>
          <w:tcPr>
            <w:tcW w:w="7796" w:type="dxa"/>
          </w:tcPr>
          <w:p w14:paraId="163E4668"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Abdominal Procedures for Multiple Significant Trauma</w:t>
            </w:r>
          </w:p>
        </w:tc>
      </w:tr>
      <w:tr w:rsidR="008F41E2" w:rsidRPr="00414A6D" w14:paraId="4181EC63" w14:textId="77777777" w:rsidTr="00597945">
        <w:tc>
          <w:tcPr>
            <w:tcW w:w="959" w:type="dxa"/>
          </w:tcPr>
          <w:p w14:paraId="5521A9FB"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W04A</w:t>
            </w:r>
          </w:p>
        </w:tc>
        <w:tc>
          <w:tcPr>
            <w:tcW w:w="7796" w:type="dxa"/>
          </w:tcPr>
          <w:p w14:paraId="0782D715"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Multiple Significant Trauma </w:t>
            </w:r>
            <w:r w:rsidR="00544F6A" w:rsidRPr="00414A6D">
              <w:rPr>
                <w:rFonts w:ascii="Arial" w:hAnsi="Arial" w:cs="Arial"/>
                <w:sz w:val="22"/>
                <w:szCs w:val="22"/>
              </w:rPr>
              <w:t>with</w:t>
            </w:r>
            <w:r w:rsidRPr="00414A6D">
              <w:rPr>
                <w:rFonts w:ascii="Arial" w:hAnsi="Arial" w:cs="Arial"/>
                <w:sz w:val="22"/>
                <w:szCs w:val="22"/>
              </w:rPr>
              <w:t xml:space="preserve"> Other O</w:t>
            </w:r>
            <w:r w:rsidR="001C2BE7" w:rsidRPr="00414A6D">
              <w:rPr>
                <w:rFonts w:ascii="Arial" w:hAnsi="Arial" w:cs="Arial"/>
                <w:sz w:val="22"/>
                <w:szCs w:val="22"/>
              </w:rPr>
              <w:t xml:space="preserve">perating </w:t>
            </w:r>
            <w:r w:rsidRPr="00414A6D">
              <w:rPr>
                <w:rFonts w:ascii="Arial" w:hAnsi="Arial" w:cs="Arial"/>
                <w:sz w:val="22"/>
                <w:szCs w:val="22"/>
              </w:rPr>
              <w:t>R</w:t>
            </w:r>
            <w:r w:rsidR="001C2BE7" w:rsidRPr="00414A6D">
              <w:rPr>
                <w:rFonts w:ascii="Arial" w:hAnsi="Arial" w:cs="Arial"/>
                <w:sz w:val="22"/>
                <w:szCs w:val="22"/>
              </w:rPr>
              <w:t>oom</w:t>
            </w:r>
            <w:r w:rsidRPr="00414A6D">
              <w:rPr>
                <w:rFonts w:ascii="Arial" w:hAnsi="Arial" w:cs="Arial"/>
                <w:sz w:val="22"/>
                <w:szCs w:val="22"/>
              </w:rPr>
              <w:t xml:space="preserve"> Proc</w:t>
            </w:r>
            <w:r w:rsidR="00544F6A" w:rsidRPr="00414A6D">
              <w:rPr>
                <w:rFonts w:ascii="Arial" w:hAnsi="Arial" w:cs="Arial"/>
                <w:sz w:val="22"/>
                <w:szCs w:val="22"/>
              </w:rPr>
              <w:t>edure</w:t>
            </w:r>
            <w:r w:rsidRPr="00414A6D">
              <w:rPr>
                <w:rFonts w:ascii="Arial" w:hAnsi="Arial" w:cs="Arial"/>
                <w:sz w:val="22"/>
                <w:szCs w:val="22"/>
              </w:rPr>
              <w:t xml:space="preserve">s </w:t>
            </w:r>
            <w:r w:rsidR="00544F6A" w:rsidRPr="00414A6D">
              <w:rPr>
                <w:rFonts w:ascii="Arial" w:hAnsi="Arial" w:cs="Arial"/>
                <w:sz w:val="22"/>
                <w:szCs w:val="22"/>
              </w:rPr>
              <w:t>with</w:t>
            </w:r>
            <w:r w:rsidRPr="00414A6D">
              <w:rPr>
                <w:rFonts w:ascii="Arial" w:hAnsi="Arial" w:cs="Arial"/>
                <w:sz w:val="22"/>
                <w:szCs w:val="22"/>
              </w:rPr>
              <w:t xml:space="preserve"> Catastrophic or Severe </w:t>
            </w:r>
            <w:r w:rsidR="00544F6A" w:rsidRPr="00414A6D">
              <w:rPr>
                <w:rFonts w:ascii="Arial" w:hAnsi="Arial" w:cs="Arial"/>
                <w:sz w:val="22"/>
                <w:szCs w:val="22"/>
              </w:rPr>
              <w:t xml:space="preserve"> Complications </w:t>
            </w:r>
            <w:r w:rsidR="001C2BE7" w:rsidRPr="00414A6D">
              <w:rPr>
                <w:rFonts w:ascii="Arial" w:hAnsi="Arial" w:cs="Arial"/>
                <w:sz w:val="22"/>
                <w:szCs w:val="22"/>
              </w:rPr>
              <w:t>and/</w:t>
            </w:r>
            <w:r w:rsidR="00544F6A" w:rsidRPr="00414A6D">
              <w:rPr>
                <w:rFonts w:ascii="Arial" w:hAnsi="Arial" w:cs="Arial"/>
                <w:sz w:val="22"/>
                <w:szCs w:val="22"/>
              </w:rPr>
              <w:t>or Comorbidities</w:t>
            </w:r>
          </w:p>
        </w:tc>
      </w:tr>
      <w:tr w:rsidR="008F41E2" w:rsidRPr="00414A6D" w14:paraId="46F8D33E" w14:textId="77777777" w:rsidTr="00597945">
        <w:tc>
          <w:tcPr>
            <w:tcW w:w="959" w:type="dxa"/>
          </w:tcPr>
          <w:p w14:paraId="30566ECD"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W04B </w:t>
            </w:r>
          </w:p>
        </w:tc>
        <w:tc>
          <w:tcPr>
            <w:tcW w:w="7796" w:type="dxa"/>
          </w:tcPr>
          <w:p w14:paraId="7EE58A55"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Multiple Significant Trauma </w:t>
            </w:r>
            <w:r w:rsidR="00544F6A" w:rsidRPr="00414A6D">
              <w:rPr>
                <w:rFonts w:ascii="Arial" w:hAnsi="Arial" w:cs="Arial"/>
                <w:sz w:val="22"/>
                <w:szCs w:val="22"/>
              </w:rPr>
              <w:t>with</w:t>
            </w:r>
            <w:r w:rsidRPr="00414A6D">
              <w:rPr>
                <w:rFonts w:ascii="Arial" w:hAnsi="Arial" w:cs="Arial"/>
                <w:sz w:val="22"/>
                <w:szCs w:val="22"/>
              </w:rPr>
              <w:t xml:space="preserve"> Other O</w:t>
            </w:r>
            <w:r w:rsidR="001C2BE7" w:rsidRPr="00414A6D">
              <w:rPr>
                <w:rFonts w:ascii="Arial" w:hAnsi="Arial" w:cs="Arial"/>
                <w:sz w:val="22"/>
                <w:szCs w:val="22"/>
              </w:rPr>
              <w:t xml:space="preserve">perating </w:t>
            </w:r>
            <w:r w:rsidRPr="00414A6D">
              <w:rPr>
                <w:rFonts w:ascii="Arial" w:hAnsi="Arial" w:cs="Arial"/>
                <w:sz w:val="22"/>
                <w:szCs w:val="22"/>
              </w:rPr>
              <w:t>R</w:t>
            </w:r>
            <w:r w:rsidR="001C2BE7" w:rsidRPr="00414A6D">
              <w:rPr>
                <w:rFonts w:ascii="Arial" w:hAnsi="Arial" w:cs="Arial"/>
                <w:sz w:val="22"/>
                <w:szCs w:val="22"/>
              </w:rPr>
              <w:t>oom</w:t>
            </w:r>
            <w:r w:rsidRPr="00414A6D">
              <w:rPr>
                <w:rFonts w:ascii="Arial" w:hAnsi="Arial" w:cs="Arial"/>
                <w:sz w:val="22"/>
                <w:szCs w:val="22"/>
              </w:rPr>
              <w:t xml:space="preserve"> Proc</w:t>
            </w:r>
            <w:r w:rsidR="00544F6A" w:rsidRPr="00414A6D">
              <w:rPr>
                <w:rFonts w:ascii="Arial" w:hAnsi="Arial" w:cs="Arial"/>
                <w:sz w:val="22"/>
                <w:szCs w:val="22"/>
              </w:rPr>
              <w:t>edure</w:t>
            </w:r>
            <w:r w:rsidRPr="00414A6D">
              <w:rPr>
                <w:rFonts w:ascii="Arial" w:hAnsi="Arial" w:cs="Arial"/>
                <w:sz w:val="22"/>
                <w:szCs w:val="22"/>
              </w:rPr>
              <w:t xml:space="preserve">s </w:t>
            </w:r>
            <w:r w:rsidR="00613080" w:rsidRPr="00414A6D">
              <w:rPr>
                <w:rFonts w:ascii="Arial" w:hAnsi="Arial" w:cs="Arial"/>
                <w:sz w:val="22"/>
                <w:szCs w:val="22"/>
              </w:rPr>
              <w:t xml:space="preserve">without </w:t>
            </w:r>
            <w:r w:rsidRPr="00414A6D">
              <w:rPr>
                <w:rFonts w:ascii="Arial" w:hAnsi="Arial" w:cs="Arial"/>
                <w:sz w:val="22"/>
                <w:szCs w:val="22"/>
              </w:rPr>
              <w:t xml:space="preserve">Catastrophic or Severe </w:t>
            </w:r>
            <w:r w:rsidR="00544F6A" w:rsidRPr="00414A6D">
              <w:rPr>
                <w:rFonts w:ascii="Arial" w:hAnsi="Arial" w:cs="Arial"/>
                <w:sz w:val="22"/>
                <w:szCs w:val="22"/>
              </w:rPr>
              <w:t xml:space="preserve">Complications </w:t>
            </w:r>
            <w:r w:rsidR="001C2BE7" w:rsidRPr="00414A6D">
              <w:rPr>
                <w:rFonts w:ascii="Arial" w:hAnsi="Arial" w:cs="Arial"/>
                <w:sz w:val="22"/>
                <w:szCs w:val="22"/>
              </w:rPr>
              <w:t>and/</w:t>
            </w:r>
            <w:r w:rsidR="00544F6A" w:rsidRPr="00414A6D">
              <w:rPr>
                <w:rFonts w:ascii="Arial" w:hAnsi="Arial" w:cs="Arial"/>
                <w:sz w:val="22"/>
                <w:szCs w:val="22"/>
              </w:rPr>
              <w:t>or Comorbidities</w:t>
            </w:r>
            <w:r w:rsidR="00544F6A" w:rsidRPr="00414A6D" w:rsidDel="00544F6A">
              <w:rPr>
                <w:rFonts w:ascii="Arial" w:hAnsi="Arial" w:cs="Arial"/>
                <w:sz w:val="22"/>
                <w:szCs w:val="22"/>
              </w:rPr>
              <w:t xml:space="preserve"> </w:t>
            </w:r>
          </w:p>
        </w:tc>
      </w:tr>
      <w:tr w:rsidR="008F41E2" w:rsidRPr="00414A6D" w14:paraId="66CDE8DD" w14:textId="77777777" w:rsidTr="00597945">
        <w:tc>
          <w:tcPr>
            <w:tcW w:w="959" w:type="dxa"/>
          </w:tcPr>
          <w:p w14:paraId="52CCCECF"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W60Z</w:t>
            </w:r>
          </w:p>
        </w:tc>
        <w:tc>
          <w:tcPr>
            <w:tcW w:w="7796" w:type="dxa"/>
          </w:tcPr>
          <w:p w14:paraId="1626BA83"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Multiple Trauma, Died or Transferred to Acute Facility &lt;5 Days</w:t>
            </w:r>
          </w:p>
        </w:tc>
      </w:tr>
      <w:tr w:rsidR="008F41E2" w:rsidRPr="00414A6D" w14:paraId="42E28BCC" w14:textId="77777777" w:rsidTr="00597945">
        <w:tc>
          <w:tcPr>
            <w:tcW w:w="959" w:type="dxa"/>
          </w:tcPr>
          <w:p w14:paraId="046B45BF"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W61A </w:t>
            </w:r>
          </w:p>
        </w:tc>
        <w:tc>
          <w:tcPr>
            <w:tcW w:w="7796" w:type="dxa"/>
          </w:tcPr>
          <w:p w14:paraId="225F7399"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 xml:space="preserve">Multiple Trauma </w:t>
            </w:r>
            <w:r w:rsidR="00613080" w:rsidRPr="00414A6D">
              <w:rPr>
                <w:rFonts w:ascii="Arial" w:hAnsi="Arial" w:cs="Arial"/>
                <w:sz w:val="22"/>
                <w:szCs w:val="22"/>
              </w:rPr>
              <w:t xml:space="preserve">without </w:t>
            </w:r>
            <w:r w:rsidRPr="00414A6D">
              <w:rPr>
                <w:rFonts w:ascii="Arial" w:hAnsi="Arial" w:cs="Arial"/>
                <w:sz w:val="22"/>
                <w:szCs w:val="22"/>
              </w:rPr>
              <w:t>O</w:t>
            </w:r>
            <w:r w:rsidR="001C2BE7" w:rsidRPr="00414A6D">
              <w:rPr>
                <w:rFonts w:ascii="Arial" w:hAnsi="Arial" w:cs="Arial"/>
                <w:sz w:val="22"/>
                <w:szCs w:val="22"/>
              </w:rPr>
              <w:t xml:space="preserve">perating </w:t>
            </w:r>
            <w:r w:rsidRPr="00414A6D">
              <w:rPr>
                <w:rFonts w:ascii="Arial" w:hAnsi="Arial" w:cs="Arial"/>
                <w:sz w:val="22"/>
                <w:szCs w:val="22"/>
              </w:rPr>
              <w:t>R</w:t>
            </w:r>
            <w:r w:rsidR="001C2BE7" w:rsidRPr="00414A6D">
              <w:rPr>
                <w:rFonts w:ascii="Arial" w:hAnsi="Arial" w:cs="Arial"/>
                <w:sz w:val="22"/>
                <w:szCs w:val="22"/>
              </w:rPr>
              <w:t>oom</w:t>
            </w:r>
            <w:r w:rsidRPr="00414A6D">
              <w:rPr>
                <w:rFonts w:ascii="Arial" w:hAnsi="Arial" w:cs="Arial"/>
                <w:sz w:val="22"/>
                <w:szCs w:val="22"/>
              </w:rPr>
              <w:t xml:space="preserve"> Procedures </w:t>
            </w:r>
            <w:r w:rsidR="00544F6A" w:rsidRPr="00414A6D">
              <w:rPr>
                <w:rFonts w:ascii="Arial" w:hAnsi="Arial" w:cs="Arial"/>
                <w:sz w:val="22"/>
                <w:szCs w:val="22"/>
              </w:rPr>
              <w:t>with</w:t>
            </w:r>
            <w:r w:rsidRPr="00414A6D">
              <w:rPr>
                <w:rFonts w:ascii="Arial" w:hAnsi="Arial" w:cs="Arial"/>
                <w:sz w:val="22"/>
                <w:szCs w:val="22"/>
              </w:rPr>
              <w:t xml:space="preserve"> Catastrophic or Severe </w:t>
            </w:r>
            <w:r w:rsidR="00544F6A" w:rsidRPr="00414A6D">
              <w:rPr>
                <w:rFonts w:ascii="Arial" w:hAnsi="Arial" w:cs="Arial"/>
                <w:sz w:val="22"/>
                <w:szCs w:val="22"/>
              </w:rPr>
              <w:t xml:space="preserve">Complications </w:t>
            </w:r>
            <w:r w:rsidR="001C2BE7" w:rsidRPr="00414A6D">
              <w:rPr>
                <w:rFonts w:ascii="Arial" w:hAnsi="Arial" w:cs="Arial"/>
                <w:sz w:val="22"/>
                <w:szCs w:val="22"/>
              </w:rPr>
              <w:t>and/</w:t>
            </w:r>
            <w:r w:rsidR="00544F6A" w:rsidRPr="00414A6D">
              <w:rPr>
                <w:rFonts w:ascii="Arial" w:hAnsi="Arial" w:cs="Arial"/>
                <w:sz w:val="22"/>
                <w:szCs w:val="22"/>
              </w:rPr>
              <w:t>or Comorbidities</w:t>
            </w:r>
            <w:r w:rsidR="00544F6A" w:rsidRPr="00414A6D" w:rsidDel="00544F6A">
              <w:rPr>
                <w:rFonts w:ascii="Arial" w:hAnsi="Arial" w:cs="Arial"/>
                <w:sz w:val="22"/>
                <w:szCs w:val="22"/>
              </w:rPr>
              <w:t xml:space="preserve"> </w:t>
            </w:r>
          </w:p>
        </w:tc>
      </w:tr>
      <w:tr w:rsidR="008F41E2" w:rsidRPr="00414A6D" w14:paraId="23736C9D" w14:textId="77777777" w:rsidTr="00597945">
        <w:tc>
          <w:tcPr>
            <w:tcW w:w="959" w:type="dxa"/>
          </w:tcPr>
          <w:p w14:paraId="0819FB70" w14:textId="77777777" w:rsidR="008F41E2" w:rsidRPr="00414A6D" w:rsidRDefault="008F41E2" w:rsidP="008F41E2">
            <w:pPr>
              <w:autoSpaceDE w:val="0"/>
              <w:autoSpaceDN w:val="0"/>
              <w:adjustRightInd w:val="0"/>
              <w:rPr>
                <w:rFonts w:ascii="Arial" w:hAnsi="Arial" w:cs="Arial"/>
                <w:sz w:val="22"/>
                <w:szCs w:val="22"/>
              </w:rPr>
            </w:pPr>
            <w:r w:rsidRPr="00414A6D">
              <w:rPr>
                <w:rFonts w:ascii="Arial" w:hAnsi="Arial" w:cs="Arial"/>
                <w:sz w:val="22"/>
                <w:szCs w:val="22"/>
              </w:rPr>
              <w:t>W61B</w:t>
            </w:r>
          </w:p>
        </w:tc>
        <w:tc>
          <w:tcPr>
            <w:tcW w:w="7796" w:type="dxa"/>
          </w:tcPr>
          <w:p w14:paraId="67CFA17F" w14:textId="77777777" w:rsidR="008F41E2" w:rsidRPr="00414A6D" w:rsidRDefault="008F41E2" w:rsidP="008F41E2">
            <w:pPr>
              <w:autoSpaceDE w:val="0"/>
              <w:autoSpaceDN w:val="0"/>
              <w:adjustRightInd w:val="0"/>
              <w:rPr>
                <w:rFonts w:ascii="Arial" w:hAnsi="Arial" w:cs="Arial"/>
                <w:sz w:val="22"/>
                <w:szCs w:val="22"/>
                <w:u w:val="single"/>
              </w:rPr>
            </w:pPr>
            <w:r w:rsidRPr="00414A6D">
              <w:rPr>
                <w:rFonts w:ascii="Arial" w:hAnsi="Arial" w:cs="Arial"/>
                <w:sz w:val="22"/>
                <w:szCs w:val="22"/>
              </w:rPr>
              <w:t xml:space="preserve">Multiple Trauma </w:t>
            </w:r>
            <w:r w:rsidR="00613080" w:rsidRPr="00414A6D">
              <w:rPr>
                <w:rFonts w:ascii="Arial" w:hAnsi="Arial" w:cs="Arial"/>
                <w:sz w:val="22"/>
                <w:szCs w:val="22"/>
              </w:rPr>
              <w:t xml:space="preserve">without </w:t>
            </w:r>
            <w:r w:rsidRPr="00414A6D">
              <w:rPr>
                <w:rFonts w:ascii="Arial" w:hAnsi="Arial" w:cs="Arial"/>
                <w:sz w:val="22"/>
                <w:szCs w:val="22"/>
              </w:rPr>
              <w:t>O</w:t>
            </w:r>
            <w:r w:rsidR="001C2BE7" w:rsidRPr="00414A6D">
              <w:rPr>
                <w:rFonts w:ascii="Arial" w:hAnsi="Arial" w:cs="Arial"/>
                <w:sz w:val="22"/>
                <w:szCs w:val="22"/>
              </w:rPr>
              <w:t xml:space="preserve">perating </w:t>
            </w:r>
            <w:r w:rsidRPr="00414A6D">
              <w:rPr>
                <w:rFonts w:ascii="Arial" w:hAnsi="Arial" w:cs="Arial"/>
                <w:sz w:val="22"/>
                <w:szCs w:val="22"/>
              </w:rPr>
              <w:t>R</w:t>
            </w:r>
            <w:r w:rsidR="001C2BE7" w:rsidRPr="00414A6D">
              <w:rPr>
                <w:rFonts w:ascii="Arial" w:hAnsi="Arial" w:cs="Arial"/>
                <w:sz w:val="22"/>
                <w:szCs w:val="22"/>
              </w:rPr>
              <w:t>oom</w:t>
            </w:r>
            <w:r w:rsidRPr="00414A6D">
              <w:rPr>
                <w:rFonts w:ascii="Arial" w:hAnsi="Arial" w:cs="Arial"/>
                <w:sz w:val="22"/>
                <w:szCs w:val="22"/>
              </w:rPr>
              <w:t xml:space="preserve"> Procedures </w:t>
            </w:r>
            <w:r w:rsidR="00613080" w:rsidRPr="00414A6D">
              <w:rPr>
                <w:rFonts w:ascii="Arial" w:hAnsi="Arial" w:cs="Arial"/>
                <w:sz w:val="22"/>
                <w:szCs w:val="22"/>
              </w:rPr>
              <w:t xml:space="preserve">without </w:t>
            </w:r>
            <w:r w:rsidRPr="00414A6D">
              <w:rPr>
                <w:rFonts w:ascii="Arial" w:hAnsi="Arial" w:cs="Arial"/>
                <w:sz w:val="22"/>
                <w:szCs w:val="22"/>
              </w:rPr>
              <w:t xml:space="preserve">Catastrophic or Severe </w:t>
            </w:r>
            <w:r w:rsidR="00544F6A" w:rsidRPr="00414A6D">
              <w:rPr>
                <w:rFonts w:ascii="Arial" w:hAnsi="Arial" w:cs="Arial"/>
                <w:sz w:val="22"/>
                <w:szCs w:val="22"/>
              </w:rPr>
              <w:t>Complications or Comorbidities</w:t>
            </w:r>
            <w:r w:rsidR="00544F6A" w:rsidRPr="00414A6D" w:rsidDel="00544F6A">
              <w:rPr>
                <w:rFonts w:ascii="Arial" w:hAnsi="Arial" w:cs="Arial"/>
                <w:sz w:val="22"/>
                <w:szCs w:val="22"/>
              </w:rPr>
              <w:t xml:space="preserve"> </w:t>
            </w:r>
          </w:p>
        </w:tc>
      </w:tr>
    </w:tbl>
    <w:p w14:paraId="1E1A96F5" w14:textId="77777777" w:rsidR="008F41E2" w:rsidRPr="00414A6D" w:rsidRDefault="008F41E2" w:rsidP="008F41E2">
      <w:pPr>
        <w:autoSpaceDE w:val="0"/>
        <w:autoSpaceDN w:val="0"/>
        <w:adjustRightInd w:val="0"/>
        <w:rPr>
          <w:rFonts w:ascii="Arial" w:hAnsi="Arial" w:cs="Arial"/>
          <w:sz w:val="22"/>
          <w:szCs w:val="22"/>
        </w:rPr>
      </w:pPr>
    </w:p>
    <w:p w14:paraId="7D1DF943" w14:textId="77777777" w:rsidR="008F41E2" w:rsidRPr="00414A6D" w:rsidRDefault="008F41E2" w:rsidP="008F41E2">
      <w:pPr>
        <w:spacing w:after="120"/>
        <w:ind w:left="1440" w:hanging="1440"/>
        <w:jc w:val="both"/>
        <w:rPr>
          <w:rFonts w:ascii="Arial" w:hAnsi="Arial" w:cs="Arial"/>
          <w:sz w:val="22"/>
          <w:szCs w:val="22"/>
          <w:u w:val="single"/>
        </w:rPr>
      </w:pPr>
    </w:p>
    <w:p w14:paraId="01F06B64" w14:textId="77777777" w:rsidR="008F41E2" w:rsidRPr="00414A6D" w:rsidRDefault="008F41E2" w:rsidP="008F41E2">
      <w:pPr>
        <w:spacing w:after="120"/>
        <w:ind w:left="1440" w:hanging="1440"/>
        <w:jc w:val="both"/>
        <w:rPr>
          <w:rFonts w:ascii="Arial" w:hAnsi="Arial" w:cs="Arial"/>
          <w:sz w:val="22"/>
          <w:szCs w:val="22"/>
        </w:rPr>
      </w:pPr>
    </w:p>
    <w:p w14:paraId="7F548C1A" w14:textId="77777777" w:rsidR="00BC71B2" w:rsidRPr="00414A6D" w:rsidRDefault="00BC71B2">
      <w:pPr>
        <w:rPr>
          <w:rFonts w:ascii="Arial" w:hAnsi="Arial" w:cs="Arial"/>
          <w:sz w:val="22"/>
          <w:szCs w:val="22"/>
        </w:rPr>
      </w:pPr>
      <w:r w:rsidRPr="00414A6D">
        <w:rPr>
          <w:rFonts w:ascii="Arial" w:hAnsi="Arial" w:cs="Arial"/>
          <w:sz w:val="22"/>
          <w:szCs w:val="22"/>
        </w:rPr>
        <w:br w:type="page"/>
      </w:r>
    </w:p>
    <w:p w14:paraId="698FCB2A" w14:textId="77777777" w:rsidR="008F41E2" w:rsidRPr="00414A6D" w:rsidRDefault="008F41E2" w:rsidP="008F41E2">
      <w:pPr>
        <w:spacing w:after="120"/>
        <w:ind w:left="1440" w:hanging="144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 xml:space="preserve">5 </w:t>
      </w:r>
      <w:r w:rsidRPr="00414A6D">
        <w:rPr>
          <w:rFonts w:ascii="Arial" w:hAnsi="Arial" w:cs="Arial"/>
          <w:sz w:val="22"/>
          <w:szCs w:val="22"/>
        </w:rPr>
        <w:tab/>
      </w:r>
      <w:r w:rsidRPr="00414A6D">
        <w:rPr>
          <w:rFonts w:ascii="Arial" w:hAnsi="Arial" w:cs="Arial"/>
          <w:sz w:val="22"/>
          <w:szCs w:val="22"/>
          <w:u w:val="single"/>
        </w:rPr>
        <w:t>Breakdown of principle diagnosis of hip fracture episodes by multiple trauma (Major Diagnostic Category 21A) status</w:t>
      </w:r>
    </w:p>
    <w:tbl>
      <w:tblPr>
        <w:tblW w:w="5000" w:type="pct"/>
        <w:tblLook w:val="04A0" w:firstRow="1" w:lastRow="0" w:firstColumn="1" w:lastColumn="0" w:noHBand="0" w:noVBand="1"/>
      </w:tblPr>
      <w:tblGrid>
        <w:gridCol w:w="3005"/>
        <w:gridCol w:w="1429"/>
        <w:gridCol w:w="1351"/>
        <w:gridCol w:w="1359"/>
        <w:gridCol w:w="2098"/>
      </w:tblGrid>
      <w:tr w:rsidR="008F41E2" w:rsidRPr="00414A6D" w14:paraId="55C5A455" w14:textId="77777777" w:rsidTr="008F41E2">
        <w:trPr>
          <w:trHeight w:val="690"/>
        </w:trPr>
        <w:tc>
          <w:tcPr>
            <w:tcW w:w="1626" w:type="pct"/>
            <w:tcBorders>
              <w:top w:val="single" w:sz="8" w:space="0" w:color="auto"/>
              <w:left w:val="single" w:sz="4" w:space="0" w:color="auto"/>
              <w:bottom w:val="single" w:sz="4" w:space="0" w:color="auto"/>
              <w:right w:val="single" w:sz="4" w:space="0" w:color="auto"/>
            </w:tcBorders>
            <w:shd w:val="clear" w:color="auto" w:fill="92D050"/>
            <w:vAlign w:val="bottom"/>
            <w:hideMark/>
          </w:tcPr>
          <w:p w14:paraId="4C71F5A1" w14:textId="77777777" w:rsidR="008F41E2" w:rsidRPr="00414A6D" w:rsidRDefault="008F41E2" w:rsidP="008F41E2">
            <w:pPr>
              <w:rPr>
                <w:rFonts w:ascii="Arial" w:hAnsi="Arial" w:cs="Arial"/>
                <w:b/>
                <w:bCs/>
                <w:color w:val="000000"/>
                <w:sz w:val="20"/>
                <w:szCs w:val="20"/>
              </w:rPr>
            </w:pPr>
          </w:p>
        </w:tc>
        <w:tc>
          <w:tcPr>
            <w:tcW w:w="773" w:type="pct"/>
            <w:tcBorders>
              <w:top w:val="single" w:sz="8" w:space="0" w:color="auto"/>
              <w:left w:val="nil"/>
              <w:bottom w:val="single" w:sz="4" w:space="0" w:color="auto"/>
              <w:right w:val="single" w:sz="4" w:space="0" w:color="auto"/>
            </w:tcBorders>
            <w:shd w:val="clear" w:color="auto" w:fill="92D050"/>
            <w:vAlign w:val="bottom"/>
            <w:hideMark/>
          </w:tcPr>
          <w:p w14:paraId="4AE9067E"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N</w:t>
            </w:r>
            <w:r w:rsidR="006570B3" w:rsidRPr="00414A6D">
              <w:rPr>
                <w:rFonts w:ascii="Arial" w:hAnsi="Arial" w:cs="Arial"/>
                <w:b/>
                <w:bCs/>
                <w:color w:val="000000"/>
                <w:sz w:val="20"/>
                <w:szCs w:val="20"/>
              </w:rPr>
              <w:t>umber</w:t>
            </w:r>
            <w:r w:rsidRPr="00414A6D">
              <w:rPr>
                <w:rFonts w:ascii="Arial" w:hAnsi="Arial" w:cs="Arial"/>
                <w:b/>
                <w:bCs/>
                <w:color w:val="000000"/>
                <w:sz w:val="20"/>
                <w:szCs w:val="20"/>
              </w:rPr>
              <w:t xml:space="preserve"> of cases</w:t>
            </w:r>
          </w:p>
        </w:tc>
        <w:tc>
          <w:tcPr>
            <w:tcW w:w="731" w:type="pct"/>
            <w:tcBorders>
              <w:top w:val="single" w:sz="8" w:space="0" w:color="auto"/>
              <w:left w:val="nil"/>
              <w:bottom w:val="single" w:sz="4" w:space="0" w:color="auto"/>
              <w:right w:val="single" w:sz="4" w:space="0" w:color="auto"/>
            </w:tcBorders>
            <w:shd w:val="clear" w:color="auto" w:fill="92D050"/>
            <w:vAlign w:val="bottom"/>
            <w:hideMark/>
          </w:tcPr>
          <w:p w14:paraId="68AAE3EA"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 xml:space="preserve">Average </w:t>
            </w:r>
            <w:r w:rsidR="006570B3" w:rsidRPr="00414A6D">
              <w:rPr>
                <w:rFonts w:ascii="Arial" w:hAnsi="Arial" w:cs="Arial"/>
                <w:b/>
                <w:bCs/>
                <w:color w:val="000000"/>
                <w:sz w:val="20"/>
                <w:szCs w:val="20"/>
              </w:rPr>
              <w:t>length of stay</w:t>
            </w:r>
            <w:r w:rsidRPr="00414A6D">
              <w:rPr>
                <w:rFonts w:ascii="Arial" w:hAnsi="Arial" w:cs="Arial"/>
                <w:b/>
                <w:bCs/>
                <w:color w:val="000000"/>
                <w:sz w:val="20"/>
                <w:szCs w:val="20"/>
              </w:rPr>
              <w:t xml:space="preserve"> (days)</w:t>
            </w:r>
          </w:p>
        </w:tc>
        <w:tc>
          <w:tcPr>
            <w:tcW w:w="735" w:type="pct"/>
            <w:tcBorders>
              <w:top w:val="single" w:sz="8" w:space="0" w:color="auto"/>
              <w:left w:val="nil"/>
              <w:bottom w:val="single" w:sz="4" w:space="0" w:color="auto"/>
              <w:right w:val="single" w:sz="4" w:space="0" w:color="auto"/>
            </w:tcBorders>
            <w:shd w:val="clear" w:color="auto" w:fill="92D050"/>
            <w:vAlign w:val="bottom"/>
            <w:hideMark/>
          </w:tcPr>
          <w:p w14:paraId="7EF68788"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Average Cost</w:t>
            </w:r>
          </w:p>
        </w:tc>
        <w:tc>
          <w:tcPr>
            <w:tcW w:w="1135" w:type="pct"/>
            <w:tcBorders>
              <w:top w:val="single" w:sz="8" w:space="0" w:color="auto"/>
              <w:left w:val="nil"/>
              <w:bottom w:val="single" w:sz="4" w:space="0" w:color="auto"/>
              <w:right w:val="single" w:sz="8" w:space="0" w:color="auto"/>
            </w:tcBorders>
            <w:shd w:val="clear" w:color="auto" w:fill="92D050"/>
            <w:vAlign w:val="bottom"/>
            <w:hideMark/>
          </w:tcPr>
          <w:p w14:paraId="52BA7274"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Total Cost</w:t>
            </w:r>
          </w:p>
        </w:tc>
      </w:tr>
      <w:tr w:rsidR="008F41E2" w:rsidRPr="00414A6D" w14:paraId="4E9AAA5C" w14:textId="77777777" w:rsidTr="008F41E2">
        <w:trPr>
          <w:trHeight w:val="465"/>
        </w:trPr>
        <w:tc>
          <w:tcPr>
            <w:tcW w:w="1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3E22B4" w14:textId="77777777" w:rsidR="008F41E2" w:rsidRPr="00414A6D" w:rsidRDefault="008F41E2" w:rsidP="008F41E2">
            <w:pPr>
              <w:rPr>
                <w:rFonts w:ascii="Arial" w:hAnsi="Arial" w:cs="Arial"/>
                <w:bCs/>
                <w:color w:val="000000"/>
                <w:sz w:val="20"/>
                <w:szCs w:val="20"/>
              </w:rPr>
            </w:pPr>
            <w:r w:rsidRPr="00414A6D">
              <w:rPr>
                <w:rFonts w:ascii="Arial" w:hAnsi="Arial" w:cs="Arial"/>
                <w:b/>
                <w:bCs/>
                <w:color w:val="000000"/>
                <w:sz w:val="20"/>
                <w:szCs w:val="20"/>
              </w:rPr>
              <w:t xml:space="preserve">MDC 21A *  - </w:t>
            </w:r>
            <w:r w:rsidRPr="00414A6D">
              <w:rPr>
                <w:rFonts w:ascii="Arial" w:hAnsi="Arial" w:cs="Arial"/>
                <w:bCs/>
                <w:color w:val="000000"/>
                <w:sz w:val="20"/>
                <w:szCs w:val="20"/>
              </w:rPr>
              <w:t>DRG W01A to W61B</w:t>
            </w:r>
          </w:p>
        </w:tc>
        <w:tc>
          <w:tcPr>
            <w:tcW w:w="773" w:type="pct"/>
            <w:tcBorders>
              <w:top w:val="nil"/>
              <w:left w:val="nil"/>
              <w:bottom w:val="single" w:sz="4" w:space="0" w:color="auto"/>
              <w:right w:val="single" w:sz="4" w:space="0" w:color="auto"/>
            </w:tcBorders>
            <w:shd w:val="clear" w:color="auto" w:fill="auto"/>
            <w:noWrap/>
            <w:vAlign w:val="bottom"/>
            <w:hideMark/>
          </w:tcPr>
          <w:p w14:paraId="5CC6145A"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 xml:space="preserve">            438 </w:t>
            </w:r>
          </w:p>
        </w:tc>
        <w:tc>
          <w:tcPr>
            <w:tcW w:w="731" w:type="pct"/>
            <w:tcBorders>
              <w:top w:val="nil"/>
              <w:left w:val="nil"/>
              <w:bottom w:val="single" w:sz="4" w:space="0" w:color="auto"/>
              <w:right w:val="single" w:sz="4" w:space="0" w:color="auto"/>
            </w:tcBorders>
            <w:shd w:val="clear" w:color="auto" w:fill="auto"/>
            <w:noWrap/>
            <w:vAlign w:val="bottom"/>
            <w:hideMark/>
          </w:tcPr>
          <w:p w14:paraId="3607AD0B"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10.9</w:t>
            </w:r>
          </w:p>
        </w:tc>
        <w:tc>
          <w:tcPr>
            <w:tcW w:w="735" w:type="pct"/>
            <w:tcBorders>
              <w:top w:val="nil"/>
              <w:left w:val="nil"/>
              <w:bottom w:val="single" w:sz="4" w:space="0" w:color="auto"/>
              <w:right w:val="single" w:sz="4" w:space="0" w:color="auto"/>
            </w:tcBorders>
            <w:shd w:val="clear" w:color="auto" w:fill="auto"/>
            <w:noWrap/>
            <w:vAlign w:val="bottom"/>
            <w:hideMark/>
          </w:tcPr>
          <w:p w14:paraId="5F864B7F"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$20,890</w:t>
            </w:r>
          </w:p>
        </w:tc>
        <w:tc>
          <w:tcPr>
            <w:tcW w:w="1135" w:type="pct"/>
            <w:tcBorders>
              <w:top w:val="nil"/>
              <w:left w:val="nil"/>
              <w:bottom w:val="single" w:sz="4" w:space="0" w:color="auto"/>
              <w:right w:val="single" w:sz="8" w:space="0" w:color="auto"/>
            </w:tcBorders>
            <w:shd w:val="clear" w:color="auto" w:fill="auto"/>
            <w:noWrap/>
            <w:vAlign w:val="bottom"/>
            <w:hideMark/>
          </w:tcPr>
          <w:p w14:paraId="3E0B326F"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$9,149,644</w:t>
            </w:r>
          </w:p>
        </w:tc>
      </w:tr>
      <w:tr w:rsidR="008F41E2" w:rsidRPr="00414A6D" w14:paraId="384B6AFF" w14:textId="77777777" w:rsidTr="008F41E2">
        <w:trPr>
          <w:trHeight w:val="510"/>
        </w:trPr>
        <w:tc>
          <w:tcPr>
            <w:tcW w:w="1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8663B1" w14:textId="77777777" w:rsidR="008F41E2" w:rsidRPr="00414A6D" w:rsidRDefault="008F41E2" w:rsidP="008F41E2">
            <w:pPr>
              <w:rPr>
                <w:rFonts w:ascii="Arial" w:hAnsi="Arial" w:cs="Arial"/>
                <w:bCs/>
                <w:color w:val="000000"/>
                <w:sz w:val="20"/>
                <w:szCs w:val="20"/>
              </w:rPr>
            </w:pPr>
            <w:r w:rsidRPr="00414A6D">
              <w:rPr>
                <w:rFonts w:ascii="Arial" w:hAnsi="Arial" w:cs="Arial"/>
                <w:b/>
                <w:bCs/>
                <w:color w:val="000000"/>
                <w:sz w:val="20"/>
                <w:szCs w:val="20"/>
              </w:rPr>
              <w:t xml:space="preserve">Others - </w:t>
            </w:r>
            <w:r w:rsidRPr="00414A6D">
              <w:rPr>
                <w:rFonts w:ascii="Arial" w:hAnsi="Arial" w:cs="Arial"/>
                <w:bCs/>
                <w:color w:val="000000"/>
                <w:sz w:val="20"/>
                <w:szCs w:val="20"/>
              </w:rPr>
              <w:t>DRG NOT in W01A to W61B</w:t>
            </w:r>
          </w:p>
        </w:tc>
        <w:tc>
          <w:tcPr>
            <w:tcW w:w="773" w:type="pct"/>
            <w:tcBorders>
              <w:top w:val="nil"/>
              <w:left w:val="nil"/>
              <w:bottom w:val="single" w:sz="4" w:space="0" w:color="auto"/>
              <w:right w:val="single" w:sz="4" w:space="0" w:color="auto"/>
            </w:tcBorders>
            <w:shd w:val="clear" w:color="auto" w:fill="auto"/>
            <w:noWrap/>
            <w:vAlign w:val="bottom"/>
            <w:hideMark/>
          </w:tcPr>
          <w:p w14:paraId="24AB2FBB"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17,479</w:t>
            </w:r>
          </w:p>
        </w:tc>
        <w:tc>
          <w:tcPr>
            <w:tcW w:w="731" w:type="pct"/>
            <w:tcBorders>
              <w:top w:val="nil"/>
              <w:left w:val="nil"/>
              <w:bottom w:val="single" w:sz="4" w:space="0" w:color="auto"/>
              <w:right w:val="single" w:sz="4" w:space="0" w:color="auto"/>
            </w:tcBorders>
            <w:shd w:val="clear" w:color="auto" w:fill="auto"/>
            <w:noWrap/>
            <w:vAlign w:val="bottom"/>
            <w:hideMark/>
          </w:tcPr>
          <w:p w14:paraId="5652D5C6"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8.7</w:t>
            </w:r>
          </w:p>
        </w:tc>
        <w:tc>
          <w:tcPr>
            <w:tcW w:w="735" w:type="pct"/>
            <w:tcBorders>
              <w:top w:val="nil"/>
              <w:left w:val="nil"/>
              <w:bottom w:val="single" w:sz="4" w:space="0" w:color="auto"/>
              <w:right w:val="single" w:sz="4" w:space="0" w:color="auto"/>
            </w:tcBorders>
            <w:shd w:val="clear" w:color="auto" w:fill="auto"/>
            <w:noWrap/>
            <w:vAlign w:val="bottom"/>
            <w:hideMark/>
          </w:tcPr>
          <w:p w14:paraId="42DFF9A7"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$16,061</w:t>
            </w:r>
          </w:p>
        </w:tc>
        <w:tc>
          <w:tcPr>
            <w:tcW w:w="1135" w:type="pct"/>
            <w:tcBorders>
              <w:top w:val="nil"/>
              <w:left w:val="nil"/>
              <w:bottom w:val="single" w:sz="4" w:space="0" w:color="auto"/>
              <w:right w:val="single" w:sz="8" w:space="0" w:color="auto"/>
            </w:tcBorders>
            <w:shd w:val="clear" w:color="auto" w:fill="auto"/>
            <w:noWrap/>
            <w:vAlign w:val="bottom"/>
            <w:hideMark/>
          </w:tcPr>
          <w:p w14:paraId="257944A6"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$280,723,962</w:t>
            </w:r>
          </w:p>
        </w:tc>
      </w:tr>
      <w:tr w:rsidR="008F41E2" w:rsidRPr="00414A6D" w14:paraId="7880535E" w14:textId="77777777" w:rsidTr="008F41E2">
        <w:trPr>
          <w:trHeight w:val="315"/>
        </w:trPr>
        <w:tc>
          <w:tcPr>
            <w:tcW w:w="1626"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054988C" w14:textId="77777777" w:rsidR="008F41E2" w:rsidRPr="00414A6D" w:rsidRDefault="008F41E2" w:rsidP="008F41E2">
            <w:pPr>
              <w:rPr>
                <w:rFonts w:ascii="Arial" w:hAnsi="Arial" w:cs="Arial"/>
                <w:bCs/>
                <w:color w:val="000000"/>
                <w:sz w:val="20"/>
                <w:szCs w:val="20"/>
              </w:rPr>
            </w:pPr>
            <w:r w:rsidRPr="00414A6D">
              <w:rPr>
                <w:rFonts w:ascii="Arial" w:hAnsi="Arial" w:cs="Arial"/>
                <w:bCs/>
                <w:color w:val="000000"/>
                <w:sz w:val="20"/>
                <w:szCs w:val="20"/>
              </w:rPr>
              <w:t>Total DRG category</w:t>
            </w:r>
          </w:p>
        </w:tc>
        <w:tc>
          <w:tcPr>
            <w:tcW w:w="773" w:type="pct"/>
            <w:tcBorders>
              <w:top w:val="nil"/>
              <w:left w:val="nil"/>
              <w:bottom w:val="single" w:sz="8" w:space="0" w:color="auto"/>
              <w:right w:val="single" w:sz="4" w:space="0" w:color="auto"/>
            </w:tcBorders>
            <w:shd w:val="clear" w:color="auto" w:fill="auto"/>
            <w:noWrap/>
            <w:vAlign w:val="bottom"/>
            <w:hideMark/>
          </w:tcPr>
          <w:p w14:paraId="086CF985"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17,917</w:t>
            </w:r>
          </w:p>
        </w:tc>
        <w:tc>
          <w:tcPr>
            <w:tcW w:w="731" w:type="pct"/>
            <w:tcBorders>
              <w:top w:val="nil"/>
              <w:left w:val="nil"/>
              <w:bottom w:val="single" w:sz="8" w:space="0" w:color="auto"/>
              <w:right w:val="single" w:sz="4" w:space="0" w:color="auto"/>
            </w:tcBorders>
            <w:shd w:val="clear" w:color="auto" w:fill="auto"/>
            <w:noWrap/>
            <w:vAlign w:val="bottom"/>
            <w:hideMark/>
          </w:tcPr>
          <w:p w14:paraId="57AD21CE"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8.7</w:t>
            </w:r>
          </w:p>
        </w:tc>
        <w:tc>
          <w:tcPr>
            <w:tcW w:w="735" w:type="pct"/>
            <w:tcBorders>
              <w:top w:val="nil"/>
              <w:left w:val="nil"/>
              <w:bottom w:val="single" w:sz="8" w:space="0" w:color="auto"/>
              <w:right w:val="single" w:sz="4" w:space="0" w:color="auto"/>
            </w:tcBorders>
            <w:shd w:val="clear" w:color="auto" w:fill="auto"/>
            <w:noWrap/>
            <w:vAlign w:val="bottom"/>
            <w:hideMark/>
          </w:tcPr>
          <w:p w14:paraId="27F6C869"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$16,179</w:t>
            </w:r>
          </w:p>
        </w:tc>
        <w:tc>
          <w:tcPr>
            <w:tcW w:w="1135" w:type="pct"/>
            <w:tcBorders>
              <w:top w:val="nil"/>
              <w:left w:val="nil"/>
              <w:bottom w:val="single" w:sz="4" w:space="0" w:color="auto"/>
              <w:right w:val="single" w:sz="8" w:space="0" w:color="auto"/>
            </w:tcBorders>
            <w:shd w:val="clear" w:color="auto" w:fill="auto"/>
            <w:noWrap/>
            <w:vAlign w:val="bottom"/>
            <w:hideMark/>
          </w:tcPr>
          <w:p w14:paraId="41731F30"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$289,873,606</w:t>
            </w:r>
          </w:p>
        </w:tc>
      </w:tr>
    </w:tbl>
    <w:p w14:paraId="6E0B42AB" w14:textId="77777777" w:rsidR="008F41E2" w:rsidRPr="00414A6D" w:rsidRDefault="008F41E2" w:rsidP="008F41E2">
      <w:pPr>
        <w:jc w:val="both"/>
        <w:rPr>
          <w:rFonts w:ascii="Arial" w:hAnsi="Arial" w:cs="Arial"/>
          <w:sz w:val="22"/>
          <w:szCs w:val="22"/>
        </w:rPr>
      </w:pPr>
      <w:r w:rsidRPr="00414A6D">
        <w:rPr>
          <w:rFonts w:ascii="Arial" w:hAnsi="Arial" w:cs="Arial"/>
          <w:sz w:val="22"/>
          <w:szCs w:val="22"/>
        </w:rPr>
        <w:t xml:space="preserve">* Multiple </w:t>
      </w:r>
      <w:proofErr w:type="gramStart"/>
      <w:r w:rsidRPr="00414A6D">
        <w:rPr>
          <w:rFonts w:ascii="Arial" w:hAnsi="Arial" w:cs="Arial"/>
          <w:sz w:val="22"/>
          <w:szCs w:val="22"/>
        </w:rPr>
        <w:t>trauma</w:t>
      </w:r>
      <w:proofErr w:type="gramEnd"/>
      <w:r w:rsidRPr="00414A6D">
        <w:rPr>
          <w:rFonts w:ascii="Arial" w:hAnsi="Arial" w:cs="Arial"/>
          <w:sz w:val="22"/>
          <w:szCs w:val="22"/>
        </w:rPr>
        <w:t xml:space="preserve"> MDC21A includes DRGs identified in Table </w:t>
      </w:r>
      <w:r w:rsidR="0018750E" w:rsidRPr="00414A6D">
        <w:rPr>
          <w:rFonts w:ascii="Arial" w:hAnsi="Arial" w:cs="Arial"/>
          <w:sz w:val="22"/>
          <w:szCs w:val="22"/>
        </w:rPr>
        <w:t>F4</w:t>
      </w:r>
      <w:r w:rsidRPr="00414A6D">
        <w:rPr>
          <w:rFonts w:ascii="Arial" w:hAnsi="Arial" w:cs="Arial"/>
          <w:sz w:val="22"/>
          <w:szCs w:val="22"/>
        </w:rPr>
        <w:t>.</w:t>
      </w:r>
    </w:p>
    <w:p w14:paraId="41098E56" w14:textId="77777777" w:rsidR="00BC71B2" w:rsidRPr="00414A6D" w:rsidRDefault="00BC71B2" w:rsidP="008F41E2">
      <w:pPr>
        <w:jc w:val="both"/>
        <w:rPr>
          <w:rFonts w:ascii="Arial" w:hAnsi="Arial" w:cs="Arial"/>
          <w:sz w:val="22"/>
          <w:szCs w:val="22"/>
        </w:rPr>
      </w:pPr>
    </w:p>
    <w:p w14:paraId="26A64898" w14:textId="77777777" w:rsidR="008F41E2" w:rsidRPr="00414A6D" w:rsidRDefault="008F41E2" w:rsidP="008F41E2">
      <w:pPr>
        <w:spacing w:after="120"/>
        <w:ind w:left="1440" w:hanging="144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6</w:t>
      </w:r>
      <w:r w:rsidRPr="00414A6D">
        <w:rPr>
          <w:rFonts w:ascii="Arial" w:hAnsi="Arial" w:cs="Arial"/>
          <w:sz w:val="22"/>
          <w:szCs w:val="22"/>
        </w:rPr>
        <w:tab/>
      </w:r>
      <w:r w:rsidRPr="00414A6D">
        <w:rPr>
          <w:rFonts w:ascii="Arial" w:hAnsi="Arial" w:cs="Arial"/>
          <w:sz w:val="22"/>
          <w:szCs w:val="22"/>
          <w:u w:val="single"/>
        </w:rPr>
        <w:t xml:space="preserve">Defining hip fracture surgery cohort - Hip fracture procedure codes for episodes with surgery (Australian Classification of Health Interventions </w:t>
      </w:r>
      <w:r w:rsidR="00B96709" w:rsidRPr="00414A6D">
        <w:rPr>
          <w:rFonts w:ascii="Arial" w:hAnsi="Arial" w:cs="Arial"/>
          <w:sz w:val="22"/>
          <w:szCs w:val="22"/>
          <w:u w:val="single"/>
        </w:rPr>
        <w:t>Eigh</w:t>
      </w:r>
      <w:r w:rsidRPr="00414A6D">
        <w:rPr>
          <w:rFonts w:ascii="Arial" w:hAnsi="Arial" w:cs="Arial"/>
          <w:sz w:val="22"/>
          <w:szCs w:val="22"/>
          <w:u w:val="single"/>
        </w:rPr>
        <w:t>th Edition</w:t>
      </w:r>
    </w:p>
    <w:tbl>
      <w:tblPr>
        <w:tblStyle w:val="TableGrid"/>
        <w:tblW w:w="5000" w:type="pct"/>
        <w:tblLook w:val="04A0" w:firstRow="1" w:lastRow="0" w:firstColumn="1" w:lastColumn="0" w:noHBand="0" w:noVBand="1"/>
      </w:tblPr>
      <w:tblGrid>
        <w:gridCol w:w="1667"/>
        <w:gridCol w:w="7575"/>
      </w:tblGrid>
      <w:tr w:rsidR="008F41E2" w:rsidRPr="00414A6D" w14:paraId="30E866A0" w14:textId="77777777" w:rsidTr="008F41E2">
        <w:tc>
          <w:tcPr>
            <w:tcW w:w="902" w:type="pct"/>
            <w:shd w:val="clear" w:color="auto" w:fill="92D050"/>
            <w:vAlign w:val="bottom"/>
          </w:tcPr>
          <w:p w14:paraId="543BB068" w14:textId="77777777" w:rsidR="008F41E2" w:rsidRPr="00414A6D" w:rsidRDefault="008F41E2" w:rsidP="008F41E2">
            <w:pPr>
              <w:spacing w:after="120"/>
              <w:rPr>
                <w:rFonts w:ascii="Arial" w:hAnsi="Arial" w:cs="Arial"/>
                <w:b/>
                <w:sz w:val="22"/>
                <w:szCs w:val="22"/>
              </w:rPr>
            </w:pPr>
            <w:r w:rsidRPr="00414A6D">
              <w:rPr>
                <w:rFonts w:ascii="Arial" w:hAnsi="Arial" w:cs="Arial"/>
                <w:b/>
                <w:sz w:val="22"/>
                <w:szCs w:val="22"/>
              </w:rPr>
              <w:t>Procedure code number</w:t>
            </w:r>
          </w:p>
        </w:tc>
        <w:tc>
          <w:tcPr>
            <w:tcW w:w="4098" w:type="pct"/>
            <w:shd w:val="clear" w:color="auto" w:fill="92D050"/>
            <w:vAlign w:val="bottom"/>
          </w:tcPr>
          <w:p w14:paraId="10EB60AC" w14:textId="77777777" w:rsidR="008F41E2" w:rsidRPr="00414A6D" w:rsidRDefault="008F41E2" w:rsidP="008F41E2">
            <w:pPr>
              <w:spacing w:after="120"/>
              <w:rPr>
                <w:rFonts w:ascii="Arial" w:hAnsi="Arial" w:cs="Arial"/>
                <w:b/>
                <w:sz w:val="22"/>
                <w:szCs w:val="22"/>
              </w:rPr>
            </w:pPr>
            <w:r w:rsidRPr="00414A6D">
              <w:rPr>
                <w:rFonts w:ascii="Arial" w:hAnsi="Arial" w:cs="Arial"/>
                <w:b/>
                <w:sz w:val="22"/>
                <w:szCs w:val="22"/>
              </w:rPr>
              <w:t>Name of procedure</w:t>
            </w:r>
          </w:p>
        </w:tc>
      </w:tr>
      <w:tr w:rsidR="008F41E2" w:rsidRPr="00414A6D" w14:paraId="2C221FAD" w14:textId="77777777" w:rsidTr="008F41E2">
        <w:tc>
          <w:tcPr>
            <w:tcW w:w="902" w:type="pct"/>
            <w:vAlign w:val="center"/>
          </w:tcPr>
          <w:p w14:paraId="5EB5CE2E"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47519-00 </w:t>
            </w:r>
          </w:p>
        </w:tc>
        <w:tc>
          <w:tcPr>
            <w:tcW w:w="4098" w:type="pct"/>
            <w:vAlign w:val="center"/>
          </w:tcPr>
          <w:p w14:paraId="7FB3B48A"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Internal fixation of fracture of trochanteric or </w:t>
            </w:r>
            <w:proofErr w:type="spellStart"/>
            <w:r w:rsidRPr="00414A6D">
              <w:rPr>
                <w:rFonts w:ascii="Arial" w:hAnsi="Arial" w:cs="Arial"/>
                <w:sz w:val="22"/>
                <w:szCs w:val="22"/>
              </w:rPr>
              <w:t>subcapital</w:t>
            </w:r>
            <w:proofErr w:type="spellEnd"/>
            <w:r w:rsidRPr="00414A6D">
              <w:rPr>
                <w:rFonts w:ascii="Arial" w:hAnsi="Arial" w:cs="Arial"/>
                <w:sz w:val="22"/>
                <w:szCs w:val="22"/>
              </w:rPr>
              <w:t xml:space="preserve"> femur</w:t>
            </w:r>
          </w:p>
        </w:tc>
      </w:tr>
      <w:tr w:rsidR="008F41E2" w:rsidRPr="00414A6D" w14:paraId="2F62F544" w14:textId="77777777" w:rsidTr="008F41E2">
        <w:tc>
          <w:tcPr>
            <w:tcW w:w="902" w:type="pct"/>
            <w:vAlign w:val="center"/>
          </w:tcPr>
          <w:p w14:paraId="3425E7F8"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47522-00 </w:t>
            </w:r>
          </w:p>
        </w:tc>
        <w:tc>
          <w:tcPr>
            <w:tcW w:w="4098" w:type="pct"/>
            <w:vAlign w:val="center"/>
          </w:tcPr>
          <w:p w14:paraId="2D40F0CF" w14:textId="77777777" w:rsidR="008F41E2" w:rsidRPr="00414A6D" w:rsidRDefault="008F41E2" w:rsidP="008F41E2">
            <w:pPr>
              <w:rPr>
                <w:rFonts w:ascii="Arial" w:hAnsi="Arial" w:cs="Arial"/>
                <w:sz w:val="22"/>
                <w:szCs w:val="22"/>
              </w:rPr>
            </w:pPr>
            <w:proofErr w:type="spellStart"/>
            <w:r w:rsidRPr="00414A6D">
              <w:rPr>
                <w:rFonts w:ascii="Arial" w:hAnsi="Arial" w:cs="Arial"/>
                <w:sz w:val="22"/>
                <w:szCs w:val="22"/>
              </w:rPr>
              <w:t>Hemiarthroplasty</w:t>
            </w:r>
            <w:proofErr w:type="spellEnd"/>
            <w:r w:rsidRPr="00414A6D">
              <w:rPr>
                <w:rFonts w:ascii="Arial" w:hAnsi="Arial" w:cs="Arial"/>
                <w:sz w:val="22"/>
                <w:szCs w:val="22"/>
              </w:rPr>
              <w:t xml:space="preserve"> of femur (Austin Moore </w:t>
            </w:r>
            <w:proofErr w:type="spellStart"/>
            <w:r w:rsidRPr="00414A6D">
              <w:rPr>
                <w:rFonts w:ascii="Arial" w:hAnsi="Arial" w:cs="Arial"/>
                <w:sz w:val="22"/>
                <w:szCs w:val="22"/>
              </w:rPr>
              <w:t>arthroplasty</w:t>
            </w:r>
            <w:proofErr w:type="spellEnd"/>
            <w:r w:rsidRPr="00414A6D">
              <w:rPr>
                <w:rFonts w:ascii="Arial" w:hAnsi="Arial" w:cs="Arial"/>
                <w:sz w:val="22"/>
                <w:szCs w:val="22"/>
              </w:rPr>
              <w:t>)</w:t>
            </w:r>
          </w:p>
        </w:tc>
      </w:tr>
      <w:tr w:rsidR="008F41E2" w:rsidRPr="00414A6D" w14:paraId="158E910D" w14:textId="77777777" w:rsidTr="008F41E2">
        <w:tc>
          <w:tcPr>
            <w:tcW w:w="902" w:type="pct"/>
            <w:vAlign w:val="center"/>
          </w:tcPr>
          <w:p w14:paraId="0267F0CC"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49318-00 </w:t>
            </w:r>
          </w:p>
        </w:tc>
        <w:tc>
          <w:tcPr>
            <w:tcW w:w="4098" w:type="pct"/>
            <w:vAlign w:val="center"/>
          </w:tcPr>
          <w:p w14:paraId="688D7356"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Total </w:t>
            </w:r>
            <w:proofErr w:type="spellStart"/>
            <w:r w:rsidRPr="00414A6D">
              <w:rPr>
                <w:rFonts w:ascii="Arial" w:hAnsi="Arial" w:cs="Arial"/>
                <w:sz w:val="22"/>
                <w:szCs w:val="22"/>
              </w:rPr>
              <w:t>arthroplasty</w:t>
            </w:r>
            <w:proofErr w:type="spellEnd"/>
            <w:r w:rsidRPr="00414A6D">
              <w:rPr>
                <w:rFonts w:ascii="Arial" w:hAnsi="Arial" w:cs="Arial"/>
                <w:sz w:val="22"/>
                <w:szCs w:val="22"/>
              </w:rPr>
              <w:t xml:space="preserve"> of hip unilateral (total joint replacement of hip)</w:t>
            </w:r>
          </w:p>
        </w:tc>
      </w:tr>
      <w:tr w:rsidR="008F41E2" w:rsidRPr="00414A6D" w14:paraId="6B786785" w14:textId="77777777" w:rsidTr="008F41E2">
        <w:tc>
          <w:tcPr>
            <w:tcW w:w="902" w:type="pct"/>
            <w:vAlign w:val="center"/>
          </w:tcPr>
          <w:p w14:paraId="195F4BEF"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49319-00 </w:t>
            </w:r>
          </w:p>
        </w:tc>
        <w:tc>
          <w:tcPr>
            <w:tcW w:w="4098" w:type="pct"/>
            <w:vAlign w:val="center"/>
          </w:tcPr>
          <w:p w14:paraId="77F0C9BE" w14:textId="77777777" w:rsidR="008F41E2" w:rsidRPr="00414A6D" w:rsidRDefault="008F41E2" w:rsidP="008F41E2">
            <w:pPr>
              <w:rPr>
                <w:rFonts w:ascii="Arial" w:hAnsi="Arial" w:cs="Arial"/>
                <w:sz w:val="22"/>
                <w:szCs w:val="22"/>
              </w:rPr>
            </w:pPr>
            <w:r w:rsidRPr="00414A6D">
              <w:rPr>
                <w:rFonts w:ascii="Arial" w:hAnsi="Arial" w:cs="Arial"/>
                <w:sz w:val="22"/>
                <w:szCs w:val="22"/>
              </w:rPr>
              <w:t xml:space="preserve">Total </w:t>
            </w:r>
            <w:proofErr w:type="spellStart"/>
            <w:r w:rsidRPr="00414A6D">
              <w:rPr>
                <w:rFonts w:ascii="Arial" w:hAnsi="Arial" w:cs="Arial"/>
                <w:sz w:val="22"/>
                <w:szCs w:val="22"/>
              </w:rPr>
              <w:t>arthroplasty</w:t>
            </w:r>
            <w:proofErr w:type="spellEnd"/>
            <w:r w:rsidRPr="00414A6D">
              <w:rPr>
                <w:rFonts w:ascii="Arial" w:hAnsi="Arial" w:cs="Arial"/>
                <w:sz w:val="22"/>
                <w:szCs w:val="22"/>
              </w:rPr>
              <w:t xml:space="preserve"> of hip bilateral (total joint replacement of hip)</w:t>
            </w:r>
          </w:p>
        </w:tc>
      </w:tr>
      <w:tr w:rsidR="008F41E2" w:rsidRPr="00414A6D" w14:paraId="6CA2F52A" w14:textId="77777777" w:rsidTr="008F41E2">
        <w:tc>
          <w:tcPr>
            <w:tcW w:w="902" w:type="pct"/>
            <w:vAlign w:val="center"/>
          </w:tcPr>
          <w:p w14:paraId="05284FEF" w14:textId="77777777" w:rsidR="008F41E2" w:rsidRPr="00414A6D" w:rsidRDefault="008F41E2" w:rsidP="00597945">
            <w:pPr>
              <w:rPr>
                <w:rFonts w:ascii="Arial" w:hAnsi="Arial" w:cs="Arial"/>
                <w:sz w:val="22"/>
                <w:szCs w:val="22"/>
              </w:rPr>
            </w:pPr>
            <w:r w:rsidRPr="00414A6D">
              <w:rPr>
                <w:rFonts w:ascii="Arial" w:hAnsi="Arial" w:cs="Arial"/>
                <w:sz w:val="22"/>
                <w:szCs w:val="22"/>
              </w:rPr>
              <w:t>49312-00</w:t>
            </w:r>
          </w:p>
        </w:tc>
        <w:tc>
          <w:tcPr>
            <w:tcW w:w="4098" w:type="pct"/>
            <w:vAlign w:val="center"/>
          </w:tcPr>
          <w:p w14:paraId="768F259D" w14:textId="77777777" w:rsidR="008F41E2" w:rsidRPr="00414A6D" w:rsidRDefault="008F41E2" w:rsidP="006570B3">
            <w:pPr>
              <w:rPr>
                <w:rFonts w:ascii="Arial" w:hAnsi="Arial" w:cs="Arial"/>
                <w:sz w:val="22"/>
                <w:szCs w:val="22"/>
              </w:rPr>
            </w:pPr>
            <w:r w:rsidRPr="00414A6D">
              <w:rPr>
                <w:rFonts w:ascii="Arial" w:hAnsi="Arial" w:cs="Arial"/>
                <w:sz w:val="22"/>
                <w:szCs w:val="22"/>
              </w:rPr>
              <w:t xml:space="preserve">Excision </w:t>
            </w:r>
            <w:proofErr w:type="spellStart"/>
            <w:r w:rsidRPr="00414A6D">
              <w:rPr>
                <w:rFonts w:ascii="Arial" w:hAnsi="Arial" w:cs="Arial"/>
                <w:sz w:val="22"/>
                <w:szCs w:val="22"/>
              </w:rPr>
              <w:t>arthroplasty</w:t>
            </w:r>
            <w:proofErr w:type="spellEnd"/>
            <w:r w:rsidRPr="00414A6D">
              <w:rPr>
                <w:rFonts w:ascii="Arial" w:hAnsi="Arial" w:cs="Arial"/>
                <w:sz w:val="22"/>
                <w:szCs w:val="22"/>
              </w:rPr>
              <w:t xml:space="preserve"> of hip</w:t>
            </w:r>
          </w:p>
        </w:tc>
      </w:tr>
      <w:tr w:rsidR="008F41E2" w:rsidRPr="00414A6D" w14:paraId="12E99822" w14:textId="77777777" w:rsidTr="008F41E2">
        <w:tc>
          <w:tcPr>
            <w:tcW w:w="902" w:type="pct"/>
            <w:vAlign w:val="center"/>
          </w:tcPr>
          <w:p w14:paraId="42A43349" w14:textId="77777777" w:rsidR="008F41E2" w:rsidRPr="00414A6D" w:rsidRDefault="008F41E2" w:rsidP="00597945">
            <w:pPr>
              <w:rPr>
                <w:rFonts w:ascii="Arial" w:hAnsi="Arial" w:cs="Arial"/>
                <w:sz w:val="22"/>
                <w:szCs w:val="22"/>
              </w:rPr>
            </w:pPr>
            <w:r w:rsidRPr="00414A6D">
              <w:rPr>
                <w:rFonts w:ascii="Arial" w:hAnsi="Arial" w:cs="Arial"/>
                <w:sz w:val="22"/>
                <w:szCs w:val="22"/>
              </w:rPr>
              <w:t>49315-00</w:t>
            </w:r>
          </w:p>
        </w:tc>
        <w:tc>
          <w:tcPr>
            <w:tcW w:w="4098" w:type="pct"/>
            <w:vAlign w:val="center"/>
          </w:tcPr>
          <w:p w14:paraId="30504812" w14:textId="77777777" w:rsidR="008F41E2" w:rsidRPr="00414A6D" w:rsidRDefault="008F41E2" w:rsidP="006570B3">
            <w:pPr>
              <w:rPr>
                <w:rFonts w:ascii="Arial" w:hAnsi="Arial" w:cs="Arial"/>
                <w:sz w:val="22"/>
                <w:szCs w:val="22"/>
              </w:rPr>
            </w:pPr>
            <w:r w:rsidRPr="00414A6D">
              <w:rPr>
                <w:rFonts w:ascii="Arial" w:hAnsi="Arial" w:cs="Arial"/>
                <w:sz w:val="22"/>
                <w:szCs w:val="22"/>
              </w:rPr>
              <w:t xml:space="preserve">Partial </w:t>
            </w:r>
            <w:proofErr w:type="spellStart"/>
            <w:r w:rsidRPr="00414A6D">
              <w:rPr>
                <w:rFonts w:ascii="Arial" w:hAnsi="Arial" w:cs="Arial"/>
                <w:sz w:val="22"/>
                <w:szCs w:val="22"/>
              </w:rPr>
              <w:t>arthroplasty</w:t>
            </w:r>
            <w:proofErr w:type="spellEnd"/>
            <w:r w:rsidRPr="00414A6D">
              <w:rPr>
                <w:rFonts w:ascii="Arial" w:hAnsi="Arial" w:cs="Arial"/>
                <w:sz w:val="22"/>
                <w:szCs w:val="22"/>
              </w:rPr>
              <w:t xml:space="preserve"> of hip</w:t>
            </w:r>
          </w:p>
        </w:tc>
      </w:tr>
    </w:tbl>
    <w:p w14:paraId="267E0FAB" w14:textId="77777777" w:rsidR="008F41E2" w:rsidRPr="00414A6D" w:rsidRDefault="008F41E2" w:rsidP="008F41E2">
      <w:pPr>
        <w:rPr>
          <w:rFonts w:ascii="Arial" w:hAnsi="Arial" w:cs="Arial"/>
          <w:sz w:val="22"/>
          <w:szCs w:val="22"/>
        </w:rPr>
      </w:pPr>
    </w:p>
    <w:p w14:paraId="4D2BD941" w14:textId="77777777" w:rsidR="009C6E73" w:rsidRPr="00414A6D" w:rsidRDefault="009C6E73" w:rsidP="008F41E2">
      <w:pPr>
        <w:spacing w:after="120"/>
        <w:ind w:left="1440" w:hanging="1440"/>
        <w:jc w:val="both"/>
        <w:rPr>
          <w:rFonts w:ascii="Arial" w:hAnsi="Arial" w:cs="Arial"/>
          <w:sz w:val="22"/>
          <w:szCs w:val="22"/>
        </w:rPr>
      </w:pPr>
    </w:p>
    <w:p w14:paraId="263A6D0E" w14:textId="77001719" w:rsidR="008F41E2" w:rsidRPr="00414A6D" w:rsidRDefault="008F41E2" w:rsidP="008F41E2">
      <w:pPr>
        <w:spacing w:after="120"/>
        <w:ind w:left="1440" w:hanging="144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F7</w:t>
      </w:r>
      <w:r w:rsidRPr="00414A6D">
        <w:rPr>
          <w:rFonts w:ascii="Arial" w:hAnsi="Arial" w:cs="Arial"/>
          <w:sz w:val="22"/>
          <w:szCs w:val="22"/>
        </w:rPr>
        <w:tab/>
      </w:r>
      <w:r w:rsidRPr="00414A6D">
        <w:rPr>
          <w:rFonts w:ascii="Arial" w:hAnsi="Arial" w:cs="Arial"/>
          <w:sz w:val="22"/>
          <w:szCs w:val="22"/>
          <w:u w:val="single"/>
        </w:rPr>
        <w:t xml:space="preserve">Number of episodes, length of stay and costs associated with surgery (as defined in Table </w:t>
      </w:r>
      <w:r w:rsidR="0018750E" w:rsidRPr="00414A6D">
        <w:rPr>
          <w:rFonts w:ascii="Arial" w:hAnsi="Arial" w:cs="Arial"/>
          <w:sz w:val="22"/>
          <w:szCs w:val="22"/>
          <w:u w:val="single"/>
        </w:rPr>
        <w:t>F</w:t>
      </w:r>
      <w:r w:rsidR="00700A01">
        <w:rPr>
          <w:rFonts w:ascii="Arial" w:hAnsi="Arial" w:cs="Arial"/>
          <w:sz w:val="22"/>
          <w:szCs w:val="22"/>
          <w:u w:val="single"/>
        </w:rPr>
        <w:t>6</w:t>
      </w:r>
      <w:r w:rsidRPr="00414A6D">
        <w:rPr>
          <w:rFonts w:ascii="Arial" w:hAnsi="Arial" w:cs="Arial"/>
          <w:sz w:val="22"/>
          <w:szCs w:val="22"/>
          <w:u w:val="single"/>
        </w:rPr>
        <w:t>) / no surgery status</w:t>
      </w:r>
    </w:p>
    <w:tbl>
      <w:tblPr>
        <w:tblW w:w="5000" w:type="pct"/>
        <w:tblLook w:val="04A0" w:firstRow="1" w:lastRow="0" w:firstColumn="1" w:lastColumn="0" w:noHBand="0" w:noVBand="1"/>
      </w:tblPr>
      <w:tblGrid>
        <w:gridCol w:w="2235"/>
        <w:gridCol w:w="1501"/>
        <w:gridCol w:w="1547"/>
        <w:gridCol w:w="1556"/>
        <w:gridCol w:w="2403"/>
      </w:tblGrid>
      <w:tr w:rsidR="008F41E2" w:rsidRPr="00414A6D" w14:paraId="008FE0D0" w14:textId="77777777" w:rsidTr="00597945">
        <w:trPr>
          <w:trHeight w:val="765"/>
        </w:trPr>
        <w:tc>
          <w:tcPr>
            <w:tcW w:w="1209" w:type="pct"/>
            <w:tcBorders>
              <w:top w:val="single" w:sz="8" w:space="0" w:color="auto"/>
              <w:left w:val="single" w:sz="4" w:space="0" w:color="auto"/>
              <w:bottom w:val="single" w:sz="4" w:space="0" w:color="auto"/>
              <w:right w:val="single" w:sz="4" w:space="0" w:color="auto"/>
            </w:tcBorders>
            <w:shd w:val="clear" w:color="auto" w:fill="92D050"/>
            <w:vAlign w:val="bottom"/>
            <w:hideMark/>
          </w:tcPr>
          <w:p w14:paraId="2A766EC8"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Principal or additional procedure code*</w:t>
            </w:r>
          </w:p>
        </w:tc>
        <w:tc>
          <w:tcPr>
            <w:tcW w:w="812" w:type="pct"/>
            <w:tcBorders>
              <w:top w:val="single" w:sz="8" w:space="0" w:color="auto"/>
              <w:left w:val="nil"/>
              <w:bottom w:val="single" w:sz="4" w:space="0" w:color="auto"/>
              <w:right w:val="single" w:sz="4" w:space="0" w:color="auto"/>
            </w:tcBorders>
            <w:shd w:val="clear" w:color="auto" w:fill="92D050"/>
            <w:vAlign w:val="bottom"/>
            <w:hideMark/>
          </w:tcPr>
          <w:p w14:paraId="1C84A714"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N</w:t>
            </w:r>
            <w:r w:rsidR="006570B3" w:rsidRPr="00414A6D">
              <w:rPr>
                <w:rFonts w:ascii="Arial" w:hAnsi="Arial" w:cs="Arial"/>
                <w:b/>
                <w:bCs/>
                <w:color w:val="000000"/>
                <w:sz w:val="20"/>
                <w:szCs w:val="20"/>
              </w:rPr>
              <w:t>umber</w:t>
            </w:r>
            <w:r w:rsidRPr="00414A6D">
              <w:rPr>
                <w:rFonts w:ascii="Arial" w:hAnsi="Arial" w:cs="Arial"/>
                <w:b/>
                <w:bCs/>
                <w:color w:val="000000"/>
                <w:sz w:val="20"/>
                <w:szCs w:val="20"/>
              </w:rPr>
              <w:t xml:space="preserve"> of episodes</w:t>
            </w:r>
          </w:p>
        </w:tc>
        <w:tc>
          <w:tcPr>
            <w:tcW w:w="837" w:type="pct"/>
            <w:tcBorders>
              <w:top w:val="single" w:sz="8" w:space="0" w:color="auto"/>
              <w:left w:val="nil"/>
              <w:bottom w:val="single" w:sz="4" w:space="0" w:color="auto"/>
              <w:right w:val="single" w:sz="4" w:space="0" w:color="auto"/>
            </w:tcBorders>
            <w:shd w:val="clear" w:color="auto" w:fill="92D050"/>
            <w:vAlign w:val="bottom"/>
            <w:hideMark/>
          </w:tcPr>
          <w:p w14:paraId="280A7B7D"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 xml:space="preserve">Average of </w:t>
            </w:r>
            <w:r w:rsidR="006570B3" w:rsidRPr="00414A6D">
              <w:rPr>
                <w:rFonts w:ascii="Arial" w:hAnsi="Arial" w:cs="Arial"/>
                <w:b/>
                <w:bCs/>
                <w:color w:val="000000"/>
                <w:sz w:val="20"/>
                <w:szCs w:val="20"/>
              </w:rPr>
              <w:t>length of stay</w:t>
            </w:r>
            <w:r w:rsidRPr="00414A6D">
              <w:rPr>
                <w:rFonts w:ascii="Arial" w:hAnsi="Arial" w:cs="Arial"/>
                <w:b/>
                <w:bCs/>
                <w:color w:val="000000"/>
                <w:sz w:val="20"/>
                <w:szCs w:val="20"/>
              </w:rPr>
              <w:t xml:space="preserve"> (days)</w:t>
            </w:r>
          </w:p>
        </w:tc>
        <w:tc>
          <w:tcPr>
            <w:tcW w:w="842" w:type="pct"/>
            <w:tcBorders>
              <w:top w:val="single" w:sz="8" w:space="0" w:color="auto"/>
              <w:left w:val="nil"/>
              <w:bottom w:val="single" w:sz="4" w:space="0" w:color="auto"/>
              <w:right w:val="single" w:sz="4" w:space="0" w:color="auto"/>
            </w:tcBorders>
            <w:shd w:val="clear" w:color="auto" w:fill="92D050"/>
            <w:vAlign w:val="bottom"/>
            <w:hideMark/>
          </w:tcPr>
          <w:p w14:paraId="3530405B"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Average cost</w:t>
            </w:r>
          </w:p>
        </w:tc>
        <w:tc>
          <w:tcPr>
            <w:tcW w:w="1300" w:type="pct"/>
            <w:tcBorders>
              <w:top w:val="single" w:sz="8" w:space="0" w:color="auto"/>
              <w:left w:val="nil"/>
              <w:bottom w:val="single" w:sz="4" w:space="0" w:color="auto"/>
              <w:right w:val="single" w:sz="8" w:space="0" w:color="auto"/>
            </w:tcBorders>
            <w:shd w:val="clear" w:color="auto" w:fill="92D050"/>
            <w:vAlign w:val="bottom"/>
            <w:hideMark/>
          </w:tcPr>
          <w:p w14:paraId="1721A3A6"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Total Cost</w:t>
            </w:r>
          </w:p>
        </w:tc>
      </w:tr>
      <w:tr w:rsidR="008F41E2" w:rsidRPr="00414A6D" w14:paraId="4F54510A" w14:textId="77777777" w:rsidTr="00597945">
        <w:trPr>
          <w:trHeight w:val="1665"/>
        </w:trPr>
        <w:tc>
          <w:tcPr>
            <w:tcW w:w="12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B0464F" w14:textId="77777777" w:rsidR="00B96709" w:rsidRPr="00414A6D" w:rsidRDefault="008F41E2" w:rsidP="008F41E2">
            <w:pPr>
              <w:rPr>
                <w:rFonts w:ascii="Arial" w:hAnsi="Arial" w:cs="Arial"/>
                <w:color w:val="000000"/>
                <w:sz w:val="22"/>
                <w:szCs w:val="22"/>
              </w:rPr>
            </w:pPr>
            <w:r w:rsidRPr="00414A6D">
              <w:rPr>
                <w:rFonts w:ascii="Arial" w:hAnsi="Arial" w:cs="Arial"/>
                <w:color w:val="000000"/>
                <w:sz w:val="22"/>
                <w:szCs w:val="22"/>
              </w:rPr>
              <w:t xml:space="preserve">47519-00 </w:t>
            </w:r>
          </w:p>
          <w:p w14:paraId="478607C3" w14:textId="77777777" w:rsidR="00B96709" w:rsidRPr="00414A6D" w:rsidRDefault="008F41E2" w:rsidP="008F41E2">
            <w:pPr>
              <w:rPr>
                <w:rFonts w:ascii="Arial" w:hAnsi="Arial" w:cs="Arial"/>
                <w:color w:val="000000"/>
                <w:sz w:val="22"/>
                <w:szCs w:val="22"/>
              </w:rPr>
            </w:pPr>
            <w:r w:rsidRPr="00414A6D">
              <w:rPr>
                <w:rFonts w:ascii="Arial" w:hAnsi="Arial" w:cs="Arial"/>
                <w:color w:val="000000"/>
                <w:sz w:val="22"/>
                <w:szCs w:val="22"/>
              </w:rPr>
              <w:t xml:space="preserve">47522-00 </w:t>
            </w:r>
          </w:p>
          <w:p w14:paraId="7BE4989E" w14:textId="77777777" w:rsidR="00B96709" w:rsidRPr="00414A6D" w:rsidRDefault="008F41E2" w:rsidP="008F41E2">
            <w:pPr>
              <w:rPr>
                <w:rFonts w:ascii="Arial" w:hAnsi="Arial" w:cs="Arial"/>
                <w:color w:val="000000"/>
                <w:sz w:val="22"/>
                <w:szCs w:val="22"/>
              </w:rPr>
            </w:pPr>
            <w:r w:rsidRPr="00414A6D">
              <w:rPr>
                <w:rFonts w:ascii="Arial" w:hAnsi="Arial" w:cs="Arial"/>
                <w:color w:val="000000"/>
                <w:sz w:val="22"/>
                <w:szCs w:val="22"/>
              </w:rPr>
              <w:t xml:space="preserve">49318-00 </w:t>
            </w:r>
          </w:p>
          <w:p w14:paraId="0BBFE694" w14:textId="77777777" w:rsidR="00B96709" w:rsidRPr="00414A6D" w:rsidRDefault="008F41E2" w:rsidP="008F41E2">
            <w:pPr>
              <w:rPr>
                <w:rFonts w:ascii="Arial" w:hAnsi="Arial" w:cs="Arial"/>
                <w:color w:val="000000"/>
                <w:sz w:val="22"/>
                <w:szCs w:val="22"/>
              </w:rPr>
            </w:pPr>
            <w:r w:rsidRPr="00414A6D">
              <w:rPr>
                <w:rFonts w:ascii="Arial" w:hAnsi="Arial" w:cs="Arial"/>
                <w:color w:val="000000"/>
                <w:sz w:val="22"/>
                <w:szCs w:val="22"/>
              </w:rPr>
              <w:t xml:space="preserve">49319-00 </w:t>
            </w:r>
          </w:p>
          <w:p w14:paraId="5BFD74EF" w14:textId="77777777" w:rsidR="00B96709" w:rsidRPr="00414A6D" w:rsidRDefault="008F41E2" w:rsidP="008F41E2">
            <w:pPr>
              <w:rPr>
                <w:rFonts w:ascii="Arial" w:hAnsi="Arial" w:cs="Arial"/>
                <w:color w:val="000000"/>
                <w:sz w:val="22"/>
                <w:szCs w:val="22"/>
              </w:rPr>
            </w:pPr>
            <w:r w:rsidRPr="00414A6D">
              <w:rPr>
                <w:rFonts w:ascii="Arial" w:hAnsi="Arial" w:cs="Arial"/>
                <w:color w:val="000000"/>
                <w:sz w:val="22"/>
                <w:szCs w:val="22"/>
              </w:rPr>
              <w:t xml:space="preserve">49315-00 </w:t>
            </w:r>
          </w:p>
          <w:p w14:paraId="257BE55E" w14:textId="77777777" w:rsidR="008F41E2" w:rsidRPr="00414A6D" w:rsidRDefault="008F41E2" w:rsidP="008F41E2">
            <w:pPr>
              <w:rPr>
                <w:rFonts w:ascii="Arial" w:hAnsi="Arial" w:cs="Arial"/>
                <w:color w:val="000000"/>
                <w:sz w:val="22"/>
                <w:szCs w:val="22"/>
              </w:rPr>
            </w:pPr>
            <w:r w:rsidRPr="00414A6D">
              <w:rPr>
                <w:rFonts w:ascii="Arial" w:hAnsi="Arial" w:cs="Arial"/>
                <w:color w:val="000000"/>
                <w:sz w:val="22"/>
                <w:szCs w:val="22"/>
              </w:rPr>
              <w:t>49312-00</w:t>
            </w:r>
          </w:p>
        </w:tc>
        <w:tc>
          <w:tcPr>
            <w:tcW w:w="812" w:type="pct"/>
            <w:tcBorders>
              <w:top w:val="nil"/>
              <w:left w:val="nil"/>
              <w:bottom w:val="single" w:sz="4" w:space="0" w:color="auto"/>
              <w:right w:val="single" w:sz="4" w:space="0" w:color="auto"/>
            </w:tcBorders>
            <w:shd w:val="clear" w:color="auto" w:fill="auto"/>
            <w:noWrap/>
            <w:vAlign w:val="bottom"/>
            <w:hideMark/>
          </w:tcPr>
          <w:p w14:paraId="1D1B1A3F"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 xml:space="preserve">       13,914 </w:t>
            </w:r>
          </w:p>
        </w:tc>
        <w:tc>
          <w:tcPr>
            <w:tcW w:w="837" w:type="pct"/>
            <w:tcBorders>
              <w:top w:val="nil"/>
              <w:left w:val="nil"/>
              <w:bottom w:val="single" w:sz="4" w:space="0" w:color="auto"/>
              <w:right w:val="single" w:sz="4" w:space="0" w:color="auto"/>
            </w:tcBorders>
            <w:shd w:val="clear" w:color="auto" w:fill="auto"/>
            <w:noWrap/>
            <w:vAlign w:val="bottom"/>
            <w:hideMark/>
          </w:tcPr>
          <w:p w14:paraId="33CAA739"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9.7</w:t>
            </w:r>
          </w:p>
        </w:tc>
        <w:tc>
          <w:tcPr>
            <w:tcW w:w="842" w:type="pct"/>
            <w:tcBorders>
              <w:top w:val="nil"/>
              <w:left w:val="nil"/>
              <w:bottom w:val="single" w:sz="4" w:space="0" w:color="auto"/>
              <w:right w:val="single" w:sz="4" w:space="0" w:color="auto"/>
            </w:tcBorders>
            <w:shd w:val="clear" w:color="auto" w:fill="auto"/>
            <w:noWrap/>
            <w:vAlign w:val="bottom"/>
            <w:hideMark/>
          </w:tcPr>
          <w:p w14:paraId="007E025D"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$18,556</w:t>
            </w:r>
          </w:p>
        </w:tc>
        <w:tc>
          <w:tcPr>
            <w:tcW w:w="1300" w:type="pct"/>
            <w:tcBorders>
              <w:top w:val="nil"/>
              <w:left w:val="nil"/>
              <w:bottom w:val="single" w:sz="4" w:space="0" w:color="auto"/>
              <w:right w:val="single" w:sz="8" w:space="0" w:color="auto"/>
            </w:tcBorders>
            <w:shd w:val="clear" w:color="auto" w:fill="auto"/>
            <w:noWrap/>
            <w:vAlign w:val="bottom"/>
            <w:hideMark/>
          </w:tcPr>
          <w:p w14:paraId="7D2D564A"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$258,192,621</w:t>
            </w:r>
          </w:p>
        </w:tc>
      </w:tr>
      <w:tr w:rsidR="008F41E2" w:rsidRPr="00414A6D" w14:paraId="12C1DD76" w14:textId="77777777" w:rsidTr="00597945">
        <w:trPr>
          <w:trHeight w:val="838"/>
        </w:trPr>
        <w:tc>
          <w:tcPr>
            <w:tcW w:w="1209" w:type="pct"/>
            <w:tcBorders>
              <w:top w:val="single" w:sz="4" w:space="0" w:color="auto"/>
              <w:left w:val="single" w:sz="4" w:space="0" w:color="auto"/>
              <w:bottom w:val="single" w:sz="8" w:space="0" w:color="auto"/>
              <w:right w:val="single" w:sz="4" w:space="0" w:color="auto"/>
            </w:tcBorders>
            <w:shd w:val="clear" w:color="auto" w:fill="auto"/>
            <w:hideMark/>
          </w:tcPr>
          <w:p w14:paraId="70B5D142" w14:textId="77777777" w:rsidR="008F41E2" w:rsidRPr="00414A6D" w:rsidRDefault="008F41E2" w:rsidP="008F41E2">
            <w:pPr>
              <w:rPr>
                <w:rFonts w:ascii="Arial" w:hAnsi="Arial" w:cs="Arial"/>
                <w:color w:val="000000"/>
                <w:sz w:val="22"/>
                <w:szCs w:val="22"/>
              </w:rPr>
            </w:pPr>
            <w:r w:rsidRPr="00414A6D">
              <w:rPr>
                <w:rFonts w:ascii="Arial" w:hAnsi="Arial" w:cs="Arial"/>
                <w:color w:val="000000"/>
                <w:sz w:val="22"/>
                <w:szCs w:val="22"/>
              </w:rPr>
              <w:t>The remainder of episodes without procedure codes identified in Table</w:t>
            </w:r>
            <w:r w:rsidR="00CD21A7" w:rsidRPr="00414A6D">
              <w:rPr>
                <w:rFonts w:ascii="Arial" w:hAnsi="Arial" w:cs="Arial"/>
                <w:color w:val="000000"/>
                <w:sz w:val="22"/>
                <w:szCs w:val="22"/>
              </w:rPr>
              <w:t> F</w:t>
            </w:r>
            <w:r w:rsidR="00443D9A" w:rsidRPr="00414A6D">
              <w:rPr>
                <w:rFonts w:ascii="Arial" w:hAnsi="Arial" w:cs="Arial"/>
                <w:color w:val="000000"/>
                <w:sz w:val="22"/>
                <w:szCs w:val="22"/>
              </w:rPr>
              <w:t>6</w:t>
            </w:r>
          </w:p>
        </w:tc>
        <w:tc>
          <w:tcPr>
            <w:tcW w:w="812" w:type="pct"/>
            <w:tcBorders>
              <w:top w:val="nil"/>
              <w:left w:val="nil"/>
              <w:bottom w:val="single" w:sz="8" w:space="0" w:color="auto"/>
              <w:right w:val="single" w:sz="4" w:space="0" w:color="auto"/>
            </w:tcBorders>
            <w:shd w:val="clear" w:color="auto" w:fill="auto"/>
            <w:noWrap/>
            <w:vAlign w:val="bottom"/>
            <w:hideMark/>
          </w:tcPr>
          <w:p w14:paraId="0A29CF02"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 xml:space="preserve">         3,565 </w:t>
            </w:r>
          </w:p>
        </w:tc>
        <w:tc>
          <w:tcPr>
            <w:tcW w:w="837" w:type="pct"/>
            <w:tcBorders>
              <w:top w:val="nil"/>
              <w:left w:val="nil"/>
              <w:bottom w:val="single" w:sz="8" w:space="0" w:color="auto"/>
              <w:right w:val="single" w:sz="4" w:space="0" w:color="auto"/>
            </w:tcBorders>
            <w:shd w:val="clear" w:color="auto" w:fill="auto"/>
            <w:noWrap/>
            <w:vAlign w:val="bottom"/>
            <w:hideMark/>
          </w:tcPr>
          <w:p w14:paraId="00F7474A"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4.8</w:t>
            </w:r>
          </w:p>
        </w:tc>
        <w:tc>
          <w:tcPr>
            <w:tcW w:w="842" w:type="pct"/>
            <w:tcBorders>
              <w:top w:val="nil"/>
              <w:left w:val="nil"/>
              <w:bottom w:val="single" w:sz="8" w:space="0" w:color="auto"/>
              <w:right w:val="single" w:sz="4" w:space="0" w:color="auto"/>
            </w:tcBorders>
            <w:shd w:val="clear" w:color="auto" w:fill="auto"/>
            <w:noWrap/>
            <w:vAlign w:val="bottom"/>
            <w:hideMark/>
          </w:tcPr>
          <w:p w14:paraId="297680E8"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$6,320</w:t>
            </w:r>
          </w:p>
        </w:tc>
        <w:tc>
          <w:tcPr>
            <w:tcW w:w="1300" w:type="pct"/>
            <w:tcBorders>
              <w:top w:val="nil"/>
              <w:left w:val="nil"/>
              <w:bottom w:val="single" w:sz="8" w:space="0" w:color="auto"/>
              <w:right w:val="single" w:sz="8" w:space="0" w:color="auto"/>
            </w:tcBorders>
            <w:shd w:val="clear" w:color="auto" w:fill="auto"/>
            <w:noWrap/>
            <w:vAlign w:val="bottom"/>
            <w:hideMark/>
          </w:tcPr>
          <w:p w14:paraId="423BFF67" w14:textId="77777777" w:rsidR="008F41E2" w:rsidRPr="00414A6D" w:rsidRDefault="008F41E2" w:rsidP="008F41E2">
            <w:pPr>
              <w:jc w:val="right"/>
              <w:rPr>
                <w:rFonts w:ascii="Arial" w:hAnsi="Arial" w:cs="Arial"/>
                <w:color w:val="000000"/>
                <w:sz w:val="22"/>
                <w:szCs w:val="22"/>
              </w:rPr>
            </w:pPr>
            <w:r w:rsidRPr="00414A6D">
              <w:rPr>
                <w:rFonts w:ascii="Arial" w:hAnsi="Arial" w:cs="Arial"/>
                <w:color w:val="000000"/>
                <w:sz w:val="22"/>
                <w:szCs w:val="22"/>
              </w:rPr>
              <w:t>$22,531,341</w:t>
            </w:r>
          </w:p>
        </w:tc>
      </w:tr>
    </w:tbl>
    <w:p w14:paraId="3259BB27" w14:textId="77777777" w:rsidR="00B96709" w:rsidRPr="00414A6D" w:rsidRDefault="008F41E2" w:rsidP="00597945">
      <w:pPr>
        <w:jc w:val="both"/>
        <w:rPr>
          <w:rFonts w:ascii="Arial" w:hAnsi="Arial" w:cs="Arial"/>
          <w:sz w:val="22"/>
          <w:szCs w:val="22"/>
        </w:rPr>
      </w:pPr>
      <w:r w:rsidRPr="00414A6D">
        <w:rPr>
          <w:rFonts w:ascii="Arial" w:hAnsi="Arial" w:cs="Arial"/>
          <w:sz w:val="22"/>
          <w:szCs w:val="22"/>
        </w:rPr>
        <w:t xml:space="preserve">* Refer to Table </w:t>
      </w:r>
      <w:r w:rsidR="0018750E" w:rsidRPr="00414A6D">
        <w:rPr>
          <w:rFonts w:ascii="Arial" w:hAnsi="Arial" w:cs="Arial"/>
          <w:sz w:val="22"/>
          <w:szCs w:val="22"/>
        </w:rPr>
        <w:t>F</w:t>
      </w:r>
      <w:r w:rsidR="00443D9A" w:rsidRPr="00414A6D">
        <w:rPr>
          <w:rFonts w:ascii="Arial" w:hAnsi="Arial" w:cs="Arial"/>
          <w:sz w:val="22"/>
          <w:szCs w:val="22"/>
        </w:rPr>
        <w:t>6</w:t>
      </w:r>
      <w:r w:rsidRPr="00414A6D">
        <w:rPr>
          <w:rFonts w:ascii="Arial" w:hAnsi="Arial" w:cs="Arial"/>
          <w:sz w:val="22"/>
          <w:szCs w:val="22"/>
        </w:rPr>
        <w:t xml:space="preserve"> for names of procedure</w:t>
      </w:r>
      <w:r w:rsidR="00B96709" w:rsidRPr="00414A6D">
        <w:rPr>
          <w:rFonts w:ascii="Arial" w:hAnsi="Arial" w:cs="Arial"/>
          <w:sz w:val="22"/>
          <w:szCs w:val="22"/>
        </w:rPr>
        <w:t>s</w:t>
      </w:r>
    </w:p>
    <w:p w14:paraId="376DA55B" w14:textId="77777777" w:rsidR="006570B3" w:rsidRPr="00414A6D" w:rsidRDefault="008F41E2">
      <w:pPr>
        <w:spacing w:after="120"/>
        <w:jc w:val="both"/>
        <w:rPr>
          <w:rFonts w:ascii="Arial" w:hAnsi="Arial" w:cs="Arial"/>
          <w:sz w:val="22"/>
          <w:szCs w:val="22"/>
        </w:rPr>
      </w:pPr>
      <w:r w:rsidRPr="00414A6D">
        <w:rPr>
          <w:rFonts w:ascii="Arial" w:hAnsi="Arial" w:cs="Arial"/>
          <w:sz w:val="22"/>
          <w:szCs w:val="22"/>
        </w:rPr>
        <w:t xml:space="preserve"> </w:t>
      </w:r>
    </w:p>
    <w:p w14:paraId="046D53E7" w14:textId="77777777" w:rsidR="006570B3" w:rsidRPr="00414A6D" w:rsidRDefault="006570B3">
      <w:pPr>
        <w:rPr>
          <w:rFonts w:ascii="Arial" w:hAnsi="Arial" w:cs="Arial"/>
          <w:sz w:val="22"/>
          <w:szCs w:val="22"/>
        </w:rPr>
      </w:pPr>
      <w:r w:rsidRPr="00414A6D">
        <w:rPr>
          <w:rFonts w:ascii="Arial" w:hAnsi="Arial" w:cs="Arial"/>
          <w:sz w:val="22"/>
          <w:szCs w:val="22"/>
        </w:rPr>
        <w:br w:type="page"/>
      </w:r>
    </w:p>
    <w:p w14:paraId="71386F1A" w14:textId="77777777" w:rsidR="008F41E2" w:rsidRPr="00414A6D" w:rsidRDefault="00B96709" w:rsidP="00597945">
      <w:pPr>
        <w:spacing w:after="120"/>
        <w:jc w:val="both"/>
        <w:rPr>
          <w:rFonts w:ascii="Arial" w:hAnsi="Arial" w:cs="Arial"/>
          <w:sz w:val="22"/>
          <w:szCs w:val="22"/>
          <w:u w:val="single"/>
        </w:rPr>
      </w:pPr>
      <w:r w:rsidRPr="00414A6D">
        <w:rPr>
          <w:rFonts w:ascii="Arial" w:hAnsi="Arial" w:cs="Arial"/>
          <w:sz w:val="22"/>
          <w:szCs w:val="22"/>
        </w:rPr>
        <w:t xml:space="preserve">Table </w:t>
      </w:r>
      <w:r w:rsidR="009E4B30" w:rsidRPr="00414A6D">
        <w:rPr>
          <w:rFonts w:ascii="Arial" w:hAnsi="Arial" w:cs="Arial"/>
          <w:sz w:val="22"/>
          <w:szCs w:val="22"/>
        </w:rPr>
        <w:t>F</w:t>
      </w:r>
      <w:r w:rsidRPr="00414A6D">
        <w:rPr>
          <w:rFonts w:ascii="Arial" w:hAnsi="Arial" w:cs="Arial"/>
          <w:sz w:val="22"/>
          <w:szCs w:val="22"/>
        </w:rPr>
        <w:t>8</w:t>
      </w:r>
      <w:r w:rsidR="008F41E2" w:rsidRPr="00414A6D">
        <w:rPr>
          <w:rFonts w:ascii="Arial" w:hAnsi="Arial" w:cs="Arial"/>
          <w:sz w:val="22"/>
          <w:szCs w:val="22"/>
        </w:rPr>
        <w:tab/>
      </w:r>
      <w:r w:rsidR="008F41E2" w:rsidRPr="00414A6D">
        <w:rPr>
          <w:rFonts w:ascii="Arial" w:hAnsi="Arial" w:cs="Arial"/>
          <w:sz w:val="22"/>
          <w:szCs w:val="22"/>
          <w:u w:val="single"/>
        </w:rPr>
        <w:t xml:space="preserve">Episodes with surgery excluding multiple </w:t>
      </w:r>
      <w:proofErr w:type="gramStart"/>
      <w:r w:rsidR="008F41E2" w:rsidRPr="00414A6D">
        <w:rPr>
          <w:rFonts w:ascii="Arial" w:hAnsi="Arial" w:cs="Arial"/>
          <w:sz w:val="22"/>
          <w:szCs w:val="22"/>
          <w:u w:val="single"/>
        </w:rPr>
        <w:t>trauma</w:t>
      </w:r>
      <w:proofErr w:type="gramEnd"/>
      <w:r w:rsidR="008F41E2" w:rsidRPr="00414A6D">
        <w:rPr>
          <w:rFonts w:ascii="Arial" w:hAnsi="Arial" w:cs="Arial"/>
          <w:sz w:val="22"/>
          <w:szCs w:val="22"/>
          <w:u w:val="single"/>
        </w:rPr>
        <w:t xml:space="preserve"> – Mode of admission (indicating transfers </w:t>
      </w:r>
      <w:r w:rsidR="008F4651" w:rsidRPr="00414A6D">
        <w:rPr>
          <w:rFonts w:ascii="Arial" w:hAnsi="Arial" w:cs="Arial"/>
          <w:sz w:val="22"/>
          <w:szCs w:val="22"/>
          <w:u w:val="single"/>
        </w:rPr>
        <w:t>in</w:t>
      </w:r>
      <w:r w:rsidR="008F41E2" w:rsidRPr="00414A6D">
        <w:rPr>
          <w:rFonts w:ascii="Arial" w:hAnsi="Arial" w:cs="Arial"/>
          <w:sz w:val="22"/>
          <w:szCs w:val="22"/>
          <w:u w:val="single"/>
        </w:rPr>
        <w:t xml:space="preserve"> for surgery)</w:t>
      </w:r>
    </w:p>
    <w:tbl>
      <w:tblPr>
        <w:tblW w:w="9149" w:type="dxa"/>
        <w:tblInd w:w="93" w:type="dxa"/>
        <w:tblLayout w:type="fixed"/>
        <w:tblLook w:val="04A0" w:firstRow="1" w:lastRow="0" w:firstColumn="1" w:lastColumn="0" w:noHBand="0" w:noVBand="1"/>
      </w:tblPr>
      <w:tblGrid>
        <w:gridCol w:w="1716"/>
        <w:gridCol w:w="2410"/>
        <w:gridCol w:w="1134"/>
        <w:gridCol w:w="1134"/>
        <w:gridCol w:w="1134"/>
        <w:gridCol w:w="1621"/>
      </w:tblGrid>
      <w:tr w:rsidR="006570B3" w:rsidRPr="00414A6D" w14:paraId="256DFC0A" w14:textId="77777777" w:rsidTr="00597945">
        <w:trPr>
          <w:trHeight w:val="510"/>
        </w:trPr>
        <w:tc>
          <w:tcPr>
            <w:tcW w:w="1716" w:type="dxa"/>
            <w:tcBorders>
              <w:top w:val="single" w:sz="8" w:space="0" w:color="auto"/>
              <w:left w:val="single" w:sz="4" w:space="0" w:color="auto"/>
              <w:bottom w:val="single" w:sz="4" w:space="0" w:color="auto"/>
              <w:right w:val="single" w:sz="4" w:space="0" w:color="auto"/>
            </w:tcBorders>
            <w:shd w:val="clear" w:color="auto" w:fill="92D050"/>
            <w:vAlign w:val="bottom"/>
            <w:hideMark/>
          </w:tcPr>
          <w:p w14:paraId="1D0B1C67"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Excluded episodes</w:t>
            </w:r>
          </w:p>
        </w:tc>
        <w:tc>
          <w:tcPr>
            <w:tcW w:w="2410" w:type="dxa"/>
            <w:tcBorders>
              <w:top w:val="single" w:sz="8" w:space="0" w:color="auto"/>
              <w:left w:val="nil"/>
              <w:bottom w:val="single" w:sz="4" w:space="0" w:color="auto"/>
              <w:right w:val="single" w:sz="4" w:space="0" w:color="auto"/>
            </w:tcBorders>
            <w:shd w:val="clear" w:color="auto" w:fill="92D050"/>
            <w:vAlign w:val="bottom"/>
            <w:hideMark/>
          </w:tcPr>
          <w:p w14:paraId="4E4D5AE2"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Mode of admission split</w:t>
            </w:r>
          </w:p>
        </w:tc>
        <w:tc>
          <w:tcPr>
            <w:tcW w:w="1134" w:type="dxa"/>
            <w:tcBorders>
              <w:top w:val="single" w:sz="8" w:space="0" w:color="auto"/>
              <w:left w:val="nil"/>
              <w:bottom w:val="single" w:sz="4" w:space="0" w:color="auto"/>
              <w:right w:val="single" w:sz="4" w:space="0" w:color="auto"/>
            </w:tcBorders>
            <w:shd w:val="clear" w:color="auto" w:fill="92D050"/>
            <w:vAlign w:val="bottom"/>
            <w:hideMark/>
          </w:tcPr>
          <w:p w14:paraId="08A4642D"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Number of episodes</w:t>
            </w:r>
          </w:p>
        </w:tc>
        <w:tc>
          <w:tcPr>
            <w:tcW w:w="1134" w:type="dxa"/>
            <w:tcBorders>
              <w:top w:val="single" w:sz="8" w:space="0" w:color="auto"/>
              <w:left w:val="nil"/>
              <w:bottom w:val="single" w:sz="4" w:space="0" w:color="auto"/>
              <w:right w:val="single" w:sz="4" w:space="0" w:color="auto"/>
            </w:tcBorders>
            <w:shd w:val="clear" w:color="auto" w:fill="92D050"/>
            <w:vAlign w:val="bottom"/>
            <w:hideMark/>
          </w:tcPr>
          <w:p w14:paraId="25A3BE2F"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 xml:space="preserve">Average </w:t>
            </w:r>
            <w:r w:rsidR="006570B3" w:rsidRPr="00414A6D">
              <w:rPr>
                <w:rFonts w:ascii="Arial" w:hAnsi="Arial" w:cs="Arial"/>
                <w:b/>
                <w:bCs/>
                <w:color w:val="000000"/>
                <w:sz w:val="20"/>
                <w:szCs w:val="20"/>
              </w:rPr>
              <w:t>length of stay</w:t>
            </w:r>
            <w:r w:rsidRPr="00414A6D">
              <w:rPr>
                <w:rFonts w:ascii="Arial" w:hAnsi="Arial" w:cs="Arial"/>
                <w:b/>
                <w:bCs/>
                <w:color w:val="000000"/>
                <w:sz w:val="20"/>
                <w:szCs w:val="20"/>
              </w:rPr>
              <w:t xml:space="preserve"> (days)</w:t>
            </w:r>
          </w:p>
        </w:tc>
        <w:tc>
          <w:tcPr>
            <w:tcW w:w="1134" w:type="dxa"/>
            <w:tcBorders>
              <w:top w:val="single" w:sz="8" w:space="0" w:color="auto"/>
              <w:left w:val="nil"/>
              <w:bottom w:val="single" w:sz="4" w:space="0" w:color="auto"/>
              <w:right w:val="single" w:sz="4" w:space="0" w:color="auto"/>
            </w:tcBorders>
            <w:shd w:val="clear" w:color="auto" w:fill="92D050"/>
            <w:vAlign w:val="bottom"/>
            <w:hideMark/>
          </w:tcPr>
          <w:p w14:paraId="15C3CE85"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Average cost</w:t>
            </w:r>
          </w:p>
        </w:tc>
        <w:tc>
          <w:tcPr>
            <w:tcW w:w="1621" w:type="dxa"/>
            <w:tcBorders>
              <w:top w:val="single" w:sz="8" w:space="0" w:color="auto"/>
              <w:left w:val="nil"/>
              <w:bottom w:val="single" w:sz="4" w:space="0" w:color="auto"/>
              <w:right w:val="single" w:sz="8" w:space="0" w:color="auto"/>
            </w:tcBorders>
            <w:shd w:val="clear" w:color="auto" w:fill="92D050"/>
            <w:vAlign w:val="bottom"/>
            <w:hideMark/>
          </w:tcPr>
          <w:p w14:paraId="13D675B2" w14:textId="77777777" w:rsidR="008F41E2" w:rsidRPr="00414A6D" w:rsidRDefault="008F41E2" w:rsidP="008F41E2">
            <w:pPr>
              <w:rPr>
                <w:rFonts w:ascii="Arial" w:hAnsi="Arial" w:cs="Arial"/>
                <w:b/>
                <w:bCs/>
                <w:color w:val="000000"/>
                <w:sz w:val="20"/>
                <w:szCs w:val="20"/>
              </w:rPr>
            </w:pPr>
            <w:r w:rsidRPr="00414A6D">
              <w:rPr>
                <w:rFonts w:ascii="Arial" w:hAnsi="Arial" w:cs="Arial"/>
                <w:b/>
                <w:bCs/>
                <w:color w:val="000000"/>
                <w:sz w:val="20"/>
                <w:szCs w:val="20"/>
              </w:rPr>
              <w:t>Total Cost</w:t>
            </w:r>
          </w:p>
        </w:tc>
      </w:tr>
      <w:tr w:rsidR="008F4651" w:rsidRPr="00414A6D" w14:paraId="6D6940C0" w14:textId="77777777" w:rsidTr="00597945">
        <w:trPr>
          <w:trHeight w:val="775"/>
        </w:trPr>
        <w:tc>
          <w:tcPr>
            <w:tcW w:w="1716" w:type="dxa"/>
            <w:vMerge w:val="restart"/>
            <w:tcBorders>
              <w:top w:val="nil"/>
              <w:left w:val="single" w:sz="4" w:space="0" w:color="auto"/>
              <w:right w:val="single" w:sz="4" w:space="0" w:color="auto"/>
            </w:tcBorders>
            <w:shd w:val="clear" w:color="auto" w:fill="auto"/>
            <w:hideMark/>
          </w:tcPr>
          <w:p w14:paraId="076AE553" w14:textId="77777777" w:rsidR="00FC0159" w:rsidRPr="00414A6D" w:rsidRDefault="00FC0159" w:rsidP="008F41E2">
            <w:pPr>
              <w:jc w:val="center"/>
              <w:rPr>
                <w:rFonts w:ascii="Arial" w:hAnsi="Arial" w:cs="Arial"/>
                <w:color w:val="000000"/>
                <w:sz w:val="22"/>
                <w:szCs w:val="22"/>
              </w:rPr>
            </w:pPr>
            <w:r w:rsidRPr="00414A6D">
              <w:rPr>
                <w:rFonts w:ascii="Arial" w:hAnsi="Arial" w:cs="Arial"/>
                <w:color w:val="000000"/>
                <w:sz w:val="22"/>
                <w:szCs w:val="22"/>
              </w:rPr>
              <w:t>Excluding Z92.1 D68.3 T45.5 Y44.2 (as shown in Table 7) and excluding MDC21A – Multiple trauma (</w:t>
            </w:r>
            <w:r w:rsidRPr="00414A6D">
              <w:rPr>
                <w:rFonts w:ascii="Arial" w:hAnsi="Arial" w:cs="Arial"/>
                <w:bCs/>
                <w:color w:val="000000"/>
                <w:sz w:val="22"/>
                <w:szCs w:val="22"/>
              </w:rPr>
              <w:t>DRGs W01A to W61B)</w:t>
            </w:r>
            <w:r w:rsidR="006570B3" w:rsidRPr="00414A6D">
              <w:rPr>
                <w:rFonts w:ascii="Arial" w:hAnsi="Arial" w:cs="Arial"/>
                <w:bCs/>
                <w:color w:val="000000"/>
                <w:sz w:val="22"/>
                <w:szCs w:val="22"/>
              </w:rPr>
              <w:t xml:space="preserve"> as shown in Table F4</w:t>
            </w:r>
          </w:p>
        </w:tc>
        <w:tc>
          <w:tcPr>
            <w:tcW w:w="2410" w:type="dxa"/>
            <w:tcBorders>
              <w:top w:val="nil"/>
              <w:left w:val="nil"/>
              <w:bottom w:val="single" w:sz="4" w:space="0" w:color="auto"/>
              <w:right w:val="single" w:sz="4" w:space="0" w:color="auto"/>
            </w:tcBorders>
            <w:shd w:val="clear" w:color="auto" w:fill="auto"/>
            <w:vAlign w:val="bottom"/>
            <w:hideMark/>
          </w:tcPr>
          <w:p w14:paraId="2AEC64E4" w14:textId="77777777" w:rsidR="00FC0159" w:rsidRPr="00414A6D" w:rsidRDefault="00FC0159" w:rsidP="008F41E2">
            <w:pPr>
              <w:rPr>
                <w:rFonts w:ascii="Arial" w:hAnsi="Arial" w:cs="Arial"/>
                <w:color w:val="000000"/>
                <w:sz w:val="22"/>
                <w:szCs w:val="22"/>
              </w:rPr>
            </w:pPr>
            <w:r w:rsidRPr="00414A6D">
              <w:rPr>
                <w:rFonts w:ascii="Arial" w:hAnsi="Arial" w:cs="Arial"/>
                <w:color w:val="000000"/>
                <w:sz w:val="22"/>
                <w:szCs w:val="22"/>
              </w:rPr>
              <w:t>1</w:t>
            </w:r>
            <w:r w:rsidR="006570B3" w:rsidRPr="00414A6D">
              <w:rPr>
                <w:rFonts w:ascii="Arial" w:hAnsi="Arial" w:cs="Arial"/>
                <w:color w:val="000000"/>
                <w:sz w:val="22"/>
                <w:szCs w:val="22"/>
              </w:rPr>
              <w:t xml:space="preserve"> </w:t>
            </w:r>
            <w:r w:rsidRPr="00414A6D">
              <w:rPr>
                <w:rFonts w:ascii="Arial" w:hAnsi="Arial" w:cs="Arial"/>
                <w:color w:val="000000"/>
                <w:sz w:val="22"/>
                <w:szCs w:val="22"/>
              </w:rPr>
              <w:t>-</w:t>
            </w:r>
            <w:r w:rsidR="006570B3" w:rsidRPr="00414A6D">
              <w:rPr>
                <w:rFonts w:ascii="Arial" w:hAnsi="Arial" w:cs="Arial"/>
                <w:color w:val="000000"/>
                <w:sz w:val="22"/>
                <w:szCs w:val="22"/>
              </w:rPr>
              <w:t xml:space="preserve"> </w:t>
            </w:r>
            <w:r w:rsidRPr="00414A6D">
              <w:rPr>
                <w:rFonts w:ascii="Arial" w:hAnsi="Arial" w:cs="Arial"/>
                <w:color w:val="000000"/>
                <w:sz w:val="22"/>
                <w:szCs w:val="22"/>
              </w:rPr>
              <w:t>admitted patient transferred from another hospital</w:t>
            </w:r>
          </w:p>
        </w:tc>
        <w:tc>
          <w:tcPr>
            <w:tcW w:w="1134" w:type="dxa"/>
            <w:tcBorders>
              <w:top w:val="nil"/>
              <w:left w:val="nil"/>
              <w:bottom w:val="single" w:sz="4" w:space="0" w:color="auto"/>
              <w:right w:val="single" w:sz="4" w:space="0" w:color="auto"/>
            </w:tcBorders>
            <w:shd w:val="clear" w:color="auto" w:fill="auto"/>
            <w:noWrap/>
            <w:vAlign w:val="bottom"/>
            <w:hideMark/>
          </w:tcPr>
          <w:p w14:paraId="49E73A19"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 xml:space="preserve">         1,665 </w:t>
            </w:r>
          </w:p>
        </w:tc>
        <w:tc>
          <w:tcPr>
            <w:tcW w:w="1134" w:type="dxa"/>
            <w:tcBorders>
              <w:top w:val="nil"/>
              <w:left w:val="nil"/>
              <w:bottom w:val="single" w:sz="4" w:space="0" w:color="auto"/>
              <w:right w:val="single" w:sz="4" w:space="0" w:color="auto"/>
            </w:tcBorders>
            <w:shd w:val="clear" w:color="auto" w:fill="auto"/>
            <w:noWrap/>
            <w:vAlign w:val="bottom"/>
            <w:hideMark/>
          </w:tcPr>
          <w:p w14:paraId="46AC9E8F"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bottom"/>
            <w:hideMark/>
          </w:tcPr>
          <w:p w14:paraId="674BA6BE"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17,374</w:t>
            </w:r>
          </w:p>
        </w:tc>
        <w:tc>
          <w:tcPr>
            <w:tcW w:w="1621" w:type="dxa"/>
            <w:tcBorders>
              <w:top w:val="nil"/>
              <w:left w:val="nil"/>
              <w:bottom w:val="single" w:sz="4" w:space="0" w:color="auto"/>
              <w:right w:val="single" w:sz="8" w:space="0" w:color="auto"/>
            </w:tcBorders>
            <w:shd w:val="clear" w:color="auto" w:fill="auto"/>
            <w:noWrap/>
            <w:vAlign w:val="bottom"/>
            <w:hideMark/>
          </w:tcPr>
          <w:p w14:paraId="5C48BC36" w14:textId="77777777" w:rsidR="00FC0159" w:rsidRPr="00414A6D" w:rsidRDefault="008F4651" w:rsidP="008F41E2">
            <w:pPr>
              <w:jc w:val="right"/>
              <w:rPr>
                <w:rFonts w:ascii="Arial" w:hAnsi="Arial" w:cs="Arial"/>
                <w:color w:val="000000"/>
                <w:sz w:val="22"/>
                <w:szCs w:val="22"/>
              </w:rPr>
            </w:pPr>
            <w:r w:rsidRPr="00414A6D">
              <w:rPr>
                <w:rFonts w:ascii="Arial" w:hAnsi="Arial" w:cs="Arial"/>
                <w:color w:val="000000"/>
                <w:sz w:val="22"/>
                <w:szCs w:val="22"/>
              </w:rPr>
              <w:t>$</w:t>
            </w:r>
            <w:r w:rsidR="00FC0159" w:rsidRPr="00414A6D">
              <w:rPr>
                <w:rFonts w:ascii="Arial" w:hAnsi="Arial" w:cs="Arial"/>
                <w:color w:val="000000"/>
                <w:sz w:val="22"/>
                <w:szCs w:val="22"/>
              </w:rPr>
              <w:t>28,927,368</w:t>
            </w:r>
          </w:p>
        </w:tc>
      </w:tr>
      <w:tr w:rsidR="008F4651" w:rsidRPr="00414A6D" w14:paraId="432868CD" w14:textId="77777777" w:rsidTr="00597945">
        <w:trPr>
          <w:trHeight w:val="832"/>
        </w:trPr>
        <w:tc>
          <w:tcPr>
            <w:tcW w:w="1716" w:type="dxa"/>
            <w:vMerge/>
            <w:tcBorders>
              <w:left w:val="single" w:sz="4" w:space="0" w:color="auto"/>
              <w:right w:val="single" w:sz="4" w:space="0" w:color="auto"/>
            </w:tcBorders>
            <w:vAlign w:val="center"/>
            <w:hideMark/>
          </w:tcPr>
          <w:p w14:paraId="79E5FD7B" w14:textId="77777777" w:rsidR="00FC0159" w:rsidRPr="00414A6D" w:rsidRDefault="00FC0159" w:rsidP="008F41E2">
            <w:pPr>
              <w:rPr>
                <w:rFonts w:ascii="Arial" w:hAnsi="Arial" w:cs="Arial"/>
                <w:color w:val="000000"/>
                <w:sz w:val="22"/>
                <w:szCs w:val="22"/>
              </w:rPr>
            </w:pPr>
          </w:p>
        </w:tc>
        <w:tc>
          <w:tcPr>
            <w:tcW w:w="2410" w:type="dxa"/>
            <w:tcBorders>
              <w:top w:val="nil"/>
              <w:left w:val="nil"/>
              <w:bottom w:val="single" w:sz="4" w:space="0" w:color="auto"/>
              <w:right w:val="single" w:sz="4" w:space="0" w:color="auto"/>
            </w:tcBorders>
            <w:shd w:val="clear" w:color="auto" w:fill="auto"/>
            <w:vAlign w:val="bottom"/>
            <w:hideMark/>
          </w:tcPr>
          <w:p w14:paraId="073A6214" w14:textId="77777777" w:rsidR="00FC0159" w:rsidRPr="00414A6D" w:rsidRDefault="00FC0159" w:rsidP="008F41E2">
            <w:pPr>
              <w:rPr>
                <w:rFonts w:ascii="Arial" w:hAnsi="Arial" w:cs="Arial"/>
                <w:color w:val="000000"/>
                <w:sz w:val="22"/>
                <w:szCs w:val="22"/>
              </w:rPr>
            </w:pPr>
            <w:r w:rsidRPr="00414A6D">
              <w:rPr>
                <w:rFonts w:ascii="Arial" w:hAnsi="Arial" w:cs="Arial"/>
                <w:color w:val="000000"/>
                <w:sz w:val="22"/>
                <w:szCs w:val="22"/>
              </w:rPr>
              <w:t>2</w:t>
            </w:r>
            <w:r w:rsidR="006570B3" w:rsidRPr="00414A6D">
              <w:rPr>
                <w:rFonts w:ascii="Arial" w:hAnsi="Arial" w:cs="Arial"/>
                <w:color w:val="000000"/>
                <w:sz w:val="22"/>
                <w:szCs w:val="22"/>
              </w:rPr>
              <w:t xml:space="preserve"> </w:t>
            </w:r>
            <w:r w:rsidRPr="00414A6D">
              <w:rPr>
                <w:rFonts w:ascii="Arial" w:hAnsi="Arial" w:cs="Arial"/>
                <w:color w:val="000000"/>
                <w:sz w:val="22"/>
                <w:szCs w:val="22"/>
              </w:rPr>
              <w:t>-</w:t>
            </w:r>
            <w:r w:rsidR="006570B3" w:rsidRPr="00414A6D">
              <w:rPr>
                <w:rFonts w:ascii="Arial" w:hAnsi="Arial" w:cs="Arial"/>
                <w:color w:val="000000"/>
                <w:sz w:val="22"/>
                <w:szCs w:val="22"/>
              </w:rPr>
              <w:t xml:space="preserve"> </w:t>
            </w:r>
            <w:r w:rsidRPr="00414A6D">
              <w:rPr>
                <w:rFonts w:ascii="Arial" w:hAnsi="Arial" w:cs="Arial"/>
                <w:color w:val="000000"/>
                <w:sz w:val="22"/>
                <w:szCs w:val="22"/>
              </w:rPr>
              <w:t>statistical admission -episode type change</w:t>
            </w:r>
          </w:p>
        </w:tc>
        <w:tc>
          <w:tcPr>
            <w:tcW w:w="1134" w:type="dxa"/>
            <w:tcBorders>
              <w:top w:val="nil"/>
              <w:left w:val="nil"/>
              <w:bottom w:val="single" w:sz="4" w:space="0" w:color="auto"/>
              <w:right w:val="single" w:sz="4" w:space="0" w:color="auto"/>
            </w:tcBorders>
            <w:shd w:val="clear" w:color="auto" w:fill="auto"/>
            <w:noWrap/>
            <w:vAlign w:val="bottom"/>
            <w:hideMark/>
          </w:tcPr>
          <w:p w14:paraId="65D15F9F"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 xml:space="preserve">              64 </w:t>
            </w:r>
          </w:p>
        </w:tc>
        <w:tc>
          <w:tcPr>
            <w:tcW w:w="1134" w:type="dxa"/>
            <w:tcBorders>
              <w:top w:val="nil"/>
              <w:left w:val="nil"/>
              <w:bottom w:val="single" w:sz="4" w:space="0" w:color="auto"/>
              <w:right w:val="single" w:sz="4" w:space="0" w:color="auto"/>
            </w:tcBorders>
            <w:shd w:val="clear" w:color="auto" w:fill="auto"/>
            <w:noWrap/>
            <w:vAlign w:val="bottom"/>
            <w:hideMark/>
          </w:tcPr>
          <w:p w14:paraId="2C4E461B"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14.4</w:t>
            </w:r>
          </w:p>
        </w:tc>
        <w:tc>
          <w:tcPr>
            <w:tcW w:w="1134" w:type="dxa"/>
            <w:tcBorders>
              <w:top w:val="nil"/>
              <w:left w:val="nil"/>
              <w:bottom w:val="single" w:sz="4" w:space="0" w:color="auto"/>
              <w:right w:val="single" w:sz="4" w:space="0" w:color="auto"/>
            </w:tcBorders>
            <w:shd w:val="clear" w:color="auto" w:fill="auto"/>
            <w:noWrap/>
            <w:vAlign w:val="bottom"/>
            <w:hideMark/>
          </w:tcPr>
          <w:p w14:paraId="51E45080"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27,861</w:t>
            </w:r>
          </w:p>
        </w:tc>
        <w:tc>
          <w:tcPr>
            <w:tcW w:w="1621" w:type="dxa"/>
            <w:tcBorders>
              <w:top w:val="nil"/>
              <w:left w:val="nil"/>
              <w:bottom w:val="single" w:sz="4" w:space="0" w:color="auto"/>
              <w:right w:val="single" w:sz="8" w:space="0" w:color="auto"/>
            </w:tcBorders>
            <w:shd w:val="clear" w:color="auto" w:fill="auto"/>
            <w:noWrap/>
            <w:vAlign w:val="bottom"/>
            <w:hideMark/>
          </w:tcPr>
          <w:p w14:paraId="3EF11E69" w14:textId="77777777" w:rsidR="00FC0159" w:rsidRPr="00414A6D" w:rsidRDefault="008F4651" w:rsidP="008F41E2">
            <w:pPr>
              <w:jc w:val="right"/>
              <w:rPr>
                <w:rFonts w:ascii="Arial" w:hAnsi="Arial" w:cs="Arial"/>
                <w:color w:val="000000"/>
                <w:sz w:val="22"/>
                <w:szCs w:val="22"/>
              </w:rPr>
            </w:pPr>
            <w:r w:rsidRPr="00414A6D">
              <w:rPr>
                <w:rFonts w:ascii="Arial" w:hAnsi="Arial" w:cs="Arial"/>
                <w:color w:val="000000"/>
                <w:sz w:val="22"/>
                <w:szCs w:val="22"/>
              </w:rPr>
              <w:t>$</w:t>
            </w:r>
            <w:r w:rsidR="00FC0159" w:rsidRPr="00414A6D">
              <w:rPr>
                <w:rFonts w:ascii="Arial" w:hAnsi="Arial" w:cs="Arial"/>
                <w:color w:val="000000"/>
                <w:sz w:val="22"/>
                <w:szCs w:val="22"/>
              </w:rPr>
              <w:t>1,783,117</w:t>
            </w:r>
          </w:p>
        </w:tc>
      </w:tr>
      <w:tr w:rsidR="008F4651" w:rsidRPr="00414A6D" w14:paraId="0C5AC197" w14:textId="77777777" w:rsidTr="00597945">
        <w:trPr>
          <w:trHeight w:val="546"/>
        </w:trPr>
        <w:tc>
          <w:tcPr>
            <w:tcW w:w="1716" w:type="dxa"/>
            <w:vMerge/>
            <w:tcBorders>
              <w:left w:val="single" w:sz="4" w:space="0" w:color="auto"/>
              <w:right w:val="single" w:sz="4" w:space="0" w:color="auto"/>
            </w:tcBorders>
            <w:vAlign w:val="center"/>
            <w:hideMark/>
          </w:tcPr>
          <w:p w14:paraId="00496555" w14:textId="77777777" w:rsidR="00FC0159" w:rsidRPr="00414A6D" w:rsidRDefault="00FC0159" w:rsidP="008F41E2">
            <w:pPr>
              <w:rPr>
                <w:rFonts w:ascii="Arial" w:hAnsi="Arial" w:cs="Arial"/>
                <w:color w:val="000000"/>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AC10DBA" w14:textId="77777777" w:rsidR="00FC0159" w:rsidRPr="00414A6D" w:rsidRDefault="00FC0159" w:rsidP="008F41E2">
            <w:pPr>
              <w:rPr>
                <w:rFonts w:ascii="Arial" w:hAnsi="Arial" w:cs="Arial"/>
                <w:color w:val="000000"/>
                <w:sz w:val="22"/>
                <w:szCs w:val="22"/>
              </w:rPr>
            </w:pPr>
            <w:r w:rsidRPr="00414A6D">
              <w:rPr>
                <w:rFonts w:ascii="Arial" w:hAnsi="Arial" w:cs="Arial"/>
                <w:color w:val="000000"/>
                <w:sz w:val="22"/>
                <w:szCs w:val="22"/>
              </w:rPr>
              <w:t>3-other</w:t>
            </w:r>
          </w:p>
        </w:tc>
        <w:tc>
          <w:tcPr>
            <w:tcW w:w="1134" w:type="dxa"/>
            <w:tcBorders>
              <w:top w:val="nil"/>
              <w:left w:val="nil"/>
              <w:bottom w:val="single" w:sz="4" w:space="0" w:color="auto"/>
              <w:right w:val="single" w:sz="4" w:space="0" w:color="auto"/>
            </w:tcBorders>
            <w:shd w:val="clear" w:color="auto" w:fill="auto"/>
            <w:noWrap/>
            <w:vAlign w:val="bottom"/>
            <w:hideMark/>
          </w:tcPr>
          <w:p w14:paraId="7B38539D"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 xml:space="preserve">       12,183 </w:t>
            </w:r>
          </w:p>
        </w:tc>
        <w:tc>
          <w:tcPr>
            <w:tcW w:w="1134" w:type="dxa"/>
            <w:tcBorders>
              <w:top w:val="nil"/>
              <w:left w:val="nil"/>
              <w:bottom w:val="single" w:sz="4" w:space="0" w:color="auto"/>
              <w:right w:val="single" w:sz="4" w:space="0" w:color="auto"/>
            </w:tcBorders>
            <w:shd w:val="clear" w:color="auto" w:fill="auto"/>
            <w:noWrap/>
            <w:vAlign w:val="bottom"/>
            <w:hideMark/>
          </w:tcPr>
          <w:p w14:paraId="3AEC9B5B"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hideMark/>
          </w:tcPr>
          <w:p w14:paraId="2210CC80"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18,668</w:t>
            </w:r>
          </w:p>
        </w:tc>
        <w:tc>
          <w:tcPr>
            <w:tcW w:w="1621" w:type="dxa"/>
            <w:tcBorders>
              <w:top w:val="nil"/>
              <w:left w:val="nil"/>
              <w:bottom w:val="single" w:sz="4" w:space="0" w:color="auto"/>
              <w:right w:val="single" w:sz="8" w:space="0" w:color="auto"/>
            </w:tcBorders>
            <w:shd w:val="clear" w:color="auto" w:fill="auto"/>
            <w:noWrap/>
            <w:vAlign w:val="bottom"/>
            <w:hideMark/>
          </w:tcPr>
          <w:p w14:paraId="79820730" w14:textId="77777777" w:rsidR="00FC0159" w:rsidRPr="00414A6D" w:rsidRDefault="008F4651" w:rsidP="008F41E2">
            <w:pPr>
              <w:jc w:val="right"/>
              <w:rPr>
                <w:rFonts w:ascii="Arial" w:hAnsi="Arial" w:cs="Arial"/>
                <w:color w:val="000000"/>
                <w:sz w:val="22"/>
                <w:szCs w:val="22"/>
              </w:rPr>
            </w:pPr>
            <w:r w:rsidRPr="00414A6D">
              <w:rPr>
                <w:rFonts w:ascii="Arial" w:hAnsi="Arial" w:cs="Arial"/>
                <w:color w:val="000000"/>
                <w:sz w:val="22"/>
                <w:szCs w:val="22"/>
              </w:rPr>
              <w:t>$</w:t>
            </w:r>
            <w:r w:rsidR="00FC0159" w:rsidRPr="00414A6D">
              <w:rPr>
                <w:rFonts w:ascii="Arial" w:hAnsi="Arial" w:cs="Arial"/>
                <w:color w:val="000000"/>
                <w:sz w:val="22"/>
                <w:szCs w:val="22"/>
              </w:rPr>
              <w:t>227,435,561</w:t>
            </w:r>
          </w:p>
        </w:tc>
      </w:tr>
      <w:tr w:rsidR="008F4651" w:rsidRPr="00414A6D" w14:paraId="48B797F0" w14:textId="77777777" w:rsidTr="00597945">
        <w:trPr>
          <w:trHeight w:val="554"/>
        </w:trPr>
        <w:tc>
          <w:tcPr>
            <w:tcW w:w="1716" w:type="dxa"/>
            <w:vMerge/>
            <w:tcBorders>
              <w:left w:val="single" w:sz="4" w:space="0" w:color="auto"/>
              <w:right w:val="single" w:sz="4" w:space="0" w:color="auto"/>
            </w:tcBorders>
            <w:vAlign w:val="center"/>
            <w:hideMark/>
          </w:tcPr>
          <w:p w14:paraId="10C168CB" w14:textId="77777777" w:rsidR="00FC0159" w:rsidRPr="00414A6D" w:rsidRDefault="00FC0159" w:rsidP="008F41E2">
            <w:pPr>
              <w:rPr>
                <w:rFonts w:ascii="Arial" w:hAnsi="Arial" w:cs="Arial"/>
                <w:color w:val="000000"/>
                <w:sz w:val="22"/>
                <w:szCs w:val="22"/>
              </w:rPr>
            </w:pPr>
          </w:p>
        </w:tc>
        <w:tc>
          <w:tcPr>
            <w:tcW w:w="2410" w:type="dxa"/>
            <w:tcBorders>
              <w:top w:val="nil"/>
              <w:left w:val="nil"/>
              <w:bottom w:val="single" w:sz="4" w:space="0" w:color="auto"/>
              <w:right w:val="single" w:sz="4" w:space="0" w:color="auto"/>
            </w:tcBorders>
            <w:shd w:val="clear" w:color="auto" w:fill="auto"/>
            <w:vAlign w:val="bottom"/>
            <w:hideMark/>
          </w:tcPr>
          <w:p w14:paraId="66DDEA4B" w14:textId="77777777" w:rsidR="00FC0159" w:rsidRPr="00414A6D" w:rsidRDefault="00FC0159" w:rsidP="008F41E2">
            <w:pPr>
              <w:rPr>
                <w:rFonts w:ascii="Arial" w:hAnsi="Arial" w:cs="Arial"/>
                <w:color w:val="000000"/>
                <w:sz w:val="22"/>
                <w:szCs w:val="22"/>
              </w:rPr>
            </w:pPr>
            <w:r w:rsidRPr="00414A6D">
              <w:rPr>
                <w:rFonts w:ascii="Arial" w:hAnsi="Arial" w:cs="Arial"/>
                <w:color w:val="000000"/>
                <w:sz w:val="22"/>
                <w:szCs w:val="22"/>
              </w:rPr>
              <w:t>9-not reported/unknown</w:t>
            </w:r>
          </w:p>
        </w:tc>
        <w:tc>
          <w:tcPr>
            <w:tcW w:w="1134" w:type="dxa"/>
            <w:tcBorders>
              <w:top w:val="nil"/>
              <w:left w:val="nil"/>
              <w:bottom w:val="single" w:sz="4" w:space="0" w:color="auto"/>
              <w:right w:val="single" w:sz="4" w:space="0" w:color="auto"/>
            </w:tcBorders>
            <w:shd w:val="clear" w:color="auto" w:fill="auto"/>
            <w:noWrap/>
            <w:vAlign w:val="bottom"/>
            <w:hideMark/>
          </w:tcPr>
          <w:p w14:paraId="6A722213"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14:paraId="37922325"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bottom"/>
            <w:hideMark/>
          </w:tcPr>
          <w:p w14:paraId="7C5B2006"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23,288</w:t>
            </w:r>
          </w:p>
        </w:tc>
        <w:tc>
          <w:tcPr>
            <w:tcW w:w="1621" w:type="dxa"/>
            <w:tcBorders>
              <w:top w:val="nil"/>
              <w:left w:val="nil"/>
              <w:bottom w:val="single" w:sz="4" w:space="0" w:color="auto"/>
              <w:right w:val="single" w:sz="8" w:space="0" w:color="auto"/>
            </w:tcBorders>
            <w:shd w:val="clear" w:color="auto" w:fill="auto"/>
            <w:noWrap/>
            <w:vAlign w:val="bottom"/>
            <w:hideMark/>
          </w:tcPr>
          <w:p w14:paraId="4EE8815C" w14:textId="77777777" w:rsidR="00FC0159" w:rsidRPr="00414A6D" w:rsidRDefault="008F4651" w:rsidP="008F41E2">
            <w:pPr>
              <w:jc w:val="right"/>
              <w:rPr>
                <w:rFonts w:ascii="Arial" w:hAnsi="Arial" w:cs="Arial"/>
                <w:color w:val="000000"/>
                <w:sz w:val="22"/>
                <w:szCs w:val="22"/>
              </w:rPr>
            </w:pPr>
            <w:r w:rsidRPr="00414A6D">
              <w:rPr>
                <w:rFonts w:ascii="Arial" w:hAnsi="Arial" w:cs="Arial"/>
                <w:color w:val="000000"/>
                <w:sz w:val="22"/>
                <w:szCs w:val="22"/>
              </w:rPr>
              <w:t>$</w:t>
            </w:r>
            <w:r w:rsidR="00FC0159" w:rsidRPr="00414A6D">
              <w:rPr>
                <w:rFonts w:ascii="Arial" w:hAnsi="Arial" w:cs="Arial"/>
                <w:color w:val="000000"/>
                <w:sz w:val="22"/>
                <w:szCs w:val="22"/>
              </w:rPr>
              <w:t>46,576</w:t>
            </w:r>
          </w:p>
        </w:tc>
      </w:tr>
      <w:tr w:rsidR="00FC0159" w:rsidRPr="00414A6D" w14:paraId="00337D79" w14:textId="77777777" w:rsidTr="00597945">
        <w:trPr>
          <w:trHeight w:val="554"/>
        </w:trPr>
        <w:tc>
          <w:tcPr>
            <w:tcW w:w="1716" w:type="dxa"/>
            <w:vMerge/>
            <w:tcBorders>
              <w:left w:val="single" w:sz="4" w:space="0" w:color="auto"/>
              <w:bottom w:val="single" w:sz="8" w:space="0" w:color="000000"/>
              <w:right w:val="single" w:sz="4" w:space="0" w:color="auto"/>
            </w:tcBorders>
            <w:vAlign w:val="center"/>
          </w:tcPr>
          <w:p w14:paraId="464CB325" w14:textId="77777777" w:rsidR="00FC0159" w:rsidRPr="00414A6D" w:rsidRDefault="00FC0159" w:rsidP="008F41E2">
            <w:pPr>
              <w:rPr>
                <w:rFonts w:ascii="Arial" w:hAnsi="Arial" w:cs="Arial"/>
                <w:color w:val="000000"/>
                <w:sz w:val="22"/>
                <w:szCs w:val="22"/>
              </w:rPr>
            </w:pPr>
          </w:p>
        </w:tc>
        <w:tc>
          <w:tcPr>
            <w:tcW w:w="2410" w:type="dxa"/>
            <w:tcBorders>
              <w:top w:val="single" w:sz="4" w:space="0" w:color="auto"/>
              <w:left w:val="nil"/>
              <w:bottom w:val="single" w:sz="8" w:space="0" w:color="auto"/>
              <w:right w:val="single" w:sz="4" w:space="0" w:color="auto"/>
            </w:tcBorders>
            <w:shd w:val="clear" w:color="auto" w:fill="auto"/>
            <w:vAlign w:val="bottom"/>
          </w:tcPr>
          <w:p w14:paraId="07816DEF" w14:textId="77777777" w:rsidR="00FC0159" w:rsidRPr="00414A6D" w:rsidRDefault="00FC0159" w:rsidP="008F41E2">
            <w:pPr>
              <w:rPr>
                <w:rFonts w:ascii="Arial" w:hAnsi="Arial" w:cs="Arial"/>
                <w:color w:val="000000"/>
                <w:sz w:val="22"/>
                <w:szCs w:val="22"/>
              </w:rPr>
            </w:pPr>
            <w:r w:rsidRPr="00414A6D">
              <w:rPr>
                <w:rFonts w:ascii="Arial" w:hAnsi="Arial" w:cs="Arial"/>
                <w:color w:val="000000"/>
                <w:sz w:val="22"/>
                <w:szCs w:val="22"/>
              </w:rPr>
              <w:t>Total</w:t>
            </w: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0B6314FD" w14:textId="77777777" w:rsidR="00FC0159" w:rsidRPr="00414A6D" w:rsidRDefault="00FC0159" w:rsidP="008F41E2">
            <w:pPr>
              <w:jc w:val="right"/>
              <w:rPr>
                <w:rFonts w:ascii="Arial" w:hAnsi="Arial" w:cs="Arial"/>
                <w:color w:val="000000"/>
                <w:sz w:val="22"/>
                <w:szCs w:val="22"/>
              </w:rPr>
            </w:pPr>
            <w:r w:rsidRPr="00414A6D">
              <w:rPr>
                <w:rFonts w:ascii="Arial" w:hAnsi="Arial" w:cs="Arial"/>
                <w:color w:val="000000"/>
                <w:sz w:val="22"/>
                <w:szCs w:val="22"/>
              </w:rPr>
              <w:t>13,914</w:t>
            </w:r>
          </w:p>
        </w:tc>
        <w:tc>
          <w:tcPr>
            <w:tcW w:w="3889" w:type="dxa"/>
            <w:gridSpan w:val="3"/>
            <w:tcBorders>
              <w:top w:val="single" w:sz="4" w:space="0" w:color="auto"/>
              <w:left w:val="nil"/>
              <w:bottom w:val="single" w:sz="8" w:space="0" w:color="auto"/>
              <w:right w:val="single" w:sz="8" w:space="0" w:color="auto"/>
            </w:tcBorders>
            <w:shd w:val="clear" w:color="auto" w:fill="auto"/>
            <w:noWrap/>
            <w:vAlign w:val="bottom"/>
          </w:tcPr>
          <w:p w14:paraId="7328D2FF" w14:textId="77777777" w:rsidR="00FC0159" w:rsidRPr="00414A6D" w:rsidRDefault="00FC0159" w:rsidP="008F41E2">
            <w:pPr>
              <w:jc w:val="right"/>
              <w:rPr>
                <w:rFonts w:ascii="Arial" w:hAnsi="Arial" w:cs="Arial"/>
                <w:color w:val="000000"/>
                <w:sz w:val="22"/>
                <w:szCs w:val="22"/>
              </w:rPr>
            </w:pPr>
          </w:p>
        </w:tc>
      </w:tr>
    </w:tbl>
    <w:p w14:paraId="52612FBF" w14:textId="77777777" w:rsidR="00353174" w:rsidRPr="00414A6D" w:rsidRDefault="00353174">
      <w:pPr>
        <w:rPr>
          <w:rFonts w:ascii="Arial" w:hAnsi="Arial" w:cs="Arial"/>
          <w:sz w:val="20"/>
          <w:szCs w:val="20"/>
        </w:rPr>
      </w:pPr>
    </w:p>
    <w:p w14:paraId="75719358" w14:textId="123D5457" w:rsidR="006570B3" w:rsidRPr="00414A6D" w:rsidRDefault="006570B3" w:rsidP="006570B3">
      <w:pPr>
        <w:spacing w:after="120"/>
        <w:rPr>
          <w:rFonts w:ascii="Arial" w:hAnsi="Arial" w:cs="Arial"/>
          <w:sz w:val="22"/>
          <w:szCs w:val="22"/>
          <w:u w:val="single"/>
        </w:rPr>
      </w:pPr>
      <w:r w:rsidRPr="00414A6D">
        <w:rPr>
          <w:rFonts w:ascii="Arial" w:hAnsi="Arial" w:cs="Arial"/>
          <w:sz w:val="22"/>
          <w:szCs w:val="22"/>
          <w:u w:val="single"/>
        </w:rPr>
        <w:t>Table F9</w:t>
      </w:r>
      <w:r w:rsidRPr="00414A6D">
        <w:rPr>
          <w:rFonts w:ascii="Arial" w:hAnsi="Arial" w:cs="Arial"/>
          <w:sz w:val="22"/>
          <w:szCs w:val="22"/>
          <w:u w:val="single"/>
        </w:rPr>
        <w:tab/>
        <w:t xml:space="preserve">Length of stay and cost summary for hip fracture </w:t>
      </w:r>
      <w:r w:rsidR="003F5B05" w:rsidRPr="00414A6D">
        <w:rPr>
          <w:rFonts w:ascii="Arial" w:hAnsi="Arial" w:cs="Arial"/>
          <w:sz w:val="22"/>
          <w:szCs w:val="22"/>
          <w:u w:val="single"/>
        </w:rPr>
        <w:t>separation</w:t>
      </w:r>
      <w:r w:rsidRPr="00414A6D">
        <w:rPr>
          <w:rFonts w:ascii="Arial" w:hAnsi="Arial" w:cs="Arial"/>
          <w:sz w:val="22"/>
          <w:szCs w:val="22"/>
          <w:u w:val="single"/>
        </w:rPr>
        <w:t>s with no surgery cohort by separation mode</w:t>
      </w:r>
    </w:p>
    <w:tbl>
      <w:tblPr>
        <w:tblW w:w="5000" w:type="pct"/>
        <w:tblCellMar>
          <w:left w:w="0" w:type="dxa"/>
          <w:right w:w="0" w:type="dxa"/>
        </w:tblCellMar>
        <w:tblLook w:val="04A0" w:firstRow="1" w:lastRow="0" w:firstColumn="1" w:lastColumn="0" w:noHBand="0" w:noVBand="1"/>
      </w:tblPr>
      <w:tblGrid>
        <w:gridCol w:w="1003"/>
        <w:gridCol w:w="2487"/>
        <w:gridCol w:w="987"/>
        <w:gridCol w:w="627"/>
        <w:gridCol w:w="525"/>
        <w:gridCol w:w="904"/>
        <w:gridCol w:w="1065"/>
        <w:gridCol w:w="1458"/>
      </w:tblGrid>
      <w:tr w:rsidR="006570B3" w:rsidRPr="00414A6D" w14:paraId="6D1D2444" w14:textId="77777777" w:rsidTr="006570B3">
        <w:trPr>
          <w:trHeight w:val="510"/>
        </w:trPr>
        <w:tc>
          <w:tcPr>
            <w:tcW w:w="553" w:type="pct"/>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0" w:type="dxa"/>
              <w:right w:w="15" w:type="dxa"/>
            </w:tcMar>
            <w:hideMark/>
          </w:tcPr>
          <w:p w14:paraId="212E80D8"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Sep mode</w:t>
            </w:r>
          </w:p>
        </w:tc>
        <w:tc>
          <w:tcPr>
            <w:tcW w:w="1373"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hideMark/>
          </w:tcPr>
          <w:p w14:paraId="1011AB46"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description</w:t>
            </w:r>
          </w:p>
        </w:tc>
        <w:tc>
          <w:tcPr>
            <w:tcW w:w="545"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vAlign w:val="center"/>
            <w:hideMark/>
          </w:tcPr>
          <w:p w14:paraId="10E456E1"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number of cases</w:t>
            </w:r>
          </w:p>
        </w:tc>
        <w:tc>
          <w:tcPr>
            <w:tcW w:w="346"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vAlign w:val="center"/>
            <w:hideMark/>
          </w:tcPr>
          <w:p w14:paraId="22E59CEE"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Med. LOS</w:t>
            </w:r>
          </w:p>
        </w:tc>
        <w:tc>
          <w:tcPr>
            <w:tcW w:w="290"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vAlign w:val="center"/>
            <w:hideMark/>
          </w:tcPr>
          <w:p w14:paraId="5DC209DC"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Avg. LOS</w:t>
            </w:r>
          </w:p>
        </w:tc>
        <w:tc>
          <w:tcPr>
            <w:tcW w:w="499"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vAlign w:val="center"/>
            <w:hideMark/>
          </w:tcPr>
          <w:p w14:paraId="78012DFC"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Med. Cost</w:t>
            </w:r>
          </w:p>
        </w:tc>
        <w:tc>
          <w:tcPr>
            <w:tcW w:w="588"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vAlign w:val="center"/>
            <w:hideMark/>
          </w:tcPr>
          <w:p w14:paraId="604E206B"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Average Cost</w:t>
            </w:r>
          </w:p>
        </w:tc>
        <w:tc>
          <w:tcPr>
            <w:tcW w:w="805" w:type="pct"/>
            <w:tcBorders>
              <w:top w:val="single" w:sz="4" w:space="0" w:color="auto"/>
              <w:left w:val="nil"/>
              <w:bottom w:val="single" w:sz="4" w:space="0" w:color="auto"/>
              <w:right w:val="single" w:sz="4" w:space="0" w:color="auto"/>
            </w:tcBorders>
            <w:shd w:val="clear" w:color="auto" w:fill="92D050"/>
            <w:tcMar>
              <w:top w:w="15" w:type="dxa"/>
              <w:left w:w="15" w:type="dxa"/>
              <w:bottom w:w="0" w:type="dxa"/>
              <w:right w:w="15" w:type="dxa"/>
            </w:tcMar>
            <w:vAlign w:val="center"/>
            <w:hideMark/>
          </w:tcPr>
          <w:p w14:paraId="303E9D16" w14:textId="77777777" w:rsidR="006570B3" w:rsidRPr="00414A6D" w:rsidRDefault="006570B3" w:rsidP="006570B3">
            <w:pPr>
              <w:jc w:val="center"/>
              <w:rPr>
                <w:rFonts w:ascii="Arial" w:hAnsi="Arial" w:cs="Arial"/>
                <w:b/>
                <w:bCs/>
                <w:sz w:val="20"/>
                <w:szCs w:val="20"/>
              </w:rPr>
            </w:pPr>
            <w:r w:rsidRPr="00414A6D">
              <w:rPr>
                <w:rFonts w:ascii="Arial" w:hAnsi="Arial" w:cs="Arial"/>
                <w:b/>
                <w:bCs/>
                <w:sz w:val="20"/>
                <w:szCs w:val="20"/>
              </w:rPr>
              <w:t>Total Cost</w:t>
            </w:r>
          </w:p>
        </w:tc>
      </w:tr>
      <w:tr w:rsidR="006570B3" w:rsidRPr="00414A6D" w14:paraId="6AAC58F9"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205254A"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1</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A74409A"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discharge/transfer to an(other) acute hospital</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F410B"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2,038</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F0874"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43297"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2.8</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5ACC9"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$1,200</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2845E"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$3,666</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CF2D3"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$7,471,395</w:t>
            </w:r>
          </w:p>
        </w:tc>
      </w:tr>
      <w:tr w:rsidR="006570B3" w:rsidRPr="00414A6D" w14:paraId="72CE4C21"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DE3DDE"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2</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8F85FB1"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discharge/transfer to a residential aged care service, unless this is</w:t>
            </w:r>
            <w:r w:rsidR="00975470" w:rsidRPr="00414A6D">
              <w:rPr>
                <w:rFonts w:ascii="Arial" w:hAnsi="Arial" w:cs="Arial"/>
                <w:bCs/>
                <w:sz w:val="22"/>
                <w:szCs w:val="22"/>
              </w:rPr>
              <w:t xml:space="preserve"> the usual place of residence</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BCE77"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136</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C5172"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4.5</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D4E52"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8.6</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25357"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$5,170</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40940"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$9,322</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38B27"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$1,267,747</w:t>
            </w:r>
          </w:p>
        </w:tc>
      </w:tr>
      <w:tr w:rsidR="006570B3" w:rsidRPr="00414A6D" w14:paraId="0F1839D5"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4B7CA8"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3</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FA1DCF"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discharge/transfer to an(other) psychiatric hospital</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673E1"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844DE"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8</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6F973"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8</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C93E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$7,147</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31109"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$7,147</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1535F"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$7,147</w:t>
            </w:r>
          </w:p>
        </w:tc>
      </w:tr>
      <w:tr w:rsidR="006570B3" w:rsidRPr="00414A6D" w14:paraId="0C652F48"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F6F5D72"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4</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E60B9AD"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discharge/transfer to other health care accommodation (includes</w:t>
            </w:r>
            <w:r w:rsidR="00975470" w:rsidRPr="00414A6D">
              <w:rPr>
                <w:rFonts w:ascii="Arial" w:hAnsi="Arial" w:cs="Arial"/>
                <w:bCs/>
                <w:sz w:val="22"/>
                <w:szCs w:val="22"/>
              </w:rPr>
              <w:t xml:space="preserve"> hospices)</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004D4"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24</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610D5"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090B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7.3</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CDEC6"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$4,756</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B3C67"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$11,138</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9198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$267,314</w:t>
            </w:r>
          </w:p>
        </w:tc>
      </w:tr>
      <w:tr w:rsidR="006570B3" w:rsidRPr="00414A6D" w14:paraId="6A697A41"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D38B77"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5</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9A1172"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statistical discharge - type change</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C2B9D"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488</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200C6"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6</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4847E"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8.4</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BCA71"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$6,147</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1FD6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$10,976</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36D00"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$5,356,097</w:t>
            </w:r>
          </w:p>
        </w:tc>
      </w:tr>
      <w:tr w:rsidR="006570B3" w:rsidRPr="00414A6D" w14:paraId="7EDADCD0"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B8406F9"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6</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0C65DC"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left against medical advice/discharge at own risk</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C75DF"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13</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2DAC1"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2</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F09C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4.5</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73E9B"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$3,902</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9B161"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$5,061</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68D63"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$65,788</w:t>
            </w:r>
          </w:p>
        </w:tc>
      </w:tr>
      <w:tr w:rsidR="006570B3" w:rsidRPr="00414A6D" w14:paraId="3112FCFF"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D5618B4"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8</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FE7A4B"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died</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68555"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175</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5F1E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3</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E3E01"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5.7</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D7559"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$3,759</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B87AA"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$11,853</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03E4E"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$2,074,289</w:t>
            </w:r>
          </w:p>
        </w:tc>
      </w:tr>
      <w:tr w:rsidR="006570B3" w:rsidRPr="00414A6D" w14:paraId="72EA7904" w14:textId="77777777" w:rsidTr="006570B3">
        <w:trPr>
          <w:trHeight w:val="300"/>
        </w:trPr>
        <w:tc>
          <w:tcPr>
            <w:tcW w:w="5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808121"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9</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E69533" w14:textId="77777777" w:rsidR="006570B3" w:rsidRPr="00414A6D" w:rsidRDefault="006570B3" w:rsidP="006570B3">
            <w:pPr>
              <w:rPr>
                <w:rFonts w:ascii="Arial" w:hAnsi="Arial" w:cs="Arial"/>
                <w:bCs/>
                <w:sz w:val="22"/>
                <w:szCs w:val="22"/>
              </w:rPr>
            </w:pPr>
            <w:r w:rsidRPr="00414A6D">
              <w:rPr>
                <w:rFonts w:ascii="Arial" w:hAnsi="Arial" w:cs="Arial"/>
                <w:bCs/>
                <w:sz w:val="22"/>
                <w:szCs w:val="22"/>
              </w:rPr>
              <w:t>other (usual residence/own accommodation/welfare institution</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68092"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690</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F3FFA"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w:t>
            </w:r>
          </w:p>
        </w:tc>
        <w:tc>
          <w:tcPr>
            <w:tcW w:w="2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6129E"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7</w:t>
            </w:r>
          </w:p>
        </w:tc>
        <w:tc>
          <w:tcPr>
            <w:tcW w:w="49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5051A"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$4,414</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177C8"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$8,727</w:t>
            </w:r>
          </w:p>
        </w:tc>
        <w:tc>
          <w:tcPr>
            <w:tcW w:w="8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D1C7C" w14:textId="77777777" w:rsidR="006570B3" w:rsidRPr="00414A6D" w:rsidRDefault="006570B3" w:rsidP="006570B3">
            <w:pPr>
              <w:jc w:val="right"/>
              <w:rPr>
                <w:rFonts w:ascii="Arial" w:hAnsi="Arial" w:cs="Arial"/>
                <w:sz w:val="22"/>
                <w:szCs w:val="22"/>
              </w:rPr>
            </w:pPr>
            <w:r w:rsidRPr="00414A6D">
              <w:rPr>
                <w:rFonts w:ascii="Arial" w:hAnsi="Arial" w:cs="Arial"/>
                <w:sz w:val="22"/>
                <w:szCs w:val="22"/>
              </w:rPr>
              <w:t>$6,021,564</w:t>
            </w:r>
          </w:p>
        </w:tc>
      </w:tr>
    </w:tbl>
    <w:p w14:paraId="28318298" w14:textId="77777777" w:rsidR="006570B3" w:rsidRPr="00414A6D" w:rsidRDefault="006570B3">
      <w:pPr>
        <w:rPr>
          <w:rFonts w:ascii="Arial" w:hAnsi="Arial" w:cs="Arial"/>
          <w:sz w:val="22"/>
          <w:szCs w:val="22"/>
          <w:u w:val="single"/>
        </w:rPr>
      </w:pPr>
      <w:r w:rsidRPr="00414A6D">
        <w:rPr>
          <w:rFonts w:ascii="Arial" w:hAnsi="Arial" w:cs="Arial"/>
          <w:sz w:val="22"/>
          <w:szCs w:val="22"/>
          <w:u w:val="single"/>
        </w:rPr>
        <w:t xml:space="preserve"> </w:t>
      </w:r>
    </w:p>
    <w:p w14:paraId="0E6BC9AE" w14:textId="77777777" w:rsidR="00353174" w:rsidRPr="00414A6D" w:rsidRDefault="00353174" w:rsidP="00597945">
      <w:pPr>
        <w:spacing w:after="120"/>
        <w:rPr>
          <w:rFonts w:ascii="Arial" w:hAnsi="Arial" w:cs="Arial"/>
          <w:sz w:val="22"/>
          <w:szCs w:val="22"/>
          <w:u w:val="single"/>
        </w:rPr>
      </w:pPr>
      <w:r w:rsidRPr="00414A6D">
        <w:rPr>
          <w:rFonts w:ascii="Arial" w:hAnsi="Arial" w:cs="Arial"/>
          <w:sz w:val="22"/>
          <w:szCs w:val="22"/>
          <w:u w:val="single"/>
        </w:rPr>
        <w:t>Table</w:t>
      </w:r>
      <w:r w:rsidR="006570B3" w:rsidRPr="00414A6D">
        <w:rPr>
          <w:rFonts w:ascii="Arial" w:hAnsi="Arial" w:cs="Arial"/>
          <w:sz w:val="22"/>
          <w:szCs w:val="22"/>
          <w:u w:val="single"/>
        </w:rPr>
        <w:t xml:space="preserve"> F10</w:t>
      </w:r>
      <w:r w:rsidRPr="00414A6D">
        <w:rPr>
          <w:rFonts w:ascii="Arial" w:hAnsi="Arial" w:cs="Arial"/>
          <w:sz w:val="22"/>
          <w:szCs w:val="22"/>
          <w:u w:val="single"/>
        </w:rPr>
        <w:t xml:space="preserve"> </w:t>
      </w:r>
      <w:r w:rsidR="00583379" w:rsidRPr="00414A6D">
        <w:rPr>
          <w:rFonts w:ascii="Arial" w:hAnsi="Arial" w:cs="Arial"/>
          <w:sz w:val="22"/>
          <w:szCs w:val="22"/>
          <w:u w:val="single"/>
        </w:rPr>
        <w:tab/>
      </w:r>
      <w:r w:rsidR="00FC0159" w:rsidRPr="00414A6D">
        <w:rPr>
          <w:rFonts w:ascii="Arial" w:hAnsi="Arial" w:cs="Arial"/>
          <w:sz w:val="22"/>
          <w:szCs w:val="22"/>
          <w:u w:val="single"/>
        </w:rPr>
        <w:t>Number, length of stay and cost for the r</w:t>
      </w:r>
      <w:r w:rsidRPr="00414A6D">
        <w:rPr>
          <w:rFonts w:ascii="Arial" w:hAnsi="Arial" w:cs="Arial"/>
          <w:sz w:val="22"/>
          <w:szCs w:val="22"/>
          <w:u w:val="single"/>
        </w:rPr>
        <w:t>efined</w:t>
      </w:r>
      <w:r w:rsidR="00FC0159" w:rsidRPr="00414A6D">
        <w:rPr>
          <w:rFonts w:ascii="Arial" w:hAnsi="Arial" w:cs="Arial"/>
          <w:sz w:val="22"/>
          <w:szCs w:val="22"/>
          <w:u w:val="single"/>
        </w:rPr>
        <w:t xml:space="preserve"> cohort</w:t>
      </w:r>
      <w:r w:rsidRPr="00414A6D">
        <w:rPr>
          <w:rFonts w:ascii="Arial" w:hAnsi="Arial" w:cs="Arial"/>
          <w:sz w:val="22"/>
          <w:szCs w:val="22"/>
          <w:u w:val="single"/>
        </w:rPr>
        <w:t>, hip fracture surgical episodes by AR-DRG</w:t>
      </w:r>
    </w:p>
    <w:tbl>
      <w:tblPr>
        <w:tblW w:w="5658" w:type="pct"/>
        <w:tblLayout w:type="fixed"/>
        <w:tblLook w:val="04A0" w:firstRow="1" w:lastRow="0" w:firstColumn="1" w:lastColumn="0" w:noHBand="0" w:noVBand="1"/>
      </w:tblPr>
      <w:tblGrid>
        <w:gridCol w:w="615"/>
        <w:gridCol w:w="2899"/>
        <w:gridCol w:w="709"/>
        <w:gridCol w:w="851"/>
        <w:gridCol w:w="851"/>
        <w:gridCol w:w="994"/>
        <w:gridCol w:w="996"/>
        <w:gridCol w:w="1127"/>
        <w:gridCol w:w="1416"/>
      </w:tblGrid>
      <w:tr w:rsidR="00353174" w:rsidRPr="00414A6D" w14:paraId="7215765D" w14:textId="77777777" w:rsidTr="00597945">
        <w:trPr>
          <w:gridAfter w:val="1"/>
          <w:wAfter w:w="677" w:type="pct"/>
          <w:trHeight w:val="570"/>
        </w:trPr>
        <w:tc>
          <w:tcPr>
            <w:tcW w:w="294" w:type="pct"/>
            <w:tcBorders>
              <w:top w:val="single" w:sz="8" w:space="0" w:color="auto"/>
              <w:left w:val="single" w:sz="4" w:space="0" w:color="auto"/>
              <w:bottom w:val="single" w:sz="4" w:space="0" w:color="auto"/>
              <w:right w:val="single" w:sz="4" w:space="0" w:color="auto"/>
            </w:tcBorders>
            <w:shd w:val="clear" w:color="auto" w:fill="92D050"/>
            <w:hideMark/>
          </w:tcPr>
          <w:p w14:paraId="5824BE20"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DRG</w:t>
            </w:r>
          </w:p>
        </w:tc>
        <w:tc>
          <w:tcPr>
            <w:tcW w:w="1386" w:type="pct"/>
            <w:tcBorders>
              <w:top w:val="single" w:sz="8" w:space="0" w:color="auto"/>
              <w:left w:val="nil"/>
              <w:bottom w:val="single" w:sz="4" w:space="0" w:color="auto"/>
              <w:right w:val="single" w:sz="4" w:space="0" w:color="auto"/>
            </w:tcBorders>
            <w:shd w:val="clear" w:color="auto" w:fill="92D050"/>
            <w:hideMark/>
          </w:tcPr>
          <w:p w14:paraId="149EA805"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Description</w:t>
            </w:r>
          </w:p>
        </w:tc>
        <w:tc>
          <w:tcPr>
            <w:tcW w:w="339" w:type="pct"/>
            <w:tcBorders>
              <w:top w:val="single" w:sz="8" w:space="0" w:color="auto"/>
              <w:left w:val="nil"/>
              <w:bottom w:val="single" w:sz="4" w:space="0" w:color="auto"/>
              <w:right w:val="single" w:sz="4" w:space="0" w:color="auto"/>
            </w:tcBorders>
            <w:shd w:val="clear" w:color="auto" w:fill="92D050"/>
            <w:vAlign w:val="center"/>
            <w:hideMark/>
          </w:tcPr>
          <w:p w14:paraId="25A08BDA"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No. of cases</w:t>
            </w:r>
          </w:p>
        </w:tc>
        <w:tc>
          <w:tcPr>
            <w:tcW w:w="407" w:type="pct"/>
            <w:tcBorders>
              <w:top w:val="single" w:sz="8" w:space="0" w:color="auto"/>
              <w:left w:val="nil"/>
              <w:bottom w:val="single" w:sz="4" w:space="0" w:color="auto"/>
              <w:right w:val="single" w:sz="4" w:space="0" w:color="auto"/>
            </w:tcBorders>
            <w:shd w:val="clear" w:color="auto" w:fill="92D050"/>
            <w:vAlign w:val="center"/>
            <w:hideMark/>
          </w:tcPr>
          <w:p w14:paraId="1B220157"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Median LOS</w:t>
            </w:r>
          </w:p>
        </w:tc>
        <w:tc>
          <w:tcPr>
            <w:tcW w:w="407" w:type="pct"/>
            <w:tcBorders>
              <w:top w:val="single" w:sz="8" w:space="0" w:color="auto"/>
              <w:left w:val="nil"/>
              <w:bottom w:val="single" w:sz="4" w:space="0" w:color="auto"/>
              <w:right w:val="single" w:sz="4" w:space="0" w:color="auto"/>
            </w:tcBorders>
            <w:shd w:val="clear" w:color="auto" w:fill="92D050"/>
            <w:vAlign w:val="center"/>
            <w:hideMark/>
          </w:tcPr>
          <w:p w14:paraId="029A239A"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Average of LOS</w:t>
            </w:r>
          </w:p>
        </w:tc>
        <w:tc>
          <w:tcPr>
            <w:tcW w:w="475" w:type="pct"/>
            <w:tcBorders>
              <w:top w:val="single" w:sz="8" w:space="0" w:color="auto"/>
              <w:left w:val="nil"/>
              <w:bottom w:val="single" w:sz="4" w:space="0" w:color="auto"/>
              <w:right w:val="single" w:sz="4" w:space="0" w:color="auto"/>
            </w:tcBorders>
            <w:shd w:val="clear" w:color="auto" w:fill="92D050"/>
            <w:vAlign w:val="center"/>
            <w:hideMark/>
          </w:tcPr>
          <w:p w14:paraId="6E5478E0"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Median cost</w:t>
            </w:r>
          </w:p>
        </w:tc>
        <w:tc>
          <w:tcPr>
            <w:tcW w:w="476" w:type="pct"/>
            <w:tcBorders>
              <w:top w:val="single" w:sz="8" w:space="0" w:color="auto"/>
              <w:left w:val="nil"/>
              <w:bottom w:val="single" w:sz="4" w:space="0" w:color="auto"/>
              <w:right w:val="single" w:sz="4" w:space="0" w:color="auto"/>
            </w:tcBorders>
            <w:shd w:val="clear" w:color="auto" w:fill="92D050"/>
            <w:vAlign w:val="center"/>
            <w:hideMark/>
          </w:tcPr>
          <w:p w14:paraId="39AE107B"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Average cost</w:t>
            </w:r>
          </w:p>
          <w:p w14:paraId="65BB06D6" w14:textId="77777777" w:rsidR="00353174" w:rsidRPr="00414A6D" w:rsidRDefault="00353174" w:rsidP="004309B7">
            <w:pPr>
              <w:jc w:val="center"/>
              <w:rPr>
                <w:rFonts w:ascii="Arial" w:hAnsi="Arial" w:cs="Arial"/>
                <w:b/>
                <w:bCs/>
                <w:color w:val="000000"/>
                <w:sz w:val="16"/>
                <w:szCs w:val="16"/>
              </w:rPr>
            </w:pPr>
          </w:p>
        </w:tc>
        <w:tc>
          <w:tcPr>
            <w:tcW w:w="539" w:type="pct"/>
            <w:tcBorders>
              <w:top w:val="single" w:sz="8" w:space="0" w:color="auto"/>
              <w:left w:val="nil"/>
              <w:bottom w:val="single" w:sz="4" w:space="0" w:color="auto"/>
              <w:right w:val="single" w:sz="8" w:space="0" w:color="auto"/>
            </w:tcBorders>
            <w:shd w:val="clear" w:color="auto" w:fill="92D050"/>
            <w:vAlign w:val="center"/>
            <w:hideMark/>
          </w:tcPr>
          <w:p w14:paraId="53023CDF"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Total Cost</w:t>
            </w:r>
          </w:p>
          <w:p w14:paraId="17E61DE4" w14:textId="77777777" w:rsidR="00353174" w:rsidRPr="00414A6D" w:rsidRDefault="00353174" w:rsidP="004309B7">
            <w:pPr>
              <w:jc w:val="center"/>
              <w:rPr>
                <w:rFonts w:ascii="Arial" w:hAnsi="Arial" w:cs="Arial"/>
                <w:b/>
                <w:bCs/>
                <w:color w:val="000000"/>
                <w:sz w:val="16"/>
                <w:szCs w:val="16"/>
              </w:rPr>
            </w:pPr>
            <w:r w:rsidRPr="00414A6D">
              <w:rPr>
                <w:rFonts w:ascii="Arial" w:hAnsi="Arial" w:cs="Arial"/>
                <w:b/>
                <w:bCs/>
                <w:color w:val="000000"/>
                <w:sz w:val="16"/>
                <w:szCs w:val="16"/>
              </w:rPr>
              <w:t>$m</w:t>
            </w:r>
          </w:p>
        </w:tc>
      </w:tr>
      <w:tr w:rsidR="00A04DF5" w:rsidRPr="00414A6D" w14:paraId="53654E3E" w14:textId="77777777" w:rsidTr="00597945">
        <w:trPr>
          <w:gridAfter w:val="1"/>
          <w:wAfter w:w="677" w:type="pct"/>
          <w:trHeight w:val="570"/>
        </w:trPr>
        <w:tc>
          <w:tcPr>
            <w:tcW w:w="2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3C6AB304"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I08B</w:t>
            </w:r>
          </w:p>
        </w:tc>
        <w:tc>
          <w:tcPr>
            <w:tcW w:w="1386" w:type="pct"/>
            <w:tcBorders>
              <w:top w:val="single" w:sz="4" w:space="0" w:color="auto"/>
              <w:left w:val="nil"/>
              <w:bottom w:val="single" w:sz="4" w:space="0" w:color="auto"/>
              <w:right w:val="single" w:sz="4" w:space="0" w:color="auto"/>
            </w:tcBorders>
            <w:shd w:val="clear" w:color="auto" w:fill="D6E3BC" w:themeFill="accent3" w:themeFillTint="66"/>
            <w:vAlign w:val="bottom"/>
            <w:hideMark/>
          </w:tcPr>
          <w:p w14:paraId="64626336"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Other Hip and Femur Procedures without Catastrophic Complications and/or Comorbidities</w:t>
            </w:r>
          </w:p>
        </w:tc>
        <w:tc>
          <w:tcPr>
            <w:tcW w:w="339"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2D8508C0"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4,832</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3AD8A6F"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6</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3A4B89E"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7.3</w:t>
            </w:r>
          </w:p>
        </w:tc>
        <w:tc>
          <w:tcPr>
            <w:tcW w:w="475"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14B3547"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$12,212</w:t>
            </w:r>
          </w:p>
        </w:tc>
        <w:tc>
          <w:tcPr>
            <w:tcW w:w="476"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2D47C142"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$13,806</w:t>
            </w:r>
          </w:p>
        </w:tc>
        <w:tc>
          <w:tcPr>
            <w:tcW w:w="539" w:type="pct"/>
            <w:tcBorders>
              <w:top w:val="single" w:sz="4" w:space="0" w:color="auto"/>
              <w:left w:val="nil"/>
              <w:bottom w:val="single" w:sz="4" w:space="0" w:color="auto"/>
              <w:right w:val="single" w:sz="8" w:space="0" w:color="auto"/>
            </w:tcBorders>
            <w:shd w:val="clear" w:color="auto" w:fill="D6E3BC" w:themeFill="accent3" w:themeFillTint="66"/>
            <w:noWrap/>
            <w:vAlign w:val="bottom"/>
            <w:hideMark/>
          </w:tcPr>
          <w:p w14:paraId="34CDB9FF"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$66.7</w:t>
            </w:r>
          </w:p>
        </w:tc>
      </w:tr>
      <w:tr w:rsidR="00A04DF5" w:rsidRPr="00414A6D" w14:paraId="232DA52E" w14:textId="77777777" w:rsidTr="00597945">
        <w:trPr>
          <w:gridAfter w:val="1"/>
          <w:wAfter w:w="677" w:type="pct"/>
          <w:trHeight w:val="570"/>
        </w:trPr>
        <w:tc>
          <w:tcPr>
            <w:tcW w:w="2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70777BDC"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I08A</w:t>
            </w:r>
          </w:p>
        </w:tc>
        <w:tc>
          <w:tcPr>
            <w:tcW w:w="1386" w:type="pct"/>
            <w:tcBorders>
              <w:top w:val="single" w:sz="4" w:space="0" w:color="auto"/>
              <w:left w:val="nil"/>
              <w:bottom w:val="single" w:sz="4" w:space="0" w:color="auto"/>
              <w:right w:val="single" w:sz="4" w:space="0" w:color="auto"/>
            </w:tcBorders>
            <w:shd w:val="clear" w:color="auto" w:fill="D6E3BC" w:themeFill="accent3" w:themeFillTint="66"/>
            <w:vAlign w:val="bottom"/>
            <w:hideMark/>
          </w:tcPr>
          <w:p w14:paraId="32D790DF"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Other Hip and Femur Procedures with Catastrophic Complications and/or Comorbidities</w:t>
            </w:r>
            <w:r w:rsidRPr="00414A6D" w:rsidDel="002F0B59">
              <w:rPr>
                <w:rFonts w:ascii="Arial" w:hAnsi="Arial" w:cs="Arial"/>
                <w:bCs/>
                <w:color w:val="000000"/>
                <w:sz w:val="16"/>
                <w:szCs w:val="16"/>
              </w:rPr>
              <w:t xml:space="preserve"> </w:t>
            </w:r>
          </w:p>
        </w:tc>
        <w:tc>
          <w:tcPr>
            <w:tcW w:w="339"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2DD8ED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3,987</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58BE4B36"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9</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75846CA"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12.1</w:t>
            </w:r>
          </w:p>
        </w:tc>
        <w:tc>
          <w:tcPr>
            <w:tcW w:w="475"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0A063A3"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$16,945</w:t>
            </w:r>
          </w:p>
        </w:tc>
        <w:tc>
          <w:tcPr>
            <w:tcW w:w="476"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41B3D28"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$20,784</w:t>
            </w:r>
          </w:p>
        </w:tc>
        <w:tc>
          <w:tcPr>
            <w:tcW w:w="539" w:type="pct"/>
            <w:tcBorders>
              <w:top w:val="single" w:sz="4" w:space="0" w:color="auto"/>
              <w:left w:val="nil"/>
              <w:bottom w:val="single" w:sz="4" w:space="0" w:color="auto"/>
              <w:right w:val="single" w:sz="8" w:space="0" w:color="auto"/>
            </w:tcBorders>
            <w:shd w:val="clear" w:color="auto" w:fill="D6E3BC" w:themeFill="accent3" w:themeFillTint="66"/>
            <w:noWrap/>
            <w:vAlign w:val="bottom"/>
            <w:hideMark/>
          </w:tcPr>
          <w:p w14:paraId="7405F24F"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$82.9</w:t>
            </w:r>
          </w:p>
        </w:tc>
      </w:tr>
      <w:tr w:rsidR="00A04DF5" w:rsidRPr="00414A6D" w14:paraId="30DDEB3D" w14:textId="77777777" w:rsidTr="00597945">
        <w:trPr>
          <w:gridAfter w:val="1"/>
          <w:wAfter w:w="677" w:type="pct"/>
          <w:trHeight w:val="570"/>
        </w:trPr>
        <w:tc>
          <w:tcPr>
            <w:tcW w:w="2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29269F84"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I03B</w:t>
            </w:r>
          </w:p>
        </w:tc>
        <w:tc>
          <w:tcPr>
            <w:tcW w:w="1386" w:type="pct"/>
            <w:tcBorders>
              <w:top w:val="single" w:sz="4" w:space="0" w:color="auto"/>
              <w:left w:val="nil"/>
              <w:bottom w:val="single" w:sz="4" w:space="0" w:color="auto"/>
              <w:right w:val="single" w:sz="4" w:space="0" w:color="auto"/>
            </w:tcBorders>
            <w:shd w:val="clear" w:color="auto" w:fill="D6E3BC" w:themeFill="accent3" w:themeFillTint="66"/>
            <w:vAlign w:val="bottom"/>
            <w:hideMark/>
          </w:tcPr>
          <w:p w14:paraId="49C26192"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Hip Replacement without Catastrophic Complications and/or Comorbidities</w:t>
            </w:r>
            <w:r w:rsidRPr="00414A6D" w:rsidDel="002F0B59">
              <w:rPr>
                <w:rFonts w:ascii="Arial" w:hAnsi="Arial" w:cs="Arial"/>
                <w:bCs/>
                <w:color w:val="000000"/>
                <w:sz w:val="16"/>
                <w:szCs w:val="16"/>
              </w:rPr>
              <w:t xml:space="preserve"> </w:t>
            </w:r>
          </w:p>
        </w:tc>
        <w:tc>
          <w:tcPr>
            <w:tcW w:w="339"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4125F6FB"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2,536</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880C5F6"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6</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2F3752D9"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7.3</w:t>
            </w:r>
          </w:p>
        </w:tc>
        <w:tc>
          <w:tcPr>
            <w:tcW w:w="475"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872188F"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$16,210</w:t>
            </w:r>
          </w:p>
        </w:tc>
        <w:tc>
          <w:tcPr>
            <w:tcW w:w="476"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4C251BF6"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$17,675</w:t>
            </w:r>
          </w:p>
        </w:tc>
        <w:tc>
          <w:tcPr>
            <w:tcW w:w="539" w:type="pct"/>
            <w:tcBorders>
              <w:top w:val="single" w:sz="4" w:space="0" w:color="auto"/>
              <w:left w:val="nil"/>
              <w:bottom w:val="single" w:sz="4" w:space="0" w:color="auto"/>
              <w:right w:val="single" w:sz="8" w:space="0" w:color="auto"/>
            </w:tcBorders>
            <w:shd w:val="clear" w:color="auto" w:fill="D6E3BC" w:themeFill="accent3" w:themeFillTint="66"/>
            <w:noWrap/>
            <w:vAlign w:val="bottom"/>
            <w:hideMark/>
          </w:tcPr>
          <w:p w14:paraId="46AE8981"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$44.8</w:t>
            </w:r>
          </w:p>
        </w:tc>
      </w:tr>
      <w:tr w:rsidR="00A04DF5" w:rsidRPr="00414A6D" w14:paraId="52EAD1B7" w14:textId="77777777" w:rsidTr="00597945">
        <w:trPr>
          <w:gridAfter w:val="1"/>
          <w:wAfter w:w="677" w:type="pct"/>
          <w:trHeight w:val="347"/>
        </w:trPr>
        <w:tc>
          <w:tcPr>
            <w:tcW w:w="2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14:paraId="4C9640AD"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I03A</w:t>
            </w:r>
          </w:p>
        </w:tc>
        <w:tc>
          <w:tcPr>
            <w:tcW w:w="1386" w:type="pct"/>
            <w:tcBorders>
              <w:top w:val="single" w:sz="4" w:space="0" w:color="auto"/>
              <w:left w:val="nil"/>
              <w:bottom w:val="single" w:sz="4" w:space="0" w:color="auto"/>
              <w:right w:val="single" w:sz="4" w:space="0" w:color="auto"/>
            </w:tcBorders>
            <w:shd w:val="clear" w:color="auto" w:fill="D6E3BC" w:themeFill="accent3" w:themeFillTint="66"/>
            <w:vAlign w:val="bottom"/>
            <w:hideMark/>
          </w:tcPr>
          <w:p w14:paraId="3B3C0B8F"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Hip Replacement with Catastrophic Complications and/or Comorbidities</w:t>
            </w:r>
            <w:r w:rsidRPr="00414A6D" w:rsidDel="002F0B59">
              <w:rPr>
                <w:rFonts w:ascii="Arial" w:hAnsi="Arial" w:cs="Arial"/>
                <w:bCs/>
                <w:color w:val="000000"/>
                <w:sz w:val="16"/>
                <w:szCs w:val="16"/>
              </w:rPr>
              <w:t xml:space="preserve"> </w:t>
            </w:r>
          </w:p>
        </w:tc>
        <w:tc>
          <w:tcPr>
            <w:tcW w:w="339"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9943735"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2,447</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6169FF5"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10</w:t>
            </w:r>
          </w:p>
        </w:tc>
        <w:tc>
          <w:tcPr>
            <w:tcW w:w="407"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D033A37"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12.2</w:t>
            </w:r>
          </w:p>
        </w:tc>
        <w:tc>
          <w:tcPr>
            <w:tcW w:w="475"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FDD435E"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$20,583</w:t>
            </w:r>
          </w:p>
        </w:tc>
        <w:tc>
          <w:tcPr>
            <w:tcW w:w="476"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66E62D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$23,403</w:t>
            </w:r>
          </w:p>
        </w:tc>
        <w:tc>
          <w:tcPr>
            <w:tcW w:w="539" w:type="pct"/>
            <w:tcBorders>
              <w:top w:val="single" w:sz="4" w:space="0" w:color="auto"/>
              <w:left w:val="nil"/>
              <w:bottom w:val="single" w:sz="4" w:space="0" w:color="auto"/>
              <w:right w:val="single" w:sz="8" w:space="0" w:color="auto"/>
            </w:tcBorders>
            <w:shd w:val="clear" w:color="auto" w:fill="D6E3BC" w:themeFill="accent3" w:themeFillTint="66"/>
            <w:noWrap/>
            <w:vAlign w:val="bottom"/>
            <w:hideMark/>
          </w:tcPr>
          <w:p w14:paraId="33D3798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$57.3</w:t>
            </w:r>
          </w:p>
        </w:tc>
      </w:tr>
      <w:tr w:rsidR="00A04DF5" w:rsidRPr="00414A6D" w14:paraId="5B549018"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157C3BDD"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I01A</w:t>
            </w:r>
          </w:p>
        </w:tc>
        <w:tc>
          <w:tcPr>
            <w:tcW w:w="1386" w:type="pct"/>
            <w:tcBorders>
              <w:top w:val="nil"/>
              <w:left w:val="nil"/>
              <w:bottom w:val="single" w:sz="4" w:space="0" w:color="auto"/>
              <w:right w:val="single" w:sz="4" w:space="0" w:color="auto"/>
            </w:tcBorders>
            <w:shd w:val="clear" w:color="auto" w:fill="auto"/>
            <w:vAlign w:val="bottom"/>
            <w:hideMark/>
          </w:tcPr>
          <w:p w14:paraId="5A1153B7"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Bilateral and Multiple Major Joint Procedures of Lower Limb with Revision or with Catastrophic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hideMark/>
          </w:tcPr>
          <w:p w14:paraId="65C589CA"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31</w:t>
            </w:r>
          </w:p>
        </w:tc>
        <w:tc>
          <w:tcPr>
            <w:tcW w:w="407" w:type="pct"/>
            <w:tcBorders>
              <w:top w:val="nil"/>
              <w:left w:val="nil"/>
              <w:bottom w:val="single" w:sz="4" w:space="0" w:color="auto"/>
              <w:right w:val="single" w:sz="4" w:space="0" w:color="auto"/>
            </w:tcBorders>
            <w:shd w:val="clear" w:color="auto" w:fill="auto"/>
            <w:noWrap/>
            <w:vAlign w:val="bottom"/>
            <w:hideMark/>
          </w:tcPr>
          <w:p w14:paraId="66440351"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25</w:t>
            </w:r>
          </w:p>
        </w:tc>
        <w:tc>
          <w:tcPr>
            <w:tcW w:w="407" w:type="pct"/>
            <w:tcBorders>
              <w:top w:val="nil"/>
              <w:left w:val="nil"/>
              <w:bottom w:val="single" w:sz="4" w:space="0" w:color="auto"/>
              <w:right w:val="single" w:sz="4" w:space="0" w:color="auto"/>
            </w:tcBorders>
            <w:shd w:val="clear" w:color="auto" w:fill="auto"/>
            <w:noWrap/>
            <w:vAlign w:val="bottom"/>
            <w:hideMark/>
          </w:tcPr>
          <w:p w14:paraId="5A401AB5"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30.8</w:t>
            </w:r>
          </w:p>
        </w:tc>
        <w:tc>
          <w:tcPr>
            <w:tcW w:w="475" w:type="pct"/>
            <w:tcBorders>
              <w:top w:val="nil"/>
              <w:left w:val="nil"/>
              <w:bottom w:val="single" w:sz="4" w:space="0" w:color="auto"/>
              <w:right w:val="single" w:sz="4" w:space="0" w:color="auto"/>
            </w:tcBorders>
            <w:shd w:val="clear" w:color="auto" w:fill="auto"/>
            <w:noWrap/>
            <w:vAlign w:val="bottom"/>
            <w:hideMark/>
          </w:tcPr>
          <w:p w14:paraId="684D7B40"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$59,034</w:t>
            </w:r>
          </w:p>
        </w:tc>
        <w:tc>
          <w:tcPr>
            <w:tcW w:w="476" w:type="pct"/>
            <w:tcBorders>
              <w:top w:val="nil"/>
              <w:left w:val="nil"/>
              <w:bottom w:val="single" w:sz="4" w:space="0" w:color="auto"/>
              <w:right w:val="single" w:sz="4" w:space="0" w:color="auto"/>
            </w:tcBorders>
            <w:shd w:val="clear" w:color="auto" w:fill="auto"/>
            <w:noWrap/>
            <w:vAlign w:val="bottom"/>
            <w:hideMark/>
          </w:tcPr>
          <w:p w14:paraId="7F7E3CD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$60,633</w:t>
            </w:r>
          </w:p>
        </w:tc>
        <w:tc>
          <w:tcPr>
            <w:tcW w:w="539" w:type="pct"/>
            <w:tcBorders>
              <w:top w:val="nil"/>
              <w:left w:val="nil"/>
              <w:bottom w:val="single" w:sz="4" w:space="0" w:color="auto"/>
              <w:right w:val="single" w:sz="8" w:space="0" w:color="auto"/>
            </w:tcBorders>
            <w:shd w:val="clear" w:color="auto" w:fill="auto"/>
            <w:noWrap/>
            <w:vAlign w:val="bottom"/>
            <w:hideMark/>
          </w:tcPr>
          <w:p w14:paraId="28F1B25E"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$1.9</w:t>
            </w:r>
          </w:p>
        </w:tc>
      </w:tr>
      <w:tr w:rsidR="00A04DF5" w:rsidRPr="00414A6D" w14:paraId="75254E74"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5628E1A7"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I31A</w:t>
            </w:r>
          </w:p>
        </w:tc>
        <w:tc>
          <w:tcPr>
            <w:tcW w:w="1386" w:type="pct"/>
            <w:tcBorders>
              <w:top w:val="nil"/>
              <w:left w:val="nil"/>
              <w:bottom w:val="single" w:sz="4" w:space="0" w:color="auto"/>
              <w:right w:val="single" w:sz="4" w:space="0" w:color="auto"/>
            </w:tcBorders>
            <w:shd w:val="clear" w:color="auto" w:fill="auto"/>
            <w:vAlign w:val="bottom"/>
            <w:hideMark/>
          </w:tcPr>
          <w:p w14:paraId="7965A3F3"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Revision of Hip Replacement for Infection/Inflammation of Joint Prosthesis or with Catastrophic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hideMark/>
          </w:tcPr>
          <w:p w14:paraId="4B4F8AC7"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19</w:t>
            </w:r>
          </w:p>
        </w:tc>
        <w:tc>
          <w:tcPr>
            <w:tcW w:w="407" w:type="pct"/>
            <w:tcBorders>
              <w:top w:val="nil"/>
              <w:left w:val="nil"/>
              <w:bottom w:val="single" w:sz="4" w:space="0" w:color="auto"/>
              <w:right w:val="single" w:sz="4" w:space="0" w:color="auto"/>
            </w:tcBorders>
            <w:shd w:val="clear" w:color="auto" w:fill="auto"/>
            <w:noWrap/>
            <w:vAlign w:val="bottom"/>
            <w:hideMark/>
          </w:tcPr>
          <w:p w14:paraId="458BC48B"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14</w:t>
            </w:r>
          </w:p>
        </w:tc>
        <w:tc>
          <w:tcPr>
            <w:tcW w:w="407" w:type="pct"/>
            <w:tcBorders>
              <w:top w:val="nil"/>
              <w:left w:val="nil"/>
              <w:bottom w:val="single" w:sz="4" w:space="0" w:color="auto"/>
              <w:right w:val="single" w:sz="4" w:space="0" w:color="auto"/>
            </w:tcBorders>
            <w:shd w:val="clear" w:color="auto" w:fill="auto"/>
            <w:noWrap/>
            <w:vAlign w:val="bottom"/>
            <w:hideMark/>
          </w:tcPr>
          <w:p w14:paraId="1DFFD094"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16.1</w:t>
            </w:r>
          </w:p>
        </w:tc>
        <w:tc>
          <w:tcPr>
            <w:tcW w:w="475" w:type="pct"/>
            <w:tcBorders>
              <w:top w:val="nil"/>
              <w:left w:val="nil"/>
              <w:bottom w:val="single" w:sz="4" w:space="0" w:color="auto"/>
              <w:right w:val="single" w:sz="4" w:space="0" w:color="auto"/>
            </w:tcBorders>
            <w:shd w:val="clear" w:color="auto" w:fill="auto"/>
            <w:noWrap/>
            <w:vAlign w:val="bottom"/>
            <w:hideMark/>
          </w:tcPr>
          <w:p w14:paraId="79F18D90"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$39,639</w:t>
            </w:r>
          </w:p>
        </w:tc>
        <w:tc>
          <w:tcPr>
            <w:tcW w:w="476" w:type="pct"/>
            <w:tcBorders>
              <w:top w:val="nil"/>
              <w:left w:val="nil"/>
              <w:bottom w:val="single" w:sz="4" w:space="0" w:color="auto"/>
              <w:right w:val="single" w:sz="4" w:space="0" w:color="auto"/>
            </w:tcBorders>
            <w:shd w:val="clear" w:color="auto" w:fill="auto"/>
            <w:noWrap/>
            <w:vAlign w:val="bottom"/>
            <w:hideMark/>
          </w:tcPr>
          <w:p w14:paraId="42D0B84F"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$42,227</w:t>
            </w:r>
          </w:p>
        </w:tc>
        <w:tc>
          <w:tcPr>
            <w:tcW w:w="539" w:type="pct"/>
            <w:tcBorders>
              <w:top w:val="nil"/>
              <w:left w:val="nil"/>
              <w:bottom w:val="single" w:sz="4" w:space="0" w:color="auto"/>
              <w:right w:val="single" w:sz="8" w:space="0" w:color="auto"/>
            </w:tcBorders>
            <w:shd w:val="clear" w:color="auto" w:fill="auto"/>
            <w:noWrap/>
            <w:vAlign w:val="bottom"/>
            <w:hideMark/>
          </w:tcPr>
          <w:p w14:paraId="5C3B9739"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$0.8</w:t>
            </w:r>
          </w:p>
        </w:tc>
      </w:tr>
      <w:tr w:rsidR="00A04DF5" w:rsidRPr="00414A6D" w14:paraId="39F91B91"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333FB5CC"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A06B</w:t>
            </w:r>
          </w:p>
        </w:tc>
        <w:tc>
          <w:tcPr>
            <w:tcW w:w="1386" w:type="pct"/>
            <w:tcBorders>
              <w:top w:val="nil"/>
              <w:left w:val="nil"/>
              <w:bottom w:val="single" w:sz="4" w:space="0" w:color="auto"/>
              <w:right w:val="single" w:sz="4" w:space="0" w:color="auto"/>
            </w:tcBorders>
            <w:shd w:val="clear" w:color="auto" w:fill="auto"/>
            <w:vAlign w:val="bottom"/>
            <w:hideMark/>
          </w:tcPr>
          <w:p w14:paraId="2E2E1E1D"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Ventilation &gt;=96hrs and Operating Room Procedures (without Tracheostomy or without Catastrophic Complications and/or Comorbidities</w:t>
            </w:r>
            <w:r w:rsidRPr="00414A6D" w:rsidDel="002F0B59">
              <w:rPr>
                <w:rFonts w:ascii="Arial" w:hAnsi="Arial" w:cs="Arial"/>
                <w:bCs/>
                <w:color w:val="000000"/>
                <w:sz w:val="16"/>
                <w:szCs w:val="16"/>
              </w:rPr>
              <w:t xml:space="preserve"> </w:t>
            </w:r>
            <w:r w:rsidRPr="00414A6D">
              <w:rPr>
                <w:rFonts w:ascii="Arial" w:hAnsi="Arial" w:cs="Arial"/>
                <w:bCs/>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bottom"/>
            <w:hideMark/>
          </w:tcPr>
          <w:p w14:paraId="3A46118E"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18</w:t>
            </w:r>
          </w:p>
        </w:tc>
        <w:tc>
          <w:tcPr>
            <w:tcW w:w="407" w:type="pct"/>
            <w:tcBorders>
              <w:top w:val="nil"/>
              <w:left w:val="nil"/>
              <w:bottom w:val="single" w:sz="4" w:space="0" w:color="auto"/>
              <w:right w:val="single" w:sz="4" w:space="0" w:color="auto"/>
            </w:tcBorders>
            <w:shd w:val="clear" w:color="auto" w:fill="auto"/>
            <w:noWrap/>
            <w:vAlign w:val="bottom"/>
            <w:hideMark/>
          </w:tcPr>
          <w:p w14:paraId="2D1C5851"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20.5</w:t>
            </w:r>
          </w:p>
        </w:tc>
        <w:tc>
          <w:tcPr>
            <w:tcW w:w="407" w:type="pct"/>
            <w:tcBorders>
              <w:top w:val="nil"/>
              <w:left w:val="nil"/>
              <w:bottom w:val="single" w:sz="4" w:space="0" w:color="auto"/>
              <w:right w:val="single" w:sz="4" w:space="0" w:color="auto"/>
            </w:tcBorders>
            <w:shd w:val="clear" w:color="auto" w:fill="auto"/>
            <w:noWrap/>
            <w:vAlign w:val="bottom"/>
            <w:hideMark/>
          </w:tcPr>
          <w:p w14:paraId="3374EC33"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24.4</w:t>
            </w:r>
          </w:p>
        </w:tc>
        <w:tc>
          <w:tcPr>
            <w:tcW w:w="475" w:type="pct"/>
            <w:tcBorders>
              <w:top w:val="nil"/>
              <w:left w:val="nil"/>
              <w:bottom w:val="single" w:sz="4" w:space="0" w:color="auto"/>
              <w:right w:val="single" w:sz="4" w:space="0" w:color="auto"/>
            </w:tcBorders>
            <w:shd w:val="clear" w:color="auto" w:fill="auto"/>
            <w:noWrap/>
            <w:vAlign w:val="bottom"/>
            <w:hideMark/>
          </w:tcPr>
          <w:p w14:paraId="27963306"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$79,213</w:t>
            </w:r>
          </w:p>
        </w:tc>
        <w:tc>
          <w:tcPr>
            <w:tcW w:w="476" w:type="pct"/>
            <w:tcBorders>
              <w:top w:val="nil"/>
              <w:left w:val="nil"/>
              <w:bottom w:val="single" w:sz="4" w:space="0" w:color="auto"/>
              <w:right w:val="single" w:sz="4" w:space="0" w:color="auto"/>
            </w:tcBorders>
            <w:shd w:val="clear" w:color="auto" w:fill="auto"/>
            <w:noWrap/>
            <w:vAlign w:val="bottom"/>
            <w:hideMark/>
          </w:tcPr>
          <w:p w14:paraId="4830467E"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$83,457</w:t>
            </w:r>
          </w:p>
        </w:tc>
        <w:tc>
          <w:tcPr>
            <w:tcW w:w="539" w:type="pct"/>
            <w:tcBorders>
              <w:top w:val="nil"/>
              <w:left w:val="nil"/>
              <w:bottom w:val="single" w:sz="4" w:space="0" w:color="auto"/>
              <w:right w:val="single" w:sz="8" w:space="0" w:color="auto"/>
            </w:tcBorders>
            <w:shd w:val="clear" w:color="auto" w:fill="auto"/>
            <w:noWrap/>
            <w:vAlign w:val="bottom"/>
            <w:hideMark/>
          </w:tcPr>
          <w:p w14:paraId="7F0D3D64"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$1.5</w:t>
            </w:r>
          </w:p>
        </w:tc>
      </w:tr>
      <w:tr w:rsidR="00A04DF5" w:rsidRPr="00414A6D" w14:paraId="7701B28A"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24A3556E"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I02A</w:t>
            </w:r>
          </w:p>
        </w:tc>
        <w:tc>
          <w:tcPr>
            <w:tcW w:w="1386" w:type="pct"/>
            <w:tcBorders>
              <w:top w:val="nil"/>
              <w:left w:val="nil"/>
              <w:bottom w:val="single" w:sz="4" w:space="0" w:color="auto"/>
              <w:right w:val="single" w:sz="4" w:space="0" w:color="auto"/>
            </w:tcBorders>
            <w:shd w:val="clear" w:color="auto" w:fill="auto"/>
            <w:vAlign w:val="bottom"/>
            <w:hideMark/>
          </w:tcPr>
          <w:p w14:paraId="291128F1"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Microvascular Tissue Transfers or (Skin Grafts with Catastrophic or Severe Complications and/or Comorbidities), Excluding Hand</w:t>
            </w:r>
          </w:p>
        </w:tc>
        <w:tc>
          <w:tcPr>
            <w:tcW w:w="339" w:type="pct"/>
            <w:tcBorders>
              <w:top w:val="nil"/>
              <w:left w:val="nil"/>
              <w:bottom w:val="single" w:sz="4" w:space="0" w:color="auto"/>
              <w:right w:val="single" w:sz="4" w:space="0" w:color="auto"/>
            </w:tcBorders>
            <w:shd w:val="clear" w:color="auto" w:fill="auto"/>
            <w:noWrap/>
            <w:vAlign w:val="bottom"/>
            <w:hideMark/>
          </w:tcPr>
          <w:p w14:paraId="125C6013"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15</w:t>
            </w:r>
          </w:p>
        </w:tc>
        <w:tc>
          <w:tcPr>
            <w:tcW w:w="407" w:type="pct"/>
            <w:tcBorders>
              <w:top w:val="nil"/>
              <w:left w:val="nil"/>
              <w:bottom w:val="single" w:sz="4" w:space="0" w:color="auto"/>
              <w:right w:val="single" w:sz="4" w:space="0" w:color="auto"/>
            </w:tcBorders>
            <w:shd w:val="clear" w:color="auto" w:fill="auto"/>
            <w:noWrap/>
            <w:vAlign w:val="bottom"/>
            <w:hideMark/>
          </w:tcPr>
          <w:p w14:paraId="7CDE670E"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21</w:t>
            </w:r>
          </w:p>
        </w:tc>
        <w:tc>
          <w:tcPr>
            <w:tcW w:w="407" w:type="pct"/>
            <w:tcBorders>
              <w:top w:val="nil"/>
              <w:left w:val="nil"/>
              <w:bottom w:val="single" w:sz="4" w:space="0" w:color="auto"/>
              <w:right w:val="single" w:sz="4" w:space="0" w:color="auto"/>
            </w:tcBorders>
            <w:shd w:val="clear" w:color="auto" w:fill="auto"/>
            <w:noWrap/>
            <w:vAlign w:val="bottom"/>
            <w:hideMark/>
          </w:tcPr>
          <w:p w14:paraId="7B248017"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28.1</w:t>
            </w:r>
          </w:p>
        </w:tc>
        <w:tc>
          <w:tcPr>
            <w:tcW w:w="475" w:type="pct"/>
            <w:tcBorders>
              <w:top w:val="nil"/>
              <w:left w:val="nil"/>
              <w:bottom w:val="single" w:sz="4" w:space="0" w:color="auto"/>
              <w:right w:val="single" w:sz="4" w:space="0" w:color="auto"/>
            </w:tcBorders>
            <w:shd w:val="clear" w:color="auto" w:fill="auto"/>
            <w:noWrap/>
            <w:vAlign w:val="bottom"/>
            <w:hideMark/>
          </w:tcPr>
          <w:p w14:paraId="4252E3DF"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$33,672</w:t>
            </w:r>
          </w:p>
        </w:tc>
        <w:tc>
          <w:tcPr>
            <w:tcW w:w="476" w:type="pct"/>
            <w:tcBorders>
              <w:top w:val="nil"/>
              <w:left w:val="nil"/>
              <w:bottom w:val="single" w:sz="4" w:space="0" w:color="auto"/>
              <w:right w:val="single" w:sz="4" w:space="0" w:color="auto"/>
            </w:tcBorders>
            <w:shd w:val="clear" w:color="auto" w:fill="auto"/>
            <w:noWrap/>
            <w:vAlign w:val="bottom"/>
            <w:hideMark/>
          </w:tcPr>
          <w:p w14:paraId="00FCC30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$42,472</w:t>
            </w:r>
          </w:p>
        </w:tc>
        <w:tc>
          <w:tcPr>
            <w:tcW w:w="539" w:type="pct"/>
            <w:tcBorders>
              <w:top w:val="nil"/>
              <w:left w:val="nil"/>
              <w:bottom w:val="single" w:sz="4" w:space="0" w:color="auto"/>
              <w:right w:val="single" w:sz="8" w:space="0" w:color="auto"/>
            </w:tcBorders>
            <w:shd w:val="clear" w:color="auto" w:fill="auto"/>
            <w:noWrap/>
            <w:vAlign w:val="bottom"/>
            <w:hideMark/>
          </w:tcPr>
          <w:p w14:paraId="7BD35F73"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$0.6</w:t>
            </w:r>
          </w:p>
        </w:tc>
      </w:tr>
      <w:tr w:rsidR="00A04DF5" w:rsidRPr="00414A6D" w14:paraId="416C584D"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172B55F1"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I31B</w:t>
            </w:r>
          </w:p>
        </w:tc>
        <w:tc>
          <w:tcPr>
            <w:tcW w:w="1386" w:type="pct"/>
            <w:tcBorders>
              <w:top w:val="nil"/>
              <w:left w:val="nil"/>
              <w:bottom w:val="single" w:sz="4" w:space="0" w:color="auto"/>
              <w:right w:val="single" w:sz="4" w:space="0" w:color="auto"/>
            </w:tcBorders>
            <w:shd w:val="clear" w:color="auto" w:fill="auto"/>
            <w:vAlign w:val="bottom"/>
            <w:hideMark/>
          </w:tcPr>
          <w:p w14:paraId="748CB120"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Revision of Hip Replacement not for Infection/Inflammation of Joint Prosthesis  without Catastrophic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hideMark/>
          </w:tcPr>
          <w:p w14:paraId="547409C4"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8</w:t>
            </w:r>
          </w:p>
        </w:tc>
        <w:tc>
          <w:tcPr>
            <w:tcW w:w="407" w:type="pct"/>
            <w:tcBorders>
              <w:top w:val="nil"/>
              <w:left w:val="nil"/>
              <w:bottom w:val="single" w:sz="4" w:space="0" w:color="auto"/>
              <w:right w:val="single" w:sz="4" w:space="0" w:color="auto"/>
            </w:tcBorders>
            <w:shd w:val="clear" w:color="auto" w:fill="auto"/>
            <w:noWrap/>
            <w:vAlign w:val="bottom"/>
            <w:hideMark/>
          </w:tcPr>
          <w:p w14:paraId="02A788D6"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9.5</w:t>
            </w:r>
          </w:p>
        </w:tc>
        <w:tc>
          <w:tcPr>
            <w:tcW w:w="407" w:type="pct"/>
            <w:tcBorders>
              <w:top w:val="nil"/>
              <w:left w:val="nil"/>
              <w:bottom w:val="single" w:sz="4" w:space="0" w:color="auto"/>
              <w:right w:val="single" w:sz="4" w:space="0" w:color="auto"/>
            </w:tcBorders>
            <w:shd w:val="clear" w:color="auto" w:fill="auto"/>
            <w:noWrap/>
            <w:vAlign w:val="bottom"/>
            <w:hideMark/>
          </w:tcPr>
          <w:p w14:paraId="70392B0B"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11.3</w:t>
            </w:r>
          </w:p>
        </w:tc>
        <w:tc>
          <w:tcPr>
            <w:tcW w:w="475" w:type="pct"/>
            <w:tcBorders>
              <w:top w:val="nil"/>
              <w:left w:val="nil"/>
              <w:bottom w:val="single" w:sz="4" w:space="0" w:color="auto"/>
              <w:right w:val="single" w:sz="4" w:space="0" w:color="auto"/>
            </w:tcBorders>
            <w:shd w:val="clear" w:color="auto" w:fill="auto"/>
            <w:noWrap/>
            <w:vAlign w:val="bottom"/>
            <w:hideMark/>
          </w:tcPr>
          <w:p w14:paraId="5C3532C4"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$28,930</w:t>
            </w:r>
          </w:p>
        </w:tc>
        <w:tc>
          <w:tcPr>
            <w:tcW w:w="476" w:type="pct"/>
            <w:tcBorders>
              <w:top w:val="nil"/>
              <w:left w:val="nil"/>
              <w:bottom w:val="single" w:sz="4" w:space="0" w:color="auto"/>
              <w:right w:val="single" w:sz="4" w:space="0" w:color="auto"/>
            </w:tcBorders>
            <w:shd w:val="clear" w:color="auto" w:fill="auto"/>
            <w:noWrap/>
            <w:vAlign w:val="bottom"/>
            <w:hideMark/>
          </w:tcPr>
          <w:p w14:paraId="7FE97E03"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$30,344</w:t>
            </w:r>
          </w:p>
        </w:tc>
        <w:tc>
          <w:tcPr>
            <w:tcW w:w="539" w:type="pct"/>
            <w:tcBorders>
              <w:top w:val="nil"/>
              <w:left w:val="nil"/>
              <w:bottom w:val="single" w:sz="4" w:space="0" w:color="auto"/>
              <w:right w:val="single" w:sz="8" w:space="0" w:color="auto"/>
            </w:tcBorders>
            <w:shd w:val="clear" w:color="auto" w:fill="auto"/>
            <w:noWrap/>
            <w:vAlign w:val="bottom"/>
            <w:hideMark/>
          </w:tcPr>
          <w:p w14:paraId="3B94401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$0.2</w:t>
            </w:r>
          </w:p>
        </w:tc>
      </w:tr>
      <w:tr w:rsidR="00A04DF5" w:rsidRPr="00414A6D" w14:paraId="5265F843"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74844B8D"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B82C</w:t>
            </w:r>
          </w:p>
        </w:tc>
        <w:tc>
          <w:tcPr>
            <w:tcW w:w="1386" w:type="pct"/>
            <w:tcBorders>
              <w:top w:val="nil"/>
              <w:left w:val="nil"/>
              <w:bottom w:val="single" w:sz="4" w:space="0" w:color="auto"/>
              <w:right w:val="single" w:sz="4" w:space="0" w:color="auto"/>
            </w:tcBorders>
            <w:shd w:val="clear" w:color="auto" w:fill="auto"/>
            <w:vAlign w:val="bottom"/>
            <w:hideMark/>
          </w:tcPr>
          <w:p w14:paraId="1253484D"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Chronic and Unspecified Paraplegia/Quadriplegia with or without Operating Room Procedures without Catastrophic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hideMark/>
          </w:tcPr>
          <w:p w14:paraId="200970FD"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5</w:t>
            </w:r>
          </w:p>
        </w:tc>
        <w:tc>
          <w:tcPr>
            <w:tcW w:w="407" w:type="pct"/>
            <w:tcBorders>
              <w:top w:val="nil"/>
              <w:left w:val="nil"/>
              <w:bottom w:val="single" w:sz="4" w:space="0" w:color="auto"/>
              <w:right w:val="single" w:sz="4" w:space="0" w:color="auto"/>
            </w:tcBorders>
            <w:shd w:val="clear" w:color="auto" w:fill="auto"/>
            <w:noWrap/>
            <w:vAlign w:val="bottom"/>
            <w:hideMark/>
          </w:tcPr>
          <w:p w14:paraId="25406A89"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9</w:t>
            </w:r>
          </w:p>
        </w:tc>
        <w:tc>
          <w:tcPr>
            <w:tcW w:w="407" w:type="pct"/>
            <w:tcBorders>
              <w:top w:val="nil"/>
              <w:left w:val="nil"/>
              <w:bottom w:val="single" w:sz="4" w:space="0" w:color="auto"/>
              <w:right w:val="single" w:sz="4" w:space="0" w:color="auto"/>
            </w:tcBorders>
            <w:shd w:val="clear" w:color="auto" w:fill="auto"/>
            <w:noWrap/>
            <w:vAlign w:val="bottom"/>
            <w:hideMark/>
          </w:tcPr>
          <w:p w14:paraId="3343CE54"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9.6</w:t>
            </w:r>
          </w:p>
        </w:tc>
        <w:tc>
          <w:tcPr>
            <w:tcW w:w="475" w:type="pct"/>
            <w:tcBorders>
              <w:top w:val="nil"/>
              <w:left w:val="nil"/>
              <w:bottom w:val="single" w:sz="4" w:space="0" w:color="auto"/>
              <w:right w:val="single" w:sz="4" w:space="0" w:color="auto"/>
            </w:tcBorders>
            <w:shd w:val="clear" w:color="auto" w:fill="auto"/>
            <w:noWrap/>
            <w:vAlign w:val="bottom"/>
            <w:hideMark/>
          </w:tcPr>
          <w:p w14:paraId="4B4F4E12"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$25,093</w:t>
            </w:r>
          </w:p>
        </w:tc>
        <w:tc>
          <w:tcPr>
            <w:tcW w:w="476" w:type="pct"/>
            <w:tcBorders>
              <w:top w:val="nil"/>
              <w:left w:val="nil"/>
              <w:bottom w:val="single" w:sz="4" w:space="0" w:color="auto"/>
              <w:right w:val="single" w:sz="4" w:space="0" w:color="auto"/>
            </w:tcBorders>
            <w:shd w:val="clear" w:color="auto" w:fill="auto"/>
            <w:noWrap/>
            <w:vAlign w:val="bottom"/>
            <w:hideMark/>
          </w:tcPr>
          <w:p w14:paraId="3C72F569"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$22,822</w:t>
            </w:r>
          </w:p>
        </w:tc>
        <w:tc>
          <w:tcPr>
            <w:tcW w:w="539" w:type="pct"/>
            <w:tcBorders>
              <w:top w:val="nil"/>
              <w:left w:val="nil"/>
              <w:bottom w:val="single" w:sz="4" w:space="0" w:color="auto"/>
              <w:right w:val="single" w:sz="8" w:space="0" w:color="auto"/>
            </w:tcBorders>
            <w:shd w:val="clear" w:color="auto" w:fill="auto"/>
            <w:noWrap/>
            <w:vAlign w:val="bottom"/>
            <w:hideMark/>
          </w:tcPr>
          <w:p w14:paraId="213D9410"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$0.1</w:t>
            </w:r>
          </w:p>
        </w:tc>
      </w:tr>
      <w:tr w:rsidR="00A04DF5" w:rsidRPr="00414A6D" w14:paraId="3AE3F59F"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2CF20300"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B82B</w:t>
            </w:r>
          </w:p>
        </w:tc>
        <w:tc>
          <w:tcPr>
            <w:tcW w:w="1386" w:type="pct"/>
            <w:tcBorders>
              <w:top w:val="nil"/>
              <w:left w:val="nil"/>
              <w:bottom w:val="single" w:sz="4" w:space="0" w:color="auto"/>
              <w:right w:val="single" w:sz="4" w:space="0" w:color="auto"/>
            </w:tcBorders>
            <w:shd w:val="clear" w:color="auto" w:fill="auto"/>
            <w:vAlign w:val="bottom"/>
            <w:hideMark/>
          </w:tcPr>
          <w:p w14:paraId="5B69D69D" w14:textId="77777777" w:rsidR="00A04DF5" w:rsidRPr="00414A6D" w:rsidRDefault="00A04DF5" w:rsidP="004309B7">
            <w:pPr>
              <w:rPr>
                <w:rFonts w:ascii="Arial" w:hAnsi="Arial" w:cs="Arial"/>
                <w:bCs/>
                <w:color w:val="000000"/>
                <w:sz w:val="16"/>
                <w:szCs w:val="16"/>
              </w:rPr>
            </w:pPr>
            <w:r w:rsidRPr="00414A6D">
              <w:rPr>
                <w:rFonts w:ascii="Arial" w:hAnsi="Arial" w:cs="Arial"/>
                <w:bCs/>
                <w:color w:val="000000"/>
                <w:sz w:val="16"/>
                <w:szCs w:val="16"/>
              </w:rPr>
              <w:t>Chronic and Unspecified Paraplegia/Quadriplegia with or without Operating Room Procedures with Catastrophic Complications and/or Comorbidities</w:t>
            </w:r>
          </w:p>
        </w:tc>
        <w:tc>
          <w:tcPr>
            <w:tcW w:w="339" w:type="pct"/>
            <w:tcBorders>
              <w:top w:val="nil"/>
              <w:left w:val="nil"/>
              <w:bottom w:val="single" w:sz="4" w:space="0" w:color="auto"/>
              <w:right w:val="single" w:sz="4" w:space="0" w:color="auto"/>
            </w:tcBorders>
            <w:shd w:val="clear" w:color="auto" w:fill="auto"/>
            <w:noWrap/>
            <w:vAlign w:val="bottom"/>
            <w:hideMark/>
          </w:tcPr>
          <w:p w14:paraId="065B270C"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4</w:t>
            </w:r>
          </w:p>
        </w:tc>
        <w:tc>
          <w:tcPr>
            <w:tcW w:w="407" w:type="pct"/>
            <w:tcBorders>
              <w:top w:val="nil"/>
              <w:left w:val="nil"/>
              <w:bottom w:val="single" w:sz="4" w:space="0" w:color="auto"/>
              <w:right w:val="single" w:sz="4" w:space="0" w:color="auto"/>
            </w:tcBorders>
            <w:shd w:val="clear" w:color="auto" w:fill="auto"/>
            <w:noWrap/>
            <w:vAlign w:val="bottom"/>
            <w:hideMark/>
          </w:tcPr>
          <w:p w14:paraId="71F59AF3"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17</w:t>
            </w:r>
          </w:p>
        </w:tc>
        <w:tc>
          <w:tcPr>
            <w:tcW w:w="407" w:type="pct"/>
            <w:tcBorders>
              <w:top w:val="nil"/>
              <w:left w:val="nil"/>
              <w:bottom w:val="single" w:sz="4" w:space="0" w:color="auto"/>
              <w:right w:val="single" w:sz="4" w:space="0" w:color="auto"/>
            </w:tcBorders>
            <w:shd w:val="clear" w:color="auto" w:fill="auto"/>
            <w:noWrap/>
            <w:vAlign w:val="bottom"/>
            <w:hideMark/>
          </w:tcPr>
          <w:p w14:paraId="764640D4"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15.8</w:t>
            </w:r>
          </w:p>
        </w:tc>
        <w:tc>
          <w:tcPr>
            <w:tcW w:w="475" w:type="pct"/>
            <w:tcBorders>
              <w:top w:val="nil"/>
              <w:left w:val="nil"/>
              <w:bottom w:val="single" w:sz="4" w:space="0" w:color="auto"/>
              <w:right w:val="single" w:sz="4" w:space="0" w:color="auto"/>
            </w:tcBorders>
            <w:shd w:val="clear" w:color="auto" w:fill="auto"/>
            <w:noWrap/>
            <w:vAlign w:val="bottom"/>
            <w:hideMark/>
          </w:tcPr>
          <w:p w14:paraId="0031FC3B"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$26,305</w:t>
            </w:r>
          </w:p>
        </w:tc>
        <w:tc>
          <w:tcPr>
            <w:tcW w:w="476" w:type="pct"/>
            <w:tcBorders>
              <w:top w:val="nil"/>
              <w:left w:val="nil"/>
              <w:bottom w:val="single" w:sz="4" w:space="0" w:color="auto"/>
              <w:right w:val="single" w:sz="4" w:space="0" w:color="auto"/>
            </w:tcBorders>
            <w:shd w:val="clear" w:color="auto" w:fill="auto"/>
            <w:noWrap/>
            <w:vAlign w:val="bottom"/>
            <w:hideMark/>
          </w:tcPr>
          <w:p w14:paraId="18A6169D"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$33,367</w:t>
            </w:r>
          </w:p>
        </w:tc>
        <w:tc>
          <w:tcPr>
            <w:tcW w:w="539" w:type="pct"/>
            <w:tcBorders>
              <w:top w:val="nil"/>
              <w:left w:val="nil"/>
              <w:bottom w:val="single" w:sz="4" w:space="0" w:color="auto"/>
              <w:right w:val="single" w:sz="8" w:space="0" w:color="auto"/>
            </w:tcBorders>
            <w:shd w:val="clear" w:color="auto" w:fill="auto"/>
            <w:noWrap/>
            <w:vAlign w:val="bottom"/>
            <w:hideMark/>
          </w:tcPr>
          <w:p w14:paraId="36BE3AD6" w14:textId="77777777" w:rsidR="00A04DF5" w:rsidRPr="00414A6D" w:rsidRDefault="00A04DF5" w:rsidP="004309B7">
            <w:pPr>
              <w:jc w:val="right"/>
              <w:rPr>
                <w:rFonts w:ascii="Arial" w:hAnsi="Arial" w:cs="Arial"/>
                <w:color w:val="000000"/>
                <w:sz w:val="18"/>
                <w:szCs w:val="18"/>
              </w:rPr>
            </w:pPr>
            <w:r w:rsidRPr="00414A6D">
              <w:rPr>
                <w:rFonts w:ascii="Arial" w:hAnsi="Arial" w:cs="Arial"/>
                <w:color w:val="000000"/>
                <w:sz w:val="18"/>
                <w:szCs w:val="18"/>
              </w:rPr>
              <w:t>$0.1</w:t>
            </w:r>
          </w:p>
        </w:tc>
      </w:tr>
      <w:tr w:rsidR="009A342E" w:rsidRPr="00414A6D" w14:paraId="14463A5F" w14:textId="77777777" w:rsidTr="00975470">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tcPr>
          <w:p w14:paraId="5652A48F"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I01B</w:t>
            </w:r>
          </w:p>
        </w:tc>
        <w:tc>
          <w:tcPr>
            <w:tcW w:w="1386" w:type="pct"/>
            <w:tcBorders>
              <w:top w:val="nil"/>
              <w:left w:val="nil"/>
              <w:bottom w:val="single" w:sz="4" w:space="0" w:color="auto"/>
              <w:right w:val="single" w:sz="4" w:space="0" w:color="auto"/>
            </w:tcBorders>
            <w:shd w:val="clear" w:color="auto" w:fill="auto"/>
            <w:vAlign w:val="bottom"/>
          </w:tcPr>
          <w:p w14:paraId="3B7FECF3"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Bilateral and Multiple Major Joint Procedures of Lower Limb without Revision without Catastrophic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tcPr>
          <w:p w14:paraId="35B1E871"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w:t>
            </w:r>
          </w:p>
        </w:tc>
        <w:tc>
          <w:tcPr>
            <w:tcW w:w="407" w:type="pct"/>
            <w:tcBorders>
              <w:top w:val="nil"/>
              <w:left w:val="nil"/>
              <w:bottom w:val="single" w:sz="4" w:space="0" w:color="auto"/>
              <w:right w:val="single" w:sz="4" w:space="0" w:color="auto"/>
            </w:tcBorders>
            <w:shd w:val="clear" w:color="auto" w:fill="auto"/>
            <w:noWrap/>
            <w:vAlign w:val="bottom"/>
          </w:tcPr>
          <w:p w14:paraId="052EF971"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8</w:t>
            </w:r>
          </w:p>
        </w:tc>
        <w:tc>
          <w:tcPr>
            <w:tcW w:w="407" w:type="pct"/>
            <w:tcBorders>
              <w:top w:val="nil"/>
              <w:left w:val="nil"/>
              <w:bottom w:val="single" w:sz="4" w:space="0" w:color="auto"/>
              <w:right w:val="single" w:sz="4" w:space="0" w:color="auto"/>
            </w:tcBorders>
            <w:shd w:val="clear" w:color="auto" w:fill="auto"/>
            <w:noWrap/>
            <w:vAlign w:val="bottom"/>
          </w:tcPr>
          <w:p w14:paraId="762414FA"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8.3</w:t>
            </w:r>
          </w:p>
        </w:tc>
        <w:tc>
          <w:tcPr>
            <w:tcW w:w="475" w:type="pct"/>
            <w:tcBorders>
              <w:top w:val="nil"/>
              <w:left w:val="nil"/>
              <w:bottom w:val="single" w:sz="4" w:space="0" w:color="auto"/>
              <w:right w:val="single" w:sz="4" w:space="0" w:color="auto"/>
            </w:tcBorders>
            <w:shd w:val="clear" w:color="auto" w:fill="auto"/>
            <w:noWrap/>
            <w:vAlign w:val="bottom"/>
          </w:tcPr>
          <w:p w14:paraId="6145AC1C"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$29,996</w:t>
            </w:r>
          </w:p>
        </w:tc>
        <w:tc>
          <w:tcPr>
            <w:tcW w:w="476" w:type="pct"/>
            <w:tcBorders>
              <w:top w:val="nil"/>
              <w:left w:val="nil"/>
              <w:bottom w:val="single" w:sz="4" w:space="0" w:color="auto"/>
              <w:right w:val="single" w:sz="4" w:space="0" w:color="auto"/>
            </w:tcBorders>
            <w:shd w:val="clear" w:color="auto" w:fill="auto"/>
            <w:noWrap/>
            <w:vAlign w:val="bottom"/>
          </w:tcPr>
          <w:p w14:paraId="48E8A096"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$30,386</w:t>
            </w:r>
          </w:p>
        </w:tc>
        <w:tc>
          <w:tcPr>
            <w:tcW w:w="539" w:type="pct"/>
            <w:tcBorders>
              <w:top w:val="nil"/>
              <w:left w:val="nil"/>
              <w:bottom w:val="single" w:sz="4" w:space="0" w:color="auto"/>
              <w:right w:val="single" w:sz="8" w:space="0" w:color="auto"/>
            </w:tcBorders>
            <w:shd w:val="clear" w:color="auto" w:fill="auto"/>
            <w:noWrap/>
            <w:vAlign w:val="bottom"/>
          </w:tcPr>
          <w:p w14:paraId="1F658258"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$0.1</w:t>
            </w:r>
          </w:p>
        </w:tc>
      </w:tr>
      <w:tr w:rsidR="009A342E" w:rsidRPr="00414A6D" w14:paraId="1A0BDB12"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tcPr>
          <w:p w14:paraId="6539FE2A"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I02B</w:t>
            </w:r>
          </w:p>
        </w:tc>
        <w:tc>
          <w:tcPr>
            <w:tcW w:w="1386" w:type="pct"/>
            <w:tcBorders>
              <w:top w:val="nil"/>
              <w:left w:val="nil"/>
              <w:bottom w:val="single" w:sz="4" w:space="0" w:color="auto"/>
              <w:right w:val="single" w:sz="4" w:space="0" w:color="auto"/>
            </w:tcBorders>
            <w:shd w:val="clear" w:color="auto" w:fill="auto"/>
            <w:vAlign w:val="bottom"/>
          </w:tcPr>
          <w:p w14:paraId="7CD87F2D"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Skin Grafts  without Catastrophic or Severe Complications and/or Comorbidities</w:t>
            </w:r>
            <w:r w:rsidRPr="00414A6D" w:rsidDel="002F0B59">
              <w:rPr>
                <w:rFonts w:ascii="Arial" w:hAnsi="Arial" w:cs="Arial"/>
                <w:bCs/>
                <w:color w:val="000000"/>
                <w:sz w:val="16"/>
                <w:szCs w:val="16"/>
              </w:rPr>
              <w:t xml:space="preserve"> </w:t>
            </w:r>
            <w:r w:rsidRPr="00414A6D">
              <w:rPr>
                <w:rFonts w:ascii="Arial" w:hAnsi="Arial" w:cs="Arial"/>
                <w:bCs/>
                <w:color w:val="000000"/>
                <w:sz w:val="16"/>
                <w:szCs w:val="16"/>
              </w:rPr>
              <w:t>, Excluding Hand</w:t>
            </w:r>
          </w:p>
        </w:tc>
        <w:tc>
          <w:tcPr>
            <w:tcW w:w="339" w:type="pct"/>
            <w:tcBorders>
              <w:top w:val="nil"/>
              <w:left w:val="nil"/>
              <w:bottom w:val="single" w:sz="4" w:space="0" w:color="auto"/>
              <w:right w:val="single" w:sz="4" w:space="0" w:color="auto"/>
            </w:tcBorders>
            <w:shd w:val="clear" w:color="auto" w:fill="auto"/>
            <w:noWrap/>
            <w:vAlign w:val="bottom"/>
          </w:tcPr>
          <w:p w14:paraId="1893CD19"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w:t>
            </w:r>
          </w:p>
        </w:tc>
        <w:tc>
          <w:tcPr>
            <w:tcW w:w="407" w:type="pct"/>
            <w:tcBorders>
              <w:top w:val="nil"/>
              <w:left w:val="nil"/>
              <w:bottom w:val="single" w:sz="4" w:space="0" w:color="auto"/>
              <w:right w:val="single" w:sz="4" w:space="0" w:color="auto"/>
            </w:tcBorders>
            <w:shd w:val="clear" w:color="auto" w:fill="auto"/>
            <w:noWrap/>
            <w:vAlign w:val="bottom"/>
          </w:tcPr>
          <w:p w14:paraId="792FF359"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9</w:t>
            </w:r>
          </w:p>
        </w:tc>
        <w:tc>
          <w:tcPr>
            <w:tcW w:w="407" w:type="pct"/>
            <w:tcBorders>
              <w:top w:val="nil"/>
              <w:left w:val="nil"/>
              <w:bottom w:val="single" w:sz="4" w:space="0" w:color="auto"/>
              <w:right w:val="single" w:sz="4" w:space="0" w:color="auto"/>
            </w:tcBorders>
            <w:shd w:val="clear" w:color="auto" w:fill="auto"/>
            <w:noWrap/>
            <w:vAlign w:val="bottom"/>
          </w:tcPr>
          <w:p w14:paraId="3F97912C"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11.7</w:t>
            </w:r>
          </w:p>
        </w:tc>
        <w:tc>
          <w:tcPr>
            <w:tcW w:w="475" w:type="pct"/>
            <w:tcBorders>
              <w:top w:val="nil"/>
              <w:left w:val="nil"/>
              <w:bottom w:val="single" w:sz="4" w:space="0" w:color="auto"/>
              <w:right w:val="single" w:sz="4" w:space="0" w:color="auto"/>
            </w:tcBorders>
            <w:shd w:val="clear" w:color="auto" w:fill="auto"/>
            <w:noWrap/>
            <w:vAlign w:val="bottom"/>
          </w:tcPr>
          <w:p w14:paraId="34A917EE"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$13,915</w:t>
            </w:r>
          </w:p>
        </w:tc>
        <w:tc>
          <w:tcPr>
            <w:tcW w:w="476" w:type="pct"/>
            <w:tcBorders>
              <w:top w:val="nil"/>
              <w:left w:val="nil"/>
              <w:bottom w:val="single" w:sz="4" w:space="0" w:color="auto"/>
              <w:right w:val="single" w:sz="4" w:space="0" w:color="auto"/>
            </w:tcBorders>
            <w:shd w:val="clear" w:color="auto" w:fill="auto"/>
            <w:noWrap/>
            <w:vAlign w:val="bottom"/>
          </w:tcPr>
          <w:p w14:paraId="5607E239"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$20,142</w:t>
            </w:r>
          </w:p>
        </w:tc>
        <w:tc>
          <w:tcPr>
            <w:tcW w:w="539" w:type="pct"/>
            <w:tcBorders>
              <w:top w:val="nil"/>
              <w:left w:val="nil"/>
              <w:bottom w:val="single" w:sz="4" w:space="0" w:color="auto"/>
              <w:right w:val="single" w:sz="8" w:space="0" w:color="auto"/>
            </w:tcBorders>
            <w:shd w:val="clear" w:color="auto" w:fill="auto"/>
            <w:noWrap/>
            <w:vAlign w:val="bottom"/>
          </w:tcPr>
          <w:p w14:paraId="077E799B"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$0.1</w:t>
            </w:r>
          </w:p>
        </w:tc>
      </w:tr>
      <w:tr w:rsidR="009A342E" w:rsidRPr="00414A6D" w14:paraId="1D8723DB"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tcPr>
          <w:p w14:paraId="53DFF803"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I05A</w:t>
            </w:r>
          </w:p>
        </w:tc>
        <w:tc>
          <w:tcPr>
            <w:tcW w:w="1386" w:type="pct"/>
            <w:tcBorders>
              <w:top w:val="nil"/>
              <w:left w:val="nil"/>
              <w:bottom w:val="single" w:sz="4" w:space="0" w:color="auto"/>
              <w:right w:val="single" w:sz="4" w:space="0" w:color="auto"/>
            </w:tcBorders>
            <w:shd w:val="clear" w:color="auto" w:fill="auto"/>
            <w:vAlign w:val="bottom"/>
          </w:tcPr>
          <w:p w14:paraId="523A66F3"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Other Joint Replacement with Catastrophic or Severe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tcPr>
          <w:p w14:paraId="258C6CA5"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w:t>
            </w:r>
          </w:p>
        </w:tc>
        <w:tc>
          <w:tcPr>
            <w:tcW w:w="407" w:type="pct"/>
            <w:tcBorders>
              <w:top w:val="nil"/>
              <w:left w:val="nil"/>
              <w:bottom w:val="single" w:sz="4" w:space="0" w:color="auto"/>
              <w:right w:val="single" w:sz="4" w:space="0" w:color="auto"/>
            </w:tcBorders>
            <w:shd w:val="clear" w:color="auto" w:fill="auto"/>
            <w:noWrap/>
            <w:vAlign w:val="bottom"/>
          </w:tcPr>
          <w:p w14:paraId="1730ACCB"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21</w:t>
            </w:r>
          </w:p>
        </w:tc>
        <w:tc>
          <w:tcPr>
            <w:tcW w:w="407" w:type="pct"/>
            <w:tcBorders>
              <w:top w:val="nil"/>
              <w:left w:val="nil"/>
              <w:bottom w:val="single" w:sz="4" w:space="0" w:color="auto"/>
              <w:right w:val="single" w:sz="4" w:space="0" w:color="auto"/>
            </w:tcBorders>
            <w:shd w:val="clear" w:color="auto" w:fill="auto"/>
            <w:noWrap/>
            <w:vAlign w:val="bottom"/>
          </w:tcPr>
          <w:p w14:paraId="416199B9"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17</w:t>
            </w:r>
          </w:p>
        </w:tc>
        <w:tc>
          <w:tcPr>
            <w:tcW w:w="475" w:type="pct"/>
            <w:tcBorders>
              <w:top w:val="nil"/>
              <w:left w:val="nil"/>
              <w:bottom w:val="single" w:sz="4" w:space="0" w:color="auto"/>
              <w:right w:val="single" w:sz="4" w:space="0" w:color="auto"/>
            </w:tcBorders>
            <w:shd w:val="clear" w:color="auto" w:fill="auto"/>
            <w:noWrap/>
            <w:vAlign w:val="bottom"/>
          </w:tcPr>
          <w:p w14:paraId="58532DF7"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$37,493</w:t>
            </w:r>
          </w:p>
        </w:tc>
        <w:tc>
          <w:tcPr>
            <w:tcW w:w="476" w:type="pct"/>
            <w:tcBorders>
              <w:top w:val="nil"/>
              <w:left w:val="nil"/>
              <w:bottom w:val="single" w:sz="4" w:space="0" w:color="auto"/>
              <w:right w:val="single" w:sz="4" w:space="0" w:color="auto"/>
            </w:tcBorders>
            <w:shd w:val="clear" w:color="auto" w:fill="auto"/>
            <w:noWrap/>
            <w:vAlign w:val="bottom"/>
          </w:tcPr>
          <w:p w14:paraId="0A173BD1"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$36,879</w:t>
            </w:r>
          </w:p>
        </w:tc>
        <w:tc>
          <w:tcPr>
            <w:tcW w:w="539" w:type="pct"/>
            <w:tcBorders>
              <w:top w:val="nil"/>
              <w:left w:val="nil"/>
              <w:bottom w:val="single" w:sz="4" w:space="0" w:color="auto"/>
              <w:right w:val="single" w:sz="8" w:space="0" w:color="auto"/>
            </w:tcBorders>
            <w:shd w:val="clear" w:color="auto" w:fill="auto"/>
            <w:noWrap/>
            <w:vAlign w:val="bottom"/>
          </w:tcPr>
          <w:p w14:paraId="385E87A9"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$0.1</w:t>
            </w:r>
          </w:p>
        </w:tc>
      </w:tr>
      <w:tr w:rsidR="009A342E" w:rsidRPr="00414A6D" w14:paraId="3C9328BD" w14:textId="77777777" w:rsidTr="00597945">
        <w:trPr>
          <w:gridAfter w:val="1"/>
          <w:wAfter w:w="677" w:type="pct"/>
          <w:trHeight w:val="570"/>
        </w:trPr>
        <w:tc>
          <w:tcPr>
            <w:tcW w:w="294" w:type="pct"/>
            <w:tcBorders>
              <w:top w:val="nil"/>
              <w:left w:val="single" w:sz="4" w:space="0" w:color="auto"/>
              <w:bottom w:val="single" w:sz="4" w:space="0" w:color="auto"/>
              <w:right w:val="single" w:sz="4" w:space="0" w:color="auto"/>
            </w:tcBorders>
            <w:shd w:val="clear" w:color="auto" w:fill="auto"/>
            <w:vAlign w:val="bottom"/>
          </w:tcPr>
          <w:p w14:paraId="64774AA5"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A06A</w:t>
            </w:r>
          </w:p>
        </w:tc>
        <w:tc>
          <w:tcPr>
            <w:tcW w:w="1386" w:type="pct"/>
            <w:tcBorders>
              <w:top w:val="nil"/>
              <w:left w:val="nil"/>
              <w:bottom w:val="single" w:sz="4" w:space="0" w:color="auto"/>
              <w:right w:val="single" w:sz="4" w:space="0" w:color="auto"/>
            </w:tcBorders>
            <w:shd w:val="clear" w:color="auto" w:fill="auto"/>
            <w:vAlign w:val="bottom"/>
          </w:tcPr>
          <w:p w14:paraId="4F777DB9"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Tracheostomy with Ventilation &gt;=96hrs with Catastrophic Complications and/or Comorbidities</w:t>
            </w:r>
            <w:r w:rsidRPr="00414A6D" w:rsidDel="002F0B59">
              <w:rPr>
                <w:rFonts w:ascii="Arial" w:hAnsi="Arial" w:cs="Arial"/>
                <w:bCs/>
                <w:color w:val="000000"/>
                <w:sz w:val="16"/>
                <w:szCs w:val="16"/>
              </w:rPr>
              <w:t xml:space="preserve"> </w:t>
            </w:r>
          </w:p>
        </w:tc>
        <w:tc>
          <w:tcPr>
            <w:tcW w:w="339" w:type="pct"/>
            <w:tcBorders>
              <w:top w:val="nil"/>
              <w:left w:val="nil"/>
              <w:bottom w:val="single" w:sz="4" w:space="0" w:color="auto"/>
              <w:right w:val="single" w:sz="4" w:space="0" w:color="auto"/>
            </w:tcBorders>
            <w:shd w:val="clear" w:color="auto" w:fill="auto"/>
            <w:noWrap/>
            <w:vAlign w:val="bottom"/>
          </w:tcPr>
          <w:p w14:paraId="361EFD9F"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w:t>
            </w:r>
          </w:p>
        </w:tc>
        <w:tc>
          <w:tcPr>
            <w:tcW w:w="407" w:type="pct"/>
            <w:tcBorders>
              <w:top w:val="nil"/>
              <w:left w:val="nil"/>
              <w:bottom w:val="single" w:sz="4" w:space="0" w:color="auto"/>
              <w:right w:val="single" w:sz="4" w:space="0" w:color="auto"/>
            </w:tcBorders>
            <w:shd w:val="clear" w:color="auto" w:fill="auto"/>
            <w:noWrap/>
            <w:vAlign w:val="bottom"/>
          </w:tcPr>
          <w:p w14:paraId="5DF48750"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58</w:t>
            </w:r>
          </w:p>
        </w:tc>
        <w:tc>
          <w:tcPr>
            <w:tcW w:w="407" w:type="pct"/>
            <w:tcBorders>
              <w:top w:val="nil"/>
              <w:left w:val="nil"/>
              <w:bottom w:val="single" w:sz="4" w:space="0" w:color="auto"/>
              <w:right w:val="single" w:sz="4" w:space="0" w:color="auto"/>
            </w:tcBorders>
            <w:shd w:val="clear" w:color="auto" w:fill="auto"/>
            <w:noWrap/>
            <w:vAlign w:val="bottom"/>
          </w:tcPr>
          <w:p w14:paraId="08F7FE01"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58</w:t>
            </w:r>
          </w:p>
        </w:tc>
        <w:tc>
          <w:tcPr>
            <w:tcW w:w="475" w:type="pct"/>
            <w:tcBorders>
              <w:top w:val="nil"/>
              <w:left w:val="nil"/>
              <w:bottom w:val="single" w:sz="4" w:space="0" w:color="auto"/>
              <w:right w:val="single" w:sz="4" w:space="0" w:color="auto"/>
            </w:tcBorders>
            <w:shd w:val="clear" w:color="auto" w:fill="auto"/>
            <w:noWrap/>
            <w:vAlign w:val="bottom"/>
          </w:tcPr>
          <w:p w14:paraId="2CD81C18"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$298,107</w:t>
            </w:r>
          </w:p>
        </w:tc>
        <w:tc>
          <w:tcPr>
            <w:tcW w:w="476" w:type="pct"/>
            <w:tcBorders>
              <w:top w:val="nil"/>
              <w:left w:val="nil"/>
              <w:bottom w:val="single" w:sz="4" w:space="0" w:color="auto"/>
              <w:right w:val="single" w:sz="4" w:space="0" w:color="auto"/>
            </w:tcBorders>
            <w:shd w:val="clear" w:color="auto" w:fill="auto"/>
            <w:noWrap/>
            <w:vAlign w:val="bottom"/>
          </w:tcPr>
          <w:p w14:paraId="79BA933E"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$298,107</w:t>
            </w:r>
          </w:p>
        </w:tc>
        <w:tc>
          <w:tcPr>
            <w:tcW w:w="539" w:type="pct"/>
            <w:tcBorders>
              <w:top w:val="nil"/>
              <w:left w:val="nil"/>
              <w:bottom w:val="single" w:sz="4" w:space="0" w:color="auto"/>
              <w:right w:val="single" w:sz="8" w:space="0" w:color="auto"/>
            </w:tcBorders>
            <w:shd w:val="clear" w:color="auto" w:fill="auto"/>
            <w:noWrap/>
            <w:vAlign w:val="bottom"/>
          </w:tcPr>
          <w:p w14:paraId="05AF9927"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$0.6</w:t>
            </w:r>
          </w:p>
        </w:tc>
      </w:tr>
      <w:tr w:rsidR="009A342E" w:rsidRPr="00414A6D" w14:paraId="5C49A7F2" w14:textId="77777777" w:rsidTr="00597945">
        <w:trPr>
          <w:gridAfter w:val="1"/>
          <w:wAfter w:w="677" w:type="pct"/>
          <w:trHeight w:val="363"/>
        </w:trPr>
        <w:tc>
          <w:tcPr>
            <w:tcW w:w="294" w:type="pct"/>
            <w:tcBorders>
              <w:top w:val="nil"/>
              <w:left w:val="single" w:sz="4" w:space="0" w:color="auto"/>
              <w:bottom w:val="single" w:sz="4" w:space="0" w:color="auto"/>
              <w:right w:val="single" w:sz="4" w:space="0" w:color="auto"/>
            </w:tcBorders>
            <w:shd w:val="clear" w:color="auto" w:fill="auto"/>
            <w:vAlign w:val="bottom"/>
            <w:hideMark/>
          </w:tcPr>
          <w:p w14:paraId="748E9DA5"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I07Z</w:t>
            </w:r>
          </w:p>
        </w:tc>
        <w:tc>
          <w:tcPr>
            <w:tcW w:w="1386" w:type="pct"/>
            <w:tcBorders>
              <w:top w:val="nil"/>
              <w:left w:val="nil"/>
              <w:bottom w:val="single" w:sz="4" w:space="0" w:color="auto"/>
              <w:right w:val="single" w:sz="4" w:space="0" w:color="auto"/>
            </w:tcBorders>
            <w:shd w:val="clear" w:color="auto" w:fill="auto"/>
            <w:vAlign w:val="bottom"/>
            <w:hideMark/>
          </w:tcPr>
          <w:p w14:paraId="1E42AB9E" w14:textId="77777777" w:rsidR="009A342E" w:rsidRPr="00414A6D" w:rsidRDefault="009A342E" w:rsidP="004309B7">
            <w:pPr>
              <w:rPr>
                <w:rFonts w:ascii="Arial" w:hAnsi="Arial" w:cs="Arial"/>
                <w:bCs/>
                <w:color w:val="000000"/>
                <w:sz w:val="16"/>
                <w:szCs w:val="16"/>
              </w:rPr>
            </w:pPr>
            <w:r w:rsidRPr="00414A6D">
              <w:rPr>
                <w:rFonts w:ascii="Arial" w:hAnsi="Arial" w:cs="Arial"/>
                <w:bCs/>
                <w:color w:val="000000"/>
                <w:sz w:val="16"/>
                <w:szCs w:val="16"/>
              </w:rPr>
              <w:t>Amputation</w:t>
            </w:r>
          </w:p>
        </w:tc>
        <w:tc>
          <w:tcPr>
            <w:tcW w:w="339" w:type="pct"/>
            <w:tcBorders>
              <w:top w:val="nil"/>
              <w:left w:val="nil"/>
              <w:bottom w:val="single" w:sz="4" w:space="0" w:color="auto"/>
              <w:right w:val="single" w:sz="4" w:space="0" w:color="auto"/>
            </w:tcBorders>
            <w:shd w:val="clear" w:color="auto" w:fill="auto"/>
            <w:noWrap/>
            <w:vAlign w:val="bottom"/>
          </w:tcPr>
          <w:p w14:paraId="7EBE9CCB"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w:t>
            </w:r>
          </w:p>
        </w:tc>
        <w:tc>
          <w:tcPr>
            <w:tcW w:w="407" w:type="pct"/>
            <w:tcBorders>
              <w:top w:val="nil"/>
              <w:left w:val="nil"/>
              <w:bottom w:val="single" w:sz="4" w:space="0" w:color="auto"/>
              <w:right w:val="single" w:sz="4" w:space="0" w:color="auto"/>
            </w:tcBorders>
            <w:shd w:val="clear" w:color="auto" w:fill="auto"/>
            <w:noWrap/>
            <w:vAlign w:val="bottom"/>
          </w:tcPr>
          <w:p w14:paraId="71921420"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141</w:t>
            </w:r>
          </w:p>
        </w:tc>
        <w:tc>
          <w:tcPr>
            <w:tcW w:w="407" w:type="pct"/>
            <w:tcBorders>
              <w:top w:val="nil"/>
              <w:left w:val="nil"/>
              <w:bottom w:val="single" w:sz="4" w:space="0" w:color="auto"/>
              <w:right w:val="single" w:sz="4" w:space="0" w:color="auto"/>
            </w:tcBorders>
            <w:shd w:val="clear" w:color="auto" w:fill="auto"/>
            <w:noWrap/>
            <w:vAlign w:val="bottom"/>
          </w:tcPr>
          <w:p w14:paraId="0C1AFD8C"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141</w:t>
            </w:r>
          </w:p>
        </w:tc>
        <w:tc>
          <w:tcPr>
            <w:tcW w:w="475" w:type="pct"/>
            <w:tcBorders>
              <w:top w:val="nil"/>
              <w:left w:val="nil"/>
              <w:bottom w:val="single" w:sz="4" w:space="0" w:color="auto"/>
              <w:right w:val="single" w:sz="4" w:space="0" w:color="auto"/>
            </w:tcBorders>
            <w:shd w:val="clear" w:color="auto" w:fill="auto"/>
            <w:noWrap/>
            <w:vAlign w:val="bottom"/>
          </w:tcPr>
          <w:p w14:paraId="027DA952"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$352,550</w:t>
            </w:r>
          </w:p>
        </w:tc>
        <w:tc>
          <w:tcPr>
            <w:tcW w:w="476" w:type="pct"/>
            <w:tcBorders>
              <w:top w:val="nil"/>
              <w:left w:val="nil"/>
              <w:bottom w:val="single" w:sz="4" w:space="0" w:color="auto"/>
              <w:right w:val="single" w:sz="4" w:space="0" w:color="auto"/>
            </w:tcBorders>
            <w:shd w:val="clear" w:color="auto" w:fill="auto"/>
            <w:noWrap/>
            <w:vAlign w:val="bottom"/>
          </w:tcPr>
          <w:p w14:paraId="29D570E1"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$352,550</w:t>
            </w:r>
          </w:p>
        </w:tc>
        <w:tc>
          <w:tcPr>
            <w:tcW w:w="539" w:type="pct"/>
            <w:tcBorders>
              <w:top w:val="nil"/>
              <w:left w:val="nil"/>
              <w:bottom w:val="single" w:sz="4" w:space="0" w:color="auto"/>
              <w:right w:val="single" w:sz="8" w:space="0" w:color="auto"/>
            </w:tcBorders>
            <w:shd w:val="clear" w:color="auto" w:fill="auto"/>
            <w:noWrap/>
            <w:vAlign w:val="bottom"/>
          </w:tcPr>
          <w:p w14:paraId="7C582328"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$0.3</w:t>
            </w:r>
          </w:p>
        </w:tc>
      </w:tr>
      <w:tr w:rsidR="009A342E" w:rsidRPr="00414A6D" w14:paraId="4C799FCB" w14:textId="77777777" w:rsidTr="00597945">
        <w:trPr>
          <w:trHeight w:val="405"/>
        </w:trPr>
        <w:tc>
          <w:tcPr>
            <w:tcW w:w="1680" w:type="pct"/>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10BCD6D8" w14:textId="77777777" w:rsidR="009A342E" w:rsidRPr="00414A6D" w:rsidRDefault="009A342E" w:rsidP="004309B7">
            <w:pPr>
              <w:rPr>
                <w:rFonts w:ascii="Arial" w:hAnsi="Arial" w:cs="Arial"/>
                <w:b/>
                <w:bCs/>
                <w:color w:val="000000"/>
                <w:sz w:val="16"/>
                <w:szCs w:val="16"/>
              </w:rPr>
            </w:pPr>
            <w:r w:rsidRPr="00414A6D">
              <w:rPr>
                <w:rFonts w:ascii="Arial" w:hAnsi="Arial" w:cs="Arial"/>
                <w:b/>
                <w:bCs/>
                <w:color w:val="000000"/>
                <w:sz w:val="16"/>
                <w:szCs w:val="16"/>
              </w:rPr>
              <w:t>TOTALS</w:t>
            </w:r>
          </w:p>
        </w:tc>
        <w:tc>
          <w:tcPr>
            <w:tcW w:w="339" w:type="pct"/>
            <w:tcBorders>
              <w:top w:val="nil"/>
              <w:left w:val="nil"/>
              <w:bottom w:val="single" w:sz="8" w:space="0" w:color="auto"/>
              <w:right w:val="single" w:sz="4" w:space="0" w:color="auto"/>
            </w:tcBorders>
            <w:shd w:val="clear" w:color="auto" w:fill="auto"/>
            <w:noWrap/>
            <w:vAlign w:val="bottom"/>
            <w:hideMark/>
          </w:tcPr>
          <w:p w14:paraId="378ACD79"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13,914</w:t>
            </w:r>
          </w:p>
        </w:tc>
        <w:tc>
          <w:tcPr>
            <w:tcW w:w="407" w:type="pct"/>
            <w:tcBorders>
              <w:top w:val="nil"/>
              <w:left w:val="nil"/>
              <w:bottom w:val="single" w:sz="8" w:space="0" w:color="auto"/>
              <w:right w:val="single" w:sz="4" w:space="0" w:color="auto"/>
            </w:tcBorders>
            <w:shd w:val="clear" w:color="auto" w:fill="auto"/>
            <w:noWrap/>
            <w:vAlign w:val="bottom"/>
            <w:hideMark/>
          </w:tcPr>
          <w:p w14:paraId="62F96CDA" w14:textId="77777777" w:rsidR="009A342E" w:rsidRPr="00414A6D" w:rsidRDefault="009A342E" w:rsidP="00597945">
            <w:pPr>
              <w:jc w:val="center"/>
              <w:rPr>
                <w:rFonts w:ascii="Arial" w:hAnsi="Arial" w:cs="Arial"/>
                <w:color w:val="000000"/>
                <w:sz w:val="18"/>
                <w:szCs w:val="18"/>
              </w:rPr>
            </w:pPr>
            <w:r w:rsidRPr="00414A6D">
              <w:rPr>
                <w:rFonts w:ascii="Arial" w:hAnsi="Arial" w:cs="Arial"/>
                <w:color w:val="000000"/>
                <w:sz w:val="18"/>
                <w:szCs w:val="18"/>
              </w:rPr>
              <w:t>8</w:t>
            </w:r>
          </w:p>
        </w:tc>
        <w:tc>
          <w:tcPr>
            <w:tcW w:w="407" w:type="pct"/>
            <w:tcBorders>
              <w:top w:val="nil"/>
              <w:left w:val="nil"/>
              <w:bottom w:val="single" w:sz="8" w:space="0" w:color="auto"/>
              <w:right w:val="single" w:sz="4" w:space="0" w:color="auto"/>
            </w:tcBorders>
            <w:shd w:val="clear" w:color="auto" w:fill="auto"/>
            <w:noWrap/>
            <w:vAlign w:val="bottom"/>
            <w:hideMark/>
          </w:tcPr>
          <w:p w14:paraId="15D1D57E"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9.7</w:t>
            </w:r>
          </w:p>
        </w:tc>
        <w:tc>
          <w:tcPr>
            <w:tcW w:w="475" w:type="pct"/>
            <w:tcBorders>
              <w:top w:val="nil"/>
              <w:left w:val="nil"/>
              <w:bottom w:val="single" w:sz="8" w:space="0" w:color="auto"/>
              <w:right w:val="single" w:sz="4" w:space="0" w:color="auto"/>
            </w:tcBorders>
            <w:shd w:val="clear" w:color="auto" w:fill="auto"/>
            <w:noWrap/>
            <w:vAlign w:val="bottom"/>
            <w:hideMark/>
          </w:tcPr>
          <w:p w14:paraId="2DF804A3"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$15,503</w:t>
            </w:r>
          </w:p>
        </w:tc>
        <w:tc>
          <w:tcPr>
            <w:tcW w:w="476" w:type="pct"/>
            <w:tcBorders>
              <w:top w:val="nil"/>
              <w:left w:val="nil"/>
              <w:bottom w:val="single" w:sz="8" w:space="0" w:color="auto"/>
              <w:right w:val="single" w:sz="4" w:space="0" w:color="auto"/>
            </w:tcBorders>
            <w:shd w:val="clear" w:color="auto" w:fill="auto"/>
            <w:noWrap/>
            <w:vAlign w:val="bottom"/>
            <w:hideMark/>
          </w:tcPr>
          <w:p w14:paraId="1ED6AE18"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$18,556</w:t>
            </w:r>
          </w:p>
        </w:tc>
        <w:tc>
          <w:tcPr>
            <w:tcW w:w="539" w:type="pct"/>
            <w:tcBorders>
              <w:top w:val="nil"/>
              <w:left w:val="nil"/>
              <w:bottom w:val="single" w:sz="8" w:space="0" w:color="auto"/>
              <w:right w:val="single" w:sz="8" w:space="0" w:color="auto"/>
            </w:tcBorders>
            <w:shd w:val="clear" w:color="auto" w:fill="auto"/>
            <w:noWrap/>
            <w:vAlign w:val="bottom"/>
            <w:hideMark/>
          </w:tcPr>
          <w:p w14:paraId="2CE19022" w14:textId="77777777" w:rsidR="009A342E" w:rsidRPr="00414A6D" w:rsidRDefault="009A342E" w:rsidP="004309B7">
            <w:pPr>
              <w:jc w:val="right"/>
              <w:rPr>
                <w:rFonts w:ascii="Arial" w:hAnsi="Arial" w:cs="Arial"/>
                <w:color w:val="000000"/>
                <w:sz w:val="18"/>
                <w:szCs w:val="18"/>
              </w:rPr>
            </w:pPr>
            <w:r w:rsidRPr="00414A6D">
              <w:rPr>
                <w:rFonts w:ascii="Arial" w:hAnsi="Arial" w:cs="Arial"/>
                <w:color w:val="000000"/>
                <w:sz w:val="18"/>
                <w:szCs w:val="18"/>
              </w:rPr>
              <w:t>$258.2</w:t>
            </w:r>
          </w:p>
        </w:tc>
        <w:tc>
          <w:tcPr>
            <w:tcW w:w="677" w:type="pct"/>
            <w:vAlign w:val="bottom"/>
          </w:tcPr>
          <w:p w14:paraId="646331C8" w14:textId="77777777" w:rsidR="009A342E" w:rsidRPr="00414A6D" w:rsidRDefault="009A342E" w:rsidP="00FC0159">
            <w:pPr>
              <w:rPr>
                <w:rFonts w:ascii="Arial" w:hAnsi="Arial" w:cs="Arial"/>
                <w:sz w:val="18"/>
                <w:szCs w:val="18"/>
              </w:rPr>
            </w:pPr>
          </w:p>
        </w:tc>
      </w:tr>
    </w:tbl>
    <w:p w14:paraId="5FEE3226" w14:textId="77777777" w:rsidR="003F5938" w:rsidRPr="00414A6D" w:rsidRDefault="003F5938">
      <w:pPr>
        <w:rPr>
          <w:rFonts w:ascii="Arial" w:hAnsi="Arial" w:cs="Arial"/>
        </w:rPr>
      </w:pPr>
    </w:p>
    <w:tbl>
      <w:tblPr>
        <w:tblStyle w:val="TableGrid"/>
        <w:tblW w:w="0" w:type="auto"/>
        <w:tblLook w:val="04A0" w:firstRow="1" w:lastRow="0" w:firstColumn="1" w:lastColumn="0" w:noHBand="0" w:noVBand="1"/>
      </w:tblPr>
      <w:tblGrid>
        <w:gridCol w:w="7621"/>
        <w:gridCol w:w="540"/>
        <w:gridCol w:w="540"/>
        <w:gridCol w:w="541"/>
      </w:tblGrid>
      <w:tr w:rsidR="009E4B30" w:rsidRPr="00414A6D" w14:paraId="7181FEE2" w14:textId="77777777" w:rsidTr="0018750E">
        <w:tc>
          <w:tcPr>
            <w:tcW w:w="8161" w:type="dxa"/>
            <w:gridSpan w:val="2"/>
            <w:tcBorders>
              <w:top w:val="nil"/>
              <w:left w:val="nil"/>
              <w:bottom w:val="nil"/>
              <w:right w:val="nil"/>
            </w:tcBorders>
          </w:tcPr>
          <w:p w14:paraId="5006D1F7" w14:textId="59831BC8" w:rsidR="009E4B30" w:rsidRPr="00D41ED6" w:rsidRDefault="009E4B30" w:rsidP="00D41ED6">
            <w:pPr>
              <w:pStyle w:val="Heading2"/>
              <w:numPr>
                <w:ilvl w:val="0"/>
                <w:numId w:val="0"/>
              </w:numPr>
              <w:rPr>
                <w:b w:val="0"/>
                <w:sz w:val="22"/>
                <w:szCs w:val="22"/>
              </w:rPr>
            </w:pPr>
            <w:bookmarkStart w:id="48" w:name="_Toc426633825"/>
            <w:r w:rsidRPr="00D41ED6">
              <w:rPr>
                <w:sz w:val="22"/>
                <w:szCs w:val="22"/>
              </w:rPr>
              <w:t>Appendix G. Additional potential measures for consideration in a hip fracture best-practice pricing approach</w:t>
            </w:r>
            <w:bookmarkEnd w:id="48"/>
          </w:p>
          <w:p w14:paraId="30B1DBBB" w14:textId="77777777" w:rsidR="00DC2428" w:rsidRPr="00414A6D" w:rsidRDefault="00DC2428" w:rsidP="006C675F">
            <w:pPr>
              <w:rPr>
                <w:rFonts w:ascii="Arial" w:hAnsi="Arial" w:cs="Arial"/>
                <w:sz w:val="22"/>
                <w:szCs w:val="22"/>
              </w:rPr>
            </w:pPr>
          </w:p>
        </w:tc>
        <w:tc>
          <w:tcPr>
            <w:tcW w:w="540" w:type="dxa"/>
            <w:tcBorders>
              <w:top w:val="nil"/>
              <w:left w:val="nil"/>
              <w:bottom w:val="nil"/>
              <w:right w:val="nil"/>
            </w:tcBorders>
          </w:tcPr>
          <w:p w14:paraId="32475719" w14:textId="77777777" w:rsidR="009E4B30" w:rsidRPr="00414A6D" w:rsidRDefault="009E4B30" w:rsidP="006C675F">
            <w:pPr>
              <w:rPr>
                <w:rFonts w:ascii="Arial" w:hAnsi="Arial" w:cs="Arial"/>
                <w:sz w:val="22"/>
                <w:szCs w:val="22"/>
              </w:rPr>
            </w:pPr>
          </w:p>
        </w:tc>
        <w:tc>
          <w:tcPr>
            <w:tcW w:w="541" w:type="dxa"/>
            <w:tcBorders>
              <w:top w:val="nil"/>
              <w:left w:val="nil"/>
              <w:bottom w:val="nil"/>
              <w:right w:val="nil"/>
            </w:tcBorders>
          </w:tcPr>
          <w:p w14:paraId="75E51C77" w14:textId="77777777" w:rsidR="009E4B30" w:rsidRPr="00414A6D" w:rsidRDefault="009E4B30" w:rsidP="006C675F">
            <w:pPr>
              <w:rPr>
                <w:rFonts w:ascii="Arial" w:hAnsi="Arial" w:cs="Arial"/>
                <w:sz w:val="22"/>
                <w:szCs w:val="22"/>
              </w:rPr>
            </w:pPr>
          </w:p>
        </w:tc>
      </w:tr>
      <w:tr w:rsidR="009E4B30" w:rsidRPr="00414A6D" w14:paraId="008F1199" w14:textId="77777777" w:rsidTr="009E4B30">
        <w:trPr>
          <w:trHeight w:val="1154"/>
        </w:trPr>
        <w:tc>
          <w:tcPr>
            <w:tcW w:w="7621" w:type="dxa"/>
          </w:tcPr>
          <w:p w14:paraId="231C1578" w14:textId="77777777" w:rsidR="009E4B30" w:rsidRPr="00414A6D" w:rsidRDefault="009E4B30" w:rsidP="0018750E">
            <w:pPr>
              <w:keepNext/>
              <w:rPr>
                <w:rFonts w:ascii="Arial" w:hAnsi="Arial" w:cs="Arial"/>
              </w:rPr>
            </w:pPr>
          </w:p>
        </w:tc>
        <w:tc>
          <w:tcPr>
            <w:tcW w:w="540" w:type="dxa"/>
            <w:textDirection w:val="btLr"/>
          </w:tcPr>
          <w:p w14:paraId="07706FB1" w14:textId="77777777" w:rsidR="009E4B30" w:rsidRPr="00414A6D" w:rsidRDefault="009E4B30" w:rsidP="0018750E">
            <w:pPr>
              <w:ind w:left="113" w:right="113"/>
              <w:rPr>
                <w:rFonts w:ascii="Arial" w:hAnsi="Arial" w:cs="Arial"/>
                <w:sz w:val="16"/>
                <w:szCs w:val="16"/>
              </w:rPr>
            </w:pPr>
            <w:r w:rsidRPr="00414A6D">
              <w:rPr>
                <w:rFonts w:ascii="Arial" w:hAnsi="Arial" w:cs="Arial"/>
                <w:sz w:val="16"/>
                <w:szCs w:val="16"/>
              </w:rPr>
              <w:t>Cost drivers</w:t>
            </w:r>
          </w:p>
        </w:tc>
        <w:tc>
          <w:tcPr>
            <w:tcW w:w="540" w:type="dxa"/>
            <w:textDirection w:val="btLr"/>
          </w:tcPr>
          <w:p w14:paraId="7F799DA2" w14:textId="77777777" w:rsidR="009E4B30" w:rsidRPr="00414A6D" w:rsidRDefault="009E4B30" w:rsidP="0018750E">
            <w:pPr>
              <w:ind w:left="113" w:right="113"/>
              <w:rPr>
                <w:rFonts w:ascii="Arial" w:hAnsi="Arial" w:cs="Arial"/>
                <w:sz w:val="16"/>
                <w:szCs w:val="16"/>
              </w:rPr>
            </w:pPr>
            <w:r w:rsidRPr="00414A6D">
              <w:rPr>
                <w:rFonts w:ascii="Arial" w:hAnsi="Arial" w:cs="Arial"/>
                <w:sz w:val="16"/>
                <w:szCs w:val="16"/>
              </w:rPr>
              <w:t>Supports improvement</w:t>
            </w:r>
          </w:p>
        </w:tc>
        <w:tc>
          <w:tcPr>
            <w:tcW w:w="541" w:type="dxa"/>
            <w:textDirection w:val="btLr"/>
          </w:tcPr>
          <w:p w14:paraId="77A142DD" w14:textId="77777777" w:rsidR="009E4B30" w:rsidRPr="00414A6D" w:rsidRDefault="009E4B30" w:rsidP="0018750E">
            <w:pPr>
              <w:ind w:left="113" w:right="113"/>
              <w:rPr>
                <w:rFonts w:ascii="Arial" w:hAnsi="Arial" w:cs="Arial"/>
                <w:sz w:val="16"/>
                <w:szCs w:val="16"/>
              </w:rPr>
            </w:pPr>
            <w:r w:rsidRPr="00414A6D">
              <w:rPr>
                <w:rFonts w:ascii="Arial" w:hAnsi="Arial" w:cs="Arial"/>
                <w:sz w:val="16"/>
                <w:szCs w:val="16"/>
              </w:rPr>
              <w:t>Outcome measure</w:t>
            </w:r>
          </w:p>
        </w:tc>
      </w:tr>
      <w:tr w:rsidR="00DC2428" w:rsidRPr="00414A6D" w14:paraId="003AE1F4" w14:textId="77777777" w:rsidTr="00DC2428">
        <w:tc>
          <w:tcPr>
            <w:tcW w:w="9242" w:type="dxa"/>
            <w:gridSpan w:val="4"/>
            <w:shd w:val="clear" w:color="auto" w:fill="DBE5F1" w:themeFill="accent1" w:themeFillTint="33"/>
          </w:tcPr>
          <w:p w14:paraId="0BA2D10F" w14:textId="77777777" w:rsidR="00DC2428" w:rsidRPr="00414A6D" w:rsidRDefault="00DC2428" w:rsidP="006C675F">
            <w:pPr>
              <w:rPr>
                <w:rFonts w:ascii="Arial" w:hAnsi="Arial" w:cs="Arial"/>
                <w:sz w:val="22"/>
                <w:szCs w:val="22"/>
              </w:rPr>
            </w:pPr>
            <w:r w:rsidRPr="00414A6D">
              <w:rPr>
                <w:rFonts w:ascii="Arial" w:hAnsi="Arial" w:cs="Arial"/>
              </w:rPr>
              <w:t>SYSTEM MEASURES</w:t>
            </w:r>
          </w:p>
        </w:tc>
      </w:tr>
      <w:tr w:rsidR="00485660" w:rsidRPr="00414A6D" w14:paraId="389220FC" w14:textId="77777777" w:rsidTr="006C675F">
        <w:tc>
          <w:tcPr>
            <w:tcW w:w="7621" w:type="dxa"/>
          </w:tcPr>
          <w:p w14:paraId="6DFB00C7" w14:textId="77777777" w:rsidR="00485660" w:rsidRPr="00414A6D" w:rsidRDefault="00485660" w:rsidP="006C675F">
            <w:pPr>
              <w:rPr>
                <w:rFonts w:ascii="Arial" w:hAnsi="Arial" w:cs="Arial"/>
                <w:sz w:val="22"/>
                <w:szCs w:val="22"/>
              </w:rPr>
            </w:pPr>
            <w:r w:rsidRPr="00414A6D">
              <w:rPr>
                <w:rFonts w:ascii="Arial" w:hAnsi="Arial" w:cs="Arial"/>
                <w:sz w:val="22"/>
                <w:szCs w:val="22"/>
              </w:rPr>
              <w:t>Volume (no.)</w:t>
            </w:r>
          </w:p>
        </w:tc>
        <w:tc>
          <w:tcPr>
            <w:tcW w:w="540" w:type="dxa"/>
          </w:tcPr>
          <w:p w14:paraId="5159BE27"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Pr>
          <w:p w14:paraId="7AE0C557" w14:textId="77777777" w:rsidR="00485660" w:rsidRPr="00414A6D" w:rsidRDefault="00485660" w:rsidP="006C675F">
            <w:pPr>
              <w:rPr>
                <w:rFonts w:ascii="Arial" w:hAnsi="Arial" w:cs="Arial"/>
                <w:sz w:val="22"/>
                <w:szCs w:val="22"/>
              </w:rPr>
            </w:pPr>
          </w:p>
        </w:tc>
        <w:tc>
          <w:tcPr>
            <w:tcW w:w="541" w:type="dxa"/>
          </w:tcPr>
          <w:p w14:paraId="1BFF9F62" w14:textId="77777777" w:rsidR="00485660" w:rsidRPr="00414A6D" w:rsidRDefault="00485660" w:rsidP="006C675F">
            <w:pPr>
              <w:rPr>
                <w:rFonts w:ascii="Arial" w:hAnsi="Arial" w:cs="Arial"/>
                <w:sz w:val="22"/>
                <w:szCs w:val="22"/>
              </w:rPr>
            </w:pPr>
          </w:p>
        </w:tc>
      </w:tr>
      <w:tr w:rsidR="00485660" w:rsidRPr="00414A6D" w14:paraId="4B0E1FE2" w14:textId="77777777" w:rsidTr="006C675F">
        <w:tc>
          <w:tcPr>
            <w:tcW w:w="7621" w:type="dxa"/>
          </w:tcPr>
          <w:p w14:paraId="590827BB" w14:textId="77777777" w:rsidR="00485660" w:rsidRPr="00414A6D" w:rsidRDefault="00485660" w:rsidP="006C675F">
            <w:pPr>
              <w:rPr>
                <w:rFonts w:ascii="Arial" w:hAnsi="Arial" w:cs="Arial"/>
                <w:sz w:val="22"/>
                <w:szCs w:val="22"/>
              </w:rPr>
            </w:pPr>
            <w:r w:rsidRPr="00414A6D">
              <w:rPr>
                <w:rFonts w:ascii="Arial" w:hAnsi="Arial" w:cs="Arial"/>
                <w:sz w:val="22"/>
                <w:szCs w:val="22"/>
              </w:rPr>
              <w:t>Age profile/proportion geriatric (%)</w:t>
            </w:r>
          </w:p>
        </w:tc>
        <w:tc>
          <w:tcPr>
            <w:tcW w:w="540" w:type="dxa"/>
          </w:tcPr>
          <w:p w14:paraId="28E91603"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Pr>
          <w:p w14:paraId="10FE4C35" w14:textId="77777777" w:rsidR="00485660" w:rsidRPr="00414A6D" w:rsidRDefault="00485660" w:rsidP="006C675F">
            <w:pPr>
              <w:rPr>
                <w:rFonts w:ascii="Arial" w:hAnsi="Arial" w:cs="Arial"/>
                <w:sz w:val="22"/>
                <w:szCs w:val="22"/>
              </w:rPr>
            </w:pPr>
          </w:p>
        </w:tc>
        <w:tc>
          <w:tcPr>
            <w:tcW w:w="541" w:type="dxa"/>
          </w:tcPr>
          <w:p w14:paraId="06BE3BF0" w14:textId="77777777" w:rsidR="00485660" w:rsidRPr="00414A6D" w:rsidRDefault="00485660" w:rsidP="006C675F">
            <w:pPr>
              <w:rPr>
                <w:rFonts w:ascii="Arial" w:hAnsi="Arial" w:cs="Arial"/>
                <w:sz w:val="22"/>
                <w:szCs w:val="22"/>
              </w:rPr>
            </w:pPr>
          </w:p>
        </w:tc>
      </w:tr>
      <w:tr w:rsidR="00485660" w:rsidRPr="00414A6D" w14:paraId="48F640A0" w14:textId="77777777" w:rsidTr="006C675F">
        <w:tc>
          <w:tcPr>
            <w:tcW w:w="7621" w:type="dxa"/>
            <w:tcBorders>
              <w:bottom w:val="nil"/>
            </w:tcBorders>
          </w:tcPr>
          <w:p w14:paraId="77E9F5B1" w14:textId="77777777" w:rsidR="00485660" w:rsidRPr="00414A6D" w:rsidRDefault="00485660" w:rsidP="006C675F">
            <w:pPr>
              <w:rPr>
                <w:rFonts w:ascii="Arial" w:hAnsi="Arial" w:cs="Arial"/>
                <w:sz w:val="22"/>
                <w:szCs w:val="22"/>
              </w:rPr>
            </w:pPr>
            <w:r w:rsidRPr="00414A6D">
              <w:rPr>
                <w:rFonts w:ascii="Arial" w:hAnsi="Arial" w:cs="Arial"/>
                <w:sz w:val="22"/>
                <w:szCs w:val="22"/>
              </w:rPr>
              <w:t>Comorbidities (%)</w:t>
            </w:r>
          </w:p>
        </w:tc>
        <w:tc>
          <w:tcPr>
            <w:tcW w:w="540" w:type="dxa"/>
            <w:tcBorders>
              <w:bottom w:val="nil"/>
            </w:tcBorders>
          </w:tcPr>
          <w:p w14:paraId="65838A46" w14:textId="77777777" w:rsidR="00485660" w:rsidRPr="00414A6D" w:rsidRDefault="00485660" w:rsidP="006C675F">
            <w:pPr>
              <w:rPr>
                <w:rFonts w:ascii="Arial" w:hAnsi="Arial" w:cs="Arial"/>
                <w:sz w:val="22"/>
                <w:szCs w:val="22"/>
              </w:rPr>
            </w:pPr>
          </w:p>
        </w:tc>
        <w:tc>
          <w:tcPr>
            <w:tcW w:w="540" w:type="dxa"/>
            <w:tcBorders>
              <w:bottom w:val="nil"/>
            </w:tcBorders>
          </w:tcPr>
          <w:p w14:paraId="025C8CC1" w14:textId="77777777" w:rsidR="00485660" w:rsidRPr="00414A6D" w:rsidRDefault="00485660" w:rsidP="006C675F">
            <w:pPr>
              <w:rPr>
                <w:rFonts w:ascii="Arial" w:hAnsi="Arial" w:cs="Arial"/>
                <w:sz w:val="22"/>
                <w:szCs w:val="22"/>
              </w:rPr>
            </w:pPr>
          </w:p>
        </w:tc>
        <w:tc>
          <w:tcPr>
            <w:tcW w:w="541" w:type="dxa"/>
            <w:tcBorders>
              <w:bottom w:val="nil"/>
            </w:tcBorders>
          </w:tcPr>
          <w:p w14:paraId="33907C1D" w14:textId="77777777" w:rsidR="00485660" w:rsidRPr="00414A6D" w:rsidRDefault="00485660" w:rsidP="006C675F">
            <w:pPr>
              <w:rPr>
                <w:rFonts w:ascii="Arial" w:hAnsi="Arial" w:cs="Arial"/>
                <w:sz w:val="22"/>
                <w:szCs w:val="22"/>
              </w:rPr>
            </w:pPr>
          </w:p>
        </w:tc>
      </w:tr>
      <w:tr w:rsidR="00485660" w:rsidRPr="00414A6D" w14:paraId="7340515A" w14:textId="77777777" w:rsidTr="006C675F">
        <w:tc>
          <w:tcPr>
            <w:tcW w:w="7621" w:type="dxa"/>
            <w:tcBorders>
              <w:top w:val="nil"/>
              <w:bottom w:val="nil"/>
            </w:tcBorders>
          </w:tcPr>
          <w:p w14:paraId="2A1A0DAC"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Acute lower respiratory tract infection and influenza (%</w:t>
            </w:r>
            <w:proofErr w:type="gramStart"/>
            <w:r w:rsidRPr="00414A6D">
              <w:rPr>
                <w:rFonts w:ascii="Arial" w:hAnsi="Arial" w:cs="Arial"/>
                <w:sz w:val="22"/>
                <w:szCs w:val="22"/>
              </w:rPr>
              <w:t>)</w:t>
            </w:r>
            <w:r w:rsidRPr="00414A6D">
              <w:rPr>
                <w:rFonts w:ascii="Arial" w:hAnsi="Arial" w:cs="Arial"/>
                <w:sz w:val="22"/>
                <w:szCs w:val="22"/>
                <w:vertAlign w:val="superscript"/>
              </w:rPr>
              <w:t>¥</w:t>
            </w:r>
            <w:proofErr w:type="gramEnd"/>
          </w:p>
        </w:tc>
        <w:tc>
          <w:tcPr>
            <w:tcW w:w="540" w:type="dxa"/>
            <w:tcBorders>
              <w:top w:val="nil"/>
              <w:bottom w:val="nil"/>
            </w:tcBorders>
          </w:tcPr>
          <w:p w14:paraId="448B4744"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2E39D5FE" w14:textId="77777777" w:rsidR="00485660" w:rsidRPr="00414A6D" w:rsidRDefault="00485660" w:rsidP="006C675F">
            <w:pPr>
              <w:rPr>
                <w:rFonts w:ascii="Arial" w:hAnsi="Arial" w:cs="Arial"/>
                <w:sz w:val="22"/>
                <w:szCs w:val="22"/>
              </w:rPr>
            </w:pPr>
          </w:p>
        </w:tc>
        <w:tc>
          <w:tcPr>
            <w:tcW w:w="541" w:type="dxa"/>
            <w:tcBorders>
              <w:top w:val="nil"/>
              <w:bottom w:val="nil"/>
            </w:tcBorders>
          </w:tcPr>
          <w:p w14:paraId="7BD34663" w14:textId="77777777" w:rsidR="00485660" w:rsidRPr="00414A6D" w:rsidRDefault="00485660" w:rsidP="006C675F">
            <w:pPr>
              <w:rPr>
                <w:rFonts w:ascii="Arial" w:hAnsi="Arial" w:cs="Arial"/>
                <w:sz w:val="22"/>
                <w:szCs w:val="22"/>
              </w:rPr>
            </w:pPr>
          </w:p>
        </w:tc>
      </w:tr>
      <w:tr w:rsidR="00485660" w:rsidRPr="00414A6D" w14:paraId="525FCBEB" w14:textId="77777777" w:rsidTr="006C675F">
        <w:tc>
          <w:tcPr>
            <w:tcW w:w="7621" w:type="dxa"/>
            <w:tcBorders>
              <w:top w:val="nil"/>
              <w:bottom w:val="nil"/>
            </w:tcBorders>
          </w:tcPr>
          <w:p w14:paraId="057DE09C"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Dysrhythmia (%</w:t>
            </w:r>
            <w:proofErr w:type="gramStart"/>
            <w:r w:rsidRPr="00414A6D">
              <w:rPr>
                <w:rFonts w:ascii="Arial" w:hAnsi="Arial" w:cs="Arial"/>
                <w:sz w:val="22"/>
                <w:szCs w:val="22"/>
              </w:rPr>
              <w:t>)</w:t>
            </w:r>
            <w:r w:rsidRPr="00414A6D">
              <w:rPr>
                <w:rFonts w:ascii="Arial" w:hAnsi="Arial" w:cs="Arial"/>
                <w:sz w:val="22"/>
                <w:szCs w:val="22"/>
                <w:vertAlign w:val="superscript"/>
              </w:rPr>
              <w:t>¥</w:t>
            </w:r>
            <w:proofErr w:type="gramEnd"/>
          </w:p>
        </w:tc>
        <w:tc>
          <w:tcPr>
            <w:tcW w:w="540" w:type="dxa"/>
            <w:tcBorders>
              <w:top w:val="nil"/>
              <w:bottom w:val="nil"/>
            </w:tcBorders>
          </w:tcPr>
          <w:p w14:paraId="491E7E56"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31E195E4" w14:textId="77777777" w:rsidR="00485660" w:rsidRPr="00414A6D" w:rsidRDefault="00485660" w:rsidP="006C675F">
            <w:pPr>
              <w:rPr>
                <w:rFonts w:ascii="Arial" w:hAnsi="Arial" w:cs="Arial"/>
                <w:sz w:val="22"/>
                <w:szCs w:val="22"/>
              </w:rPr>
            </w:pPr>
          </w:p>
        </w:tc>
        <w:tc>
          <w:tcPr>
            <w:tcW w:w="541" w:type="dxa"/>
            <w:tcBorders>
              <w:top w:val="nil"/>
              <w:bottom w:val="nil"/>
            </w:tcBorders>
          </w:tcPr>
          <w:p w14:paraId="36400DD7" w14:textId="77777777" w:rsidR="00485660" w:rsidRPr="00414A6D" w:rsidRDefault="00485660" w:rsidP="006C675F">
            <w:pPr>
              <w:rPr>
                <w:rFonts w:ascii="Arial" w:hAnsi="Arial" w:cs="Arial"/>
                <w:sz w:val="22"/>
                <w:szCs w:val="22"/>
              </w:rPr>
            </w:pPr>
          </w:p>
        </w:tc>
      </w:tr>
      <w:tr w:rsidR="00485660" w:rsidRPr="00414A6D" w14:paraId="08C4D4B4" w14:textId="77777777" w:rsidTr="006C675F">
        <w:tc>
          <w:tcPr>
            <w:tcW w:w="7621" w:type="dxa"/>
            <w:tcBorders>
              <w:top w:val="nil"/>
              <w:bottom w:val="nil"/>
            </w:tcBorders>
          </w:tcPr>
          <w:p w14:paraId="401ED5E8"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Heart failure (%</w:t>
            </w:r>
            <w:proofErr w:type="gramStart"/>
            <w:r w:rsidRPr="00414A6D">
              <w:rPr>
                <w:rFonts w:ascii="Arial" w:hAnsi="Arial" w:cs="Arial"/>
                <w:sz w:val="22"/>
                <w:szCs w:val="22"/>
              </w:rPr>
              <w:t>)</w:t>
            </w:r>
            <w:r w:rsidRPr="00414A6D">
              <w:rPr>
                <w:rFonts w:ascii="Arial" w:hAnsi="Arial" w:cs="Arial"/>
                <w:sz w:val="22"/>
                <w:szCs w:val="22"/>
                <w:vertAlign w:val="superscript"/>
              </w:rPr>
              <w:t>¥</w:t>
            </w:r>
            <w:proofErr w:type="gramEnd"/>
          </w:p>
        </w:tc>
        <w:tc>
          <w:tcPr>
            <w:tcW w:w="540" w:type="dxa"/>
            <w:tcBorders>
              <w:top w:val="nil"/>
              <w:bottom w:val="nil"/>
            </w:tcBorders>
          </w:tcPr>
          <w:p w14:paraId="7A00EF75"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10EF54F7" w14:textId="77777777" w:rsidR="00485660" w:rsidRPr="00414A6D" w:rsidRDefault="00485660" w:rsidP="006C675F">
            <w:pPr>
              <w:rPr>
                <w:rFonts w:ascii="Arial" w:hAnsi="Arial" w:cs="Arial"/>
                <w:sz w:val="22"/>
                <w:szCs w:val="22"/>
              </w:rPr>
            </w:pPr>
          </w:p>
        </w:tc>
        <w:tc>
          <w:tcPr>
            <w:tcW w:w="541" w:type="dxa"/>
            <w:tcBorders>
              <w:top w:val="nil"/>
              <w:bottom w:val="nil"/>
            </w:tcBorders>
          </w:tcPr>
          <w:p w14:paraId="489B4C24" w14:textId="77777777" w:rsidR="00485660" w:rsidRPr="00414A6D" w:rsidRDefault="00485660" w:rsidP="006C675F">
            <w:pPr>
              <w:rPr>
                <w:rFonts w:ascii="Arial" w:hAnsi="Arial" w:cs="Arial"/>
                <w:sz w:val="22"/>
                <w:szCs w:val="22"/>
              </w:rPr>
            </w:pPr>
          </w:p>
        </w:tc>
      </w:tr>
      <w:tr w:rsidR="00485660" w:rsidRPr="00414A6D" w14:paraId="0D63FBA1" w14:textId="77777777" w:rsidTr="006C675F">
        <w:tc>
          <w:tcPr>
            <w:tcW w:w="7621" w:type="dxa"/>
            <w:tcBorders>
              <w:top w:val="nil"/>
              <w:bottom w:val="nil"/>
            </w:tcBorders>
          </w:tcPr>
          <w:p w14:paraId="0220A5C8"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Ischaemic heart disease (%</w:t>
            </w:r>
            <w:proofErr w:type="gramStart"/>
            <w:r w:rsidRPr="00414A6D">
              <w:rPr>
                <w:rFonts w:ascii="Arial" w:hAnsi="Arial" w:cs="Arial"/>
                <w:sz w:val="22"/>
                <w:szCs w:val="22"/>
              </w:rPr>
              <w:t>)</w:t>
            </w:r>
            <w:r w:rsidRPr="00414A6D">
              <w:rPr>
                <w:rFonts w:ascii="Arial" w:hAnsi="Arial" w:cs="Arial"/>
                <w:sz w:val="22"/>
                <w:szCs w:val="22"/>
                <w:vertAlign w:val="superscript"/>
              </w:rPr>
              <w:t>¥</w:t>
            </w:r>
            <w:proofErr w:type="gramEnd"/>
          </w:p>
        </w:tc>
        <w:tc>
          <w:tcPr>
            <w:tcW w:w="540" w:type="dxa"/>
            <w:tcBorders>
              <w:top w:val="nil"/>
              <w:bottom w:val="nil"/>
            </w:tcBorders>
          </w:tcPr>
          <w:p w14:paraId="39849976"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2F00195D" w14:textId="77777777" w:rsidR="00485660" w:rsidRPr="00414A6D" w:rsidRDefault="00485660" w:rsidP="006C675F">
            <w:pPr>
              <w:rPr>
                <w:rFonts w:ascii="Arial" w:hAnsi="Arial" w:cs="Arial"/>
                <w:sz w:val="22"/>
                <w:szCs w:val="22"/>
              </w:rPr>
            </w:pPr>
          </w:p>
        </w:tc>
        <w:tc>
          <w:tcPr>
            <w:tcW w:w="541" w:type="dxa"/>
            <w:tcBorders>
              <w:top w:val="nil"/>
              <w:bottom w:val="nil"/>
            </w:tcBorders>
          </w:tcPr>
          <w:p w14:paraId="31D9D8EE" w14:textId="77777777" w:rsidR="00485660" w:rsidRPr="00414A6D" w:rsidRDefault="00485660" w:rsidP="006C675F">
            <w:pPr>
              <w:rPr>
                <w:rFonts w:ascii="Arial" w:hAnsi="Arial" w:cs="Arial"/>
                <w:sz w:val="22"/>
                <w:szCs w:val="22"/>
              </w:rPr>
            </w:pPr>
          </w:p>
        </w:tc>
      </w:tr>
      <w:tr w:rsidR="00485660" w:rsidRPr="00414A6D" w14:paraId="2DF2BA22" w14:textId="77777777" w:rsidTr="006C675F">
        <w:tc>
          <w:tcPr>
            <w:tcW w:w="7621" w:type="dxa"/>
            <w:tcBorders>
              <w:top w:val="nil"/>
              <w:bottom w:val="single" w:sz="4" w:space="0" w:color="auto"/>
            </w:tcBorders>
          </w:tcPr>
          <w:p w14:paraId="4FB908CF"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Kidney failure (%</w:t>
            </w:r>
            <w:proofErr w:type="gramStart"/>
            <w:r w:rsidRPr="00414A6D">
              <w:rPr>
                <w:rFonts w:ascii="Arial" w:hAnsi="Arial" w:cs="Arial"/>
                <w:sz w:val="22"/>
                <w:szCs w:val="22"/>
              </w:rPr>
              <w:t>)</w:t>
            </w:r>
            <w:r w:rsidRPr="00414A6D">
              <w:rPr>
                <w:rFonts w:ascii="Arial" w:hAnsi="Arial" w:cs="Arial"/>
                <w:sz w:val="22"/>
                <w:szCs w:val="22"/>
                <w:vertAlign w:val="superscript"/>
              </w:rPr>
              <w:t>¥</w:t>
            </w:r>
            <w:proofErr w:type="gramEnd"/>
          </w:p>
        </w:tc>
        <w:tc>
          <w:tcPr>
            <w:tcW w:w="540" w:type="dxa"/>
            <w:tcBorders>
              <w:top w:val="nil"/>
              <w:bottom w:val="single" w:sz="4" w:space="0" w:color="auto"/>
            </w:tcBorders>
          </w:tcPr>
          <w:p w14:paraId="0893C552"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single" w:sz="4" w:space="0" w:color="auto"/>
            </w:tcBorders>
          </w:tcPr>
          <w:p w14:paraId="28057F48" w14:textId="77777777" w:rsidR="00485660" w:rsidRPr="00414A6D" w:rsidRDefault="00485660" w:rsidP="006C675F">
            <w:pPr>
              <w:rPr>
                <w:rFonts w:ascii="Arial" w:hAnsi="Arial" w:cs="Arial"/>
                <w:sz w:val="22"/>
                <w:szCs w:val="22"/>
              </w:rPr>
            </w:pPr>
          </w:p>
        </w:tc>
        <w:tc>
          <w:tcPr>
            <w:tcW w:w="541" w:type="dxa"/>
            <w:tcBorders>
              <w:top w:val="nil"/>
              <w:bottom w:val="single" w:sz="4" w:space="0" w:color="auto"/>
            </w:tcBorders>
          </w:tcPr>
          <w:p w14:paraId="75F0B23D" w14:textId="77777777" w:rsidR="00485660" w:rsidRPr="00414A6D" w:rsidRDefault="00485660" w:rsidP="006C675F">
            <w:pPr>
              <w:rPr>
                <w:rFonts w:ascii="Arial" w:hAnsi="Arial" w:cs="Arial"/>
                <w:sz w:val="22"/>
                <w:szCs w:val="22"/>
              </w:rPr>
            </w:pPr>
          </w:p>
        </w:tc>
      </w:tr>
      <w:tr w:rsidR="00485660" w:rsidRPr="00414A6D" w14:paraId="41AD93BC" w14:textId="77777777" w:rsidTr="006C675F">
        <w:tc>
          <w:tcPr>
            <w:tcW w:w="7621" w:type="dxa"/>
          </w:tcPr>
          <w:p w14:paraId="53DB7A73" w14:textId="77777777" w:rsidR="00485660" w:rsidRPr="00414A6D" w:rsidRDefault="00485660" w:rsidP="006C675F">
            <w:pPr>
              <w:rPr>
                <w:rFonts w:ascii="Arial" w:hAnsi="Arial" w:cs="Arial"/>
                <w:sz w:val="22"/>
                <w:szCs w:val="22"/>
              </w:rPr>
            </w:pPr>
            <w:r w:rsidRPr="00414A6D">
              <w:rPr>
                <w:rFonts w:ascii="Arial" w:hAnsi="Arial" w:cs="Arial"/>
                <w:sz w:val="22"/>
                <w:szCs w:val="22"/>
              </w:rPr>
              <w:t>Average length of stay (days)</w:t>
            </w:r>
            <w:r w:rsidRPr="00414A6D">
              <w:rPr>
                <w:rFonts w:ascii="Arial" w:hAnsi="Arial" w:cs="Arial"/>
                <w:sz w:val="22"/>
                <w:szCs w:val="22"/>
                <w:vertAlign w:val="superscript"/>
              </w:rPr>
              <w:t>*ɫ</w:t>
            </w:r>
          </w:p>
        </w:tc>
        <w:tc>
          <w:tcPr>
            <w:tcW w:w="540" w:type="dxa"/>
          </w:tcPr>
          <w:p w14:paraId="25F56E49"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Pr>
          <w:p w14:paraId="5394BE8F"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Pr>
          <w:p w14:paraId="0C5F5E33" w14:textId="77777777" w:rsidR="00485660" w:rsidRPr="00414A6D" w:rsidRDefault="00485660" w:rsidP="006C675F">
            <w:pPr>
              <w:rPr>
                <w:rFonts w:ascii="Arial" w:hAnsi="Arial" w:cs="Arial"/>
                <w:sz w:val="22"/>
                <w:szCs w:val="22"/>
              </w:rPr>
            </w:pPr>
          </w:p>
        </w:tc>
      </w:tr>
      <w:tr w:rsidR="00485660" w:rsidRPr="00414A6D" w14:paraId="7D0DE289" w14:textId="77777777" w:rsidTr="006C675F">
        <w:tc>
          <w:tcPr>
            <w:tcW w:w="7621" w:type="dxa"/>
          </w:tcPr>
          <w:p w14:paraId="3B095888" w14:textId="77777777" w:rsidR="00485660" w:rsidRPr="00414A6D" w:rsidRDefault="00485660" w:rsidP="006C675F">
            <w:pPr>
              <w:rPr>
                <w:rFonts w:ascii="Arial" w:hAnsi="Arial" w:cs="Arial"/>
                <w:sz w:val="22"/>
                <w:szCs w:val="22"/>
              </w:rPr>
            </w:pPr>
            <w:r w:rsidRPr="00414A6D">
              <w:rPr>
                <w:rFonts w:ascii="Arial" w:hAnsi="Arial" w:cs="Arial"/>
                <w:sz w:val="22"/>
                <w:szCs w:val="22"/>
              </w:rPr>
              <w:t>Surgery cancellation rate (%)</w:t>
            </w:r>
            <w:r w:rsidRPr="00414A6D">
              <w:rPr>
                <w:rFonts w:ascii="Arial" w:hAnsi="Arial" w:cs="Arial"/>
                <w:sz w:val="22"/>
                <w:szCs w:val="22"/>
                <w:vertAlign w:val="superscript"/>
              </w:rPr>
              <w:t>ɫ</w:t>
            </w:r>
          </w:p>
        </w:tc>
        <w:tc>
          <w:tcPr>
            <w:tcW w:w="540" w:type="dxa"/>
          </w:tcPr>
          <w:p w14:paraId="70962CF3"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Pr>
          <w:p w14:paraId="4C47546C"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Pr>
          <w:p w14:paraId="677E8DAC" w14:textId="77777777" w:rsidR="00485660" w:rsidRPr="00414A6D" w:rsidRDefault="00485660" w:rsidP="006C675F">
            <w:pPr>
              <w:rPr>
                <w:rFonts w:ascii="Arial" w:hAnsi="Arial" w:cs="Arial"/>
                <w:sz w:val="22"/>
                <w:szCs w:val="22"/>
              </w:rPr>
            </w:pPr>
          </w:p>
        </w:tc>
      </w:tr>
      <w:tr w:rsidR="00485660" w:rsidRPr="00414A6D" w14:paraId="649F908A" w14:textId="77777777" w:rsidTr="006C675F">
        <w:tc>
          <w:tcPr>
            <w:tcW w:w="7621" w:type="dxa"/>
          </w:tcPr>
          <w:p w14:paraId="18B8A6EB" w14:textId="77777777" w:rsidR="00485660" w:rsidRPr="00414A6D" w:rsidRDefault="00485660" w:rsidP="006C675F">
            <w:pPr>
              <w:rPr>
                <w:rFonts w:ascii="Arial" w:hAnsi="Arial" w:cs="Arial"/>
                <w:sz w:val="22"/>
                <w:szCs w:val="22"/>
              </w:rPr>
            </w:pPr>
            <w:r w:rsidRPr="00414A6D">
              <w:rPr>
                <w:rFonts w:ascii="Arial" w:hAnsi="Arial" w:cs="Arial"/>
                <w:sz w:val="22"/>
                <w:szCs w:val="22"/>
              </w:rPr>
              <w:t>Standardised mortality ratio, fractured neck of femur (SMR score)</w:t>
            </w:r>
            <w:r w:rsidRPr="00414A6D">
              <w:rPr>
                <w:rFonts w:ascii="Arial" w:hAnsi="Arial" w:cs="Arial"/>
                <w:sz w:val="22"/>
                <w:szCs w:val="22"/>
                <w:vertAlign w:val="superscript"/>
              </w:rPr>
              <w:t>*</w:t>
            </w:r>
            <w:r w:rsidRPr="00414A6D">
              <w:rPr>
                <w:rFonts w:ascii="Arial" w:hAnsi="Arial" w:cs="Arial"/>
                <w:sz w:val="22"/>
                <w:szCs w:val="22"/>
              </w:rPr>
              <w:t xml:space="preserve">/ 12-month </w:t>
            </w:r>
            <w:proofErr w:type="spellStart"/>
            <w:r w:rsidRPr="00414A6D">
              <w:rPr>
                <w:rFonts w:ascii="Arial" w:hAnsi="Arial" w:cs="Arial"/>
                <w:sz w:val="22"/>
                <w:szCs w:val="22"/>
              </w:rPr>
              <w:t>mortality</w:t>
            </w:r>
            <w:r w:rsidRPr="00414A6D">
              <w:rPr>
                <w:rFonts w:ascii="Arial" w:hAnsi="Arial" w:cs="Arial"/>
                <w:sz w:val="22"/>
                <w:szCs w:val="22"/>
                <w:vertAlign w:val="superscript"/>
              </w:rPr>
              <w:t>ɫ</w:t>
            </w:r>
            <w:proofErr w:type="spellEnd"/>
          </w:p>
        </w:tc>
        <w:tc>
          <w:tcPr>
            <w:tcW w:w="540" w:type="dxa"/>
          </w:tcPr>
          <w:p w14:paraId="7EE856AA" w14:textId="77777777" w:rsidR="00485660" w:rsidRPr="00414A6D" w:rsidRDefault="00485660" w:rsidP="006C675F">
            <w:pPr>
              <w:rPr>
                <w:rFonts w:ascii="Arial" w:hAnsi="Arial" w:cs="Arial"/>
                <w:sz w:val="22"/>
                <w:szCs w:val="22"/>
              </w:rPr>
            </w:pPr>
          </w:p>
        </w:tc>
        <w:tc>
          <w:tcPr>
            <w:tcW w:w="540" w:type="dxa"/>
          </w:tcPr>
          <w:p w14:paraId="3251BB09"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Pr>
          <w:p w14:paraId="048104BE"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18EBE06F" w14:textId="77777777" w:rsidTr="006C675F">
        <w:tc>
          <w:tcPr>
            <w:tcW w:w="7621" w:type="dxa"/>
            <w:tcBorders>
              <w:bottom w:val="nil"/>
            </w:tcBorders>
          </w:tcPr>
          <w:p w14:paraId="5878DBB8" w14:textId="77777777" w:rsidR="00485660" w:rsidRPr="00414A6D" w:rsidRDefault="00485660" w:rsidP="006C675F">
            <w:pPr>
              <w:keepNext/>
              <w:rPr>
                <w:rFonts w:ascii="Arial" w:hAnsi="Arial" w:cs="Arial"/>
                <w:sz w:val="22"/>
                <w:szCs w:val="22"/>
              </w:rPr>
            </w:pPr>
            <w:r w:rsidRPr="00414A6D">
              <w:rPr>
                <w:rFonts w:ascii="Arial" w:hAnsi="Arial" w:cs="Arial"/>
                <w:sz w:val="22"/>
                <w:szCs w:val="22"/>
              </w:rPr>
              <w:t>Complications (%)</w:t>
            </w:r>
          </w:p>
        </w:tc>
        <w:tc>
          <w:tcPr>
            <w:tcW w:w="540" w:type="dxa"/>
            <w:tcBorders>
              <w:bottom w:val="nil"/>
            </w:tcBorders>
          </w:tcPr>
          <w:p w14:paraId="2F91F6AA" w14:textId="77777777" w:rsidR="00485660" w:rsidRPr="00414A6D" w:rsidRDefault="00485660" w:rsidP="006C675F">
            <w:pPr>
              <w:keepNext/>
              <w:rPr>
                <w:rFonts w:ascii="Arial" w:hAnsi="Arial" w:cs="Arial"/>
                <w:sz w:val="22"/>
                <w:szCs w:val="22"/>
              </w:rPr>
            </w:pPr>
          </w:p>
        </w:tc>
        <w:tc>
          <w:tcPr>
            <w:tcW w:w="540" w:type="dxa"/>
            <w:tcBorders>
              <w:bottom w:val="nil"/>
            </w:tcBorders>
          </w:tcPr>
          <w:p w14:paraId="0DB0A2EA" w14:textId="77777777" w:rsidR="00485660" w:rsidRPr="00414A6D" w:rsidRDefault="00485660" w:rsidP="006C675F">
            <w:pPr>
              <w:keepNext/>
              <w:rPr>
                <w:rFonts w:ascii="Arial" w:hAnsi="Arial" w:cs="Arial"/>
                <w:sz w:val="22"/>
                <w:szCs w:val="22"/>
              </w:rPr>
            </w:pPr>
          </w:p>
        </w:tc>
        <w:tc>
          <w:tcPr>
            <w:tcW w:w="541" w:type="dxa"/>
            <w:tcBorders>
              <w:bottom w:val="nil"/>
            </w:tcBorders>
          </w:tcPr>
          <w:p w14:paraId="4C66A59A" w14:textId="77777777" w:rsidR="00485660" w:rsidRPr="00414A6D" w:rsidRDefault="00485660" w:rsidP="006C675F">
            <w:pPr>
              <w:keepNext/>
              <w:rPr>
                <w:rFonts w:ascii="Arial" w:hAnsi="Arial" w:cs="Arial"/>
                <w:sz w:val="22"/>
                <w:szCs w:val="22"/>
              </w:rPr>
            </w:pPr>
          </w:p>
        </w:tc>
      </w:tr>
      <w:tr w:rsidR="00485660" w:rsidRPr="00414A6D" w14:paraId="55BC911A" w14:textId="77777777" w:rsidTr="006C675F">
        <w:tc>
          <w:tcPr>
            <w:tcW w:w="7621" w:type="dxa"/>
            <w:tcBorders>
              <w:top w:val="nil"/>
              <w:bottom w:val="nil"/>
            </w:tcBorders>
          </w:tcPr>
          <w:p w14:paraId="2C0DD3D9"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Pressure ulcers (%)</w:t>
            </w:r>
            <w:proofErr w:type="spellStart"/>
            <w:r w:rsidRPr="00414A6D">
              <w:rPr>
                <w:rFonts w:ascii="Arial" w:hAnsi="Arial" w:cs="Arial"/>
                <w:sz w:val="22"/>
                <w:szCs w:val="22"/>
                <w:vertAlign w:val="superscript"/>
              </w:rPr>
              <w:t>ɫѰ</w:t>
            </w:r>
            <w:proofErr w:type="spellEnd"/>
          </w:p>
        </w:tc>
        <w:tc>
          <w:tcPr>
            <w:tcW w:w="540" w:type="dxa"/>
            <w:tcBorders>
              <w:top w:val="nil"/>
              <w:bottom w:val="nil"/>
            </w:tcBorders>
          </w:tcPr>
          <w:p w14:paraId="2984F749"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6D0F81FC"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06FA91EB" w14:textId="77777777" w:rsidR="00485660" w:rsidRPr="00414A6D" w:rsidRDefault="00485660" w:rsidP="006C675F">
            <w:pPr>
              <w:keepNext/>
              <w:rPr>
                <w:rFonts w:ascii="Arial" w:hAnsi="Arial" w:cs="Arial"/>
                <w:sz w:val="22"/>
                <w:szCs w:val="22"/>
              </w:rPr>
            </w:pPr>
          </w:p>
        </w:tc>
      </w:tr>
      <w:tr w:rsidR="00485660" w:rsidRPr="00414A6D" w14:paraId="17025F53" w14:textId="77777777" w:rsidTr="006C675F">
        <w:tc>
          <w:tcPr>
            <w:tcW w:w="7621" w:type="dxa"/>
            <w:tcBorders>
              <w:top w:val="nil"/>
              <w:bottom w:val="nil"/>
            </w:tcBorders>
          </w:tcPr>
          <w:p w14:paraId="3E177D25"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Unspecified decubitus ulcer and pressure area</w:t>
            </w:r>
          </w:p>
        </w:tc>
        <w:tc>
          <w:tcPr>
            <w:tcW w:w="540" w:type="dxa"/>
            <w:tcBorders>
              <w:top w:val="nil"/>
              <w:bottom w:val="nil"/>
            </w:tcBorders>
          </w:tcPr>
          <w:p w14:paraId="2628C118"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04848898"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6B78DEA5" w14:textId="77777777" w:rsidR="00485660" w:rsidRPr="00414A6D" w:rsidRDefault="00485660" w:rsidP="006C675F">
            <w:pPr>
              <w:keepNext/>
              <w:rPr>
                <w:rFonts w:ascii="Arial" w:hAnsi="Arial" w:cs="Arial"/>
                <w:sz w:val="20"/>
                <w:szCs w:val="20"/>
              </w:rPr>
            </w:pPr>
          </w:p>
        </w:tc>
      </w:tr>
      <w:tr w:rsidR="00485660" w:rsidRPr="00414A6D" w14:paraId="0AEB434B" w14:textId="77777777" w:rsidTr="006C675F">
        <w:tc>
          <w:tcPr>
            <w:tcW w:w="7621" w:type="dxa"/>
            <w:tcBorders>
              <w:top w:val="nil"/>
              <w:bottom w:val="nil"/>
            </w:tcBorders>
          </w:tcPr>
          <w:p w14:paraId="510F9E89"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Stage I ulcer</w:t>
            </w:r>
          </w:p>
        </w:tc>
        <w:tc>
          <w:tcPr>
            <w:tcW w:w="540" w:type="dxa"/>
            <w:tcBorders>
              <w:top w:val="nil"/>
              <w:bottom w:val="nil"/>
            </w:tcBorders>
          </w:tcPr>
          <w:p w14:paraId="5F41CE20"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7A8D9217"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242A6ED9" w14:textId="77777777" w:rsidR="00485660" w:rsidRPr="00414A6D" w:rsidRDefault="00485660" w:rsidP="006C675F">
            <w:pPr>
              <w:keepNext/>
              <w:rPr>
                <w:rFonts w:ascii="Arial" w:hAnsi="Arial" w:cs="Arial"/>
                <w:sz w:val="20"/>
                <w:szCs w:val="20"/>
              </w:rPr>
            </w:pPr>
          </w:p>
        </w:tc>
      </w:tr>
      <w:tr w:rsidR="00485660" w:rsidRPr="00414A6D" w14:paraId="55E96FD6" w14:textId="77777777" w:rsidTr="006C675F">
        <w:tc>
          <w:tcPr>
            <w:tcW w:w="7621" w:type="dxa"/>
            <w:tcBorders>
              <w:top w:val="nil"/>
              <w:bottom w:val="nil"/>
            </w:tcBorders>
          </w:tcPr>
          <w:p w14:paraId="7E813A28"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Stage II ulcer (see Indicator 5c above)</w:t>
            </w:r>
          </w:p>
        </w:tc>
        <w:tc>
          <w:tcPr>
            <w:tcW w:w="540" w:type="dxa"/>
            <w:tcBorders>
              <w:top w:val="nil"/>
              <w:bottom w:val="nil"/>
            </w:tcBorders>
          </w:tcPr>
          <w:p w14:paraId="3EA10D4A"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438793FE"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43455562" w14:textId="77777777" w:rsidR="00485660" w:rsidRPr="00414A6D" w:rsidRDefault="00485660" w:rsidP="006C675F">
            <w:pPr>
              <w:keepNext/>
              <w:rPr>
                <w:rFonts w:ascii="Arial" w:hAnsi="Arial" w:cs="Arial"/>
                <w:sz w:val="20"/>
                <w:szCs w:val="20"/>
              </w:rPr>
            </w:pPr>
          </w:p>
        </w:tc>
      </w:tr>
      <w:tr w:rsidR="00485660" w:rsidRPr="00414A6D" w14:paraId="2575B6C6" w14:textId="77777777" w:rsidTr="006C675F">
        <w:tc>
          <w:tcPr>
            <w:tcW w:w="7621" w:type="dxa"/>
            <w:tcBorders>
              <w:top w:val="nil"/>
              <w:bottom w:val="nil"/>
            </w:tcBorders>
          </w:tcPr>
          <w:p w14:paraId="77743968"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Stage III ulcer (see Indicator 5c above)</w:t>
            </w:r>
          </w:p>
        </w:tc>
        <w:tc>
          <w:tcPr>
            <w:tcW w:w="540" w:type="dxa"/>
            <w:tcBorders>
              <w:top w:val="nil"/>
              <w:bottom w:val="nil"/>
            </w:tcBorders>
          </w:tcPr>
          <w:p w14:paraId="40CB54B9"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537E267B"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29971E64" w14:textId="77777777" w:rsidR="00485660" w:rsidRPr="00414A6D" w:rsidRDefault="00485660" w:rsidP="006C675F">
            <w:pPr>
              <w:keepNext/>
              <w:rPr>
                <w:rFonts w:ascii="Arial" w:hAnsi="Arial" w:cs="Arial"/>
                <w:sz w:val="20"/>
                <w:szCs w:val="20"/>
              </w:rPr>
            </w:pPr>
          </w:p>
        </w:tc>
      </w:tr>
      <w:tr w:rsidR="00485660" w:rsidRPr="00414A6D" w14:paraId="7501EB8C" w14:textId="77777777" w:rsidTr="006C675F">
        <w:tc>
          <w:tcPr>
            <w:tcW w:w="7621" w:type="dxa"/>
            <w:tcBorders>
              <w:top w:val="nil"/>
              <w:bottom w:val="nil"/>
            </w:tcBorders>
          </w:tcPr>
          <w:p w14:paraId="2FF1989B"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Stage IV ulcer (see Indicator 5c above)</w:t>
            </w:r>
          </w:p>
        </w:tc>
        <w:tc>
          <w:tcPr>
            <w:tcW w:w="540" w:type="dxa"/>
            <w:tcBorders>
              <w:top w:val="nil"/>
              <w:bottom w:val="nil"/>
            </w:tcBorders>
          </w:tcPr>
          <w:p w14:paraId="62784182"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3A75F1D7"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59CBA83C" w14:textId="77777777" w:rsidR="00485660" w:rsidRPr="00414A6D" w:rsidRDefault="00485660" w:rsidP="006C675F">
            <w:pPr>
              <w:keepNext/>
              <w:rPr>
                <w:rFonts w:ascii="Arial" w:hAnsi="Arial" w:cs="Arial"/>
                <w:sz w:val="20"/>
                <w:szCs w:val="20"/>
              </w:rPr>
            </w:pPr>
          </w:p>
        </w:tc>
      </w:tr>
      <w:tr w:rsidR="00485660" w:rsidRPr="00414A6D" w14:paraId="6EED913B" w14:textId="77777777" w:rsidTr="006C675F">
        <w:trPr>
          <w:cantSplit/>
        </w:trPr>
        <w:tc>
          <w:tcPr>
            <w:tcW w:w="7621" w:type="dxa"/>
            <w:tcBorders>
              <w:top w:val="nil"/>
              <w:bottom w:val="nil"/>
            </w:tcBorders>
          </w:tcPr>
          <w:p w14:paraId="65B64D52"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Delirium (%)</w:t>
            </w:r>
            <w:proofErr w:type="spellStart"/>
            <w:r w:rsidRPr="00414A6D">
              <w:rPr>
                <w:rFonts w:ascii="Arial" w:hAnsi="Arial" w:cs="Arial"/>
                <w:sz w:val="22"/>
                <w:szCs w:val="22"/>
                <w:vertAlign w:val="superscript"/>
              </w:rPr>
              <w:t>ɫѰ</w:t>
            </w:r>
            <w:proofErr w:type="spellEnd"/>
          </w:p>
        </w:tc>
        <w:tc>
          <w:tcPr>
            <w:tcW w:w="540" w:type="dxa"/>
            <w:tcBorders>
              <w:top w:val="nil"/>
              <w:bottom w:val="nil"/>
            </w:tcBorders>
          </w:tcPr>
          <w:p w14:paraId="1DC13F8C"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19AFA1E6"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01E2A556" w14:textId="77777777" w:rsidR="00485660" w:rsidRPr="00414A6D" w:rsidRDefault="00485660" w:rsidP="006C675F">
            <w:pPr>
              <w:keepNext/>
              <w:rPr>
                <w:rFonts w:ascii="Arial" w:hAnsi="Arial" w:cs="Arial"/>
                <w:sz w:val="22"/>
                <w:szCs w:val="22"/>
              </w:rPr>
            </w:pPr>
          </w:p>
        </w:tc>
      </w:tr>
      <w:tr w:rsidR="00485660" w:rsidRPr="00414A6D" w14:paraId="553D19B7" w14:textId="77777777" w:rsidTr="006C675F">
        <w:trPr>
          <w:cantSplit/>
        </w:trPr>
        <w:tc>
          <w:tcPr>
            <w:tcW w:w="7621" w:type="dxa"/>
            <w:tcBorders>
              <w:top w:val="nil"/>
              <w:bottom w:val="nil"/>
            </w:tcBorders>
          </w:tcPr>
          <w:p w14:paraId="2AE97F18"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Venous thromboembolism (%)</w:t>
            </w:r>
            <w:r w:rsidRPr="00414A6D">
              <w:rPr>
                <w:rFonts w:ascii="Arial" w:hAnsi="Arial" w:cs="Arial"/>
                <w:sz w:val="22"/>
                <w:szCs w:val="22"/>
                <w:vertAlign w:val="superscript"/>
              </w:rPr>
              <w:t>Ѱ</w:t>
            </w:r>
          </w:p>
        </w:tc>
        <w:tc>
          <w:tcPr>
            <w:tcW w:w="540" w:type="dxa"/>
            <w:tcBorders>
              <w:top w:val="nil"/>
              <w:bottom w:val="nil"/>
            </w:tcBorders>
          </w:tcPr>
          <w:p w14:paraId="5ABD9375"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35CEE43E"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5D16F836" w14:textId="77777777" w:rsidR="00485660" w:rsidRPr="00414A6D" w:rsidRDefault="00485660" w:rsidP="006C675F">
            <w:pPr>
              <w:keepNext/>
              <w:rPr>
                <w:rFonts w:ascii="Arial" w:hAnsi="Arial" w:cs="Arial"/>
                <w:sz w:val="22"/>
                <w:szCs w:val="22"/>
              </w:rPr>
            </w:pPr>
          </w:p>
        </w:tc>
      </w:tr>
      <w:tr w:rsidR="00485660" w:rsidRPr="00414A6D" w14:paraId="1B045905" w14:textId="77777777" w:rsidTr="006C675F">
        <w:tc>
          <w:tcPr>
            <w:tcW w:w="7621" w:type="dxa"/>
            <w:tcBorders>
              <w:top w:val="nil"/>
              <w:bottom w:val="nil"/>
            </w:tcBorders>
          </w:tcPr>
          <w:p w14:paraId="2410631D"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Pulmonary embolism</w:t>
            </w:r>
          </w:p>
        </w:tc>
        <w:tc>
          <w:tcPr>
            <w:tcW w:w="540" w:type="dxa"/>
            <w:tcBorders>
              <w:top w:val="nil"/>
              <w:bottom w:val="nil"/>
            </w:tcBorders>
          </w:tcPr>
          <w:p w14:paraId="23B71D03"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42E0CEE3"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456DA94A" w14:textId="77777777" w:rsidR="00485660" w:rsidRPr="00414A6D" w:rsidRDefault="00485660" w:rsidP="006C675F">
            <w:pPr>
              <w:keepNext/>
              <w:rPr>
                <w:rFonts w:ascii="Arial" w:hAnsi="Arial" w:cs="Arial"/>
                <w:sz w:val="20"/>
                <w:szCs w:val="20"/>
              </w:rPr>
            </w:pPr>
          </w:p>
        </w:tc>
      </w:tr>
      <w:tr w:rsidR="00485660" w:rsidRPr="00414A6D" w14:paraId="3DA4AD28" w14:textId="77777777" w:rsidTr="006C675F">
        <w:tc>
          <w:tcPr>
            <w:tcW w:w="7621" w:type="dxa"/>
            <w:tcBorders>
              <w:top w:val="nil"/>
              <w:bottom w:val="nil"/>
            </w:tcBorders>
          </w:tcPr>
          <w:p w14:paraId="10D7E631" w14:textId="77777777" w:rsidR="00485660" w:rsidRPr="00414A6D" w:rsidRDefault="00485660" w:rsidP="007B1510">
            <w:pPr>
              <w:pStyle w:val="ListParagraph"/>
              <w:keepNext/>
              <w:numPr>
                <w:ilvl w:val="1"/>
                <w:numId w:val="17"/>
              </w:numPr>
              <w:rPr>
                <w:rFonts w:ascii="Arial" w:hAnsi="Arial" w:cs="Arial"/>
                <w:sz w:val="20"/>
                <w:szCs w:val="20"/>
              </w:rPr>
            </w:pPr>
            <w:r w:rsidRPr="00414A6D">
              <w:rPr>
                <w:rFonts w:ascii="Arial" w:hAnsi="Arial" w:cs="Arial"/>
                <w:sz w:val="20"/>
                <w:szCs w:val="20"/>
              </w:rPr>
              <w:t>Deep vein thrombosis</w:t>
            </w:r>
          </w:p>
        </w:tc>
        <w:tc>
          <w:tcPr>
            <w:tcW w:w="540" w:type="dxa"/>
            <w:tcBorders>
              <w:top w:val="nil"/>
              <w:bottom w:val="nil"/>
            </w:tcBorders>
          </w:tcPr>
          <w:p w14:paraId="45A6A351"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0" w:type="dxa"/>
            <w:tcBorders>
              <w:top w:val="nil"/>
              <w:bottom w:val="nil"/>
            </w:tcBorders>
          </w:tcPr>
          <w:p w14:paraId="24D43923" w14:textId="77777777" w:rsidR="00485660" w:rsidRPr="00414A6D" w:rsidRDefault="00485660" w:rsidP="006C675F">
            <w:pPr>
              <w:keepNext/>
              <w:rPr>
                <w:rFonts w:ascii="Arial" w:hAnsi="Arial" w:cs="Arial"/>
                <w:sz w:val="20"/>
                <w:szCs w:val="20"/>
              </w:rPr>
            </w:pPr>
            <w:r w:rsidRPr="00414A6D">
              <w:rPr>
                <w:rFonts w:ascii="Arial" w:hAnsi="Arial" w:cs="Arial"/>
                <w:sz w:val="22"/>
                <w:szCs w:val="22"/>
              </w:rPr>
              <w:sym w:font="Wingdings 2" w:char="F050"/>
            </w:r>
          </w:p>
        </w:tc>
        <w:tc>
          <w:tcPr>
            <w:tcW w:w="541" w:type="dxa"/>
            <w:tcBorders>
              <w:top w:val="nil"/>
              <w:bottom w:val="nil"/>
            </w:tcBorders>
          </w:tcPr>
          <w:p w14:paraId="7CA0BDF7" w14:textId="77777777" w:rsidR="00485660" w:rsidRPr="00414A6D" w:rsidRDefault="00485660" w:rsidP="006C675F">
            <w:pPr>
              <w:keepNext/>
              <w:rPr>
                <w:rFonts w:ascii="Arial" w:hAnsi="Arial" w:cs="Arial"/>
                <w:sz w:val="20"/>
                <w:szCs w:val="20"/>
              </w:rPr>
            </w:pPr>
          </w:p>
        </w:tc>
      </w:tr>
      <w:tr w:rsidR="00485660" w:rsidRPr="00414A6D" w14:paraId="5A42DD81" w14:textId="77777777" w:rsidTr="006C675F">
        <w:tc>
          <w:tcPr>
            <w:tcW w:w="7621" w:type="dxa"/>
            <w:tcBorders>
              <w:top w:val="nil"/>
              <w:bottom w:val="nil"/>
            </w:tcBorders>
          </w:tcPr>
          <w:p w14:paraId="7193BE41"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Pneumonia/chest infections (%)</w:t>
            </w:r>
            <w:r w:rsidRPr="00414A6D">
              <w:rPr>
                <w:rFonts w:ascii="Arial" w:hAnsi="Arial" w:cs="Arial"/>
                <w:sz w:val="22"/>
                <w:szCs w:val="22"/>
                <w:vertAlign w:val="superscript"/>
              </w:rPr>
              <w:t>ɫ</w:t>
            </w:r>
          </w:p>
        </w:tc>
        <w:tc>
          <w:tcPr>
            <w:tcW w:w="540" w:type="dxa"/>
            <w:tcBorders>
              <w:top w:val="nil"/>
              <w:bottom w:val="nil"/>
            </w:tcBorders>
          </w:tcPr>
          <w:p w14:paraId="4BF6C4F0"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54EE18CE"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4D3A8D13" w14:textId="77777777" w:rsidR="00485660" w:rsidRPr="00414A6D" w:rsidRDefault="00485660" w:rsidP="006C675F">
            <w:pPr>
              <w:keepNext/>
              <w:rPr>
                <w:rFonts w:ascii="Arial" w:hAnsi="Arial" w:cs="Arial"/>
                <w:sz w:val="22"/>
                <w:szCs w:val="22"/>
              </w:rPr>
            </w:pPr>
          </w:p>
        </w:tc>
      </w:tr>
      <w:tr w:rsidR="00485660" w:rsidRPr="00414A6D" w14:paraId="4FAE13AE" w14:textId="77777777" w:rsidTr="006C675F">
        <w:tc>
          <w:tcPr>
            <w:tcW w:w="7621" w:type="dxa"/>
            <w:tcBorders>
              <w:top w:val="nil"/>
              <w:bottom w:val="nil"/>
            </w:tcBorders>
          </w:tcPr>
          <w:p w14:paraId="52388244"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Arrhythmia/AMI (%)</w:t>
            </w:r>
            <w:proofErr w:type="spellStart"/>
            <w:r w:rsidRPr="00414A6D">
              <w:rPr>
                <w:rFonts w:ascii="Arial" w:hAnsi="Arial" w:cs="Arial"/>
                <w:sz w:val="22"/>
                <w:szCs w:val="22"/>
                <w:vertAlign w:val="superscript"/>
              </w:rPr>
              <w:t>ɫѰ</w:t>
            </w:r>
            <w:proofErr w:type="spellEnd"/>
          </w:p>
        </w:tc>
        <w:tc>
          <w:tcPr>
            <w:tcW w:w="540" w:type="dxa"/>
            <w:tcBorders>
              <w:top w:val="nil"/>
              <w:bottom w:val="nil"/>
            </w:tcBorders>
          </w:tcPr>
          <w:p w14:paraId="5CEA53D3"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249EBFCA"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79305EB4" w14:textId="77777777" w:rsidR="00485660" w:rsidRPr="00414A6D" w:rsidRDefault="00485660" w:rsidP="006C675F">
            <w:pPr>
              <w:rPr>
                <w:rFonts w:ascii="Arial" w:hAnsi="Arial" w:cs="Arial"/>
                <w:sz w:val="22"/>
                <w:szCs w:val="22"/>
              </w:rPr>
            </w:pPr>
          </w:p>
        </w:tc>
      </w:tr>
      <w:tr w:rsidR="00485660" w:rsidRPr="00414A6D" w14:paraId="1A922679" w14:textId="77777777" w:rsidTr="006C675F">
        <w:tc>
          <w:tcPr>
            <w:tcW w:w="7621" w:type="dxa"/>
            <w:tcBorders>
              <w:top w:val="nil"/>
              <w:bottom w:val="single" w:sz="4" w:space="0" w:color="auto"/>
            </w:tcBorders>
          </w:tcPr>
          <w:p w14:paraId="6435D074"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Healthcare-associated infection (%)</w:t>
            </w:r>
            <w:r w:rsidRPr="00414A6D">
              <w:rPr>
                <w:rFonts w:ascii="Arial" w:hAnsi="Arial" w:cs="Arial"/>
                <w:sz w:val="22"/>
                <w:szCs w:val="22"/>
                <w:vertAlign w:val="superscript"/>
              </w:rPr>
              <w:t>Ѱ</w:t>
            </w:r>
          </w:p>
        </w:tc>
        <w:tc>
          <w:tcPr>
            <w:tcW w:w="540" w:type="dxa"/>
            <w:tcBorders>
              <w:top w:val="nil"/>
              <w:bottom w:val="single" w:sz="4" w:space="0" w:color="auto"/>
            </w:tcBorders>
          </w:tcPr>
          <w:p w14:paraId="7F8ACE99"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single" w:sz="4" w:space="0" w:color="auto"/>
            </w:tcBorders>
          </w:tcPr>
          <w:p w14:paraId="0B24C955"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single" w:sz="4" w:space="0" w:color="auto"/>
            </w:tcBorders>
          </w:tcPr>
          <w:p w14:paraId="1D4C7E33" w14:textId="77777777" w:rsidR="00485660" w:rsidRPr="00414A6D" w:rsidRDefault="00485660" w:rsidP="006C675F">
            <w:pPr>
              <w:rPr>
                <w:rFonts w:ascii="Arial" w:hAnsi="Arial" w:cs="Arial"/>
                <w:sz w:val="22"/>
                <w:szCs w:val="22"/>
              </w:rPr>
            </w:pPr>
          </w:p>
        </w:tc>
      </w:tr>
      <w:tr w:rsidR="00485660" w:rsidRPr="00414A6D" w14:paraId="3C08D424" w14:textId="77777777" w:rsidTr="006C675F">
        <w:tc>
          <w:tcPr>
            <w:tcW w:w="7621" w:type="dxa"/>
            <w:tcBorders>
              <w:bottom w:val="nil"/>
            </w:tcBorders>
          </w:tcPr>
          <w:p w14:paraId="73DAAF6B" w14:textId="77777777" w:rsidR="00485660" w:rsidRPr="00414A6D" w:rsidRDefault="00485660" w:rsidP="006C675F">
            <w:pPr>
              <w:keepNext/>
              <w:rPr>
                <w:rFonts w:ascii="Arial" w:hAnsi="Arial" w:cs="Arial"/>
                <w:sz w:val="22"/>
                <w:szCs w:val="22"/>
              </w:rPr>
            </w:pPr>
            <w:r w:rsidRPr="00414A6D">
              <w:rPr>
                <w:rFonts w:ascii="Arial" w:hAnsi="Arial" w:cs="Arial"/>
                <w:sz w:val="22"/>
                <w:szCs w:val="22"/>
              </w:rPr>
              <w:t xml:space="preserve">Cost </w:t>
            </w:r>
            <w:proofErr w:type="spellStart"/>
            <w:r w:rsidRPr="00414A6D">
              <w:rPr>
                <w:rFonts w:ascii="Arial" w:hAnsi="Arial" w:cs="Arial"/>
                <w:sz w:val="22"/>
                <w:szCs w:val="22"/>
              </w:rPr>
              <w:t>information:</w:t>
            </w:r>
            <w:r w:rsidRPr="00414A6D">
              <w:rPr>
                <w:rFonts w:ascii="Arial" w:hAnsi="Arial" w:cs="Arial"/>
                <w:sz w:val="22"/>
                <w:szCs w:val="22"/>
                <w:vertAlign w:val="superscript"/>
              </w:rPr>
              <w:t>Δ</w:t>
            </w:r>
            <w:proofErr w:type="spellEnd"/>
          </w:p>
        </w:tc>
        <w:tc>
          <w:tcPr>
            <w:tcW w:w="540" w:type="dxa"/>
            <w:tcBorders>
              <w:bottom w:val="nil"/>
            </w:tcBorders>
          </w:tcPr>
          <w:p w14:paraId="2788964E" w14:textId="77777777" w:rsidR="00485660" w:rsidRPr="00414A6D" w:rsidRDefault="00485660" w:rsidP="006C675F">
            <w:pPr>
              <w:keepNext/>
              <w:rPr>
                <w:rFonts w:ascii="Arial" w:hAnsi="Arial" w:cs="Arial"/>
                <w:sz w:val="22"/>
                <w:szCs w:val="22"/>
              </w:rPr>
            </w:pPr>
          </w:p>
        </w:tc>
        <w:tc>
          <w:tcPr>
            <w:tcW w:w="540" w:type="dxa"/>
            <w:tcBorders>
              <w:bottom w:val="nil"/>
            </w:tcBorders>
          </w:tcPr>
          <w:p w14:paraId="3DFB00AF" w14:textId="77777777" w:rsidR="00485660" w:rsidRPr="00414A6D" w:rsidRDefault="00485660" w:rsidP="006C675F">
            <w:pPr>
              <w:keepNext/>
              <w:rPr>
                <w:rFonts w:ascii="Arial" w:hAnsi="Arial" w:cs="Arial"/>
                <w:sz w:val="22"/>
                <w:szCs w:val="22"/>
              </w:rPr>
            </w:pPr>
          </w:p>
        </w:tc>
        <w:tc>
          <w:tcPr>
            <w:tcW w:w="541" w:type="dxa"/>
            <w:tcBorders>
              <w:bottom w:val="nil"/>
            </w:tcBorders>
          </w:tcPr>
          <w:p w14:paraId="615604F3" w14:textId="77777777" w:rsidR="00485660" w:rsidRPr="00414A6D" w:rsidRDefault="00485660" w:rsidP="006C675F">
            <w:pPr>
              <w:keepNext/>
              <w:rPr>
                <w:rFonts w:ascii="Arial" w:hAnsi="Arial" w:cs="Arial"/>
                <w:sz w:val="22"/>
                <w:szCs w:val="22"/>
              </w:rPr>
            </w:pPr>
          </w:p>
        </w:tc>
      </w:tr>
      <w:tr w:rsidR="00485660" w:rsidRPr="00414A6D" w14:paraId="6073EF87" w14:textId="77777777" w:rsidTr="006C675F">
        <w:tc>
          <w:tcPr>
            <w:tcW w:w="7621" w:type="dxa"/>
            <w:tcBorders>
              <w:top w:val="nil"/>
              <w:bottom w:val="nil"/>
            </w:tcBorders>
          </w:tcPr>
          <w:p w14:paraId="39BF3834"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Direct costs of ward nursing staff</w:t>
            </w:r>
          </w:p>
        </w:tc>
        <w:tc>
          <w:tcPr>
            <w:tcW w:w="540" w:type="dxa"/>
            <w:tcBorders>
              <w:top w:val="nil"/>
              <w:bottom w:val="nil"/>
            </w:tcBorders>
          </w:tcPr>
          <w:p w14:paraId="77DBF589"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4C677005" w14:textId="77777777" w:rsidR="00485660" w:rsidRPr="00414A6D" w:rsidRDefault="00485660" w:rsidP="006C675F">
            <w:pPr>
              <w:keepNext/>
              <w:rPr>
                <w:rFonts w:ascii="Arial" w:hAnsi="Arial" w:cs="Arial"/>
                <w:sz w:val="22"/>
                <w:szCs w:val="22"/>
              </w:rPr>
            </w:pPr>
          </w:p>
        </w:tc>
        <w:tc>
          <w:tcPr>
            <w:tcW w:w="541" w:type="dxa"/>
            <w:tcBorders>
              <w:top w:val="nil"/>
              <w:bottom w:val="nil"/>
            </w:tcBorders>
          </w:tcPr>
          <w:p w14:paraId="37415558" w14:textId="77777777" w:rsidR="00485660" w:rsidRPr="00414A6D" w:rsidRDefault="00485660" w:rsidP="006C675F">
            <w:pPr>
              <w:keepNext/>
              <w:rPr>
                <w:rFonts w:ascii="Arial" w:hAnsi="Arial" w:cs="Arial"/>
                <w:sz w:val="22"/>
                <w:szCs w:val="22"/>
              </w:rPr>
            </w:pPr>
          </w:p>
        </w:tc>
      </w:tr>
      <w:tr w:rsidR="00485660" w:rsidRPr="00414A6D" w14:paraId="41F8D1BF" w14:textId="77777777" w:rsidTr="006C675F">
        <w:trPr>
          <w:cantSplit/>
        </w:trPr>
        <w:tc>
          <w:tcPr>
            <w:tcW w:w="7621" w:type="dxa"/>
            <w:tcBorders>
              <w:top w:val="nil"/>
              <w:bottom w:val="nil"/>
            </w:tcBorders>
          </w:tcPr>
          <w:p w14:paraId="5AB8F0B9"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Direct costs of ward medical staff</w:t>
            </w:r>
          </w:p>
        </w:tc>
        <w:tc>
          <w:tcPr>
            <w:tcW w:w="540" w:type="dxa"/>
            <w:tcBorders>
              <w:top w:val="nil"/>
              <w:bottom w:val="nil"/>
            </w:tcBorders>
          </w:tcPr>
          <w:p w14:paraId="03F7CB84"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5447466B" w14:textId="77777777" w:rsidR="00485660" w:rsidRPr="00414A6D" w:rsidRDefault="00485660" w:rsidP="006C675F">
            <w:pPr>
              <w:keepNext/>
              <w:rPr>
                <w:rFonts w:ascii="Arial" w:hAnsi="Arial" w:cs="Arial"/>
                <w:sz w:val="22"/>
                <w:szCs w:val="22"/>
              </w:rPr>
            </w:pPr>
          </w:p>
        </w:tc>
        <w:tc>
          <w:tcPr>
            <w:tcW w:w="541" w:type="dxa"/>
            <w:tcBorders>
              <w:top w:val="nil"/>
              <w:bottom w:val="nil"/>
            </w:tcBorders>
          </w:tcPr>
          <w:p w14:paraId="4D654AF1" w14:textId="77777777" w:rsidR="00485660" w:rsidRPr="00414A6D" w:rsidRDefault="00485660" w:rsidP="006C675F">
            <w:pPr>
              <w:keepNext/>
              <w:rPr>
                <w:rFonts w:ascii="Arial" w:hAnsi="Arial" w:cs="Arial"/>
                <w:sz w:val="22"/>
                <w:szCs w:val="22"/>
              </w:rPr>
            </w:pPr>
          </w:p>
        </w:tc>
      </w:tr>
      <w:tr w:rsidR="00485660" w:rsidRPr="00414A6D" w14:paraId="7F553A45" w14:textId="77777777" w:rsidTr="006C675F">
        <w:trPr>
          <w:cantSplit/>
        </w:trPr>
        <w:tc>
          <w:tcPr>
            <w:tcW w:w="7621" w:type="dxa"/>
            <w:tcBorders>
              <w:top w:val="nil"/>
              <w:bottom w:val="nil"/>
            </w:tcBorders>
          </w:tcPr>
          <w:p w14:paraId="01937032"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Direct costs of ward allied health staff</w:t>
            </w:r>
          </w:p>
        </w:tc>
        <w:tc>
          <w:tcPr>
            <w:tcW w:w="540" w:type="dxa"/>
            <w:tcBorders>
              <w:top w:val="nil"/>
              <w:bottom w:val="nil"/>
            </w:tcBorders>
          </w:tcPr>
          <w:p w14:paraId="1043DF8C"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16E3A5E0" w14:textId="77777777" w:rsidR="00485660" w:rsidRPr="00414A6D" w:rsidRDefault="00485660" w:rsidP="006C675F">
            <w:pPr>
              <w:keepNext/>
              <w:rPr>
                <w:rFonts w:ascii="Arial" w:hAnsi="Arial" w:cs="Arial"/>
                <w:sz w:val="22"/>
                <w:szCs w:val="22"/>
              </w:rPr>
            </w:pPr>
          </w:p>
        </w:tc>
        <w:tc>
          <w:tcPr>
            <w:tcW w:w="541" w:type="dxa"/>
            <w:tcBorders>
              <w:top w:val="nil"/>
              <w:bottom w:val="nil"/>
            </w:tcBorders>
          </w:tcPr>
          <w:p w14:paraId="365F4134" w14:textId="77777777" w:rsidR="00485660" w:rsidRPr="00414A6D" w:rsidRDefault="00485660" w:rsidP="006C675F">
            <w:pPr>
              <w:keepNext/>
              <w:rPr>
                <w:rFonts w:ascii="Arial" w:hAnsi="Arial" w:cs="Arial"/>
                <w:sz w:val="22"/>
                <w:szCs w:val="22"/>
              </w:rPr>
            </w:pPr>
          </w:p>
        </w:tc>
      </w:tr>
      <w:tr w:rsidR="00485660" w:rsidRPr="00414A6D" w14:paraId="5C99B640" w14:textId="77777777" w:rsidTr="006C675F">
        <w:tc>
          <w:tcPr>
            <w:tcW w:w="7621" w:type="dxa"/>
            <w:tcBorders>
              <w:top w:val="nil"/>
              <w:bottom w:val="nil"/>
            </w:tcBorders>
          </w:tcPr>
          <w:p w14:paraId="03A97171" w14:textId="77777777" w:rsidR="00485660" w:rsidRPr="00414A6D" w:rsidRDefault="00485660" w:rsidP="007B1510">
            <w:pPr>
              <w:pStyle w:val="ListParagraph"/>
              <w:keepNext/>
              <w:numPr>
                <w:ilvl w:val="0"/>
                <w:numId w:val="17"/>
              </w:numPr>
              <w:rPr>
                <w:rFonts w:ascii="Arial" w:hAnsi="Arial" w:cs="Arial"/>
                <w:sz w:val="22"/>
                <w:szCs w:val="22"/>
              </w:rPr>
            </w:pPr>
            <w:r w:rsidRPr="00414A6D">
              <w:rPr>
                <w:rFonts w:ascii="Arial" w:hAnsi="Arial" w:cs="Arial"/>
                <w:sz w:val="22"/>
                <w:szCs w:val="22"/>
              </w:rPr>
              <w:t>Direct costs of prosthetics</w:t>
            </w:r>
          </w:p>
        </w:tc>
        <w:tc>
          <w:tcPr>
            <w:tcW w:w="540" w:type="dxa"/>
            <w:tcBorders>
              <w:top w:val="nil"/>
              <w:bottom w:val="nil"/>
            </w:tcBorders>
          </w:tcPr>
          <w:p w14:paraId="16719FA5" w14:textId="77777777" w:rsidR="00485660" w:rsidRPr="00414A6D" w:rsidRDefault="00485660" w:rsidP="006C675F">
            <w:pPr>
              <w:keepNext/>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20063B22" w14:textId="77777777" w:rsidR="00485660" w:rsidRPr="00414A6D" w:rsidRDefault="00485660" w:rsidP="006C675F">
            <w:pPr>
              <w:keepNext/>
              <w:rPr>
                <w:rFonts w:ascii="Arial" w:hAnsi="Arial" w:cs="Arial"/>
                <w:sz w:val="22"/>
                <w:szCs w:val="22"/>
              </w:rPr>
            </w:pPr>
          </w:p>
        </w:tc>
        <w:tc>
          <w:tcPr>
            <w:tcW w:w="541" w:type="dxa"/>
            <w:tcBorders>
              <w:top w:val="nil"/>
              <w:bottom w:val="nil"/>
            </w:tcBorders>
          </w:tcPr>
          <w:p w14:paraId="2A17580D" w14:textId="77777777" w:rsidR="00485660" w:rsidRPr="00414A6D" w:rsidRDefault="00485660" w:rsidP="006C675F">
            <w:pPr>
              <w:keepNext/>
              <w:rPr>
                <w:rFonts w:ascii="Arial" w:hAnsi="Arial" w:cs="Arial"/>
                <w:sz w:val="22"/>
                <w:szCs w:val="22"/>
              </w:rPr>
            </w:pPr>
          </w:p>
        </w:tc>
      </w:tr>
      <w:tr w:rsidR="00485660" w:rsidRPr="00414A6D" w14:paraId="29A4C330" w14:textId="77777777" w:rsidTr="006C675F">
        <w:tc>
          <w:tcPr>
            <w:tcW w:w="7621" w:type="dxa"/>
            <w:tcBorders>
              <w:top w:val="nil"/>
              <w:bottom w:val="nil"/>
            </w:tcBorders>
          </w:tcPr>
          <w:p w14:paraId="0FF192B0"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Direct costs, operating room</w:t>
            </w:r>
          </w:p>
        </w:tc>
        <w:tc>
          <w:tcPr>
            <w:tcW w:w="540" w:type="dxa"/>
            <w:tcBorders>
              <w:top w:val="nil"/>
              <w:bottom w:val="nil"/>
            </w:tcBorders>
          </w:tcPr>
          <w:p w14:paraId="419530D2"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0" w:type="dxa"/>
            <w:tcBorders>
              <w:top w:val="nil"/>
              <w:bottom w:val="nil"/>
            </w:tcBorders>
          </w:tcPr>
          <w:p w14:paraId="137EBBB0" w14:textId="77777777" w:rsidR="00485660" w:rsidRPr="00414A6D" w:rsidRDefault="00485660" w:rsidP="006C675F">
            <w:pPr>
              <w:rPr>
                <w:rFonts w:ascii="Arial" w:hAnsi="Arial" w:cs="Arial"/>
                <w:sz w:val="22"/>
                <w:szCs w:val="22"/>
              </w:rPr>
            </w:pPr>
          </w:p>
        </w:tc>
        <w:tc>
          <w:tcPr>
            <w:tcW w:w="541" w:type="dxa"/>
            <w:tcBorders>
              <w:top w:val="nil"/>
              <w:bottom w:val="nil"/>
            </w:tcBorders>
          </w:tcPr>
          <w:p w14:paraId="7FF308C7" w14:textId="77777777" w:rsidR="00485660" w:rsidRPr="00414A6D" w:rsidRDefault="00485660" w:rsidP="006C675F">
            <w:pPr>
              <w:rPr>
                <w:rFonts w:ascii="Arial" w:hAnsi="Arial" w:cs="Arial"/>
                <w:sz w:val="22"/>
                <w:szCs w:val="22"/>
              </w:rPr>
            </w:pPr>
          </w:p>
        </w:tc>
      </w:tr>
      <w:tr w:rsidR="00485660" w:rsidRPr="00414A6D" w14:paraId="3D8698C7" w14:textId="77777777" w:rsidTr="006C675F">
        <w:tc>
          <w:tcPr>
            <w:tcW w:w="0" w:type="auto"/>
            <w:gridSpan w:val="4"/>
            <w:shd w:val="clear" w:color="auto" w:fill="DBE5F1" w:themeFill="accent1" w:themeFillTint="33"/>
          </w:tcPr>
          <w:p w14:paraId="30E0DCE2" w14:textId="77777777" w:rsidR="00485660" w:rsidRPr="00414A6D" w:rsidRDefault="00485660" w:rsidP="006C675F">
            <w:pPr>
              <w:keepNext/>
              <w:rPr>
                <w:rFonts w:ascii="Arial" w:hAnsi="Arial" w:cs="Arial"/>
              </w:rPr>
            </w:pPr>
            <w:r w:rsidRPr="00414A6D">
              <w:rPr>
                <w:rFonts w:ascii="Arial" w:hAnsi="Arial" w:cs="Arial"/>
              </w:rPr>
              <w:t>PATIENT EXPERIENCE</w:t>
            </w:r>
          </w:p>
        </w:tc>
      </w:tr>
      <w:tr w:rsidR="00485660" w:rsidRPr="00414A6D" w14:paraId="2EAFC60F" w14:textId="77777777" w:rsidTr="006C675F">
        <w:tc>
          <w:tcPr>
            <w:tcW w:w="7621" w:type="dxa"/>
            <w:tcBorders>
              <w:bottom w:val="nil"/>
            </w:tcBorders>
          </w:tcPr>
          <w:p w14:paraId="6F9FD97D" w14:textId="77777777" w:rsidR="00485660" w:rsidRPr="00414A6D" w:rsidRDefault="00485660" w:rsidP="006C675F">
            <w:pPr>
              <w:keepNext/>
              <w:rPr>
                <w:rFonts w:ascii="Arial" w:hAnsi="Arial" w:cs="Arial"/>
                <w:sz w:val="22"/>
                <w:szCs w:val="22"/>
              </w:rPr>
            </w:pPr>
            <w:r w:rsidRPr="00414A6D">
              <w:rPr>
                <w:rFonts w:ascii="Arial" w:hAnsi="Arial" w:cs="Arial"/>
                <w:sz w:val="22"/>
                <w:szCs w:val="22"/>
              </w:rPr>
              <w:t>Patient experience (%)</w:t>
            </w:r>
            <w:r w:rsidRPr="00414A6D">
              <w:rPr>
                <w:rFonts w:ascii="Arial" w:hAnsi="Arial" w:cs="Arial"/>
                <w:sz w:val="22"/>
                <w:szCs w:val="22"/>
                <w:vertAlign w:val="superscript"/>
              </w:rPr>
              <w:t xml:space="preserve">ɫ </w:t>
            </w:r>
          </w:p>
        </w:tc>
        <w:tc>
          <w:tcPr>
            <w:tcW w:w="540" w:type="dxa"/>
            <w:tcBorders>
              <w:bottom w:val="nil"/>
            </w:tcBorders>
          </w:tcPr>
          <w:p w14:paraId="62679063" w14:textId="77777777" w:rsidR="00485660" w:rsidRPr="00414A6D" w:rsidRDefault="00485660" w:rsidP="006C675F">
            <w:pPr>
              <w:rPr>
                <w:rFonts w:ascii="Arial" w:hAnsi="Arial" w:cs="Arial"/>
                <w:sz w:val="22"/>
                <w:szCs w:val="22"/>
              </w:rPr>
            </w:pPr>
          </w:p>
        </w:tc>
        <w:tc>
          <w:tcPr>
            <w:tcW w:w="540" w:type="dxa"/>
            <w:tcBorders>
              <w:bottom w:val="nil"/>
            </w:tcBorders>
          </w:tcPr>
          <w:p w14:paraId="3A1B0918" w14:textId="77777777" w:rsidR="00485660" w:rsidRPr="00414A6D" w:rsidRDefault="00485660" w:rsidP="006C675F">
            <w:pPr>
              <w:rPr>
                <w:rFonts w:ascii="Arial" w:hAnsi="Arial" w:cs="Arial"/>
                <w:sz w:val="22"/>
                <w:szCs w:val="22"/>
              </w:rPr>
            </w:pPr>
          </w:p>
        </w:tc>
        <w:tc>
          <w:tcPr>
            <w:tcW w:w="541" w:type="dxa"/>
            <w:tcBorders>
              <w:bottom w:val="nil"/>
            </w:tcBorders>
          </w:tcPr>
          <w:p w14:paraId="3A38C379" w14:textId="77777777" w:rsidR="00485660" w:rsidRPr="00414A6D" w:rsidRDefault="00485660" w:rsidP="006C675F">
            <w:pPr>
              <w:rPr>
                <w:rFonts w:ascii="Arial" w:hAnsi="Arial" w:cs="Arial"/>
                <w:sz w:val="22"/>
                <w:szCs w:val="22"/>
              </w:rPr>
            </w:pPr>
          </w:p>
        </w:tc>
      </w:tr>
      <w:tr w:rsidR="00485660" w:rsidRPr="00414A6D" w14:paraId="33AF7DC5" w14:textId="77777777" w:rsidTr="006C675F">
        <w:trPr>
          <w:cantSplit/>
        </w:trPr>
        <w:tc>
          <w:tcPr>
            <w:tcW w:w="7621" w:type="dxa"/>
            <w:tcBorders>
              <w:top w:val="nil"/>
              <w:bottom w:val="nil"/>
            </w:tcBorders>
          </w:tcPr>
          <w:p w14:paraId="284E03C5" w14:textId="77777777" w:rsidR="00485660" w:rsidRPr="00414A6D" w:rsidRDefault="00485660" w:rsidP="007B1510">
            <w:pPr>
              <w:pStyle w:val="ListParagraph"/>
              <w:keepNext/>
              <w:numPr>
                <w:ilvl w:val="0"/>
                <w:numId w:val="17"/>
              </w:numPr>
              <w:ind w:left="357" w:hanging="357"/>
              <w:rPr>
                <w:rFonts w:ascii="Arial" w:hAnsi="Arial" w:cs="Arial"/>
                <w:sz w:val="22"/>
                <w:szCs w:val="22"/>
              </w:rPr>
            </w:pPr>
            <w:r w:rsidRPr="00414A6D">
              <w:rPr>
                <w:rFonts w:ascii="Arial" w:hAnsi="Arial" w:cs="Arial"/>
                <w:sz w:val="22"/>
                <w:szCs w:val="22"/>
              </w:rPr>
              <w:t xml:space="preserve">Pain </w:t>
            </w:r>
            <w:proofErr w:type="spellStart"/>
            <w:r w:rsidRPr="00414A6D">
              <w:rPr>
                <w:rFonts w:ascii="Arial" w:hAnsi="Arial" w:cs="Arial"/>
                <w:sz w:val="22"/>
                <w:szCs w:val="22"/>
              </w:rPr>
              <w:t>management</w:t>
            </w:r>
            <w:r w:rsidRPr="00414A6D">
              <w:rPr>
                <w:rFonts w:ascii="Arial" w:hAnsi="Arial" w:cs="Arial"/>
                <w:sz w:val="22"/>
                <w:szCs w:val="22"/>
                <w:vertAlign w:val="superscript"/>
              </w:rPr>
              <w:t>ɫ</w:t>
            </w:r>
            <w:proofErr w:type="spellEnd"/>
            <w:r w:rsidRPr="00414A6D">
              <w:rPr>
                <w:rFonts w:ascii="Arial" w:hAnsi="Arial" w:cs="Arial"/>
                <w:sz w:val="22"/>
                <w:szCs w:val="22"/>
                <w:vertAlign w:val="superscript"/>
              </w:rPr>
              <w:t xml:space="preserve"> </w:t>
            </w:r>
            <w:r w:rsidRPr="00414A6D">
              <w:rPr>
                <w:rFonts w:ascii="Arial" w:hAnsi="Arial" w:cs="Arial"/>
                <w:sz w:val="22"/>
                <w:szCs w:val="22"/>
              </w:rPr>
              <w:t>(CATI-</w:t>
            </w:r>
            <w:proofErr w:type="spellStart"/>
            <w:r w:rsidRPr="00414A6D">
              <w:rPr>
                <w:rFonts w:ascii="Arial" w:hAnsi="Arial" w:cs="Arial"/>
                <w:sz w:val="22"/>
                <w:szCs w:val="22"/>
              </w:rPr>
              <w:t>PEx</w:t>
            </w:r>
            <w:proofErr w:type="spellEnd"/>
            <w:r w:rsidRPr="00414A6D">
              <w:rPr>
                <w:rFonts w:ascii="Arial" w:hAnsi="Arial" w:cs="Arial"/>
                <w:sz w:val="22"/>
                <w:szCs w:val="22"/>
              </w:rPr>
              <w:t xml:space="preserve"> Q7a and Q7b)</w:t>
            </w:r>
            <w:r w:rsidRPr="00414A6D">
              <w:rPr>
                <w:rFonts w:ascii="Arial" w:hAnsi="Arial" w:cs="Arial"/>
                <w:sz w:val="22"/>
                <w:szCs w:val="22"/>
                <w:vertAlign w:val="superscript"/>
              </w:rPr>
              <w:t>^</w:t>
            </w:r>
            <w:r w:rsidRPr="00414A6D">
              <w:rPr>
                <w:rFonts w:ascii="Arial" w:hAnsi="Arial" w:cs="Arial"/>
                <w:sz w:val="22"/>
                <w:szCs w:val="22"/>
              </w:rPr>
              <w:t>—see indicators 2a and 2b above</w:t>
            </w:r>
          </w:p>
        </w:tc>
        <w:tc>
          <w:tcPr>
            <w:tcW w:w="540" w:type="dxa"/>
            <w:tcBorders>
              <w:top w:val="nil"/>
              <w:bottom w:val="nil"/>
            </w:tcBorders>
          </w:tcPr>
          <w:p w14:paraId="53F359A2" w14:textId="77777777" w:rsidR="00485660" w:rsidRPr="00414A6D" w:rsidRDefault="00485660" w:rsidP="006C675F">
            <w:pPr>
              <w:rPr>
                <w:rFonts w:ascii="Arial" w:hAnsi="Arial" w:cs="Arial"/>
                <w:sz w:val="22"/>
                <w:szCs w:val="22"/>
              </w:rPr>
            </w:pPr>
          </w:p>
        </w:tc>
        <w:tc>
          <w:tcPr>
            <w:tcW w:w="540" w:type="dxa"/>
            <w:tcBorders>
              <w:top w:val="nil"/>
              <w:bottom w:val="nil"/>
            </w:tcBorders>
          </w:tcPr>
          <w:p w14:paraId="39C2771D"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74607683"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396C1D65" w14:textId="77777777" w:rsidTr="006C675F">
        <w:tc>
          <w:tcPr>
            <w:tcW w:w="7621" w:type="dxa"/>
            <w:tcBorders>
              <w:top w:val="nil"/>
              <w:bottom w:val="nil"/>
            </w:tcBorders>
          </w:tcPr>
          <w:p w14:paraId="6E78C3E8" w14:textId="77777777" w:rsidR="00485660" w:rsidRPr="00414A6D" w:rsidRDefault="00485660" w:rsidP="007B1510">
            <w:pPr>
              <w:pStyle w:val="ListParagraph"/>
              <w:numPr>
                <w:ilvl w:val="0"/>
                <w:numId w:val="18"/>
              </w:numPr>
              <w:rPr>
                <w:rFonts w:ascii="Arial" w:hAnsi="Arial" w:cs="Arial"/>
                <w:sz w:val="22"/>
                <w:szCs w:val="22"/>
              </w:rPr>
            </w:pPr>
            <w:r w:rsidRPr="00414A6D">
              <w:rPr>
                <w:rFonts w:ascii="Arial" w:hAnsi="Arial" w:cs="Arial"/>
                <w:sz w:val="22"/>
                <w:szCs w:val="22"/>
              </w:rPr>
              <w:t>Team coordination (CATI-</w:t>
            </w:r>
            <w:proofErr w:type="spellStart"/>
            <w:r w:rsidRPr="00414A6D">
              <w:rPr>
                <w:rFonts w:ascii="Arial" w:hAnsi="Arial" w:cs="Arial"/>
                <w:sz w:val="22"/>
                <w:szCs w:val="22"/>
              </w:rPr>
              <w:t>PEx</w:t>
            </w:r>
            <w:proofErr w:type="spellEnd"/>
            <w:r w:rsidRPr="00414A6D">
              <w:rPr>
                <w:rFonts w:ascii="Arial" w:hAnsi="Arial" w:cs="Arial"/>
                <w:sz w:val="22"/>
                <w:szCs w:val="22"/>
              </w:rPr>
              <w:t xml:space="preserve"> Q12)</w:t>
            </w:r>
            <w:r w:rsidRPr="00414A6D">
              <w:rPr>
                <w:rFonts w:ascii="Arial" w:hAnsi="Arial" w:cs="Arial"/>
                <w:sz w:val="22"/>
                <w:szCs w:val="22"/>
                <w:vertAlign w:val="superscript"/>
              </w:rPr>
              <w:t>^</w:t>
            </w:r>
            <w:r w:rsidRPr="00414A6D">
              <w:rPr>
                <w:rFonts w:ascii="Arial" w:hAnsi="Arial" w:cs="Arial"/>
                <w:sz w:val="22"/>
                <w:szCs w:val="22"/>
              </w:rPr>
              <w:t>—see indicators 3a and 7a above</w:t>
            </w:r>
          </w:p>
        </w:tc>
        <w:tc>
          <w:tcPr>
            <w:tcW w:w="540" w:type="dxa"/>
            <w:tcBorders>
              <w:top w:val="nil"/>
              <w:bottom w:val="nil"/>
            </w:tcBorders>
          </w:tcPr>
          <w:p w14:paraId="2A009737" w14:textId="77777777" w:rsidR="00485660" w:rsidRPr="00414A6D" w:rsidRDefault="00485660" w:rsidP="006C675F">
            <w:pPr>
              <w:rPr>
                <w:rFonts w:ascii="Arial" w:hAnsi="Arial" w:cs="Arial"/>
                <w:sz w:val="22"/>
                <w:szCs w:val="22"/>
              </w:rPr>
            </w:pPr>
          </w:p>
        </w:tc>
        <w:tc>
          <w:tcPr>
            <w:tcW w:w="540" w:type="dxa"/>
            <w:tcBorders>
              <w:top w:val="nil"/>
              <w:bottom w:val="nil"/>
            </w:tcBorders>
          </w:tcPr>
          <w:p w14:paraId="73B5DD3D"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22F55935"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27F5E298" w14:textId="77777777" w:rsidTr="006C675F">
        <w:tc>
          <w:tcPr>
            <w:tcW w:w="7621" w:type="dxa"/>
            <w:tcBorders>
              <w:top w:val="nil"/>
              <w:bottom w:val="nil"/>
            </w:tcBorders>
          </w:tcPr>
          <w:p w14:paraId="03B08F0D"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Preparation for discharge (CATI-</w:t>
            </w:r>
            <w:proofErr w:type="spellStart"/>
            <w:r w:rsidRPr="00414A6D">
              <w:rPr>
                <w:rFonts w:ascii="Arial" w:hAnsi="Arial" w:cs="Arial"/>
                <w:sz w:val="22"/>
                <w:szCs w:val="22"/>
              </w:rPr>
              <w:t>PEx</w:t>
            </w:r>
            <w:proofErr w:type="spellEnd"/>
            <w:r w:rsidRPr="00414A6D">
              <w:rPr>
                <w:rFonts w:ascii="Arial" w:hAnsi="Arial" w:cs="Arial"/>
                <w:sz w:val="22"/>
                <w:szCs w:val="22"/>
              </w:rPr>
              <w:t xml:space="preserve"> Q10 and Q11)</w:t>
            </w:r>
            <w:r w:rsidRPr="00414A6D">
              <w:rPr>
                <w:rFonts w:ascii="Arial" w:hAnsi="Arial" w:cs="Arial"/>
                <w:sz w:val="22"/>
                <w:szCs w:val="22"/>
                <w:vertAlign w:val="superscript"/>
              </w:rPr>
              <w:t>^</w:t>
            </w:r>
            <w:r w:rsidRPr="00414A6D">
              <w:rPr>
                <w:rFonts w:ascii="Arial" w:hAnsi="Arial" w:cs="Arial"/>
                <w:sz w:val="22"/>
                <w:szCs w:val="22"/>
              </w:rPr>
              <w:t xml:space="preserve"> —see indicators 7a and 7b above</w:t>
            </w:r>
          </w:p>
        </w:tc>
        <w:tc>
          <w:tcPr>
            <w:tcW w:w="540" w:type="dxa"/>
            <w:tcBorders>
              <w:top w:val="nil"/>
              <w:bottom w:val="nil"/>
            </w:tcBorders>
          </w:tcPr>
          <w:p w14:paraId="276C93A8" w14:textId="77777777" w:rsidR="00485660" w:rsidRPr="00414A6D" w:rsidRDefault="00485660" w:rsidP="006C675F">
            <w:pPr>
              <w:rPr>
                <w:rFonts w:ascii="Arial" w:hAnsi="Arial" w:cs="Arial"/>
                <w:sz w:val="22"/>
                <w:szCs w:val="22"/>
              </w:rPr>
            </w:pPr>
          </w:p>
        </w:tc>
        <w:tc>
          <w:tcPr>
            <w:tcW w:w="540" w:type="dxa"/>
            <w:tcBorders>
              <w:top w:val="nil"/>
              <w:bottom w:val="nil"/>
            </w:tcBorders>
          </w:tcPr>
          <w:p w14:paraId="0B6954C6"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62E5E102"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3F7AB876" w14:textId="77777777" w:rsidTr="006C675F">
        <w:tc>
          <w:tcPr>
            <w:tcW w:w="7621" w:type="dxa"/>
            <w:tcBorders>
              <w:top w:val="nil"/>
              <w:bottom w:val="nil"/>
            </w:tcBorders>
          </w:tcPr>
          <w:p w14:paraId="1F02A508"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Treated with dignity/respect (CATI-</w:t>
            </w:r>
            <w:proofErr w:type="spellStart"/>
            <w:r w:rsidRPr="00414A6D">
              <w:rPr>
                <w:rFonts w:ascii="Arial" w:hAnsi="Arial" w:cs="Arial"/>
                <w:sz w:val="22"/>
                <w:szCs w:val="22"/>
              </w:rPr>
              <w:t>PEx</w:t>
            </w:r>
            <w:proofErr w:type="spellEnd"/>
            <w:r w:rsidRPr="00414A6D">
              <w:rPr>
                <w:rFonts w:ascii="Arial" w:hAnsi="Arial" w:cs="Arial"/>
                <w:sz w:val="22"/>
                <w:szCs w:val="22"/>
              </w:rPr>
              <w:t xml:space="preserve"> Q1)</w:t>
            </w:r>
            <w:r w:rsidRPr="00414A6D">
              <w:rPr>
                <w:rFonts w:ascii="Arial" w:hAnsi="Arial" w:cs="Arial"/>
                <w:sz w:val="22"/>
                <w:szCs w:val="22"/>
                <w:vertAlign w:val="superscript"/>
              </w:rPr>
              <w:t>^</w:t>
            </w:r>
          </w:p>
        </w:tc>
        <w:tc>
          <w:tcPr>
            <w:tcW w:w="540" w:type="dxa"/>
            <w:tcBorders>
              <w:top w:val="nil"/>
              <w:bottom w:val="nil"/>
            </w:tcBorders>
          </w:tcPr>
          <w:p w14:paraId="4381E625" w14:textId="77777777" w:rsidR="00485660" w:rsidRPr="00414A6D" w:rsidRDefault="00485660" w:rsidP="006C675F">
            <w:pPr>
              <w:rPr>
                <w:rFonts w:ascii="Arial" w:hAnsi="Arial" w:cs="Arial"/>
                <w:sz w:val="22"/>
                <w:szCs w:val="22"/>
              </w:rPr>
            </w:pPr>
          </w:p>
        </w:tc>
        <w:tc>
          <w:tcPr>
            <w:tcW w:w="540" w:type="dxa"/>
            <w:tcBorders>
              <w:top w:val="nil"/>
              <w:bottom w:val="nil"/>
            </w:tcBorders>
          </w:tcPr>
          <w:p w14:paraId="6966E2CB"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2B177F48"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6EFCBF4D" w14:textId="77777777" w:rsidTr="006C675F">
        <w:tc>
          <w:tcPr>
            <w:tcW w:w="7621" w:type="dxa"/>
            <w:tcBorders>
              <w:top w:val="nil"/>
              <w:bottom w:val="nil"/>
            </w:tcBorders>
          </w:tcPr>
          <w:p w14:paraId="62034F65"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Informed about care (CATI-</w:t>
            </w:r>
            <w:proofErr w:type="spellStart"/>
            <w:r w:rsidRPr="00414A6D">
              <w:rPr>
                <w:rFonts w:ascii="Arial" w:hAnsi="Arial" w:cs="Arial"/>
                <w:sz w:val="22"/>
                <w:szCs w:val="22"/>
              </w:rPr>
              <w:t>PEx</w:t>
            </w:r>
            <w:proofErr w:type="spellEnd"/>
            <w:r w:rsidRPr="00414A6D">
              <w:rPr>
                <w:rFonts w:ascii="Arial" w:hAnsi="Arial" w:cs="Arial"/>
                <w:sz w:val="22"/>
                <w:szCs w:val="22"/>
              </w:rPr>
              <w:t xml:space="preserve"> Qs 1–6)</w:t>
            </w:r>
            <w:r w:rsidRPr="00414A6D">
              <w:rPr>
                <w:rFonts w:ascii="Arial" w:hAnsi="Arial" w:cs="Arial"/>
                <w:sz w:val="22"/>
                <w:szCs w:val="22"/>
                <w:vertAlign w:val="superscript"/>
              </w:rPr>
              <w:t>^</w:t>
            </w:r>
          </w:p>
        </w:tc>
        <w:tc>
          <w:tcPr>
            <w:tcW w:w="540" w:type="dxa"/>
            <w:tcBorders>
              <w:top w:val="nil"/>
              <w:bottom w:val="nil"/>
            </w:tcBorders>
          </w:tcPr>
          <w:p w14:paraId="3409CF4D" w14:textId="77777777" w:rsidR="00485660" w:rsidRPr="00414A6D" w:rsidRDefault="00485660" w:rsidP="006C675F">
            <w:pPr>
              <w:rPr>
                <w:rFonts w:ascii="Arial" w:hAnsi="Arial" w:cs="Arial"/>
                <w:sz w:val="22"/>
                <w:szCs w:val="22"/>
              </w:rPr>
            </w:pPr>
          </w:p>
        </w:tc>
        <w:tc>
          <w:tcPr>
            <w:tcW w:w="540" w:type="dxa"/>
            <w:tcBorders>
              <w:top w:val="nil"/>
              <w:bottom w:val="nil"/>
            </w:tcBorders>
          </w:tcPr>
          <w:p w14:paraId="77628F3E"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1B1E284D"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630E3008" w14:textId="77777777" w:rsidTr="006C675F">
        <w:tc>
          <w:tcPr>
            <w:tcW w:w="7621" w:type="dxa"/>
            <w:tcBorders>
              <w:top w:val="nil"/>
              <w:bottom w:val="nil"/>
            </w:tcBorders>
          </w:tcPr>
          <w:p w14:paraId="7143E90D" w14:textId="77777777" w:rsidR="00485660" w:rsidRPr="00414A6D" w:rsidRDefault="00485660" w:rsidP="007B1510">
            <w:pPr>
              <w:pStyle w:val="ListParagraph"/>
              <w:numPr>
                <w:ilvl w:val="0"/>
                <w:numId w:val="17"/>
              </w:numPr>
              <w:rPr>
                <w:rFonts w:ascii="Arial" w:hAnsi="Arial" w:cs="Arial"/>
                <w:sz w:val="22"/>
                <w:szCs w:val="22"/>
              </w:rPr>
            </w:pPr>
            <w:r w:rsidRPr="00414A6D">
              <w:rPr>
                <w:rFonts w:ascii="Arial" w:hAnsi="Arial" w:cs="Arial"/>
                <w:sz w:val="22"/>
                <w:szCs w:val="22"/>
              </w:rPr>
              <w:t xml:space="preserve">Discharge </w:t>
            </w:r>
            <w:proofErr w:type="spellStart"/>
            <w:r w:rsidRPr="00414A6D">
              <w:rPr>
                <w:rFonts w:ascii="Arial" w:hAnsi="Arial" w:cs="Arial"/>
                <w:sz w:val="22"/>
                <w:szCs w:val="22"/>
              </w:rPr>
              <w:t>destination</w:t>
            </w:r>
            <w:r w:rsidRPr="00414A6D">
              <w:rPr>
                <w:rFonts w:ascii="Arial" w:hAnsi="Arial" w:cs="Arial"/>
                <w:sz w:val="22"/>
                <w:szCs w:val="22"/>
                <w:vertAlign w:val="superscript"/>
              </w:rPr>
              <w:t>ɫ</w:t>
            </w:r>
            <w:proofErr w:type="spellEnd"/>
            <w:r w:rsidRPr="00414A6D">
              <w:rPr>
                <w:rFonts w:ascii="Arial" w:hAnsi="Arial" w:cs="Arial"/>
                <w:sz w:val="22"/>
                <w:szCs w:val="22"/>
              </w:rPr>
              <w:t>—see indicator 7a above</w:t>
            </w:r>
          </w:p>
        </w:tc>
        <w:tc>
          <w:tcPr>
            <w:tcW w:w="540" w:type="dxa"/>
            <w:tcBorders>
              <w:top w:val="nil"/>
              <w:bottom w:val="nil"/>
            </w:tcBorders>
          </w:tcPr>
          <w:p w14:paraId="55509022" w14:textId="77777777" w:rsidR="00485660" w:rsidRPr="00414A6D" w:rsidRDefault="00485660" w:rsidP="006C675F">
            <w:pPr>
              <w:rPr>
                <w:rFonts w:ascii="Arial" w:hAnsi="Arial" w:cs="Arial"/>
                <w:sz w:val="22"/>
                <w:szCs w:val="22"/>
              </w:rPr>
            </w:pPr>
          </w:p>
        </w:tc>
        <w:tc>
          <w:tcPr>
            <w:tcW w:w="540" w:type="dxa"/>
            <w:tcBorders>
              <w:top w:val="nil"/>
              <w:bottom w:val="nil"/>
            </w:tcBorders>
          </w:tcPr>
          <w:p w14:paraId="0EB63E4C"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Borders>
              <w:top w:val="nil"/>
              <w:bottom w:val="nil"/>
            </w:tcBorders>
          </w:tcPr>
          <w:p w14:paraId="0080AA34"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783D8972" w14:textId="77777777" w:rsidTr="006C675F">
        <w:tc>
          <w:tcPr>
            <w:tcW w:w="7621" w:type="dxa"/>
          </w:tcPr>
          <w:p w14:paraId="32558404" w14:textId="77777777" w:rsidR="00485660" w:rsidRPr="00414A6D" w:rsidRDefault="00485660" w:rsidP="006C675F">
            <w:pPr>
              <w:rPr>
                <w:rFonts w:ascii="Arial" w:hAnsi="Arial" w:cs="Arial"/>
                <w:sz w:val="22"/>
                <w:szCs w:val="22"/>
              </w:rPr>
            </w:pPr>
            <w:r w:rsidRPr="00414A6D">
              <w:rPr>
                <w:rFonts w:ascii="Arial" w:hAnsi="Arial" w:cs="Arial"/>
                <w:sz w:val="22"/>
                <w:szCs w:val="22"/>
              </w:rPr>
              <w:t xml:space="preserve">Return to pre-morbid </w:t>
            </w:r>
            <w:proofErr w:type="spellStart"/>
            <w:r w:rsidRPr="00414A6D">
              <w:rPr>
                <w:rFonts w:ascii="Arial" w:hAnsi="Arial" w:cs="Arial"/>
                <w:sz w:val="22"/>
                <w:szCs w:val="22"/>
              </w:rPr>
              <w:t>function</w:t>
            </w:r>
            <w:r w:rsidRPr="00414A6D">
              <w:rPr>
                <w:rFonts w:ascii="Arial" w:hAnsi="Arial" w:cs="Arial"/>
                <w:sz w:val="22"/>
                <w:szCs w:val="22"/>
                <w:vertAlign w:val="superscript"/>
              </w:rPr>
              <w:t>ɫ</w:t>
            </w:r>
            <w:proofErr w:type="spellEnd"/>
            <w:r w:rsidRPr="00414A6D">
              <w:rPr>
                <w:rFonts w:ascii="Arial" w:hAnsi="Arial" w:cs="Arial"/>
                <w:sz w:val="22"/>
                <w:szCs w:val="22"/>
              </w:rPr>
              <w:t>—see indicator 5d above</w:t>
            </w:r>
          </w:p>
        </w:tc>
        <w:tc>
          <w:tcPr>
            <w:tcW w:w="540" w:type="dxa"/>
          </w:tcPr>
          <w:p w14:paraId="15B65BFB" w14:textId="77777777" w:rsidR="00485660" w:rsidRPr="00414A6D" w:rsidRDefault="00485660" w:rsidP="006C675F">
            <w:pPr>
              <w:rPr>
                <w:rFonts w:ascii="Arial" w:hAnsi="Arial" w:cs="Arial"/>
                <w:sz w:val="22"/>
                <w:szCs w:val="22"/>
              </w:rPr>
            </w:pPr>
          </w:p>
        </w:tc>
        <w:tc>
          <w:tcPr>
            <w:tcW w:w="540" w:type="dxa"/>
          </w:tcPr>
          <w:p w14:paraId="0FF36D73"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c>
          <w:tcPr>
            <w:tcW w:w="541" w:type="dxa"/>
          </w:tcPr>
          <w:p w14:paraId="08BA9046" w14:textId="77777777" w:rsidR="00485660" w:rsidRPr="00414A6D" w:rsidRDefault="00485660" w:rsidP="006C675F">
            <w:pPr>
              <w:rPr>
                <w:rFonts w:ascii="Arial" w:hAnsi="Arial" w:cs="Arial"/>
                <w:sz w:val="22"/>
                <w:szCs w:val="22"/>
              </w:rPr>
            </w:pPr>
            <w:r w:rsidRPr="00414A6D">
              <w:rPr>
                <w:rFonts w:ascii="Arial" w:hAnsi="Arial" w:cs="Arial"/>
                <w:sz w:val="22"/>
                <w:szCs w:val="22"/>
              </w:rPr>
              <w:sym w:font="Wingdings 2" w:char="F050"/>
            </w:r>
          </w:p>
        </w:tc>
      </w:tr>
      <w:tr w:rsidR="00485660" w:rsidRPr="00414A6D" w14:paraId="68488CC3" w14:textId="77777777" w:rsidTr="006C675F">
        <w:tc>
          <w:tcPr>
            <w:tcW w:w="9242" w:type="dxa"/>
            <w:gridSpan w:val="4"/>
            <w:tcBorders>
              <w:top w:val="single" w:sz="4" w:space="0" w:color="auto"/>
            </w:tcBorders>
          </w:tcPr>
          <w:p w14:paraId="6BCEC735" w14:textId="77777777" w:rsidR="00485660" w:rsidRPr="00414A6D" w:rsidRDefault="00485660" w:rsidP="006C675F">
            <w:pPr>
              <w:rPr>
                <w:rFonts w:ascii="Arial" w:hAnsi="Arial" w:cs="Arial"/>
                <w:b/>
                <w:sz w:val="16"/>
                <w:szCs w:val="16"/>
              </w:rPr>
            </w:pPr>
            <w:r w:rsidRPr="00414A6D">
              <w:rPr>
                <w:rFonts w:ascii="Arial" w:hAnsi="Arial" w:cs="Arial"/>
                <w:b/>
                <w:sz w:val="16"/>
                <w:szCs w:val="16"/>
              </w:rPr>
              <w:t>Sources</w:t>
            </w:r>
          </w:p>
          <w:p w14:paraId="76BD3290" w14:textId="77777777" w:rsidR="00485660" w:rsidRPr="00414A6D" w:rsidRDefault="00485660" w:rsidP="006C675F">
            <w:pPr>
              <w:rPr>
                <w:rFonts w:ascii="Arial" w:hAnsi="Arial" w:cs="Arial"/>
                <w:sz w:val="16"/>
                <w:szCs w:val="16"/>
              </w:rPr>
            </w:pPr>
            <w:r w:rsidRPr="00414A6D">
              <w:rPr>
                <w:rFonts w:ascii="Arial" w:hAnsi="Arial" w:cs="Arial"/>
                <w:sz w:val="16"/>
                <w:szCs w:val="16"/>
                <w:vertAlign w:val="superscript"/>
              </w:rPr>
              <w:t>α</w:t>
            </w:r>
            <w:r w:rsidRPr="00414A6D">
              <w:rPr>
                <w:rFonts w:ascii="Arial" w:hAnsi="Arial" w:cs="Arial"/>
                <w:sz w:val="16"/>
                <w:szCs w:val="16"/>
              </w:rPr>
              <w:t xml:space="preserve"> Hip Fracture Care Clinical Care Standard, decisions of the Indicator Subgroup, 11 December 2014</w:t>
            </w:r>
          </w:p>
          <w:p w14:paraId="5349B752" w14:textId="77777777" w:rsidR="00485660" w:rsidRPr="00414A6D" w:rsidRDefault="00485660" w:rsidP="006C675F">
            <w:pPr>
              <w:rPr>
                <w:rFonts w:ascii="Arial" w:hAnsi="Arial" w:cs="Arial"/>
                <w:sz w:val="16"/>
                <w:szCs w:val="16"/>
              </w:rPr>
            </w:pPr>
            <w:r w:rsidRPr="00414A6D">
              <w:rPr>
                <w:rFonts w:ascii="Arial" w:hAnsi="Arial" w:cs="Arial"/>
                <w:sz w:val="16"/>
                <w:szCs w:val="16"/>
                <w:vertAlign w:val="superscript"/>
              </w:rPr>
              <w:t>Δ</w:t>
            </w:r>
            <w:r w:rsidRPr="00414A6D">
              <w:rPr>
                <w:rFonts w:ascii="Arial" w:hAnsi="Arial" w:cs="Arial"/>
                <w:sz w:val="16"/>
                <w:szCs w:val="16"/>
              </w:rPr>
              <w:t xml:space="preserve"> Preliminary information from IHPA on most expensive cost buckets in hip fracture surgery.</w:t>
            </w:r>
          </w:p>
          <w:p w14:paraId="4E0AAC1D" w14:textId="77777777" w:rsidR="00485660" w:rsidRPr="00414A6D" w:rsidRDefault="00485660" w:rsidP="006C675F">
            <w:pPr>
              <w:rPr>
                <w:rFonts w:ascii="Arial" w:hAnsi="Arial" w:cs="Arial"/>
                <w:sz w:val="16"/>
                <w:szCs w:val="16"/>
              </w:rPr>
            </w:pPr>
            <w:r w:rsidRPr="00414A6D">
              <w:rPr>
                <w:rFonts w:ascii="Arial" w:hAnsi="Arial" w:cs="Arial"/>
                <w:sz w:val="16"/>
                <w:szCs w:val="16"/>
              </w:rPr>
              <w:t>* Australian and New Zealand Guideline for Hip Fracture Care, September 2014</w:t>
            </w:r>
          </w:p>
          <w:p w14:paraId="0A79C0E3" w14:textId="77777777" w:rsidR="00485660" w:rsidRPr="00414A6D" w:rsidRDefault="00485660" w:rsidP="006C675F">
            <w:pPr>
              <w:rPr>
                <w:rFonts w:ascii="Arial" w:hAnsi="Arial" w:cs="Arial"/>
                <w:sz w:val="16"/>
                <w:szCs w:val="16"/>
              </w:rPr>
            </w:pPr>
            <w:r w:rsidRPr="00414A6D">
              <w:rPr>
                <w:rFonts w:ascii="Arial" w:hAnsi="Arial" w:cs="Arial"/>
                <w:sz w:val="16"/>
                <w:szCs w:val="16"/>
              </w:rPr>
              <w:t>ɫ NSW Agency for Clinical Innovation’s Minimum Standards for the Management of Hip Fracture in the Older Person, June 2014</w:t>
            </w:r>
          </w:p>
          <w:p w14:paraId="7BE96A9A" w14:textId="77777777" w:rsidR="00485660" w:rsidRPr="00414A6D" w:rsidRDefault="00485660" w:rsidP="006C675F">
            <w:pPr>
              <w:rPr>
                <w:rFonts w:ascii="Arial" w:hAnsi="Arial" w:cs="Arial"/>
                <w:sz w:val="16"/>
                <w:szCs w:val="16"/>
              </w:rPr>
            </w:pPr>
            <w:r w:rsidRPr="00414A6D">
              <w:rPr>
                <w:rFonts w:ascii="Arial" w:hAnsi="Arial" w:cs="Arial"/>
                <w:sz w:val="16"/>
                <w:szCs w:val="16"/>
              </w:rPr>
              <w:t>¥ CHBOI mortality risk adjusters</w:t>
            </w:r>
          </w:p>
          <w:p w14:paraId="44AB813E" w14:textId="77777777" w:rsidR="00485660" w:rsidRPr="00414A6D" w:rsidRDefault="00485660" w:rsidP="006C675F">
            <w:pPr>
              <w:rPr>
                <w:rFonts w:ascii="Arial" w:hAnsi="Arial" w:cs="Arial"/>
                <w:sz w:val="16"/>
                <w:szCs w:val="16"/>
              </w:rPr>
            </w:pPr>
            <w:r w:rsidRPr="00414A6D">
              <w:rPr>
                <w:rFonts w:ascii="Arial" w:hAnsi="Arial" w:cs="Arial"/>
                <w:sz w:val="16"/>
                <w:szCs w:val="16"/>
              </w:rPr>
              <w:t>∞ UK National Health Service’s Fragility hip fracture Best Practice Tariff (BPT) program</w:t>
            </w:r>
          </w:p>
          <w:p w14:paraId="028A0590" w14:textId="77777777" w:rsidR="00485660" w:rsidRPr="00414A6D" w:rsidRDefault="00485660" w:rsidP="006C675F">
            <w:pPr>
              <w:rPr>
                <w:rFonts w:ascii="Arial" w:hAnsi="Arial" w:cs="Arial"/>
                <w:sz w:val="16"/>
                <w:szCs w:val="16"/>
              </w:rPr>
            </w:pPr>
            <w:r w:rsidRPr="00414A6D">
              <w:rPr>
                <w:rFonts w:ascii="Arial" w:hAnsi="Arial" w:cs="Arial"/>
                <w:sz w:val="16"/>
                <w:szCs w:val="16"/>
              </w:rPr>
              <w:t>Φ WA Health Hip Fracture Premium Payments</w:t>
            </w:r>
          </w:p>
          <w:p w14:paraId="04041738" w14:textId="77777777" w:rsidR="00485660" w:rsidRPr="00414A6D" w:rsidRDefault="00485660" w:rsidP="006C675F">
            <w:pPr>
              <w:rPr>
                <w:rFonts w:ascii="Arial" w:hAnsi="Arial" w:cs="Arial"/>
                <w:sz w:val="16"/>
                <w:szCs w:val="16"/>
              </w:rPr>
            </w:pPr>
            <w:r w:rsidRPr="00414A6D">
              <w:rPr>
                <w:rFonts w:ascii="Arial" w:hAnsi="Arial" w:cs="Arial"/>
                <w:sz w:val="16"/>
                <w:szCs w:val="16"/>
              </w:rPr>
              <w:t>Ѱ Draft national set of high-priority hospital complications</w:t>
            </w:r>
          </w:p>
          <w:p w14:paraId="2BFB71C6" w14:textId="77777777" w:rsidR="00485660" w:rsidRPr="00414A6D" w:rsidRDefault="00485660" w:rsidP="006C675F">
            <w:pPr>
              <w:rPr>
                <w:rFonts w:ascii="Arial" w:hAnsi="Arial" w:cs="Arial"/>
                <w:sz w:val="16"/>
                <w:szCs w:val="16"/>
              </w:rPr>
            </w:pPr>
            <w:r w:rsidRPr="00414A6D">
              <w:rPr>
                <w:rFonts w:ascii="Arial" w:hAnsi="Arial" w:cs="Arial"/>
                <w:sz w:val="16"/>
                <w:szCs w:val="16"/>
              </w:rPr>
              <w:t>^ National set of core, common patient experience questions – for overnight-admitted patients, ACSQHC.</w:t>
            </w:r>
          </w:p>
        </w:tc>
      </w:tr>
    </w:tbl>
    <w:p w14:paraId="424D0F9C" w14:textId="77777777" w:rsidR="00485660" w:rsidRPr="00414A6D" w:rsidRDefault="00485660" w:rsidP="00485660">
      <w:pPr>
        <w:rPr>
          <w:rFonts w:ascii="Arial" w:hAnsi="Arial" w:cs="Arial"/>
          <w:sz w:val="16"/>
          <w:szCs w:val="16"/>
        </w:rPr>
      </w:pPr>
    </w:p>
    <w:p w14:paraId="215CB215" w14:textId="77777777" w:rsidR="00785461" w:rsidRPr="00414A6D" w:rsidRDefault="00785461">
      <w:pPr>
        <w:rPr>
          <w:rFonts w:ascii="Arial" w:hAnsi="Arial" w:cs="Arial"/>
          <w:b/>
          <w:sz w:val="21"/>
          <w:szCs w:val="21"/>
        </w:rPr>
      </w:pPr>
      <w:r w:rsidRPr="00414A6D">
        <w:rPr>
          <w:rFonts w:ascii="Arial" w:hAnsi="Arial" w:cs="Arial"/>
          <w:b/>
          <w:sz w:val="21"/>
          <w:szCs w:val="21"/>
        </w:rPr>
        <w:br w:type="page"/>
      </w:r>
    </w:p>
    <w:p w14:paraId="7C28A45F" w14:textId="77777777" w:rsidR="00E0362E" w:rsidRPr="00D41ED6" w:rsidRDefault="00B61E00" w:rsidP="00D41ED6">
      <w:pPr>
        <w:pStyle w:val="Heading2"/>
        <w:numPr>
          <w:ilvl w:val="0"/>
          <w:numId w:val="0"/>
        </w:numPr>
        <w:rPr>
          <w:b w:val="0"/>
          <w:sz w:val="22"/>
          <w:szCs w:val="22"/>
        </w:rPr>
      </w:pPr>
      <w:bookmarkStart w:id="49" w:name="_Toc426633826"/>
      <w:r w:rsidRPr="00D41ED6">
        <w:rPr>
          <w:sz w:val="22"/>
          <w:szCs w:val="22"/>
        </w:rPr>
        <w:t>Appendix</w:t>
      </w:r>
      <w:r w:rsidR="0072383D" w:rsidRPr="00D41ED6">
        <w:rPr>
          <w:sz w:val="22"/>
          <w:szCs w:val="22"/>
        </w:rPr>
        <w:t xml:space="preserve"> </w:t>
      </w:r>
      <w:r w:rsidR="0018750E" w:rsidRPr="00D41ED6">
        <w:rPr>
          <w:sz w:val="22"/>
          <w:szCs w:val="22"/>
        </w:rPr>
        <w:t>H</w:t>
      </w:r>
      <w:r w:rsidR="0072383D" w:rsidRPr="00D41ED6">
        <w:rPr>
          <w:sz w:val="22"/>
          <w:szCs w:val="22"/>
        </w:rPr>
        <w:t>. References</w:t>
      </w:r>
      <w:bookmarkEnd w:id="49"/>
      <w:r w:rsidR="00FB3904" w:rsidRPr="00D41ED6">
        <w:rPr>
          <w:sz w:val="22"/>
          <w:szCs w:val="22"/>
        </w:rPr>
        <w:t xml:space="preserve"> </w:t>
      </w:r>
    </w:p>
    <w:p w14:paraId="3E36BB0F" w14:textId="77777777" w:rsidR="00E07ED7" w:rsidRPr="00414A6D" w:rsidRDefault="00E07ED7" w:rsidP="00D147A4">
      <w:pPr>
        <w:spacing w:before="20" w:after="60"/>
        <w:ind w:right="-85"/>
        <w:jc w:val="both"/>
        <w:rPr>
          <w:rFonts w:ascii="Arial" w:hAnsi="Arial" w:cs="Arial"/>
          <w:b/>
          <w:sz w:val="21"/>
          <w:szCs w:val="21"/>
        </w:rPr>
      </w:pPr>
    </w:p>
    <w:p w14:paraId="54B313AD" w14:textId="77777777" w:rsidR="00402FBB" w:rsidRPr="00414A6D" w:rsidRDefault="00E07ED7" w:rsidP="00402FBB">
      <w:pPr>
        <w:jc w:val="both"/>
        <w:rPr>
          <w:rFonts w:ascii="Arial" w:hAnsi="Arial" w:cs="Arial"/>
          <w:noProof/>
          <w:sz w:val="22"/>
          <w:szCs w:val="20"/>
        </w:rPr>
      </w:pPr>
      <w:r w:rsidRPr="00414A6D">
        <w:rPr>
          <w:rFonts w:ascii="Arial" w:hAnsi="Arial" w:cs="Arial"/>
          <w:sz w:val="20"/>
          <w:szCs w:val="20"/>
        </w:rPr>
        <w:fldChar w:fldCharType="begin"/>
      </w:r>
      <w:r w:rsidRPr="00414A6D">
        <w:rPr>
          <w:rFonts w:ascii="Arial" w:hAnsi="Arial" w:cs="Arial"/>
          <w:sz w:val="20"/>
          <w:szCs w:val="20"/>
        </w:rPr>
        <w:instrText xml:space="preserve"> ADDIN EN.REFLIST </w:instrText>
      </w:r>
      <w:r w:rsidRPr="00414A6D">
        <w:rPr>
          <w:rFonts w:ascii="Arial" w:hAnsi="Arial" w:cs="Arial"/>
          <w:sz w:val="20"/>
          <w:szCs w:val="20"/>
        </w:rPr>
        <w:fldChar w:fldCharType="separate"/>
      </w:r>
      <w:bookmarkStart w:id="50" w:name="_ENREF_1"/>
      <w:r w:rsidR="00402FBB" w:rsidRPr="00414A6D">
        <w:rPr>
          <w:rFonts w:ascii="Arial" w:hAnsi="Arial" w:cs="Arial"/>
          <w:noProof/>
          <w:sz w:val="22"/>
          <w:szCs w:val="20"/>
        </w:rPr>
        <w:t>1.</w:t>
      </w:r>
      <w:r w:rsidR="00402FBB" w:rsidRPr="00414A6D">
        <w:rPr>
          <w:rFonts w:ascii="Arial" w:hAnsi="Arial" w:cs="Arial"/>
          <w:noProof/>
          <w:sz w:val="22"/>
          <w:szCs w:val="20"/>
        </w:rPr>
        <w:tab/>
        <w:t xml:space="preserve">Volz KG and Gigerenzer G. The Brain is not "as-if" - Taking Stock of the Neuroscientific Approach on Decision Making. In: Papageorgiou TD, Christopoulous GI and Smirnakis SM, (eds.). </w:t>
      </w:r>
      <w:r w:rsidR="00402FBB" w:rsidRPr="00414A6D">
        <w:rPr>
          <w:rFonts w:ascii="Arial" w:hAnsi="Arial" w:cs="Arial"/>
          <w:i/>
          <w:noProof/>
          <w:sz w:val="22"/>
          <w:szCs w:val="20"/>
        </w:rPr>
        <w:t>Advanced Brain Neuroimaging Topics in Health and Disease - Methods and Applications</w:t>
      </w:r>
      <w:r w:rsidR="00402FBB" w:rsidRPr="00414A6D">
        <w:rPr>
          <w:rFonts w:ascii="Arial" w:hAnsi="Arial" w:cs="Arial"/>
          <w:noProof/>
          <w:sz w:val="22"/>
          <w:szCs w:val="20"/>
        </w:rPr>
        <w:t>. InTech, 2014.</w:t>
      </w:r>
      <w:bookmarkEnd w:id="50"/>
    </w:p>
    <w:p w14:paraId="7506BCE5" w14:textId="77777777" w:rsidR="00402FBB" w:rsidRPr="00414A6D" w:rsidRDefault="00402FBB" w:rsidP="00402FBB">
      <w:pPr>
        <w:jc w:val="both"/>
        <w:rPr>
          <w:rFonts w:ascii="Arial" w:hAnsi="Arial" w:cs="Arial"/>
          <w:noProof/>
          <w:sz w:val="22"/>
          <w:szCs w:val="20"/>
        </w:rPr>
      </w:pPr>
      <w:bookmarkStart w:id="51" w:name="_ENREF_2"/>
      <w:r w:rsidRPr="00414A6D">
        <w:rPr>
          <w:rFonts w:ascii="Arial" w:hAnsi="Arial" w:cs="Arial"/>
          <w:noProof/>
          <w:sz w:val="22"/>
          <w:szCs w:val="20"/>
        </w:rPr>
        <w:t>2.</w:t>
      </w:r>
      <w:r w:rsidRPr="00414A6D">
        <w:rPr>
          <w:rFonts w:ascii="Arial" w:hAnsi="Arial" w:cs="Arial"/>
          <w:noProof/>
          <w:sz w:val="22"/>
          <w:szCs w:val="20"/>
        </w:rPr>
        <w:tab/>
        <w:t xml:space="preserve">Mehrotra A, Sorbero M and Damberg C. Using the lessons of behavioural economics to design more effective pay-for-performance programs. </w:t>
      </w:r>
      <w:r w:rsidRPr="00414A6D">
        <w:rPr>
          <w:rFonts w:ascii="Arial" w:hAnsi="Arial" w:cs="Arial"/>
          <w:i/>
          <w:noProof/>
          <w:sz w:val="22"/>
          <w:szCs w:val="20"/>
        </w:rPr>
        <w:t>National Institutes of Health</w:t>
      </w:r>
      <w:r w:rsidRPr="00414A6D">
        <w:rPr>
          <w:rFonts w:ascii="Arial" w:hAnsi="Arial" w:cs="Arial"/>
          <w:noProof/>
          <w:sz w:val="22"/>
          <w:szCs w:val="20"/>
        </w:rPr>
        <w:t>. Am J Manag Care 2010, p. 497-503.</w:t>
      </w:r>
      <w:bookmarkEnd w:id="51"/>
    </w:p>
    <w:p w14:paraId="1E89905C" w14:textId="77777777" w:rsidR="00402FBB" w:rsidRPr="00414A6D" w:rsidRDefault="00402FBB" w:rsidP="00402FBB">
      <w:pPr>
        <w:jc w:val="both"/>
        <w:rPr>
          <w:rFonts w:ascii="Arial" w:hAnsi="Arial" w:cs="Arial"/>
          <w:noProof/>
          <w:sz w:val="22"/>
          <w:szCs w:val="20"/>
        </w:rPr>
      </w:pPr>
      <w:bookmarkStart w:id="52" w:name="_ENREF_3"/>
      <w:r w:rsidRPr="00414A6D">
        <w:rPr>
          <w:rFonts w:ascii="Arial" w:hAnsi="Arial" w:cs="Arial"/>
          <w:noProof/>
          <w:sz w:val="22"/>
          <w:szCs w:val="20"/>
        </w:rPr>
        <w:t>3.</w:t>
      </w:r>
      <w:r w:rsidRPr="00414A6D">
        <w:rPr>
          <w:rFonts w:ascii="Arial" w:hAnsi="Arial" w:cs="Arial"/>
          <w:noProof/>
          <w:sz w:val="22"/>
          <w:szCs w:val="20"/>
        </w:rPr>
        <w:tab/>
        <w:t>Slawomirski L. Joint Working Party Literature Review. Sydney: Australian Commission on Safety and Quality in Health Care, 2014.</w:t>
      </w:r>
      <w:bookmarkEnd w:id="52"/>
    </w:p>
    <w:p w14:paraId="1E73D3F1" w14:textId="77777777" w:rsidR="00402FBB" w:rsidRPr="00414A6D" w:rsidRDefault="00402FBB" w:rsidP="00402FBB">
      <w:pPr>
        <w:jc w:val="both"/>
        <w:rPr>
          <w:rFonts w:ascii="Arial" w:hAnsi="Arial" w:cs="Arial"/>
          <w:noProof/>
          <w:sz w:val="22"/>
          <w:szCs w:val="20"/>
        </w:rPr>
      </w:pPr>
      <w:bookmarkStart w:id="53" w:name="_ENREF_4"/>
      <w:r w:rsidRPr="00414A6D">
        <w:rPr>
          <w:rFonts w:ascii="Arial" w:hAnsi="Arial" w:cs="Arial"/>
          <w:noProof/>
          <w:sz w:val="22"/>
          <w:szCs w:val="20"/>
        </w:rPr>
        <w:t>4.</w:t>
      </w:r>
      <w:r w:rsidRPr="00414A6D">
        <w:rPr>
          <w:rFonts w:ascii="Arial" w:hAnsi="Arial" w:cs="Arial"/>
          <w:noProof/>
          <w:sz w:val="22"/>
          <w:szCs w:val="20"/>
        </w:rPr>
        <w:tab/>
        <w:t xml:space="preserve">Kristensen SR, Siciliani L and Sutton M. Optimal Price Setting in Pay for Performance Schemes in Health Care. In: Department of Economics and Related Studies, (ed.). </w:t>
      </w:r>
      <w:r w:rsidRPr="00414A6D">
        <w:rPr>
          <w:rFonts w:ascii="Arial" w:hAnsi="Arial" w:cs="Arial"/>
          <w:i/>
          <w:noProof/>
          <w:sz w:val="22"/>
          <w:szCs w:val="20"/>
        </w:rPr>
        <w:t>Discussion Papers in Economics</w:t>
      </w:r>
      <w:r w:rsidRPr="00414A6D">
        <w:rPr>
          <w:rFonts w:ascii="Arial" w:hAnsi="Arial" w:cs="Arial"/>
          <w:noProof/>
          <w:sz w:val="22"/>
          <w:szCs w:val="20"/>
        </w:rPr>
        <w:t>. York: University of York, 2003.</w:t>
      </w:r>
      <w:bookmarkEnd w:id="53"/>
    </w:p>
    <w:p w14:paraId="5C969912" w14:textId="77777777" w:rsidR="00402FBB" w:rsidRPr="00414A6D" w:rsidRDefault="00402FBB" w:rsidP="00402FBB">
      <w:pPr>
        <w:jc w:val="both"/>
        <w:rPr>
          <w:rFonts w:ascii="Arial" w:hAnsi="Arial" w:cs="Arial"/>
          <w:noProof/>
          <w:sz w:val="22"/>
          <w:szCs w:val="20"/>
        </w:rPr>
      </w:pPr>
      <w:bookmarkStart w:id="54" w:name="_ENREF_5"/>
      <w:r w:rsidRPr="00414A6D">
        <w:rPr>
          <w:rFonts w:ascii="Arial" w:hAnsi="Arial" w:cs="Arial"/>
          <w:noProof/>
          <w:sz w:val="22"/>
          <w:szCs w:val="20"/>
        </w:rPr>
        <w:t>5.</w:t>
      </w:r>
      <w:r w:rsidRPr="00414A6D">
        <w:rPr>
          <w:rFonts w:ascii="Arial" w:hAnsi="Arial" w:cs="Arial"/>
          <w:noProof/>
          <w:sz w:val="22"/>
          <w:szCs w:val="20"/>
        </w:rPr>
        <w:tab/>
        <w:t xml:space="preserve">Conrad DA and Perry L. Quality-Based Financial Incentives in Health Care: Can We Improve Quality by Paying for It? </w:t>
      </w:r>
      <w:r w:rsidRPr="00414A6D">
        <w:rPr>
          <w:rFonts w:ascii="Arial" w:hAnsi="Arial" w:cs="Arial"/>
          <w:i/>
          <w:noProof/>
          <w:sz w:val="22"/>
          <w:szCs w:val="20"/>
        </w:rPr>
        <w:t>Annual Review of Public Health</w:t>
      </w:r>
      <w:r w:rsidRPr="00414A6D">
        <w:rPr>
          <w:rFonts w:ascii="Arial" w:hAnsi="Arial" w:cs="Arial"/>
          <w:noProof/>
          <w:sz w:val="22"/>
          <w:szCs w:val="20"/>
        </w:rPr>
        <w:t>. 2009; 30: 357-71.</w:t>
      </w:r>
      <w:bookmarkEnd w:id="54"/>
    </w:p>
    <w:p w14:paraId="187B1D2F" w14:textId="77777777" w:rsidR="00402FBB" w:rsidRPr="00414A6D" w:rsidRDefault="00402FBB" w:rsidP="00402FBB">
      <w:pPr>
        <w:jc w:val="both"/>
        <w:rPr>
          <w:rFonts w:ascii="Arial" w:hAnsi="Arial" w:cs="Arial"/>
          <w:noProof/>
          <w:sz w:val="22"/>
          <w:szCs w:val="20"/>
        </w:rPr>
      </w:pPr>
      <w:bookmarkStart w:id="55" w:name="_ENREF_6"/>
      <w:r w:rsidRPr="00414A6D">
        <w:rPr>
          <w:rFonts w:ascii="Arial" w:hAnsi="Arial" w:cs="Arial"/>
          <w:noProof/>
          <w:sz w:val="22"/>
          <w:szCs w:val="20"/>
        </w:rPr>
        <w:t>6.</w:t>
      </w:r>
      <w:r w:rsidRPr="00414A6D">
        <w:rPr>
          <w:rFonts w:ascii="Arial" w:hAnsi="Arial" w:cs="Arial"/>
          <w:noProof/>
          <w:sz w:val="22"/>
          <w:szCs w:val="20"/>
        </w:rPr>
        <w:tab/>
        <w:t>Audit Commission. Best Practice Tariffs and their impact. United Kingdom2012.</w:t>
      </w:r>
      <w:bookmarkEnd w:id="55"/>
    </w:p>
    <w:p w14:paraId="461B5F27" w14:textId="77777777" w:rsidR="00402FBB" w:rsidRPr="00414A6D" w:rsidRDefault="00402FBB" w:rsidP="00402FBB">
      <w:pPr>
        <w:jc w:val="both"/>
        <w:rPr>
          <w:rFonts w:ascii="Arial" w:hAnsi="Arial" w:cs="Arial"/>
          <w:noProof/>
          <w:sz w:val="22"/>
          <w:szCs w:val="20"/>
        </w:rPr>
      </w:pPr>
      <w:bookmarkStart w:id="56" w:name="_ENREF_7"/>
      <w:r w:rsidRPr="00414A6D">
        <w:rPr>
          <w:rFonts w:ascii="Arial" w:hAnsi="Arial" w:cs="Arial"/>
          <w:noProof/>
          <w:sz w:val="22"/>
          <w:szCs w:val="20"/>
        </w:rPr>
        <w:t>7.</w:t>
      </w:r>
      <w:r w:rsidRPr="00414A6D">
        <w:rPr>
          <w:rFonts w:ascii="Arial" w:hAnsi="Arial" w:cs="Arial"/>
          <w:noProof/>
          <w:sz w:val="22"/>
          <w:szCs w:val="20"/>
        </w:rPr>
        <w:tab/>
        <w:t>Charlesworth A, Hawkins L and Marshall L. NHS payment reform: lessons from the past and directions for the future. In: Nuffield Trust, (ed.). 2014.</w:t>
      </w:r>
      <w:bookmarkEnd w:id="56"/>
    </w:p>
    <w:p w14:paraId="231E3529" w14:textId="77777777" w:rsidR="00402FBB" w:rsidRPr="00414A6D" w:rsidRDefault="00402FBB" w:rsidP="00402FBB">
      <w:pPr>
        <w:jc w:val="both"/>
        <w:rPr>
          <w:rFonts w:ascii="Arial" w:hAnsi="Arial" w:cs="Arial"/>
          <w:noProof/>
          <w:sz w:val="22"/>
          <w:szCs w:val="20"/>
        </w:rPr>
      </w:pPr>
      <w:bookmarkStart w:id="57" w:name="_ENREF_8"/>
      <w:r w:rsidRPr="00414A6D">
        <w:rPr>
          <w:rFonts w:ascii="Arial" w:hAnsi="Arial" w:cs="Arial"/>
          <w:noProof/>
          <w:sz w:val="22"/>
          <w:szCs w:val="20"/>
        </w:rPr>
        <w:t>8.</w:t>
      </w:r>
      <w:r w:rsidRPr="00414A6D">
        <w:rPr>
          <w:rFonts w:ascii="Arial" w:hAnsi="Arial" w:cs="Arial"/>
          <w:noProof/>
          <w:sz w:val="22"/>
          <w:szCs w:val="20"/>
        </w:rPr>
        <w:tab/>
        <w:t xml:space="preserve">Colais P, Pinnarelli L, Fusco D, Davoli M, Braga M and Perucci C. The impact of a pay-for-performance system on timing to hip fracture surgery: experience from the Lazio Region (Italy). </w:t>
      </w:r>
      <w:r w:rsidRPr="00414A6D">
        <w:rPr>
          <w:rFonts w:ascii="Arial" w:hAnsi="Arial" w:cs="Arial"/>
          <w:i/>
          <w:noProof/>
          <w:sz w:val="22"/>
          <w:szCs w:val="20"/>
        </w:rPr>
        <w:t>BMC Health Services Research</w:t>
      </w:r>
      <w:r w:rsidRPr="00414A6D">
        <w:rPr>
          <w:rFonts w:ascii="Arial" w:hAnsi="Arial" w:cs="Arial"/>
          <w:noProof/>
          <w:sz w:val="22"/>
          <w:szCs w:val="20"/>
        </w:rPr>
        <w:t>. 2013; 13: 393.</w:t>
      </w:r>
      <w:bookmarkEnd w:id="57"/>
    </w:p>
    <w:p w14:paraId="58EA1F23" w14:textId="77777777" w:rsidR="00402FBB" w:rsidRPr="00414A6D" w:rsidRDefault="00402FBB" w:rsidP="00402FBB">
      <w:pPr>
        <w:jc w:val="both"/>
        <w:rPr>
          <w:rFonts w:ascii="Arial" w:hAnsi="Arial" w:cs="Arial"/>
          <w:noProof/>
          <w:sz w:val="22"/>
          <w:szCs w:val="20"/>
        </w:rPr>
      </w:pPr>
      <w:bookmarkStart w:id="58" w:name="_ENREF_9"/>
      <w:r w:rsidRPr="00414A6D">
        <w:rPr>
          <w:rFonts w:ascii="Arial" w:hAnsi="Arial" w:cs="Arial"/>
          <w:noProof/>
          <w:sz w:val="22"/>
          <w:szCs w:val="20"/>
        </w:rPr>
        <w:t>9.</w:t>
      </w:r>
      <w:r w:rsidRPr="00414A6D">
        <w:rPr>
          <w:rFonts w:ascii="Arial" w:hAnsi="Arial" w:cs="Arial"/>
          <w:noProof/>
          <w:sz w:val="22"/>
          <w:szCs w:val="20"/>
        </w:rPr>
        <w:tab/>
        <w:t>Australian Commission on Safety and Quality in Health Care. A framework for clinical quality registries. Sydney2014.</w:t>
      </w:r>
      <w:bookmarkEnd w:id="58"/>
    </w:p>
    <w:p w14:paraId="28B9793A" w14:textId="77777777" w:rsidR="00402FBB" w:rsidRPr="00414A6D" w:rsidRDefault="00402FBB" w:rsidP="00402FBB">
      <w:pPr>
        <w:jc w:val="both"/>
        <w:rPr>
          <w:rFonts w:ascii="Arial" w:hAnsi="Arial" w:cs="Arial"/>
          <w:noProof/>
          <w:sz w:val="22"/>
          <w:szCs w:val="20"/>
        </w:rPr>
      </w:pPr>
      <w:bookmarkStart w:id="59" w:name="_ENREF_10"/>
      <w:r w:rsidRPr="00414A6D">
        <w:rPr>
          <w:rFonts w:ascii="Arial" w:hAnsi="Arial" w:cs="Arial"/>
          <w:noProof/>
          <w:sz w:val="22"/>
          <w:szCs w:val="20"/>
        </w:rPr>
        <w:t>10.</w:t>
      </w:r>
      <w:r w:rsidRPr="00414A6D">
        <w:rPr>
          <w:rFonts w:ascii="Arial" w:hAnsi="Arial" w:cs="Arial"/>
          <w:noProof/>
          <w:sz w:val="22"/>
          <w:szCs w:val="20"/>
        </w:rPr>
        <w:tab/>
        <w:t>Department of Health. A simple guide to payment by results United Kingdom2012.</w:t>
      </w:r>
      <w:bookmarkEnd w:id="59"/>
    </w:p>
    <w:p w14:paraId="6E6C750B" w14:textId="77777777" w:rsidR="00402FBB" w:rsidRPr="00414A6D" w:rsidRDefault="00402FBB" w:rsidP="00402FBB">
      <w:pPr>
        <w:jc w:val="both"/>
        <w:rPr>
          <w:rFonts w:ascii="Arial" w:hAnsi="Arial" w:cs="Arial"/>
          <w:noProof/>
          <w:sz w:val="22"/>
          <w:szCs w:val="20"/>
        </w:rPr>
      </w:pPr>
      <w:bookmarkStart w:id="60" w:name="_ENREF_11"/>
      <w:r w:rsidRPr="00414A6D">
        <w:rPr>
          <w:rFonts w:ascii="Arial" w:hAnsi="Arial" w:cs="Arial"/>
          <w:noProof/>
          <w:sz w:val="22"/>
          <w:szCs w:val="20"/>
        </w:rPr>
        <w:t>11.</w:t>
      </w:r>
      <w:r w:rsidRPr="00414A6D">
        <w:rPr>
          <w:rFonts w:ascii="Arial" w:hAnsi="Arial" w:cs="Arial"/>
          <w:noProof/>
          <w:sz w:val="22"/>
          <w:szCs w:val="20"/>
        </w:rPr>
        <w:tab/>
        <w:t>National Health Service. Payment by Results Guidance for 2013-14:  (2013).</w:t>
      </w:r>
      <w:bookmarkEnd w:id="60"/>
    </w:p>
    <w:p w14:paraId="51D31211" w14:textId="77777777" w:rsidR="00402FBB" w:rsidRPr="00414A6D" w:rsidRDefault="00402FBB" w:rsidP="00402FBB">
      <w:pPr>
        <w:jc w:val="both"/>
        <w:rPr>
          <w:rFonts w:ascii="Arial" w:hAnsi="Arial" w:cs="Arial"/>
          <w:noProof/>
          <w:sz w:val="22"/>
          <w:szCs w:val="20"/>
        </w:rPr>
      </w:pPr>
      <w:bookmarkStart w:id="61" w:name="_ENREF_12"/>
      <w:r w:rsidRPr="00414A6D">
        <w:rPr>
          <w:rFonts w:ascii="Arial" w:hAnsi="Arial" w:cs="Arial"/>
          <w:noProof/>
          <w:sz w:val="22"/>
          <w:szCs w:val="20"/>
        </w:rPr>
        <w:t>12.</w:t>
      </w:r>
      <w:r w:rsidRPr="00414A6D">
        <w:rPr>
          <w:rFonts w:ascii="Arial" w:hAnsi="Arial" w:cs="Arial"/>
          <w:noProof/>
          <w:sz w:val="22"/>
          <w:szCs w:val="20"/>
        </w:rPr>
        <w:tab/>
        <w:t>Marshall L, Charlesworth A and Hurst J. The NHS payment system: evolving policy and emerging evidence. In: Nuffield Trust, (ed.). 2014.</w:t>
      </w:r>
      <w:bookmarkEnd w:id="61"/>
    </w:p>
    <w:p w14:paraId="296905BF" w14:textId="77777777" w:rsidR="00402FBB" w:rsidRPr="00414A6D" w:rsidRDefault="00402FBB" w:rsidP="00402FBB">
      <w:pPr>
        <w:jc w:val="both"/>
        <w:rPr>
          <w:rFonts w:ascii="Arial" w:hAnsi="Arial" w:cs="Arial"/>
          <w:noProof/>
          <w:sz w:val="22"/>
          <w:szCs w:val="20"/>
        </w:rPr>
      </w:pPr>
      <w:bookmarkStart w:id="62" w:name="_ENREF_13"/>
      <w:r w:rsidRPr="00414A6D">
        <w:rPr>
          <w:rFonts w:ascii="Arial" w:hAnsi="Arial" w:cs="Arial"/>
          <w:noProof/>
          <w:sz w:val="22"/>
          <w:szCs w:val="20"/>
        </w:rPr>
        <w:t>13.</w:t>
      </w:r>
      <w:r w:rsidRPr="00414A6D">
        <w:rPr>
          <w:rFonts w:ascii="Arial" w:hAnsi="Arial" w:cs="Arial"/>
          <w:noProof/>
          <w:sz w:val="22"/>
          <w:szCs w:val="20"/>
        </w:rPr>
        <w:tab/>
        <w:t>Willett K. Hip Fracture pricing in the UK. In: Mulcahy A, (ed.). Sydney NSW.2014.</w:t>
      </w:r>
      <w:bookmarkEnd w:id="62"/>
    </w:p>
    <w:p w14:paraId="3D0E359F" w14:textId="77777777" w:rsidR="00402FBB" w:rsidRPr="00414A6D" w:rsidRDefault="00402FBB" w:rsidP="00402FBB">
      <w:pPr>
        <w:jc w:val="both"/>
        <w:rPr>
          <w:rFonts w:ascii="Arial" w:hAnsi="Arial" w:cs="Arial"/>
          <w:noProof/>
          <w:sz w:val="22"/>
          <w:szCs w:val="20"/>
        </w:rPr>
      </w:pPr>
      <w:bookmarkStart w:id="63" w:name="_ENREF_14"/>
      <w:r w:rsidRPr="00414A6D">
        <w:rPr>
          <w:rFonts w:ascii="Arial" w:hAnsi="Arial" w:cs="Arial"/>
          <w:noProof/>
          <w:sz w:val="22"/>
          <w:szCs w:val="20"/>
        </w:rPr>
        <w:t>14.</w:t>
      </w:r>
      <w:r w:rsidRPr="00414A6D">
        <w:rPr>
          <w:rFonts w:ascii="Arial" w:hAnsi="Arial" w:cs="Arial"/>
          <w:noProof/>
          <w:sz w:val="22"/>
          <w:szCs w:val="20"/>
        </w:rPr>
        <w:tab/>
        <w:t>Moran C BC, Johansen A, Wakeman R, Willett K. National Hip Fracture Database and Best Practice Tariff. In: National Health Service, (ed.). United Kingdom2014.</w:t>
      </w:r>
      <w:bookmarkEnd w:id="63"/>
    </w:p>
    <w:p w14:paraId="652BE84E" w14:textId="77777777" w:rsidR="00402FBB" w:rsidRPr="00414A6D" w:rsidRDefault="00402FBB" w:rsidP="00402FBB">
      <w:pPr>
        <w:jc w:val="both"/>
        <w:rPr>
          <w:rFonts w:ascii="Arial" w:hAnsi="Arial" w:cs="Arial"/>
          <w:noProof/>
          <w:sz w:val="22"/>
          <w:szCs w:val="20"/>
        </w:rPr>
      </w:pPr>
      <w:bookmarkStart w:id="64" w:name="_ENREF_15"/>
      <w:r w:rsidRPr="00414A6D">
        <w:rPr>
          <w:rFonts w:ascii="Arial" w:hAnsi="Arial" w:cs="Arial"/>
          <w:noProof/>
          <w:sz w:val="22"/>
          <w:szCs w:val="20"/>
        </w:rPr>
        <w:t>15.</w:t>
      </w:r>
      <w:r w:rsidRPr="00414A6D">
        <w:rPr>
          <w:rFonts w:ascii="Arial" w:hAnsi="Arial" w:cs="Arial"/>
          <w:noProof/>
          <w:sz w:val="22"/>
          <w:szCs w:val="20"/>
        </w:rPr>
        <w:tab/>
        <w:t>NHS England. 2014/15 National Tariff Payment System. In: Monitor, (ed.). United Kingdom2013.</w:t>
      </w:r>
      <w:bookmarkEnd w:id="64"/>
    </w:p>
    <w:p w14:paraId="607BE67B" w14:textId="77777777" w:rsidR="00402FBB" w:rsidRPr="00414A6D" w:rsidRDefault="00402FBB" w:rsidP="00402FBB">
      <w:pPr>
        <w:jc w:val="both"/>
        <w:rPr>
          <w:rFonts w:ascii="Arial" w:hAnsi="Arial" w:cs="Arial"/>
          <w:noProof/>
          <w:sz w:val="22"/>
          <w:szCs w:val="20"/>
        </w:rPr>
      </w:pPr>
      <w:bookmarkStart w:id="65" w:name="_ENREF_16"/>
      <w:r w:rsidRPr="00414A6D">
        <w:rPr>
          <w:rFonts w:ascii="Arial" w:hAnsi="Arial" w:cs="Arial"/>
          <w:noProof/>
          <w:sz w:val="22"/>
          <w:szCs w:val="20"/>
        </w:rPr>
        <w:t>16.</w:t>
      </w:r>
      <w:r w:rsidRPr="00414A6D">
        <w:rPr>
          <w:rFonts w:ascii="Arial" w:hAnsi="Arial" w:cs="Arial"/>
          <w:noProof/>
          <w:sz w:val="22"/>
          <w:szCs w:val="20"/>
        </w:rPr>
        <w:tab/>
        <w:t xml:space="preserve">Royal College of Physicians. National Hip Fracture Database extended report 2014. In: RCP, (ed.). </w:t>
      </w:r>
      <w:r w:rsidRPr="00414A6D">
        <w:rPr>
          <w:rFonts w:ascii="Arial" w:hAnsi="Arial" w:cs="Arial"/>
          <w:i/>
          <w:noProof/>
          <w:sz w:val="22"/>
          <w:szCs w:val="20"/>
        </w:rPr>
        <w:t>Falls and Fragility Fracture Audit Programme</w:t>
      </w:r>
      <w:r w:rsidRPr="00414A6D">
        <w:rPr>
          <w:rFonts w:ascii="Arial" w:hAnsi="Arial" w:cs="Arial"/>
          <w:noProof/>
          <w:sz w:val="22"/>
          <w:szCs w:val="20"/>
        </w:rPr>
        <w:t>. 2014.</w:t>
      </w:r>
      <w:bookmarkEnd w:id="65"/>
    </w:p>
    <w:p w14:paraId="0C45D6FA" w14:textId="77777777" w:rsidR="00402FBB" w:rsidRPr="00414A6D" w:rsidRDefault="00402FBB" w:rsidP="00402FBB">
      <w:pPr>
        <w:jc w:val="both"/>
        <w:rPr>
          <w:rFonts w:ascii="Arial" w:hAnsi="Arial" w:cs="Arial"/>
          <w:noProof/>
          <w:sz w:val="22"/>
          <w:szCs w:val="20"/>
        </w:rPr>
      </w:pPr>
      <w:bookmarkStart w:id="66" w:name="_ENREF_17"/>
      <w:r w:rsidRPr="00414A6D">
        <w:rPr>
          <w:rFonts w:ascii="Arial" w:hAnsi="Arial" w:cs="Arial"/>
          <w:noProof/>
          <w:sz w:val="22"/>
          <w:szCs w:val="20"/>
        </w:rPr>
        <w:t>17.</w:t>
      </w:r>
      <w:r w:rsidRPr="00414A6D">
        <w:rPr>
          <w:rFonts w:ascii="Arial" w:hAnsi="Arial" w:cs="Arial"/>
          <w:noProof/>
          <w:sz w:val="22"/>
          <w:szCs w:val="20"/>
        </w:rPr>
        <w:tab/>
        <w:t>National Health Service. 2014-15 National Tariff Payment System Report. 2014.</w:t>
      </w:r>
      <w:bookmarkEnd w:id="66"/>
    </w:p>
    <w:p w14:paraId="6E54E393" w14:textId="77777777" w:rsidR="00402FBB" w:rsidRPr="00414A6D" w:rsidRDefault="00402FBB" w:rsidP="00402FBB">
      <w:pPr>
        <w:jc w:val="both"/>
        <w:rPr>
          <w:rFonts w:ascii="Arial" w:hAnsi="Arial" w:cs="Arial"/>
          <w:noProof/>
          <w:sz w:val="22"/>
          <w:szCs w:val="20"/>
        </w:rPr>
      </w:pPr>
    </w:p>
    <w:p w14:paraId="49AB656E" w14:textId="77777777" w:rsidR="009C5529" w:rsidRPr="00414A6D" w:rsidRDefault="00E07ED7" w:rsidP="00D147A4">
      <w:pPr>
        <w:jc w:val="both"/>
        <w:rPr>
          <w:rFonts w:ascii="Arial" w:hAnsi="Arial" w:cs="Arial"/>
          <w:b/>
          <w:sz w:val="21"/>
          <w:szCs w:val="21"/>
        </w:rPr>
      </w:pPr>
      <w:r w:rsidRPr="00414A6D">
        <w:rPr>
          <w:rFonts w:ascii="Arial" w:hAnsi="Arial" w:cs="Arial"/>
          <w:sz w:val="20"/>
          <w:szCs w:val="20"/>
        </w:rPr>
        <w:fldChar w:fldCharType="end"/>
      </w:r>
    </w:p>
    <w:sectPr w:rsidR="009C5529" w:rsidRPr="00414A6D" w:rsidSect="00E55797">
      <w:footnotePr>
        <w:numFmt w:val="chicago"/>
      </w:footnotePr>
      <w:pgSz w:w="11906" w:h="16838" w:code="9"/>
      <w:pgMar w:top="2694"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8C401" w15:done="0"/>
  <w15:commentEx w15:paraId="54840BE4" w15:done="0"/>
  <w15:commentEx w15:paraId="68C90623" w15:done="0"/>
  <w15:commentEx w15:paraId="02FD6487" w15:done="0"/>
  <w15:commentEx w15:paraId="4E065387" w15:done="0"/>
  <w15:commentEx w15:paraId="63BF3C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7FB7A" w14:textId="77777777" w:rsidR="00004CDA" w:rsidRDefault="00004CDA" w:rsidP="00FB5C00">
      <w:r>
        <w:separator/>
      </w:r>
    </w:p>
  </w:endnote>
  <w:endnote w:type="continuationSeparator" w:id="0">
    <w:p w14:paraId="162FE408" w14:textId="77777777" w:rsidR="00004CDA" w:rsidRDefault="00004CDA" w:rsidP="00FB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Italic">
    <w:altName w:val="45 Helvetica Light"/>
    <w:charset w:val="00"/>
    <w:family w:val="roman"/>
    <w:pitch w:val="variable"/>
    <w:sig w:usb0="00000003" w:usb1="00000000" w:usb2="00000000" w:usb3="00000000" w:csb0="00000001" w:csb1="00000000"/>
  </w:font>
  <w:font w:name="Gill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8838" w14:textId="77777777" w:rsidR="00112B2E" w:rsidRDefault="00112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5E84A" w14:textId="69B4BAE5" w:rsidR="007D3B70" w:rsidRPr="004F7F58" w:rsidRDefault="007D3B70" w:rsidP="00D5215F">
    <w:pPr>
      <w:pStyle w:val="Footer"/>
      <w:tabs>
        <w:tab w:val="clear" w:pos="8306"/>
        <w:tab w:val="right" w:pos="9180"/>
        <w:tab w:val="left" w:pos="10000"/>
        <w:tab w:val="left" w:pos="10740"/>
      </w:tabs>
      <w:jc w:val="center"/>
      <w:rPr>
        <w:rFonts w:ascii="Arial" w:hAnsi="Arial" w:cs="Arial"/>
        <w:i/>
        <w:sz w:val="18"/>
        <w:szCs w:val="18"/>
      </w:rPr>
    </w:pPr>
    <w:r w:rsidRPr="004F7F58">
      <w:rPr>
        <w:rFonts w:ascii="Arial" w:hAnsi="Arial" w:cs="Arial"/>
        <w:i/>
        <w:sz w:val="18"/>
        <w:szCs w:val="18"/>
      </w:rPr>
      <w:t xml:space="preserve">Best-practice </w:t>
    </w:r>
    <w:r w:rsidR="006F2E12" w:rsidRPr="004F7F58">
      <w:rPr>
        <w:rFonts w:ascii="Arial" w:hAnsi="Arial" w:cs="Arial"/>
        <w:i/>
        <w:sz w:val="18"/>
        <w:szCs w:val="18"/>
      </w:rPr>
      <w:t>p</w:t>
    </w:r>
    <w:r w:rsidRPr="004F7F58">
      <w:rPr>
        <w:rFonts w:ascii="Arial" w:hAnsi="Arial" w:cs="Arial"/>
        <w:i/>
        <w:sz w:val="18"/>
        <w:szCs w:val="18"/>
      </w:rPr>
      <w:t xml:space="preserve">ricing and </w:t>
    </w:r>
    <w:r w:rsidR="006F2E12" w:rsidRPr="004F7F58">
      <w:rPr>
        <w:rFonts w:ascii="Arial" w:hAnsi="Arial" w:cs="Arial"/>
        <w:i/>
        <w:sz w:val="18"/>
        <w:szCs w:val="18"/>
      </w:rPr>
      <w:t>c</w:t>
    </w:r>
    <w:r w:rsidRPr="004F7F58">
      <w:rPr>
        <w:rFonts w:ascii="Arial" w:hAnsi="Arial" w:cs="Arial"/>
        <w:i/>
        <w:sz w:val="18"/>
        <w:szCs w:val="18"/>
      </w:rPr>
      <w:t xml:space="preserve">linical </w:t>
    </w:r>
    <w:r w:rsidR="006F2E12" w:rsidRPr="004F7F58">
      <w:rPr>
        <w:rFonts w:ascii="Arial" w:hAnsi="Arial" w:cs="Arial"/>
        <w:i/>
        <w:sz w:val="18"/>
        <w:szCs w:val="18"/>
      </w:rPr>
      <w:t>q</w:t>
    </w:r>
    <w:r w:rsidRPr="004F7F58">
      <w:rPr>
        <w:rFonts w:ascii="Arial" w:hAnsi="Arial" w:cs="Arial"/>
        <w:i/>
        <w:sz w:val="18"/>
        <w:szCs w:val="18"/>
      </w:rPr>
      <w:t xml:space="preserve">uality </w:t>
    </w:r>
    <w:r w:rsidR="006F2E12" w:rsidRPr="004F7F58">
      <w:rPr>
        <w:rFonts w:ascii="Arial" w:hAnsi="Arial" w:cs="Arial"/>
        <w:i/>
        <w:sz w:val="18"/>
        <w:szCs w:val="18"/>
      </w:rPr>
      <w:t>information on hip fracture care</w:t>
    </w:r>
  </w:p>
  <w:p w14:paraId="3D82A6FB" w14:textId="7E774F49" w:rsidR="007D3B70" w:rsidRPr="00D5215F" w:rsidRDefault="007D3B70" w:rsidP="00D5215F">
    <w:pPr>
      <w:pStyle w:val="Footer"/>
      <w:tabs>
        <w:tab w:val="clear" w:pos="8306"/>
        <w:tab w:val="right" w:pos="9180"/>
        <w:tab w:val="left" w:pos="10000"/>
        <w:tab w:val="left" w:pos="10740"/>
      </w:tabs>
      <w:jc w:val="center"/>
      <w:rPr>
        <w:rFonts w:ascii="Arial" w:hAnsi="Arial" w:cs="Arial"/>
        <w:sz w:val="18"/>
        <w:szCs w:val="18"/>
      </w:rPr>
    </w:pPr>
    <w:r>
      <w:rPr>
        <w:rFonts w:ascii="Arial" w:hAnsi="Arial" w:cs="Arial"/>
        <w:sz w:val="18"/>
        <w:szCs w:val="18"/>
      </w:rPr>
      <w:t xml:space="preserve"> </w:t>
    </w:r>
    <w:r w:rsidRPr="007052EC">
      <w:rPr>
        <w:rStyle w:val="PageNumber"/>
        <w:rFonts w:ascii="Arial" w:eastAsiaTheme="majorEastAsia" w:hAnsi="Arial" w:cs="Arial"/>
        <w:sz w:val="18"/>
        <w:szCs w:val="18"/>
      </w:rPr>
      <w:fldChar w:fldCharType="begin"/>
    </w:r>
    <w:r w:rsidRPr="007052EC">
      <w:rPr>
        <w:rStyle w:val="PageNumber"/>
        <w:rFonts w:ascii="Arial" w:eastAsiaTheme="majorEastAsia" w:hAnsi="Arial" w:cs="Arial"/>
        <w:sz w:val="18"/>
        <w:szCs w:val="18"/>
      </w:rPr>
      <w:instrText xml:space="preserve"> PAGE </w:instrText>
    </w:r>
    <w:r w:rsidRPr="007052EC">
      <w:rPr>
        <w:rStyle w:val="PageNumber"/>
        <w:rFonts w:ascii="Arial" w:eastAsiaTheme="majorEastAsia" w:hAnsi="Arial" w:cs="Arial"/>
        <w:sz w:val="18"/>
        <w:szCs w:val="18"/>
      </w:rPr>
      <w:fldChar w:fldCharType="separate"/>
    </w:r>
    <w:r w:rsidR="00112B2E">
      <w:rPr>
        <w:rStyle w:val="PageNumber"/>
        <w:rFonts w:ascii="Arial" w:eastAsiaTheme="majorEastAsia" w:hAnsi="Arial" w:cs="Arial"/>
        <w:noProof/>
        <w:sz w:val="18"/>
        <w:szCs w:val="18"/>
      </w:rPr>
      <w:t>i</w:t>
    </w:r>
    <w:r w:rsidRPr="007052EC">
      <w:rPr>
        <w:rStyle w:val="PageNumber"/>
        <w:rFonts w:ascii="Arial" w:eastAsiaTheme="majorEastAsia"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E978D" w14:textId="77777777" w:rsidR="00112B2E" w:rsidRDefault="00112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29BA0" w14:textId="77777777" w:rsidR="00004CDA" w:rsidRDefault="00004CDA" w:rsidP="00FB5C00">
      <w:r>
        <w:separator/>
      </w:r>
    </w:p>
  </w:footnote>
  <w:footnote w:type="continuationSeparator" w:id="0">
    <w:p w14:paraId="6D943272" w14:textId="77777777" w:rsidR="00004CDA" w:rsidRDefault="00004CDA" w:rsidP="00FB5C00">
      <w:r>
        <w:continuationSeparator/>
      </w:r>
    </w:p>
  </w:footnote>
  <w:footnote w:id="1">
    <w:p w14:paraId="56BA7BFF" w14:textId="70DE272A" w:rsidR="007D3B70" w:rsidRPr="00E726A3" w:rsidRDefault="007D3B70" w:rsidP="003F6F70">
      <w:pPr>
        <w:spacing w:before="120" w:after="120"/>
        <w:ind w:right="-85"/>
        <w:jc w:val="both"/>
        <w:rPr>
          <w:rFonts w:ascii="Arial" w:hAnsi="Arial" w:cs="Arial"/>
          <w:sz w:val="22"/>
          <w:szCs w:val="22"/>
        </w:rPr>
      </w:pPr>
      <w:r>
        <w:rPr>
          <w:rStyle w:val="FootnoteReference"/>
        </w:rPr>
        <w:footnoteRef/>
      </w:r>
      <w:r>
        <w:t xml:space="preserve"> </w:t>
      </w:r>
      <w:r w:rsidRPr="003F6F70">
        <w:rPr>
          <w:rFonts w:ascii="Arial" w:hAnsi="Arial" w:cs="Arial"/>
          <w:sz w:val="20"/>
          <w:szCs w:val="20"/>
        </w:rPr>
        <w:t xml:space="preserve">Agreement on this recommendation among Sub-Committee members was not universal, though all members agreed on the importance of subacute care to a patient’s resultant health status. The lack of existing information systems that follow </w:t>
      </w:r>
      <w:r>
        <w:rPr>
          <w:rFonts w:ascii="Arial" w:hAnsi="Arial" w:cs="Arial"/>
          <w:sz w:val="20"/>
          <w:szCs w:val="20"/>
        </w:rPr>
        <w:t>separation</w:t>
      </w:r>
      <w:r w:rsidRPr="003F6F70">
        <w:rPr>
          <w:rFonts w:ascii="Arial" w:hAnsi="Arial" w:cs="Arial"/>
          <w:sz w:val="20"/>
          <w:szCs w:val="20"/>
        </w:rPr>
        <w:t>s across their care types, however, was seen as a sizable issue to resolve before best-practice pricing could be attributed across the full pathway of care.</w:t>
      </w:r>
    </w:p>
    <w:p w14:paraId="4B33DC53" w14:textId="77777777" w:rsidR="007D3B70" w:rsidRDefault="007D3B70">
      <w:pPr>
        <w:pStyle w:val="FootnoteText"/>
      </w:pPr>
    </w:p>
  </w:footnote>
  <w:footnote w:id="2">
    <w:p w14:paraId="1F982B34" w14:textId="77777777" w:rsidR="007D3B70" w:rsidRPr="00F67CF8" w:rsidRDefault="007D3B70" w:rsidP="00393A14">
      <w:pPr>
        <w:pStyle w:val="FootnoteText"/>
        <w:rPr>
          <w:rFonts w:ascii="Arial" w:hAnsi="Arial" w:cs="Arial"/>
          <w:sz w:val="16"/>
          <w:szCs w:val="16"/>
          <w:lang w:val="en-US"/>
        </w:rPr>
      </w:pPr>
      <w:r w:rsidRPr="00F67CF8">
        <w:rPr>
          <w:rStyle w:val="FootnoteReference"/>
          <w:rFonts w:ascii="Arial" w:hAnsi="Arial" w:cs="Arial"/>
          <w:sz w:val="16"/>
          <w:szCs w:val="16"/>
        </w:rPr>
        <w:footnoteRef/>
      </w:r>
      <w:r w:rsidRPr="00F67CF8">
        <w:rPr>
          <w:rFonts w:ascii="Arial" w:hAnsi="Arial" w:cs="Arial"/>
          <w:sz w:val="16"/>
          <w:szCs w:val="16"/>
        </w:rPr>
        <w:t xml:space="preserve"> </w:t>
      </w:r>
      <w:proofErr w:type="gramStart"/>
      <w:r>
        <w:rPr>
          <w:rFonts w:ascii="Arial" w:hAnsi="Arial" w:cs="Arial"/>
          <w:sz w:val="16"/>
          <w:szCs w:val="16"/>
        </w:rPr>
        <w:t>I08B Other Hip and Femur Procedures without Catastrophic Complications and/ or Comorbidities, a</w:t>
      </w:r>
      <w:proofErr w:type="spellStart"/>
      <w:r w:rsidRPr="00F67CF8">
        <w:rPr>
          <w:rFonts w:ascii="Arial" w:hAnsi="Arial" w:cs="Arial"/>
          <w:sz w:val="16"/>
          <w:szCs w:val="16"/>
          <w:lang w:val="en-US"/>
        </w:rPr>
        <w:t>ssuming</w:t>
      </w:r>
      <w:proofErr w:type="spellEnd"/>
      <w:r w:rsidRPr="00F67CF8">
        <w:rPr>
          <w:rFonts w:ascii="Arial" w:hAnsi="Arial" w:cs="Arial"/>
          <w:sz w:val="16"/>
          <w:szCs w:val="16"/>
          <w:lang w:val="en-US"/>
        </w:rPr>
        <w:t xml:space="preserve"> average length of stay and that no patient adjustments (such as remoteness or Indigeneity) are applied.</w:t>
      </w:r>
      <w:proofErr w:type="gramEnd"/>
      <w:r w:rsidRPr="00F67CF8">
        <w:rPr>
          <w:rFonts w:ascii="Arial" w:hAnsi="Arial" w:cs="Arial"/>
          <w:sz w:val="16"/>
          <w:szCs w:val="16"/>
          <w:lang w:val="en-US"/>
        </w:rPr>
        <w:t xml:space="preserve"> </w:t>
      </w:r>
    </w:p>
  </w:footnote>
  <w:footnote w:id="3">
    <w:p w14:paraId="2BBE3592" w14:textId="77777777" w:rsidR="007D3B70" w:rsidRPr="005C60AA" w:rsidRDefault="007D3B70" w:rsidP="005E702F">
      <w:pPr>
        <w:pStyle w:val="FootnoteText"/>
        <w:rPr>
          <w:lang w:val="en-US"/>
        </w:rPr>
      </w:pPr>
      <w:r>
        <w:rPr>
          <w:rStyle w:val="FootnoteReference"/>
        </w:rPr>
        <w:footnoteRef/>
      </w:r>
      <w:r>
        <w:t xml:space="preserve"> </w:t>
      </w:r>
      <w:r w:rsidRPr="005C60AA">
        <w:rPr>
          <w:rFonts w:ascii="Arial" w:hAnsi="Arial" w:cs="Arial"/>
          <w:sz w:val="16"/>
          <w:szCs w:val="16"/>
          <w:lang w:val="en-US"/>
        </w:rPr>
        <w:t>Note: this is time to surgery from admission to Emergency Department of the operating hospital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5343" w14:textId="77777777" w:rsidR="007D3B70" w:rsidRDefault="00112B2E">
    <w:pPr>
      <w:pStyle w:val="Header"/>
    </w:pPr>
    <w:r>
      <w:rPr>
        <w:noProof/>
      </w:rPr>
      <w:pict w14:anchorId="20F31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6.7pt;height:182.6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5DAA0" w14:textId="721F788E" w:rsidR="007D3B70" w:rsidRDefault="007D3B70">
    <w:pPr>
      <w:pStyle w:val="Header"/>
    </w:pPr>
    <w:r>
      <w:rPr>
        <w:rFonts w:ascii="Arial Bold" w:hAnsi="Arial Bold" w:cs="Arial"/>
        <w:b/>
        <w:noProof/>
        <w:color w:val="003366"/>
        <w:sz w:val="28"/>
        <w:szCs w:val="28"/>
      </w:rPr>
      <w:drawing>
        <wp:inline distT="0" distB="0" distL="0" distR="0" wp14:anchorId="1A0E7FA1" wp14:editId="3942FF0F">
          <wp:extent cx="5731510" cy="982980"/>
          <wp:effectExtent l="0" t="0" r="2540" b="7620"/>
          <wp:docPr id="2" name="Picture 2" descr="JWP logo Commission + I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WP logo Commission + IH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82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F5342" w14:textId="77777777" w:rsidR="007D3B70" w:rsidRDefault="00112B2E">
    <w:pPr>
      <w:pStyle w:val="Header"/>
    </w:pPr>
    <w:r>
      <w:rPr>
        <w:noProof/>
      </w:rPr>
      <w:pict w14:anchorId="5A3FA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7pt;height:182.6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77B"/>
    <w:multiLevelType w:val="multilevel"/>
    <w:tmpl w:val="296A4C16"/>
    <w:styleLink w:val="Headings"/>
    <w:lvl w:ilvl="0">
      <w:start w:val="1"/>
      <w:numFmt w:val="decimal"/>
      <w:pStyle w:val="CommissionHeading1"/>
      <w:lvlText w:val="%1.0"/>
      <w:lvlJc w:val="left"/>
      <w:pPr>
        <w:ind w:left="357" w:hanging="357"/>
      </w:pPr>
      <w:rPr>
        <w:rFonts w:hint="default"/>
      </w:rPr>
    </w:lvl>
    <w:lvl w:ilvl="1">
      <w:start w:val="1"/>
      <w:numFmt w:val="decimal"/>
      <w:lvlText w:val="%2.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pStyle w:val="CommissionHeading4"/>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nsid w:val="021A411F"/>
    <w:multiLevelType w:val="hybridMultilevel"/>
    <w:tmpl w:val="F0EC5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F6766"/>
    <w:multiLevelType w:val="hybridMultilevel"/>
    <w:tmpl w:val="932EDD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F4364"/>
    <w:multiLevelType w:val="multilevel"/>
    <w:tmpl w:val="D7E89A48"/>
    <w:styleLink w:val="Style8"/>
    <w:lvl w:ilvl="0">
      <w:start w:val="2"/>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9513AC"/>
    <w:multiLevelType w:val="hybridMultilevel"/>
    <w:tmpl w:val="DE84110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2D1A04"/>
    <w:multiLevelType w:val="hybridMultilevel"/>
    <w:tmpl w:val="8116BDD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8F23288"/>
    <w:multiLevelType w:val="hybridMultilevel"/>
    <w:tmpl w:val="827E7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370E39"/>
    <w:multiLevelType w:val="multilevel"/>
    <w:tmpl w:val="C0504112"/>
    <w:styleLink w:val="Style15"/>
    <w:lvl w:ilvl="0">
      <w:start w:val="2"/>
      <w:numFmt w:val="decimal"/>
      <w:lvlText w:val="%1)"/>
      <w:lvlJc w:val="left"/>
      <w:pPr>
        <w:ind w:left="1080" w:hanging="360"/>
      </w:pPr>
      <w:rPr>
        <w:rFonts w:hint="default"/>
      </w:rPr>
    </w:lvl>
    <w:lvl w:ilvl="1">
      <w:start w:val="1"/>
      <w:numFmt w:val="none"/>
      <w:pStyle w:val="Heading2"/>
      <w:lvlText w:val="2.1"/>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1B345FDE"/>
    <w:multiLevelType w:val="hybridMultilevel"/>
    <w:tmpl w:val="3F98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542A72"/>
    <w:multiLevelType w:val="hybridMultilevel"/>
    <w:tmpl w:val="31888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E56ED"/>
    <w:multiLevelType w:val="multilevel"/>
    <w:tmpl w:val="7DE2B64A"/>
    <w:styleLink w:val="Style3"/>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09409EE"/>
    <w:multiLevelType w:val="hybridMultilevel"/>
    <w:tmpl w:val="21E6D5AE"/>
    <w:lvl w:ilvl="0" w:tplc="9B349284">
      <w:start w:val="1"/>
      <w:numFmt w:val="lowerLetter"/>
      <w:pStyle w:val="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20027"/>
    <w:multiLevelType w:val="hybridMultilevel"/>
    <w:tmpl w:val="0BC8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0434DE"/>
    <w:multiLevelType w:val="multilevel"/>
    <w:tmpl w:val="708AC434"/>
    <w:styleLink w:val="Style1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none"/>
      <w:pStyle w:val="Heading3"/>
      <w:lvlText w:val="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nsid w:val="251C6C21"/>
    <w:multiLevelType w:val="hybridMultilevel"/>
    <w:tmpl w:val="F0824BB2"/>
    <w:lvl w:ilvl="0" w:tplc="0C09001B">
      <w:start w:val="1"/>
      <w:numFmt w:val="lowerRoman"/>
      <w:lvlText w:val="%1."/>
      <w:lvlJc w:val="right"/>
      <w:pPr>
        <w:ind w:left="1040" w:hanging="360"/>
      </w:pPr>
      <w:rPr>
        <w:rFonts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5">
    <w:nsid w:val="25590DE7"/>
    <w:multiLevelType w:val="multilevel"/>
    <w:tmpl w:val="FFFFFFFF"/>
    <w:styleLink w:val="List6"/>
    <w:lvl w:ilvl="0">
      <w:start w:val="1"/>
      <w:numFmt w:val="bullet"/>
      <w:lvlText w:val="•"/>
      <w:lvlJc w:val="left"/>
      <w:pPr>
        <w:tabs>
          <w:tab w:val="num" w:pos="567"/>
        </w:tabs>
        <w:ind w:left="567" w:hanging="207"/>
      </w:pPr>
      <w:rPr>
        <w:rFonts w:ascii="Arial" w:eastAsia="Times New Roman" w:hAnsi="Arial"/>
        <w:color w:val="000000"/>
        <w:position w:val="0"/>
        <w:sz w:val="24"/>
        <w:u w:color="000000"/>
      </w:rPr>
    </w:lvl>
    <w:lvl w:ilvl="1">
      <w:start w:val="1"/>
      <w:numFmt w:val="bullet"/>
      <w:lvlText w:val="o"/>
      <w:lvlJc w:val="left"/>
      <w:pPr>
        <w:tabs>
          <w:tab w:val="num" w:pos="1410"/>
        </w:tabs>
        <w:ind w:left="1410" w:hanging="330"/>
      </w:pPr>
      <w:rPr>
        <w:rFonts w:ascii="Arial" w:eastAsia="Times New Roman" w:hAnsi="Arial"/>
        <w:color w:val="000000"/>
        <w:position w:val="0"/>
        <w:sz w:val="22"/>
        <w:u w:color="000000"/>
      </w:rPr>
    </w:lvl>
    <w:lvl w:ilvl="2">
      <w:start w:val="1"/>
      <w:numFmt w:val="bullet"/>
      <w:lvlText w:val="▪"/>
      <w:lvlJc w:val="left"/>
      <w:pPr>
        <w:tabs>
          <w:tab w:val="num" w:pos="2130"/>
        </w:tabs>
        <w:ind w:left="2130" w:hanging="330"/>
      </w:pPr>
      <w:rPr>
        <w:rFonts w:ascii="Arial" w:eastAsia="Times New Roman" w:hAnsi="Arial"/>
        <w:color w:val="000000"/>
        <w:position w:val="0"/>
        <w:sz w:val="22"/>
        <w:u w:color="000000"/>
      </w:rPr>
    </w:lvl>
    <w:lvl w:ilvl="3">
      <w:start w:val="1"/>
      <w:numFmt w:val="bullet"/>
      <w:lvlText w:val="•"/>
      <w:lvlJc w:val="left"/>
      <w:pPr>
        <w:tabs>
          <w:tab w:val="num" w:pos="2850"/>
        </w:tabs>
        <w:ind w:left="2850" w:hanging="330"/>
      </w:pPr>
      <w:rPr>
        <w:rFonts w:ascii="Arial" w:eastAsia="Times New Roman" w:hAnsi="Arial"/>
        <w:color w:val="000000"/>
        <w:position w:val="0"/>
        <w:sz w:val="22"/>
        <w:u w:color="000000"/>
      </w:rPr>
    </w:lvl>
    <w:lvl w:ilvl="4">
      <w:start w:val="1"/>
      <w:numFmt w:val="bullet"/>
      <w:lvlText w:val="o"/>
      <w:lvlJc w:val="left"/>
      <w:pPr>
        <w:tabs>
          <w:tab w:val="num" w:pos="3570"/>
        </w:tabs>
        <w:ind w:left="3570" w:hanging="330"/>
      </w:pPr>
      <w:rPr>
        <w:rFonts w:ascii="Arial" w:eastAsia="Times New Roman" w:hAnsi="Arial"/>
        <w:color w:val="000000"/>
        <w:position w:val="0"/>
        <w:sz w:val="22"/>
        <w:u w:color="000000"/>
      </w:rPr>
    </w:lvl>
    <w:lvl w:ilvl="5">
      <w:start w:val="1"/>
      <w:numFmt w:val="bullet"/>
      <w:lvlText w:val="▪"/>
      <w:lvlJc w:val="left"/>
      <w:pPr>
        <w:tabs>
          <w:tab w:val="num" w:pos="4290"/>
        </w:tabs>
        <w:ind w:left="4290" w:hanging="330"/>
      </w:pPr>
      <w:rPr>
        <w:rFonts w:ascii="Arial" w:eastAsia="Times New Roman" w:hAnsi="Arial"/>
        <w:color w:val="000000"/>
        <w:position w:val="0"/>
        <w:sz w:val="22"/>
        <w:u w:color="000000"/>
      </w:rPr>
    </w:lvl>
    <w:lvl w:ilvl="6">
      <w:start w:val="1"/>
      <w:numFmt w:val="bullet"/>
      <w:lvlText w:val="•"/>
      <w:lvlJc w:val="left"/>
      <w:pPr>
        <w:tabs>
          <w:tab w:val="num" w:pos="5010"/>
        </w:tabs>
        <w:ind w:left="5010" w:hanging="330"/>
      </w:pPr>
      <w:rPr>
        <w:rFonts w:ascii="Arial" w:eastAsia="Times New Roman" w:hAnsi="Arial"/>
        <w:color w:val="000000"/>
        <w:position w:val="0"/>
        <w:sz w:val="22"/>
        <w:u w:color="000000"/>
      </w:rPr>
    </w:lvl>
    <w:lvl w:ilvl="7">
      <w:start w:val="1"/>
      <w:numFmt w:val="bullet"/>
      <w:lvlText w:val="o"/>
      <w:lvlJc w:val="left"/>
      <w:pPr>
        <w:tabs>
          <w:tab w:val="num" w:pos="5730"/>
        </w:tabs>
        <w:ind w:left="5730" w:hanging="330"/>
      </w:pPr>
      <w:rPr>
        <w:rFonts w:ascii="Arial" w:eastAsia="Times New Roman" w:hAnsi="Arial"/>
        <w:color w:val="000000"/>
        <w:position w:val="0"/>
        <w:sz w:val="22"/>
        <w:u w:color="000000"/>
      </w:rPr>
    </w:lvl>
    <w:lvl w:ilvl="8">
      <w:start w:val="1"/>
      <w:numFmt w:val="bullet"/>
      <w:lvlText w:val="▪"/>
      <w:lvlJc w:val="left"/>
      <w:pPr>
        <w:tabs>
          <w:tab w:val="num" w:pos="6450"/>
        </w:tabs>
        <w:ind w:left="6450" w:hanging="330"/>
      </w:pPr>
      <w:rPr>
        <w:rFonts w:ascii="Arial" w:eastAsia="Times New Roman" w:hAnsi="Arial"/>
        <w:color w:val="000000"/>
        <w:position w:val="0"/>
        <w:sz w:val="22"/>
        <w:u w:color="000000"/>
      </w:rPr>
    </w:lvl>
  </w:abstractNum>
  <w:abstractNum w:abstractNumId="16">
    <w:nsid w:val="258C2E5E"/>
    <w:multiLevelType w:val="multilevel"/>
    <w:tmpl w:val="4B02FE36"/>
    <w:styleLink w:val="Style4"/>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AD8502B"/>
    <w:multiLevelType w:val="hybridMultilevel"/>
    <w:tmpl w:val="377E27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213B82"/>
    <w:multiLevelType w:val="multilevel"/>
    <w:tmpl w:val="3CA855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F1E410C"/>
    <w:multiLevelType w:val="hybridMultilevel"/>
    <w:tmpl w:val="6CA8CEC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nsid w:val="2F521C71"/>
    <w:multiLevelType w:val="hybridMultilevel"/>
    <w:tmpl w:val="25AA4854"/>
    <w:lvl w:ilvl="0" w:tplc="28ACACC4">
      <w:start w:val="1"/>
      <w:numFmt w:val="bullet"/>
      <w:lvlText w:val="-"/>
      <w:lvlJc w:val="left"/>
      <w:pPr>
        <w:ind w:left="360" w:hanging="360"/>
      </w:pPr>
      <w:rPr>
        <w:rFonts w:ascii="Calibri" w:hAnsi="Calibri"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14440F6"/>
    <w:multiLevelType w:val="multilevel"/>
    <w:tmpl w:val="26CCA63E"/>
    <w:styleLink w:val="Style1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nsid w:val="315B3C00"/>
    <w:multiLevelType w:val="multilevel"/>
    <w:tmpl w:val="DA32376C"/>
    <w:styleLink w:val="Style1"/>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8D20DDC"/>
    <w:multiLevelType w:val="hybridMultilevel"/>
    <w:tmpl w:val="DC426C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3BB5510E"/>
    <w:multiLevelType w:val="hybridMultilevel"/>
    <w:tmpl w:val="9C9EE81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C716917"/>
    <w:multiLevelType w:val="hybridMultilevel"/>
    <w:tmpl w:val="D8D8849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E66111C"/>
    <w:multiLevelType w:val="hybridMultilevel"/>
    <w:tmpl w:val="11927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43B5F45"/>
    <w:multiLevelType w:val="multilevel"/>
    <w:tmpl w:val="A3662E24"/>
    <w:styleLink w:val="Style9"/>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5A05766"/>
    <w:multiLevelType w:val="hybridMultilevel"/>
    <w:tmpl w:val="49000E3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46BB28B8"/>
    <w:multiLevelType w:val="hybridMultilevel"/>
    <w:tmpl w:val="B7001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8C023D4"/>
    <w:multiLevelType w:val="hybridMultilevel"/>
    <w:tmpl w:val="1B9EE7E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52147B"/>
    <w:multiLevelType w:val="hybridMultilevel"/>
    <w:tmpl w:val="AEDE29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B4138D"/>
    <w:multiLevelType w:val="hybridMultilevel"/>
    <w:tmpl w:val="6D7A78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B4300C6"/>
    <w:multiLevelType w:val="hybridMultilevel"/>
    <w:tmpl w:val="5164DE9A"/>
    <w:lvl w:ilvl="0" w:tplc="0B9CC4B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FAD77DE"/>
    <w:multiLevelType w:val="hybridMultilevel"/>
    <w:tmpl w:val="B40844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4851C2"/>
    <w:multiLevelType w:val="hybridMultilevel"/>
    <w:tmpl w:val="915611C8"/>
    <w:lvl w:ilvl="0" w:tplc="0C090001">
      <w:start w:val="1"/>
      <w:numFmt w:val="bullet"/>
      <w:lvlText w:val=""/>
      <w:lvlJc w:val="left"/>
      <w:pPr>
        <w:ind w:left="1042" w:hanging="360"/>
      </w:pPr>
      <w:rPr>
        <w:rFonts w:ascii="Symbol" w:hAnsi="Symbol" w:hint="default"/>
      </w:rPr>
    </w:lvl>
    <w:lvl w:ilvl="1" w:tplc="0C090003" w:tentative="1">
      <w:start w:val="1"/>
      <w:numFmt w:val="bullet"/>
      <w:lvlText w:val="o"/>
      <w:lvlJc w:val="left"/>
      <w:pPr>
        <w:ind w:left="1762" w:hanging="360"/>
      </w:pPr>
      <w:rPr>
        <w:rFonts w:ascii="Courier New" w:hAnsi="Courier New" w:cs="Courier New" w:hint="default"/>
      </w:rPr>
    </w:lvl>
    <w:lvl w:ilvl="2" w:tplc="0C090005" w:tentative="1">
      <w:start w:val="1"/>
      <w:numFmt w:val="bullet"/>
      <w:lvlText w:val=""/>
      <w:lvlJc w:val="left"/>
      <w:pPr>
        <w:ind w:left="2482" w:hanging="360"/>
      </w:pPr>
      <w:rPr>
        <w:rFonts w:ascii="Wingdings" w:hAnsi="Wingdings" w:hint="default"/>
      </w:rPr>
    </w:lvl>
    <w:lvl w:ilvl="3" w:tplc="0C090001" w:tentative="1">
      <w:start w:val="1"/>
      <w:numFmt w:val="bullet"/>
      <w:lvlText w:val=""/>
      <w:lvlJc w:val="left"/>
      <w:pPr>
        <w:ind w:left="3202" w:hanging="360"/>
      </w:pPr>
      <w:rPr>
        <w:rFonts w:ascii="Symbol" w:hAnsi="Symbol" w:hint="default"/>
      </w:rPr>
    </w:lvl>
    <w:lvl w:ilvl="4" w:tplc="0C090003" w:tentative="1">
      <w:start w:val="1"/>
      <w:numFmt w:val="bullet"/>
      <w:lvlText w:val="o"/>
      <w:lvlJc w:val="left"/>
      <w:pPr>
        <w:ind w:left="3922" w:hanging="360"/>
      </w:pPr>
      <w:rPr>
        <w:rFonts w:ascii="Courier New" w:hAnsi="Courier New" w:cs="Courier New" w:hint="default"/>
      </w:rPr>
    </w:lvl>
    <w:lvl w:ilvl="5" w:tplc="0C090005" w:tentative="1">
      <w:start w:val="1"/>
      <w:numFmt w:val="bullet"/>
      <w:lvlText w:val=""/>
      <w:lvlJc w:val="left"/>
      <w:pPr>
        <w:ind w:left="4642" w:hanging="360"/>
      </w:pPr>
      <w:rPr>
        <w:rFonts w:ascii="Wingdings" w:hAnsi="Wingdings" w:hint="default"/>
      </w:rPr>
    </w:lvl>
    <w:lvl w:ilvl="6" w:tplc="0C090001" w:tentative="1">
      <w:start w:val="1"/>
      <w:numFmt w:val="bullet"/>
      <w:lvlText w:val=""/>
      <w:lvlJc w:val="left"/>
      <w:pPr>
        <w:ind w:left="5362" w:hanging="360"/>
      </w:pPr>
      <w:rPr>
        <w:rFonts w:ascii="Symbol" w:hAnsi="Symbol" w:hint="default"/>
      </w:rPr>
    </w:lvl>
    <w:lvl w:ilvl="7" w:tplc="0C090003" w:tentative="1">
      <w:start w:val="1"/>
      <w:numFmt w:val="bullet"/>
      <w:lvlText w:val="o"/>
      <w:lvlJc w:val="left"/>
      <w:pPr>
        <w:ind w:left="6082" w:hanging="360"/>
      </w:pPr>
      <w:rPr>
        <w:rFonts w:ascii="Courier New" w:hAnsi="Courier New" w:cs="Courier New" w:hint="default"/>
      </w:rPr>
    </w:lvl>
    <w:lvl w:ilvl="8" w:tplc="0C090005" w:tentative="1">
      <w:start w:val="1"/>
      <w:numFmt w:val="bullet"/>
      <w:lvlText w:val=""/>
      <w:lvlJc w:val="left"/>
      <w:pPr>
        <w:ind w:left="6802" w:hanging="360"/>
      </w:pPr>
      <w:rPr>
        <w:rFonts w:ascii="Wingdings" w:hAnsi="Wingdings" w:hint="default"/>
      </w:rPr>
    </w:lvl>
  </w:abstractNum>
  <w:abstractNum w:abstractNumId="36">
    <w:nsid w:val="53023DE2"/>
    <w:multiLevelType w:val="multilevel"/>
    <w:tmpl w:val="5380B9CE"/>
    <w:styleLink w:val="Style11"/>
    <w:lvl w:ilvl="0">
      <w:start w:val="1"/>
      <w:numFmt w:val="decimal"/>
      <w:lvlText w:val="%1)"/>
      <w:lvlJc w:val="left"/>
      <w:pPr>
        <w:ind w:left="360" w:hanging="360"/>
      </w:pPr>
      <w:rPr>
        <w:rFonts w:hint="default"/>
      </w:rPr>
    </w:lvl>
    <w:lvl w:ilvl="1">
      <w:start w:val="2"/>
      <w:numFmt w:val="none"/>
      <w:pStyle w:val="Heading1"/>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348367A"/>
    <w:multiLevelType w:val="multilevel"/>
    <w:tmpl w:val="0409001F"/>
    <w:styleLink w:val="11111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5DD450A3"/>
    <w:multiLevelType w:val="hybridMultilevel"/>
    <w:tmpl w:val="9A182C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BA1148"/>
    <w:multiLevelType w:val="multilevel"/>
    <w:tmpl w:val="C6B6D6B2"/>
    <w:styleLink w:val="Style6"/>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3D82728"/>
    <w:multiLevelType w:val="multilevel"/>
    <w:tmpl w:val="F33A97A4"/>
    <w:styleLink w:val="Style5"/>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42E0364"/>
    <w:multiLevelType w:val="hybridMultilevel"/>
    <w:tmpl w:val="A7A29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4C05591"/>
    <w:multiLevelType w:val="hybridMultilevel"/>
    <w:tmpl w:val="DCE00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B100F4B"/>
    <w:multiLevelType w:val="multilevel"/>
    <w:tmpl w:val="728AB538"/>
    <w:styleLink w:val="Style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031693E"/>
    <w:multiLevelType w:val="multilevel"/>
    <w:tmpl w:val="E88252EA"/>
    <w:styleLink w:val="Style2"/>
    <w:lvl w:ilvl="0">
      <w:start w:val="2"/>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0413990"/>
    <w:multiLevelType w:val="hybridMultilevel"/>
    <w:tmpl w:val="0CE05DF4"/>
    <w:lvl w:ilvl="0" w:tplc="28ACACC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2545293"/>
    <w:multiLevelType w:val="multilevel"/>
    <w:tmpl w:val="E13442AE"/>
    <w:styleLink w:val="Style7"/>
    <w:lvl w:ilvl="0">
      <w:start w:val="2"/>
      <w:numFmt w:val="decimal"/>
      <w:lvlText w:val="%1)"/>
      <w:lvlJc w:val="left"/>
      <w:pPr>
        <w:ind w:left="360" w:hanging="360"/>
      </w:pPr>
      <w:rPr>
        <w:rFonts w:hint="default"/>
      </w:rPr>
    </w:lvl>
    <w:lvl w:ilvl="1">
      <w:start w:val="2"/>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5F053C2"/>
    <w:multiLevelType w:val="multilevel"/>
    <w:tmpl w:val="9C8ADAD4"/>
    <w:styleLink w:val="Style13"/>
    <w:lvl w:ilvl="0">
      <w:start w:val="2"/>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1"/>
  </w:num>
  <w:num w:numId="3">
    <w:abstractNumId w:val="37"/>
  </w:num>
  <w:num w:numId="4">
    <w:abstractNumId w:val="2"/>
  </w:num>
  <w:num w:numId="5">
    <w:abstractNumId w:val="30"/>
  </w:num>
  <w:num w:numId="6">
    <w:abstractNumId w:val="25"/>
  </w:num>
  <w:num w:numId="7">
    <w:abstractNumId w:val="12"/>
  </w:num>
  <w:num w:numId="8">
    <w:abstractNumId w:val="9"/>
  </w:num>
  <w:num w:numId="9">
    <w:abstractNumId w:val="34"/>
  </w:num>
  <w:num w:numId="10">
    <w:abstractNumId w:val="28"/>
  </w:num>
  <w:num w:numId="11">
    <w:abstractNumId w:val="38"/>
  </w:num>
  <w:num w:numId="12">
    <w:abstractNumId w:val="1"/>
  </w:num>
  <w:num w:numId="13">
    <w:abstractNumId w:val="31"/>
  </w:num>
  <w:num w:numId="14">
    <w:abstractNumId w:val="32"/>
  </w:num>
  <w:num w:numId="15">
    <w:abstractNumId w:val="17"/>
  </w:num>
  <w:num w:numId="16">
    <w:abstractNumId w:val="23"/>
  </w:num>
  <w:num w:numId="17">
    <w:abstractNumId w:val="20"/>
  </w:num>
  <w:num w:numId="18">
    <w:abstractNumId w:val="45"/>
  </w:num>
  <w:num w:numId="19">
    <w:abstractNumId w:val="29"/>
  </w:num>
  <w:num w:numId="20">
    <w:abstractNumId w:val="41"/>
  </w:num>
  <w:num w:numId="21">
    <w:abstractNumId w:val="6"/>
  </w:num>
  <w:num w:numId="22">
    <w:abstractNumId w:val="26"/>
  </w:num>
  <w:num w:numId="23">
    <w:abstractNumId w:val="42"/>
  </w:num>
  <w:num w:numId="24">
    <w:abstractNumId w:val="35"/>
  </w:num>
  <w:num w:numId="25">
    <w:abstractNumId w:val="33"/>
  </w:num>
  <w:num w:numId="26">
    <w:abstractNumId w:val="19"/>
  </w:num>
  <w:num w:numId="27">
    <w:abstractNumId w:val="4"/>
  </w:num>
  <w:num w:numId="28">
    <w:abstractNumId w:val="22"/>
  </w:num>
  <w:num w:numId="29">
    <w:abstractNumId w:val="0"/>
  </w:num>
  <w:num w:numId="30">
    <w:abstractNumId w:val="44"/>
  </w:num>
  <w:num w:numId="31">
    <w:abstractNumId w:val="10"/>
  </w:num>
  <w:num w:numId="32">
    <w:abstractNumId w:val="16"/>
  </w:num>
  <w:num w:numId="33">
    <w:abstractNumId w:val="40"/>
  </w:num>
  <w:num w:numId="34">
    <w:abstractNumId w:val="39"/>
  </w:num>
  <w:num w:numId="35">
    <w:abstractNumId w:val="46"/>
  </w:num>
  <w:num w:numId="36">
    <w:abstractNumId w:val="3"/>
  </w:num>
  <w:num w:numId="37">
    <w:abstractNumId w:val="27"/>
  </w:num>
  <w:num w:numId="38">
    <w:abstractNumId w:val="43"/>
  </w:num>
  <w:num w:numId="39">
    <w:abstractNumId w:val="36"/>
  </w:num>
  <w:num w:numId="40">
    <w:abstractNumId w:val="21"/>
  </w:num>
  <w:num w:numId="41">
    <w:abstractNumId w:val="47"/>
  </w:num>
  <w:num w:numId="42">
    <w:abstractNumId w:val="13"/>
  </w:num>
  <w:num w:numId="43">
    <w:abstractNumId w:val="7"/>
  </w:num>
  <w:num w:numId="44">
    <w:abstractNumId w:val="1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4"/>
  </w:num>
  <w:num w:numId="48">
    <w:abstractNumId w:val="7"/>
  </w:num>
  <w:num w:numId="49">
    <w:abstractNumId w:val="24"/>
  </w:num>
  <w:num w:numId="50">
    <w:abstractNumId w:val="7"/>
  </w:num>
  <w:num w:numId="51">
    <w:abstractNumId w:val="7"/>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Harris">
    <w15:presenceInfo w15:providerId="Windows Live" w15:userId="89de796e3432b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hdrShapeDefaults>
    <o:shapedefaults v:ext="edit" spidmax="2054"/>
    <o:shapelayout v:ext="edit">
      <o:idmap v:ext="edit" data="2"/>
    </o:shapelayout>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ge 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xsz0w0wuvwzapeptavv0erkef22f2rwz0w0&quot;&gt;Knee Replacement and Arthroscopy&lt;record-ids&gt;&lt;item&gt;55&lt;/item&gt;&lt;item&gt;60&lt;/item&gt;&lt;item&gt;67&lt;/item&gt;&lt;item&gt;68&lt;/item&gt;&lt;item&gt;80&lt;/item&gt;&lt;item&gt;93&lt;/item&gt;&lt;item&gt;94&lt;/item&gt;&lt;item&gt;96&lt;/item&gt;&lt;item&gt;132&lt;/item&gt;&lt;item&gt;150&lt;/item&gt;&lt;item&gt;151&lt;/item&gt;&lt;item&gt;152&lt;/item&gt;&lt;item&gt;153&lt;/item&gt;&lt;item&gt;154&lt;/item&gt;&lt;item&gt;155&lt;/item&gt;&lt;item&gt;172&lt;/item&gt;&lt;item&gt;185&lt;/item&gt;&lt;/record-ids&gt;&lt;/item&gt;&lt;/Libraries&gt;"/>
  </w:docVars>
  <w:rsids>
    <w:rsidRoot w:val="00FB5C00"/>
    <w:rsid w:val="00003187"/>
    <w:rsid w:val="00003743"/>
    <w:rsid w:val="000041EE"/>
    <w:rsid w:val="000048A7"/>
    <w:rsid w:val="00004CDA"/>
    <w:rsid w:val="000054CD"/>
    <w:rsid w:val="0000630E"/>
    <w:rsid w:val="00007110"/>
    <w:rsid w:val="00011C67"/>
    <w:rsid w:val="00013AF4"/>
    <w:rsid w:val="0001436B"/>
    <w:rsid w:val="000218EA"/>
    <w:rsid w:val="000239E6"/>
    <w:rsid w:val="0002550F"/>
    <w:rsid w:val="0002719C"/>
    <w:rsid w:val="000274FD"/>
    <w:rsid w:val="0003087B"/>
    <w:rsid w:val="00031698"/>
    <w:rsid w:val="00033D04"/>
    <w:rsid w:val="000344E3"/>
    <w:rsid w:val="0004022A"/>
    <w:rsid w:val="00040B8A"/>
    <w:rsid w:val="00042435"/>
    <w:rsid w:val="00042A92"/>
    <w:rsid w:val="000445A0"/>
    <w:rsid w:val="00044E10"/>
    <w:rsid w:val="000455E1"/>
    <w:rsid w:val="0004764A"/>
    <w:rsid w:val="00047D7C"/>
    <w:rsid w:val="000503CF"/>
    <w:rsid w:val="00055AA9"/>
    <w:rsid w:val="000561C3"/>
    <w:rsid w:val="00056589"/>
    <w:rsid w:val="00057A2E"/>
    <w:rsid w:val="000606B7"/>
    <w:rsid w:val="00060A4B"/>
    <w:rsid w:val="00061B2A"/>
    <w:rsid w:val="00062F41"/>
    <w:rsid w:val="0006313E"/>
    <w:rsid w:val="000632DF"/>
    <w:rsid w:val="00067456"/>
    <w:rsid w:val="00067519"/>
    <w:rsid w:val="00070E4F"/>
    <w:rsid w:val="00071634"/>
    <w:rsid w:val="000736BC"/>
    <w:rsid w:val="0007452F"/>
    <w:rsid w:val="00076CE5"/>
    <w:rsid w:val="00077EAE"/>
    <w:rsid w:val="0008002E"/>
    <w:rsid w:val="00080DEA"/>
    <w:rsid w:val="000819EA"/>
    <w:rsid w:val="0008380E"/>
    <w:rsid w:val="00086AC2"/>
    <w:rsid w:val="000929F1"/>
    <w:rsid w:val="00097163"/>
    <w:rsid w:val="000A01FD"/>
    <w:rsid w:val="000A178F"/>
    <w:rsid w:val="000A4E4E"/>
    <w:rsid w:val="000A7ACF"/>
    <w:rsid w:val="000A7CC0"/>
    <w:rsid w:val="000B01F3"/>
    <w:rsid w:val="000B086D"/>
    <w:rsid w:val="000B0C08"/>
    <w:rsid w:val="000B2396"/>
    <w:rsid w:val="000B240B"/>
    <w:rsid w:val="000B3E6E"/>
    <w:rsid w:val="000B5419"/>
    <w:rsid w:val="000B57BB"/>
    <w:rsid w:val="000B6135"/>
    <w:rsid w:val="000B7188"/>
    <w:rsid w:val="000B7693"/>
    <w:rsid w:val="000C1C26"/>
    <w:rsid w:val="000C22B9"/>
    <w:rsid w:val="000C2D99"/>
    <w:rsid w:val="000C5039"/>
    <w:rsid w:val="000C5949"/>
    <w:rsid w:val="000C5DEB"/>
    <w:rsid w:val="000C6B8D"/>
    <w:rsid w:val="000C7176"/>
    <w:rsid w:val="000C7E5D"/>
    <w:rsid w:val="000D1219"/>
    <w:rsid w:val="000D2309"/>
    <w:rsid w:val="000D3F49"/>
    <w:rsid w:val="000D5564"/>
    <w:rsid w:val="000D5612"/>
    <w:rsid w:val="000D5E3C"/>
    <w:rsid w:val="000D7102"/>
    <w:rsid w:val="000E1A0B"/>
    <w:rsid w:val="000E6E7C"/>
    <w:rsid w:val="000E77CD"/>
    <w:rsid w:val="000F1A87"/>
    <w:rsid w:val="000F3A08"/>
    <w:rsid w:val="000F3EE2"/>
    <w:rsid w:val="000F5259"/>
    <w:rsid w:val="000F53D2"/>
    <w:rsid w:val="000F543B"/>
    <w:rsid w:val="000F5608"/>
    <w:rsid w:val="000F737C"/>
    <w:rsid w:val="00106595"/>
    <w:rsid w:val="00107664"/>
    <w:rsid w:val="0011031A"/>
    <w:rsid w:val="00110A28"/>
    <w:rsid w:val="00112B2E"/>
    <w:rsid w:val="00112D48"/>
    <w:rsid w:val="00112F9F"/>
    <w:rsid w:val="001144F2"/>
    <w:rsid w:val="001149A4"/>
    <w:rsid w:val="00114D5B"/>
    <w:rsid w:val="001162CB"/>
    <w:rsid w:val="00116DFC"/>
    <w:rsid w:val="0012066A"/>
    <w:rsid w:val="001219F8"/>
    <w:rsid w:val="001241AE"/>
    <w:rsid w:val="00124743"/>
    <w:rsid w:val="00125A58"/>
    <w:rsid w:val="00126985"/>
    <w:rsid w:val="001275C0"/>
    <w:rsid w:val="00127643"/>
    <w:rsid w:val="00131AB9"/>
    <w:rsid w:val="00131BA3"/>
    <w:rsid w:val="00131CF3"/>
    <w:rsid w:val="00134606"/>
    <w:rsid w:val="001371B7"/>
    <w:rsid w:val="00140465"/>
    <w:rsid w:val="00141282"/>
    <w:rsid w:val="00142AF0"/>
    <w:rsid w:val="00147A40"/>
    <w:rsid w:val="0015386B"/>
    <w:rsid w:val="00154317"/>
    <w:rsid w:val="001558B7"/>
    <w:rsid w:val="00156173"/>
    <w:rsid w:val="001575E1"/>
    <w:rsid w:val="00160381"/>
    <w:rsid w:val="00162D6C"/>
    <w:rsid w:val="001652C6"/>
    <w:rsid w:val="00165A2A"/>
    <w:rsid w:val="00165C18"/>
    <w:rsid w:val="00165D33"/>
    <w:rsid w:val="0016666C"/>
    <w:rsid w:val="00166677"/>
    <w:rsid w:val="00166E5B"/>
    <w:rsid w:val="001706BB"/>
    <w:rsid w:val="00173951"/>
    <w:rsid w:val="00183F28"/>
    <w:rsid w:val="0018596C"/>
    <w:rsid w:val="0018750E"/>
    <w:rsid w:val="00187A5A"/>
    <w:rsid w:val="00191FCB"/>
    <w:rsid w:val="001937DF"/>
    <w:rsid w:val="0019564E"/>
    <w:rsid w:val="00197E28"/>
    <w:rsid w:val="001A2421"/>
    <w:rsid w:val="001A28F5"/>
    <w:rsid w:val="001A2E8A"/>
    <w:rsid w:val="001A4324"/>
    <w:rsid w:val="001A6FAB"/>
    <w:rsid w:val="001B202D"/>
    <w:rsid w:val="001B3443"/>
    <w:rsid w:val="001B3618"/>
    <w:rsid w:val="001B46F7"/>
    <w:rsid w:val="001B658A"/>
    <w:rsid w:val="001C014C"/>
    <w:rsid w:val="001C067C"/>
    <w:rsid w:val="001C11B1"/>
    <w:rsid w:val="001C1345"/>
    <w:rsid w:val="001C2BE7"/>
    <w:rsid w:val="001C6294"/>
    <w:rsid w:val="001D1F55"/>
    <w:rsid w:val="001D3429"/>
    <w:rsid w:val="001D3DFE"/>
    <w:rsid w:val="001D6817"/>
    <w:rsid w:val="001D7F68"/>
    <w:rsid w:val="001E1A91"/>
    <w:rsid w:val="001E60C7"/>
    <w:rsid w:val="001E6291"/>
    <w:rsid w:val="001E6B96"/>
    <w:rsid w:val="001E7861"/>
    <w:rsid w:val="001E7940"/>
    <w:rsid w:val="001F0587"/>
    <w:rsid w:val="001F38C2"/>
    <w:rsid w:val="0020122A"/>
    <w:rsid w:val="002023EE"/>
    <w:rsid w:val="00203B2D"/>
    <w:rsid w:val="00207306"/>
    <w:rsid w:val="00214F58"/>
    <w:rsid w:val="002159C8"/>
    <w:rsid w:val="00220DE1"/>
    <w:rsid w:val="00222A4A"/>
    <w:rsid w:val="002232B1"/>
    <w:rsid w:val="002234B0"/>
    <w:rsid w:val="002266BA"/>
    <w:rsid w:val="0023276D"/>
    <w:rsid w:val="00235332"/>
    <w:rsid w:val="002359DF"/>
    <w:rsid w:val="0023619D"/>
    <w:rsid w:val="0023683C"/>
    <w:rsid w:val="002407BF"/>
    <w:rsid w:val="00241EB4"/>
    <w:rsid w:val="00242D15"/>
    <w:rsid w:val="00242ED5"/>
    <w:rsid w:val="00245EB9"/>
    <w:rsid w:val="00253A20"/>
    <w:rsid w:val="00254F72"/>
    <w:rsid w:val="00255F3D"/>
    <w:rsid w:val="00261503"/>
    <w:rsid w:val="002616C8"/>
    <w:rsid w:val="00261826"/>
    <w:rsid w:val="002630C8"/>
    <w:rsid w:val="002639EE"/>
    <w:rsid w:val="00263B9F"/>
    <w:rsid w:val="002668FB"/>
    <w:rsid w:val="00271FE2"/>
    <w:rsid w:val="002723C2"/>
    <w:rsid w:val="00274530"/>
    <w:rsid w:val="002763F5"/>
    <w:rsid w:val="00280B33"/>
    <w:rsid w:val="00287EBF"/>
    <w:rsid w:val="0029018A"/>
    <w:rsid w:val="002919E5"/>
    <w:rsid w:val="00291DDE"/>
    <w:rsid w:val="0029295D"/>
    <w:rsid w:val="00293088"/>
    <w:rsid w:val="002949FE"/>
    <w:rsid w:val="00296897"/>
    <w:rsid w:val="00296F1F"/>
    <w:rsid w:val="00297ACE"/>
    <w:rsid w:val="002A1463"/>
    <w:rsid w:val="002A2656"/>
    <w:rsid w:val="002A5406"/>
    <w:rsid w:val="002A5F79"/>
    <w:rsid w:val="002A7E8D"/>
    <w:rsid w:val="002B18CB"/>
    <w:rsid w:val="002B37FC"/>
    <w:rsid w:val="002C1D29"/>
    <w:rsid w:val="002C1D8B"/>
    <w:rsid w:val="002C4546"/>
    <w:rsid w:val="002C5966"/>
    <w:rsid w:val="002C6DA5"/>
    <w:rsid w:val="002D3CDB"/>
    <w:rsid w:val="002E14CC"/>
    <w:rsid w:val="002E1A0C"/>
    <w:rsid w:val="002E3E33"/>
    <w:rsid w:val="002F0B59"/>
    <w:rsid w:val="002F0B94"/>
    <w:rsid w:val="002F4349"/>
    <w:rsid w:val="002F47AE"/>
    <w:rsid w:val="002F4A87"/>
    <w:rsid w:val="002F5328"/>
    <w:rsid w:val="002F537F"/>
    <w:rsid w:val="00300F44"/>
    <w:rsid w:val="00303073"/>
    <w:rsid w:val="0030417A"/>
    <w:rsid w:val="00304A87"/>
    <w:rsid w:val="00304C72"/>
    <w:rsid w:val="0030786C"/>
    <w:rsid w:val="00312162"/>
    <w:rsid w:val="00312479"/>
    <w:rsid w:val="00312548"/>
    <w:rsid w:val="00313F3A"/>
    <w:rsid w:val="0031420A"/>
    <w:rsid w:val="00315EA1"/>
    <w:rsid w:val="003163C4"/>
    <w:rsid w:val="00317C70"/>
    <w:rsid w:val="0032004F"/>
    <w:rsid w:val="00321585"/>
    <w:rsid w:val="00322164"/>
    <w:rsid w:val="003257AA"/>
    <w:rsid w:val="003272C6"/>
    <w:rsid w:val="00327687"/>
    <w:rsid w:val="00330223"/>
    <w:rsid w:val="00331438"/>
    <w:rsid w:val="00332714"/>
    <w:rsid w:val="00336808"/>
    <w:rsid w:val="003376DE"/>
    <w:rsid w:val="003408FB"/>
    <w:rsid w:val="00340C2E"/>
    <w:rsid w:val="00343269"/>
    <w:rsid w:val="00344303"/>
    <w:rsid w:val="00344E80"/>
    <w:rsid w:val="00344E9B"/>
    <w:rsid w:val="00346B84"/>
    <w:rsid w:val="00351F3D"/>
    <w:rsid w:val="00353174"/>
    <w:rsid w:val="0035402F"/>
    <w:rsid w:val="0035757F"/>
    <w:rsid w:val="00360F50"/>
    <w:rsid w:val="00360FD4"/>
    <w:rsid w:val="00361981"/>
    <w:rsid w:val="00361C46"/>
    <w:rsid w:val="003633B3"/>
    <w:rsid w:val="003642F0"/>
    <w:rsid w:val="00364557"/>
    <w:rsid w:val="00364B87"/>
    <w:rsid w:val="00364D48"/>
    <w:rsid w:val="00366AC3"/>
    <w:rsid w:val="00367FE5"/>
    <w:rsid w:val="00370A06"/>
    <w:rsid w:val="00371D7E"/>
    <w:rsid w:val="00374005"/>
    <w:rsid w:val="00375044"/>
    <w:rsid w:val="003804F1"/>
    <w:rsid w:val="00382492"/>
    <w:rsid w:val="003841D9"/>
    <w:rsid w:val="003853F8"/>
    <w:rsid w:val="00387496"/>
    <w:rsid w:val="00390507"/>
    <w:rsid w:val="00390A98"/>
    <w:rsid w:val="00391DC1"/>
    <w:rsid w:val="0039352E"/>
    <w:rsid w:val="00393A14"/>
    <w:rsid w:val="003949CB"/>
    <w:rsid w:val="003A2414"/>
    <w:rsid w:val="003A2E7E"/>
    <w:rsid w:val="003A5085"/>
    <w:rsid w:val="003A5390"/>
    <w:rsid w:val="003A67F4"/>
    <w:rsid w:val="003A6EB7"/>
    <w:rsid w:val="003B0330"/>
    <w:rsid w:val="003B14AB"/>
    <w:rsid w:val="003B33DB"/>
    <w:rsid w:val="003B349E"/>
    <w:rsid w:val="003B5189"/>
    <w:rsid w:val="003B6A9E"/>
    <w:rsid w:val="003B6DFE"/>
    <w:rsid w:val="003B75EE"/>
    <w:rsid w:val="003C36FB"/>
    <w:rsid w:val="003C3CD2"/>
    <w:rsid w:val="003C477D"/>
    <w:rsid w:val="003C48D0"/>
    <w:rsid w:val="003C594E"/>
    <w:rsid w:val="003C5DDD"/>
    <w:rsid w:val="003C6D2B"/>
    <w:rsid w:val="003D07BC"/>
    <w:rsid w:val="003D07D6"/>
    <w:rsid w:val="003D0FAE"/>
    <w:rsid w:val="003D1404"/>
    <w:rsid w:val="003D14A5"/>
    <w:rsid w:val="003D17F9"/>
    <w:rsid w:val="003D287A"/>
    <w:rsid w:val="003D3442"/>
    <w:rsid w:val="003D6643"/>
    <w:rsid w:val="003D7CCF"/>
    <w:rsid w:val="003E0066"/>
    <w:rsid w:val="003E2337"/>
    <w:rsid w:val="003E2609"/>
    <w:rsid w:val="003E3C66"/>
    <w:rsid w:val="003E623F"/>
    <w:rsid w:val="003E70C5"/>
    <w:rsid w:val="003F1295"/>
    <w:rsid w:val="003F12CA"/>
    <w:rsid w:val="003F251C"/>
    <w:rsid w:val="003F5938"/>
    <w:rsid w:val="003F5B05"/>
    <w:rsid w:val="003F6F70"/>
    <w:rsid w:val="003F757B"/>
    <w:rsid w:val="0040064B"/>
    <w:rsid w:val="00402FBB"/>
    <w:rsid w:val="0040360D"/>
    <w:rsid w:val="004058BD"/>
    <w:rsid w:val="00407391"/>
    <w:rsid w:val="004076D8"/>
    <w:rsid w:val="00414381"/>
    <w:rsid w:val="00414A6D"/>
    <w:rsid w:val="00416303"/>
    <w:rsid w:val="004169AA"/>
    <w:rsid w:val="00417663"/>
    <w:rsid w:val="004224DE"/>
    <w:rsid w:val="0042422E"/>
    <w:rsid w:val="004245DD"/>
    <w:rsid w:val="004255FA"/>
    <w:rsid w:val="004309B7"/>
    <w:rsid w:val="00432FC2"/>
    <w:rsid w:val="004335FC"/>
    <w:rsid w:val="00437FFE"/>
    <w:rsid w:val="004407EA"/>
    <w:rsid w:val="0044229A"/>
    <w:rsid w:val="00443D9A"/>
    <w:rsid w:val="004457E4"/>
    <w:rsid w:val="00447386"/>
    <w:rsid w:val="00447E50"/>
    <w:rsid w:val="00451DA4"/>
    <w:rsid w:val="00452832"/>
    <w:rsid w:val="00454538"/>
    <w:rsid w:val="004567B1"/>
    <w:rsid w:val="00461465"/>
    <w:rsid w:val="004628B2"/>
    <w:rsid w:val="00472A0A"/>
    <w:rsid w:val="00482DDA"/>
    <w:rsid w:val="0048402B"/>
    <w:rsid w:val="00485490"/>
    <w:rsid w:val="00485660"/>
    <w:rsid w:val="0048590F"/>
    <w:rsid w:val="00485D59"/>
    <w:rsid w:val="004867E2"/>
    <w:rsid w:val="00487BE1"/>
    <w:rsid w:val="004906BD"/>
    <w:rsid w:val="00492A38"/>
    <w:rsid w:val="00494962"/>
    <w:rsid w:val="0049504C"/>
    <w:rsid w:val="004A28A5"/>
    <w:rsid w:val="004A28AD"/>
    <w:rsid w:val="004A59F7"/>
    <w:rsid w:val="004A5E24"/>
    <w:rsid w:val="004B1FBD"/>
    <w:rsid w:val="004B392C"/>
    <w:rsid w:val="004B3FD0"/>
    <w:rsid w:val="004B55BD"/>
    <w:rsid w:val="004C0C5B"/>
    <w:rsid w:val="004C1CD4"/>
    <w:rsid w:val="004C334B"/>
    <w:rsid w:val="004C5E2A"/>
    <w:rsid w:val="004C6232"/>
    <w:rsid w:val="004C7FF1"/>
    <w:rsid w:val="004D0B97"/>
    <w:rsid w:val="004D20C8"/>
    <w:rsid w:val="004D40BF"/>
    <w:rsid w:val="004D4153"/>
    <w:rsid w:val="004D5B4B"/>
    <w:rsid w:val="004D653E"/>
    <w:rsid w:val="004E0F0F"/>
    <w:rsid w:val="004E11B3"/>
    <w:rsid w:val="004E1C91"/>
    <w:rsid w:val="004E34BE"/>
    <w:rsid w:val="004E47BB"/>
    <w:rsid w:val="004E5877"/>
    <w:rsid w:val="004E5FA1"/>
    <w:rsid w:val="004E6768"/>
    <w:rsid w:val="004E71ED"/>
    <w:rsid w:val="004F1357"/>
    <w:rsid w:val="004F1B9D"/>
    <w:rsid w:val="004F437E"/>
    <w:rsid w:val="004F799F"/>
    <w:rsid w:val="004F7F58"/>
    <w:rsid w:val="005006A8"/>
    <w:rsid w:val="005008C5"/>
    <w:rsid w:val="00500D46"/>
    <w:rsid w:val="00503319"/>
    <w:rsid w:val="005062B1"/>
    <w:rsid w:val="005062C1"/>
    <w:rsid w:val="00506505"/>
    <w:rsid w:val="005066A9"/>
    <w:rsid w:val="00507660"/>
    <w:rsid w:val="00510529"/>
    <w:rsid w:val="00513B38"/>
    <w:rsid w:val="00516A15"/>
    <w:rsid w:val="00520FC9"/>
    <w:rsid w:val="00521B9B"/>
    <w:rsid w:val="0052268D"/>
    <w:rsid w:val="00522E1A"/>
    <w:rsid w:val="005231D4"/>
    <w:rsid w:val="00523847"/>
    <w:rsid w:val="00526DDB"/>
    <w:rsid w:val="005314F3"/>
    <w:rsid w:val="0053462A"/>
    <w:rsid w:val="00534CCD"/>
    <w:rsid w:val="00535608"/>
    <w:rsid w:val="0053668D"/>
    <w:rsid w:val="0054467D"/>
    <w:rsid w:val="00544F6A"/>
    <w:rsid w:val="00546B50"/>
    <w:rsid w:val="00550A03"/>
    <w:rsid w:val="0055195C"/>
    <w:rsid w:val="0055243E"/>
    <w:rsid w:val="0055269C"/>
    <w:rsid w:val="00553500"/>
    <w:rsid w:val="00560CC6"/>
    <w:rsid w:val="0056335D"/>
    <w:rsid w:val="00563CC3"/>
    <w:rsid w:val="00564B2C"/>
    <w:rsid w:val="00565725"/>
    <w:rsid w:val="00566C06"/>
    <w:rsid w:val="00567EE9"/>
    <w:rsid w:val="0057087F"/>
    <w:rsid w:val="00573D91"/>
    <w:rsid w:val="00575B58"/>
    <w:rsid w:val="00575BD3"/>
    <w:rsid w:val="00577D36"/>
    <w:rsid w:val="00583379"/>
    <w:rsid w:val="0058527D"/>
    <w:rsid w:val="00586028"/>
    <w:rsid w:val="00590018"/>
    <w:rsid w:val="005929EC"/>
    <w:rsid w:val="00594712"/>
    <w:rsid w:val="00594BCD"/>
    <w:rsid w:val="00594F7D"/>
    <w:rsid w:val="005956AE"/>
    <w:rsid w:val="0059667E"/>
    <w:rsid w:val="00597945"/>
    <w:rsid w:val="005A1D8A"/>
    <w:rsid w:val="005A2E51"/>
    <w:rsid w:val="005A37DA"/>
    <w:rsid w:val="005A505C"/>
    <w:rsid w:val="005A53F7"/>
    <w:rsid w:val="005A5464"/>
    <w:rsid w:val="005A5C68"/>
    <w:rsid w:val="005A6700"/>
    <w:rsid w:val="005B0E56"/>
    <w:rsid w:val="005B15EA"/>
    <w:rsid w:val="005B2DD8"/>
    <w:rsid w:val="005B56FF"/>
    <w:rsid w:val="005B7475"/>
    <w:rsid w:val="005B74EB"/>
    <w:rsid w:val="005C1687"/>
    <w:rsid w:val="005C3CA4"/>
    <w:rsid w:val="005C54FE"/>
    <w:rsid w:val="005C5DE4"/>
    <w:rsid w:val="005C60AA"/>
    <w:rsid w:val="005C70F7"/>
    <w:rsid w:val="005C7291"/>
    <w:rsid w:val="005C7D2A"/>
    <w:rsid w:val="005D3478"/>
    <w:rsid w:val="005D3D43"/>
    <w:rsid w:val="005D3DAD"/>
    <w:rsid w:val="005D3F4A"/>
    <w:rsid w:val="005D4A98"/>
    <w:rsid w:val="005D5575"/>
    <w:rsid w:val="005D7052"/>
    <w:rsid w:val="005D7D98"/>
    <w:rsid w:val="005E0534"/>
    <w:rsid w:val="005E093C"/>
    <w:rsid w:val="005E23D3"/>
    <w:rsid w:val="005E4AC9"/>
    <w:rsid w:val="005E5831"/>
    <w:rsid w:val="005E6281"/>
    <w:rsid w:val="005E6EF0"/>
    <w:rsid w:val="005E702F"/>
    <w:rsid w:val="005F26BF"/>
    <w:rsid w:val="005F2DF9"/>
    <w:rsid w:val="005F32D6"/>
    <w:rsid w:val="005F3D95"/>
    <w:rsid w:val="005F737E"/>
    <w:rsid w:val="00600086"/>
    <w:rsid w:val="00601B88"/>
    <w:rsid w:val="0060300B"/>
    <w:rsid w:val="006031ED"/>
    <w:rsid w:val="00603939"/>
    <w:rsid w:val="00603B65"/>
    <w:rsid w:val="00603FB7"/>
    <w:rsid w:val="006040ED"/>
    <w:rsid w:val="006056F7"/>
    <w:rsid w:val="006059D4"/>
    <w:rsid w:val="00606026"/>
    <w:rsid w:val="00607E85"/>
    <w:rsid w:val="00611657"/>
    <w:rsid w:val="006127A4"/>
    <w:rsid w:val="00613080"/>
    <w:rsid w:val="00615D0D"/>
    <w:rsid w:val="0061794A"/>
    <w:rsid w:val="00622EDC"/>
    <w:rsid w:val="00623F41"/>
    <w:rsid w:val="0062662F"/>
    <w:rsid w:val="00626666"/>
    <w:rsid w:val="00627396"/>
    <w:rsid w:val="00627875"/>
    <w:rsid w:val="00627E8E"/>
    <w:rsid w:val="00636ADD"/>
    <w:rsid w:val="006427D2"/>
    <w:rsid w:val="0064703F"/>
    <w:rsid w:val="00647340"/>
    <w:rsid w:val="006503A9"/>
    <w:rsid w:val="006512DF"/>
    <w:rsid w:val="006515FA"/>
    <w:rsid w:val="0065199E"/>
    <w:rsid w:val="006570B3"/>
    <w:rsid w:val="00660CE0"/>
    <w:rsid w:val="006643AF"/>
    <w:rsid w:val="00665B29"/>
    <w:rsid w:val="00666138"/>
    <w:rsid w:val="00666373"/>
    <w:rsid w:val="00667096"/>
    <w:rsid w:val="00667972"/>
    <w:rsid w:val="00670AF0"/>
    <w:rsid w:val="0067455A"/>
    <w:rsid w:val="00680558"/>
    <w:rsid w:val="0068059B"/>
    <w:rsid w:val="006807CE"/>
    <w:rsid w:val="00684629"/>
    <w:rsid w:val="00685C3C"/>
    <w:rsid w:val="00686288"/>
    <w:rsid w:val="0068707E"/>
    <w:rsid w:val="00687621"/>
    <w:rsid w:val="006A08E7"/>
    <w:rsid w:val="006A129A"/>
    <w:rsid w:val="006A2F68"/>
    <w:rsid w:val="006A2F77"/>
    <w:rsid w:val="006A3074"/>
    <w:rsid w:val="006A3C04"/>
    <w:rsid w:val="006A4660"/>
    <w:rsid w:val="006A4C07"/>
    <w:rsid w:val="006A58F5"/>
    <w:rsid w:val="006A59A0"/>
    <w:rsid w:val="006B12E9"/>
    <w:rsid w:val="006B3A8D"/>
    <w:rsid w:val="006B5A00"/>
    <w:rsid w:val="006B6BAE"/>
    <w:rsid w:val="006B6F70"/>
    <w:rsid w:val="006B76A1"/>
    <w:rsid w:val="006C0AA7"/>
    <w:rsid w:val="006C3B64"/>
    <w:rsid w:val="006C675F"/>
    <w:rsid w:val="006C7181"/>
    <w:rsid w:val="006C7BB9"/>
    <w:rsid w:val="006D09A6"/>
    <w:rsid w:val="006D3C33"/>
    <w:rsid w:val="006D43DA"/>
    <w:rsid w:val="006D5125"/>
    <w:rsid w:val="006D51E6"/>
    <w:rsid w:val="006D5479"/>
    <w:rsid w:val="006D58C2"/>
    <w:rsid w:val="006D6F57"/>
    <w:rsid w:val="006E5C16"/>
    <w:rsid w:val="006E7415"/>
    <w:rsid w:val="006F2E12"/>
    <w:rsid w:val="006F3A1C"/>
    <w:rsid w:val="006F4236"/>
    <w:rsid w:val="006F4684"/>
    <w:rsid w:val="00700A01"/>
    <w:rsid w:val="007010EC"/>
    <w:rsid w:val="00701940"/>
    <w:rsid w:val="00701D44"/>
    <w:rsid w:val="00701F3E"/>
    <w:rsid w:val="007028EB"/>
    <w:rsid w:val="007034D9"/>
    <w:rsid w:val="007047A6"/>
    <w:rsid w:val="007052EC"/>
    <w:rsid w:val="007106C3"/>
    <w:rsid w:val="00710DD2"/>
    <w:rsid w:val="00714D01"/>
    <w:rsid w:val="0071565F"/>
    <w:rsid w:val="00716A86"/>
    <w:rsid w:val="00717B22"/>
    <w:rsid w:val="007201B7"/>
    <w:rsid w:val="00722162"/>
    <w:rsid w:val="007221D6"/>
    <w:rsid w:val="00722C33"/>
    <w:rsid w:val="0072383D"/>
    <w:rsid w:val="00723BCF"/>
    <w:rsid w:val="00724B8A"/>
    <w:rsid w:val="00726559"/>
    <w:rsid w:val="007273C3"/>
    <w:rsid w:val="007276CB"/>
    <w:rsid w:val="00727A02"/>
    <w:rsid w:val="00727DD1"/>
    <w:rsid w:val="007305E1"/>
    <w:rsid w:val="00730E57"/>
    <w:rsid w:val="00731259"/>
    <w:rsid w:val="00735A68"/>
    <w:rsid w:val="0074152C"/>
    <w:rsid w:val="00742A90"/>
    <w:rsid w:val="007444CC"/>
    <w:rsid w:val="00745730"/>
    <w:rsid w:val="00746813"/>
    <w:rsid w:val="007475C4"/>
    <w:rsid w:val="00751891"/>
    <w:rsid w:val="00754291"/>
    <w:rsid w:val="00754413"/>
    <w:rsid w:val="0075470D"/>
    <w:rsid w:val="00754716"/>
    <w:rsid w:val="00755024"/>
    <w:rsid w:val="007574A0"/>
    <w:rsid w:val="007575DD"/>
    <w:rsid w:val="007605DE"/>
    <w:rsid w:val="00760CF6"/>
    <w:rsid w:val="00764E39"/>
    <w:rsid w:val="00765091"/>
    <w:rsid w:val="0076694D"/>
    <w:rsid w:val="00766A4C"/>
    <w:rsid w:val="00766CDC"/>
    <w:rsid w:val="00767C87"/>
    <w:rsid w:val="00772A78"/>
    <w:rsid w:val="007804BF"/>
    <w:rsid w:val="00781D29"/>
    <w:rsid w:val="00785461"/>
    <w:rsid w:val="007869C9"/>
    <w:rsid w:val="00791534"/>
    <w:rsid w:val="00792DEF"/>
    <w:rsid w:val="00793994"/>
    <w:rsid w:val="00794EFE"/>
    <w:rsid w:val="007950D3"/>
    <w:rsid w:val="0079630F"/>
    <w:rsid w:val="007A01FB"/>
    <w:rsid w:val="007A2409"/>
    <w:rsid w:val="007A32B1"/>
    <w:rsid w:val="007A3B48"/>
    <w:rsid w:val="007B1510"/>
    <w:rsid w:val="007B1C98"/>
    <w:rsid w:val="007B57D7"/>
    <w:rsid w:val="007B7596"/>
    <w:rsid w:val="007B7AE8"/>
    <w:rsid w:val="007C0C86"/>
    <w:rsid w:val="007C1ABB"/>
    <w:rsid w:val="007C2141"/>
    <w:rsid w:val="007C25BD"/>
    <w:rsid w:val="007C2CB0"/>
    <w:rsid w:val="007C3E10"/>
    <w:rsid w:val="007D09AD"/>
    <w:rsid w:val="007D233A"/>
    <w:rsid w:val="007D37F5"/>
    <w:rsid w:val="007D3B70"/>
    <w:rsid w:val="007D47E0"/>
    <w:rsid w:val="007D4E9C"/>
    <w:rsid w:val="007E1066"/>
    <w:rsid w:val="007E3139"/>
    <w:rsid w:val="007E3D08"/>
    <w:rsid w:val="007E7481"/>
    <w:rsid w:val="007F232E"/>
    <w:rsid w:val="007F25EA"/>
    <w:rsid w:val="007F2B60"/>
    <w:rsid w:val="007F2BCE"/>
    <w:rsid w:val="007F4234"/>
    <w:rsid w:val="007F4237"/>
    <w:rsid w:val="007F4663"/>
    <w:rsid w:val="007F6E15"/>
    <w:rsid w:val="00803E53"/>
    <w:rsid w:val="00805E49"/>
    <w:rsid w:val="00807BBF"/>
    <w:rsid w:val="00811840"/>
    <w:rsid w:val="00813C15"/>
    <w:rsid w:val="0081463B"/>
    <w:rsid w:val="008172C1"/>
    <w:rsid w:val="00820D3F"/>
    <w:rsid w:val="008221FD"/>
    <w:rsid w:val="00823915"/>
    <w:rsid w:val="008264EB"/>
    <w:rsid w:val="00830712"/>
    <w:rsid w:val="00840AE7"/>
    <w:rsid w:val="00841A49"/>
    <w:rsid w:val="00842895"/>
    <w:rsid w:val="008449AC"/>
    <w:rsid w:val="00844D4D"/>
    <w:rsid w:val="00845D80"/>
    <w:rsid w:val="00850657"/>
    <w:rsid w:val="00850D3D"/>
    <w:rsid w:val="0085170A"/>
    <w:rsid w:val="0085186C"/>
    <w:rsid w:val="00852D75"/>
    <w:rsid w:val="00853AE6"/>
    <w:rsid w:val="008541D3"/>
    <w:rsid w:val="00856B10"/>
    <w:rsid w:val="00856CD8"/>
    <w:rsid w:val="00856E0C"/>
    <w:rsid w:val="00860A0F"/>
    <w:rsid w:val="00861A50"/>
    <w:rsid w:val="00865A1D"/>
    <w:rsid w:val="00865FB8"/>
    <w:rsid w:val="00867DEA"/>
    <w:rsid w:val="008704D6"/>
    <w:rsid w:val="0087243F"/>
    <w:rsid w:val="00873D91"/>
    <w:rsid w:val="008763AE"/>
    <w:rsid w:val="00880076"/>
    <w:rsid w:val="00881A8D"/>
    <w:rsid w:val="00886ACF"/>
    <w:rsid w:val="008877EB"/>
    <w:rsid w:val="00887E9A"/>
    <w:rsid w:val="00890206"/>
    <w:rsid w:val="008967FD"/>
    <w:rsid w:val="008A10BE"/>
    <w:rsid w:val="008A2747"/>
    <w:rsid w:val="008A4F53"/>
    <w:rsid w:val="008A6439"/>
    <w:rsid w:val="008A72DF"/>
    <w:rsid w:val="008B1B7C"/>
    <w:rsid w:val="008B3A50"/>
    <w:rsid w:val="008B6640"/>
    <w:rsid w:val="008C0939"/>
    <w:rsid w:val="008C27E7"/>
    <w:rsid w:val="008C4A43"/>
    <w:rsid w:val="008C59BD"/>
    <w:rsid w:val="008C630B"/>
    <w:rsid w:val="008D46D0"/>
    <w:rsid w:val="008D570E"/>
    <w:rsid w:val="008D5B91"/>
    <w:rsid w:val="008E0344"/>
    <w:rsid w:val="008E0CCB"/>
    <w:rsid w:val="008E1021"/>
    <w:rsid w:val="008E4D50"/>
    <w:rsid w:val="008F1BCA"/>
    <w:rsid w:val="008F1C35"/>
    <w:rsid w:val="008F41E2"/>
    <w:rsid w:val="008F4651"/>
    <w:rsid w:val="00901166"/>
    <w:rsid w:val="00903602"/>
    <w:rsid w:val="009041C1"/>
    <w:rsid w:val="00904286"/>
    <w:rsid w:val="00904E49"/>
    <w:rsid w:val="00906812"/>
    <w:rsid w:val="0090695D"/>
    <w:rsid w:val="009071B4"/>
    <w:rsid w:val="00907815"/>
    <w:rsid w:val="00915087"/>
    <w:rsid w:val="00916709"/>
    <w:rsid w:val="009202A0"/>
    <w:rsid w:val="00921CA1"/>
    <w:rsid w:val="00921ED3"/>
    <w:rsid w:val="009227C4"/>
    <w:rsid w:val="00922C55"/>
    <w:rsid w:val="00923759"/>
    <w:rsid w:val="00924B67"/>
    <w:rsid w:val="0092669F"/>
    <w:rsid w:val="009339B2"/>
    <w:rsid w:val="009403B6"/>
    <w:rsid w:val="00940602"/>
    <w:rsid w:val="00944C5F"/>
    <w:rsid w:val="0094525C"/>
    <w:rsid w:val="009457C8"/>
    <w:rsid w:val="00947805"/>
    <w:rsid w:val="00952516"/>
    <w:rsid w:val="00952DA0"/>
    <w:rsid w:val="00954512"/>
    <w:rsid w:val="0095451E"/>
    <w:rsid w:val="00955010"/>
    <w:rsid w:val="00961115"/>
    <w:rsid w:val="00963F05"/>
    <w:rsid w:val="00964F8C"/>
    <w:rsid w:val="00964F95"/>
    <w:rsid w:val="0096661E"/>
    <w:rsid w:val="0096734F"/>
    <w:rsid w:val="00967396"/>
    <w:rsid w:val="009677A9"/>
    <w:rsid w:val="0097170C"/>
    <w:rsid w:val="00971F60"/>
    <w:rsid w:val="00975346"/>
    <w:rsid w:val="00975470"/>
    <w:rsid w:val="0098250D"/>
    <w:rsid w:val="00982CFC"/>
    <w:rsid w:val="00984B6D"/>
    <w:rsid w:val="00985093"/>
    <w:rsid w:val="009867CE"/>
    <w:rsid w:val="00987F47"/>
    <w:rsid w:val="0099086C"/>
    <w:rsid w:val="00990ED3"/>
    <w:rsid w:val="009911A0"/>
    <w:rsid w:val="00991AF0"/>
    <w:rsid w:val="009927E1"/>
    <w:rsid w:val="009974CA"/>
    <w:rsid w:val="009A2233"/>
    <w:rsid w:val="009A342E"/>
    <w:rsid w:val="009B039B"/>
    <w:rsid w:val="009B167F"/>
    <w:rsid w:val="009B2FE3"/>
    <w:rsid w:val="009B3EDB"/>
    <w:rsid w:val="009B4A8B"/>
    <w:rsid w:val="009B4DD4"/>
    <w:rsid w:val="009B5BB1"/>
    <w:rsid w:val="009C0783"/>
    <w:rsid w:val="009C09D2"/>
    <w:rsid w:val="009C19A9"/>
    <w:rsid w:val="009C3220"/>
    <w:rsid w:val="009C35AB"/>
    <w:rsid w:val="009C4544"/>
    <w:rsid w:val="009C5529"/>
    <w:rsid w:val="009C6E73"/>
    <w:rsid w:val="009C6E80"/>
    <w:rsid w:val="009D051E"/>
    <w:rsid w:val="009D2841"/>
    <w:rsid w:val="009D2995"/>
    <w:rsid w:val="009D6354"/>
    <w:rsid w:val="009E0952"/>
    <w:rsid w:val="009E29F8"/>
    <w:rsid w:val="009E3B43"/>
    <w:rsid w:val="009E4992"/>
    <w:rsid w:val="009E4B30"/>
    <w:rsid w:val="009E4BC9"/>
    <w:rsid w:val="009E5117"/>
    <w:rsid w:val="009E55A6"/>
    <w:rsid w:val="009E7018"/>
    <w:rsid w:val="009E712D"/>
    <w:rsid w:val="009E7A99"/>
    <w:rsid w:val="009F0749"/>
    <w:rsid w:val="009F19FB"/>
    <w:rsid w:val="009F247E"/>
    <w:rsid w:val="009F35DB"/>
    <w:rsid w:val="009F57B0"/>
    <w:rsid w:val="009F6536"/>
    <w:rsid w:val="009F67AB"/>
    <w:rsid w:val="00A00AE6"/>
    <w:rsid w:val="00A046F0"/>
    <w:rsid w:val="00A04806"/>
    <w:rsid w:val="00A04DF5"/>
    <w:rsid w:val="00A05495"/>
    <w:rsid w:val="00A0560F"/>
    <w:rsid w:val="00A06E85"/>
    <w:rsid w:val="00A0773E"/>
    <w:rsid w:val="00A1072B"/>
    <w:rsid w:val="00A108DF"/>
    <w:rsid w:val="00A1298F"/>
    <w:rsid w:val="00A15501"/>
    <w:rsid w:val="00A155DD"/>
    <w:rsid w:val="00A20C92"/>
    <w:rsid w:val="00A2243D"/>
    <w:rsid w:val="00A25855"/>
    <w:rsid w:val="00A303C1"/>
    <w:rsid w:val="00A30FF9"/>
    <w:rsid w:val="00A329FC"/>
    <w:rsid w:val="00A3559E"/>
    <w:rsid w:val="00A37FED"/>
    <w:rsid w:val="00A421B1"/>
    <w:rsid w:val="00A4512D"/>
    <w:rsid w:val="00A46298"/>
    <w:rsid w:val="00A463EA"/>
    <w:rsid w:val="00A530B5"/>
    <w:rsid w:val="00A5568A"/>
    <w:rsid w:val="00A56DAE"/>
    <w:rsid w:val="00A56FA1"/>
    <w:rsid w:val="00A61B5B"/>
    <w:rsid w:val="00A6265B"/>
    <w:rsid w:val="00A65420"/>
    <w:rsid w:val="00A654A1"/>
    <w:rsid w:val="00A658E5"/>
    <w:rsid w:val="00A661BC"/>
    <w:rsid w:val="00A66A94"/>
    <w:rsid w:val="00A701A0"/>
    <w:rsid w:val="00A705AF"/>
    <w:rsid w:val="00A71020"/>
    <w:rsid w:val="00A72009"/>
    <w:rsid w:val="00A72B46"/>
    <w:rsid w:val="00A7312C"/>
    <w:rsid w:val="00A74479"/>
    <w:rsid w:val="00A80379"/>
    <w:rsid w:val="00A815B2"/>
    <w:rsid w:val="00A824A9"/>
    <w:rsid w:val="00A86F37"/>
    <w:rsid w:val="00A86FDE"/>
    <w:rsid w:val="00A8729D"/>
    <w:rsid w:val="00A9060E"/>
    <w:rsid w:val="00A92350"/>
    <w:rsid w:val="00A9632A"/>
    <w:rsid w:val="00A964C1"/>
    <w:rsid w:val="00AA1F8E"/>
    <w:rsid w:val="00AA3F87"/>
    <w:rsid w:val="00AA7CCF"/>
    <w:rsid w:val="00AB115C"/>
    <w:rsid w:val="00AB2248"/>
    <w:rsid w:val="00AC2148"/>
    <w:rsid w:val="00AC214E"/>
    <w:rsid w:val="00AC2B21"/>
    <w:rsid w:val="00AC2FB1"/>
    <w:rsid w:val="00AC43C4"/>
    <w:rsid w:val="00AC4C77"/>
    <w:rsid w:val="00AD0FAC"/>
    <w:rsid w:val="00AD2C52"/>
    <w:rsid w:val="00AD3294"/>
    <w:rsid w:val="00AD6416"/>
    <w:rsid w:val="00AD6D41"/>
    <w:rsid w:val="00AE06CD"/>
    <w:rsid w:val="00AE1A86"/>
    <w:rsid w:val="00AE3AC6"/>
    <w:rsid w:val="00AE47E3"/>
    <w:rsid w:val="00AF1F5B"/>
    <w:rsid w:val="00AF2C1B"/>
    <w:rsid w:val="00AF4907"/>
    <w:rsid w:val="00AF55BE"/>
    <w:rsid w:val="00AF70BA"/>
    <w:rsid w:val="00AF7ABA"/>
    <w:rsid w:val="00B05B5E"/>
    <w:rsid w:val="00B0667A"/>
    <w:rsid w:val="00B06816"/>
    <w:rsid w:val="00B07C20"/>
    <w:rsid w:val="00B12F0B"/>
    <w:rsid w:val="00B1605A"/>
    <w:rsid w:val="00B16893"/>
    <w:rsid w:val="00B1714C"/>
    <w:rsid w:val="00B17D39"/>
    <w:rsid w:val="00B21225"/>
    <w:rsid w:val="00B2151D"/>
    <w:rsid w:val="00B22303"/>
    <w:rsid w:val="00B240FF"/>
    <w:rsid w:val="00B25FAC"/>
    <w:rsid w:val="00B262BB"/>
    <w:rsid w:val="00B27AAD"/>
    <w:rsid w:val="00B27E0C"/>
    <w:rsid w:val="00B354BC"/>
    <w:rsid w:val="00B37AC8"/>
    <w:rsid w:val="00B40853"/>
    <w:rsid w:val="00B41308"/>
    <w:rsid w:val="00B41453"/>
    <w:rsid w:val="00B4231A"/>
    <w:rsid w:val="00B42851"/>
    <w:rsid w:val="00B42B1A"/>
    <w:rsid w:val="00B4659D"/>
    <w:rsid w:val="00B4694F"/>
    <w:rsid w:val="00B47800"/>
    <w:rsid w:val="00B51438"/>
    <w:rsid w:val="00B515C3"/>
    <w:rsid w:val="00B54B81"/>
    <w:rsid w:val="00B56575"/>
    <w:rsid w:val="00B572F8"/>
    <w:rsid w:val="00B6035C"/>
    <w:rsid w:val="00B6088D"/>
    <w:rsid w:val="00B6130E"/>
    <w:rsid w:val="00B61E00"/>
    <w:rsid w:val="00B6210B"/>
    <w:rsid w:val="00B63AE9"/>
    <w:rsid w:val="00B63F3C"/>
    <w:rsid w:val="00B70CFA"/>
    <w:rsid w:val="00B718C4"/>
    <w:rsid w:val="00B81B0C"/>
    <w:rsid w:val="00B8234B"/>
    <w:rsid w:val="00B94B8E"/>
    <w:rsid w:val="00B96709"/>
    <w:rsid w:val="00B9771B"/>
    <w:rsid w:val="00BA0DF3"/>
    <w:rsid w:val="00BA2853"/>
    <w:rsid w:val="00BA2C73"/>
    <w:rsid w:val="00BA3F46"/>
    <w:rsid w:val="00BA6840"/>
    <w:rsid w:val="00BB14B8"/>
    <w:rsid w:val="00BB30A3"/>
    <w:rsid w:val="00BB4EE6"/>
    <w:rsid w:val="00BB506D"/>
    <w:rsid w:val="00BB5377"/>
    <w:rsid w:val="00BB5D43"/>
    <w:rsid w:val="00BB6687"/>
    <w:rsid w:val="00BB6B48"/>
    <w:rsid w:val="00BC3567"/>
    <w:rsid w:val="00BC3A39"/>
    <w:rsid w:val="00BC4FAB"/>
    <w:rsid w:val="00BC71B2"/>
    <w:rsid w:val="00BC73AA"/>
    <w:rsid w:val="00BD1AF0"/>
    <w:rsid w:val="00BD2062"/>
    <w:rsid w:val="00BD3451"/>
    <w:rsid w:val="00BD68B0"/>
    <w:rsid w:val="00BE2DBF"/>
    <w:rsid w:val="00BE306D"/>
    <w:rsid w:val="00BE75B7"/>
    <w:rsid w:val="00BF07B1"/>
    <w:rsid w:val="00BF0D67"/>
    <w:rsid w:val="00BF2B1A"/>
    <w:rsid w:val="00BF334C"/>
    <w:rsid w:val="00BF63E2"/>
    <w:rsid w:val="00BF7642"/>
    <w:rsid w:val="00C03E33"/>
    <w:rsid w:val="00C040CA"/>
    <w:rsid w:val="00C06883"/>
    <w:rsid w:val="00C06C55"/>
    <w:rsid w:val="00C12446"/>
    <w:rsid w:val="00C1286B"/>
    <w:rsid w:val="00C12CAD"/>
    <w:rsid w:val="00C1319E"/>
    <w:rsid w:val="00C1677C"/>
    <w:rsid w:val="00C16F49"/>
    <w:rsid w:val="00C20DAD"/>
    <w:rsid w:val="00C21ADD"/>
    <w:rsid w:val="00C21B81"/>
    <w:rsid w:val="00C23D68"/>
    <w:rsid w:val="00C2472F"/>
    <w:rsid w:val="00C248FB"/>
    <w:rsid w:val="00C24A2E"/>
    <w:rsid w:val="00C25113"/>
    <w:rsid w:val="00C2527D"/>
    <w:rsid w:val="00C27B0B"/>
    <w:rsid w:val="00C322A1"/>
    <w:rsid w:val="00C34CCB"/>
    <w:rsid w:val="00C3513A"/>
    <w:rsid w:val="00C351C6"/>
    <w:rsid w:val="00C47CA7"/>
    <w:rsid w:val="00C5078D"/>
    <w:rsid w:val="00C56A19"/>
    <w:rsid w:val="00C60100"/>
    <w:rsid w:val="00C6194D"/>
    <w:rsid w:val="00C62D12"/>
    <w:rsid w:val="00C6691F"/>
    <w:rsid w:val="00C70413"/>
    <w:rsid w:val="00C710E4"/>
    <w:rsid w:val="00C714BF"/>
    <w:rsid w:val="00C72B2E"/>
    <w:rsid w:val="00C74F18"/>
    <w:rsid w:val="00C752BD"/>
    <w:rsid w:val="00C7646A"/>
    <w:rsid w:val="00C8103C"/>
    <w:rsid w:val="00C81513"/>
    <w:rsid w:val="00C82626"/>
    <w:rsid w:val="00C85136"/>
    <w:rsid w:val="00C8556A"/>
    <w:rsid w:val="00C85BE5"/>
    <w:rsid w:val="00C90898"/>
    <w:rsid w:val="00C93180"/>
    <w:rsid w:val="00C94422"/>
    <w:rsid w:val="00CA07D3"/>
    <w:rsid w:val="00CA29DD"/>
    <w:rsid w:val="00CA2DF9"/>
    <w:rsid w:val="00CA4CAB"/>
    <w:rsid w:val="00CB1147"/>
    <w:rsid w:val="00CB15E7"/>
    <w:rsid w:val="00CB2400"/>
    <w:rsid w:val="00CB2BC5"/>
    <w:rsid w:val="00CB48B6"/>
    <w:rsid w:val="00CB5B1A"/>
    <w:rsid w:val="00CB7799"/>
    <w:rsid w:val="00CB7929"/>
    <w:rsid w:val="00CB7D7C"/>
    <w:rsid w:val="00CC0931"/>
    <w:rsid w:val="00CC1BB0"/>
    <w:rsid w:val="00CC325D"/>
    <w:rsid w:val="00CD1649"/>
    <w:rsid w:val="00CD21A7"/>
    <w:rsid w:val="00CD4612"/>
    <w:rsid w:val="00CD4F79"/>
    <w:rsid w:val="00CD5041"/>
    <w:rsid w:val="00CD7B38"/>
    <w:rsid w:val="00CD7BD3"/>
    <w:rsid w:val="00CE2683"/>
    <w:rsid w:val="00CE2CDB"/>
    <w:rsid w:val="00CE510B"/>
    <w:rsid w:val="00CE6448"/>
    <w:rsid w:val="00CF1D3C"/>
    <w:rsid w:val="00CF42B6"/>
    <w:rsid w:val="00CF5D67"/>
    <w:rsid w:val="00CF6233"/>
    <w:rsid w:val="00D01075"/>
    <w:rsid w:val="00D01BA7"/>
    <w:rsid w:val="00D03F4B"/>
    <w:rsid w:val="00D06191"/>
    <w:rsid w:val="00D104DB"/>
    <w:rsid w:val="00D108C6"/>
    <w:rsid w:val="00D109E4"/>
    <w:rsid w:val="00D10EA1"/>
    <w:rsid w:val="00D11021"/>
    <w:rsid w:val="00D13594"/>
    <w:rsid w:val="00D13F78"/>
    <w:rsid w:val="00D14650"/>
    <w:rsid w:val="00D147A4"/>
    <w:rsid w:val="00D14D65"/>
    <w:rsid w:val="00D152B1"/>
    <w:rsid w:val="00D170B6"/>
    <w:rsid w:val="00D206A4"/>
    <w:rsid w:val="00D2179F"/>
    <w:rsid w:val="00D2204E"/>
    <w:rsid w:val="00D22D65"/>
    <w:rsid w:val="00D270CF"/>
    <w:rsid w:val="00D279D4"/>
    <w:rsid w:val="00D34C92"/>
    <w:rsid w:val="00D35212"/>
    <w:rsid w:val="00D36599"/>
    <w:rsid w:val="00D419F7"/>
    <w:rsid w:val="00D41AC4"/>
    <w:rsid w:val="00D41ED6"/>
    <w:rsid w:val="00D41FB1"/>
    <w:rsid w:val="00D42BD5"/>
    <w:rsid w:val="00D439F3"/>
    <w:rsid w:val="00D44D97"/>
    <w:rsid w:val="00D44ED9"/>
    <w:rsid w:val="00D4567B"/>
    <w:rsid w:val="00D50156"/>
    <w:rsid w:val="00D51FB8"/>
    <w:rsid w:val="00D5215F"/>
    <w:rsid w:val="00D545DE"/>
    <w:rsid w:val="00D55373"/>
    <w:rsid w:val="00D55597"/>
    <w:rsid w:val="00D568F4"/>
    <w:rsid w:val="00D627E9"/>
    <w:rsid w:val="00D6474B"/>
    <w:rsid w:val="00D81F96"/>
    <w:rsid w:val="00D8328B"/>
    <w:rsid w:val="00D8362D"/>
    <w:rsid w:val="00D90FB9"/>
    <w:rsid w:val="00D91351"/>
    <w:rsid w:val="00D9473B"/>
    <w:rsid w:val="00DA0629"/>
    <w:rsid w:val="00DA0A69"/>
    <w:rsid w:val="00DA0C2D"/>
    <w:rsid w:val="00DA0F2C"/>
    <w:rsid w:val="00DA25FD"/>
    <w:rsid w:val="00DA3471"/>
    <w:rsid w:val="00DA4158"/>
    <w:rsid w:val="00DA4D09"/>
    <w:rsid w:val="00DA6D5F"/>
    <w:rsid w:val="00DB02EB"/>
    <w:rsid w:val="00DB0A6B"/>
    <w:rsid w:val="00DB4386"/>
    <w:rsid w:val="00DB454C"/>
    <w:rsid w:val="00DB4A8A"/>
    <w:rsid w:val="00DC2428"/>
    <w:rsid w:val="00DC41F7"/>
    <w:rsid w:val="00DC4B39"/>
    <w:rsid w:val="00DC6289"/>
    <w:rsid w:val="00DC73EA"/>
    <w:rsid w:val="00DD1168"/>
    <w:rsid w:val="00DD183C"/>
    <w:rsid w:val="00DD29D1"/>
    <w:rsid w:val="00DD50FB"/>
    <w:rsid w:val="00DD56F0"/>
    <w:rsid w:val="00DD72A5"/>
    <w:rsid w:val="00DE2271"/>
    <w:rsid w:val="00DE4FD9"/>
    <w:rsid w:val="00DE587D"/>
    <w:rsid w:val="00DF3151"/>
    <w:rsid w:val="00DF4A88"/>
    <w:rsid w:val="00DF5A2D"/>
    <w:rsid w:val="00E01261"/>
    <w:rsid w:val="00E02155"/>
    <w:rsid w:val="00E0362E"/>
    <w:rsid w:val="00E03A69"/>
    <w:rsid w:val="00E044C1"/>
    <w:rsid w:val="00E07ED7"/>
    <w:rsid w:val="00E146F5"/>
    <w:rsid w:val="00E159B3"/>
    <w:rsid w:val="00E176AA"/>
    <w:rsid w:val="00E179AB"/>
    <w:rsid w:val="00E17D4E"/>
    <w:rsid w:val="00E20CC5"/>
    <w:rsid w:val="00E23C05"/>
    <w:rsid w:val="00E24B1E"/>
    <w:rsid w:val="00E26AC6"/>
    <w:rsid w:val="00E26BA5"/>
    <w:rsid w:val="00E3212F"/>
    <w:rsid w:val="00E36CAD"/>
    <w:rsid w:val="00E42186"/>
    <w:rsid w:val="00E50034"/>
    <w:rsid w:val="00E52DD4"/>
    <w:rsid w:val="00E53975"/>
    <w:rsid w:val="00E55797"/>
    <w:rsid w:val="00E55FEE"/>
    <w:rsid w:val="00E5749D"/>
    <w:rsid w:val="00E60BCF"/>
    <w:rsid w:val="00E60C01"/>
    <w:rsid w:val="00E62D70"/>
    <w:rsid w:val="00E65A56"/>
    <w:rsid w:val="00E6604E"/>
    <w:rsid w:val="00E71181"/>
    <w:rsid w:val="00E71B32"/>
    <w:rsid w:val="00E72D86"/>
    <w:rsid w:val="00E74A09"/>
    <w:rsid w:val="00E75043"/>
    <w:rsid w:val="00E8138D"/>
    <w:rsid w:val="00E817F6"/>
    <w:rsid w:val="00E821F7"/>
    <w:rsid w:val="00E9038B"/>
    <w:rsid w:val="00E90D18"/>
    <w:rsid w:val="00E93F35"/>
    <w:rsid w:val="00E949EB"/>
    <w:rsid w:val="00E96440"/>
    <w:rsid w:val="00E96E19"/>
    <w:rsid w:val="00EA106A"/>
    <w:rsid w:val="00EA2418"/>
    <w:rsid w:val="00EA33C9"/>
    <w:rsid w:val="00EA4166"/>
    <w:rsid w:val="00EA5A7F"/>
    <w:rsid w:val="00EB0E7D"/>
    <w:rsid w:val="00EB1020"/>
    <w:rsid w:val="00EB1D68"/>
    <w:rsid w:val="00EB23F6"/>
    <w:rsid w:val="00EB5EB2"/>
    <w:rsid w:val="00EB6E8A"/>
    <w:rsid w:val="00EB76DC"/>
    <w:rsid w:val="00EC0FF4"/>
    <w:rsid w:val="00EC19BD"/>
    <w:rsid w:val="00EC257A"/>
    <w:rsid w:val="00EC44E7"/>
    <w:rsid w:val="00EC5B88"/>
    <w:rsid w:val="00EC7E42"/>
    <w:rsid w:val="00ED263E"/>
    <w:rsid w:val="00ED549B"/>
    <w:rsid w:val="00ED7F83"/>
    <w:rsid w:val="00EE0DB9"/>
    <w:rsid w:val="00EE11B6"/>
    <w:rsid w:val="00EE41AA"/>
    <w:rsid w:val="00EE46A6"/>
    <w:rsid w:val="00EE475E"/>
    <w:rsid w:val="00EE5220"/>
    <w:rsid w:val="00EF009B"/>
    <w:rsid w:val="00EF1A4F"/>
    <w:rsid w:val="00EF72E4"/>
    <w:rsid w:val="00EF72F6"/>
    <w:rsid w:val="00F00477"/>
    <w:rsid w:val="00F02814"/>
    <w:rsid w:val="00F06FD0"/>
    <w:rsid w:val="00F1145F"/>
    <w:rsid w:val="00F13A19"/>
    <w:rsid w:val="00F13C47"/>
    <w:rsid w:val="00F15666"/>
    <w:rsid w:val="00F1581D"/>
    <w:rsid w:val="00F176DC"/>
    <w:rsid w:val="00F17F99"/>
    <w:rsid w:val="00F22506"/>
    <w:rsid w:val="00F264B2"/>
    <w:rsid w:val="00F33396"/>
    <w:rsid w:val="00F33924"/>
    <w:rsid w:val="00F34322"/>
    <w:rsid w:val="00F34DEB"/>
    <w:rsid w:val="00F3678C"/>
    <w:rsid w:val="00F3685F"/>
    <w:rsid w:val="00F400B0"/>
    <w:rsid w:val="00F40F2C"/>
    <w:rsid w:val="00F450E6"/>
    <w:rsid w:val="00F461DC"/>
    <w:rsid w:val="00F50374"/>
    <w:rsid w:val="00F535DC"/>
    <w:rsid w:val="00F55F65"/>
    <w:rsid w:val="00F5605B"/>
    <w:rsid w:val="00F56297"/>
    <w:rsid w:val="00F5735B"/>
    <w:rsid w:val="00F602DD"/>
    <w:rsid w:val="00F61245"/>
    <w:rsid w:val="00F6221A"/>
    <w:rsid w:val="00F6419E"/>
    <w:rsid w:val="00F66DCF"/>
    <w:rsid w:val="00F67BD8"/>
    <w:rsid w:val="00F67CF8"/>
    <w:rsid w:val="00F67DAA"/>
    <w:rsid w:val="00F72805"/>
    <w:rsid w:val="00F73540"/>
    <w:rsid w:val="00F74EC1"/>
    <w:rsid w:val="00F76C51"/>
    <w:rsid w:val="00F77460"/>
    <w:rsid w:val="00F81243"/>
    <w:rsid w:val="00F8406E"/>
    <w:rsid w:val="00F8438B"/>
    <w:rsid w:val="00F86238"/>
    <w:rsid w:val="00F87EE4"/>
    <w:rsid w:val="00F87F7D"/>
    <w:rsid w:val="00F9155F"/>
    <w:rsid w:val="00F97FD9"/>
    <w:rsid w:val="00FA3DBC"/>
    <w:rsid w:val="00FA4CFB"/>
    <w:rsid w:val="00FA7EB7"/>
    <w:rsid w:val="00FB05B7"/>
    <w:rsid w:val="00FB1B88"/>
    <w:rsid w:val="00FB3904"/>
    <w:rsid w:val="00FB4114"/>
    <w:rsid w:val="00FB5C00"/>
    <w:rsid w:val="00FB6A7D"/>
    <w:rsid w:val="00FB6A9D"/>
    <w:rsid w:val="00FC0159"/>
    <w:rsid w:val="00FC29C4"/>
    <w:rsid w:val="00FC2F35"/>
    <w:rsid w:val="00FC3919"/>
    <w:rsid w:val="00FC469F"/>
    <w:rsid w:val="00FC5402"/>
    <w:rsid w:val="00FC6849"/>
    <w:rsid w:val="00FD04D2"/>
    <w:rsid w:val="00FD117E"/>
    <w:rsid w:val="00FD41B7"/>
    <w:rsid w:val="00FD4240"/>
    <w:rsid w:val="00FE21E2"/>
    <w:rsid w:val="00FE2288"/>
    <w:rsid w:val="00FE39FD"/>
    <w:rsid w:val="00FE4A43"/>
    <w:rsid w:val="00FE6216"/>
    <w:rsid w:val="00FE67A5"/>
    <w:rsid w:val="00FE6A42"/>
    <w:rsid w:val="00FE6FC9"/>
    <w:rsid w:val="00FE7F7D"/>
    <w:rsid w:val="00FF5940"/>
    <w:rsid w:val="00FF6002"/>
    <w:rsid w:val="00FF6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7CC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00"/>
    <w:rPr>
      <w:sz w:val="24"/>
      <w:szCs w:val="24"/>
    </w:rPr>
  </w:style>
  <w:style w:type="paragraph" w:styleId="Heading1">
    <w:name w:val="heading 1"/>
    <w:basedOn w:val="Normal"/>
    <w:next w:val="Normal"/>
    <w:qFormat/>
    <w:rsid w:val="004E5877"/>
    <w:pPr>
      <w:keepNext/>
      <w:numPr>
        <w:ilvl w:val="1"/>
        <w:numId w:val="39"/>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2F47AE"/>
    <w:pPr>
      <w:keepNext/>
      <w:numPr>
        <w:ilvl w:val="1"/>
        <w:numId w:val="43"/>
      </w:numPr>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2F47AE"/>
    <w:pPr>
      <w:keepNext/>
      <w:numPr>
        <w:ilvl w:val="2"/>
        <w:numId w:val="42"/>
      </w:numPr>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styleId="Header">
    <w:name w:val="header"/>
    <w:basedOn w:val="Normal"/>
    <w:link w:val="HeaderChar"/>
    <w:rsid w:val="00FB5C00"/>
    <w:pPr>
      <w:tabs>
        <w:tab w:val="center" w:pos="4153"/>
        <w:tab w:val="right" w:pos="8306"/>
      </w:tabs>
    </w:pPr>
  </w:style>
  <w:style w:type="character" w:customStyle="1" w:styleId="HeaderChar">
    <w:name w:val="Header Char"/>
    <w:basedOn w:val="DefaultParagraphFont"/>
    <w:link w:val="Header"/>
    <w:rsid w:val="00FB5C00"/>
    <w:rPr>
      <w:sz w:val="24"/>
      <w:szCs w:val="24"/>
    </w:rPr>
  </w:style>
  <w:style w:type="paragraph" w:styleId="Footer">
    <w:name w:val="footer"/>
    <w:basedOn w:val="Normal"/>
    <w:link w:val="FooterChar"/>
    <w:uiPriority w:val="99"/>
    <w:rsid w:val="00FB5C00"/>
    <w:pPr>
      <w:tabs>
        <w:tab w:val="center" w:pos="4153"/>
        <w:tab w:val="right" w:pos="8306"/>
      </w:tabs>
    </w:pPr>
  </w:style>
  <w:style w:type="character" w:customStyle="1" w:styleId="FooterChar">
    <w:name w:val="Footer Char"/>
    <w:basedOn w:val="DefaultParagraphFont"/>
    <w:link w:val="Footer"/>
    <w:uiPriority w:val="99"/>
    <w:rsid w:val="00FB5C00"/>
    <w:rPr>
      <w:sz w:val="24"/>
      <w:szCs w:val="24"/>
    </w:rPr>
  </w:style>
  <w:style w:type="character" w:styleId="PageNumber">
    <w:name w:val="page number"/>
    <w:basedOn w:val="DefaultParagraphFont"/>
    <w:rsid w:val="00FB5C00"/>
  </w:style>
  <w:style w:type="paragraph" w:styleId="MessageHeader">
    <w:name w:val="Message Header"/>
    <w:basedOn w:val="Normal"/>
    <w:link w:val="MessageHeaderChar"/>
    <w:rsid w:val="00FB5C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B5C00"/>
    <w:rPr>
      <w:rFonts w:ascii="Arial" w:hAnsi="Arial" w:cs="Arial"/>
      <w:sz w:val="24"/>
      <w:szCs w:val="24"/>
      <w:shd w:val="pct20" w:color="auto" w:fill="auto"/>
    </w:rPr>
  </w:style>
  <w:style w:type="paragraph" w:styleId="BalloonText">
    <w:name w:val="Balloon Text"/>
    <w:basedOn w:val="Normal"/>
    <w:link w:val="BalloonTextChar"/>
    <w:rsid w:val="00FB5C00"/>
    <w:rPr>
      <w:rFonts w:ascii="Tahoma" w:hAnsi="Tahoma" w:cs="Tahoma"/>
      <w:sz w:val="16"/>
      <w:szCs w:val="16"/>
    </w:rPr>
  </w:style>
  <w:style w:type="character" w:customStyle="1" w:styleId="BalloonTextChar">
    <w:name w:val="Balloon Text Char"/>
    <w:basedOn w:val="DefaultParagraphFont"/>
    <w:link w:val="BalloonText"/>
    <w:rsid w:val="00FB5C00"/>
    <w:rPr>
      <w:rFonts w:ascii="Tahoma" w:hAnsi="Tahoma" w:cs="Tahoma"/>
      <w:sz w:val="16"/>
      <w:szCs w:val="16"/>
    </w:rPr>
  </w:style>
  <w:style w:type="character" w:styleId="CommentReference">
    <w:name w:val="annotation reference"/>
    <w:basedOn w:val="DefaultParagraphFont"/>
    <w:rsid w:val="000B7188"/>
    <w:rPr>
      <w:sz w:val="16"/>
      <w:szCs w:val="16"/>
    </w:rPr>
  </w:style>
  <w:style w:type="paragraph" w:styleId="CommentText">
    <w:name w:val="annotation text"/>
    <w:basedOn w:val="Normal"/>
    <w:link w:val="CommentTextChar"/>
    <w:rsid w:val="000B7188"/>
    <w:rPr>
      <w:sz w:val="20"/>
      <w:szCs w:val="20"/>
    </w:rPr>
  </w:style>
  <w:style w:type="character" w:customStyle="1" w:styleId="CommentTextChar">
    <w:name w:val="Comment Text Char"/>
    <w:basedOn w:val="DefaultParagraphFont"/>
    <w:link w:val="CommentText"/>
    <w:rsid w:val="000B7188"/>
  </w:style>
  <w:style w:type="paragraph" w:styleId="CommentSubject">
    <w:name w:val="annotation subject"/>
    <w:basedOn w:val="CommentText"/>
    <w:next w:val="CommentText"/>
    <w:link w:val="CommentSubjectChar"/>
    <w:rsid w:val="000B7188"/>
    <w:rPr>
      <w:b/>
      <w:bCs/>
    </w:rPr>
  </w:style>
  <w:style w:type="character" w:customStyle="1" w:styleId="CommentSubjectChar">
    <w:name w:val="Comment Subject Char"/>
    <w:basedOn w:val="CommentTextChar"/>
    <w:link w:val="CommentSubject"/>
    <w:rsid w:val="000B7188"/>
    <w:rPr>
      <w:b/>
      <w:bCs/>
    </w:rPr>
  </w:style>
  <w:style w:type="character" w:styleId="Hyperlink">
    <w:name w:val="Hyperlink"/>
    <w:basedOn w:val="DefaultParagraphFont"/>
    <w:uiPriority w:val="99"/>
    <w:unhideWhenUsed/>
    <w:rsid w:val="009974CA"/>
    <w:rPr>
      <w:color w:val="0000FF"/>
      <w:u w:val="single"/>
    </w:rPr>
  </w:style>
  <w:style w:type="paragraph" w:customStyle="1" w:styleId="CommissionHeading1">
    <w:name w:val="Commission Heading 1"/>
    <w:basedOn w:val="Heading1"/>
    <w:next w:val="Commissionbodytext"/>
    <w:autoRedefine/>
    <w:rsid w:val="00AD0FAC"/>
    <w:pPr>
      <w:keepLines/>
      <w:pageBreakBefore/>
      <w:numPr>
        <w:ilvl w:val="0"/>
        <w:numId w:val="29"/>
      </w:numPr>
      <w:pBdr>
        <w:bottom w:val="single" w:sz="12" w:space="2" w:color="336699"/>
      </w:pBdr>
      <w:spacing w:before="480" w:after="240"/>
    </w:pPr>
    <w:rPr>
      <w:color w:val="00799C"/>
      <w:sz w:val="40"/>
      <w:szCs w:val="20"/>
      <w:lang w:eastAsia="en-US"/>
    </w:rPr>
  </w:style>
  <w:style w:type="paragraph" w:customStyle="1" w:styleId="CommissionHeading3">
    <w:name w:val="Commission Heading 3"/>
    <w:basedOn w:val="ListParagraph"/>
    <w:next w:val="Commissionbodytext"/>
    <w:link w:val="CommissionHeading3Char"/>
    <w:autoRedefine/>
    <w:qFormat/>
    <w:rsid w:val="00AD0FAC"/>
    <w:pPr>
      <w:keepNext/>
      <w:tabs>
        <w:tab w:val="left" w:pos="1701"/>
      </w:tabs>
      <w:spacing w:before="180" w:after="120"/>
      <w:ind w:left="0"/>
      <w:outlineLvl w:val="2"/>
    </w:pPr>
    <w:rPr>
      <w:rFonts w:ascii="Arial" w:hAnsi="Arial"/>
      <w:b/>
      <w:color w:val="00799C"/>
      <w:spacing w:val="20"/>
      <w:sz w:val="28"/>
      <w:szCs w:val="28"/>
      <w:lang w:eastAsia="en-US"/>
    </w:rPr>
  </w:style>
  <w:style w:type="paragraph" w:customStyle="1" w:styleId="CommissionHeading4">
    <w:name w:val="Commission Heading 4"/>
    <w:basedOn w:val="ListParagraph"/>
    <w:next w:val="Commissionbodytext"/>
    <w:autoRedefine/>
    <w:qFormat/>
    <w:rsid w:val="00AD0FAC"/>
    <w:pPr>
      <w:keepNext/>
      <w:numPr>
        <w:ilvl w:val="3"/>
        <w:numId w:val="29"/>
      </w:numPr>
      <w:tabs>
        <w:tab w:val="left" w:pos="1134"/>
      </w:tabs>
      <w:spacing w:before="120" w:after="120"/>
      <w:outlineLvl w:val="3"/>
    </w:pPr>
    <w:rPr>
      <w:rFonts w:ascii="Arial" w:hAnsi="Arial"/>
      <w:b/>
      <w:bCs/>
      <w:szCs w:val="28"/>
      <w:lang w:eastAsia="en-US"/>
    </w:rPr>
  </w:style>
  <w:style w:type="character" w:customStyle="1" w:styleId="CommissionHeading3Char">
    <w:name w:val="Commission Heading 3 Char"/>
    <w:basedOn w:val="DefaultParagraphFont"/>
    <w:link w:val="CommissionHeading3"/>
    <w:rsid w:val="00AD0FAC"/>
    <w:rPr>
      <w:rFonts w:ascii="Arial" w:hAnsi="Arial"/>
      <w:b/>
      <w:color w:val="00799C"/>
      <w:spacing w:val="20"/>
      <w:sz w:val="28"/>
      <w:szCs w:val="28"/>
      <w:lang w:eastAsia="en-US"/>
    </w:rPr>
  </w:style>
  <w:style w:type="paragraph" w:customStyle="1" w:styleId="Commissionbodytext">
    <w:name w:val="Commission body text"/>
    <w:basedOn w:val="Normal"/>
    <w:link w:val="CommissionbodytextChar"/>
    <w:qFormat/>
    <w:rsid w:val="00A06E85"/>
    <w:pPr>
      <w:spacing w:line="276" w:lineRule="auto"/>
    </w:pPr>
    <w:rPr>
      <w:rFonts w:ascii="Arial" w:hAnsi="Arial" w:cs="Arial"/>
      <w:sz w:val="22"/>
      <w:szCs w:val="22"/>
      <w:lang w:eastAsia="en-US"/>
    </w:rPr>
  </w:style>
  <w:style w:type="character" w:customStyle="1" w:styleId="CommissionbodytextChar">
    <w:name w:val="Commission body text Char"/>
    <w:basedOn w:val="DefaultParagraphFont"/>
    <w:link w:val="Commissionbodytext"/>
    <w:rsid w:val="00A06E85"/>
    <w:rPr>
      <w:rFonts w:ascii="Arial" w:hAnsi="Arial" w:cs="Arial"/>
      <w:sz w:val="22"/>
      <w:szCs w:val="22"/>
      <w:lang w:eastAsia="en-US"/>
    </w:rPr>
  </w:style>
  <w:style w:type="paragraph" w:customStyle="1" w:styleId="Bibliography1">
    <w:name w:val="Bibliography1"/>
    <w:basedOn w:val="Normal"/>
    <w:next w:val="Normal"/>
    <w:uiPriority w:val="37"/>
    <w:unhideWhenUsed/>
    <w:rsid w:val="009227C4"/>
    <w:pPr>
      <w:tabs>
        <w:tab w:val="left" w:pos="500"/>
      </w:tabs>
      <w:spacing w:after="240"/>
      <w:ind w:left="504" w:hanging="504"/>
    </w:pPr>
  </w:style>
  <w:style w:type="paragraph" w:styleId="FootnoteText">
    <w:name w:val="footnote text"/>
    <w:basedOn w:val="Normal"/>
    <w:link w:val="FootnoteTextChar"/>
    <w:qFormat/>
    <w:rsid w:val="009227C4"/>
    <w:rPr>
      <w:sz w:val="20"/>
      <w:szCs w:val="20"/>
    </w:rPr>
  </w:style>
  <w:style w:type="character" w:customStyle="1" w:styleId="FootnoteTextChar">
    <w:name w:val="Footnote Text Char"/>
    <w:basedOn w:val="DefaultParagraphFont"/>
    <w:link w:val="FootnoteText"/>
    <w:rsid w:val="009227C4"/>
  </w:style>
  <w:style w:type="character" w:styleId="FootnoteReference">
    <w:name w:val="footnote reference"/>
    <w:aliases w:val="(NECG) Footnote Reference"/>
    <w:uiPriority w:val="99"/>
    <w:qFormat/>
    <w:rsid w:val="009227C4"/>
    <w:rPr>
      <w:vertAlign w:val="superscript"/>
    </w:rPr>
  </w:style>
  <w:style w:type="paragraph" w:styleId="EndnoteText">
    <w:name w:val="endnote text"/>
    <w:basedOn w:val="Normal"/>
    <w:link w:val="EndnoteTextChar"/>
    <w:rsid w:val="009227C4"/>
    <w:rPr>
      <w:sz w:val="20"/>
      <w:szCs w:val="20"/>
    </w:rPr>
  </w:style>
  <w:style w:type="character" w:customStyle="1" w:styleId="EndnoteTextChar">
    <w:name w:val="Endnote Text Char"/>
    <w:basedOn w:val="DefaultParagraphFont"/>
    <w:link w:val="EndnoteText"/>
    <w:rsid w:val="009227C4"/>
  </w:style>
  <w:style w:type="character" w:styleId="EndnoteReference">
    <w:name w:val="endnote reference"/>
    <w:basedOn w:val="DefaultParagraphFont"/>
    <w:rsid w:val="009227C4"/>
    <w:rPr>
      <w:vertAlign w:val="superscript"/>
    </w:rPr>
  </w:style>
  <w:style w:type="numbering" w:customStyle="1" w:styleId="List6">
    <w:name w:val="List 6"/>
    <w:rsid w:val="002232B1"/>
    <w:pPr>
      <w:numPr>
        <w:numId w:val="1"/>
      </w:numPr>
    </w:pPr>
  </w:style>
  <w:style w:type="table" w:styleId="TableGrid">
    <w:name w:val="Table Grid"/>
    <w:basedOn w:val="TableNormal"/>
    <w:uiPriority w:val="39"/>
    <w:rsid w:val="0004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
    <w:link w:val="ListParagraph"/>
    <w:uiPriority w:val="34"/>
    <w:locked/>
    <w:rsid w:val="0055243E"/>
    <w:rPr>
      <w:sz w:val="24"/>
      <w:szCs w:val="24"/>
    </w:rPr>
  </w:style>
  <w:style w:type="character" w:customStyle="1" w:styleId="Heading2Char">
    <w:name w:val="Heading 2 Char"/>
    <w:basedOn w:val="DefaultParagraphFont"/>
    <w:link w:val="Heading2"/>
    <w:rsid w:val="002F47AE"/>
    <w:rPr>
      <w:rFonts w:ascii="Arial" w:hAnsi="Arial" w:cs="Arial"/>
      <w:b/>
      <w:bCs/>
      <w:i/>
      <w:iCs/>
      <w:sz w:val="24"/>
      <w:szCs w:val="28"/>
    </w:rPr>
  </w:style>
  <w:style w:type="character" w:customStyle="1" w:styleId="body-italic">
    <w:name w:val="body-italic"/>
    <w:basedOn w:val="DefaultParagraphFont"/>
    <w:rsid w:val="006E5C16"/>
    <w:rPr>
      <w:rFonts w:ascii="Arial" w:hAnsi="Arial"/>
      <w:i/>
    </w:rPr>
  </w:style>
  <w:style w:type="character" w:customStyle="1" w:styleId="2body-superscriptidgencharoverride-1">
    <w:name w:val="_2_body-superscript _idgencharoverride-1"/>
    <w:basedOn w:val="DefaultParagraphFont"/>
    <w:rsid w:val="006E5C16"/>
    <w:rPr>
      <w:vertAlign w:val="superscript"/>
    </w:rPr>
  </w:style>
  <w:style w:type="paragraph" w:customStyle="1" w:styleId="4footnotes">
    <w:name w:val="_4_footnotes"/>
    <w:basedOn w:val="Normal"/>
    <w:rsid w:val="006E5C16"/>
    <w:pPr>
      <w:spacing w:beforeLines="1" w:afterLines="1" w:line="200" w:lineRule="exact"/>
    </w:pPr>
    <w:rPr>
      <w:rFonts w:ascii="Arial" w:eastAsiaTheme="minorEastAsia" w:hAnsi="Arial" w:cstheme="minorBidi"/>
      <w:sz w:val="16"/>
      <w:szCs w:val="20"/>
      <w:lang w:eastAsia="en-US"/>
    </w:rPr>
  </w:style>
  <w:style w:type="paragraph" w:customStyle="1" w:styleId="3figure-heading">
    <w:name w:val="_3_figure-heading"/>
    <w:basedOn w:val="Normal"/>
    <w:rsid w:val="006E5C16"/>
    <w:pPr>
      <w:spacing w:beforeLines="50" w:afterLines="50"/>
    </w:pPr>
    <w:rPr>
      <w:rFonts w:ascii="Arial" w:eastAsiaTheme="minorEastAsia" w:hAnsi="Arial" w:cstheme="minorBidi"/>
      <w:color w:val="548DD4" w:themeColor="text2" w:themeTint="99"/>
      <w:sz w:val="20"/>
      <w:szCs w:val="20"/>
      <w:lang w:eastAsia="en-US"/>
    </w:rPr>
  </w:style>
  <w:style w:type="paragraph" w:customStyle="1" w:styleId="alphalist">
    <w:name w:val="_alpha list"/>
    <w:basedOn w:val="Normal"/>
    <w:rsid w:val="006E5C16"/>
    <w:pPr>
      <w:numPr>
        <w:numId w:val="2"/>
      </w:numPr>
      <w:spacing w:beforeLines="50" w:afterLines="50"/>
    </w:pPr>
    <w:rPr>
      <w:rFonts w:ascii="Arial" w:eastAsiaTheme="minorEastAsia" w:hAnsi="Arial"/>
      <w:sz w:val="20"/>
      <w:szCs w:val="20"/>
      <w:lang w:val="en-GB" w:eastAsia="en-US"/>
    </w:rPr>
  </w:style>
  <w:style w:type="character" w:customStyle="1" w:styleId="tablehead">
    <w:name w:val="table head"/>
    <w:basedOn w:val="DefaultParagraphFont"/>
    <w:rsid w:val="006E5C16"/>
    <w:rPr>
      <w:rFonts w:ascii="Arial" w:hAnsi="Arial"/>
      <w:color w:val="FFFFFF" w:themeColor="background1"/>
      <w:sz w:val="20"/>
    </w:rPr>
  </w:style>
  <w:style w:type="character" w:customStyle="1" w:styleId="Bodyitalic">
    <w:name w:val="Body italic"/>
    <w:uiPriority w:val="99"/>
    <w:rsid w:val="006E5C16"/>
    <w:rPr>
      <w:rFonts w:ascii="Arial" w:hAnsi="Arial" w:cs="HelveticaNeue-LightItalic"/>
      <w:i/>
      <w:iCs/>
    </w:rPr>
  </w:style>
  <w:style w:type="paragraph" w:customStyle="1" w:styleId="Default">
    <w:name w:val="Default"/>
    <w:rsid w:val="00F66DCF"/>
    <w:pPr>
      <w:autoSpaceDE w:val="0"/>
      <w:autoSpaceDN w:val="0"/>
      <w:adjustRightInd w:val="0"/>
    </w:pPr>
    <w:rPr>
      <w:rFonts w:ascii="Gill Sans" w:hAnsi="Gill Sans" w:cs="Gill Sans"/>
      <w:color w:val="000000"/>
      <w:sz w:val="24"/>
      <w:szCs w:val="24"/>
    </w:rPr>
  </w:style>
  <w:style w:type="paragraph" w:styleId="TOC1">
    <w:name w:val="toc 1"/>
    <w:basedOn w:val="Normal"/>
    <w:next w:val="Normal"/>
    <w:autoRedefine/>
    <w:uiPriority w:val="39"/>
    <w:rsid w:val="003949CB"/>
    <w:pPr>
      <w:widowControl w:val="0"/>
      <w:tabs>
        <w:tab w:val="left" w:pos="284"/>
        <w:tab w:val="left" w:pos="567"/>
        <w:tab w:val="left" w:pos="720"/>
        <w:tab w:val="right" w:leader="dot" w:pos="9016"/>
        <w:tab w:val="left" w:leader="dot" w:pos="9061"/>
      </w:tabs>
      <w:spacing w:before="60"/>
    </w:pPr>
    <w:rPr>
      <w:rFonts w:ascii="Arial" w:hAnsi="Arial"/>
      <w:b/>
      <w:bCs/>
      <w:noProof/>
      <w:sz w:val="22"/>
      <w:szCs w:val="20"/>
      <w:lang w:val="en-US" w:eastAsia="en-US"/>
    </w:rPr>
  </w:style>
  <w:style w:type="paragraph" w:styleId="TOC2">
    <w:name w:val="toc 2"/>
    <w:basedOn w:val="Normal"/>
    <w:next w:val="Normal"/>
    <w:autoRedefine/>
    <w:uiPriority w:val="39"/>
    <w:rsid w:val="00097163"/>
    <w:pPr>
      <w:widowControl w:val="0"/>
      <w:tabs>
        <w:tab w:val="left" w:pos="660"/>
        <w:tab w:val="right" w:leader="dot" w:pos="9061"/>
      </w:tabs>
      <w:ind w:left="238"/>
    </w:pPr>
    <w:rPr>
      <w:rFonts w:ascii="Arial" w:hAnsi="Arial" w:cs="Arial"/>
      <w:iCs/>
      <w:sz w:val="20"/>
      <w:szCs w:val="20"/>
      <w:lang w:val="en-US" w:eastAsia="en-US"/>
    </w:rPr>
  </w:style>
  <w:style w:type="paragraph" w:customStyle="1" w:styleId="Body1">
    <w:name w:val="Body 1"/>
    <w:autoRedefine/>
    <w:rsid w:val="000B3E6E"/>
    <w:pPr>
      <w:spacing w:before="120" w:after="120"/>
      <w:ind w:left="-142"/>
      <w:jc w:val="right"/>
    </w:pPr>
    <w:rPr>
      <w:rFonts w:ascii="Arial" w:eastAsia="Arial Unicode MS" w:hAnsi="Arial" w:cs="Arial"/>
      <w:color w:val="000000"/>
      <w:sz w:val="16"/>
      <w:szCs w:val="16"/>
    </w:rPr>
  </w:style>
  <w:style w:type="paragraph" w:styleId="Revision">
    <w:name w:val="Revision"/>
    <w:hidden/>
    <w:uiPriority w:val="99"/>
    <w:semiHidden/>
    <w:rsid w:val="00416303"/>
    <w:rPr>
      <w:sz w:val="24"/>
      <w:szCs w:val="24"/>
    </w:rPr>
  </w:style>
  <w:style w:type="character" w:styleId="FollowedHyperlink">
    <w:name w:val="FollowedHyperlink"/>
    <w:basedOn w:val="DefaultParagraphFont"/>
    <w:rsid w:val="006B6BAE"/>
    <w:rPr>
      <w:color w:val="800080" w:themeColor="followedHyperlink"/>
      <w:u w:val="single"/>
    </w:rPr>
  </w:style>
  <w:style w:type="numbering" w:styleId="111111">
    <w:name w:val="Outline List 2"/>
    <w:basedOn w:val="NoList"/>
    <w:rsid w:val="004A59F7"/>
    <w:pPr>
      <w:numPr>
        <w:numId w:val="3"/>
      </w:numPr>
    </w:pPr>
  </w:style>
  <w:style w:type="paragraph" w:customStyle="1" w:styleId="PrefaceHeading2">
    <w:name w:val="Preface Heading 2"/>
    <w:basedOn w:val="Heading2"/>
    <w:next w:val="Normal"/>
    <w:rsid w:val="004A59F7"/>
    <w:pPr>
      <w:keepNext w:val="0"/>
      <w:widowControl w:val="0"/>
      <w:spacing w:after="120" w:line="276" w:lineRule="auto"/>
      <w:outlineLvl w:val="9"/>
    </w:pPr>
    <w:rPr>
      <w:rFonts w:ascii="Tahoma" w:eastAsia="Calibri" w:hAnsi="Tahoma"/>
      <w:color w:val="993366"/>
    </w:rPr>
  </w:style>
  <w:style w:type="character" w:customStyle="1" w:styleId="ParagraphTChar">
    <w:name w:val="Paragraph (T) Char"/>
    <w:link w:val="ParagraphT"/>
    <w:locked/>
    <w:rsid w:val="004A59F7"/>
    <w:rPr>
      <w:rFonts w:ascii="Century Gothic" w:eastAsia="Calibri" w:hAnsi="Century Gothic"/>
    </w:rPr>
  </w:style>
  <w:style w:type="paragraph" w:customStyle="1" w:styleId="ParagraphT">
    <w:name w:val="Paragraph (T)"/>
    <w:basedOn w:val="Normal"/>
    <w:link w:val="ParagraphTChar"/>
    <w:rsid w:val="004A59F7"/>
    <w:pPr>
      <w:widowControl w:val="0"/>
      <w:spacing w:before="120" w:after="120"/>
    </w:pPr>
    <w:rPr>
      <w:rFonts w:ascii="Century Gothic" w:eastAsia="Calibri" w:hAnsi="Century Gothic"/>
      <w:sz w:val="20"/>
      <w:szCs w:val="20"/>
    </w:rPr>
  </w:style>
  <w:style w:type="paragraph" w:customStyle="1" w:styleId="FreeForm">
    <w:name w:val="Free Form"/>
    <w:rsid w:val="004A59F7"/>
    <w:rPr>
      <w:rFonts w:eastAsia="ヒラギノ角ゴ Pro W3"/>
      <w:color w:val="000000"/>
    </w:rPr>
  </w:style>
  <w:style w:type="character" w:customStyle="1" w:styleId="Hyperlink1">
    <w:name w:val="Hyperlink1"/>
    <w:rsid w:val="004A59F7"/>
    <w:rPr>
      <w:color w:val="0400FF"/>
      <w:sz w:val="20"/>
      <w:u w:val="single"/>
    </w:rPr>
  </w:style>
  <w:style w:type="paragraph" w:styleId="BodyTextIndent3">
    <w:name w:val="Body Text Indent 3"/>
    <w:basedOn w:val="Normal"/>
    <w:link w:val="BodyTextIndent3Char"/>
    <w:rsid w:val="003E2337"/>
    <w:pPr>
      <w:spacing w:after="120"/>
      <w:ind w:left="283"/>
    </w:pPr>
    <w:rPr>
      <w:sz w:val="16"/>
      <w:szCs w:val="16"/>
      <w:lang w:eastAsia="en-US"/>
    </w:rPr>
  </w:style>
  <w:style w:type="character" w:customStyle="1" w:styleId="BodyTextIndent3Char">
    <w:name w:val="Body Text Indent 3 Char"/>
    <w:basedOn w:val="DefaultParagraphFont"/>
    <w:link w:val="BodyTextIndent3"/>
    <w:rsid w:val="003E2337"/>
    <w:rPr>
      <w:sz w:val="16"/>
      <w:szCs w:val="16"/>
      <w:lang w:eastAsia="en-US"/>
    </w:rPr>
  </w:style>
  <w:style w:type="paragraph" w:styleId="NormalWeb">
    <w:name w:val="Normal (Web)"/>
    <w:basedOn w:val="Normal"/>
    <w:uiPriority w:val="99"/>
    <w:rsid w:val="003E2337"/>
    <w:pPr>
      <w:spacing w:before="240" w:after="240"/>
    </w:pPr>
    <w:rPr>
      <w:lang w:val="en-US" w:eastAsia="en-US"/>
    </w:rPr>
  </w:style>
  <w:style w:type="character" w:customStyle="1" w:styleId="apple-converted-space">
    <w:name w:val="apple-converted-space"/>
    <w:basedOn w:val="DefaultParagraphFont"/>
    <w:rsid w:val="00DB4A8A"/>
  </w:style>
  <w:style w:type="character" w:customStyle="1" w:styleId="Heading3Char">
    <w:name w:val="Heading 3 Char"/>
    <w:basedOn w:val="DefaultParagraphFont"/>
    <w:link w:val="Heading3"/>
    <w:uiPriority w:val="9"/>
    <w:rsid w:val="002F47AE"/>
    <w:rPr>
      <w:rFonts w:ascii="Arial" w:hAnsi="Arial" w:cs="Arial"/>
      <w:bCs/>
      <w:sz w:val="24"/>
      <w:szCs w:val="26"/>
    </w:rPr>
  </w:style>
  <w:style w:type="character" w:customStyle="1" w:styleId="slug-pub-date3">
    <w:name w:val="slug-pub-date3"/>
    <w:basedOn w:val="DefaultParagraphFont"/>
    <w:rsid w:val="007A01FB"/>
    <w:rPr>
      <w:b/>
      <w:bCs/>
    </w:rPr>
  </w:style>
  <w:style w:type="character" w:customStyle="1" w:styleId="slug-elocation">
    <w:name w:val="slug-elocation"/>
    <w:basedOn w:val="DefaultParagraphFont"/>
    <w:rsid w:val="007A01FB"/>
  </w:style>
  <w:style w:type="table" w:customStyle="1" w:styleId="TableGrid1">
    <w:name w:val="Table Grid1"/>
    <w:basedOn w:val="TableNormal"/>
    <w:next w:val="TableGrid"/>
    <w:uiPriority w:val="39"/>
    <w:rsid w:val="00DF5A2D"/>
    <w:rPr>
      <w:rFonts w:ascii="Calibri" w:eastAsia="MS Mincho"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01075"/>
    <w:rPr>
      <w:rFonts w:ascii="Arial" w:hAnsi="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22EDC"/>
    <w:pPr>
      <w:spacing w:after="100"/>
      <w:ind w:left="480"/>
    </w:pPr>
  </w:style>
  <w:style w:type="paragraph" w:customStyle="1" w:styleId="StyleMainheading20pt1">
    <w:name w:val="Style Main heading + 20 pt1"/>
    <w:basedOn w:val="Normal"/>
    <w:rsid w:val="00850657"/>
    <w:pPr>
      <w:spacing w:after="200" w:line="276" w:lineRule="auto"/>
    </w:pPr>
    <w:rPr>
      <w:rFonts w:ascii="Arial" w:eastAsia="Calibri" w:hAnsi="Arial" w:cs="Arial"/>
      <w:b/>
      <w:bCs/>
      <w:sz w:val="40"/>
      <w:szCs w:val="20"/>
      <w:lang w:eastAsia="en-US"/>
    </w:rPr>
  </w:style>
  <w:style w:type="paragraph" w:styleId="PlainText">
    <w:name w:val="Plain Text"/>
    <w:basedOn w:val="Normal"/>
    <w:link w:val="PlainTextChar"/>
    <w:uiPriority w:val="99"/>
    <w:unhideWhenUsed/>
    <w:rsid w:val="008F41E2"/>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8F41E2"/>
    <w:rPr>
      <w:rFonts w:ascii="Arial" w:eastAsiaTheme="minorHAnsi" w:hAnsi="Arial" w:cs="Consolas"/>
      <w:sz w:val="18"/>
      <w:szCs w:val="21"/>
      <w:lang w:eastAsia="en-US"/>
    </w:rPr>
  </w:style>
  <w:style w:type="numbering" w:customStyle="1" w:styleId="Style1">
    <w:name w:val="Style1"/>
    <w:uiPriority w:val="99"/>
    <w:rsid w:val="00AD0FAC"/>
    <w:pPr>
      <w:numPr>
        <w:numId w:val="28"/>
      </w:numPr>
    </w:pPr>
  </w:style>
  <w:style w:type="numbering" w:customStyle="1" w:styleId="Headings">
    <w:name w:val="Headings"/>
    <w:uiPriority w:val="99"/>
    <w:rsid w:val="00AD0FAC"/>
    <w:pPr>
      <w:numPr>
        <w:numId w:val="29"/>
      </w:numPr>
    </w:pPr>
  </w:style>
  <w:style w:type="numbering" w:customStyle="1" w:styleId="Style2">
    <w:name w:val="Style2"/>
    <w:uiPriority w:val="99"/>
    <w:rsid w:val="00792DEF"/>
    <w:pPr>
      <w:numPr>
        <w:numId w:val="30"/>
      </w:numPr>
    </w:pPr>
  </w:style>
  <w:style w:type="numbering" w:customStyle="1" w:styleId="Style3">
    <w:name w:val="Style3"/>
    <w:uiPriority w:val="99"/>
    <w:rsid w:val="00792DEF"/>
    <w:pPr>
      <w:numPr>
        <w:numId w:val="31"/>
      </w:numPr>
    </w:pPr>
  </w:style>
  <w:style w:type="numbering" w:customStyle="1" w:styleId="Style4">
    <w:name w:val="Style4"/>
    <w:uiPriority w:val="99"/>
    <w:rsid w:val="00792DEF"/>
    <w:pPr>
      <w:numPr>
        <w:numId w:val="32"/>
      </w:numPr>
    </w:pPr>
  </w:style>
  <w:style w:type="numbering" w:customStyle="1" w:styleId="Style5">
    <w:name w:val="Style5"/>
    <w:uiPriority w:val="99"/>
    <w:rsid w:val="00792DEF"/>
    <w:pPr>
      <w:numPr>
        <w:numId w:val="33"/>
      </w:numPr>
    </w:pPr>
  </w:style>
  <w:style w:type="numbering" w:customStyle="1" w:styleId="Style6">
    <w:name w:val="Style6"/>
    <w:uiPriority w:val="99"/>
    <w:rsid w:val="00792DEF"/>
    <w:pPr>
      <w:numPr>
        <w:numId w:val="34"/>
      </w:numPr>
    </w:pPr>
  </w:style>
  <w:style w:type="numbering" w:customStyle="1" w:styleId="Style7">
    <w:name w:val="Style7"/>
    <w:uiPriority w:val="99"/>
    <w:rsid w:val="00792DEF"/>
    <w:pPr>
      <w:numPr>
        <w:numId w:val="35"/>
      </w:numPr>
    </w:pPr>
  </w:style>
  <w:style w:type="numbering" w:customStyle="1" w:styleId="Style8">
    <w:name w:val="Style8"/>
    <w:uiPriority w:val="99"/>
    <w:rsid w:val="00792DEF"/>
    <w:pPr>
      <w:numPr>
        <w:numId w:val="36"/>
      </w:numPr>
    </w:pPr>
  </w:style>
  <w:style w:type="numbering" w:customStyle="1" w:styleId="Style9">
    <w:name w:val="Style9"/>
    <w:uiPriority w:val="99"/>
    <w:rsid w:val="004E5877"/>
    <w:pPr>
      <w:numPr>
        <w:numId w:val="37"/>
      </w:numPr>
    </w:pPr>
  </w:style>
  <w:style w:type="numbering" w:customStyle="1" w:styleId="Style10">
    <w:name w:val="Style10"/>
    <w:uiPriority w:val="99"/>
    <w:rsid w:val="004E5877"/>
    <w:pPr>
      <w:numPr>
        <w:numId w:val="38"/>
      </w:numPr>
    </w:pPr>
  </w:style>
  <w:style w:type="numbering" w:customStyle="1" w:styleId="Style11">
    <w:name w:val="Style11"/>
    <w:uiPriority w:val="99"/>
    <w:rsid w:val="004E5877"/>
    <w:pPr>
      <w:numPr>
        <w:numId w:val="39"/>
      </w:numPr>
    </w:pPr>
  </w:style>
  <w:style w:type="numbering" w:customStyle="1" w:styleId="Style12">
    <w:name w:val="Style12"/>
    <w:uiPriority w:val="99"/>
    <w:rsid w:val="004E5877"/>
    <w:pPr>
      <w:numPr>
        <w:numId w:val="40"/>
      </w:numPr>
    </w:pPr>
  </w:style>
  <w:style w:type="numbering" w:customStyle="1" w:styleId="Style13">
    <w:name w:val="Style13"/>
    <w:uiPriority w:val="99"/>
    <w:rsid w:val="004E5877"/>
    <w:pPr>
      <w:numPr>
        <w:numId w:val="41"/>
      </w:numPr>
    </w:pPr>
  </w:style>
  <w:style w:type="numbering" w:customStyle="1" w:styleId="Style14">
    <w:name w:val="Style14"/>
    <w:uiPriority w:val="99"/>
    <w:rsid w:val="002F47AE"/>
    <w:pPr>
      <w:numPr>
        <w:numId w:val="42"/>
      </w:numPr>
    </w:pPr>
  </w:style>
  <w:style w:type="numbering" w:customStyle="1" w:styleId="Style15">
    <w:name w:val="Style15"/>
    <w:uiPriority w:val="99"/>
    <w:rsid w:val="002F47AE"/>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00"/>
    <w:rPr>
      <w:sz w:val="24"/>
      <w:szCs w:val="24"/>
    </w:rPr>
  </w:style>
  <w:style w:type="paragraph" w:styleId="Heading1">
    <w:name w:val="heading 1"/>
    <w:basedOn w:val="Normal"/>
    <w:next w:val="Normal"/>
    <w:qFormat/>
    <w:rsid w:val="004E5877"/>
    <w:pPr>
      <w:keepNext/>
      <w:numPr>
        <w:ilvl w:val="1"/>
        <w:numId w:val="39"/>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2F47AE"/>
    <w:pPr>
      <w:keepNext/>
      <w:numPr>
        <w:ilvl w:val="1"/>
        <w:numId w:val="43"/>
      </w:numPr>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2F47AE"/>
    <w:pPr>
      <w:keepNext/>
      <w:numPr>
        <w:ilvl w:val="2"/>
        <w:numId w:val="42"/>
      </w:numPr>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styleId="Header">
    <w:name w:val="header"/>
    <w:basedOn w:val="Normal"/>
    <w:link w:val="HeaderChar"/>
    <w:rsid w:val="00FB5C00"/>
    <w:pPr>
      <w:tabs>
        <w:tab w:val="center" w:pos="4153"/>
        <w:tab w:val="right" w:pos="8306"/>
      </w:tabs>
    </w:pPr>
  </w:style>
  <w:style w:type="character" w:customStyle="1" w:styleId="HeaderChar">
    <w:name w:val="Header Char"/>
    <w:basedOn w:val="DefaultParagraphFont"/>
    <w:link w:val="Header"/>
    <w:rsid w:val="00FB5C00"/>
    <w:rPr>
      <w:sz w:val="24"/>
      <w:szCs w:val="24"/>
    </w:rPr>
  </w:style>
  <w:style w:type="paragraph" w:styleId="Footer">
    <w:name w:val="footer"/>
    <w:basedOn w:val="Normal"/>
    <w:link w:val="FooterChar"/>
    <w:uiPriority w:val="99"/>
    <w:rsid w:val="00FB5C00"/>
    <w:pPr>
      <w:tabs>
        <w:tab w:val="center" w:pos="4153"/>
        <w:tab w:val="right" w:pos="8306"/>
      </w:tabs>
    </w:pPr>
  </w:style>
  <w:style w:type="character" w:customStyle="1" w:styleId="FooterChar">
    <w:name w:val="Footer Char"/>
    <w:basedOn w:val="DefaultParagraphFont"/>
    <w:link w:val="Footer"/>
    <w:uiPriority w:val="99"/>
    <w:rsid w:val="00FB5C00"/>
    <w:rPr>
      <w:sz w:val="24"/>
      <w:szCs w:val="24"/>
    </w:rPr>
  </w:style>
  <w:style w:type="character" w:styleId="PageNumber">
    <w:name w:val="page number"/>
    <w:basedOn w:val="DefaultParagraphFont"/>
    <w:rsid w:val="00FB5C00"/>
  </w:style>
  <w:style w:type="paragraph" w:styleId="MessageHeader">
    <w:name w:val="Message Header"/>
    <w:basedOn w:val="Normal"/>
    <w:link w:val="MessageHeaderChar"/>
    <w:rsid w:val="00FB5C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B5C00"/>
    <w:rPr>
      <w:rFonts w:ascii="Arial" w:hAnsi="Arial" w:cs="Arial"/>
      <w:sz w:val="24"/>
      <w:szCs w:val="24"/>
      <w:shd w:val="pct20" w:color="auto" w:fill="auto"/>
    </w:rPr>
  </w:style>
  <w:style w:type="paragraph" w:styleId="BalloonText">
    <w:name w:val="Balloon Text"/>
    <w:basedOn w:val="Normal"/>
    <w:link w:val="BalloonTextChar"/>
    <w:rsid w:val="00FB5C00"/>
    <w:rPr>
      <w:rFonts w:ascii="Tahoma" w:hAnsi="Tahoma" w:cs="Tahoma"/>
      <w:sz w:val="16"/>
      <w:szCs w:val="16"/>
    </w:rPr>
  </w:style>
  <w:style w:type="character" w:customStyle="1" w:styleId="BalloonTextChar">
    <w:name w:val="Balloon Text Char"/>
    <w:basedOn w:val="DefaultParagraphFont"/>
    <w:link w:val="BalloonText"/>
    <w:rsid w:val="00FB5C00"/>
    <w:rPr>
      <w:rFonts w:ascii="Tahoma" w:hAnsi="Tahoma" w:cs="Tahoma"/>
      <w:sz w:val="16"/>
      <w:szCs w:val="16"/>
    </w:rPr>
  </w:style>
  <w:style w:type="character" w:styleId="CommentReference">
    <w:name w:val="annotation reference"/>
    <w:basedOn w:val="DefaultParagraphFont"/>
    <w:rsid w:val="000B7188"/>
    <w:rPr>
      <w:sz w:val="16"/>
      <w:szCs w:val="16"/>
    </w:rPr>
  </w:style>
  <w:style w:type="paragraph" w:styleId="CommentText">
    <w:name w:val="annotation text"/>
    <w:basedOn w:val="Normal"/>
    <w:link w:val="CommentTextChar"/>
    <w:rsid w:val="000B7188"/>
    <w:rPr>
      <w:sz w:val="20"/>
      <w:szCs w:val="20"/>
    </w:rPr>
  </w:style>
  <w:style w:type="character" w:customStyle="1" w:styleId="CommentTextChar">
    <w:name w:val="Comment Text Char"/>
    <w:basedOn w:val="DefaultParagraphFont"/>
    <w:link w:val="CommentText"/>
    <w:rsid w:val="000B7188"/>
  </w:style>
  <w:style w:type="paragraph" w:styleId="CommentSubject">
    <w:name w:val="annotation subject"/>
    <w:basedOn w:val="CommentText"/>
    <w:next w:val="CommentText"/>
    <w:link w:val="CommentSubjectChar"/>
    <w:rsid w:val="000B7188"/>
    <w:rPr>
      <w:b/>
      <w:bCs/>
    </w:rPr>
  </w:style>
  <w:style w:type="character" w:customStyle="1" w:styleId="CommentSubjectChar">
    <w:name w:val="Comment Subject Char"/>
    <w:basedOn w:val="CommentTextChar"/>
    <w:link w:val="CommentSubject"/>
    <w:rsid w:val="000B7188"/>
    <w:rPr>
      <w:b/>
      <w:bCs/>
    </w:rPr>
  </w:style>
  <w:style w:type="character" w:styleId="Hyperlink">
    <w:name w:val="Hyperlink"/>
    <w:basedOn w:val="DefaultParagraphFont"/>
    <w:uiPriority w:val="99"/>
    <w:unhideWhenUsed/>
    <w:rsid w:val="009974CA"/>
    <w:rPr>
      <w:color w:val="0000FF"/>
      <w:u w:val="single"/>
    </w:rPr>
  </w:style>
  <w:style w:type="paragraph" w:customStyle="1" w:styleId="CommissionHeading1">
    <w:name w:val="Commission Heading 1"/>
    <w:basedOn w:val="Heading1"/>
    <w:next w:val="Commissionbodytext"/>
    <w:autoRedefine/>
    <w:rsid w:val="00AD0FAC"/>
    <w:pPr>
      <w:keepLines/>
      <w:pageBreakBefore/>
      <w:numPr>
        <w:ilvl w:val="0"/>
        <w:numId w:val="29"/>
      </w:numPr>
      <w:pBdr>
        <w:bottom w:val="single" w:sz="12" w:space="2" w:color="336699"/>
      </w:pBdr>
      <w:spacing w:before="480" w:after="240"/>
    </w:pPr>
    <w:rPr>
      <w:color w:val="00799C"/>
      <w:sz w:val="40"/>
      <w:szCs w:val="20"/>
      <w:lang w:eastAsia="en-US"/>
    </w:rPr>
  </w:style>
  <w:style w:type="paragraph" w:customStyle="1" w:styleId="CommissionHeading3">
    <w:name w:val="Commission Heading 3"/>
    <w:basedOn w:val="ListParagraph"/>
    <w:next w:val="Commissionbodytext"/>
    <w:link w:val="CommissionHeading3Char"/>
    <w:autoRedefine/>
    <w:qFormat/>
    <w:rsid w:val="00AD0FAC"/>
    <w:pPr>
      <w:keepNext/>
      <w:tabs>
        <w:tab w:val="left" w:pos="1701"/>
      </w:tabs>
      <w:spacing w:before="180" w:after="120"/>
      <w:ind w:left="0"/>
      <w:outlineLvl w:val="2"/>
    </w:pPr>
    <w:rPr>
      <w:rFonts w:ascii="Arial" w:hAnsi="Arial"/>
      <w:b/>
      <w:color w:val="00799C"/>
      <w:spacing w:val="20"/>
      <w:sz w:val="28"/>
      <w:szCs w:val="28"/>
      <w:lang w:eastAsia="en-US"/>
    </w:rPr>
  </w:style>
  <w:style w:type="paragraph" w:customStyle="1" w:styleId="CommissionHeading4">
    <w:name w:val="Commission Heading 4"/>
    <w:basedOn w:val="ListParagraph"/>
    <w:next w:val="Commissionbodytext"/>
    <w:autoRedefine/>
    <w:qFormat/>
    <w:rsid w:val="00AD0FAC"/>
    <w:pPr>
      <w:keepNext/>
      <w:numPr>
        <w:ilvl w:val="3"/>
        <w:numId w:val="29"/>
      </w:numPr>
      <w:tabs>
        <w:tab w:val="left" w:pos="1134"/>
      </w:tabs>
      <w:spacing w:before="120" w:after="120"/>
      <w:outlineLvl w:val="3"/>
    </w:pPr>
    <w:rPr>
      <w:rFonts w:ascii="Arial" w:hAnsi="Arial"/>
      <w:b/>
      <w:bCs/>
      <w:szCs w:val="28"/>
      <w:lang w:eastAsia="en-US"/>
    </w:rPr>
  </w:style>
  <w:style w:type="character" w:customStyle="1" w:styleId="CommissionHeading3Char">
    <w:name w:val="Commission Heading 3 Char"/>
    <w:basedOn w:val="DefaultParagraphFont"/>
    <w:link w:val="CommissionHeading3"/>
    <w:rsid w:val="00AD0FAC"/>
    <w:rPr>
      <w:rFonts w:ascii="Arial" w:hAnsi="Arial"/>
      <w:b/>
      <w:color w:val="00799C"/>
      <w:spacing w:val="20"/>
      <w:sz w:val="28"/>
      <w:szCs w:val="28"/>
      <w:lang w:eastAsia="en-US"/>
    </w:rPr>
  </w:style>
  <w:style w:type="paragraph" w:customStyle="1" w:styleId="Commissionbodytext">
    <w:name w:val="Commission body text"/>
    <w:basedOn w:val="Normal"/>
    <w:link w:val="CommissionbodytextChar"/>
    <w:qFormat/>
    <w:rsid w:val="00A06E85"/>
    <w:pPr>
      <w:spacing w:line="276" w:lineRule="auto"/>
    </w:pPr>
    <w:rPr>
      <w:rFonts w:ascii="Arial" w:hAnsi="Arial" w:cs="Arial"/>
      <w:sz w:val="22"/>
      <w:szCs w:val="22"/>
      <w:lang w:eastAsia="en-US"/>
    </w:rPr>
  </w:style>
  <w:style w:type="character" w:customStyle="1" w:styleId="CommissionbodytextChar">
    <w:name w:val="Commission body text Char"/>
    <w:basedOn w:val="DefaultParagraphFont"/>
    <w:link w:val="Commissionbodytext"/>
    <w:rsid w:val="00A06E85"/>
    <w:rPr>
      <w:rFonts w:ascii="Arial" w:hAnsi="Arial" w:cs="Arial"/>
      <w:sz w:val="22"/>
      <w:szCs w:val="22"/>
      <w:lang w:eastAsia="en-US"/>
    </w:rPr>
  </w:style>
  <w:style w:type="paragraph" w:customStyle="1" w:styleId="Bibliography1">
    <w:name w:val="Bibliography1"/>
    <w:basedOn w:val="Normal"/>
    <w:next w:val="Normal"/>
    <w:uiPriority w:val="37"/>
    <w:unhideWhenUsed/>
    <w:rsid w:val="009227C4"/>
    <w:pPr>
      <w:tabs>
        <w:tab w:val="left" w:pos="500"/>
      </w:tabs>
      <w:spacing w:after="240"/>
      <w:ind w:left="504" w:hanging="504"/>
    </w:pPr>
  </w:style>
  <w:style w:type="paragraph" w:styleId="FootnoteText">
    <w:name w:val="footnote text"/>
    <w:basedOn w:val="Normal"/>
    <w:link w:val="FootnoteTextChar"/>
    <w:qFormat/>
    <w:rsid w:val="009227C4"/>
    <w:rPr>
      <w:sz w:val="20"/>
      <w:szCs w:val="20"/>
    </w:rPr>
  </w:style>
  <w:style w:type="character" w:customStyle="1" w:styleId="FootnoteTextChar">
    <w:name w:val="Footnote Text Char"/>
    <w:basedOn w:val="DefaultParagraphFont"/>
    <w:link w:val="FootnoteText"/>
    <w:rsid w:val="009227C4"/>
  </w:style>
  <w:style w:type="character" w:styleId="FootnoteReference">
    <w:name w:val="footnote reference"/>
    <w:aliases w:val="(NECG) Footnote Reference"/>
    <w:uiPriority w:val="99"/>
    <w:qFormat/>
    <w:rsid w:val="009227C4"/>
    <w:rPr>
      <w:vertAlign w:val="superscript"/>
    </w:rPr>
  </w:style>
  <w:style w:type="paragraph" w:styleId="EndnoteText">
    <w:name w:val="endnote text"/>
    <w:basedOn w:val="Normal"/>
    <w:link w:val="EndnoteTextChar"/>
    <w:rsid w:val="009227C4"/>
    <w:rPr>
      <w:sz w:val="20"/>
      <w:szCs w:val="20"/>
    </w:rPr>
  </w:style>
  <w:style w:type="character" w:customStyle="1" w:styleId="EndnoteTextChar">
    <w:name w:val="Endnote Text Char"/>
    <w:basedOn w:val="DefaultParagraphFont"/>
    <w:link w:val="EndnoteText"/>
    <w:rsid w:val="009227C4"/>
  </w:style>
  <w:style w:type="character" w:styleId="EndnoteReference">
    <w:name w:val="endnote reference"/>
    <w:basedOn w:val="DefaultParagraphFont"/>
    <w:rsid w:val="009227C4"/>
    <w:rPr>
      <w:vertAlign w:val="superscript"/>
    </w:rPr>
  </w:style>
  <w:style w:type="numbering" w:customStyle="1" w:styleId="List6">
    <w:name w:val="List 6"/>
    <w:rsid w:val="002232B1"/>
    <w:pPr>
      <w:numPr>
        <w:numId w:val="1"/>
      </w:numPr>
    </w:pPr>
  </w:style>
  <w:style w:type="table" w:styleId="TableGrid">
    <w:name w:val="Table Grid"/>
    <w:basedOn w:val="TableNormal"/>
    <w:uiPriority w:val="39"/>
    <w:rsid w:val="0004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
    <w:link w:val="ListParagraph"/>
    <w:uiPriority w:val="34"/>
    <w:locked/>
    <w:rsid w:val="0055243E"/>
    <w:rPr>
      <w:sz w:val="24"/>
      <w:szCs w:val="24"/>
    </w:rPr>
  </w:style>
  <w:style w:type="character" w:customStyle="1" w:styleId="Heading2Char">
    <w:name w:val="Heading 2 Char"/>
    <w:basedOn w:val="DefaultParagraphFont"/>
    <w:link w:val="Heading2"/>
    <w:rsid w:val="002F47AE"/>
    <w:rPr>
      <w:rFonts w:ascii="Arial" w:hAnsi="Arial" w:cs="Arial"/>
      <w:b/>
      <w:bCs/>
      <w:i/>
      <w:iCs/>
      <w:sz w:val="24"/>
      <w:szCs w:val="28"/>
    </w:rPr>
  </w:style>
  <w:style w:type="character" w:customStyle="1" w:styleId="body-italic">
    <w:name w:val="body-italic"/>
    <w:basedOn w:val="DefaultParagraphFont"/>
    <w:rsid w:val="006E5C16"/>
    <w:rPr>
      <w:rFonts w:ascii="Arial" w:hAnsi="Arial"/>
      <w:i/>
    </w:rPr>
  </w:style>
  <w:style w:type="character" w:customStyle="1" w:styleId="2body-superscriptidgencharoverride-1">
    <w:name w:val="_2_body-superscript _idgencharoverride-1"/>
    <w:basedOn w:val="DefaultParagraphFont"/>
    <w:rsid w:val="006E5C16"/>
    <w:rPr>
      <w:vertAlign w:val="superscript"/>
    </w:rPr>
  </w:style>
  <w:style w:type="paragraph" w:customStyle="1" w:styleId="4footnotes">
    <w:name w:val="_4_footnotes"/>
    <w:basedOn w:val="Normal"/>
    <w:rsid w:val="006E5C16"/>
    <w:pPr>
      <w:spacing w:beforeLines="1" w:afterLines="1" w:line="200" w:lineRule="exact"/>
    </w:pPr>
    <w:rPr>
      <w:rFonts w:ascii="Arial" w:eastAsiaTheme="minorEastAsia" w:hAnsi="Arial" w:cstheme="minorBidi"/>
      <w:sz w:val="16"/>
      <w:szCs w:val="20"/>
      <w:lang w:eastAsia="en-US"/>
    </w:rPr>
  </w:style>
  <w:style w:type="paragraph" w:customStyle="1" w:styleId="3figure-heading">
    <w:name w:val="_3_figure-heading"/>
    <w:basedOn w:val="Normal"/>
    <w:rsid w:val="006E5C16"/>
    <w:pPr>
      <w:spacing w:beforeLines="50" w:afterLines="50"/>
    </w:pPr>
    <w:rPr>
      <w:rFonts w:ascii="Arial" w:eastAsiaTheme="minorEastAsia" w:hAnsi="Arial" w:cstheme="minorBidi"/>
      <w:color w:val="548DD4" w:themeColor="text2" w:themeTint="99"/>
      <w:sz w:val="20"/>
      <w:szCs w:val="20"/>
      <w:lang w:eastAsia="en-US"/>
    </w:rPr>
  </w:style>
  <w:style w:type="paragraph" w:customStyle="1" w:styleId="alphalist">
    <w:name w:val="_alpha list"/>
    <w:basedOn w:val="Normal"/>
    <w:rsid w:val="006E5C16"/>
    <w:pPr>
      <w:numPr>
        <w:numId w:val="2"/>
      </w:numPr>
      <w:spacing w:beforeLines="50" w:afterLines="50"/>
    </w:pPr>
    <w:rPr>
      <w:rFonts w:ascii="Arial" w:eastAsiaTheme="minorEastAsia" w:hAnsi="Arial"/>
      <w:sz w:val="20"/>
      <w:szCs w:val="20"/>
      <w:lang w:val="en-GB" w:eastAsia="en-US"/>
    </w:rPr>
  </w:style>
  <w:style w:type="character" w:customStyle="1" w:styleId="tablehead">
    <w:name w:val="table head"/>
    <w:basedOn w:val="DefaultParagraphFont"/>
    <w:rsid w:val="006E5C16"/>
    <w:rPr>
      <w:rFonts w:ascii="Arial" w:hAnsi="Arial"/>
      <w:color w:val="FFFFFF" w:themeColor="background1"/>
      <w:sz w:val="20"/>
    </w:rPr>
  </w:style>
  <w:style w:type="character" w:customStyle="1" w:styleId="Bodyitalic">
    <w:name w:val="Body italic"/>
    <w:uiPriority w:val="99"/>
    <w:rsid w:val="006E5C16"/>
    <w:rPr>
      <w:rFonts w:ascii="Arial" w:hAnsi="Arial" w:cs="HelveticaNeue-LightItalic"/>
      <w:i/>
      <w:iCs/>
    </w:rPr>
  </w:style>
  <w:style w:type="paragraph" w:customStyle="1" w:styleId="Default">
    <w:name w:val="Default"/>
    <w:rsid w:val="00F66DCF"/>
    <w:pPr>
      <w:autoSpaceDE w:val="0"/>
      <w:autoSpaceDN w:val="0"/>
      <w:adjustRightInd w:val="0"/>
    </w:pPr>
    <w:rPr>
      <w:rFonts w:ascii="Gill Sans" w:hAnsi="Gill Sans" w:cs="Gill Sans"/>
      <w:color w:val="000000"/>
      <w:sz w:val="24"/>
      <w:szCs w:val="24"/>
    </w:rPr>
  </w:style>
  <w:style w:type="paragraph" w:styleId="TOC1">
    <w:name w:val="toc 1"/>
    <w:basedOn w:val="Normal"/>
    <w:next w:val="Normal"/>
    <w:autoRedefine/>
    <w:uiPriority w:val="39"/>
    <w:rsid w:val="003949CB"/>
    <w:pPr>
      <w:widowControl w:val="0"/>
      <w:tabs>
        <w:tab w:val="left" w:pos="284"/>
        <w:tab w:val="left" w:pos="567"/>
        <w:tab w:val="left" w:pos="720"/>
        <w:tab w:val="right" w:leader="dot" w:pos="9016"/>
        <w:tab w:val="left" w:leader="dot" w:pos="9061"/>
      </w:tabs>
      <w:spacing w:before="60"/>
    </w:pPr>
    <w:rPr>
      <w:rFonts w:ascii="Arial" w:hAnsi="Arial"/>
      <w:b/>
      <w:bCs/>
      <w:noProof/>
      <w:sz w:val="22"/>
      <w:szCs w:val="20"/>
      <w:lang w:val="en-US" w:eastAsia="en-US"/>
    </w:rPr>
  </w:style>
  <w:style w:type="paragraph" w:styleId="TOC2">
    <w:name w:val="toc 2"/>
    <w:basedOn w:val="Normal"/>
    <w:next w:val="Normal"/>
    <w:autoRedefine/>
    <w:uiPriority w:val="39"/>
    <w:rsid w:val="00097163"/>
    <w:pPr>
      <w:widowControl w:val="0"/>
      <w:tabs>
        <w:tab w:val="left" w:pos="660"/>
        <w:tab w:val="right" w:leader="dot" w:pos="9061"/>
      </w:tabs>
      <w:ind w:left="238"/>
    </w:pPr>
    <w:rPr>
      <w:rFonts w:ascii="Arial" w:hAnsi="Arial" w:cs="Arial"/>
      <w:iCs/>
      <w:sz w:val="20"/>
      <w:szCs w:val="20"/>
      <w:lang w:val="en-US" w:eastAsia="en-US"/>
    </w:rPr>
  </w:style>
  <w:style w:type="paragraph" w:customStyle="1" w:styleId="Body1">
    <w:name w:val="Body 1"/>
    <w:autoRedefine/>
    <w:rsid w:val="000B3E6E"/>
    <w:pPr>
      <w:spacing w:before="120" w:after="120"/>
      <w:ind w:left="-142"/>
      <w:jc w:val="right"/>
    </w:pPr>
    <w:rPr>
      <w:rFonts w:ascii="Arial" w:eastAsia="Arial Unicode MS" w:hAnsi="Arial" w:cs="Arial"/>
      <w:color w:val="000000"/>
      <w:sz w:val="16"/>
      <w:szCs w:val="16"/>
    </w:rPr>
  </w:style>
  <w:style w:type="paragraph" w:styleId="Revision">
    <w:name w:val="Revision"/>
    <w:hidden/>
    <w:uiPriority w:val="99"/>
    <w:semiHidden/>
    <w:rsid w:val="00416303"/>
    <w:rPr>
      <w:sz w:val="24"/>
      <w:szCs w:val="24"/>
    </w:rPr>
  </w:style>
  <w:style w:type="character" w:styleId="FollowedHyperlink">
    <w:name w:val="FollowedHyperlink"/>
    <w:basedOn w:val="DefaultParagraphFont"/>
    <w:rsid w:val="006B6BAE"/>
    <w:rPr>
      <w:color w:val="800080" w:themeColor="followedHyperlink"/>
      <w:u w:val="single"/>
    </w:rPr>
  </w:style>
  <w:style w:type="numbering" w:styleId="111111">
    <w:name w:val="Outline List 2"/>
    <w:basedOn w:val="NoList"/>
    <w:rsid w:val="004A59F7"/>
    <w:pPr>
      <w:numPr>
        <w:numId w:val="3"/>
      </w:numPr>
    </w:pPr>
  </w:style>
  <w:style w:type="paragraph" w:customStyle="1" w:styleId="PrefaceHeading2">
    <w:name w:val="Preface Heading 2"/>
    <w:basedOn w:val="Heading2"/>
    <w:next w:val="Normal"/>
    <w:rsid w:val="004A59F7"/>
    <w:pPr>
      <w:keepNext w:val="0"/>
      <w:widowControl w:val="0"/>
      <w:spacing w:after="120" w:line="276" w:lineRule="auto"/>
      <w:outlineLvl w:val="9"/>
    </w:pPr>
    <w:rPr>
      <w:rFonts w:ascii="Tahoma" w:eastAsia="Calibri" w:hAnsi="Tahoma"/>
      <w:color w:val="993366"/>
    </w:rPr>
  </w:style>
  <w:style w:type="character" w:customStyle="1" w:styleId="ParagraphTChar">
    <w:name w:val="Paragraph (T) Char"/>
    <w:link w:val="ParagraphT"/>
    <w:locked/>
    <w:rsid w:val="004A59F7"/>
    <w:rPr>
      <w:rFonts w:ascii="Century Gothic" w:eastAsia="Calibri" w:hAnsi="Century Gothic"/>
    </w:rPr>
  </w:style>
  <w:style w:type="paragraph" w:customStyle="1" w:styleId="ParagraphT">
    <w:name w:val="Paragraph (T)"/>
    <w:basedOn w:val="Normal"/>
    <w:link w:val="ParagraphTChar"/>
    <w:rsid w:val="004A59F7"/>
    <w:pPr>
      <w:widowControl w:val="0"/>
      <w:spacing w:before="120" w:after="120"/>
    </w:pPr>
    <w:rPr>
      <w:rFonts w:ascii="Century Gothic" w:eastAsia="Calibri" w:hAnsi="Century Gothic"/>
      <w:sz w:val="20"/>
      <w:szCs w:val="20"/>
    </w:rPr>
  </w:style>
  <w:style w:type="paragraph" w:customStyle="1" w:styleId="FreeForm">
    <w:name w:val="Free Form"/>
    <w:rsid w:val="004A59F7"/>
    <w:rPr>
      <w:rFonts w:eastAsia="ヒラギノ角ゴ Pro W3"/>
      <w:color w:val="000000"/>
    </w:rPr>
  </w:style>
  <w:style w:type="character" w:customStyle="1" w:styleId="Hyperlink1">
    <w:name w:val="Hyperlink1"/>
    <w:rsid w:val="004A59F7"/>
    <w:rPr>
      <w:color w:val="0400FF"/>
      <w:sz w:val="20"/>
      <w:u w:val="single"/>
    </w:rPr>
  </w:style>
  <w:style w:type="paragraph" w:styleId="BodyTextIndent3">
    <w:name w:val="Body Text Indent 3"/>
    <w:basedOn w:val="Normal"/>
    <w:link w:val="BodyTextIndent3Char"/>
    <w:rsid w:val="003E2337"/>
    <w:pPr>
      <w:spacing w:after="120"/>
      <w:ind w:left="283"/>
    </w:pPr>
    <w:rPr>
      <w:sz w:val="16"/>
      <w:szCs w:val="16"/>
      <w:lang w:eastAsia="en-US"/>
    </w:rPr>
  </w:style>
  <w:style w:type="character" w:customStyle="1" w:styleId="BodyTextIndent3Char">
    <w:name w:val="Body Text Indent 3 Char"/>
    <w:basedOn w:val="DefaultParagraphFont"/>
    <w:link w:val="BodyTextIndent3"/>
    <w:rsid w:val="003E2337"/>
    <w:rPr>
      <w:sz w:val="16"/>
      <w:szCs w:val="16"/>
      <w:lang w:eastAsia="en-US"/>
    </w:rPr>
  </w:style>
  <w:style w:type="paragraph" w:styleId="NormalWeb">
    <w:name w:val="Normal (Web)"/>
    <w:basedOn w:val="Normal"/>
    <w:uiPriority w:val="99"/>
    <w:rsid w:val="003E2337"/>
    <w:pPr>
      <w:spacing w:before="240" w:after="240"/>
    </w:pPr>
    <w:rPr>
      <w:lang w:val="en-US" w:eastAsia="en-US"/>
    </w:rPr>
  </w:style>
  <w:style w:type="character" w:customStyle="1" w:styleId="apple-converted-space">
    <w:name w:val="apple-converted-space"/>
    <w:basedOn w:val="DefaultParagraphFont"/>
    <w:rsid w:val="00DB4A8A"/>
  </w:style>
  <w:style w:type="character" w:customStyle="1" w:styleId="Heading3Char">
    <w:name w:val="Heading 3 Char"/>
    <w:basedOn w:val="DefaultParagraphFont"/>
    <w:link w:val="Heading3"/>
    <w:uiPriority w:val="9"/>
    <w:rsid w:val="002F47AE"/>
    <w:rPr>
      <w:rFonts w:ascii="Arial" w:hAnsi="Arial" w:cs="Arial"/>
      <w:bCs/>
      <w:sz w:val="24"/>
      <w:szCs w:val="26"/>
    </w:rPr>
  </w:style>
  <w:style w:type="character" w:customStyle="1" w:styleId="slug-pub-date3">
    <w:name w:val="slug-pub-date3"/>
    <w:basedOn w:val="DefaultParagraphFont"/>
    <w:rsid w:val="007A01FB"/>
    <w:rPr>
      <w:b/>
      <w:bCs/>
    </w:rPr>
  </w:style>
  <w:style w:type="character" w:customStyle="1" w:styleId="slug-elocation">
    <w:name w:val="slug-elocation"/>
    <w:basedOn w:val="DefaultParagraphFont"/>
    <w:rsid w:val="007A01FB"/>
  </w:style>
  <w:style w:type="table" w:customStyle="1" w:styleId="TableGrid1">
    <w:name w:val="Table Grid1"/>
    <w:basedOn w:val="TableNormal"/>
    <w:next w:val="TableGrid"/>
    <w:uiPriority w:val="39"/>
    <w:rsid w:val="00DF5A2D"/>
    <w:rPr>
      <w:rFonts w:ascii="Calibri" w:eastAsia="MS Mincho"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01075"/>
    <w:rPr>
      <w:rFonts w:ascii="Arial" w:hAnsi="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22EDC"/>
    <w:pPr>
      <w:spacing w:after="100"/>
      <w:ind w:left="480"/>
    </w:pPr>
  </w:style>
  <w:style w:type="paragraph" w:customStyle="1" w:styleId="StyleMainheading20pt1">
    <w:name w:val="Style Main heading + 20 pt1"/>
    <w:basedOn w:val="Normal"/>
    <w:rsid w:val="00850657"/>
    <w:pPr>
      <w:spacing w:after="200" w:line="276" w:lineRule="auto"/>
    </w:pPr>
    <w:rPr>
      <w:rFonts w:ascii="Arial" w:eastAsia="Calibri" w:hAnsi="Arial" w:cs="Arial"/>
      <w:b/>
      <w:bCs/>
      <w:sz w:val="40"/>
      <w:szCs w:val="20"/>
      <w:lang w:eastAsia="en-US"/>
    </w:rPr>
  </w:style>
  <w:style w:type="paragraph" w:styleId="PlainText">
    <w:name w:val="Plain Text"/>
    <w:basedOn w:val="Normal"/>
    <w:link w:val="PlainTextChar"/>
    <w:uiPriority w:val="99"/>
    <w:unhideWhenUsed/>
    <w:rsid w:val="008F41E2"/>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8F41E2"/>
    <w:rPr>
      <w:rFonts w:ascii="Arial" w:eastAsiaTheme="minorHAnsi" w:hAnsi="Arial" w:cs="Consolas"/>
      <w:sz w:val="18"/>
      <w:szCs w:val="21"/>
      <w:lang w:eastAsia="en-US"/>
    </w:rPr>
  </w:style>
  <w:style w:type="numbering" w:customStyle="1" w:styleId="Style1">
    <w:name w:val="Style1"/>
    <w:uiPriority w:val="99"/>
    <w:rsid w:val="00AD0FAC"/>
    <w:pPr>
      <w:numPr>
        <w:numId w:val="28"/>
      </w:numPr>
    </w:pPr>
  </w:style>
  <w:style w:type="numbering" w:customStyle="1" w:styleId="Headings">
    <w:name w:val="Headings"/>
    <w:uiPriority w:val="99"/>
    <w:rsid w:val="00AD0FAC"/>
    <w:pPr>
      <w:numPr>
        <w:numId w:val="29"/>
      </w:numPr>
    </w:pPr>
  </w:style>
  <w:style w:type="numbering" w:customStyle="1" w:styleId="Style2">
    <w:name w:val="Style2"/>
    <w:uiPriority w:val="99"/>
    <w:rsid w:val="00792DEF"/>
    <w:pPr>
      <w:numPr>
        <w:numId w:val="30"/>
      </w:numPr>
    </w:pPr>
  </w:style>
  <w:style w:type="numbering" w:customStyle="1" w:styleId="Style3">
    <w:name w:val="Style3"/>
    <w:uiPriority w:val="99"/>
    <w:rsid w:val="00792DEF"/>
    <w:pPr>
      <w:numPr>
        <w:numId w:val="31"/>
      </w:numPr>
    </w:pPr>
  </w:style>
  <w:style w:type="numbering" w:customStyle="1" w:styleId="Style4">
    <w:name w:val="Style4"/>
    <w:uiPriority w:val="99"/>
    <w:rsid w:val="00792DEF"/>
    <w:pPr>
      <w:numPr>
        <w:numId w:val="32"/>
      </w:numPr>
    </w:pPr>
  </w:style>
  <w:style w:type="numbering" w:customStyle="1" w:styleId="Style5">
    <w:name w:val="Style5"/>
    <w:uiPriority w:val="99"/>
    <w:rsid w:val="00792DEF"/>
    <w:pPr>
      <w:numPr>
        <w:numId w:val="33"/>
      </w:numPr>
    </w:pPr>
  </w:style>
  <w:style w:type="numbering" w:customStyle="1" w:styleId="Style6">
    <w:name w:val="Style6"/>
    <w:uiPriority w:val="99"/>
    <w:rsid w:val="00792DEF"/>
    <w:pPr>
      <w:numPr>
        <w:numId w:val="34"/>
      </w:numPr>
    </w:pPr>
  </w:style>
  <w:style w:type="numbering" w:customStyle="1" w:styleId="Style7">
    <w:name w:val="Style7"/>
    <w:uiPriority w:val="99"/>
    <w:rsid w:val="00792DEF"/>
    <w:pPr>
      <w:numPr>
        <w:numId w:val="35"/>
      </w:numPr>
    </w:pPr>
  </w:style>
  <w:style w:type="numbering" w:customStyle="1" w:styleId="Style8">
    <w:name w:val="Style8"/>
    <w:uiPriority w:val="99"/>
    <w:rsid w:val="00792DEF"/>
    <w:pPr>
      <w:numPr>
        <w:numId w:val="36"/>
      </w:numPr>
    </w:pPr>
  </w:style>
  <w:style w:type="numbering" w:customStyle="1" w:styleId="Style9">
    <w:name w:val="Style9"/>
    <w:uiPriority w:val="99"/>
    <w:rsid w:val="004E5877"/>
    <w:pPr>
      <w:numPr>
        <w:numId w:val="37"/>
      </w:numPr>
    </w:pPr>
  </w:style>
  <w:style w:type="numbering" w:customStyle="1" w:styleId="Style10">
    <w:name w:val="Style10"/>
    <w:uiPriority w:val="99"/>
    <w:rsid w:val="004E5877"/>
    <w:pPr>
      <w:numPr>
        <w:numId w:val="38"/>
      </w:numPr>
    </w:pPr>
  </w:style>
  <w:style w:type="numbering" w:customStyle="1" w:styleId="Style11">
    <w:name w:val="Style11"/>
    <w:uiPriority w:val="99"/>
    <w:rsid w:val="004E5877"/>
    <w:pPr>
      <w:numPr>
        <w:numId w:val="39"/>
      </w:numPr>
    </w:pPr>
  </w:style>
  <w:style w:type="numbering" w:customStyle="1" w:styleId="Style12">
    <w:name w:val="Style12"/>
    <w:uiPriority w:val="99"/>
    <w:rsid w:val="004E5877"/>
    <w:pPr>
      <w:numPr>
        <w:numId w:val="40"/>
      </w:numPr>
    </w:pPr>
  </w:style>
  <w:style w:type="numbering" w:customStyle="1" w:styleId="Style13">
    <w:name w:val="Style13"/>
    <w:uiPriority w:val="99"/>
    <w:rsid w:val="004E5877"/>
    <w:pPr>
      <w:numPr>
        <w:numId w:val="41"/>
      </w:numPr>
    </w:pPr>
  </w:style>
  <w:style w:type="numbering" w:customStyle="1" w:styleId="Style14">
    <w:name w:val="Style14"/>
    <w:uiPriority w:val="99"/>
    <w:rsid w:val="002F47AE"/>
    <w:pPr>
      <w:numPr>
        <w:numId w:val="42"/>
      </w:numPr>
    </w:pPr>
  </w:style>
  <w:style w:type="numbering" w:customStyle="1" w:styleId="Style15">
    <w:name w:val="Style15"/>
    <w:uiPriority w:val="99"/>
    <w:rsid w:val="002F47A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5580">
      <w:bodyDiv w:val="1"/>
      <w:marLeft w:val="0"/>
      <w:marRight w:val="0"/>
      <w:marTop w:val="0"/>
      <w:marBottom w:val="0"/>
      <w:divBdr>
        <w:top w:val="none" w:sz="0" w:space="0" w:color="auto"/>
        <w:left w:val="none" w:sz="0" w:space="0" w:color="auto"/>
        <w:bottom w:val="none" w:sz="0" w:space="0" w:color="auto"/>
        <w:right w:val="none" w:sz="0" w:space="0" w:color="auto"/>
      </w:divBdr>
    </w:div>
    <w:div w:id="111873942">
      <w:bodyDiv w:val="1"/>
      <w:marLeft w:val="0"/>
      <w:marRight w:val="0"/>
      <w:marTop w:val="0"/>
      <w:marBottom w:val="0"/>
      <w:divBdr>
        <w:top w:val="none" w:sz="0" w:space="0" w:color="auto"/>
        <w:left w:val="none" w:sz="0" w:space="0" w:color="auto"/>
        <w:bottom w:val="none" w:sz="0" w:space="0" w:color="auto"/>
        <w:right w:val="none" w:sz="0" w:space="0" w:color="auto"/>
      </w:divBdr>
    </w:div>
    <w:div w:id="174344497">
      <w:bodyDiv w:val="1"/>
      <w:marLeft w:val="0"/>
      <w:marRight w:val="0"/>
      <w:marTop w:val="0"/>
      <w:marBottom w:val="0"/>
      <w:divBdr>
        <w:top w:val="none" w:sz="0" w:space="0" w:color="auto"/>
        <w:left w:val="none" w:sz="0" w:space="0" w:color="auto"/>
        <w:bottom w:val="none" w:sz="0" w:space="0" w:color="auto"/>
        <w:right w:val="none" w:sz="0" w:space="0" w:color="auto"/>
      </w:divBdr>
    </w:div>
    <w:div w:id="266085725">
      <w:bodyDiv w:val="1"/>
      <w:marLeft w:val="0"/>
      <w:marRight w:val="0"/>
      <w:marTop w:val="0"/>
      <w:marBottom w:val="0"/>
      <w:divBdr>
        <w:top w:val="none" w:sz="0" w:space="0" w:color="auto"/>
        <w:left w:val="none" w:sz="0" w:space="0" w:color="auto"/>
        <w:bottom w:val="none" w:sz="0" w:space="0" w:color="auto"/>
        <w:right w:val="none" w:sz="0" w:space="0" w:color="auto"/>
      </w:divBdr>
    </w:div>
    <w:div w:id="317343547">
      <w:bodyDiv w:val="1"/>
      <w:marLeft w:val="0"/>
      <w:marRight w:val="0"/>
      <w:marTop w:val="0"/>
      <w:marBottom w:val="0"/>
      <w:divBdr>
        <w:top w:val="none" w:sz="0" w:space="0" w:color="auto"/>
        <w:left w:val="none" w:sz="0" w:space="0" w:color="auto"/>
        <w:bottom w:val="none" w:sz="0" w:space="0" w:color="auto"/>
        <w:right w:val="none" w:sz="0" w:space="0" w:color="auto"/>
      </w:divBdr>
    </w:div>
    <w:div w:id="548225841">
      <w:bodyDiv w:val="1"/>
      <w:marLeft w:val="0"/>
      <w:marRight w:val="0"/>
      <w:marTop w:val="0"/>
      <w:marBottom w:val="0"/>
      <w:divBdr>
        <w:top w:val="none" w:sz="0" w:space="0" w:color="auto"/>
        <w:left w:val="none" w:sz="0" w:space="0" w:color="auto"/>
        <w:bottom w:val="none" w:sz="0" w:space="0" w:color="auto"/>
        <w:right w:val="none" w:sz="0" w:space="0" w:color="auto"/>
      </w:divBdr>
    </w:div>
    <w:div w:id="568078186">
      <w:bodyDiv w:val="1"/>
      <w:marLeft w:val="0"/>
      <w:marRight w:val="0"/>
      <w:marTop w:val="0"/>
      <w:marBottom w:val="0"/>
      <w:divBdr>
        <w:top w:val="none" w:sz="0" w:space="0" w:color="auto"/>
        <w:left w:val="none" w:sz="0" w:space="0" w:color="auto"/>
        <w:bottom w:val="none" w:sz="0" w:space="0" w:color="auto"/>
        <w:right w:val="none" w:sz="0" w:space="0" w:color="auto"/>
      </w:divBdr>
      <w:divsChild>
        <w:div w:id="856695020">
          <w:marLeft w:val="0"/>
          <w:marRight w:val="0"/>
          <w:marTop w:val="0"/>
          <w:marBottom w:val="0"/>
          <w:divBdr>
            <w:top w:val="none" w:sz="0" w:space="0" w:color="auto"/>
            <w:left w:val="none" w:sz="0" w:space="0" w:color="auto"/>
            <w:bottom w:val="none" w:sz="0" w:space="0" w:color="auto"/>
            <w:right w:val="none" w:sz="0" w:space="0" w:color="auto"/>
          </w:divBdr>
          <w:divsChild>
            <w:div w:id="1538855782">
              <w:marLeft w:val="0"/>
              <w:marRight w:val="0"/>
              <w:marTop w:val="0"/>
              <w:marBottom w:val="0"/>
              <w:divBdr>
                <w:top w:val="none" w:sz="0" w:space="0" w:color="auto"/>
                <w:left w:val="none" w:sz="0" w:space="0" w:color="auto"/>
                <w:bottom w:val="none" w:sz="0" w:space="0" w:color="auto"/>
                <w:right w:val="none" w:sz="0" w:space="0" w:color="auto"/>
              </w:divBdr>
              <w:divsChild>
                <w:div w:id="1613633230">
                  <w:marLeft w:val="0"/>
                  <w:marRight w:val="150"/>
                  <w:marTop w:val="0"/>
                  <w:marBottom w:val="0"/>
                  <w:divBdr>
                    <w:top w:val="none" w:sz="0" w:space="0" w:color="auto"/>
                    <w:left w:val="none" w:sz="0" w:space="0" w:color="auto"/>
                    <w:bottom w:val="single" w:sz="6" w:space="0" w:color="EEEEEE"/>
                    <w:right w:val="single" w:sz="6" w:space="0" w:color="EEEEEE"/>
                  </w:divBdr>
                  <w:divsChild>
                    <w:div w:id="1353339101">
                      <w:marLeft w:val="0"/>
                      <w:marRight w:val="0"/>
                      <w:marTop w:val="0"/>
                      <w:marBottom w:val="0"/>
                      <w:divBdr>
                        <w:top w:val="none" w:sz="0" w:space="0" w:color="auto"/>
                        <w:left w:val="single" w:sz="6" w:space="0" w:color="D5DABA"/>
                        <w:bottom w:val="none" w:sz="0" w:space="0" w:color="auto"/>
                        <w:right w:val="none" w:sz="0" w:space="0" w:color="auto"/>
                      </w:divBdr>
                      <w:divsChild>
                        <w:div w:id="1799029645">
                          <w:marLeft w:val="-15"/>
                          <w:marRight w:val="0"/>
                          <w:marTop w:val="0"/>
                          <w:marBottom w:val="0"/>
                          <w:divBdr>
                            <w:top w:val="none" w:sz="0" w:space="0" w:color="auto"/>
                            <w:left w:val="single" w:sz="6" w:space="0" w:color="FFFFFF"/>
                            <w:bottom w:val="none" w:sz="0" w:space="0" w:color="auto"/>
                            <w:right w:val="single" w:sz="48" w:space="0" w:color="EEEEEE"/>
                          </w:divBdr>
                          <w:divsChild>
                            <w:div w:id="16927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3839">
      <w:bodyDiv w:val="1"/>
      <w:marLeft w:val="0"/>
      <w:marRight w:val="0"/>
      <w:marTop w:val="0"/>
      <w:marBottom w:val="0"/>
      <w:divBdr>
        <w:top w:val="none" w:sz="0" w:space="0" w:color="auto"/>
        <w:left w:val="none" w:sz="0" w:space="0" w:color="auto"/>
        <w:bottom w:val="none" w:sz="0" w:space="0" w:color="auto"/>
        <w:right w:val="none" w:sz="0" w:space="0" w:color="auto"/>
      </w:divBdr>
    </w:div>
    <w:div w:id="674190971">
      <w:bodyDiv w:val="1"/>
      <w:marLeft w:val="0"/>
      <w:marRight w:val="0"/>
      <w:marTop w:val="0"/>
      <w:marBottom w:val="0"/>
      <w:divBdr>
        <w:top w:val="none" w:sz="0" w:space="0" w:color="auto"/>
        <w:left w:val="none" w:sz="0" w:space="0" w:color="auto"/>
        <w:bottom w:val="none" w:sz="0" w:space="0" w:color="auto"/>
        <w:right w:val="none" w:sz="0" w:space="0" w:color="auto"/>
      </w:divBdr>
    </w:div>
    <w:div w:id="711728302">
      <w:bodyDiv w:val="1"/>
      <w:marLeft w:val="0"/>
      <w:marRight w:val="0"/>
      <w:marTop w:val="0"/>
      <w:marBottom w:val="0"/>
      <w:divBdr>
        <w:top w:val="none" w:sz="0" w:space="0" w:color="auto"/>
        <w:left w:val="none" w:sz="0" w:space="0" w:color="auto"/>
        <w:bottom w:val="none" w:sz="0" w:space="0" w:color="auto"/>
        <w:right w:val="none" w:sz="0" w:space="0" w:color="auto"/>
      </w:divBdr>
    </w:div>
    <w:div w:id="872572625">
      <w:bodyDiv w:val="1"/>
      <w:marLeft w:val="0"/>
      <w:marRight w:val="0"/>
      <w:marTop w:val="0"/>
      <w:marBottom w:val="0"/>
      <w:divBdr>
        <w:top w:val="none" w:sz="0" w:space="0" w:color="auto"/>
        <w:left w:val="none" w:sz="0" w:space="0" w:color="auto"/>
        <w:bottom w:val="none" w:sz="0" w:space="0" w:color="auto"/>
        <w:right w:val="none" w:sz="0" w:space="0" w:color="auto"/>
      </w:divBdr>
    </w:div>
    <w:div w:id="938367715">
      <w:bodyDiv w:val="1"/>
      <w:marLeft w:val="0"/>
      <w:marRight w:val="0"/>
      <w:marTop w:val="0"/>
      <w:marBottom w:val="0"/>
      <w:divBdr>
        <w:top w:val="none" w:sz="0" w:space="0" w:color="auto"/>
        <w:left w:val="none" w:sz="0" w:space="0" w:color="auto"/>
        <w:bottom w:val="none" w:sz="0" w:space="0" w:color="auto"/>
        <w:right w:val="none" w:sz="0" w:space="0" w:color="auto"/>
      </w:divBdr>
      <w:divsChild>
        <w:div w:id="438376745">
          <w:marLeft w:val="0"/>
          <w:marRight w:val="0"/>
          <w:marTop w:val="0"/>
          <w:marBottom w:val="0"/>
          <w:divBdr>
            <w:top w:val="none" w:sz="0" w:space="0" w:color="auto"/>
            <w:left w:val="none" w:sz="0" w:space="0" w:color="auto"/>
            <w:bottom w:val="none" w:sz="0" w:space="0" w:color="auto"/>
            <w:right w:val="none" w:sz="0" w:space="0" w:color="auto"/>
          </w:divBdr>
          <w:divsChild>
            <w:div w:id="2212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260">
      <w:bodyDiv w:val="1"/>
      <w:marLeft w:val="0"/>
      <w:marRight w:val="0"/>
      <w:marTop w:val="0"/>
      <w:marBottom w:val="0"/>
      <w:divBdr>
        <w:top w:val="none" w:sz="0" w:space="0" w:color="auto"/>
        <w:left w:val="none" w:sz="0" w:space="0" w:color="auto"/>
        <w:bottom w:val="none" w:sz="0" w:space="0" w:color="auto"/>
        <w:right w:val="none" w:sz="0" w:space="0" w:color="auto"/>
      </w:divBdr>
    </w:div>
    <w:div w:id="998580667">
      <w:bodyDiv w:val="1"/>
      <w:marLeft w:val="0"/>
      <w:marRight w:val="0"/>
      <w:marTop w:val="0"/>
      <w:marBottom w:val="0"/>
      <w:divBdr>
        <w:top w:val="none" w:sz="0" w:space="0" w:color="auto"/>
        <w:left w:val="none" w:sz="0" w:space="0" w:color="auto"/>
        <w:bottom w:val="none" w:sz="0" w:space="0" w:color="auto"/>
        <w:right w:val="none" w:sz="0" w:space="0" w:color="auto"/>
      </w:divBdr>
    </w:div>
    <w:div w:id="999117641">
      <w:bodyDiv w:val="1"/>
      <w:marLeft w:val="0"/>
      <w:marRight w:val="0"/>
      <w:marTop w:val="0"/>
      <w:marBottom w:val="0"/>
      <w:divBdr>
        <w:top w:val="none" w:sz="0" w:space="0" w:color="auto"/>
        <w:left w:val="none" w:sz="0" w:space="0" w:color="auto"/>
        <w:bottom w:val="none" w:sz="0" w:space="0" w:color="auto"/>
        <w:right w:val="none" w:sz="0" w:space="0" w:color="auto"/>
      </w:divBdr>
    </w:div>
    <w:div w:id="1009137749">
      <w:bodyDiv w:val="1"/>
      <w:marLeft w:val="0"/>
      <w:marRight w:val="0"/>
      <w:marTop w:val="0"/>
      <w:marBottom w:val="0"/>
      <w:divBdr>
        <w:top w:val="none" w:sz="0" w:space="0" w:color="auto"/>
        <w:left w:val="none" w:sz="0" w:space="0" w:color="auto"/>
        <w:bottom w:val="none" w:sz="0" w:space="0" w:color="auto"/>
        <w:right w:val="none" w:sz="0" w:space="0" w:color="auto"/>
      </w:divBdr>
      <w:divsChild>
        <w:div w:id="374931474">
          <w:marLeft w:val="0"/>
          <w:marRight w:val="0"/>
          <w:marTop w:val="0"/>
          <w:marBottom w:val="0"/>
          <w:divBdr>
            <w:top w:val="none" w:sz="0" w:space="0" w:color="auto"/>
            <w:left w:val="none" w:sz="0" w:space="0" w:color="auto"/>
            <w:bottom w:val="none" w:sz="0" w:space="0" w:color="auto"/>
            <w:right w:val="none" w:sz="0" w:space="0" w:color="auto"/>
          </w:divBdr>
        </w:div>
      </w:divsChild>
    </w:div>
    <w:div w:id="1081368932">
      <w:bodyDiv w:val="1"/>
      <w:marLeft w:val="0"/>
      <w:marRight w:val="0"/>
      <w:marTop w:val="0"/>
      <w:marBottom w:val="0"/>
      <w:divBdr>
        <w:top w:val="none" w:sz="0" w:space="0" w:color="auto"/>
        <w:left w:val="none" w:sz="0" w:space="0" w:color="auto"/>
        <w:bottom w:val="none" w:sz="0" w:space="0" w:color="auto"/>
        <w:right w:val="none" w:sz="0" w:space="0" w:color="auto"/>
      </w:divBdr>
    </w:div>
    <w:div w:id="1084687411">
      <w:bodyDiv w:val="1"/>
      <w:marLeft w:val="0"/>
      <w:marRight w:val="0"/>
      <w:marTop w:val="0"/>
      <w:marBottom w:val="0"/>
      <w:divBdr>
        <w:top w:val="none" w:sz="0" w:space="0" w:color="auto"/>
        <w:left w:val="none" w:sz="0" w:space="0" w:color="auto"/>
        <w:bottom w:val="none" w:sz="0" w:space="0" w:color="auto"/>
        <w:right w:val="none" w:sz="0" w:space="0" w:color="auto"/>
      </w:divBdr>
    </w:div>
    <w:div w:id="1394542048">
      <w:bodyDiv w:val="1"/>
      <w:marLeft w:val="0"/>
      <w:marRight w:val="0"/>
      <w:marTop w:val="0"/>
      <w:marBottom w:val="0"/>
      <w:divBdr>
        <w:top w:val="none" w:sz="0" w:space="0" w:color="auto"/>
        <w:left w:val="none" w:sz="0" w:space="0" w:color="auto"/>
        <w:bottom w:val="none" w:sz="0" w:space="0" w:color="auto"/>
        <w:right w:val="none" w:sz="0" w:space="0" w:color="auto"/>
      </w:divBdr>
      <w:divsChild>
        <w:div w:id="1314992437">
          <w:marLeft w:val="0"/>
          <w:marRight w:val="0"/>
          <w:marTop w:val="20"/>
          <w:marBottom w:val="60"/>
          <w:divBdr>
            <w:top w:val="none" w:sz="0" w:space="0" w:color="auto"/>
            <w:left w:val="none" w:sz="0" w:space="0" w:color="auto"/>
            <w:bottom w:val="none" w:sz="0" w:space="0" w:color="auto"/>
            <w:right w:val="none" w:sz="0" w:space="0" w:color="auto"/>
          </w:divBdr>
        </w:div>
      </w:divsChild>
    </w:div>
    <w:div w:id="1497379027">
      <w:bodyDiv w:val="1"/>
      <w:marLeft w:val="0"/>
      <w:marRight w:val="0"/>
      <w:marTop w:val="0"/>
      <w:marBottom w:val="0"/>
      <w:divBdr>
        <w:top w:val="none" w:sz="0" w:space="0" w:color="auto"/>
        <w:left w:val="none" w:sz="0" w:space="0" w:color="auto"/>
        <w:bottom w:val="none" w:sz="0" w:space="0" w:color="auto"/>
        <w:right w:val="none" w:sz="0" w:space="0" w:color="auto"/>
      </w:divBdr>
    </w:div>
    <w:div w:id="1569615328">
      <w:bodyDiv w:val="1"/>
      <w:marLeft w:val="0"/>
      <w:marRight w:val="0"/>
      <w:marTop w:val="0"/>
      <w:marBottom w:val="0"/>
      <w:divBdr>
        <w:top w:val="none" w:sz="0" w:space="0" w:color="auto"/>
        <w:left w:val="none" w:sz="0" w:space="0" w:color="auto"/>
        <w:bottom w:val="none" w:sz="0" w:space="0" w:color="auto"/>
        <w:right w:val="none" w:sz="0" w:space="0" w:color="auto"/>
      </w:divBdr>
      <w:divsChild>
        <w:div w:id="1766262740">
          <w:marLeft w:val="0"/>
          <w:marRight w:val="0"/>
          <w:marTop w:val="0"/>
          <w:marBottom w:val="0"/>
          <w:divBdr>
            <w:top w:val="none" w:sz="0" w:space="0" w:color="auto"/>
            <w:left w:val="none" w:sz="0" w:space="0" w:color="auto"/>
            <w:bottom w:val="none" w:sz="0" w:space="0" w:color="auto"/>
            <w:right w:val="none" w:sz="0" w:space="0" w:color="auto"/>
          </w:divBdr>
          <w:divsChild>
            <w:div w:id="719282629">
              <w:marLeft w:val="0"/>
              <w:marRight w:val="0"/>
              <w:marTop w:val="0"/>
              <w:marBottom w:val="0"/>
              <w:divBdr>
                <w:top w:val="none" w:sz="0" w:space="0" w:color="auto"/>
                <w:left w:val="none" w:sz="0" w:space="0" w:color="auto"/>
                <w:bottom w:val="none" w:sz="0" w:space="0" w:color="auto"/>
                <w:right w:val="none" w:sz="0" w:space="0" w:color="auto"/>
              </w:divBdr>
              <w:divsChild>
                <w:div w:id="605575636">
                  <w:marLeft w:val="0"/>
                  <w:marRight w:val="0"/>
                  <w:marTop w:val="0"/>
                  <w:marBottom w:val="0"/>
                  <w:divBdr>
                    <w:top w:val="none" w:sz="0" w:space="0" w:color="auto"/>
                    <w:left w:val="none" w:sz="0" w:space="0" w:color="auto"/>
                    <w:bottom w:val="none" w:sz="0" w:space="0" w:color="auto"/>
                    <w:right w:val="none" w:sz="0" w:space="0" w:color="auto"/>
                  </w:divBdr>
                  <w:divsChild>
                    <w:div w:id="1431705072">
                      <w:marLeft w:val="0"/>
                      <w:marRight w:val="0"/>
                      <w:marTop w:val="0"/>
                      <w:marBottom w:val="0"/>
                      <w:divBdr>
                        <w:top w:val="none" w:sz="0" w:space="0" w:color="auto"/>
                        <w:left w:val="none" w:sz="0" w:space="0" w:color="auto"/>
                        <w:bottom w:val="none" w:sz="0" w:space="0" w:color="auto"/>
                        <w:right w:val="none" w:sz="0" w:space="0" w:color="auto"/>
                      </w:divBdr>
                      <w:divsChild>
                        <w:div w:id="16486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5451">
      <w:bodyDiv w:val="1"/>
      <w:marLeft w:val="0"/>
      <w:marRight w:val="0"/>
      <w:marTop w:val="0"/>
      <w:marBottom w:val="0"/>
      <w:divBdr>
        <w:top w:val="none" w:sz="0" w:space="0" w:color="auto"/>
        <w:left w:val="none" w:sz="0" w:space="0" w:color="auto"/>
        <w:bottom w:val="none" w:sz="0" w:space="0" w:color="auto"/>
        <w:right w:val="none" w:sz="0" w:space="0" w:color="auto"/>
      </w:divBdr>
    </w:div>
    <w:div w:id="1697196269">
      <w:bodyDiv w:val="1"/>
      <w:marLeft w:val="0"/>
      <w:marRight w:val="0"/>
      <w:marTop w:val="0"/>
      <w:marBottom w:val="0"/>
      <w:divBdr>
        <w:top w:val="none" w:sz="0" w:space="0" w:color="auto"/>
        <w:left w:val="none" w:sz="0" w:space="0" w:color="auto"/>
        <w:bottom w:val="none" w:sz="0" w:space="0" w:color="auto"/>
        <w:right w:val="none" w:sz="0" w:space="0" w:color="auto"/>
      </w:divBdr>
    </w:div>
    <w:div w:id="1734890610">
      <w:bodyDiv w:val="1"/>
      <w:marLeft w:val="0"/>
      <w:marRight w:val="0"/>
      <w:marTop w:val="0"/>
      <w:marBottom w:val="0"/>
      <w:divBdr>
        <w:top w:val="none" w:sz="0" w:space="0" w:color="auto"/>
        <w:left w:val="none" w:sz="0" w:space="0" w:color="auto"/>
        <w:bottom w:val="none" w:sz="0" w:space="0" w:color="auto"/>
        <w:right w:val="none" w:sz="0" w:space="0" w:color="auto"/>
      </w:divBdr>
      <w:divsChild>
        <w:div w:id="579097994">
          <w:marLeft w:val="0"/>
          <w:marRight w:val="0"/>
          <w:marTop w:val="20"/>
          <w:marBottom w:val="60"/>
          <w:divBdr>
            <w:top w:val="none" w:sz="0" w:space="0" w:color="auto"/>
            <w:left w:val="none" w:sz="0" w:space="0" w:color="auto"/>
            <w:bottom w:val="none" w:sz="0" w:space="0" w:color="auto"/>
            <w:right w:val="none" w:sz="0" w:space="0" w:color="auto"/>
          </w:divBdr>
        </w:div>
      </w:divsChild>
    </w:div>
    <w:div w:id="1762028381">
      <w:bodyDiv w:val="1"/>
      <w:marLeft w:val="0"/>
      <w:marRight w:val="0"/>
      <w:marTop w:val="0"/>
      <w:marBottom w:val="0"/>
      <w:divBdr>
        <w:top w:val="none" w:sz="0" w:space="0" w:color="auto"/>
        <w:left w:val="none" w:sz="0" w:space="0" w:color="auto"/>
        <w:bottom w:val="none" w:sz="0" w:space="0" w:color="auto"/>
        <w:right w:val="none" w:sz="0" w:space="0" w:color="auto"/>
      </w:divBdr>
    </w:div>
    <w:div w:id="1797525112">
      <w:bodyDiv w:val="1"/>
      <w:marLeft w:val="0"/>
      <w:marRight w:val="0"/>
      <w:marTop w:val="0"/>
      <w:marBottom w:val="0"/>
      <w:divBdr>
        <w:top w:val="none" w:sz="0" w:space="0" w:color="auto"/>
        <w:left w:val="none" w:sz="0" w:space="0" w:color="auto"/>
        <w:bottom w:val="none" w:sz="0" w:space="0" w:color="auto"/>
        <w:right w:val="none" w:sz="0" w:space="0" w:color="auto"/>
      </w:divBdr>
    </w:div>
    <w:div w:id="1802572309">
      <w:bodyDiv w:val="1"/>
      <w:marLeft w:val="0"/>
      <w:marRight w:val="0"/>
      <w:marTop w:val="0"/>
      <w:marBottom w:val="0"/>
      <w:divBdr>
        <w:top w:val="none" w:sz="0" w:space="0" w:color="auto"/>
        <w:left w:val="none" w:sz="0" w:space="0" w:color="auto"/>
        <w:bottom w:val="none" w:sz="0" w:space="0" w:color="auto"/>
        <w:right w:val="none" w:sz="0" w:space="0" w:color="auto"/>
      </w:divBdr>
      <w:divsChild>
        <w:div w:id="73281238">
          <w:marLeft w:val="0"/>
          <w:marRight w:val="0"/>
          <w:marTop w:val="0"/>
          <w:marBottom w:val="0"/>
          <w:divBdr>
            <w:top w:val="none" w:sz="0" w:space="0" w:color="auto"/>
            <w:left w:val="none" w:sz="0" w:space="0" w:color="auto"/>
            <w:bottom w:val="none" w:sz="0" w:space="0" w:color="auto"/>
            <w:right w:val="none" w:sz="0" w:space="0" w:color="auto"/>
          </w:divBdr>
          <w:divsChild>
            <w:div w:id="1257976769">
              <w:marLeft w:val="0"/>
              <w:marRight w:val="0"/>
              <w:marTop w:val="0"/>
              <w:marBottom w:val="0"/>
              <w:divBdr>
                <w:top w:val="none" w:sz="0" w:space="0" w:color="auto"/>
                <w:left w:val="none" w:sz="0" w:space="0" w:color="auto"/>
                <w:bottom w:val="none" w:sz="0" w:space="0" w:color="auto"/>
                <w:right w:val="none" w:sz="0" w:space="0" w:color="auto"/>
              </w:divBdr>
              <w:divsChild>
                <w:div w:id="997807996">
                  <w:marLeft w:val="0"/>
                  <w:marRight w:val="0"/>
                  <w:marTop w:val="0"/>
                  <w:marBottom w:val="0"/>
                  <w:divBdr>
                    <w:top w:val="none" w:sz="0" w:space="0" w:color="auto"/>
                    <w:left w:val="none" w:sz="0" w:space="0" w:color="auto"/>
                    <w:bottom w:val="none" w:sz="0" w:space="0" w:color="auto"/>
                    <w:right w:val="none" w:sz="0" w:space="0" w:color="auto"/>
                  </w:divBdr>
                  <w:divsChild>
                    <w:div w:id="343286404">
                      <w:marLeft w:val="0"/>
                      <w:marRight w:val="0"/>
                      <w:marTop w:val="0"/>
                      <w:marBottom w:val="0"/>
                      <w:divBdr>
                        <w:top w:val="none" w:sz="0" w:space="0" w:color="auto"/>
                        <w:left w:val="none" w:sz="0" w:space="0" w:color="auto"/>
                        <w:bottom w:val="none" w:sz="0" w:space="0" w:color="auto"/>
                        <w:right w:val="none" w:sz="0" w:space="0" w:color="auto"/>
                      </w:divBdr>
                      <w:divsChild>
                        <w:div w:id="8853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828784">
      <w:bodyDiv w:val="1"/>
      <w:marLeft w:val="0"/>
      <w:marRight w:val="0"/>
      <w:marTop w:val="0"/>
      <w:marBottom w:val="0"/>
      <w:divBdr>
        <w:top w:val="none" w:sz="0" w:space="0" w:color="auto"/>
        <w:left w:val="none" w:sz="0" w:space="0" w:color="auto"/>
        <w:bottom w:val="none" w:sz="0" w:space="0" w:color="auto"/>
        <w:right w:val="none" w:sz="0" w:space="0" w:color="auto"/>
      </w:divBdr>
    </w:div>
    <w:div w:id="1882547790">
      <w:bodyDiv w:val="1"/>
      <w:marLeft w:val="0"/>
      <w:marRight w:val="0"/>
      <w:marTop w:val="0"/>
      <w:marBottom w:val="0"/>
      <w:divBdr>
        <w:top w:val="none" w:sz="0" w:space="0" w:color="auto"/>
        <w:left w:val="none" w:sz="0" w:space="0" w:color="auto"/>
        <w:bottom w:val="none" w:sz="0" w:space="0" w:color="auto"/>
        <w:right w:val="none" w:sz="0" w:space="0" w:color="auto"/>
      </w:divBdr>
    </w:div>
    <w:div w:id="2040425809">
      <w:bodyDiv w:val="1"/>
      <w:marLeft w:val="0"/>
      <w:marRight w:val="0"/>
      <w:marTop w:val="0"/>
      <w:marBottom w:val="0"/>
      <w:divBdr>
        <w:top w:val="none" w:sz="0" w:space="0" w:color="auto"/>
        <w:left w:val="none" w:sz="0" w:space="0" w:color="auto"/>
        <w:bottom w:val="none" w:sz="0" w:space="0" w:color="auto"/>
        <w:right w:val="none" w:sz="0" w:space="0" w:color="auto"/>
      </w:divBdr>
    </w:div>
    <w:div w:id="2063942574">
      <w:bodyDiv w:val="1"/>
      <w:marLeft w:val="0"/>
      <w:marRight w:val="0"/>
      <w:marTop w:val="0"/>
      <w:marBottom w:val="0"/>
      <w:divBdr>
        <w:top w:val="none" w:sz="0" w:space="0" w:color="auto"/>
        <w:left w:val="none" w:sz="0" w:space="0" w:color="auto"/>
        <w:bottom w:val="none" w:sz="0" w:space="0" w:color="auto"/>
        <w:right w:val="none" w:sz="0" w:space="0" w:color="auto"/>
      </w:divBdr>
    </w:div>
    <w:div w:id="21350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nzhfr.org/home/hist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nhfd.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zhfr.org/images/resources/Guidelines/ANZ%20Guideline%20for%20Hip%20Fracture%20Care.pdf" TargetMode="External"/><Relationship Id="rId23" Type="http://schemas.openxmlformats.org/officeDocument/2006/relationships/hyperlink" Target="http://www.njrcentre.org.uk" TargetMode="External"/><Relationship Id="rId10" Type="http://schemas.openxmlformats.org/officeDocument/2006/relationships/header" Target="header2.xml"/><Relationship Id="rId19" Type="http://schemas.openxmlformats.org/officeDocument/2006/relationships/hyperlink" Target="http://www.safetyandquality.gov.au/our-work/clinical-care-standards/hip-fracture-care-clinical-care-standar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scic.gov.uk/proms"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E810-AD0F-48A0-81B0-CEE2467D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16596</Words>
  <Characters>116599</Characters>
  <Application>Microsoft Office Word</Application>
  <DocSecurity>0</DocSecurity>
  <Lines>971</Lines>
  <Paragraphs>265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Coral</dc:creator>
  <cp:lastModifiedBy>CORNELIUS, Aimee</cp:lastModifiedBy>
  <cp:revision>6</cp:revision>
  <cp:lastPrinted>2016-04-14T05:25:00Z</cp:lastPrinted>
  <dcterms:created xsi:type="dcterms:W3CDTF">2016-04-13T06:37:00Z</dcterms:created>
  <dcterms:modified xsi:type="dcterms:W3CDTF">2016-04-14T06:49:00Z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