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FB" w:rsidRDefault="00D439B1" w:rsidP="009B380C">
      <w:pPr>
        <w:rPr>
          <w:rStyle w:val="IntenseReference"/>
          <w:rFonts w:cs="Arial"/>
          <w:b w:val="0"/>
          <w:bCs w:val="0"/>
          <w:i w:val="0"/>
          <w:smallCaps w:val="0"/>
          <w:color w:val="auto"/>
          <w:spacing w:val="0"/>
          <w:sz w:val="20"/>
          <w:szCs w:val="20"/>
        </w:rPr>
      </w:pPr>
      <w:bookmarkStart w:id="0" w:name="_GoBack"/>
      <w:bookmarkEnd w:id="0"/>
      <w:r w:rsidRPr="008A251F">
        <w:rPr>
          <w:rFonts w:eastAsiaTheme="majorEastAsia"/>
          <w:noProof/>
          <w:lang w:eastAsia="en-AU"/>
        </w:rPr>
        <w:drawing>
          <wp:inline distT="0" distB="0" distL="0" distR="0" wp14:anchorId="4DFBC824" wp14:editId="4F39FCA5">
            <wp:extent cx="4335880" cy="612000"/>
            <wp:effectExtent l="0" t="0" r="0" b="0"/>
            <wp:docPr id="23" name="Picture 2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p>
    <w:p w:rsidR="002527FB" w:rsidRDefault="00D439B1" w:rsidP="009B380C">
      <w:pPr>
        <w:rPr>
          <w:rStyle w:val="IntenseReference"/>
          <w:rFonts w:cs="Arial"/>
          <w:b w:val="0"/>
          <w:bCs w:val="0"/>
          <w:i w:val="0"/>
          <w:smallCaps w:val="0"/>
          <w:color w:val="auto"/>
          <w:spacing w:val="0"/>
          <w:sz w:val="20"/>
          <w:szCs w:val="20"/>
        </w:rPr>
      </w:pPr>
      <w:r>
        <w:rPr>
          <w:rFonts w:cs="Arial"/>
          <w:noProof/>
          <w:sz w:val="20"/>
          <w:szCs w:val="20"/>
          <w:lang w:eastAsia="en-AU"/>
        </w:rPr>
        <w:drawing>
          <wp:inline distT="0" distB="0" distL="0" distR="0" wp14:anchorId="691D84F8" wp14:editId="71D51E35">
            <wp:extent cx="1943100" cy="613575"/>
            <wp:effectExtent l="0" t="0" r="0" b="0"/>
            <wp:docPr id="27" name="Picture 27" descr="This shows the logo for Antimicrobial Use and Resistance in Australia (AURA)" title="A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A.png"/>
                    <pic:cNvPicPr/>
                  </pic:nvPicPr>
                  <pic:blipFill>
                    <a:blip r:embed="rId10">
                      <a:extLst>
                        <a:ext uri="{28A0092B-C50C-407E-A947-70E740481C1C}">
                          <a14:useLocalDpi xmlns:a14="http://schemas.microsoft.com/office/drawing/2010/main" val="0"/>
                        </a:ext>
                      </a:extLst>
                    </a:blip>
                    <a:stretch>
                      <a:fillRect/>
                    </a:stretch>
                  </pic:blipFill>
                  <pic:spPr>
                    <a:xfrm>
                      <a:off x="0" y="0"/>
                      <a:ext cx="1943100" cy="613575"/>
                    </a:xfrm>
                    <a:prstGeom prst="rect">
                      <a:avLst/>
                    </a:prstGeom>
                  </pic:spPr>
                </pic:pic>
              </a:graphicData>
            </a:graphic>
          </wp:inline>
        </w:drawing>
      </w:r>
    </w:p>
    <w:p w:rsidR="002527FB" w:rsidRDefault="002527FB" w:rsidP="009B380C">
      <w:pPr>
        <w:rPr>
          <w:rStyle w:val="IntenseReference"/>
          <w:rFonts w:cs="Arial"/>
          <w:b w:val="0"/>
          <w:bCs w:val="0"/>
          <w:i w:val="0"/>
          <w:smallCaps w:val="0"/>
          <w:color w:val="auto"/>
          <w:spacing w:val="0"/>
          <w:sz w:val="20"/>
          <w:szCs w:val="20"/>
        </w:rPr>
      </w:pPr>
    </w:p>
    <w:p w:rsidR="00FC665A" w:rsidRDefault="00FC665A" w:rsidP="009B380C">
      <w:pPr>
        <w:rPr>
          <w:rStyle w:val="IntenseReference"/>
          <w:rFonts w:cs="Arial"/>
          <w:b w:val="0"/>
          <w:bCs w:val="0"/>
          <w:i w:val="0"/>
          <w:smallCaps w:val="0"/>
          <w:color w:val="auto"/>
          <w:spacing w:val="0"/>
          <w:sz w:val="20"/>
          <w:szCs w:val="20"/>
        </w:rPr>
      </w:pPr>
    </w:p>
    <w:p w:rsidR="00734C7A" w:rsidRDefault="00734C7A" w:rsidP="009B380C">
      <w:pPr>
        <w:rPr>
          <w:rStyle w:val="IntenseReference"/>
          <w:rFonts w:cs="Arial"/>
          <w:b w:val="0"/>
          <w:bCs w:val="0"/>
          <w:i w:val="0"/>
          <w:smallCaps w:val="0"/>
          <w:color w:val="auto"/>
          <w:spacing w:val="0"/>
          <w:sz w:val="20"/>
          <w:szCs w:val="20"/>
        </w:rPr>
      </w:pPr>
    </w:p>
    <w:p w:rsidR="00734C7A" w:rsidRDefault="00734C7A" w:rsidP="009B380C">
      <w:pPr>
        <w:rPr>
          <w:rStyle w:val="IntenseReference"/>
          <w:rFonts w:cs="Arial"/>
          <w:b w:val="0"/>
          <w:bCs w:val="0"/>
          <w:i w:val="0"/>
          <w:smallCaps w:val="0"/>
          <w:color w:val="auto"/>
          <w:spacing w:val="0"/>
          <w:sz w:val="20"/>
          <w:szCs w:val="20"/>
        </w:rPr>
      </w:pPr>
    </w:p>
    <w:p w:rsidR="00FC665A" w:rsidRPr="00CE7B0D" w:rsidRDefault="00164D03" w:rsidP="00734C7A">
      <w:pPr>
        <w:jc w:val="center"/>
        <w:rPr>
          <w:rStyle w:val="IntenseReference"/>
          <w:rFonts w:cs="Arial"/>
          <w:b w:val="0"/>
          <w:bCs w:val="0"/>
          <w:i w:val="0"/>
          <w:smallCaps w:val="0"/>
          <w:color w:val="auto"/>
          <w:spacing w:val="0"/>
          <w:sz w:val="20"/>
          <w:szCs w:val="20"/>
        </w:rPr>
      </w:pPr>
      <w:r>
        <w:rPr>
          <w:rFonts w:cs="Arial"/>
          <w:noProof/>
          <w:sz w:val="52"/>
          <w:szCs w:val="52"/>
          <w:lang w:eastAsia="en-AU"/>
        </w:rPr>
        <w:drawing>
          <wp:inline distT="0" distB="0" distL="0" distR="0">
            <wp:extent cx="4343400" cy="4193540"/>
            <wp:effectExtent l="0" t="0" r="0" b="0"/>
            <wp:docPr id="4" name="Picture 4" descr="CARAlert logo " title="CARAler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4193540"/>
                    </a:xfrm>
                    <a:prstGeom prst="rect">
                      <a:avLst/>
                    </a:prstGeom>
                    <a:noFill/>
                    <a:ln>
                      <a:noFill/>
                    </a:ln>
                  </pic:spPr>
                </pic:pic>
              </a:graphicData>
            </a:graphic>
          </wp:inline>
        </w:drawing>
      </w:r>
    </w:p>
    <w:p w:rsidR="00342132" w:rsidRPr="00CE7B0D" w:rsidRDefault="00342132" w:rsidP="00506EF0">
      <w:pPr>
        <w:jc w:val="center"/>
        <w:rPr>
          <w:rStyle w:val="IntenseReference"/>
          <w:rFonts w:cs="Arial"/>
          <w:b w:val="0"/>
          <w:bCs w:val="0"/>
          <w:i w:val="0"/>
          <w:smallCaps w:val="0"/>
          <w:color w:val="auto"/>
          <w:spacing w:val="0"/>
          <w:sz w:val="20"/>
          <w:szCs w:val="20"/>
        </w:rPr>
      </w:pPr>
    </w:p>
    <w:p w:rsidR="00EC7FFB" w:rsidRDefault="00EC7FFB" w:rsidP="00506EF0">
      <w:pPr>
        <w:rPr>
          <w:rStyle w:val="IntenseReference"/>
          <w:rFonts w:cs="Arial"/>
          <w:b w:val="0"/>
          <w:bCs w:val="0"/>
          <w:i w:val="0"/>
          <w:smallCaps w:val="0"/>
          <w:color w:val="auto"/>
          <w:spacing w:val="0"/>
          <w:sz w:val="20"/>
          <w:szCs w:val="20"/>
        </w:rPr>
      </w:pPr>
    </w:p>
    <w:p w:rsidR="002527FB" w:rsidRDefault="002527FB" w:rsidP="00506EF0">
      <w:pPr>
        <w:rPr>
          <w:rStyle w:val="IntenseReference"/>
          <w:rFonts w:cs="Arial"/>
          <w:b w:val="0"/>
          <w:bCs w:val="0"/>
          <w:i w:val="0"/>
          <w:smallCaps w:val="0"/>
          <w:color w:val="auto"/>
          <w:spacing w:val="0"/>
          <w:sz w:val="20"/>
          <w:szCs w:val="20"/>
        </w:rPr>
      </w:pPr>
    </w:p>
    <w:p w:rsidR="002527FB" w:rsidRDefault="002527FB" w:rsidP="00506EF0">
      <w:pPr>
        <w:rPr>
          <w:rStyle w:val="IntenseReference"/>
          <w:rFonts w:cs="Arial"/>
          <w:b w:val="0"/>
          <w:bCs w:val="0"/>
          <w:i w:val="0"/>
          <w:smallCaps w:val="0"/>
          <w:color w:val="auto"/>
          <w:spacing w:val="0"/>
          <w:sz w:val="20"/>
          <w:szCs w:val="20"/>
        </w:rPr>
      </w:pPr>
    </w:p>
    <w:p w:rsidR="002527FB" w:rsidRDefault="002527FB" w:rsidP="00506EF0">
      <w:pPr>
        <w:rPr>
          <w:rStyle w:val="IntenseReference"/>
          <w:rFonts w:cs="Arial"/>
          <w:b w:val="0"/>
          <w:bCs w:val="0"/>
          <w:i w:val="0"/>
          <w:smallCaps w:val="0"/>
          <w:color w:val="auto"/>
          <w:spacing w:val="0"/>
          <w:sz w:val="20"/>
          <w:szCs w:val="20"/>
        </w:rPr>
      </w:pPr>
    </w:p>
    <w:p w:rsidR="002527FB" w:rsidRDefault="002527FB" w:rsidP="00506EF0">
      <w:pPr>
        <w:rPr>
          <w:rStyle w:val="IntenseReference"/>
          <w:rFonts w:cs="Arial"/>
          <w:b w:val="0"/>
          <w:bCs w:val="0"/>
          <w:i w:val="0"/>
          <w:smallCaps w:val="0"/>
          <w:color w:val="auto"/>
          <w:spacing w:val="0"/>
          <w:sz w:val="20"/>
          <w:szCs w:val="20"/>
        </w:rPr>
      </w:pPr>
    </w:p>
    <w:p w:rsidR="002527FB" w:rsidRDefault="002527FB" w:rsidP="00506EF0">
      <w:pPr>
        <w:rPr>
          <w:rStyle w:val="IntenseReference"/>
          <w:rFonts w:cs="Arial"/>
          <w:b w:val="0"/>
          <w:bCs w:val="0"/>
          <w:i w:val="0"/>
          <w:smallCaps w:val="0"/>
          <w:color w:val="auto"/>
          <w:spacing w:val="0"/>
          <w:sz w:val="20"/>
          <w:szCs w:val="20"/>
        </w:rPr>
      </w:pPr>
    </w:p>
    <w:p w:rsidR="00CE7B0D" w:rsidRDefault="00CE7B0D" w:rsidP="00506EF0">
      <w:pPr>
        <w:rPr>
          <w:rStyle w:val="IntenseReference"/>
          <w:rFonts w:cs="Arial"/>
          <w:b w:val="0"/>
          <w:bCs w:val="0"/>
          <w:i w:val="0"/>
          <w:smallCaps w:val="0"/>
          <w:color w:val="auto"/>
          <w:spacing w:val="0"/>
          <w:sz w:val="20"/>
          <w:szCs w:val="20"/>
        </w:rPr>
      </w:pPr>
    </w:p>
    <w:p w:rsidR="00CE7B0D" w:rsidRDefault="00CE7B0D" w:rsidP="00506EF0">
      <w:pPr>
        <w:rPr>
          <w:rStyle w:val="IntenseReference"/>
          <w:rFonts w:cs="Arial"/>
          <w:b w:val="0"/>
          <w:bCs w:val="0"/>
          <w:i w:val="0"/>
          <w:smallCaps w:val="0"/>
          <w:color w:val="auto"/>
          <w:spacing w:val="0"/>
          <w:sz w:val="20"/>
          <w:szCs w:val="20"/>
        </w:rPr>
      </w:pPr>
    </w:p>
    <w:p w:rsidR="00CE7B0D" w:rsidRDefault="00CE7B0D" w:rsidP="00506EF0">
      <w:pPr>
        <w:rPr>
          <w:rStyle w:val="IntenseReference"/>
          <w:rFonts w:cs="Arial"/>
          <w:b w:val="0"/>
          <w:bCs w:val="0"/>
          <w:i w:val="0"/>
          <w:smallCaps w:val="0"/>
          <w:color w:val="auto"/>
          <w:spacing w:val="0"/>
          <w:sz w:val="20"/>
          <w:szCs w:val="20"/>
        </w:rPr>
      </w:pPr>
    </w:p>
    <w:p w:rsidR="00CE7B0D" w:rsidRPr="002527FB" w:rsidRDefault="00CE7B0D" w:rsidP="00506EF0">
      <w:pPr>
        <w:rPr>
          <w:rStyle w:val="IntenseReference"/>
          <w:rFonts w:cs="Arial"/>
          <w:b w:val="0"/>
          <w:bCs w:val="0"/>
          <w:i w:val="0"/>
          <w:smallCaps w:val="0"/>
          <w:color w:val="auto"/>
          <w:spacing w:val="0"/>
          <w:szCs w:val="22"/>
        </w:rPr>
      </w:pPr>
    </w:p>
    <w:p w:rsidR="008315FF" w:rsidRPr="002527FB" w:rsidRDefault="008315FF" w:rsidP="00506EF0">
      <w:pPr>
        <w:jc w:val="right"/>
        <w:rPr>
          <w:rStyle w:val="IntenseReference"/>
          <w:rFonts w:cs="Arial"/>
          <w:b w:val="0"/>
          <w:bCs w:val="0"/>
          <w:i w:val="0"/>
          <w:smallCaps w:val="0"/>
          <w:color w:val="auto"/>
          <w:spacing w:val="0"/>
          <w:szCs w:val="22"/>
        </w:rPr>
      </w:pPr>
    </w:p>
    <w:p w:rsidR="008315FF" w:rsidRPr="00506EF0" w:rsidRDefault="00864974" w:rsidP="00506EF0">
      <w:pPr>
        <w:jc w:val="right"/>
        <w:rPr>
          <w:rStyle w:val="IntenseReference"/>
          <w:rFonts w:cs="Arial"/>
          <w:b w:val="0"/>
          <w:bCs w:val="0"/>
          <w:i w:val="0"/>
          <w:smallCaps w:val="0"/>
          <w:color w:val="auto"/>
          <w:spacing w:val="0"/>
          <w:sz w:val="48"/>
          <w:szCs w:val="48"/>
        </w:rPr>
      </w:pPr>
      <w:r>
        <w:rPr>
          <w:rStyle w:val="IntenseReference"/>
          <w:rFonts w:cs="Arial"/>
          <w:b w:val="0"/>
          <w:bCs w:val="0"/>
          <w:i w:val="0"/>
          <w:smallCaps w:val="0"/>
          <w:color w:val="auto"/>
          <w:spacing w:val="0"/>
          <w:sz w:val="48"/>
          <w:szCs w:val="48"/>
        </w:rPr>
        <w:t>First Annual Report</w:t>
      </w:r>
    </w:p>
    <w:p w:rsidR="002527FB" w:rsidRPr="002527FB" w:rsidRDefault="006665F0" w:rsidP="00506EF0">
      <w:pPr>
        <w:jc w:val="right"/>
        <w:rPr>
          <w:rStyle w:val="IntenseReference"/>
          <w:rFonts w:cs="Arial"/>
          <w:b w:val="0"/>
          <w:bCs w:val="0"/>
          <w:i w:val="0"/>
          <w:smallCaps w:val="0"/>
          <w:color w:val="auto"/>
          <w:spacing w:val="0"/>
          <w:szCs w:val="48"/>
        </w:rPr>
      </w:pPr>
      <w:r w:rsidRPr="00745B9B">
        <w:rPr>
          <w:rStyle w:val="IntenseReference"/>
          <w:rFonts w:cs="Arial"/>
          <w:b w:val="0"/>
          <w:bCs w:val="0"/>
          <w:i w:val="0"/>
          <w:smallCaps w:val="0"/>
          <w:color w:val="auto"/>
          <w:spacing w:val="0"/>
          <w:sz w:val="32"/>
          <w:szCs w:val="48"/>
        </w:rPr>
        <w:t xml:space="preserve">March </w:t>
      </w:r>
      <w:r w:rsidR="00B0151C">
        <w:rPr>
          <w:rStyle w:val="IntenseReference"/>
          <w:rFonts w:cs="Arial"/>
          <w:b w:val="0"/>
          <w:bCs w:val="0"/>
          <w:i w:val="0"/>
          <w:smallCaps w:val="0"/>
          <w:color w:val="auto"/>
          <w:spacing w:val="0"/>
          <w:sz w:val="32"/>
          <w:szCs w:val="48"/>
        </w:rPr>
        <w:t>2016</w:t>
      </w:r>
      <w:r w:rsidRPr="00745B9B">
        <w:rPr>
          <w:rStyle w:val="IntenseReference"/>
          <w:rFonts w:cs="Arial"/>
          <w:b w:val="0"/>
          <w:bCs w:val="0"/>
          <w:i w:val="0"/>
          <w:smallCaps w:val="0"/>
          <w:color w:val="auto"/>
          <w:spacing w:val="0"/>
          <w:sz w:val="32"/>
          <w:szCs w:val="48"/>
        </w:rPr>
        <w:t>–</w:t>
      </w:r>
      <w:r w:rsidR="00B0151C">
        <w:rPr>
          <w:rStyle w:val="IntenseReference"/>
          <w:rFonts w:cs="Arial"/>
          <w:b w:val="0"/>
          <w:bCs w:val="0"/>
          <w:i w:val="0"/>
          <w:smallCaps w:val="0"/>
          <w:color w:val="auto"/>
          <w:spacing w:val="0"/>
          <w:sz w:val="32"/>
          <w:szCs w:val="48"/>
        </w:rPr>
        <w:t xml:space="preserve">March </w:t>
      </w:r>
      <w:r w:rsidR="008315FF" w:rsidRPr="00745B9B">
        <w:rPr>
          <w:rStyle w:val="IntenseReference"/>
          <w:rFonts w:cs="Arial"/>
          <w:b w:val="0"/>
          <w:bCs w:val="0"/>
          <w:i w:val="0"/>
          <w:smallCaps w:val="0"/>
          <w:color w:val="auto"/>
          <w:spacing w:val="0"/>
          <w:sz w:val="32"/>
          <w:szCs w:val="48"/>
        </w:rPr>
        <w:t>201</w:t>
      </w:r>
      <w:r w:rsidR="00B0151C">
        <w:rPr>
          <w:rStyle w:val="IntenseReference"/>
          <w:rFonts w:cs="Arial"/>
          <w:b w:val="0"/>
          <w:bCs w:val="0"/>
          <w:i w:val="0"/>
          <w:smallCaps w:val="0"/>
          <w:color w:val="auto"/>
          <w:spacing w:val="0"/>
          <w:sz w:val="32"/>
          <w:szCs w:val="48"/>
        </w:rPr>
        <w:t>7</w:t>
      </w:r>
    </w:p>
    <w:p w:rsidR="009B380C" w:rsidRPr="00774AB3" w:rsidRDefault="009B380C" w:rsidP="00774AB3">
      <w:pPr>
        <w:rPr>
          <w:rStyle w:val="IntenseReference"/>
          <w:rFonts w:cs="Arial"/>
          <w:b w:val="0"/>
          <w:bCs w:val="0"/>
          <w:i w:val="0"/>
          <w:smallCaps w:val="0"/>
          <w:color w:val="auto"/>
          <w:spacing w:val="0"/>
          <w:szCs w:val="22"/>
        </w:rPr>
      </w:pPr>
      <w:r w:rsidRPr="00774AB3">
        <w:rPr>
          <w:rStyle w:val="IntenseReference"/>
          <w:rFonts w:cs="Arial"/>
          <w:b w:val="0"/>
          <w:bCs w:val="0"/>
          <w:i w:val="0"/>
          <w:smallCaps w:val="0"/>
          <w:color w:val="auto"/>
          <w:spacing w:val="0"/>
          <w:szCs w:val="22"/>
        </w:rPr>
        <w:br w:type="page"/>
      </w:r>
    </w:p>
    <w:p w:rsidR="00B0151C" w:rsidRDefault="00B0151C" w:rsidP="00B0151C">
      <w:r w:rsidRPr="00B47076">
        <w:lastRenderedPageBreak/>
        <w:t>Published by the Australian Commission on Safety and Quality in Health Care</w:t>
      </w:r>
      <w:r>
        <w:br/>
      </w:r>
    </w:p>
    <w:p w:rsidR="00B0151C" w:rsidRPr="009A007B" w:rsidRDefault="00B0151C" w:rsidP="00B0151C">
      <w:r>
        <w:t>Level 5, 255 Elizabeth Street, Sydney NSW 200</w:t>
      </w:r>
      <w:r w:rsidR="002C1AAB">
        <w:t>0</w:t>
      </w:r>
    </w:p>
    <w:p w:rsidR="00164D03" w:rsidRDefault="00B0151C" w:rsidP="00B0151C">
      <w:r w:rsidRPr="00B47076">
        <w:t>Phone: (02) 9126 3600</w:t>
      </w:r>
    </w:p>
    <w:p w:rsidR="00B0151C" w:rsidRDefault="00B0151C" w:rsidP="00B0151C">
      <w:r>
        <w:t>Fax: (02) 9126 3613</w:t>
      </w:r>
    </w:p>
    <w:p w:rsidR="00A35BBA" w:rsidRPr="009A007B" w:rsidRDefault="00A35BBA" w:rsidP="00B0151C"/>
    <w:p w:rsidR="00B0151C" w:rsidRPr="00A77349" w:rsidRDefault="00B0151C" w:rsidP="00B0151C">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mail@safetyandquality.gov.au </w:t>
      </w:r>
      <w:r>
        <w:br/>
      </w:r>
      <w:r w:rsidRPr="00B47076">
        <w:t>Website: www.safetyandqu</w:t>
      </w:r>
      <w:r w:rsidRPr="00A77349">
        <w:t>ality.gov.au</w:t>
      </w:r>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B0151C" w:rsidRDefault="00B0151C" w:rsidP="00B0151C"/>
    <w:p w:rsidR="00B0151C" w:rsidRDefault="00B0151C" w:rsidP="00B0151C">
      <w:r w:rsidRPr="00A77349">
        <w:t xml:space="preserve">ISBN: </w:t>
      </w:r>
      <w:r w:rsidR="003E3DC1" w:rsidRPr="003E3DC1">
        <w:t>978-1-925224-93-1</w:t>
      </w:r>
    </w:p>
    <w:p w:rsidR="00B0151C" w:rsidRPr="009A007B" w:rsidRDefault="00B0151C" w:rsidP="00B0151C"/>
    <w:p w:rsidR="00B0151C" w:rsidRPr="009A007B" w:rsidRDefault="00B0151C" w:rsidP="00B0151C">
      <w:r w:rsidRPr="00B47076">
        <w:t xml:space="preserve">© Australian Commission on Safety and Quality in Health Care </w:t>
      </w:r>
      <w:r>
        <w:t>2017</w:t>
      </w:r>
    </w:p>
    <w:p w:rsidR="00B0151C" w:rsidRDefault="00B0151C" w:rsidP="00B0151C"/>
    <w:p w:rsidR="00B0151C" w:rsidRPr="009A007B" w:rsidRDefault="00B0151C" w:rsidP="00B0151C">
      <w:r w:rsidRPr="00B47076">
        <w:t xml:space="preserve">All material and work produced by the Australian Commission on Safety and Quality in Health Care </w:t>
      </w:r>
      <w:r>
        <w:t>is protected by</w:t>
      </w:r>
      <w:r w:rsidRPr="00B47076">
        <w:t xml:space="preserve"> copyright. The Commission reserves the right to set out the terms and conditions for the use of such material. </w:t>
      </w:r>
    </w:p>
    <w:p w:rsidR="00B0151C" w:rsidRDefault="00B0151C" w:rsidP="00B0151C"/>
    <w:p w:rsidR="00B0151C" w:rsidRPr="009A007B" w:rsidRDefault="00B0151C" w:rsidP="00B0151C">
      <w:r w:rsidRPr="00B47076">
        <w:t>As far as practicable, material for which the copyright is owned by a third party will be clearly labelled. The</w:t>
      </w:r>
      <w:r>
        <w:t xml:space="preserve"> </w:t>
      </w:r>
      <w:r w:rsidRPr="00B47076">
        <w:t>Australian Commission on Safety and Quality in Health Care has made all reasonable efforts to ensure that this material has been reproduced in this publication with the full consent of the copyright owners.</w:t>
      </w:r>
    </w:p>
    <w:p w:rsidR="00B0151C" w:rsidRDefault="00B0151C" w:rsidP="00B0151C"/>
    <w:p w:rsidR="00B0151C" w:rsidRDefault="00B0151C" w:rsidP="00B0151C">
      <w:pPr>
        <w:rPr>
          <w:u w:val="single"/>
        </w:rPr>
      </w:pPr>
      <w:r w:rsidRPr="00B47076">
        <w:t xml:space="preserve">With the exception of any material protected by a trademark, any content provided by third parties, and where otherwise noted, all material presented in this publication is </w:t>
      </w:r>
      <w:r w:rsidRPr="00F549D7">
        <w:t>licensed under a </w:t>
      </w:r>
      <w:hyperlink r:id="rId12" w:history="1">
        <w:r w:rsidRPr="00F549D7">
          <w:rPr>
            <w:rStyle w:val="Hyperlink"/>
            <w:rFonts w:cs="Arial"/>
          </w:rPr>
          <w:t>Creative Commons Attribution-NonCommercial-NoDerivatives 4.0 International Licen</w:t>
        </w:r>
        <w:r>
          <w:rPr>
            <w:rStyle w:val="Hyperlink"/>
            <w:rFonts w:cs="Arial"/>
          </w:rPr>
          <w:t>c</w:t>
        </w:r>
        <w:r w:rsidRPr="00F549D7">
          <w:rPr>
            <w:rStyle w:val="Hyperlink"/>
            <w:rFonts w:cs="Arial"/>
          </w:rPr>
          <w:t>e</w:t>
        </w:r>
      </w:hyperlink>
      <w:r w:rsidRPr="00F549D7">
        <w:rPr>
          <w:u w:val="single"/>
        </w:rPr>
        <w:t>.</w:t>
      </w:r>
    </w:p>
    <w:p w:rsidR="00B0151C" w:rsidRPr="00F549D7" w:rsidRDefault="00B0151C" w:rsidP="00B0151C">
      <w:pPr>
        <w:rPr>
          <w:u w:val="single"/>
        </w:rPr>
      </w:pPr>
    </w:p>
    <w:p w:rsidR="00B0151C" w:rsidRPr="009A007B" w:rsidRDefault="00B0151C" w:rsidP="00B0151C">
      <w:r w:rsidRPr="00B47076">
        <w:rPr>
          <w:noProof/>
          <w:lang w:eastAsia="en-AU"/>
        </w:rPr>
        <w:drawing>
          <wp:inline distT="0" distB="0" distL="0" distR="0" wp14:anchorId="1BC0B0EA" wp14:editId="4A4FCBB6">
            <wp:extent cx="840105" cy="297815"/>
            <wp:effectExtent l="0" t="0" r="0" b="6985"/>
            <wp:docPr id="8" name="Picture 8"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rsidR="00B0151C" w:rsidRDefault="00B0151C" w:rsidP="00B0151C"/>
    <w:p w:rsidR="00B0151C" w:rsidRPr="009A007B" w:rsidRDefault="00B0151C" w:rsidP="00B0151C">
      <w:r>
        <w:t>E</w:t>
      </w:r>
      <w:r w:rsidRPr="00B47076">
        <w:t xml:space="preserve">nquiries regarding the licence and any use of this publication are welcome </w:t>
      </w:r>
      <w:r>
        <w:t xml:space="preserve">and can be sent to </w:t>
      </w:r>
      <w:hyperlink r:id="rId14" w:history="1">
        <w:r w:rsidR="00864974" w:rsidRPr="003E276A">
          <w:rPr>
            <w:rStyle w:val="Hyperlink"/>
            <w:rFonts w:cs="Arial"/>
          </w:rPr>
          <w:t>caralert@safetyandquality.gov.au</w:t>
        </w:r>
      </w:hyperlink>
      <w:r w:rsidRPr="00B47076">
        <w:t>.</w:t>
      </w:r>
    </w:p>
    <w:p w:rsidR="00B0151C" w:rsidRDefault="00B0151C" w:rsidP="00B0151C"/>
    <w:p w:rsidR="00B0151C" w:rsidRDefault="00B0151C" w:rsidP="00B0151C">
      <w:r w:rsidRPr="00B47076">
        <w:t xml:space="preserve">The Commission’s preference is that you attribute this publication (and any material sourced from it) using the following citation: </w:t>
      </w:r>
    </w:p>
    <w:p w:rsidR="00DB76B2" w:rsidRPr="009A007B" w:rsidRDefault="00DB76B2" w:rsidP="00B0151C"/>
    <w:p w:rsidR="00164D03" w:rsidRDefault="00B0151C" w:rsidP="00B0151C">
      <w:pPr>
        <w:ind w:left="720"/>
      </w:pPr>
      <w:r w:rsidRPr="00DB76B2">
        <w:t>Australian Commission on Safety a</w:t>
      </w:r>
      <w:r w:rsidR="009079AE">
        <w:t>nd Quality in Health Care. CARAl</w:t>
      </w:r>
      <w:r w:rsidRPr="00DB76B2">
        <w:t xml:space="preserve">ert </w:t>
      </w:r>
      <w:r w:rsidR="00864974">
        <w:t xml:space="preserve">First Annual Report </w:t>
      </w:r>
      <w:r w:rsidRPr="00DB76B2">
        <w:t>March 2016</w:t>
      </w:r>
      <w:r w:rsidR="00DB76B2" w:rsidRPr="00DB76B2">
        <w:t>–March 2017</w:t>
      </w:r>
      <w:r w:rsidRPr="00DB76B2">
        <w:t>. Sydney: ACSQHC</w:t>
      </w:r>
      <w:r w:rsidR="00A35BBA">
        <w:t>;</w:t>
      </w:r>
      <w:r w:rsidR="00A35BBA" w:rsidRPr="00DB76B2">
        <w:t xml:space="preserve"> </w:t>
      </w:r>
      <w:r w:rsidR="00DB76B2" w:rsidRPr="00DB76B2">
        <w:t>2017</w:t>
      </w:r>
    </w:p>
    <w:p w:rsidR="00B0151C" w:rsidRDefault="00B0151C" w:rsidP="00B0151C">
      <w:pPr>
        <w:rPr>
          <w:rStyle w:val="Strong"/>
        </w:rPr>
      </w:pPr>
    </w:p>
    <w:p w:rsidR="00B0151C" w:rsidRPr="009A007B" w:rsidRDefault="00B0151C" w:rsidP="00B0151C">
      <w:r w:rsidRPr="009A007B">
        <w:rPr>
          <w:rStyle w:val="Strong"/>
        </w:rPr>
        <w:t>Disclaimer</w:t>
      </w:r>
    </w:p>
    <w:p w:rsidR="00B0151C" w:rsidRDefault="00B0151C" w:rsidP="00B0151C">
      <w:r w:rsidRPr="009A007B">
        <w:t xml:space="preserve">The content of this document is published in good faith by </w:t>
      </w:r>
      <w:r>
        <w:t xml:space="preserve">the </w:t>
      </w:r>
      <w:r w:rsidRPr="009A007B">
        <w:t>Australian Commission on Safety and Quality in Health Care (the Commission) for information purposes. The document is not intended to provid</w:t>
      </w:r>
      <w:r>
        <w:t>e guidance on particular health</w:t>
      </w:r>
      <w:r w:rsidRPr="009A007B">
        <w:t>care choices. You should contact your health car</w:t>
      </w:r>
      <w:r>
        <w:t>e provider on particular health</w:t>
      </w:r>
      <w:r w:rsidRPr="009A007B">
        <w:t xml:space="preserve">care choices. </w:t>
      </w:r>
      <w:r w:rsidRPr="009A007B">
        <w:br/>
      </w:r>
    </w:p>
    <w:p w:rsidR="00E80978" w:rsidRDefault="00B0151C" w:rsidP="00E80978">
      <w:pPr>
        <w:rPr>
          <w:rFonts w:cs="Arial"/>
          <w:szCs w:val="22"/>
        </w:rPr>
      </w:pPr>
      <w:r w:rsidRPr="009A007B">
        <w:t>The Commission does not accept any legal liability for any injury, loss or damage incurred by the use of, or reliance on, this document.</w:t>
      </w:r>
    </w:p>
    <w:p w:rsidR="00E80978" w:rsidRDefault="00E80978" w:rsidP="00E80978">
      <w:pPr>
        <w:rPr>
          <w:rFonts w:cs="Arial"/>
          <w:szCs w:val="22"/>
        </w:rPr>
      </w:pPr>
    </w:p>
    <w:p w:rsidR="00905389" w:rsidRDefault="00905389">
      <w:pPr>
        <w:rPr>
          <w:rFonts w:cs="Arial"/>
          <w:szCs w:val="22"/>
        </w:rPr>
        <w:sectPr w:rsidR="00905389" w:rsidSect="00905389">
          <w:footerReference w:type="default" r:id="rId15"/>
          <w:pgSz w:w="11906" w:h="16838"/>
          <w:pgMar w:top="1134" w:right="1134" w:bottom="1134" w:left="1134" w:header="709" w:footer="709" w:gutter="0"/>
          <w:cols w:space="708"/>
          <w:titlePg/>
          <w:docGrid w:linePitch="360"/>
        </w:sectPr>
      </w:pPr>
    </w:p>
    <w:p w:rsidR="00506EF0" w:rsidRDefault="00506EF0" w:rsidP="00506EF0">
      <w:pPr>
        <w:rPr>
          <w:rFonts w:cs="Arial"/>
          <w:szCs w:val="22"/>
        </w:rPr>
      </w:pPr>
    </w:p>
    <w:sdt>
      <w:sdtPr>
        <w:rPr>
          <w:rFonts w:ascii="Arial" w:eastAsia="Times New Roman" w:hAnsi="Arial" w:cs="Times New Roman"/>
          <w:color w:val="auto"/>
          <w:sz w:val="22"/>
          <w:szCs w:val="24"/>
          <w:lang w:val="en-AU"/>
        </w:rPr>
        <w:id w:val="-947230124"/>
        <w:docPartObj>
          <w:docPartGallery w:val="Table of Contents"/>
          <w:docPartUnique/>
        </w:docPartObj>
      </w:sdtPr>
      <w:sdtEndPr>
        <w:rPr>
          <w:b/>
          <w:bCs/>
          <w:noProof/>
        </w:rPr>
      </w:sdtEndPr>
      <w:sdtContent>
        <w:p w:rsidR="008C1898" w:rsidRPr="00164D03" w:rsidRDefault="008C1898" w:rsidP="00164D03">
          <w:pPr>
            <w:pStyle w:val="TOCHeading"/>
            <w:spacing w:after="240" w:line="240" w:lineRule="auto"/>
            <w:rPr>
              <w:rFonts w:ascii="Arial" w:hAnsi="Arial" w:cs="Arial"/>
              <w:b/>
            </w:rPr>
          </w:pPr>
          <w:r w:rsidRPr="00164D03">
            <w:rPr>
              <w:rFonts w:ascii="Arial" w:hAnsi="Arial" w:cs="Arial"/>
              <w:b/>
            </w:rPr>
            <w:t>Table of Contents</w:t>
          </w:r>
        </w:p>
        <w:p w:rsidR="00AE718B" w:rsidRDefault="008C1898">
          <w:pPr>
            <w:pStyle w:val="TOC1"/>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486425613" w:history="1">
            <w:r w:rsidR="00AE718B" w:rsidRPr="006413B3">
              <w:rPr>
                <w:rStyle w:val="Hyperlink"/>
                <w:noProof/>
              </w:rPr>
              <w:t>Summary</w:t>
            </w:r>
            <w:r w:rsidR="00AE718B">
              <w:rPr>
                <w:noProof/>
                <w:webHidden/>
              </w:rPr>
              <w:tab/>
            </w:r>
            <w:r w:rsidR="00AE718B">
              <w:rPr>
                <w:noProof/>
                <w:webHidden/>
              </w:rPr>
              <w:fldChar w:fldCharType="begin"/>
            </w:r>
            <w:r w:rsidR="00AE718B">
              <w:rPr>
                <w:noProof/>
                <w:webHidden/>
              </w:rPr>
              <w:instrText xml:space="preserve"> PAGEREF _Toc486425613 \h </w:instrText>
            </w:r>
            <w:r w:rsidR="00AE718B">
              <w:rPr>
                <w:noProof/>
                <w:webHidden/>
              </w:rPr>
            </w:r>
            <w:r w:rsidR="00AE718B">
              <w:rPr>
                <w:noProof/>
                <w:webHidden/>
              </w:rPr>
              <w:fldChar w:fldCharType="separate"/>
            </w:r>
            <w:r w:rsidR="007A7F88">
              <w:rPr>
                <w:noProof/>
                <w:webHidden/>
              </w:rPr>
              <w:t>2</w:t>
            </w:r>
            <w:r w:rsidR="00AE718B">
              <w:rPr>
                <w:noProof/>
                <w:webHidden/>
              </w:rPr>
              <w:fldChar w:fldCharType="end"/>
            </w:r>
          </w:hyperlink>
        </w:p>
        <w:p w:rsidR="00AE718B" w:rsidRDefault="00270E2D">
          <w:pPr>
            <w:pStyle w:val="TOC1"/>
            <w:rPr>
              <w:rFonts w:asciiTheme="minorHAnsi" w:eastAsiaTheme="minorEastAsia" w:hAnsiTheme="minorHAnsi" w:cstheme="minorBidi"/>
              <w:noProof/>
              <w:szCs w:val="22"/>
              <w:lang w:eastAsia="en-AU"/>
            </w:rPr>
          </w:pPr>
          <w:hyperlink w:anchor="_Toc486425614" w:history="1">
            <w:r w:rsidR="00AE718B" w:rsidRPr="006413B3">
              <w:rPr>
                <w:rStyle w:val="Hyperlink"/>
                <w:noProof/>
              </w:rPr>
              <w:t>Introduction</w:t>
            </w:r>
            <w:r w:rsidR="00AE718B">
              <w:rPr>
                <w:noProof/>
                <w:webHidden/>
              </w:rPr>
              <w:tab/>
            </w:r>
            <w:r w:rsidR="00AE718B">
              <w:rPr>
                <w:noProof/>
                <w:webHidden/>
              </w:rPr>
              <w:fldChar w:fldCharType="begin"/>
            </w:r>
            <w:r w:rsidR="00AE718B">
              <w:rPr>
                <w:noProof/>
                <w:webHidden/>
              </w:rPr>
              <w:instrText xml:space="preserve"> PAGEREF _Toc486425614 \h </w:instrText>
            </w:r>
            <w:r w:rsidR="00AE718B">
              <w:rPr>
                <w:noProof/>
                <w:webHidden/>
              </w:rPr>
            </w:r>
            <w:r w:rsidR="00AE718B">
              <w:rPr>
                <w:noProof/>
                <w:webHidden/>
              </w:rPr>
              <w:fldChar w:fldCharType="separate"/>
            </w:r>
            <w:r w:rsidR="007A7F88">
              <w:rPr>
                <w:noProof/>
                <w:webHidden/>
              </w:rPr>
              <w:t>3</w:t>
            </w:r>
            <w:r w:rsidR="00AE718B">
              <w:rPr>
                <w:noProof/>
                <w:webHidden/>
              </w:rPr>
              <w:fldChar w:fldCharType="end"/>
            </w:r>
          </w:hyperlink>
        </w:p>
        <w:p w:rsidR="00AE718B" w:rsidRDefault="00270E2D">
          <w:pPr>
            <w:pStyle w:val="TOC1"/>
            <w:rPr>
              <w:rFonts w:asciiTheme="minorHAnsi" w:eastAsiaTheme="minorEastAsia" w:hAnsiTheme="minorHAnsi" w:cstheme="minorBidi"/>
              <w:noProof/>
              <w:szCs w:val="22"/>
              <w:lang w:eastAsia="en-AU"/>
            </w:rPr>
          </w:pPr>
          <w:hyperlink w:anchor="_Toc486425615" w:history="1">
            <w:r w:rsidR="00AE718B" w:rsidRPr="006413B3">
              <w:rPr>
                <w:rStyle w:val="Hyperlink"/>
                <w:noProof/>
              </w:rPr>
              <w:t>Results</w:t>
            </w:r>
            <w:r w:rsidR="00AE718B">
              <w:rPr>
                <w:noProof/>
                <w:webHidden/>
              </w:rPr>
              <w:tab/>
            </w:r>
            <w:r w:rsidR="00AE718B">
              <w:rPr>
                <w:noProof/>
                <w:webHidden/>
              </w:rPr>
              <w:fldChar w:fldCharType="begin"/>
            </w:r>
            <w:r w:rsidR="00AE718B">
              <w:rPr>
                <w:noProof/>
                <w:webHidden/>
              </w:rPr>
              <w:instrText xml:space="preserve"> PAGEREF _Toc486425615 \h </w:instrText>
            </w:r>
            <w:r w:rsidR="00AE718B">
              <w:rPr>
                <w:noProof/>
                <w:webHidden/>
              </w:rPr>
            </w:r>
            <w:r w:rsidR="00AE718B">
              <w:rPr>
                <w:noProof/>
                <w:webHidden/>
              </w:rPr>
              <w:fldChar w:fldCharType="separate"/>
            </w:r>
            <w:r w:rsidR="007A7F88">
              <w:rPr>
                <w:noProof/>
                <w:webHidden/>
              </w:rPr>
              <w:t>4</w:t>
            </w:r>
            <w:r w:rsidR="00AE718B">
              <w:rPr>
                <w:noProof/>
                <w:webHidden/>
              </w:rPr>
              <w:fldChar w:fldCharType="end"/>
            </w:r>
          </w:hyperlink>
        </w:p>
        <w:p w:rsidR="00AE718B" w:rsidRDefault="00270E2D">
          <w:pPr>
            <w:pStyle w:val="TOC1"/>
            <w:rPr>
              <w:rFonts w:asciiTheme="minorHAnsi" w:eastAsiaTheme="minorEastAsia" w:hAnsiTheme="minorHAnsi" w:cstheme="minorBidi"/>
              <w:noProof/>
              <w:szCs w:val="22"/>
              <w:lang w:eastAsia="en-AU"/>
            </w:rPr>
          </w:pPr>
          <w:hyperlink w:anchor="_Toc486425616" w:history="1">
            <w:r w:rsidR="00AE718B" w:rsidRPr="006413B3">
              <w:rPr>
                <w:rStyle w:val="Hyperlink"/>
                <w:rFonts w:cs="Arial"/>
                <w:b/>
                <w:noProof/>
              </w:rPr>
              <w:t>Critical antimicrobial resistances reported by species and month</w:t>
            </w:r>
            <w:r w:rsidR="00AE718B">
              <w:rPr>
                <w:noProof/>
                <w:webHidden/>
              </w:rPr>
              <w:tab/>
            </w:r>
            <w:r w:rsidR="00AE718B">
              <w:rPr>
                <w:noProof/>
                <w:webHidden/>
              </w:rPr>
              <w:fldChar w:fldCharType="begin"/>
            </w:r>
            <w:r w:rsidR="00AE718B">
              <w:rPr>
                <w:noProof/>
                <w:webHidden/>
              </w:rPr>
              <w:instrText xml:space="preserve"> PAGEREF _Toc486425616 \h </w:instrText>
            </w:r>
            <w:r w:rsidR="00AE718B">
              <w:rPr>
                <w:noProof/>
                <w:webHidden/>
              </w:rPr>
            </w:r>
            <w:r w:rsidR="00AE718B">
              <w:rPr>
                <w:noProof/>
                <w:webHidden/>
              </w:rPr>
              <w:fldChar w:fldCharType="separate"/>
            </w:r>
            <w:r w:rsidR="007A7F88">
              <w:rPr>
                <w:noProof/>
                <w:webHidden/>
              </w:rPr>
              <w:t>4</w:t>
            </w:r>
            <w:r w:rsidR="00AE718B">
              <w:rPr>
                <w:noProof/>
                <w:webHidden/>
              </w:rPr>
              <w:fldChar w:fldCharType="end"/>
            </w:r>
          </w:hyperlink>
        </w:p>
        <w:p w:rsidR="00AE718B" w:rsidRDefault="00270E2D">
          <w:pPr>
            <w:pStyle w:val="TOC1"/>
            <w:rPr>
              <w:rFonts w:asciiTheme="minorHAnsi" w:eastAsiaTheme="minorEastAsia" w:hAnsiTheme="minorHAnsi" w:cstheme="minorBidi"/>
              <w:noProof/>
              <w:szCs w:val="22"/>
              <w:lang w:eastAsia="en-AU"/>
            </w:rPr>
          </w:pPr>
          <w:hyperlink w:anchor="_Toc486425617" w:history="1">
            <w:r w:rsidR="00AE718B" w:rsidRPr="006413B3">
              <w:rPr>
                <w:rStyle w:val="Hyperlink"/>
                <w:noProof/>
              </w:rPr>
              <w:t>Critical antimicrobial resistances by state and territory</w:t>
            </w:r>
            <w:r w:rsidR="00AE718B">
              <w:rPr>
                <w:noProof/>
                <w:webHidden/>
              </w:rPr>
              <w:tab/>
            </w:r>
            <w:r w:rsidR="00AE718B">
              <w:rPr>
                <w:noProof/>
                <w:webHidden/>
              </w:rPr>
              <w:fldChar w:fldCharType="begin"/>
            </w:r>
            <w:r w:rsidR="00AE718B">
              <w:rPr>
                <w:noProof/>
                <w:webHidden/>
              </w:rPr>
              <w:instrText xml:space="preserve"> PAGEREF _Toc486425617 \h </w:instrText>
            </w:r>
            <w:r w:rsidR="00AE718B">
              <w:rPr>
                <w:noProof/>
                <w:webHidden/>
              </w:rPr>
            </w:r>
            <w:r w:rsidR="00AE718B">
              <w:rPr>
                <w:noProof/>
                <w:webHidden/>
              </w:rPr>
              <w:fldChar w:fldCharType="separate"/>
            </w:r>
            <w:r w:rsidR="007A7F88">
              <w:rPr>
                <w:noProof/>
                <w:webHidden/>
              </w:rPr>
              <w:t>6</w:t>
            </w:r>
            <w:r w:rsidR="00AE718B">
              <w:rPr>
                <w:noProof/>
                <w:webHidden/>
              </w:rPr>
              <w:fldChar w:fldCharType="end"/>
            </w:r>
          </w:hyperlink>
        </w:p>
        <w:p w:rsidR="00AE718B" w:rsidRDefault="00270E2D">
          <w:pPr>
            <w:pStyle w:val="TOC2"/>
            <w:tabs>
              <w:tab w:val="right" w:leader="dot" w:pos="9628"/>
            </w:tabs>
            <w:rPr>
              <w:rFonts w:asciiTheme="minorHAnsi" w:eastAsiaTheme="minorEastAsia" w:hAnsiTheme="minorHAnsi" w:cstheme="minorBidi"/>
              <w:noProof/>
              <w:szCs w:val="22"/>
              <w:lang w:eastAsia="en-AU"/>
            </w:rPr>
          </w:pPr>
          <w:hyperlink w:anchor="_Toc486425618" w:history="1">
            <w:r w:rsidR="00AE718B" w:rsidRPr="006413B3">
              <w:rPr>
                <w:rStyle w:val="Hyperlink"/>
                <w:noProof/>
              </w:rPr>
              <w:t>Critical antimicrobial resistances by age group</w:t>
            </w:r>
            <w:r w:rsidR="00AE718B">
              <w:rPr>
                <w:noProof/>
                <w:webHidden/>
              </w:rPr>
              <w:tab/>
            </w:r>
            <w:r w:rsidR="00AE718B">
              <w:rPr>
                <w:noProof/>
                <w:webHidden/>
              </w:rPr>
              <w:fldChar w:fldCharType="begin"/>
            </w:r>
            <w:r w:rsidR="00AE718B">
              <w:rPr>
                <w:noProof/>
                <w:webHidden/>
              </w:rPr>
              <w:instrText xml:space="preserve"> PAGEREF _Toc486425618 \h </w:instrText>
            </w:r>
            <w:r w:rsidR="00AE718B">
              <w:rPr>
                <w:noProof/>
                <w:webHidden/>
              </w:rPr>
            </w:r>
            <w:r w:rsidR="00AE718B">
              <w:rPr>
                <w:noProof/>
                <w:webHidden/>
              </w:rPr>
              <w:fldChar w:fldCharType="separate"/>
            </w:r>
            <w:r w:rsidR="007A7F88">
              <w:rPr>
                <w:noProof/>
                <w:webHidden/>
              </w:rPr>
              <w:t>7</w:t>
            </w:r>
            <w:r w:rsidR="00AE718B">
              <w:rPr>
                <w:noProof/>
                <w:webHidden/>
              </w:rPr>
              <w:fldChar w:fldCharType="end"/>
            </w:r>
          </w:hyperlink>
        </w:p>
        <w:p w:rsidR="00AE718B" w:rsidRDefault="00270E2D">
          <w:pPr>
            <w:pStyle w:val="TOC2"/>
            <w:tabs>
              <w:tab w:val="right" w:leader="dot" w:pos="9628"/>
            </w:tabs>
            <w:rPr>
              <w:rFonts w:asciiTheme="minorHAnsi" w:eastAsiaTheme="minorEastAsia" w:hAnsiTheme="minorHAnsi" w:cstheme="minorBidi"/>
              <w:noProof/>
              <w:szCs w:val="22"/>
              <w:lang w:eastAsia="en-AU"/>
            </w:rPr>
          </w:pPr>
          <w:hyperlink w:anchor="_Toc486425619" w:history="1">
            <w:r w:rsidR="00AE718B" w:rsidRPr="006413B3">
              <w:rPr>
                <w:rStyle w:val="Hyperlink"/>
                <w:noProof/>
              </w:rPr>
              <w:t>Critical antimicrobial resistances by specimen type</w:t>
            </w:r>
            <w:r w:rsidR="00AE718B">
              <w:rPr>
                <w:noProof/>
                <w:webHidden/>
              </w:rPr>
              <w:tab/>
            </w:r>
            <w:r w:rsidR="00AE718B">
              <w:rPr>
                <w:noProof/>
                <w:webHidden/>
              </w:rPr>
              <w:fldChar w:fldCharType="begin"/>
            </w:r>
            <w:r w:rsidR="00AE718B">
              <w:rPr>
                <w:noProof/>
                <w:webHidden/>
              </w:rPr>
              <w:instrText xml:space="preserve"> PAGEREF _Toc486425619 \h </w:instrText>
            </w:r>
            <w:r w:rsidR="00AE718B">
              <w:rPr>
                <w:noProof/>
                <w:webHidden/>
              </w:rPr>
            </w:r>
            <w:r w:rsidR="00AE718B">
              <w:rPr>
                <w:noProof/>
                <w:webHidden/>
              </w:rPr>
              <w:fldChar w:fldCharType="separate"/>
            </w:r>
            <w:r w:rsidR="007A7F88">
              <w:rPr>
                <w:noProof/>
                <w:webHidden/>
              </w:rPr>
              <w:t>9</w:t>
            </w:r>
            <w:r w:rsidR="00AE718B">
              <w:rPr>
                <w:noProof/>
                <w:webHidden/>
              </w:rPr>
              <w:fldChar w:fldCharType="end"/>
            </w:r>
          </w:hyperlink>
        </w:p>
        <w:p w:rsidR="00AE718B" w:rsidRDefault="00270E2D">
          <w:pPr>
            <w:pStyle w:val="TOC2"/>
            <w:tabs>
              <w:tab w:val="right" w:leader="dot" w:pos="9628"/>
            </w:tabs>
            <w:rPr>
              <w:rFonts w:asciiTheme="minorHAnsi" w:eastAsiaTheme="minorEastAsia" w:hAnsiTheme="minorHAnsi" w:cstheme="minorBidi"/>
              <w:noProof/>
              <w:szCs w:val="22"/>
              <w:lang w:eastAsia="en-AU"/>
            </w:rPr>
          </w:pPr>
          <w:hyperlink w:anchor="_Toc486425620" w:history="1">
            <w:r w:rsidR="00AE718B" w:rsidRPr="006413B3">
              <w:rPr>
                <w:rStyle w:val="Hyperlink"/>
                <w:noProof/>
              </w:rPr>
              <w:t>Critical antimicrobial resistances by facility type</w:t>
            </w:r>
            <w:r w:rsidR="00AE718B">
              <w:rPr>
                <w:noProof/>
                <w:webHidden/>
              </w:rPr>
              <w:tab/>
            </w:r>
            <w:r w:rsidR="00AE718B">
              <w:rPr>
                <w:noProof/>
                <w:webHidden/>
              </w:rPr>
              <w:fldChar w:fldCharType="begin"/>
            </w:r>
            <w:r w:rsidR="00AE718B">
              <w:rPr>
                <w:noProof/>
                <w:webHidden/>
              </w:rPr>
              <w:instrText xml:space="preserve"> PAGEREF _Toc486425620 \h </w:instrText>
            </w:r>
            <w:r w:rsidR="00AE718B">
              <w:rPr>
                <w:noProof/>
                <w:webHidden/>
              </w:rPr>
            </w:r>
            <w:r w:rsidR="00AE718B">
              <w:rPr>
                <w:noProof/>
                <w:webHidden/>
              </w:rPr>
              <w:fldChar w:fldCharType="separate"/>
            </w:r>
            <w:r w:rsidR="007A7F88">
              <w:rPr>
                <w:noProof/>
                <w:webHidden/>
              </w:rPr>
              <w:t>10</w:t>
            </w:r>
            <w:r w:rsidR="00AE718B">
              <w:rPr>
                <w:noProof/>
                <w:webHidden/>
              </w:rPr>
              <w:fldChar w:fldCharType="end"/>
            </w:r>
          </w:hyperlink>
        </w:p>
        <w:p w:rsidR="00AE718B" w:rsidRDefault="00270E2D">
          <w:pPr>
            <w:pStyle w:val="TOC2"/>
            <w:tabs>
              <w:tab w:val="right" w:leader="dot" w:pos="9628"/>
            </w:tabs>
            <w:rPr>
              <w:rFonts w:asciiTheme="minorHAnsi" w:eastAsiaTheme="minorEastAsia" w:hAnsiTheme="minorHAnsi" w:cstheme="minorBidi"/>
              <w:noProof/>
              <w:szCs w:val="22"/>
              <w:lang w:eastAsia="en-AU"/>
            </w:rPr>
          </w:pPr>
          <w:hyperlink w:anchor="_Toc486425621" w:history="1">
            <w:r w:rsidR="00AE718B" w:rsidRPr="006413B3">
              <w:rPr>
                <w:rStyle w:val="Hyperlink"/>
                <w:noProof/>
              </w:rPr>
              <w:t>Carbapenemase-producing Enterobacteriaceae type by state and territory</w:t>
            </w:r>
            <w:r w:rsidR="00AE718B">
              <w:rPr>
                <w:noProof/>
                <w:webHidden/>
              </w:rPr>
              <w:tab/>
            </w:r>
            <w:r w:rsidR="00AE718B">
              <w:rPr>
                <w:noProof/>
                <w:webHidden/>
              </w:rPr>
              <w:fldChar w:fldCharType="begin"/>
            </w:r>
            <w:r w:rsidR="00AE718B">
              <w:rPr>
                <w:noProof/>
                <w:webHidden/>
              </w:rPr>
              <w:instrText xml:space="preserve"> PAGEREF _Toc486425621 \h </w:instrText>
            </w:r>
            <w:r w:rsidR="00AE718B">
              <w:rPr>
                <w:noProof/>
                <w:webHidden/>
              </w:rPr>
            </w:r>
            <w:r w:rsidR="00AE718B">
              <w:rPr>
                <w:noProof/>
                <w:webHidden/>
              </w:rPr>
              <w:fldChar w:fldCharType="separate"/>
            </w:r>
            <w:r w:rsidR="007A7F88">
              <w:rPr>
                <w:noProof/>
                <w:webHidden/>
              </w:rPr>
              <w:t>10</w:t>
            </w:r>
            <w:r w:rsidR="00AE718B">
              <w:rPr>
                <w:noProof/>
                <w:webHidden/>
              </w:rPr>
              <w:fldChar w:fldCharType="end"/>
            </w:r>
          </w:hyperlink>
        </w:p>
        <w:p w:rsidR="00AE718B" w:rsidRDefault="00270E2D">
          <w:pPr>
            <w:pStyle w:val="TOC2"/>
            <w:tabs>
              <w:tab w:val="right" w:leader="dot" w:pos="9628"/>
            </w:tabs>
            <w:rPr>
              <w:rFonts w:asciiTheme="minorHAnsi" w:eastAsiaTheme="minorEastAsia" w:hAnsiTheme="minorHAnsi" w:cstheme="minorBidi"/>
              <w:noProof/>
              <w:szCs w:val="22"/>
              <w:lang w:eastAsia="en-AU"/>
            </w:rPr>
          </w:pPr>
          <w:hyperlink w:anchor="_Toc486425622" w:history="1">
            <w:r w:rsidR="00AE718B" w:rsidRPr="006413B3">
              <w:rPr>
                <w:rStyle w:val="Hyperlink"/>
                <w:noProof/>
              </w:rPr>
              <w:t>Organism by carbapenemase-producing Enterobacteriaceae type</w:t>
            </w:r>
            <w:r w:rsidR="00AE718B">
              <w:rPr>
                <w:noProof/>
                <w:webHidden/>
              </w:rPr>
              <w:tab/>
            </w:r>
            <w:r w:rsidR="00AE718B">
              <w:rPr>
                <w:noProof/>
                <w:webHidden/>
              </w:rPr>
              <w:fldChar w:fldCharType="begin"/>
            </w:r>
            <w:r w:rsidR="00AE718B">
              <w:rPr>
                <w:noProof/>
                <w:webHidden/>
              </w:rPr>
              <w:instrText xml:space="preserve"> PAGEREF _Toc486425622 \h </w:instrText>
            </w:r>
            <w:r w:rsidR="00AE718B">
              <w:rPr>
                <w:noProof/>
                <w:webHidden/>
              </w:rPr>
            </w:r>
            <w:r w:rsidR="00AE718B">
              <w:rPr>
                <w:noProof/>
                <w:webHidden/>
              </w:rPr>
              <w:fldChar w:fldCharType="separate"/>
            </w:r>
            <w:r w:rsidR="007A7F88">
              <w:rPr>
                <w:noProof/>
                <w:webHidden/>
              </w:rPr>
              <w:t>12</w:t>
            </w:r>
            <w:r w:rsidR="00AE718B">
              <w:rPr>
                <w:noProof/>
                <w:webHidden/>
              </w:rPr>
              <w:fldChar w:fldCharType="end"/>
            </w:r>
          </w:hyperlink>
        </w:p>
        <w:p w:rsidR="00AE718B" w:rsidRDefault="00270E2D">
          <w:pPr>
            <w:pStyle w:val="TOC2"/>
            <w:tabs>
              <w:tab w:val="right" w:leader="dot" w:pos="9628"/>
            </w:tabs>
            <w:rPr>
              <w:rFonts w:asciiTheme="minorHAnsi" w:eastAsiaTheme="minorEastAsia" w:hAnsiTheme="minorHAnsi" w:cstheme="minorBidi"/>
              <w:noProof/>
              <w:szCs w:val="22"/>
              <w:lang w:eastAsia="en-AU"/>
            </w:rPr>
          </w:pPr>
          <w:hyperlink w:anchor="_Toc486425623" w:history="1">
            <w:r w:rsidR="00AE718B" w:rsidRPr="006413B3">
              <w:rPr>
                <w:rStyle w:val="Hyperlink"/>
                <w:noProof/>
              </w:rPr>
              <w:t>Other Critical Antimicrobial Resistance types</w:t>
            </w:r>
            <w:r w:rsidR="00AE718B">
              <w:rPr>
                <w:noProof/>
                <w:webHidden/>
              </w:rPr>
              <w:tab/>
            </w:r>
            <w:r w:rsidR="00AE718B">
              <w:rPr>
                <w:noProof/>
                <w:webHidden/>
              </w:rPr>
              <w:fldChar w:fldCharType="begin"/>
            </w:r>
            <w:r w:rsidR="00AE718B">
              <w:rPr>
                <w:noProof/>
                <w:webHidden/>
              </w:rPr>
              <w:instrText xml:space="preserve"> PAGEREF _Toc486425623 \h </w:instrText>
            </w:r>
            <w:r w:rsidR="00AE718B">
              <w:rPr>
                <w:noProof/>
                <w:webHidden/>
              </w:rPr>
            </w:r>
            <w:r w:rsidR="00AE718B">
              <w:rPr>
                <w:noProof/>
                <w:webHidden/>
              </w:rPr>
              <w:fldChar w:fldCharType="separate"/>
            </w:r>
            <w:r w:rsidR="007A7F88">
              <w:rPr>
                <w:noProof/>
                <w:webHidden/>
              </w:rPr>
              <w:t>13</w:t>
            </w:r>
            <w:r w:rsidR="00AE718B">
              <w:rPr>
                <w:noProof/>
                <w:webHidden/>
              </w:rPr>
              <w:fldChar w:fldCharType="end"/>
            </w:r>
          </w:hyperlink>
        </w:p>
        <w:p w:rsidR="00AE718B" w:rsidRDefault="00270E2D">
          <w:pPr>
            <w:pStyle w:val="TOC1"/>
            <w:rPr>
              <w:rFonts w:asciiTheme="minorHAnsi" w:eastAsiaTheme="minorEastAsia" w:hAnsiTheme="minorHAnsi" w:cstheme="minorBidi"/>
              <w:noProof/>
              <w:szCs w:val="22"/>
              <w:lang w:eastAsia="en-AU"/>
            </w:rPr>
          </w:pPr>
          <w:hyperlink w:anchor="_Toc486425624" w:history="1">
            <w:r w:rsidR="00AE718B" w:rsidRPr="006413B3">
              <w:rPr>
                <w:rStyle w:val="Hyperlink"/>
                <w:noProof/>
              </w:rPr>
              <w:t>Conclusion</w:t>
            </w:r>
            <w:r w:rsidR="00AE718B">
              <w:rPr>
                <w:noProof/>
                <w:webHidden/>
              </w:rPr>
              <w:tab/>
            </w:r>
            <w:r w:rsidR="00AE718B">
              <w:rPr>
                <w:noProof/>
                <w:webHidden/>
              </w:rPr>
              <w:fldChar w:fldCharType="begin"/>
            </w:r>
            <w:r w:rsidR="00AE718B">
              <w:rPr>
                <w:noProof/>
                <w:webHidden/>
              </w:rPr>
              <w:instrText xml:space="preserve"> PAGEREF _Toc486425624 \h </w:instrText>
            </w:r>
            <w:r w:rsidR="00AE718B">
              <w:rPr>
                <w:noProof/>
                <w:webHidden/>
              </w:rPr>
            </w:r>
            <w:r w:rsidR="00AE718B">
              <w:rPr>
                <w:noProof/>
                <w:webHidden/>
              </w:rPr>
              <w:fldChar w:fldCharType="separate"/>
            </w:r>
            <w:r w:rsidR="007A7F88">
              <w:rPr>
                <w:noProof/>
                <w:webHidden/>
              </w:rPr>
              <w:t>14</w:t>
            </w:r>
            <w:r w:rsidR="00AE718B">
              <w:rPr>
                <w:noProof/>
                <w:webHidden/>
              </w:rPr>
              <w:fldChar w:fldCharType="end"/>
            </w:r>
          </w:hyperlink>
        </w:p>
        <w:p w:rsidR="00AE718B" w:rsidRDefault="00270E2D">
          <w:pPr>
            <w:pStyle w:val="TOC1"/>
            <w:rPr>
              <w:rFonts w:asciiTheme="minorHAnsi" w:eastAsiaTheme="minorEastAsia" w:hAnsiTheme="minorHAnsi" w:cstheme="minorBidi"/>
              <w:noProof/>
              <w:szCs w:val="22"/>
              <w:lang w:eastAsia="en-AU"/>
            </w:rPr>
          </w:pPr>
          <w:hyperlink w:anchor="_Toc486425625" w:history="1">
            <w:r w:rsidR="00AE718B" w:rsidRPr="006413B3">
              <w:rPr>
                <w:rStyle w:val="Hyperlink"/>
                <w:noProof/>
              </w:rPr>
              <w:t>Glossary of Terms and Abbreviations</w:t>
            </w:r>
            <w:r w:rsidR="00AE718B">
              <w:rPr>
                <w:noProof/>
                <w:webHidden/>
              </w:rPr>
              <w:tab/>
            </w:r>
            <w:r w:rsidR="00AE718B">
              <w:rPr>
                <w:noProof/>
                <w:webHidden/>
              </w:rPr>
              <w:fldChar w:fldCharType="begin"/>
            </w:r>
            <w:r w:rsidR="00AE718B">
              <w:rPr>
                <w:noProof/>
                <w:webHidden/>
              </w:rPr>
              <w:instrText xml:space="preserve"> PAGEREF _Toc486425625 \h </w:instrText>
            </w:r>
            <w:r w:rsidR="00AE718B">
              <w:rPr>
                <w:noProof/>
                <w:webHidden/>
              </w:rPr>
            </w:r>
            <w:r w:rsidR="00AE718B">
              <w:rPr>
                <w:noProof/>
                <w:webHidden/>
              </w:rPr>
              <w:fldChar w:fldCharType="separate"/>
            </w:r>
            <w:r w:rsidR="007A7F88">
              <w:rPr>
                <w:noProof/>
                <w:webHidden/>
              </w:rPr>
              <w:t>15</w:t>
            </w:r>
            <w:r w:rsidR="00AE718B">
              <w:rPr>
                <w:noProof/>
                <w:webHidden/>
              </w:rPr>
              <w:fldChar w:fldCharType="end"/>
            </w:r>
          </w:hyperlink>
        </w:p>
        <w:p w:rsidR="008C1898" w:rsidRDefault="008C1898">
          <w:r>
            <w:rPr>
              <w:b/>
              <w:bCs/>
              <w:noProof/>
            </w:rPr>
            <w:fldChar w:fldCharType="end"/>
          </w:r>
        </w:p>
      </w:sdtContent>
    </w:sdt>
    <w:p w:rsidR="008C1898" w:rsidRDefault="008C1898" w:rsidP="00506EF0">
      <w:pPr>
        <w:rPr>
          <w:rFonts w:cs="Arial"/>
          <w:szCs w:val="22"/>
        </w:rPr>
      </w:pPr>
    </w:p>
    <w:p w:rsidR="008C1898" w:rsidRDefault="008C1898" w:rsidP="008C1898"/>
    <w:p w:rsidR="008C1898" w:rsidRDefault="008C1898">
      <w:pPr>
        <w:rPr>
          <w:rFonts w:cs="Arial"/>
          <w:szCs w:val="22"/>
        </w:rPr>
      </w:pPr>
      <w:r>
        <w:rPr>
          <w:rFonts w:cs="Arial"/>
          <w:szCs w:val="22"/>
        </w:rPr>
        <w:br w:type="page"/>
      </w:r>
    </w:p>
    <w:p w:rsidR="004B1470" w:rsidRPr="00F46E9D" w:rsidRDefault="00EB4A15" w:rsidP="00164D03">
      <w:pPr>
        <w:pStyle w:val="Heading1"/>
        <w:spacing w:after="240"/>
      </w:pPr>
      <w:bookmarkStart w:id="1" w:name="_Toc486425613"/>
      <w:r w:rsidRPr="00F46E9D">
        <w:rPr>
          <w:color w:val="AA610D" w:themeColor="accent1" w:themeShade="BF"/>
          <w:sz w:val="32"/>
        </w:rPr>
        <w:lastRenderedPageBreak/>
        <w:t>Summar</w:t>
      </w:r>
      <w:r w:rsidR="00232377" w:rsidRPr="00F46E9D">
        <w:rPr>
          <w:color w:val="AA610D" w:themeColor="accent1" w:themeShade="BF"/>
          <w:sz w:val="32"/>
        </w:rPr>
        <w:t>y</w:t>
      </w:r>
      <w:bookmarkEnd w:id="1"/>
    </w:p>
    <w:p w:rsidR="009438EF" w:rsidRDefault="00864974" w:rsidP="00890030">
      <w:pPr>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The National Alert System for Critical Antimicrobial Resistances (</w:t>
      </w:r>
      <w:r w:rsidR="006355E8">
        <w:rPr>
          <w:rStyle w:val="IntenseReference"/>
          <w:rFonts w:cs="Arial"/>
          <w:b w:val="0"/>
          <w:bCs w:val="0"/>
          <w:i w:val="0"/>
          <w:smallCaps w:val="0"/>
          <w:color w:val="auto"/>
          <w:spacing w:val="0"/>
          <w:szCs w:val="22"/>
        </w:rPr>
        <w:t>CARAlert</w:t>
      </w:r>
      <w:r>
        <w:rPr>
          <w:rStyle w:val="IntenseReference"/>
          <w:rFonts w:cs="Arial"/>
          <w:b w:val="0"/>
          <w:bCs w:val="0"/>
          <w:i w:val="0"/>
          <w:smallCaps w:val="0"/>
          <w:color w:val="auto"/>
          <w:spacing w:val="0"/>
          <w:szCs w:val="22"/>
        </w:rPr>
        <w:t>)</w:t>
      </w:r>
      <w:r w:rsidR="006355E8">
        <w:rPr>
          <w:rStyle w:val="IntenseReference"/>
          <w:rFonts w:cs="Arial"/>
          <w:b w:val="0"/>
          <w:bCs w:val="0"/>
          <w:i w:val="0"/>
          <w:smallCaps w:val="0"/>
          <w:color w:val="auto"/>
          <w:spacing w:val="0"/>
          <w:szCs w:val="22"/>
        </w:rPr>
        <w:t xml:space="preserve"> </w:t>
      </w:r>
      <w:r w:rsidR="009438EF">
        <w:rPr>
          <w:rStyle w:val="IntenseReference"/>
          <w:rFonts w:cs="Arial"/>
          <w:b w:val="0"/>
          <w:bCs w:val="0"/>
          <w:i w:val="0"/>
          <w:smallCaps w:val="0"/>
          <w:color w:val="auto"/>
          <w:spacing w:val="0"/>
          <w:szCs w:val="22"/>
        </w:rPr>
        <w:t xml:space="preserve">was established </w:t>
      </w:r>
      <w:r>
        <w:rPr>
          <w:rStyle w:val="IntenseReference"/>
          <w:rFonts w:cs="Arial"/>
          <w:b w:val="0"/>
          <w:bCs w:val="0"/>
          <w:i w:val="0"/>
          <w:smallCaps w:val="0"/>
          <w:color w:val="auto"/>
          <w:spacing w:val="0"/>
          <w:szCs w:val="22"/>
        </w:rPr>
        <w:t xml:space="preserve">as part of the Antimicrobial Use and Resistance in Australia (AURA) Surveillance System </w:t>
      </w:r>
      <w:r w:rsidR="009438EF">
        <w:rPr>
          <w:rStyle w:val="IntenseReference"/>
          <w:rFonts w:cs="Arial"/>
          <w:b w:val="0"/>
          <w:bCs w:val="0"/>
          <w:i w:val="0"/>
          <w:smallCaps w:val="0"/>
          <w:color w:val="auto"/>
          <w:spacing w:val="0"/>
          <w:szCs w:val="22"/>
        </w:rPr>
        <w:t>by the Australian Commission on Safety and Quality in Health Care (the Commission) in March 2016</w:t>
      </w:r>
      <w:r>
        <w:rPr>
          <w:rStyle w:val="IntenseReference"/>
          <w:rFonts w:cs="Arial"/>
          <w:b w:val="0"/>
          <w:bCs w:val="0"/>
          <w:i w:val="0"/>
          <w:smallCaps w:val="0"/>
          <w:color w:val="auto"/>
          <w:spacing w:val="0"/>
          <w:szCs w:val="22"/>
        </w:rPr>
        <w:t xml:space="preserve">.  CARAlert </w:t>
      </w:r>
      <w:r w:rsidR="009438EF" w:rsidRPr="009438EF">
        <w:rPr>
          <w:rStyle w:val="IntenseReference"/>
          <w:rFonts w:cs="Arial"/>
          <w:b w:val="0"/>
          <w:bCs w:val="0"/>
          <w:i w:val="0"/>
          <w:smallCaps w:val="0"/>
          <w:color w:val="auto"/>
          <w:spacing w:val="0"/>
          <w:szCs w:val="22"/>
        </w:rPr>
        <w:t>collect</w:t>
      </w:r>
      <w:r>
        <w:rPr>
          <w:rStyle w:val="IntenseReference"/>
          <w:rFonts w:cs="Arial"/>
          <w:b w:val="0"/>
          <w:bCs w:val="0"/>
          <w:i w:val="0"/>
          <w:smallCaps w:val="0"/>
          <w:color w:val="auto"/>
          <w:spacing w:val="0"/>
          <w:szCs w:val="22"/>
        </w:rPr>
        <w:t>s</w:t>
      </w:r>
      <w:r w:rsidR="009438EF" w:rsidRPr="009438EF">
        <w:rPr>
          <w:rStyle w:val="IntenseReference"/>
          <w:rFonts w:cs="Arial"/>
          <w:b w:val="0"/>
          <w:bCs w:val="0"/>
          <w:i w:val="0"/>
          <w:smallCaps w:val="0"/>
          <w:color w:val="auto"/>
          <w:spacing w:val="0"/>
          <w:szCs w:val="22"/>
        </w:rPr>
        <w:t xml:space="preserve"> surveillance data on </w:t>
      </w:r>
      <w:r>
        <w:rPr>
          <w:rStyle w:val="IntenseReference"/>
          <w:rFonts w:cs="Arial"/>
          <w:b w:val="0"/>
          <w:bCs w:val="0"/>
          <w:i w:val="0"/>
          <w:smallCaps w:val="0"/>
          <w:color w:val="auto"/>
          <w:spacing w:val="0"/>
          <w:szCs w:val="22"/>
        </w:rPr>
        <w:t xml:space="preserve">AURA </w:t>
      </w:r>
      <w:r w:rsidR="009438EF" w:rsidRPr="009438EF">
        <w:rPr>
          <w:rStyle w:val="IntenseReference"/>
          <w:rFonts w:cs="Arial"/>
          <w:b w:val="0"/>
          <w:bCs w:val="0"/>
          <w:i w:val="0"/>
          <w:smallCaps w:val="0"/>
          <w:color w:val="auto"/>
          <w:spacing w:val="0"/>
          <w:szCs w:val="22"/>
        </w:rPr>
        <w:t xml:space="preserve">priority organisms </w:t>
      </w:r>
      <w:r>
        <w:rPr>
          <w:rStyle w:val="IntenseReference"/>
          <w:rFonts w:cs="Arial"/>
          <w:b w:val="0"/>
          <w:bCs w:val="0"/>
          <w:i w:val="0"/>
          <w:smallCaps w:val="0"/>
          <w:color w:val="auto"/>
          <w:spacing w:val="0"/>
          <w:szCs w:val="22"/>
        </w:rPr>
        <w:t xml:space="preserve">considered to have </w:t>
      </w:r>
      <w:r w:rsidR="009438EF" w:rsidRPr="009438EF">
        <w:rPr>
          <w:rStyle w:val="IntenseReference"/>
          <w:rFonts w:cs="Arial"/>
          <w:b w:val="0"/>
          <w:bCs w:val="0"/>
          <w:i w:val="0"/>
          <w:smallCaps w:val="0"/>
          <w:color w:val="auto"/>
          <w:spacing w:val="0"/>
          <w:szCs w:val="22"/>
        </w:rPr>
        <w:t>critical resistance to last-line antimicrobial agents</w:t>
      </w:r>
      <w:r w:rsidR="009438EF">
        <w:rPr>
          <w:rStyle w:val="IntenseReference"/>
          <w:rFonts w:cs="Arial"/>
          <w:b w:val="0"/>
          <w:bCs w:val="0"/>
          <w:i w:val="0"/>
          <w:smallCaps w:val="0"/>
          <w:color w:val="auto"/>
          <w:spacing w:val="0"/>
          <w:szCs w:val="22"/>
        </w:rPr>
        <w:t>.</w:t>
      </w:r>
    </w:p>
    <w:p w:rsidR="00890030" w:rsidRDefault="00890030" w:rsidP="00890030">
      <w:pPr>
        <w:rPr>
          <w:rStyle w:val="IntenseReference"/>
          <w:rFonts w:cs="Arial"/>
          <w:b w:val="0"/>
          <w:bCs w:val="0"/>
          <w:i w:val="0"/>
          <w:smallCaps w:val="0"/>
          <w:color w:val="auto"/>
          <w:spacing w:val="0"/>
          <w:szCs w:val="22"/>
        </w:rPr>
      </w:pPr>
    </w:p>
    <w:p w:rsidR="00864974" w:rsidRDefault="00864974" w:rsidP="00890030">
      <w:pPr>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The primary purpose of CARAlert is to provide timely communication of these organisms and resistance to the health departments in each state and territory in order to inform response strategies, as required.</w:t>
      </w:r>
    </w:p>
    <w:p w:rsidR="00864974" w:rsidRDefault="00864974" w:rsidP="00890030">
      <w:pPr>
        <w:rPr>
          <w:rStyle w:val="IntenseReference"/>
          <w:rFonts w:cs="Arial"/>
          <w:b w:val="0"/>
          <w:bCs w:val="0"/>
          <w:i w:val="0"/>
          <w:smallCaps w:val="0"/>
          <w:color w:val="auto"/>
          <w:spacing w:val="0"/>
          <w:szCs w:val="22"/>
        </w:rPr>
      </w:pPr>
    </w:p>
    <w:p w:rsidR="007550B8" w:rsidRDefault="007550B8" w:rsidP="00890030">
      <w:pPr>
        <w:rPr>
          <w:rStyle w:val="IntenseReference"/>
          <w:rFonts w:cs="Arial"/>
          <w:b w:val="0"/>
          <w:bCs w:val="0"/>
          <w:i w:val="0"/>
          <w:smallCaps w:val="0"/>
          <w:color w:val="auto"/>
          <w:spacing w:val="0"/>
          <w:szCs w:val="22"/>
        </w:rPr>
      </w:pPr>
      <w:r w:rsidRPr="007550B8">
        <w:rPr>
          <w:rStyle w:val="IntenseReference"/>
          <w:rFonts w:cs="Arial"/>
          <w:b w:val="0"/>
          <w:bCs w:val="0"/>
          <w:i w:val="0"/>
          <w:smallCaps w:val="0"/>
          <w:color w:val="auto"/>
          <w:spacing w:val="0"/>
          <w:szCs w:val="22"/>
        </w:rPr>
        <w:t>This report provides data and analyses for the first 12 months of the operation of the CARAlert system from 17 March 2016 to 31 March 2017</w:t>
      </w:r>
      <w:r>
        <w:rPr>
          <w:rStyle w:val="IntenseReference"/>
          <w:rFonts w:cs="Arial"/>
          <w:b w:val="0"/>
          <w:bCs w:val="0"/>
          <w:i w:val="0"/>
          <w:smallCaps w:val="0"/>
          <w:color w:val="auto"/>
          <w:spacing w:val="0"/>
          <w:szCs w:val="22"/>
        </w:rPr>
        <w:t xml:space="preserve">. </w:t>
      </w:r>
      <w:r w:rsidR="00841214">
        <w:rPr>
          <w:rStyle w:val="IntenseReference"/>
          <w:rFonts w:cs="Arial"/>
          <w:b w:val="0"/>
          <w:bCs w:val="0"/>
          <w:i w:val="0"/>
          <w:smallCaps w:val="0"/>
          <w:color w:val="auto"/>
          <w:spacing w:val="0"/>
          <w:szCs w:val="22"/>
        </w:rPr>
        <w:t>During th</w:t>
      </w:r>
      <w:r>
        <w:rPr>
          <w:rStyle w:val="IntenseReference"/>
          <w:rFonts w:cs="Arial"/>
          <w:b w:val="0"/>
          <w:bCs w:val="0"/>
          <w:i w:val="0"/>
          <w:smallCaps w:val="0"/>
          <w:color w:val="auto"/>
          <w:spacing w:val="0"/>
          <w:szCs w:val="22"/>
        </w:rPr>
        <w:t>at period</w:t>
      </w:r>
      <w:r w:rsidR="0068376A">
        <w:rPr>
          <w:rStyle w:val="IntenseReference"/>
          <w:rFonts w:cs="Arial"/>
          <w:b w:val="0"/>
          <w:bCs w:val="0"/>
          <w:i w:val="0"/>
          <w:smallCaps w:val="0"/>
          <w:color w:val="auto"/>
          <w:spacing w:val="0"/>
          <w:szCs w:val="22"/>
        </w:rPr>
        <w:t xml:space="preserve"> </w:t>
      </w:r>
      <w:r w:rsidR="00894E1A">
        <w:rPr>
          <w:rStyle w:val="IntenseReference"/>
          <w:rFonts w:cs="Arial"/>
          <w:b w:val="0"/>
          <w:bCs w:val="0"/>
          <w:i w:val="0"/>
          <w:smallCaps w:val="0"/>
          <w:color w:val="auto"/>
          <w:spacing w:val="0"/>
          <w:szCs w:val="22"/>
        </w:rPr>
        <w:t>1,064</w:t>
      </w:r>
      <w:r w:rsidR="00047BDF">
        <w:rPr>
          <w:rStyle w:val="IntenseReference"/>
          <w:rFonts w:cs="Arial"/>
          <w:b w:val="0"/>
          <w:bCs w:val="0"/>
          <w:i w:val="0"/>
          <w:smallCaps w:val="0"/>
          <w:color w:val="auto"/>
          <w:spacing w:val="0"/>
          <w:szCs w:val="22"/>
        </w:rPr>
        <w:t xml:space="preserve"> </w:t>
      </w:r>
      <w:r w:rsidR="00736E30">
        <w:rPr>
          <w:rStyle w:val="IntenseReference"/>
          <w:rFonts w:cs="Arial"/>
          <w:b w:val="0"/>
          <w:bCs w:val="0"/>
          <w:i w:val="0"/>
          <w:smallCaps w:val="0"/>
          <w:color w:val="auto"/>
          <w:spacing w:val="0"/>
          <w:szCs w:val="22"/>
        </w:rPr>
        <w:t xml:space="preserve">results </w:t>
      </w:r>
      <w:r w:rsidR="00894E1A">
        <w:rPr>
          <w:rStyle w:val="IntenseReference"/>
          <w:rFonts w:cs="Arial"/>
          <w:b w:val="0"/>
          <w:bCs w:val="0"/>
          <w:i w:val="0"/>
          <w:smallCaps w:val="0"/>
          <w:color w:val="auto"/>
          <w:spacing w:val="0"/>
          <w:szCs w:val="22"/>
        </w:rPr>
        <w:t xml:space="preserve">from 73 originating laboratories across Australia </w:t>
      </w:r>
      <w:r w:rsidR="00736E30">
        <w:rPr>
          <w:rStyle w:val="IntenseReference"/>
          <w:rFonts w:cs="Arial"/>
          <w:b w:val="0"/>
          <w:bCs w:val="0"/>
          <w:i w:val="0"/>
          <w:smallCaps w:val="0"/>
          <w:color w:val="auto"/>
          <w:spacing w:val="0"/>
          <w:szCs w:val="22"/>
        </w:rPr>
        <w:t>were entered in</w:t>
      </w:r>
      <w:r w:rsidR="00864974">
        <w:rPr>
          <w:rStyle w:val="IntenseReference"/>
          <w:rFonts w:cs="Arial"/>
          <w:b w:val="0"/>
          <w:bCs w:val="0"/>
          <w:i w:val="0"/>
          <w:smallCaps w:val="0"/>
          <w:color w:val="auto"/>
          <w:spacing w:val="0"/>
          <w:szCs w:val="22"/>
        </w:rPr>
        <w:t xml:space="preserve">to </w:t>
      </w:r>
      <w:r w:rsidR="00736E30">
        <w:rPr>
          <w:rStyle w:val="IntenseReference"/>
          <w:rFonts w:cs="Arial"/>
          <w:b w:val="0"/>
          <w:bCs w:val="0"/>
          <w:i w:val="0"/>
          <w:smallCaps w:val="0"/>
          <w:color w:val="auto"/>
          <w:spacing w:val="0"/>
          <w:szCs w:val="22"/>
        </w:rPr>
        <w:t>the</w:t>
      </w:r>
      <w:r w:rsidR="00841214">
        <w:rPr>
          <w:rStyle w:val="IntenseReference"/>
          <w:rFonts w:cs="Arial"/>
          <w:b w:val="0"/>
          <w:bCs w:val="0"/>
          <w:i w:val="0"/>
          <w:smallCaps w:val="0"/>
          <w:color w:val="auto"/>
          <w:spacing w:val="0"/>
          <w:szCs w:val="22"/>
        </w:rPr>
        <w:t xml:space="preserve"> database</w:t>
      </w:r>
      <w:r w:rsidR="00894E1A">
        <w:rPr>
          <w:rStyle w:val="IntenseReference"/>
          <w:rFonts w:cs="Arial"/>
          <w:b w:val="0"/>
          <w:bCs w:val="0"/>
          <w:i w:val="0"/>
          <w:smallCaps w:val="0"/>
          <w:color w:val="auto"/>
          <w:spacing w:val="0"/>
          <w:szCs w:val="22"/>
        </w:rPr>
        <w:t xml:space="preserve">. From April 2016 to March 2017, there was an average of </w:t>
      </w:r>
      <w:r w:rsidR="00894E1A" w:rsidRPr="00B9671A">
        <w:rPr>
          <w:rStyle w:val="IntenseReference"/>
          <w:rFonts w:cs="Arial"/>
          <w:b w:val="0"/>
          <w:bCs w:val="0"/>
          <w:i w:val="0"/>
          <w:smallCaps w:val="0"/>
          <w:color w:val="auto"/>
          <w:spacing w:val="0"/>
          <w:szCs w:val="22"/>
        </w:rPr>
        <w:t xml:space="preserve">86 </w:t>
      </w:r>
      <w:r w:rsidR="00894E1A">
        <w:rPr>
          <w:rStyle w:val="IntenseReference"/>
          <w:rFonts w:cs="Arial"/>
          <w:b w:val="0"/>
          <w:bCs w:val="0"/>
          <w:i w:val="0"/>
          <w:smallCaps w:val="0"/>
          <w:color w:val="auto"/>
          <w:spacing w:val="0"/>
          <w:szCs w:val="22"/>
        </w:rPr>
        <w:t xml:space="preserve">entries </w:t>
      </w:r>
      <w:r w:rsidR="00894E1A" w:rsidRPr="00B9671A">
        <w:rPr>
          <w:rStyle w:val="IntenseReference"/>
          <w:rFonts w:cs="Arial"/>
          <w:b w:val="0"/>
          <w:bCs w:val="0"/>
          <w:i w:val="0"/>
          <w:smallCaps w:val="0"/>
          <w:color w:val="auto"/>
          <w:spacing w:val="0"/>
          <w:szCs w:val="22"/>
        </w:rPr>
        <w:t>per month (range 61</w:t>
      </w:r>
      <w:r w:rsidR="00237D5B">
        <w:rPr>
          <w:rStyle w:val="IntenseReference"/>
          <w:rFonts w:cs="Arial"/>
          <w:b w:val="0"/>
          <w:bCs w:val="0"/>
          <w:i w:val="0"/>
          <w:smallCaps w:val="0"/>
          <w:color w:val="auto"/>
          <w:spacing w:val="0"/>
          <w:szCs w:val="22"/>
        </w:rPr>
        <w:t>–</w:t>
      </w:r>
      <w:r w:rsidR="00894E1A" w:rsidRPr="00B9671A">
        <w:rPr>
          <w:rStyle w:val="IntenseReference"/>
          <w:rFonts w:cs="Arial"/>
          <w:b w:val="0"/>
          <w:bCs w:val="0"/>
          <w:i w:val="0"/>
          <w:smallCaps w:val="0"/>
          <w:color w:val="auto"/>
          <w:spacing w:val="0"/>
          <w:szCs w:val="22"/>
        </w:rPr>
        <w:t>161)</w:t>
      </w:r>
      <w:r w:rsidR="00894E1A">
        <w:rPr>
          <w:rStyle w:val="IntenseReference"/>
          <w:rFonts w:cs="Arial"/>
          <w:b w:val="0"/>
          <w:bCs w:val="0"/>
          <w:i w:val="0"/>
          <w:smallCaps w:val="0"/>
          <w:color w:val="auto"/>
          <w:spacing w:val="0"/>
          <w:szCs w:val="22"/>
        </w:rPr>
        <w:t xml:space="preserve">. </w:t>
      </w:r>
    </w:p>
    <w:p w:rsidR="00890030" w:rsidRDefault="00890030" w:rsidP="00890030">
      <w:pPr>
        <w:rPr>
          <w:rStyle w:val="IntenseReference"/>
          <w:rFonts w:cs="Arial"/>
          <w:b w:val="0"/>
          <w:bCs w:val="0"/>
          <w:i w:val="0"/>
          <w:smallCaps w:val="0"/>
          <w:color w:val="auto"/>
          <w:spacing w:val="0"/>
          <w:szCs w:val="22"/>
        </w:rPr>
      </w:pPr>
    </w:p>
    <w:p w:rsidR="007550B8" w:rsidRDefault="007550B8" w:rsidP="00890030">
      <w:pPr>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 xml:space="preserve">Carbapenemase-resistant </w:t>
      </w:r>
      <w:r w:rsidRPr="00661532">
        <w:rPr>
          <w:rStyle w:val="IntenseReference"/>
          <w:rFonts w:cs="Arial"/>
          <w:b w:val="0"/>
          <w:bCs w:val="0"/>
          <w:i w:val="0"/>
          <w:smallCaps w:val="0"/>
          <w:color w:val="auto"/>
          <w:spacing w:val="0"/>
          <w:szCs w:val="22"/>
        </w:rPr>
        <w:t>Enterobacteriaceae</w:t>
      </w:r>
      <w:r>
        <w:rPr>
          <w:rStyle w:val="IntenseReference"/>
          <w:rFonts w:cs="Arial"/>
          <w:b w:val="0"/>
          <w:bCs w:val="0"/>
          <w:i w:val="0"/>
          <w:smallCaps w:val="0"/>
          <w:color w:val="auto"/>
          <w:spacing w:val="0"/>
          <w:szCs w:val="22"/>
        </w:rPr>
        <w:t xml:space="preserve"> (CPE)</w:t>
      </w:r>
      <w:r w:rsidR="00B34E97">
        <w:rPr>
          <w:rStyle w:val="IntenseReference"/>
          <w:rFonts w:cs="Arial"/>
          <w:b w:val="0"/>
          <w:bCs w:val="0"/>
          <w:i w:val="0"/>
          <w:smallCaps w:val="0"/>
          <w:color w:val="auto"/>
          <w:spacing w:val="0"/>
          <w:szCs w:val="22"/>
        </w:rPr>
        <w:t xml:space="preserve">, </w:t>
      </w:r>
      <w:r w:rsidR="00B34E97" w:rsidRPr="00B34E97">
        <w:rPr>
          <w:rStyle w:val="IntenseReference"/>
          <w:rFonts w:cs="Arial"/>
          <w:b w:val="0"/>
          <w:bCs w:val="0"/>
          <w:i w:val="0"/>
          <w:smallCaps w:val="0"/>
          <w:color w:val="auto"/>
          <w:spacing w:val="0"/>
          <w:szCs w:val="22"/>
        </w:rPr>
        <w:t>either alone or in combination with ribosomal methyltransferases (RMT)</w:t>
      </w:r>
      <w:r w:rsidR="00B34E97">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were the most frequently recorded critical antimicrobial resistance (CAR) of all CARs reported until November 2016</w:t>
      </w:r>
      <w:r w:rsidR="00EC7779">
        <w:rPr>
          <w:rStyle w:val="IntenseReference"/>
          <w:rFonts w:cs="Arial"/>
          <w:b w:val="0"/>
          <w:bCs w:val="0"/>
          <w:i w:val="0"/>
          <w:smallCaps w:val="0"/>
          <w:color w:val="auto"/>
          <w:spacing w:val="0"/>
          <w:szCs w:val="22"/>
        </w:rPr>
        <w:t xml:space="preserve">. </w:t>
      </w:r>
      <w:r w:rsidR="00336205">
        <w:rPr>
          <w:rStyle w:val="IntenseReference"/>
          <w:rFonts w:cs="Arial"/>
          <w:b w:val="0"/>
          <w:bCs w:val="0"/>
          <w:i w:val="0"/>
          <w:smallCaps w:val="0"/>
          <w:color w:val="auto"/>
          <w:spacing w:val="0"/>
          <w:szCs w:val="22"/>
        </w:rPr>
        <w:t xml:space="preserve">From </w:t>
      </w:r>
      <w:r>
        <w:rPr>
          <w:rStyle w:val="IntenseReference"/>
          <w:rFonts w:cs="Arial"/>
          <w:b w:val="0"/>
          <w:bCs w:val="0"/>
          <w:i w:val="0"/>
          <w:smallCaps w:val="0"/>
          <w:color w:val="auto"/>
          <w:spacing w:val="0"/>
          <w:szCs w:val="22"/>
        </w:rPr>
        <w:t xml:space="preserve">December 2016, azithromycin non-susceptible </w:t>
      </w:r>
      <w:r w:rsidRPr="000A45B5">
        <w:rPr>
          <w:rStyle w:val="IntenseReference"/>
          <w:rFonts w:cs="Arial"/>
          <w:b w:val="0"/>
          <w:bCs w:val="0"/>
          <w:smallCaps w:val="0"/>
          <w:color w:val="auto"/>
          <w:spacing w:val="0"/>
          <w:szCs w:val="22"/>
        </w:rPr>
        <w:t>Neisseria gonorrhoeae</w:t>
      </w:r>
      <w:r w:rsidRPr="00B9671A">
        <w:rPr>
          <w:rStyle w:val="IntenseReference"/>
          <w:rFonts w:cs="Arial"/>
          <w:b w:val="0"/>
          <w:bCs w:val="0"/>
          <w:i w:val="0"/>
          <w:smallCaps w:val="0"/>
          <w:color w:val="auto"/>
          <w:spacing w:val="0"/>
          <w:szCs w:val="22"/>
        </w:rPr>
        <w:t xml:space="preserve"> </w:t>
      </w:r>
      <w:r w:rsidR="00336205">
        <w:rPr>
          <w:rStyle w:val="IntenseReference"/>
          <w:rFonts w:cs="Arial"/>
          <w:b w:val="0"/>
          <w:bCs w:val="0"/>
          <w:i w:val="0"/>
          <w:smallCaps w:val="0"/>
          <w:color w:val="auto"/>
          <w:spacing w:val="0"/>
          <w:szCs w:val="22"/>
        </w:rPr>
        <w:t>were most frequently reported</w:t>
      </w:r>
      <w:r>
        <w:rPr>
          <w:rStyle w:val="IntenseReference"/>
          <w:rFonts w:cs="Arial"/>
          <w:b w:val="0"/>
          <w:bCs w:val="0"/>
          <w:i w:val="0"/>
          <w:smallCaps w:val="0"/>
          <w:color w:val="auto"/>
          <w:spacing w:val="0"/>
          <w:szCs w:val="22"/>
        </w:rPr>
        <w:t>, and in March 2017 contributed to 62% of all CARs reported.</w:t>
      </w:r>
    </w:p>
    <w:p w:rsidR="00890030" w:rsidRDefault="00890030" w:rsidP="00890030">
      <w:pPr>
        <w:rPr>
          <w:rFonts w:cs="Arial"/>
          <w:bCs/>
          <w:szCs w:val="22"/>
        </w:rPr>
      </w:pPr>
    </w:p>
    <w:p w:rsidR="007550B8" w:rsidRDefault="007550B8" w:rsidP="00890030">
      <w:pPr>
        <w:rPr>
          <w:rStyle w:val="IntenseReference"/>
          <w:rFonts w:cs="Arial"/>
          <w:b w:val="0"/>
          <w:bCs w:val="0"/>
          <w:i w:val="0"/>
          <w:smallCaps w:val="0"/>
          <w:color w:val="auto"/>
          <w:spacing w:val="0"/>
          <w:szCs w:val="22"/>
        </w:rPr>
      </w:pPr>
      <w:r w:rsidRPr="00197EF1">
        <w:rPr>
          <w:rFonts w:cs="Arial"/>
          <w:bCs/>
          <w:szCs w:val="22"/>
        </w:rPr>
        <w:t>Seventy</w:t>
      </w:r>
      <w:r w:rsidRPr="00FF343A">
        <w:rPr>
          <w:rFonts w:cs="Arial"/>
          <w:bCs/>
          <w:szCs w:val="22"/>
        </w:rPr>
        <w:t xml:space="preserve"> per</w:t>
      </w:r>
      <w:r>
        <w:rPr>
          <w:rFonts w:cs="Arial"/>
          <w:bCs/>
          <w:szCs w:val="22"/>
        </w:rPr>
        <w:t xml:space="preserve"> </w:t>
      </w:r>
      <w:r w:rsidRPr="00FF343A">
        <w:rPr>
          <w:rFonts w:cs="Arial"/>
          <w:bCs/>
          <w:szCs w:val="22"/>
        </w:rPr>
        <w:t xml:space="preserve">cent of all CARs were from </w:t>
      </w:r>
      <w:r>
        <w:rPr>
          <w:rFonts w:cs="Arial"/>
          <w:bCs/>
          <w:szCs w:val="22"/>
        </w:rPr>
        <w:t xml:space="preserve">the three most populous states – New South Wales </w:t>
      </w:r>
      <w:r w:rsidRPr="00197EF1">
        <w:rPr>
          <w:rFonts w:cs="Arial"/>
          <w:bCs/>
          <w:szCs w:val="22"/>
        </w:rPr>
        <w:t>(34%), Victoria (21%) and Queensland (15%).</w:t>
      </w:r>
      <w:r w:rsidRPr="00FF343A">
        <w:rPr>
          <w:rFonts w:cs="Arial"/>
          <w:bCs/>
          <w:szCs w:val="22"/>
        </w:rPr>
        <w:t xml:space="preserve"> Only </w:t>
      </w:r>
      <w:r>
        <w:rPr>
          <w:rFonts w:cs="Arial"/>
          <w:bCs/>
          <w:szCs w:val="22"/>
        </w:rPr>
        <w:t>two</w:t>
      </w:r>
      <w:r w:rsidRPr="00FF343A">
        <w:rPr>
          <w:rFonts w:cs="Arial"/>
          <w:bCs/>
          <w:szCs w:val="22"/>
        </w:rPr>
        <w:t xml:space="preserve"> report</w:t>
      </w:r>
      <w:r>
        <w:rPr>
          <w:rFonts w:cs="Arial"/>
          <w:bCs/>
          <w:szCs w:val="22"/>
        </w:rPr>
        <w:t>s</w:t>
      </w:r>
      <w:r w:rsidRPr="00FF343A">
        <w:rPr>
          <w:rFonts w:cs="Arial"/>
          <w:bCs/>
          <w:szCs w:val="22"/>
        </w:rPr>
        <w:t xml:space="preserve"> were received fro</w:t>
      </w:r>
      <w:r>
        <w:rPr>
          <w:rFonts w:cs="Arial"/>
          <w:bCs/>
          <w:szCs w:val="22"/>
        </w:rPr>
        <w:t>m the Northern Territory and five</w:t>
      </w:r>
      <w:r w:rsidRPr="00FF343A">
        <w:rPr>
          <w:rFonts w:cs="Arial"/>
          <w:bCs/>
          <w:szCs w:val="22"/>
        </w:rPr>
        <w:t xml:space="preserve"> from Tasmania</w:t>
      </w:r>
      <w:r>
        <w:rPr>
          <w:rFonts w:cs="Arial"/>
          <w:bCs/>
          <w:szCs w:val="22"/>
        </w:rPr>
        <w:t>. CPE, as a proportion of all reported CARs, was lowest in South</w:t>
      </w:r>
      <w:r w:rsidRPr="00701CAA">
        <w:rPr>
          <w:rFonts w:cs="Arial"/>
          <w:bCs/>
          <w:szCs w:val="22"/>
        </w:rPr>
        <w:t xml:space="preserve"> Australia (2</w:t>
      </w:r>
      <w:r>
        <w:rPr>
          <w:rFonts w:cs="Arial"/>
          <w:bCs/>
          <w:szCs w:val="22"/>
        </w:rPr>
        <w:t>9</w:t>
      </w:r>
      <w:r w:rsidRPr="00701CAA">
        <w:rPr>
          <w:rFonts w:cs="Arial"/>
          <w:bCs/>
          <w:szCs w:val="22"/>
        </w:rPr>
        <w:t xml:space="preserve">%) and </w:t>
      </w:r>
      <w:r>
        <w:rPr>
          <w:rFonts w:cs="Arial"/>
          <w:bCs/>
          <w:szCs w:val="22"/>
        </w:rPr>
        <w:t>Western Australia (29</w:t>
      </w:r>
      <w:r w:rsidRPr="00701CAA">
        <w:rPr>
          <w:rFonts w:cs="Arial"/>
          <w:bCs/>
          <w:szCs w:val="22"/>
        </w:rPr>
        <w:t>%)</w:t>
      </w:r>
      <w:r>
        <w:rPr>
          <w:rFonts w:cs="Arial"/>
          <w:bCs/>
          <w:szCs w:val="22"/>
        </w:rPr>
        <w:t xml:space="preserve"> and highest in</w:t>
      </w:r>
      <w:r w:rsidRPr="00701CAA">
        <w:rPr>
          <w:rFonts w:cs="Arial"/>
          <w:bCs/>
          <w:szCs w:val="22"/>
        </w:rPr>
        <w:t xml:space="preserve"> Queensland (7</w:t>
      </w:r>
      <w:r>
        <w:rPr>
          <w:rFonts w:cs="Arial"/>
          <w:bCs/>
          <w:szCs w:val="22"/>
        </w:rPr>
        <w:t>1%) and the Australian Capital Territory (68%).</w:t>
      </w:r>
    </w:p>
    <w:p w:rsidR="007550B8" w:rsidRDefault="007550B8" w:rsidP="00890030">
      <w:pPr>
        <w:pStyle w:val="KeyPointsNum"/>
        <w:spacing w:after="0" w:line="240" w:lineRule="auto"/>
        <w:rPr>
          <w:rFonts w:ascii="Arial" w:hAnsi="Arial" w:cs="Arial"/>
          <w:sz w:val="22"/>
          <w:szCs w:val="22"/>
        </w:rPr>
      </w:pPr>
    </w:p>
    <w:p w:rsidR="00864974" w:rsidRDefault="00864974" w:rsidP="00890030">
      <w:pPr>
        <w:pStyle w:val="KeyPointsNum"/>
        <w:spacing w:after="0" w:line="240" w:lineRule="auto"/>
        <w:rPr>
          <w:rFonts w:ascii="Arial" w:hAnsi="Arial" w:cs="Arial"/>
          <w:sz w:val="22"/>
          <w:szCs w:val="22"/>
        </w:rPr>
      </w:pPr>
      <w:r>
        <w:rPr>
          <w:rFonts w:ascii="Arial" w:hAnsi="Arial" w:cs="Arial"/>
          <w:sz w:val="22"/>
          <w:szCs w:val="22"/>
        </w:rPr>
        <w:t>The range of organisms with critical resistances to be included in the CARAlert data set will continue to be monitored and reviewed to ensure it provides the most useful data for actions to support effective infection prevention and control.</w:t>
      </w:r>
    </w:p>
    <w:p w:rsidR="00864974" w:rsidRDefault="00864974" w:rsidP="00890030">
      <w:pPr>
        <w:pStyle w:val="KeyPointsNum"/>
        <w:spacing w:after="0" w:line="240" w:lineRule="auto"/>
        <w:rPr>
          <w:rFonts w:ascii="Arial" w:hAnsi="Arial" w:cs="Arial"/>
          <w:sz w:val="22"/>
          <w:szCs w:val="22"/>
        </w:rPr>
      </w:pPr>
    </w:p>
    <w:p w:rsidR="004A7C38" w:rsidRDefault="007550B8" w:rsidP="00890030">
      <w:pPr>
        <w:pStyle w:val="KeyPointsNum"/>
        <w:spacing w:after="0" w:line="240" w:lineRule="auto"/>
        <w:rPr>
          <w:rFonts w:ascii="Arial" w:hAnsi="Arial" w:cs="Arial"/>
          <w:sz w:val="22"/>
          <w:szCs w:val="22"/>
        </w:rPr>
      </w:pPr>
      <w:r w:rsidRPr="00D73DA7">
        <w:rPr>
          <w:rFonts w:ascii="Arial" w:hAnsi="Arial" w:cs="Arial"/>
          <w:sz w:val="22"/>
          <w:szCs w:val="22"/>
        </w:rPr>
        <w:t xml:space="preserve">The relatively small number of </w:t>
      </w:r>
      <w:r w:rsidR="004D765C" w:rsidRPr="004D765C">
        <w:rPr>
          <w:rFonts w:ascii="Arial" w:hAnsi="Arial" w:cs="Arial"/>
          <w:sz w:val="22"/>
          <w:szCs w:val="22"/>
        </w:rPr>
        <w:t>individual CAR types</w:t>
      </w:r>
      <w:r w:rsidRPr="00D73DA7">
        <w:rPr>
          <w:rFonts w:ascii="Arial" w:hAnsi="Arial" w:cs="Arial"/>
          <w:sz w:val="22"/>
          <w:szCs w:val="22"/>
        </w:rPr>
        <w:t xml:space="preserve"> </w:t>
      </w:r>
      <w:r w:rsidR="008E5D16">
        <w:rPr>
          <w:rFonts w:ascii="Arial" w:hAnsi="Arial" w:cs="Arial"/>
          <w:sz w:val="22"/>
          <w:szCs w:val="22"/>
        </w:rPr>
        <w:t>currently</w:t>
      </w:r>
      <w:r w:rsidR="00205F89">
        <w:rPr>
          <w:rFonts w:ascii="Arial" w:hAnsi="Arial" w:cs="Arial"/>
          <w:sz w:val="22"/>
          <w:szCs w:val="22"/>
        </w:rPr>
        <w:t xml:space="preserve"> </w:t>
      </w:r>
      <w:r w:rsidR="007E6C60">
        <w:rPr>
          <w:rFonts w:ascii="Arial" w:hAnsi="Arial" w:cs="Arial"/>
          <w:sz w:val="22"/>
          <w:szCs w:val="22"/>
        </w:rPr>
        <w:t>recorded</w:t>
      </w:r>
      <w:r w:rsidR="008E5D16">
        <w:rPr>
          <w:rFonts w:ascii="Arial" w:hAnsi="Arial" w:cs="Arial"/>
          <w:sz w:val="22"/>
          <w:szCs w:val="22"/>
        </w:rPr>
        <w:t xml:space="preserve"> </w:t>
      </w:r>
      <w:r w:rsidRPr="00D73DA7">
        <w:rPr>
          <w:rFonts w:ascii="Arial" w:hAnsi="Arial" w:cs="Arial"/>
          <w:sz w:val="22"/>
          <w:szCs w:val="22"/>
        </w:rPr>
        <w:t xml:space="preserve">in the database means that it is not yet possible to draw conclusions of epidemiological significance from the analyses. </w:t>
      </w:r>
      <w:r>
        <w:rPr>
          <w:rFonts w:ascii="Arial" w:hAnsi="Arial" w:cs="Arial"/>
          <w:sz w:val="22"/>
          <w:szCs w:val="22"/>
        </w:rPr>
        <w:t>S</w:t>
      </w:r>
      <w:r w:rsidRPr="00D73DA7">
        <w:rPr>
          <w:rFonts w:ascii="Arial" w:hAnsi="Arial" w:cs="Arial"/>
          <w:sz w:val="22"/>
          <w:szCs w:val="22"/>
        </w:rPr>
        <w:t>tatistical methods for evaluating temporal and spatial trends</w:t>
      </w:r>
      <w:r>
        <w:rPr>
          <w:rFonts w:ascii="Arial" w:hAnsi="Arial" w:cs="Arial"/>
          <w:sz w:val="22"/>
          <w:szCs w:val="22"/>
        </w:rPr>
        <w:t xml:space="preserve"> </w:t>
      </w:r>
      <w:r w:rsidRPr="00D73DA7">
        <w:rPr>
          <w:rFonts w:ascii="Arial" w:hAnsi="Arial" w:cs="Arial"/>
          <w:sz w:val="22"/>
          <w:szCs w:val="22"/>
        </w:rPr>
        <w:t>will be implemented as the data collection matures</w:t>
      </w:r>
      <w:r w:rsidR="008E5D16">
        <w:rPr>
          <w:rFonts w:ascii="Arial" w:hAnsi="Arial" w:cs="Arial"/>
          <w:sz w:val="22"/>
          <w:szCs w:val="22"/>
        </w:rPr>
        <w:t xml:space="preserve"> o</w:t>
      </w:r>
      <w:r w:rsidR="004A7C38" w:rsidRPr="004A7C38">
        <w:rPr>
          <w:rFonts w:ascii="Arial" w:hAnsi="Arial" w:cs="Arial"/>
          <w:sz w:val="22"/>
          <w:szCs w:val="22"/>
        </w:rPr>
        <w:t>ver time</w:t>
      </w:r>
      <w:r w:rsidR="00216493">
        <w:rPr>
          <w:rFonts w:ascii="Arial" w:hAnsi="Arial" w:cs="Arial"/>
          <w:sz w:val="22"/>
          <w:szCs w:val="22"/>
        </w:rPr>
        <w:t>.</w:t>
      </w:r>
      <w:r w:rsidR="00216493" w:rsidRPr="004A7C38">
        <w:rPr>
          <w:rFonts w:ascii="Arial" w:hAnsi="Arial" w:cs="Arial"/>
          <w:sz w:val="22"/>
          <w:szCs w:val="22"/>
        </w:rPr>
        <w:t xml:space="preserve"> </w:t>
      </w:r>
      <w:r w:rsidR="00216493">
        <w:rPr>
          <w:rFonts w:ascii="Arial" w:hAnsi="Arial" w:cs="Arial"/>
          <w:sz w:val="22"/>
          <w:szCs w:val="22"/>
        </w:rPr>
        <w:t xml:space="preserve">It </w:t>
      </w:r>
      <w:r w:rsidR="008E5D16">
        <w:rPr>
          <w:rFonts w:ascii="Arial" w:hAnsi="Arial" w:cs="Arial"/>
          <w:sz w:val="22"/>
          <w:szCs w:val="22"/>
        </w:rPr>
        <w:t xml:space="preserve">is expected that this </w:t>
      </w:r>
      <w:r w:rsidR="004A7C38" w:rsidRPr="004A7C38">
        <w:rPr>
          <w:rFonts w:ascii="Arial" w:hAnsi="Arial" w:cs="Arial"/>
          <w:sz w:val="22"/>
          <w:szCs w:val="22"/>
        </w:rPr>
        <w:t>data will increasingly be useful to inform safety and quality improvement programs.</w:t>
      </w:r>
    </w:p>
    <w:p w:rsidR="007550B8" w:rsidRDefault="007550B8">
      <w:pPr>
        <w:rPr>
          <w:rFonts w:cs="Arial"/>
          <w:b/>
          <w:bCs/>
          <w:color w:val="AA610D" w:themeColor="accent1" w:themeShade="BF"/>
          <w:kern w:val="28"/>
          <w:sz w:val="32"/>
          <w:szCs w:val="32"/>
        </w:rPr>
      </w:pPr>
      <w:r>
        <w:rPr>
          <w:color w:val="AA610D" w:themeColor="accent1" w:themeShade="BF"/>
          <w:sz w:val="32"/>
        </w:rPr>
        <w:br w:type="page"/>
      </w:r>
    </w:p>
    <w:p w:rsidR="00841214" w:rsidRPr="00841214" w:rsidRDefault="00841214" w:rsidP="00164D03">
      <w:pPr>
        <w:pStyle w:val="Heading1"/>
        <w:spacing w:after="240"/>
        <w:rPr>
          <w:color w:val="AA610D" w:themeColor="accent1" w:themeShade="BF"/>
          <w:sz w:val="32"/>
        </w:rPr>
      </w:pPr>
      <w:bookmarkStart w:id="2" w:name="_Toc486425614"/>
      <w:r w:rsidRPr="00841214">
        <w:rPr>
          <w:color w:val="AA610D" w:themeColor="accent1" w:themeShade="BF"/>
          <w:sz w:val="32"/>
        </w:rPr>
        <w:lastRenderedPageBreak/>
        <w:t>Introduction</w:t>
      </w:r>
      <w:bookmarkEnd w:id="2"/>
    </w:p>
    <w:p w:rsidR="00841214" w:rsidRDefault="00890030" w:rsidP="00841214">
      <w:pPr>
        <w:spacing w:before="120"/>
        <w:rPr>
          <w:rFonts w:cs="Arial"/>
          <w:szCs w:val="22"/>
        </w:rPr>
      </w:pPr>
      <w:r w:rsidRPr="00890030">
        <w:rPr>
          <w:rFonts w:cs="Arial"/>
          <w:szCs w:val="22"/>
        </w:rPr>
        <w:t xml:space="preserve">The Australian Commission on Safety and Quality in Health Care (the Commission) established the National Alert System for Critical Antimicrobial Resistances (CARAlert) in March 2016 as part of the Antimicrobial Use and Resistance in Australia (AURA) Surveillance System. </w:t>
      </w:r>
      <w:r w:rsidR="0029564C" w:rsidRPr="0029564C">
        <w:rPr>
          <w:rFonts w:cs="Arial"/>
          <w:szCs w:val="22"/>
        </w:rPr>
        <w:t>Funding for AURA is provided by the Australian Government Department of Health.</w:t>
      </w:r>
      <w:r w:rsidR="0029564C">
        <w:rPr>
          <w:rFonts w:cs="Arial"/>
          <w:szCs w:val="22"/>
        </w:rPr>
        <w:t xml:space="preserve"> </w:t>
      </w:r>
      <w:r w:rsidRPr="00890030">
        <w:rPr>
          <w:rFonts w:cs="Arial"/>
          <w:szCs w:val="22"/>
        </w:rPr>
        <w:t>CARAlert collects surveillance data on priority organisms with critical resistance to last-line antimicrobial agents.</w:t>
      </w:r>
    </w:p>
    <w:p w:rsidR="008E5D16" w:rsidRDefault="008E5D16" w:rsidP="008E5D16">
      <w:pPr>
        <w:spacing w:before="120"/>
        <w:rPr>
          <w:rFonts w:cs="Arial"/>
          <w:szCs w:val="22"/>
        </w:rPr>
      </w:pPr>
      <w:r>
        <w:rPr>
          <w:rFonts w:cs="Arial"/>
          <w:szCs w:val="22"/>
        </w:rPr>
        <w:t xml:space="preserve">CARs </w:t>
      </w:r>
      <w:r w:rsidRPr="004338A1">
        <w:rPr>
          <w:rFonts w:cs="Arial"/>
          <w:szCs w:val="22"/>
        </w:rPr>
        <w:t xml:space="preserve">are defined as resistance mechanisms, or profiles, known to be a serious threat to the effectiveness of last-line antimicrobial agents. </w:t>
      </w:r>
      <w:r>
        <w:rPr>
          <w:rFonts w:cs="Arial"/>
          <w:szCs w:val="22"/>
        </w:rPr>
        <w:t xml:space="preserve">CARs have been detected </w:t>
      </w:r>
      <w:r w:rsidRPr="004338A1">
        <w:rPr>
          <w:rFonts w:cs="Arial"/>
          <w:szCs w:val="22"/>
        </w:rPr>
        <w:t>across Australia</w:t>
      </w:r>
      <w:r>
        <w:rPr>
          <w:rFonts w:cs="Arial"/>
          <w:szCs w:val="22"/>
        </w:rPr>
        <w:t xml:space="preserve">. They may </w:t>
      </w:r>
      <w:r w:rsidRPr="004338A1">
        <w:rPr>
          <w:rFonts w:cs="Arial"/>
          <w:szCs w:val="22"/>
        </w:rPr>
        <w:t>result in significant morbidity and mortality in healthcare facilities</w:t>
      </w:r>
      <w:r>
        <w:rPr>
          <w:rFonts w:cs="Arial"/>
          <w:szCs w:val="22"/>
        </w:rPr>
        <w:t>,</w:t>
      </w:r>
      <w:r w:rsidRPr="004338A1">
        <w:rPr>
          <w:rFonts w:cs="Arial"/>
          <w:szCs w:val="22"/>
        </w:rPr>
        <w:t xml:space="preserve"> and in the community.</w:t>
      </w:r>
      <w:r>
        <w:rPr>
          <w:rFonts w:cs="Arial"/>
          <w:szCs w:val="22"/>
        </w:rPr>
        <w:t xml:space="preserve"> </w:t>
      </w:r>
    </w:p>
    <w:p w:rsidR="00841214" w:rsidRPr="001D7349" w:rsidRDefault="00841214" w:rsidP="00841214">
      <w:pPr>
        <w:spacing w:before="120"/>
        <w:rPr>
          <w:rFonts w:cs="Arial"/>
          <w:szCs w:val="22"/>
        </w:rPr>
      </w:pPr>
      <w:r>
        <w:rPr>
          <w:rFonts w:cs="Arial"/>
          <w:szCs w:val="22"/>
        </w:rPr>
        <w:t xml:space="preserve">Primary responsibility for </w:t>
      </w:r>
      <w:r w:rsidR="008E5D16">
        <w:rPr>
          <w:rFonts w:cs="Arial"/>
          <w:szCs w:val="22"/>
        </w:rPr>
        <w:t xml:space="preserve">determining the appropriate </w:t>
      </w:r>
      <w:r>
        <w:rPr>
          <w:rFonts w:cs="Arial"/>
          <w:szCs w:val="22"/>
        </w:rPr>
        <w:t>clinical response to critical resistances lies with local health organisations and the state and territory health departments. The role of CARAlert includes collecting and analysing data to identify trends</w:t>
      </w:r>
      <w:r w:rsidR="00A9463B">
        <w:rPr>
          <w:rFonts w:cs="Arial"/>
          <w:szCs w:val="22"/>
        </w:rPr>
        <w:t>,</w:t>
      </w:r>
      <w:r>
        <w:rPr>
          <w:rFonts w:cs="Arial"/>
          <w:szCs w:val="22"/>
        </w:rPr>
        <w:t xml:space="preserve"> and </w:t>
      </w:r>
      <w:r w:rsidR="008703D2">
        <w:rPr>
          <w:rFonts w:cs="Arial"/>
          <w:szCs w:val="22"/>
        </w:rPr>
        <w:t xml:space="preserve">providing </w:t>
      </w:r>
      <w:r>
        <w:rPr>
          <w:rFonts w:cs="Arial"/>
          <w:szCs w:val="22"/>
        </w:rPr>
        <w:t>timely communication of information concerning critical resistances to states and territories to complement current local reporting of results</w:t>
      </w:r>
      <w:r w:rsidRPr="001A08F5">
        <w:rPr>
          <w:rFonts w:cs="Arial"/>
          <w:szCs w:val="22"/>
        </w:rPr>
        <w:t xml:space="preserve">. </w:t>
      </w:r>
      <w:r w:rsidR="008E5D16">
        <w:rPr>
          <w:rFonts w:cs="Arial"/>
          <w:szCs w:val="22"/>
        </w:rPr>
        <w:t>In addition to the publication of these summary reports, the states and territories receive weekly email reports of all CARAlerts</w:t>
      </w:r>
      <w:r w:rsidR="006132C3">
        <w:rPr>
          <w:rFonts w:cs="Arial"/>
          <w:szCs w:val="22"/>
        </w:rPr>
        <w:t>,</w:t>
      </w:r>
      <w:r w:rsidR="008E5D16">
        <w:rPr>
          <w:rFonts w:cs="Arial"/>
          <w:szCs w:val="22"/>
        </w:rPr>
        <w:t xml:space="preserve"> and designated </w:t>
      </w:r>
      <w:r w:rsidR="00202545">
        <w:rPr>
          <w:rFonts w:cs="Arial"/>
          <w:szCs w:val="22"/>
        </w:rPr>
        <w:t xml:space="preserve">staff </w:t>
      </w:r>
      <w:r w:rsidR="008703D2">
        <w:rPr>
          <w:rFonts w:cs="Arial"/>
          <w:szCs w:val="22"/>
        </w:rPr>
        <w:t xml:space="preserve">have </w:t>
      </w:r>
      <w:r w:rsidR="008E5D16">
        <w:rPr>
          <w:rFonts w:cs="Arial"/>
          <w:szCs w:val="22"/>
        </w:rPr>
        <w:t xml:space="preserve">access to their own jurisdiction data via the CARAlert system. </w:t>
      </w:r>
      <w:r w:rsidRPr="001A08F5">
        <w:rPr>
          <w:rFonts w:cs="Arial"/>
          <w:szCs w:val="22"/>
        </w:rPr>
        <w:t xml:space="preserve">It is intended that states and territories will use the data to identify local problems and respond to potential and proven multi-site outbreaks of </w:t>
      </w:r>
      <w:r>
        <w:rPr>
          <w:rFonts w:cs="Arial"/>
          <w:szCs w:val="22"/>
        </w:rPr>
        <w:t>c</w:t>
      </w:r>
      <w:r w:rsidRPr="002852A3">
        <w:rPr>
          <w:rFonts w:cs="Arial"/>
          <w:szCs w:val="22"/>
        </w:rPr>
        <w:t xml:space="preserve">ritical </w:t>
      </w:r>
      <w:r>
        <w:rPr>
          <w:rFonts w:cs="Arial"/>
          <w:szCs w:val="22"/>
        </w:rPr>
        <w:t>a</w:t>
      </w:r>
      <w:r w:rsidRPr="002852A3">
        <w:rPr>
          <w:rFonts w:cs="Arial"/>
          <w:szCs w:val="22"/>
        </w:rPr>
        <w:t xml:space="preserve">ntimicrobial </w:t>
      </w:r>
      <w:r>
        <w:rPr>
          <w:rFonts w:cs="Arial"/>
          <w:szCs w:val="22"/>
        </w:rPr>
        <w:t>r</w:t>
      </w:r>
      <w:r w:rsidRPr="002852A3">
        <w:rPr>
          <w:rFonts w:cs="Arial"/>
          <w:szCs w:val="22"/>
        </w:rPr>
        <w:t xml:space="preserve">esistances </w:t>
      </w:r>
      <w:r>
        <w:rPr>
          <w:rFonts w:cs="Arial"/>
          <w:szCs w:val="22"/>
        </w:rPr>
        <w:t>(</w:t>
      </w:r>
      <w:r w:rsidRPr="001A08F5">
        <w:rPr>
          <w:rFonts w:cs="Arial"/>
          <w:szCs w:val="22"/>
        </w:rPr>
        <w:t>CARs</w:t>
      </w:r>
      <w:r>
        <w:rPr>
          <w:rFonts w:cs="Arial"/>
          <w:szCs w:val="22"/>
        </w:rPr>
        <w:t>)</w:t>
      </w:r>
      <w:r w:rsidRPr="001A08F5">
        <w:rPr>
          <w:rFonts w:cs="Arial"/>
          <w:szCs w:val="22"/>
        </w:rPr>
        <w:t>.</w:t>
      </w:r>
      <w:r w:rsidRPr="001D7349">
        <w:rPr>
          <w:rFonts w:cs="Arial"/>
          <w:szCs w:val="22"/>
        </w:rPr>
        <w:t xml:space="preserve"> </w:t>
      </w:r>
    </w:p>
    <w:p w:rsidR="00841214" w:rsidRDefault="00841214" w:rsidP="00841214">
      <w:pPr>
        <w:spacing w:before="120"/>
        <w:rPr>
          <w:rFonts w:cs="Arial"/>
          <w:szCs w:val="22"/>
        </w:rPr>
      </w:pPr>
      <w:r w:rsidRPr="004338A1">
        <w:rPr>
          <w:rFonts w:cs="Arial"/>
          <w:szCs w:val="22"/>
        </w:rPr>
        <w:t xml:space="preserve">The </w:t>
      </w:r>
      <w:r>
        <w:rPr>
          <w:rFonts w:cs="Arial"/>
          <w:szCs w:val="22"/>
        </w:rPr>
        <w:t xml:space="preserve">organisms </w:t>
      </w:r>
      <w:r w:rsidRPr="004338A1">
        <w:rPr>
          <w:rFonts w:cs="Arial"/>
          <w:szCs w:val="22"/>
        </w:rPr>
        <w:t xml:space="preserve">reported under CARAlert are listed </w:t>
      </w:r>
      <w:r>
        <w:rPr>
          <w:rFonts w:cs="Arial"/>
          <w:szCs w:val="22"/>
        </w:rPr>
        <w:t>in Table 1. The CARs were drawn from the l</w:t>
      </w:r>
      <w:r w:rsidRPr="004338A1">
        <w:rPr>
          <w:rFonts w:cs="Arial"/>
          <w:szCs w:val="22"/>
        </w:rPr>
        <w:t xml:space="preserve">ist of </w:t>
      </w:r>
      <w:r>
        <w:rPr>
          <w:rFonts w:cs="Arial"/>
          <w:szCs w:val="22"/>
        </w:rPr>
        <w:t>high priority organisms and a</w:t>
      </w:r>
      <w:r w:rsidRPr="004338A1">
        <w:rPr>
          <w:rFonts w:cs="Arial"/>
          <w:szCs w:val="22"/>
        </w:rPr>
        <w:t xml:space="preserve">ntimicrobials </w:t>
      </w:r>
      <w:r>
        <w:rPr>
          <w:rFonts w:cs="Arial"/>
          <w:szCs w:val="22"/>
        </w:rPr>
        <w:t xml:space="preserve">which are the focus of </w:t>
      </w:r>
      <w:r w:rsidRPr="004338A1">
        <w:rPr>
          <w:rFonts w:cs="Arial"/>
          <w:szCs w:val="22"/>
        </w:rPr>
        <w:t>the AURA Surveillance System.</w:t>
      </w:r>
      <w:r>
        <w:rPr>
          <w:rFonts w:cs="Arial"/>
          <w:szCs w:val="22"/>
        </w:rPr>
        <w:t xml:space="preserve"> </w:t>
      </w:r>
      <w:r w:rsidRPr="004338A1">
        <w:rPr>
          <w:rFonts w:cs="Arial"/>
          <w:szCs w:val="22"/>
        </w:rPr>
        <w:t xml:space="preserve">The </w:t>
      </w:r>
      <w:r>
        <w:rPr>
          <w:rFonts w:cs="Arial"/>
          <w:szCs w:val="22"/>
        </w:rPr>
        <w:t xml:space="preserve">scope of organisms and </w:t>
      </w:r>
      <w:r w:rsidRPr="004338A1">
        <w:rPr>
          <w:rFonts w:cs="Arial"/>
          <w:szCs w:val="22"/>
        </w:rPr>
        <w:t>CARs will be regularly reviewed</w:t>
      </w:r>
      <w:r>
        <w:rPr>
          <w:rFonts w:cs="Arial"/>
          <w:szCs w:val="22"/>
        </w:rPr>
        <w:t>,</w:t>
      </w:r>
      <w:r w:rsidRPr="004338A1">
        <w:rPr>
          <w:rFonts w:cs="Arial"/>
          <w:szCs w:val="22"/>
        </w:rPr>
        <w:t xml:space="preserve"> based on the latest available evidence on critical resistances </w:t>
      </w:r>
      <w:r>
        <w:rPr>
          <w:rFonts w:cs="Arial"/>
          <w:szCs w:val="22"/>
        </w:rPr>
        <w:t>which</w:t>
      </w:r>
      <w:r w:rsidRPr="004338A1">
        <w:rPr>
          <w:rFonts w:cs="Arial"/>
          <w:szCs w:val="22"/>
        </w:rPr>
        <w:t xml:space="preserve"> e</w:t>
      </w:r>
      <w:r>
        <w:rPr>
          <w:rFonts w:cs="Arial"/>
          <w:szCs w:val="22"/>
        </w:rPr>
        <w:t>merge in Australia and overseas.</w:t>
      </w:r>
    </w:p>
    <w:p w:rsidR="00841214" w:rsidRDefault="00841214" w:rsidP="00841214">
      <w:pPr>
        <w:rPr>
          <w:rFonts w:cs="Arial"/>
          <w:szCs w:val="22"/>
        </w:rPr>
      </w:pPr>
    </w:p>
    <w:p w:rsidR="00841214" w:rsidRPr="00FC155F" w:rsidRDefault="00841214" w:rsidP="00841214">
      <w:pPr>
        <w:pStyle w:val="Caption"/>
        <w:rPr>
          <w:rFonts w:cs="Arial"/>
          <w:b/>
          <w:i w:val="0"/>
          <w:color w:val="auto"/>
        </w:rPr>
      </w:pPr>
      <w:r w:rsidRPr="00FC155F">
        <w:rPr>
          <w:rFonts w:cs="Arial"/>
          <w:b/>
          <w:i w:val="0"/>
          <w:color w:val="auto"/>
        </w:rPr>
        <w:t xml:space="preserve">Table </w:t>
      </w:r>
      <w:r w:rsidRPr="00FC155F">
        <w:rPr>
          <w:rFonts w:cs="Arial"/>
          <w:b/>
          <w:i w:val="0"/>
          <w:color w:val="auto"/>
        </w:rPr>
        <w:fldChar w:fldCharType="begin"/>
      </w:r>
      <w:r w:rsidRPr="00FC155F">
        <w:rPr>
          <w:rFonts w:cs="Arial"/>
          <w:b/>
          <w:i w:val="0"/>
          <w:color w:val="auto"/>
        </w:rPr>
        <w:instrText xml:space="preserve"> SEQ Table \* ARABIC </w:instrText>
      </w:r>
      <w:r w:rsidRPr="00FC155F">
        <w:rPr>
          <w:rFonts w:cs="Arial"/>
          <w:b/>
          <w:i w:val="0"/>
          <w:color w:val="auto"/>
        </w:rPr>
        <w:fldChar w:fldCharType="separate"/>
      </w:r>
      <w:r w:rsidR="007A7F88">
        <w:rPr>
          <w:rFonts w:cs="Arial"/>
          <w:b/>
          <w:i w:val="0"/>
          <w:noProof/>
          <w:color w:val="auto"/>
        </w:rPr>
        <w:t>1</w:t>
      </w:r>
      <w:r w:rsidRPr="00FC155F">
        <w:rPr>
          <w:rFonts w:cs="Arial"/>
          <w:b/>
          <w:i w:val="0"/>
          <w:noProof/>
          <w:color w:val="auto"/>
        </w:rPr>
        <w:fldChar w:fldCharType="end"/>
      </w:r>
      <w:r w:rsidR="00750EAA">
        <w:rPr>
          <w:b/>
          <w:i w:val="0"/>
          <w:color w:val="auto"/>
        </w:rPr>
        <w:tab/>
      </w:r>
      <w:r w:rsidR="00750EAA">
        <w:rPr>
          <w:b/>
          <w:i w:val="0"/>
          <w:color w:val="auto"/>
        </w:rPr>
        <w:tab/>
      </w:r>
      <w:r w:rsidRPr="00FC155F">
        <w:rPr>
          <w:rFonts w:cs="Arial"/>
          <w:b/>
          <w:i w:val="0"/>
          <w:color w:val="auto"/>
        </w:rPr>
        <w:t>List of critical antimicrobial resistances</w:t>
      </w:r>
    </w:p>
    <w:tbl>
      <w:tblPr>
        <w:tblStyle w:val="GridTable4-Accent11"/>
        <w:tblW w:w="4946" w:type="pct"/>
        <w:tblLook w:val="04A0" w:firstRow="1" w:lastRow="0" w:firstColumn="1" w:lastColumn="0" w:noHBand="0" w:noVBand="1"/>
        <w:tblCaption w:val="Table 1 – List of Critical Antimicrobial Resistances"/>
        <w:tblDescription w:val="Table 1 – List of Critical Antimicrobial Resistances"/>
      </w:tblPr>
      <w:tblGrid>
        <w:gridCol w:w="2928"/>
        <w:gridCol w:w="6820"/>
      </w:tblGrid>
      <w:tr w:rsidR="00841214" w:rsidRPr="00506EF0" w:rsidTr="005526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 w:type="pct"/>
            <w:hideMark/>
          </w:tcPr>
          <w:p w:rsidR="00841214" w:rsidRPr="00506EF0" w:rsidRDefault="00841214" w:rsidP="0055268B">
            <w:pPr>
              <w:spacing w:before="120" w:after="120"/>
              <w:rPr>
                <w:rFonts w:eastAsiaTheme="minorHAnsi" w:cs="Arial"/>
                <w:b w:val="0"/>
                <w:bCs w:val="0"/>
                <w:color w:val="FFFFFF"/>
                <w:sz w:val="20"/>
                <w:szCs w:val="20"/>
              </w:rPr>
            </w:pPr>
            <w:r>
              <w:rPr>
                <w:rFonts w:cs="Arial"/>
                <w:color w:val="FFFFFF"/>
                <w:sz w:val="20"/>
                <w:szCs w:val="20"/>
              </w:rPr>
              <w:t>Species</w:t>
            </w:r>
            <w:r w:rsidRPr="00506EF0">
              <w:rPr>
                <w:rFonts w:cs="Arial"/>
                <w:color w:val="FFFFFF"/>
                <w:sz w:val="20"/>
                <w:szCs w:val="20"/>
              </w:rPr>
              <w:t xml:space="preserve"> </w:t>
            </w:r>
          </w:p>
        </w:tc>
        <w:tc>
          <w:tcPr>
            <w:tcW w:w="3498" w:type="pct"/>
            <w:hideMark/>
          </w:tcPr>
          <w:p w:rsidR="00841214" w:rsidRPr="00506EF0" w:rsidRDefault="00841214" w:rsidP="0055268B">
            <w:pPr>
              <w:spacing w:before="120" w:after="120"/>
              <w:cnfStyle w:val="100000000000" w:firstRow="1" w:lastRow="0" w:firstColumn="0" w:lastColumn="0" w:oddVBand="0" w:evenVBand="0" w:oddHBand="0" w:evenHBand="0" w:firstRowFirstColumn="0" w:firstRowLastColumn="0" w:lastRowFirstColumn="0" w:lastRowLastColumn="0"/>
              <w:rPr>
                <w:rFonts w:eastAsiaTheme="minorHAnsi" w:cs="Arial"/>
                <w:b w:val="0"/>
                <w:bCs w:val="0"/>
                <w:i/>
                <w:iCs/>
                <w:color w:val="FFFFFF"/>
                <w:sz w:val="20"/>
                <w:szCs w:val="20"/>
              </w:rPr>
            </w:pPr>
            <w:r>
              <w:rPr>
                <w:rFonts w:cs="Arial"/>
                <w:color w:val="FFFFFF"/>
                <w:sz w:val="20"/>
                <w:szCs w:val="20"/>
              </w:rPr>
              <w:t>Critical resistance</w:t>
            </w:r>
          </w:p>
        </w:tc>
      </w:tr>
      <w:tr w:rsidR="00841214" w:rsidRPr="00506EF0" w:rsidTr="0055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hideMark/>
          </w:tcPr>
          <w:p w:rsidR="00841214" w:rsidRPr="00661532" w:rsidRDefault="00841214" w:rsidP="0055268B">
            <w:pPr>
              <w:spacing w:before="60" w:after="60"/>
              <w:rPr>
                <w:rFonts w:eastAsiaTheme="minorHAnsi" w:cs="Arial"/>
                <w:bCs w:val="0"/>
                <w:iCs/>
                <w:sz w:val="20"/>
                <w:szCs w:val="20"/>
              </w:rPr>
            </w:pPr>
            <w:r w:rsidRPr="00661532">
              <w:rPr>
                <w:rFonts w:cs="Arial"/>
                <w:iCs/>
                <w:sz w:val="20"/>
                <w:szCs w:val="20"/>
              </w:rPr>
              <w:t>Enterobacteriaceae</w:t>
            </w:r>
          </w:p>
        </w:tc>
        <w:tc>
          <w:tcPr>
            <w:tcW w:w="3498" w:type="pct"/>
            <w:hideMark/>
          </w:tcPr>
          <w:p w:rsidR="00841214" w:rsidRPr="00506EF0" w:rsidRDefault="00841214" w:rsidP="0055268B">
            <w:pPr>
              <w:spacing w:before="60" w:after="60"/>
              <w:cnfStyle w:val="000000100000" w:firstRow="0" w:lastRow="0" w:firstColumn="0" w:lastColumn="0" w:oddVBand="0" w:evenVBand="0" w:oddHBand="1" w:evenHBand="0" w:firstRowFirstColumn="0" w:firstRowLastColumn="0" w:lastRowFirstColumn="0" w:lastRowLastColumn="0"/>
              <w:rPr>
                <w:rFonts w:eastAsiaTheme="minorHAnsi" w:cs="Arial"/>
                <w:sz w:val="20"/>
                <w:szCs w:val="20"/>
              </w:rPr>
            </w:pPr>
            <w:r w:rsidRPr="00506EF0">
              <w:rPr>
                <w:rFonts w:cs="Arial"/>
                <w:sz w:val="20"/>
                <w:szCs w:val="20"/>
              </w:rPr>
              <w:t xml:space="preserve">Carbapenemase-producing strains, </w:t>
            </w:r>
            <w:r w:rsidR="001F54A3">
              <w:rPr>
                <w:rFonts w:cs="Arial"/>
                <w:sz w:val="20"/>
                <w:szCs w:val="20"/>
              </w:rPr>
              <w:t>and/</w:t>
            </w:r>
            <w:r w:rsidRPr="00506EF0">
              <w:rPr>
                <w:rFonts w:cs="Arial"/>
                <w:sz w:val="20"/>
                <w:szCs w:val="20"/>
              </w:rPr>
              <w:t>or</w:t>
            </w:r>
          </w:p>
          <w:p w:rsidR="00841214" w:rsidRPr="00506EF0" w:rsidRDefault="00841214" w:rsidP="0055268B">
            <w:pPr>
              <w:spacing w:before="60" w:after="60"/>
              <w:cnfStyle w:val="000000100000" w:firstRow="0" w:lastRow="0" w:firstColumn="0" w:lastColumn="0" w:oddVBand="0" w:evenVBand="0" w:oddHBand="1" w:evenHBand="0" w:firstRowFirstColumn="0" w:firstRowLastColumn="0" w:lastRowFirstColumn="0" w:lastRowLastColumn="0"/>
              <w:rPr>
                <w:rFonts w:eastAsiaTheme="minorHAnsi" w:cs="Arial"/>
                <w:sz w:val="20"/>
                <w:szCs w:val="20"/>
              </w:rPr>
            </w:pPr>
            <w:r>
              <w:rPr>
                <w:rFonts w:cs="Arial"/>
                <w:sz w:val="20"/>
                <w:szCs w:val="20"/>
              </w:rPr>
              <w:t>r</w:t>
            </w:r>
            <w:r w:rsidRPr="00506EF0">
              <w:rPr>
                <w:rFonts w:cs="Arial"/>
                <w:sz w:val="20"/>
                <w:szCs w:val="20"/>
              </w:rPr>
              <w:t>ibosomal methyl</w:t>
            </w:r>
            <w:r w:rsidR="001F54A3">
              <w:rPr>
                <w:rFonts w:cs="Arial"/>
                <w:sz w:val="20"/>
                <w:szCs w:val="20"/>
              </w:rPr>
              <w:t>transfer</w:t>
            </w:r>
            <w:r w:rsidRPr="00506EF0">
              <w:rPr>
                <w:rFonts w:cs="Arial"/>
                <w:sz w:val="20"/>
                <w:szCs w:val="20"/>
              </w:rPr>
              <w:t>ase-producing</w:t>
            </w:r>
          </w:p>
        </w:tc>
      </w:tr>
      <w:tr w:rsidR="00841214" w:rsidRPr="00506EF0" w:rsidTr="0055268B">
        <w:tc>
          <w:tcPr>
            <w:cnfStyle w:val="001000000000" w:firstRow="0" w:lastRow="0" w:firstColumn="1" w:lastColumn="0" w:oddVBand="0" w:evenVBand="0" w:oddHBand="0" w:evenHBand="0" w:firstRowFirstColumn="0" w:firstRowLastColumn="0" w:lastRowFirstColumn="0" w:lastRowLastColumn="0"/>
            <w:tcW w:w="1502" w:type="pct"/>
            <w:hideMark/>
          </w:tcPr>
          <w:p w:rsidR="00841214" w:rsidRPr="00F11197" w:rsidRDefault="00841214" w:rsidP="0055268B">
            <w:pPr>
              <w:spacing w:before="60" w:after="60"/>
              <w:rPr>
                <w:rFonts w:eastAsiaTheme="minorHAnsi" w:cs="Arial"/>
                <w:bCs w:val="0"/>
                <w:i/>
                <w:iCs/>
                <w:sz w:val="20"/>
                <w:szCs w:val="20"/>
              </w:rPr>
            </w:pPr>
            <w:r w:rsidRPr="00661532">
              <w:rPr>
                <w:rFonts w:cs="Arial"/>
                <w:iCs/>
                <w:sz w:val="20"/>
                <w:szCs w:val="20"/>
              </w:rPr>
              <w:t>Enterococcus</w:t>
            </w:r>
            <w:r w:rsidRPr="00F11197">
              <w:rPr>
                <w:rFonts w:cs="Arial"/>
                <w:i/>
                <w:iCs/>
                <w:sz w:val="20"/>
                <w:szCs w:val="20"/>
              </w:rPr>
              <w:t xml:space="preserve"> </w:t>
            </w:r>
            <w:r w:rsidRPr="00F11197">
              <w:rPr>
                <w:rFonts w:cs="Arial"/>
                <w:sz w:val="20"/>
                <w:szCs w:val="20"/>
              </w:rPr>
              <w:t>species</w:t>
            </w:r>
          </w:p>
        </w:tc>
        <w:tc>
          <w:tcPr>
            <w:tcW w:w="3498" w:type="pct"/>
            <w:hideMark/>
          </w:tcPr>
          <w:p w:rsidR="00841214" w:rsidRPr="00506EF0" w:rsidRDefault="00841214" w:rsidP="0055268B">
            <w:pPr>
              <w:spacing w:before="60" w:after="60"/>
              <w:cnfStyle w:val="000000000000" w:firstRow="0" w:lastRow="0" w:firstColumn="0" w:lastColumn="0" w:oddVBand="0" w:evenVBand="0" w:oddHBand="0" w:evenHBand="0" w:firstRowFirstColumn="0" w:firstRowLastColumn="0" w:lastRowFirstColumn="0" w:lastRowLastColumn="0"/>
              <w:rPr>
                <w:rFonts w:eastAsiaTheme="minorHAnsi" w:cs="Arial"/>
                <w:sz w:val="20"/>
                <w:szCs w:val="20"/>
              </w:rPr>
            </w:pPr>
            <w:r w:rsidRPr="00506EF0">
              <w:rPr>
                <w:rFonts w:cs="Arial"/>
                <w:sz w:val="20"/>
                <w:szCs w:val="20"/>
              </w:rPr>
              <w:t>Linezolid non-susceptible</w:t>
            </w:r>
          </w:p>
        </w:tc>
      </w:tr>
      <w:tr w:rsidR="00841214" w:rsidRPr="00506EF0" w:rsidTr="0055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hideMark/>
          </w:tcPr>
          <w:p w:rsidR="00841214" w:rsidRPr="00F11197" w:rsidRDefault="00841214" w:rsidP="0055268B">
            <w:pPr>
              <w:spacing w:before="60" w:after="60"/>
              <w:rPr>
                <w:rFonts w:eastAsiaTheme="minorHAnsi" w:cs="Arial"/>
                <w:bCs w:val="0"/>
                <w:i/>
                <w:iCs/>
                <w:sz w:val="20"/>
                <w:szCs w:val="20"/>
              </w:rPr>
            </w:pPr>
            <w:r w:rsidRPr="00F11197">
              <w:rPr>
                <w:rFonts w:cs="Arial"/>
                <w:i/>
                <w:iCs/>
                <w:sz w:val="20"/>
                <w:szCs w:val="20"/>
              </w:rPr>
              <w:t>Mycobacterium tuberculosis</w:t>
            </w:r>
          </w:p>
        </w:tc>
        <w:tc>
          <w:tcPr>
            <w:tcW w:w="3498" w:type="pct"/>
            <w:hideMark/>
          </w:tcPr>
          <w:p w:rsidR="00841214" w:rsidRPr="00506EF0" w:rsidRDefault="00841214" w:rsidP="0055268B">
            <w:pPr>
              <w:spacing w:before="60" w:after="60"/>
              <w:cnfStyle w:val="000000100000" w:firstRow="0" w:lastRow="0" w:firstColumn="0" w:lastColumn="0" w:oddVBand="0" w:evenVBand="0" w:oddHBand="1" w:evenHBand="0" w:firstRowFirstColumn="0" w:firstRowLastColumn="0" w:lastRowFirstColumn="0" w:lastRowLastColumn="0"/>
              <w:rPr>
                <w:rFonts w:eastAsiaTheme="minorHAnsi" w:cs="Arial"/>
                <w:sz w:val="20"/>
                <w:szCs w:val="20"/>
              </w:rPr>
            </w:pPr>
            <w:r w:rsidRPr="00506EF0">
              <w:rPr>
                <w:rFonts w:cs="Arial"/>
                <w:sz w:val="20"/>
                <w:szCs w:val="20"/>
              </w:rPr>
              <w:t>M</w:t>
            </w:r>
            <w:r>
              <w:rPr>
                <w:rFonts w:cs="Arial"/>
                <w:sz w:val="20"/>
                <w:szCs w:val="20"/>
              </w:rPr>
              <w:t>ultidrug-resistant</w:t>
            </w:r>
            <w:r w:rsidRPr="00506EF0">
              <w:rPr>
                <w:rFonts w:cs="Arial"/>
                <w:sz w:val="20"/>
                <w:szCs w:val="20"/>
              </w:rPr>
              <w:t xml:space="preserve"> </w:t>
            </w:r>
            <w:r>
              <w:rPr>
                <w:rFonts w:cs="Arial"/>
                <w:sz w:val="20"/>
                <w:szCs w:val="20"/>
              </w:rPr>
              <w:t xml:space="preserve">– </w:t>
            </w:r>
            <w:r w:rsidRPr="00506EF0">
              <w:rPr>
                <w:rFonts w:cs="Arial"/>
                <w:sz w:val="20"/>
                <w:szCs w:val="20"/>
              </w:rPr>
              <w:t>at least rifampicin</w:t>
            </w:r>
            <w:r>
              <w:rPr>
                <w:rFonts w:cs="Arial"/>
                <w:sz w:val="20"/>
                <w:szCs w:val="20"/>
              </w:rPr>
              <w:t>-</w:t>
            </w:r>
            <w:r w:rsidRPr="00506EF0">
              <w:rPr>
                <w:rFonts w:cs="Arial"/>
                <w:sz w:val="20"/>
                <w:szCs w:val="20"/>
              </w:rPr>
              <w:t xml:space="preserve"> and isoniazid</w:t>
            </w:r>
            <w:r>
              <w:rPr>
                <w:rFonts w:cs="Arial"/>
                <w:sz w:val="20"/>
                <w:szCs w:val="20"/>
              </w:rPr>
              <w:t>-</w:t>
            </w:r>
            <w:r w:rsidRPr="00506EF0">
              <w:rPr>
                <w:rFonts w:cs="Arial"/>
                <w:sz w:val="20"/>
                <w:szCs w:val="20"/>
              </w:rPr>
              <w:t>resistant</w:t>
            </w:r>
          </w:p>
        </w:tc>
      </w:tr>
      <w:tr w:rsidR="00841214" w:rsidRPr="00506EF0" w:rsidTr="0055268B">
        <w:tc>
          <w:tcPr>
            <w:cnfStyle w:val="001000000000" w:firstRow="0" w:lastRow="0" w:firstColumn="1" w:lastColumn="0" w:oddVBand="0" w:evenVBand="0" w:oddHBand="0" w:evenHBand="0" w:firstRowFirstColumn="0" w:firstRowLastColumn="0" w:lastRowFirstColumn="0" w:lastRowLastColumn="0"/>
            <w:tcW w:w="1502" w:type="pct"/>
            <w:hideMark/>
          </w:tcPr>
          <w:p w:rsidR="00841214" w:rsidRPr="00F11197" w:rsidRDefault="00841214" w:rsidP="0055268B">
            <w:pPr>
              <w:spacing w:before="60" w:after="60"/>
              <w:rPr>
                <w:rFonts w:eastAsiaTheme="minorHAnsi" w:cs="Arial"/>
                <w:bCs w:val="0"/>
                <w:i/>
                <w:iCs/>
                <w:sz w:val="20"/>
                <w:szCs w:val="20"/>
              </w:rPr>
            </w:pPr>
            <w:r w:rsidRPr="00F11197">
              <w:rPr>
                <w:rFonts w:cs="Arial"/>
                <w:i/>
                <w:iCs/>
                <w:sz w:val="20"/>
                <w:szCs w:val="20"/>
              </w:rPr>
              <w:t>Neisseria gonorrhoeae</w:t>
            </w:r>
          </w:p>
        </w:tc>
        <w:tc>
          <w:tcPr>
            <w:tcW w:w="3498" w:type="pct"/>
            <w:hideMark/>
          </w:tcPr>
          <w:p w:rsidR="00841214" w:rsidRPr="00506EF0" w:rsidRDefault="00841214" w:rsidP="0055268B">
            <w:pPr>
              <w:spacing w:before="60" w:after="60"/>
              <w:cnfStyle w:val="000000000000" w:firstRow="0" w:lastRow="0" w:firstColumn="0" w:lastColumn="0" w:oddVBand="0" w:evenVBand="0" w:oddHBand="0" w:evenHBand="0" w:firstRowFirstColumn="0" w:firstRowLastColumn="0" w:lastRowFirstColumn="0" w:lastRowLastColumn="0"/>
              <w:rPr>
                <w:rFonts w:eastAsiaTheme="minorHAnsi" w:cs="Arial"/>
                <w:sz w:val="20"/>
                <w:szCs w:val="20"/>
              </w:rPr>
            </w:pPr>
            <w:r w:rsidRPr="00506EF0">
              <w:rPr>
                <w:rFonts w:cs="Arial"/>
                <w:sz w:val="20"/>
                <w:szCs w:val="20"/>
              </w:rPr>
              <w:t>Ceftriaxone</w:t>
            </w:r>
            <w:r>
              <w:rPr>
                <w:rFonts w:cs="Arial"/>
                <w:sz w:val="20"/>
                <w:szCs w:val="20"/>
              </w:rPr>
              <w:t xml:space="preserve"> </w:t>
            </w:r>
            <w:r w:rsidR="001F54A3">
              <w:rPr>
                <w:rFonts w:cs="Arial"/>
                <w:sz w:val="20"/>
                <w:szCs w:val="20"/>
              </w:rPr>
              <w:t>non-susceptible or azithromycin non-susceptible</w:t>
            </w:r>
          </w:p>
        </w:tc>
      </w:tr>
      <w:tr w:rsidR="00841214" w:rsidRPr="00506EF0" w:rsidTr="0055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hideMark/>
          </w:tcPr>
          <w:p w:rsidR="00841214" w:rsidRPr="00F11197" w:rsidRDefault="00841214" w:rsidP="0055268B">
            <w:pPr>
              <w:spacing w:before="60" w:after="60"/>
              <w:rPr>
                <w:rFonts w:eastAsiaTheme="minorHAnsi" w:cs="Arial"/>
                <w:bCs w:val="0"/>
                <w:i/>
                <w:iCs/>
                <w:sz w:val="20"/>
                <w:szCs w:val="20"/>
              </w:rPr>
            </w:pPr>
            <w:r w:rsidRPr="00F11197">
              <w:rPr>
                <w:rFonts w:cs="Arial"/>
                <w:i/>
                <w:iCs/>
                <w:sz w:val="20"/>
                <w:szCs w:val="20"/>
              </w:rPr>
              <w:t xml:space="preserve">Salmonella </w:t>
            </w:r>
            <w:r w:rsidRPr="00F11197">
              <w:rPr>
                <w:rFonts w:cs="Arial"/>
                <w:sz w:val="20"/>
                <w:szCs w:val="20"/>
              </w:rPr>
              <w:t>species</w:t>
            </w:r>
          </w:p>
        </w:tc>
        <w:tc>
          <w:tcPr>
            <w:tcW w:w="3498" w:type="pct"/>
            <w:hideMark/>
          </w:tcPr>
          <w:p w:rsidR="00841214" w:rsidRPr="00506EF0" w:rsidRDefault="00841214" w:rsidP="0055268B">
            <w:pPr>
              <w:spacing w:before="60" w:after="60"/>
              <w:cnfStyle w:val="000000100000" w:firstRow="0" w:lastRow="0" w:firstColumn="0" w:lastColumn="0" w:oddVBand="0" w:evenVBand="0" w:oddHBand="1" w:evenHBand="0" w:firstRowFirstColumn="0" w:firstRowLastColumn="0" w:lastRowFirstColumn="0" w:lastRowLastColumn="0"/>
              <w:rPr>
                <w:rFonts w:eastAsiaTheme="minorHAnsi" w:cs="Arial"/>
                <w:sz w:val="20"/>
                <w:szCs w:val="20"/>
              </w:rPr>
            </w:pPr>
            <w:r w:rsidRPr="00506EF0">
              <w:rPr>
                <w:rFonts w:cs="Arial"/>
                <w:sz w:val="20"/>
                <w:szCs w:val="20"/>
              </w:rPr>
              <w:t>Ceftriaxone non-susceptible</w:t>
            </w:r>
          </w:p>
        </w:tc>
      </w:tr>
      <w:tr w:rsidR="00841214" w:rsidRPr="00506EF0" w:rsidTr="0055268B">
        <w:tc>
          <w:tcPr>
            <w:cnfStyle w:val="001000000000" w:firstRow="0" w:lastRow="0" w:firstColumn="1" w:lastColumn="0" w:oddVBand="0" w:evenVBand="0" w:oddHBand="0" w:evenHBand="0" w:firstRowFirstColumn="0" w:firstRowLastColumn="0" w:lastRowFirstColumn="0" w:lastRowLastColumn="0"/>
            <w:tcW w:w="1502" w:type="pct"/>
            <w:hideMark/>
          </w:tcPr>
          <w:p w:rsidR="00841214" w:rsidRPr="00F11197" w:rsidRDefault="00841214" w:rsidP="0055268B">
            <w:pPr>
              <w:spacing w:before="60" w:after="60"/>
              <w:rPr>
                <w:rFonts w:eastAsiaTheme="minorHAnsi" w:cs="Arial"/>
                <w:bCs w:val="0"/>
                <w:i/>
                <w:iCs/>
                <w:sz w:val="20"/>
                <w:szCs w:val="20"/>
              </w:rPr>
            </w:pPr>
            <w:r w:rsidRPr="00F11197">
              <w:rPr>
                <w:rFonts w:cs="Arial"/>
                <w:i/>
                <w:iCs/>
                <w:sz w:val="20"/>
                <w:szCs w:val="20"/>
              </w:rPr>
              <w:t xml:space="preserve">Shigella </w:t>
            </w:r>
            <w:r w:rsidRPr="00F11197">
              <w:rPr>
                <w:rFonts w:cs="Arial"/>
                <w:sz w:val="20"/>
                <w:szCs w:val="20"/>
              </w:rPr>
              <w:t>species</w:t>
            </w:r>
          </w:p>
        </w:tc>
        <w:tc>
          <w:tcPr>
            <w:tcW w:w="3498" w:type="pct"/>
            <w:hideMark/>
          </w:tcPr>
          <w:p w:rsidR="00841214" w:rsidRPr="00506EF0" w:rsidRDefault="00841214" w:rsidP="0055268B">
            <w:pPr>
              <w:spacing w:before="60" w:after="60"/>
              <w:cnfStyle w:val="000000000000" w:firstRow="0" w:lastRow="0" w:firstColumn="0" w:lastColumn="0" w:oddVBand="0" w:evenVBand="0" w:oddHBand="0" w:evenHBand="0" w:firstRowFirstColumn="0" w:firstRowLastColumn="0" w:lastRowFirstColumn="0" w:lastRowLastColumn="0"/>
              <w:rPr>
                <w:rFonts w:eastAsiaTheme="minorHAnsi" w:cs="Arial"/>
                <w:sz w:val="20"/>
                <w:szCs w:val="20"/>
              </w:rPr>
            </w:pPr>
            <w:r w:rsidRPr="00506EF0">
              <w:rPr>
                <w:rFonts w:cs="Arial"/>
                <w:sz w:val="20"/>
                <w:szCs w:val="20"/>
              </w:rPr>
              <w:t>M</w:t>
            </w:r>
            <w:r>
              <w:rPr>
                <w:rFonts w:cs="Arial"/>
                <w:sz w:val="20"/>
                <w:szCs w:val="20"/>
              </w:rPr>
              <w:t xml:space="preserve">ultidrug-resistant </w:t>
            </w:r>
          </w:p>
        </w:tc>
      </w:tr>
      <w:tr w:rsidR="00841214" w:rsidRPr="00506EF0" w:rsidTr="0055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hideMark/>
          </w:tcPr>
          <w:p w:rsidR="00841214" w:rsidRPr="00F11197" w:rsidRDefault="00841214" w:rsidP="0055268B">
            <w:pPr>
              <w:spacing w:before="60" w:after="60"/>
              <w:rPr>
                <w:rFonts w:eastAsiaTheme="minorHAnsi" w:cs="Arial"/>
                <w:bCs w:val="0"/>
                <w:i/>
                <w:iCs/>
                <w:sz w:val="20"/>
                <w:szCs w:val="20"/>
              </w:rPr>
            </w:pPr>
            <w:r w:rsidRPr="00F11197">
              <w:rPr>
                <w:rFonts w:cs="Arial"/>
                <w:i/>
                <w:iCs/>
                <w:sz w:val="20"/>
                <w:szCs w:val="20"/>
              </w:rPr>
              <w:t>Staphylococcus aureus</w:t>
            </w:r>
          </w:p>
        </w:tc>
        <w:tc>
          <w:tcPr>
            <w:tcW w:w="3498" w:type="pct"/>
            <w:hideMark/>
          </w:tcPr>
          <w:p w:rsidR="00841214" w:rsidRPr="00506EF0" w:rsidRDefault="00841214" w:rsidP="0055268B">
            <w:pPr>
              <w:spacing w:before="60" w:after="60"/>
              <w:cnfStyle w:val="000000100000" w:firstRow="0" w:lastRow="0" w:firstColumn="0" w:lastColumn="0" w:oddVBand="0" w:evenVBand="0" w:oddHBand="1" w:evenHBand="0" w:firstRowFirstColumn="0" w:firstRowLastColumn="0" w:lastRowFirstColumn="0" w:lastRowLastColumn="0"/>
              <w:rPr>
                <w:rFonts w:eastAsiaTheme="minorHAnsi" w:cs="Arial"/>
                <w:sz w:val="20"/>
                <w:szCs w:val="20"/>
              </w:rPr>
            </w:pPr>
            <w:r w:rsidRPr="00506EF0">
              <w:rPr>
                <w:rFonts w:cs="Arial"/>
                <w:sz w:val="20"/>
                <w:szCs w:val="20"/>
              </w:rPr>
              <w:t>Vancomycin, linezolid or daptomycin non-susceptible</w:t>
            </w:r>
          </w:p>
        </w:tc>
      </w:tr>
      <w:tr w:rsidR="00841214" w:rsidRPr="00506EF0" w:rsidTr="0055268B">
        <w:tc>
          <w:tcPr>
            <w:cnfStyle w:val="001000000000" w:firstRow="0" w:lastRow="0" w:firstColumn="1" w:lastColumn="0" w:oddVBand="0" w:evenVBand="0" w:oddHBand="0" w:evenHBand="0" w:firstRowFirstColumn="0" w:firstRowLastColumn="0" w:lastRowFirstColumn="0" w:lastRowLastColumn="0"/>
            <w:tcW w:w="1502" w:type="pct"/>
            <w:hideMark/>
          </w:tcPr>
          <w:p w:rsidR="00841214" w:rsidRPr="00F11197" w:rsidRDefault="00841214" w:rsidP="0055268B">
            <w:pPr>
              <w:spacing w:before="60" w:after="60"/>
              <w:rPr>
                <w:rFonts w:eastAsiaTheme="minorHAnsi" w:cs="Arial"/>
                <w:bCs w:val="0"/>
                <w:i/>
                <w:iCs/>
                <w:sz w:val="20"/>
                <w:szCs w:val="20"/>
              </w:rPr>
            </w:pPr>
            <w:r w:rsidRPr="00F11197">
              <w:rPr>
                <w:rFonts w:cs="Arial"/>
                <w:i/>
                <w:iCs/>
                <w:sz w:val="20"/>
                <w:szCs w:val="20"/>
              </w:rPr>
              <w:t>Streptococcus pyogenes</w:t>
            </w:r>
          </w:p>
        </w:tc>
        <w:tc>
          <w:tcPr>
            <w:tcW w:w="3498" w:type="pct"/>
            <w:hideMark/>
          </w:tcPr>
          <w:p w:rsidR="00841214" w:rsidRPr="00506EF0" w:rsidRDefault="00841214" w:rsidP="0055268B">
            <w:pPr>
              <w:spacing w:before="60" w:after="60"/>
              <w:cnfStyle w:val="000000000000" w:firstRow="0" w:lastRow="0" w:firstColumn="0" w:lastColumn="0" w:oddVBand="0" w:evenVBand="0" w:oddHBand="0" w:evenHBand="0" w:firstRowFirstColumn="0" w:firstRowLastColumn="0" w:lastRowFirstColumn="0" w:lastRowLastColumn="0"/>
              <w:rPr>
                <w:rFonts w:eastAsiaTheme="minorHAnsi" w:cs="Arial"/>
                <w:sz w:val="20"/>
                <w:szCs w:val="20"/>
              </w:rPr>
            </w:pPr>
            <w:r w:rsidRPr="00506EF0">
              <w:rPr>
                <w:rFonts w:cs="Arial"/>
                <w:sz w:val="20"/>
                <w:szCs w:val="20"/>
              </w:rPr>
              <w:t>Penicillin reduced susceptibility</w:t>
            </w:r>
          </w:p>
        </w:tc>
      </w:tr>
    </w:tbl>
    <w:p w:rsidR="00841214" w:rsidRDefault="00841214" w:rsidP="00841214">
      <w:pPr>
        <w:spacing w:before="120"/>
        <w:rPr>
          <w:rFonts w:cs="Arial"/>
          <w:szCs w:val="22"/>
        </w:rPr>
      </w:pPr>
    </w:p>
    <w:p w:rsidR="00841214" w:rsidRDefault="00841214" w:rsidP="00841214">
      <w:pPr>
        <w:spacing w:before="120"/>
        <w:rPr>
          <w:rFonts w:cs="Arial"/>
          <w:szCs w:val="22"/>
        </w:rPr>
      </w:pPr>
      <w:r w:rsidRPr="004338A1">
        <w:rPr>
          <w:rFonts w:cs="Arial"/>
          <w:szCs w:val="22"/>
        </w:rPr>
        <w:t xml:space="preserve">Under </w:t>
      </w:r>
      <w:r>
        <w:rPr>
          <w:rFonts w:cs="Arial"/>
          <w:szCs w:val="22"/>
        </w:rPr>
        <w:t>existing testing processes, originating laboratories</w:t>
      </w:r>
      <w:r w:rsidRPr="004338A1">
        <w:rPr>
          <w:rFonts w:cs="Arial"/>
          <w:szCs w:val="22"/>
        </w:rPr>
        <w:t xml:space="preserve"> </w:t>
      </w:r>
      <w:r>
        <w:rPr>
          <w:rFonts w:cs="Arial"/>
          <w:szCs w:val="22"/>
        </w:rPr>
        <w:t>perform</w:t>
      </w:r>
      <w:r w:rsidRPr="004338A1">
        <w:rPr>
          <w:rFonts w:cs="Arial"/>
          <w:szCs w:val="22"/>
        </w:rPr>
        <w:t xml:space="preserve"> routine test</w:t>
      </w:r>
      <w:r>
        <w:rPr>
          <w:rFonts w:cs="Arial"/>
          <w:szCs w:val="22"/>
        </w:rPr>
        <w:t>s</w:t>
      </w:r>
      <w:r w:rsidRPr="004338A1">
        <w:rPr>
          <w:rFonts w:cs="Arial"/>
          <w:szCs w:val="22"/>
        </w:rPr>
        <w:t xml:space="preserve"> of </w:t>
      </w:r>
      <w:r>
        <w:rPr>
          <w:rFonts w:cs="Arial"/>
          <w:szCs w:val="22"/>
        </w:rPr>
        <w:t>an isolate</w:t>
      </w:r>
      <w:r w:rsidRPr="004338A1">
        <w:rPr>
          <w:rFonts w:cs="Arial"/>
          <w:szCs w:val="22"/>
        </w:rPr>
        <w:t xml:space="preserve"> to identify </w:t>
      </w:r>
      <w:r>
        <w:rPr>
          <w:rFonts w:cs="Arial"/>
          <w:szCs w:val="22"/>
        </w:rPr>
        <w:t>whether it is potentially a CAR. If suspected as a CAR,</w:t>
      </w:r>
      <w:r w:rsidRPr="004338A1">
        <w:rPr>
          <w:rFonts w:cs="Arial"/>
          <w:szCs w:val="22"/>
        </w:rPr>
        <w:t xml:space="preserve"> </w:t>
      </w:r>
      <w:r>
        <w:rPr>
          <w:rFonts w:cs="Arial"/>
          <w:szCs w:val="22"/>
        </w:rPr>
        <w:t xml:space="preserve">the isolate is </w:t>
      </w:r>
      <w:r w:rsidRPr="004338A1">
        <w:rPr>
          <w:rFonts w:cs="Arial"/>
          <w:szCs w:val="22"/>
        </w:rPr>
        <w:t xml:space="preserve">referred to </w:t>
      </w:r>
      <w:r>
        <w:rPr>
          <w:rFonts w:cs="Arial"/>
          <w:szCs w:val="22"/>
        </w:rPr>
        <w:t xml:space="preserve">one of the 28 </w:t>
      </w:r>
      <w:r w:rsidRPr="004338A1">
        <w:rPr>
          <w:rFonts w:cs="Arial"/>
          <w:szCs w:val="22"/>
        </w:rPr>
        <w:t>confirming laborator</w:t>
      </w:r>
      <w:r>
        <w:rPr>
          <w:rFonts w:cs="Arial"/>
          <w:szCs w:val="22"/>
        </w:rPr>
        <w:t>ies currently participating in CARAlert</w:t>
      </w:r>
      <w:r w:rsidRPr="004338A1">
        <w:rPr>
          <w:rFonts w:cs="Arial"/>
          <w:szCs w:val="22"/>
        </w:rPr>
        <w:t>.</w:t>
      </w:r>
    </w:p>
    <w:p w:rsidR="00841214" w:rsidRDefault="00841214" w:rsidP="00841214">
      <w:pPr>
        <w:spacing w:before="120"/>
        <w:rPr>
          <w:rFonts w:cs="Arial"/>
          <w:szCs w:val="22"/>
        </w:rPr>
      </w:pPr>
      <w:r w:rsidRPr="004338A1">
        <w:rPr>
          <w:rFonts w:cs="Arial"/>
          <w:szCs w:val="22"/>
        </w:rPr>
        <w:t>The confirming laboratory advise</w:t>
      </w:r>
      <w:r>
        <w:rPr>
          <w:rFonts w:cs="Arial"/>
          <w:szCs w:val="22"/>
        </w:rPr>
        <w:t>s</w:t>
      </w:r>
      <w:r w:rsidRPr="004338A1">
        <w:rPr>
          <w:rFonts w:cs="Arial"/>
          <w:szCs w:val="22"/>
        </w:rPr>
        <w:t xml:space="preserve"> the originating laboratory of the result </w:t>
      </w:r>
      <w:r>
        <w:rPr>
          <w:rFonts w:cs="Arial"/>
          <w:szCs w:val="22"/>
        </w:rPr>
        <w:t>of the test for reporting back to the general practice or hospital</w:t>
      </w:r>
      <w:r w:rsidR="00890030">
        <w:rPr>
          <w:rFonts w:cs="Arial"/>
          <w:szCs w:val="22"/>
        </w:rPr>
        <w:t xml:space="preserve"> that </w:t>
      </w:r>
      <w:r>
        <w:rPr>
          <w:rFonts w:cs="Arial"/>
          <w:szCs w:val="22"/>
        </w:rPr>
        <w:t>cared for the patient from whom the specimen was collected. The</w:t>
      </w:r>
      <w:r w:rsidR="008E5D16">
        <w:rPr>
          <w:rFonts w:cs="Arial"/>
          <w:szCs w:val="22"/>
        </w:rPr>
        <w:t xml:space="preserve"> results of these confirmatory tests are provided prior to </w:t>
      </w:r>
      <w:r w:rsidRPr="004338A1">
        <w:rPr>
          <w:rFonts w:cs="Arial"/>
          <w:szCs w:val="22"/>
        </w:rPr>
        <w:t xml:space="preserve">the details of the resistance and organism </w:t>
      </w:r>
      <w:r w:rsidR="008E5D16">
        <w:rPr>
          <w:rFonts w:cs="Arial"/>
          <w:szCs w:val="22"/>
        </w:rPr>
        <w:t xml:space="preserve">are entered </w:t>
      </w:r>
      <w:r w:rsidRPr="004338A1">
        <w:rPr>
          <w:rFonts w:cs="Arial"/>
          <w:szCs w:val="22"/>
        </w:rPr>
        <w:t>into the CARAlert web portal</w:t>
      </w:r>
      <w:r>
        <w:rPr>
          <w:rFonts w:cs="Arial"/>
          <w:szCs w:val="22"/>
        </w:rPr>
        <w:t>.</w:t>
      </w:r>
      <w:r w:rsidRPr="004338A1">
        <w:rPr>
          <w:rFonts w:cs="Arial"/>
          <w:szCs w:val="22"/>
        </w:rPr>
        <w:t xml:space="preserve"> </w:t>
      </w:r>
      <w:r>
        <w:rPr>
          <w:rFonts w:cs="Arial"/>
          <w:szCs w:val="22"/>
        </w:rPr>
        <w:t>A</w:t>
      </w:r>
      <w:r w:rsidRPr="004338A1">
        <w:rPr>
          <w:rFonts w:cs="Arial"/>
          <w:szCs w:val="22"/>
        </w:rPr>
        <w:t xml:space="preserve">lerts </w:t>
      </w:r>
      <w:r>
        <w:rPr>
          <w:rFonts w:cs="Arial"/>
          <w:szCs w:val="22"/>
        </w:rPr>
        <w:t xml:space="preserve">are reported </w:t>
      </w:r>
      <w:r w:rsidRPr="004338A1">
        <w:rPr>
          <w:rFonts w:cs="Arial"/>
          <w:szCs w:val="22"/>
        </w:rPr>
        <w:t xml:space="preserve">to </w:t>
      </w:r>
      <w:r>
        <w:rPr>
          <w:rFonts w:cs="Arial"/>
          <w:szCs w:val="22"/>
        </w:rPr>
        <w:t xml:space="preserve">the Commission and to </w:t>
      </w:r>
      <w:r w:rsidRPr="004338A1">
        <w:rPr>
          <w:rFonts w:cs="Arial"/>
          <w:szCs w:val="22"/>
        </w:rPr>
        <w:t xml:space="preserve">nominated </w:t>
      </w:r>
      <w:r>
        <w:rPr>
          <w:rFonts w:cs="Arial"/>
          <w:szCs w:val="22"/>
        </w:rPr>
        <w:t xml:space="preserve">state and territory health </w:t>
      </w:r>
      <w:r w:rsidRPr="004338A1">
        <w:rPr>
          <w:rFonts w:cs="Arial"/>
          <w:szCs w:val="22"/>
        </w:rPr>
        <w:t>personnel</w:t>
      </w:r>
      <w:r>
        <w:rPr>
          <w:rFonts w:cs="Arial"/>
          <w:szCs w:val="22"/>
        </w:rPr>
        <w:t xml:space="preserve"> weekly</w:t>
      </w:r>
      <w:r w:rsidRPr="004338A1">
        <w:rPr>
          <w:rFonts w:cs="Arial"/>
          <w:szCs w:val="22"/>
        </w:rPr>
        <w:t xml:space="preserve">. </w:t>
      </w:r>
    </w:p>
    <w:p w:rsidR="00D01A61" w:rsidRDefault="00D01A61">
      <w:pPr>
        <w:rPr>
          <w:rFonts w:cs="Arial"/>
          <w:szCs w:val="22"/>
        </w:rPr>
      </w:pPr>
      <w:r>
        <w:rPr>
          <w:rFonts w:cs="Arial"/>
          <w:szCs w:val="22"/>
        </w:rPr>
        <w:br w:type="page"/>
      </w:r>
    </w:p>
    <w:p w:rsidR="00841214" w:rsidRPr="00B642C3" w:rsidRDefault="008E5D16" w:rsidP="00841214">
      <w:pPr>
        <w:spacing w:before="120"/>
        <w:rPr>
          <w:rFonts w:cs="Arial"/>
          <w:szCs w:val="22"/>
        </w:rPr>
      </w:pPr>
      <w:r>
        <w:rPr>
          <w:rFonts w:cs="Arial"/>
          <w:szCs w:val="22"/>
        </w:rPr>
        <w:lastRenderedPageBreak/>
        <w:t xml:space="preserve">Reporting from CARAlert is </w:t>
      </w:r>
      <w:r w:rsidR="00841214" w:rsidRPr="00B642C3">
        <w:rPr>
          <w:rFonts w:cs="Arial"/>
          <w:szCs w:val="22"/>
        </w:rPr>
        <w:t xml:space="preserve">based on the date that </w:t>
      </w:r>
      <w:r w:rsidR="00841214">
        <w:rPr>
          <w:rFonts w:cs="Arial"/>
          <w:szCs w:val="22"/>
        </w:rPr>
        <w:t xml:space="preserve">the CAR was confirmed. The majority of CARs are submitted </w:t>
      </w:r>
      <w:r>
        <w:rPr>
          <w:rFonts w:cs="Arial"/>
          <w:szCs w:val="22"/>
        </w:rPr>
        <w:t xml:space="preserve">to the system </w:t>
      </w:r>
      <w:r w:rsidR="00841214">
        <w:rPr>
          <w:rFonts w:cs="Arial"/>
          <w:szCs w:val="22"/>
        </w:rPr>
        <w:t xml:space="preserve">within seven days of confirmation. However, some batch testing occurs for isolates </w:t>
      </w:r>
      <w:r w:rsidR="00841214" w:rsidRPr="00B642C3">
        <w:rPr>
          <w:rFonts w:cs="Arial"/>
          <w:szCs w:val="22"/>
        </w:rPr>
        <w:t xml:space="preserve">referred to the National Neisseria Network (NNN) </w:t>
      </w:r>
      <w:r w:rsidR="00841214">
        <w:rPr>
          <w:rFonts w:cs="Arial"/>
          <w:szCs w:val="22"/>
        </w:rPr>
        <w:t>and</w:t>
      </w:r>
      <w:r w:rsidR="00841214" w:rsidRPr="00B642C3">
        <w:rPr>
          <w:rFonts w:cs="Arial"/>
          <w:szCs w:val="22"/>
        </w:rPr>
        <w:t xml:space="preserve"> the Australian </w:t>
      </w:r>
      <w:r w:rsidR="00841214">
        <w:rPr>
          <w:rFonts w:cs="Arial"/>
          <w:szCs w:val="22"/>
        </w:rPr>
        <w:t>Mycobacterium</w:t>
      </w:r>
      <w:r w:rsidR="00841214" w:rsidRPr="00B642C3">
        <w:rPr>
          <w:rFonts w:cs="Arial"/>
          <w:szCs w:val="22"/>
        </w:rPr>
        <w:t xml:space="preserve"> Reference Laboratory Network (AMRLN) laboratories</w:t>
      </w:r>
      <w:r w:rsidR="00841214" w:rsidRPr="00E52A7E">
        <w:rPr>
          <w:rFonts w:cs="Arial"/>
          <w:szCs w:val="22"/>
        </w:rPr>
        <w:t xml:space="preserve">. </w:t>
      </w:r>
      <w:r w:rsidR="00841214">
        <w:rPr>
          <w:rFonts w:cs="Arial"/>
          <w:szCs w:val="22"/>
        </w:rPr>
        <w:t xml:space="preserve">This </w:t>
      </w:r>
      <w:r w:rsidR="00841214" w:rsidRPr="00E52A7E">
        <w:rPr>
          <w:rFonts w:cs="Arial"/>
          <w:szCs w:val="22"/>
        </w:rPr>
        <w:t xml:space="preserve">may </w:t>
      </w:r>
      <w:r w:rsidR="00841214">
        <w:rPr>
          <w:rFonts w:cs="Arial"/>
          <w:szCs w:val="22"/>
        </w:rPr>
        <w:t xml:space="preserve">result in the outcome of </w:t>
      </w:r>
      <w:r w:rsidR="00455D92">
        <w:rPr>
          <w:rFonts w:cs="Arial"/>
          <w:szCs w:val="22"/>
        </w:rPr>
        <w:t xml:space="preserve">confirmatory </w:t>
      </w:r>
      <w:r w:rsidR="00841214">
        <w:rPr>
          <w:rFonts w:cs="Arial"/>
          <w:szCs w:val="22"/>
        </w:rPr>
        <w:t>testing being entered into the CARAlert database</w:t>
      </w:r>
      <w:r w:rsidR="00841214" w:rsidRPr="00E52A7E">
        <w:rPr>
          <w:rFonts w:cs="Arial"/>
          <w:szCs w:val="22"/>
        </w:rPr>
        <w:t xml:space="preserve"> </w:t>
      </w:r>
      <w:r w:rsidR="00455D92">
        <w:rPr>
          <w:rFonts w:cs="Arial"/>
          <w:szCs w:val="22"/>
        </w:rPr>
        <w:t xml:space="preserve">up to two months following collection of the isolate. The Commission is working with confirming laboratories on strategies </w:t>
      </w:r>
      <w:r w:rsidR="000E1F1F">
        <w:rPr>
          <w:rFonts w:cs="Arial"/>
          <w:szCs w:val="22"/>
        </w:rPr>
        <w:t>to</w:t>
      </w:r>
      <w:r w:rsidR="00455D92">
        <w:rPr>
          <w:rFonts w:cs="Arial"/>
          <w:szCs w:val="22"/>
        </w:rPr>
        <w:t xml:space="preserve"> improve timeliness of reporting </w:t>
      </w:r>
      <w:r w:rsidR="000E1F1F">
        <w:rPr>
          <w:rFonts w:cs="Arial"/>
          <w:szCs w:val="22"/>
        </w:rPr>
        <w:t>to CARAlert</w:t>
      </w:r>
      <w:r w:rsidR="00455D92">
        <w:rPr>
          <w:rFonts w:cs="Arial"/>
          <w:szCs w:val="22"/>
        </w:rPr>
        <w:t>.</w:t>
      </w:r>
    </w:p>
    <w:p w:rsidR="007550B8" w:rsidRPr="00841214" w:rsidRDefault="007550B8" w:rsidP="00164D03">
      <w:pPr>
        <w:pStyle w:val="Heading1"/>
        <w:spacing w:after="240"/>
        <w:rPr>
          <w:color w:val="AA610D" w:themeColor="accent1" w:themeShade="BF"/>
          <w:sz w:val="32"/>
        </w:rPr>
      </w:pPr>
      <w:bookmarkStart w:id="3" w:name="_Toc486425615"/>
      <w:r>
        <w:rPr>
          <w:color w:val="AA610D" w:themeColor="accent1" w:themeShade="BF"/>
          <w:sz w:val="32"/>
        </w:rPr>
        <w:t>Results</w:t>
      </w:r>
      <w:bookmarkEnd w:id="3"/>
    </w:p>
    <w:p w:rsidR="007550B8" w:rsidRDefault="00890030" w:rsidP="007550B8">
      <w:pPr>
        <w:spacing w:before="120"/>
        <w:rPr>
          <w:rStyle w:val="IntenseReference"/>
          <w:rFonts w:cs="Arial"/>
          <w:b w:val="0"/>
          <w:bCs w:val="0"/>
          <w:i w:val="0"/>
          <w:smallCaps w:val="0"/>
          <w:color w:val="auto"/>
          <w:spacing w:val="0"/>
          <w:szCs w:val="22"/>
        </w:rPr>
      </w:pPr>
      <w:r w:rsidRPr="00890030">
        <w:rPr>
          <w:rStyle w:val="IntenseReference"/>
          <w:rFonts w:cs="Arial"/>
          <w:b w:val="0"/>
          <w:bCs w:val="0"/>
          <w:i w:val="0"/>
          <w:smallCaps w:val="0"/>
          <w:color w:val="auto"/>
          <w:spacing w:val="0"/>
          <w:szCs w:val="22"/>
        </w:rPr>
        <w:t xml:space="preserve">This report </w:t>
      </w:r>
      <w:r w:rsidR="00D21BC6">
        <w:rPr>
          <w:rStyle w:val="IntenseReference"/>
          <w:rFonts w:cs="Arial"/>
          <w:b w:val="0"/>
          <w:bCs w:val="0"/>
          <w:i w:val="0"/>
          <w:smallCaps w:val="0"/>
          <w:color w:val="auto"/>
          <w:spacing w:val="0"/>
          <w:szCs w:val="22"/>
        </w:rPr>
        <w:t xml:space="preserve">provides the details of </w:t>
      </w:r>
      <w:r w:rsidRPr="00890030">
        <w:rPr>
          <w:rStyle w:val="IntenseReference"/>
          <w:rFonts w:cs="Arial"/>
          <w:b w:val="0"/>
          <w:bCs w:val="0"/>
          <w:i w:val="0"/>
          <w:smallCaps w:val="0"/>
          <w:color w:val="auto"/>
          <w:spacing w:val="0"/>
          <w:szCs w:val="22"/>
        </w:rPr>
        <w:t xml:space="preserve">CARs submitted </w:t>
      </w:r>
      <w:r w:rsidR="00D21BC6">
        <w:rPr>
          <w:rStyle w:val="IntenseReference"/>
          <w:rFonts w:cs="Arial"/>
          <w:b w:val="0"/>
          <w:bCs w:val="0"/>
          <w:i w:val="0"/>
          <w:smallCaps w:val="0"/>
          <w:color w:val="auto"/>
          <w:spacing w:val="0"/>
          <w:szCs w:val="22"/>
        </w:rPr>
        <w:t xml:space="preserve">into the CARAlert system </w:t>
      </w:r>
      <w:r w:rsidRPr="00890030">
        <w:rPr>
          <w:rStyle w:val="IntenseReference"/>
          <w:rFonts w:cs="Arial"/>
          <w:b w:val="0"/>
          <w:bCs w:val="0"/>
          <w:i w:val="0"/>
          <w:smallCaps w:val="0"/>
          <w:color w:val="auto"/>
          <w:spacing w:val="0"/>
          <w:szCs w:val="22"/>
        </w:rPr>
        <w:t>between 17 March 2016 and 31 March 2017.</w:t>
      </w:r>
    </w:p>
    <w:p w:rsidR="00AE718B" w:rsidRDefault="00AE718B" w:rsidP="007550B8">
      <w:pPr>
        <w:spacing w:before="120"/>
        <w:rPr>
          <w:rStyle w:val="IntenseReference"/>
          <w:rFonts w:cs="Arial"/>
          <w:b w:val="0"/>
          <w:bCs w:val="0"/>
          <w:i w:val="0"/>
          <w:smallCaps w:val="0"/>
          <w:color w:val="auto"/>
          <w:spacing w:val="0"/>
          <w:szCs w:val="22"/>
        </w:rPr>
      </w:pPr>
    </w:p>
    <w:p w:rsidR="00890030" w:rsidRPr="00890030" w:rsidRDefault="00890030" w:rsidP="00164D03">
      <w:pPr>
        <w:keepNext/>
        <w:spacing w:before="240" w:after="240"/>
        <w:outlineLvl w:val="0"/>
        <w:rPr>
          <w:rStyle w:val="IntenseReference"/>
          <w:rFonts w:cs="Arial"/>
          <w:bCs w:val="0"/>
          <w:i w:val="0"/>
          <w:smallCaps w:val="0"/>
          <w:color w:val="AA610D" w:themeColor="accent1" w:themeShade="BF"/>
          <w:spacing w:val="0"/>
          <w:sz w:val="28"/>
          <w:szCs w:val="28"/>
        </w:rPr>
      </w:pPr>
      <w:bookmarkStart w:id="4" w:name="_Toc486425616"/>
      <w:r>
        <w:rPr>
          <w:rStyle w:val="IntenseReference"/>
          <w:rFonts w:cs="Arial"/>
          <w:bCs w:val="0"/>
          <w:i w:val="0"/>
          <w:smallCaps w:val="0"/>
          <w:color w:val="AA610D" w:themeColor="accent1" w:themeShade="BF"/>
          <w:spacing w:val="0"/>
          <w:sz w:val="28"/>
          <w:szCs w:val="28"/>
        </w:rPr>
        <w:t>Critical antimicrobial resistances reported by species and month</w:t>
      </w:r>
      <w:bookmarkEnd w:id="4"/>
      <w:r>
        <w:rPr>
          <w:rStyle w:val="IntenseReference"/>
          <w:rFonts w:cs="Arial"/>
          <w:bCs w:val="0"/>
          <w:i w:val="0"/>
          <w:smallCaps w:val="0"/>
          <w:color w:val="AA610D" w:themeColor="accent1" w:themeShade="BF"/>
          <w:spacing w:val="0"/>
          <w:sz w:val="28"/>
          <w:szCs w:val="28"/>
        </w:rPr>
        <w:t xml:space="preserve"> </w:t>
      </w:r>
    </w:p>
    <w:p w:rsidR="00887184" w:rsidRPr="004B1470" w:rsidRDefault="00D21BC6" w:rsidP="00887184">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 xml:space="preserve">In the period </w:t>
      </w:r>
      <w:r w:rsidR="00887184">
        <w:rPr>
          <w:rStyle w:val="IntenseReference"/>
          <w:rFonts w:cs="Arial"/>
          <w:b w:val="0"/>
          <w:bCs w:val="0"/>
          <w:i w:val="0"/>
          <w:smallCaps w:val="0"/>
          <w:color w:val="auto"/>
          <w:spacing w:val="0"/>
          <w:szCs w:val="22"/>
        </w:rPr>
        <w:t xml:space="preserve">17 March </w:t>
      </w:r>
      <w:r w:rsidR="00887184" w:rsidRPr="0068376A">
        <w:rPr>
          <w:rStyle w:val="IntenseReference"/>
          <w:rFonts w:cs="Arial"/>
          <w:b w:val="0"/>
          <w:bCs w:val="0"/>
          <w:i w:val="0"/>
          <w:smallCaps w:val="0"/>
          <w:color w:val="auto"/>
          <w:spacing w:val="0"/>
          <w:szCs w:val="22"/>
        </w:rPr>
        <w:t>2016</w:t>
      </w:r>
      <w:r w:rsidR="00887184">
        <w:rPr>
          <w:rStyle w:val="IntenseReference"/>
          <w:rFonts w:cs="Arial"/>
          <w:b w:val="0"/>
          <w:bCs w:val="0"/>
          <w:i w:val="0"/>
          <w:smallCaps w:val="0"/>
          <w:color w:val="auto"/>
          <w:spacing w:val="0"/>
          <w:szCs w:val="22"/>
        </w:rPr>
        <w:t xml:space="preserve"> to 31 March 2017, 1,064 results from 73 originating laboratories across Australia were entered in the CARAlert system. From April 2016 to March 2017, there was an average of </w:t>
      </w:r>
      <w:r w:rsidR="00887184" w:rsidRPr="00B9671A">
        <w:rPr>
          <w:rStyle w:val="IntenseReference"/>
          <w:rFonts w:cs="Arial"/>
          <w:b w:val="0"/>
          <w:bCs w:val="0"/>
          <w:i w:val="0"/>
          <w:smallCaps w:val="0"/>
          <w:color w:val="auto"/>
          <w:spacing w:val="0"/>
          <w:szCs w:val="22"/>
        </w:rPr>
        <w:t xml:space="preserve">86 </w:t>
      </w:r>
      <w:r w:rsidR="00887184">
        <w:rPr>
          <w:rStyle w:val="IntenseReference"/>
          <w:rFonts w:cs="Arial"/>
          <w:b w:val="0"/>
          <w:bCs w:val="0"/>
          <w:i w:val="0"/>
          <w:smallCaps w:val="0"/>
          <w:color w:val="auto"/>
          <w:spacing w:val="0"/>
          <w:szCs w:val="22"/>
        </w:rPr>
        <w:t xml:space="preserve">entries </w:t>
      </w:r>
      <w:r>
        <w:rPr>
          <w:rStyle w:val="IntenseReference"/>
          <w:rFonts w:cs="Arial"/>
          <w:b w:val="0"/>
          <w:bCs w:val="0"/>
          <w:i w:val="0"/>
          <w:smallCaps w:val="0"/>
          <w:color w:val="auto"/>
          <w:spacing w:val="0"/>
          <w:szCs w:val="22"/>
        </w:rPr>
        <w:t xml:space="preserve">in the system </w:t>
      </w:r>
      <w:r w:rsidR="00887184" w:rsidRPr="00B9671A">
        <w:rPr>
          <w:rStyle w:val="IntenseReference"/>
          <w:rFonts w:cs="Arial"/>
          <w:b w:val="0"/>
          <w:bCs w:val="0"/>
          <w:i w:val="0"/>
          <w:smallCaps w:val="0"/>
          <w:color w:val="auto"/>
          <w:spacing w:val="0"/>
          <w:szCs w:val="22"/>
        </w:rPr>
        <w:t>per month (range 61-161)</w:t>
      </w:r>
      <w:r w:rsidR="00887184">
        <w:rPr>
          <w:rStyle w:val="IntenseReference"/>
          <w:rFonts w:cs="Arial"/>
          <w:b w:val="0"/>
          <w:bCs w:val="0"/>
          <w:i w:val="0"/>
          <w:smallCaps w:val="0"/>
          <w:color w:val="auto"/>
          <w:spacing w:val="0"/>
          <w:szCs w:val="22"/>
        </w:rPr>
        <w:t xml:space="preserve">. The proportion of CARs associated with </w:t>
      </w:r>
      <w:r>
        <w:rPr>
          <w:rStyle w:val="IntenseReference"/>
          <w:rFonts w:cs="Arial"/>
          <w:b w:val="0"/>
          <w:bCs w:val="0"/>
          <w:i w:val="0"/>
          <w:smallCaps w:val="0"/>
          <w:color w:val="auto"/>
          <w:spacing w:val="0"/>
          <w:szCs w:val="22"/>
        </w:rPr>
        <w:t xml:space="preserve">specific </w:t>
      </w:r>
      <w:r w:rsidR="00887184">
        <w:rPr>
          <w:rStyle w:val="IntenseReference"/>
          <w:rFonts w:cs="Arial"/>
          <w:b w:val="0"/>
          <w:bCs w:val="0"/>
          <w:i w:val="0"/>
          <w:smallCaps w:val="0"/>
          <w:color w:val="auto"/>
          <w:spacing w:val="0"/>
          <w:szCs w:val="22"/>
        </w:rPr>
        <w:t>priority organisms is shown in Figure 1</w:t>
      </w:r>
      <w:r w:rsidR="00887184" w:rsidRPr="003D7290">
        <w:rPr>
          <w:rStyle w:val="IntenseReference"/>
          <w:rFonts w:cs="Arial"/>
          <w:b w:val="0"/>
          <w:bCs w:val="0"/>
          <w:i w:val="0"/>
          <w:smallCaps w:val="0"/>
          <w:color w:val="auto"/>
          <w:spacing w:val="0"/>
          <w:szCs w:val="22"/>
        </w:rPr>
        <w:t>.</w:t>
      </w:r>
      <w:r w:rsidR="00887184">
        <w:rPr>
          <w:rStyle w:val="IntenseReference"/>
          <w:rFonts w:cs="Arial"/>
          <w:b w:val="0"/>
          <w:bCs w:val="0"/>
          <w:i w:val="0"/>
          <w:smallCaps w:val="0"/>
          <w:color w:val="auto"/>
          <w:spacing w:val="0"/>
          <w:szCs w:val="22"/>
        </w:rPr>
        <w:t xml:space="preserve"> The number of CARs reported</w:t>
      </w:r>
      <w:r>
        <w:rPr>
          <w:rStyle w:val="IntenseReference"/>
          <w:rFonts w:cs="Arial"/>
          <w:b w:val="0"/>
          <w:bCs w:val="0"/>
          <w:i w:val="0"/>
          <w:smallCaps w:val="0"/>
          <w:color w:val="auto"/>
          <w:spacing w:val="0"/>
          <w:szCs w:val="22"/>
        </w:rPr>
        <w:t>,</w:t>
      </w:r>
      <w:r w:rsidR="00887184">
        <w:rPr>
          <w:rStyle w:val="IntenseReference"/>
          <w:rFonts w:cs="Arial"/>
          <w:b w:val="0"/>
          <w:bCs w:val="0"/>
          <w:i w:val="0"/>
          <w:smallCaps w:val="0"/>
          <w:color w:val="auto"/>
          <w:spacing w:val="0"/>
          <w:szCs w:val="22"/>
        </w:rPr>
        <w:t xml:space="preserve"> by species and month</w:t>
      </w:r>
      <w:r>
        <w:rPr>
          <w:rStyle w:val="IntenseReference"/>
          <w:rFonts w:cs="Arial"/>
          <w:b w:val="0"/>
          <w:bCs w:val="0"/>
          <w:i w:val="0"/>
          <w:smallCaps w:val="0"/>
          <w:color w:val="auto"/>
          <w:spacing w:val="0"/>
          <w:szCs w:val="22"/>
        </w:rPr>
        <w:t>,</w:t>
      </w:r>
      <w:r w:rsidR="00887184">
        <w:rPr>
          <w:rStyle w:val="IntenseReference"/>
          <w:rFonts w:cs="Arial"/>
          <w:b w:val="0"/>
          <w:bCs w:val="0"/>
          <w:i w:val="0"/>
          <w:smallCaps w:val="0"/>
          <w:color w:val="auto"/>
          <w:spacing w:val="0"/>
          <w:szCs w:val="22"/>
        </w:rPr>
        <w:t xml:space="preserve"> is shown in Figure 2.</w:t>
      </w:r>
    </w:p>
    <w:p w:rsidR="00887184" w:rsidRDefault="00887184" w:rsidP="00887184">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Carbapenemase-</w:t>
      </w:r>
      <w:r w:rsidR="00E26C54">
        <w:rPr>
          <w:rStyle w:val="IntenseReference"/>
          <w:rFonts w:cs="Arial"/>
          <w:b w:val="0"/>
          <w:bCs w:val="0"/>
          <w:i w:val="0"/>
          <w:smallCaps w:val="0"/>
          <w:color w:val="auto"/>
          <w:spacing w:val="0"/>
          <w:szCs w:val="22"/>
        </w:rPr>
        <w:t xml:space="preserve">producing </w:t>
      </w:r>
      <w:r w:rsidRPr="00661532">
        <w:rPr>
          <w:rStyle w:val="IntenseReference"/>
          <w:rFonts w:cs="Arial"/>
          <w:b w:val="0"/>
          <w:bCs w:val="0"/>
          <w:i w:val="0"/>
          <w:smallCaps w:val="0"/>
          <w:color w:val="auto"/>
          <w:spacing w:val="0"/>
          <w:szCs w:val="22"/>
        </w:rPr>
        <w:t>Enterobacteriaceae</w:t>
      </w:r>
      <w:r>
        <w:rPr>
          <w:rStyle w:val="IntenseReference"/>
          <w:rFonts w:cs="Arial"/>
          <w:b w:val="0"/>
          <w:bCs w:val="0"/>
          <w:i w:val="0"/>
          <w:smallCaps w:val="0"/>
          <w:color w:val="auto"/>
          <w:spacing w:val="0"/>
          <w:szCs w:val="22"/>
        </w:rPr>
        <w:t xml:space="preserve"> (CPE) were the most frequently recorded CAR </w:t>
      </w:r>
      <w:r w:rsidR="00D21BC6">
        <w:rPr>
          <w:rStyle w:val="IntenseReference"/>
          <w:rFonts w:cs="Arial"/>
          <w:b w:val="0"/>
          <w:bCs w:val="0"/>
          <w:i w:val="0"/>
          <w:smallCaps w:val="0"/>
          <w:color w:val="auto"/>
          <w:spacing w:val="0"/>
          <w:szCs w:val="22"/>
        </w:rPr>
        <w:t xml:space="preserve">until November 2016, </w:t>
      </w:r>
      <w:r>
        <w:rPr>
          <w:rStyle w:val="IntenseReference"/>
          <w:rFonts w:cs="Arial"/>
          <w:b w:val="0"/>
          <w:bCs w:val="0"/>
          <w:i w:val="0"/>
          <w:smallCaps w:val="0"/>
          <w:color w:val="auto"/>
          <w:spacing w:val="0"/>
          <w:szCs w:val="22"/>
        </w:rPr>
        <w:t>reported</w:t>
      </w:r>
      <w:r w:rsidRPr="000A45B5">
        <w:rPr>
          <w:rStyle w:val="IntenseReference"/>
          <w:rFonts w:cs="Arial"/>
          <w:b w:val="0"/>
          <w:bCs w:val="0"/>
          <w:i w:val="0"/>
          <w:smallCaps w:val="0"/>
          <w:color w:val="auto"/>
          <w:spacing w:val="0"/>
          <w:szCs w:val="22"/>
        </w:rPr>
        <w:t xml:space="preserve"> </w:t>
      </w:r>
      <w:r w:rsidRPr="00B9671A">
        <w:rPr>
          <w:rStyle w:val="IntenseReference"/>
          <w:rFonts w:cs="Arial"/>
          <w:b w:val="0"/>
          <w:bCs w:val="0"/>
          <w:i w:val="0"/>
          <w:smallCaps w:val="0"/>
          <w:color w:val="auto"/>
          <w:spacing w:val="0"/>
          <w:szCs w:val="22"/>
        </w:rPr>
        <w:t>either a</w:t>
      </w:r>
      <w:r w:rsidRPr="000A45B5">
        <w:rPr>
          <w:rStyle w:val="IntenseReference"/>
          <w:rFonts w:cs="Arial"/>
          <w:b w:val="0"/>
          <w:bCs w:val="0"/>
          <w:i w:val="0"/>
          <w:smallCaps w:val="0"/>
          <w:color w:val="auto"/>
          <w:spacing w:val="0"/>
          <w:szCs w:val="22"/>
        </w:rPr>
        <w:t>lone or in combination with ribosomal methyltransferases (RMT).</w:t>
      </w:r>
      <w:r w:rsidR="00D21BC6">
        <w:rPr>
          <w:rStyle w:val="IntenseReference"/>
          <w:rFonts w:cs="Arial"/>
          <w:b w:val="0"/>
          <w:bCs w:val="0"/>
          <w:i w:val="0"/>
          <w:smallCaps w:val="0"/>
          <w:color w:val="auto"/>
          <w:spacing w:val="0"/>
          <w:szCs w:val="22"/>
        </w:rPr>
        <w:t xml:space="preserve">  S</w:t>
      </w:r>
      <w:r>
        <w:rPr>
          <w:rStyle w:val="IntenseReference"/>
          <w:rFonts w:cs="Arial"/>
          <w:b w:val="0"/>
          <w:bCs w:val="0"/>
          <w:i w:val="0"/>
          <w:smallCaps w:val="0"/>
          <w:color w:val="auto"/>
          <w:spacing w:val="0"/>
          <w:szCs w:val="22"/>
        </w:rPr>
        <w:t xml:space="preserve">ince December 2016, azithromycin non-susceptible </w:t>
      </w:r>
      <w:r w:rsidRPr="000A45B5">
        <w:rPr>
          <w:rStyle w:val="IntenseReference"/>
          <w:rFonts w:cs="Arial"/>
          <w:b w:val="0"/>
          <w:bCs w:val="0"/>
          <w:smallCaps w:val="0"/>
          <w:color w:val="auto"/>
          <w:spacing w:val="0"/>
          <w:szCs w:val="22"/>
        </w:rPr>
        <w:t>Neisseria gonorrhoeae</w:t>
      </w:r>
      <w:r w:rsidRPr="00B9671A">
        <w:rPr>
          <w:rStyle w:val="IntenseReference"/>
          <w:rFonts w:cs="Arial"/>
          <w:b w:val="0"/>
          <w:bCs w:val="0"/>
          <w:i w:val="0"/>
          <w:smallCaps w:val="0"/>
          <w:color w:val="auto"/>
          <w:spacing w:val="0"/>
          <w:szCs w:val="22"/>
        </w:rPr>
        <w:t xml:space="preserve"> </w:t>
      </w:r>
      <w:r>
        <w:rPr>
          <w:rStyle w:val="IntenseReference"/>
          <w:rFonts w:cs="Arial"/>
          <w:b w:val="0"/>
          <w:bCs w:val="0"/>
          <w:i w:val="0"/>
          <w:smallCaps w:val="0"/>
          <w:color w:val="auto"/>
          <w:spacing w:val="0"/>
          <w:szCs w:val="22"/>
        </w:rPr>
        <w:t xml:space="preserve">have dominated </w:t>
      </w:r>
      <w:r w:rsidR="00D21BC6">
        <w:rPr>
          <w:rStyle w:val="IntenseReference"/>
          <w:rFonts w:cs="Arial"/>
          <w:b w:val="0"/>
          <w:bCs w:val="0"/>
          <w:i w:val="0"/>
          <w:smallCaps w:val="0"/>
          <w:color w:val="auto"/>
          <w:spacing w:val="0"/>
          <w:szCs w:val="22"/>
        </w:rPr>
        <w:t xml:space="preserve">the CARs entered </w:t>
      </w:r>
      <w:r>
        <w:rPr>
          <w:rStyle w:val="IntenseReference"/>
          <w:rFonts w:cs="Arial"/>
          <w:b w:val="0"/>
          <w:bCs w:val="0"/>
          <w:i w:val="0"/>
          <w:smallCaps w:val="0"/>
          <w:color w:val="auto"/>
          <w:spacing w:val="0"/>
          <w:szCs w:val="22"/>
        </w:rPr>
        <w:t>and</w:t>
      </w:r>
      <w:r w:rsidR="00D21BC6">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in March 2017</w:t>
      </w:r>
      <w:r w:rsidR="00D21BC6">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contributed to 62% of all CARs reported.</w:t>
      </w:r>
    </w:p>
    <w:p w:rsidR="007550B8" w:rsidRDefault="007550B8" w:rsidP="007550B8">
      <w:pPr>
        <w:rPr>
          <w:rFonts w:cs="Arial"/>
          <w:sz w:val="20"/>
          <w:szCs w:val="20"/>
        </w:rPr>
      </w:pPr>
    </w:p>
    <w:p w:rsidR="007550B8" w:rsidRDefault="007550B8" w:rsidP="00AE718B">
      <w:pPr>
        <w:pStyle w:val="Caption"/>
        <w:keepNext/>
        <w:spacing w:after="0"/>
        <w:ind w:left="1134" w:hanging="1134"/>
        <w:rPr>
          <w:rFonts w:cs="Arial"/>
          <w:b/>
          <w:i w:val="0"/>
          <w:color w:val="auto"/>
        </w:rPr>
      </w:pPr>
      <w:r w:rsidRPr="001C7F56">
        <w:rPr>
          <w:rFonts w:cs="Arial"/>
          <w:b/>
          <w:i w:val="0"/>
          <w:color w:val="auto"/>
        </w:rPr>
        <w:t xml:space="preserve">Figure </w:t>
      </w:r>
      <w:r w:rsidRPr="001C7F56">
        <w:rPr>
          <w:rFonts w:cs="Arial"/>
          <w:b/>
          <w:i w:val="0"/>
          <w:color w:val="auto"/>
        </w:rPr>
        <w:fldChar w:fldCharType="begin"/>
      </w:r>
      <w:r w:rsidRPr="001C7F56">
        <w:rPr>
          <w:rFonts w:cs="Arial"/>
          <w:b/>
          <w:i w:val="0"/>
          <w:color w:val="auto"/>
        </w:rPr>
        <w:instrText xml:space="preserve"> SEQ Figure \* ARABIC </w:instrText>
      </w:r>
      <w:r w:rsidRPr="001C7F56">
        <w:rPr>
          <w:rFonts w:cs="Arial"/>
          <w:b/>
          <w:i w:val="0"/>
          <w:color w:val="auto"/>
        </w:rPr>
        <w:fldChar w:fldCharType="separate"/>
      </w:r>
      <w:r w:rsidR="007A7F88">
        <w:rPr>
          <w:rFonts w:cs="Arial"/>
          <w:b/>
          <w:i w:val="0"/>
          <w:noProof/>
          <w:color w:val="auto"/>
        </w:rPr>
        <w:t>1</w:t>
      </w:r>
      <w:r w:rsidRPr="001C7F56">
        <w:rPr>
          <w:rFonts w:cs="Arial"/>
          <w:b/>
          <w:i w:val="0"/>
          <w:color w:val="auto"/>
        </w:rPr>
        <w:fldChar w:fldCharType="end"/>
      </w:r>
      <w:r w:rsidR="00750EAA">
        <w:rPr>
          <w:b/>
          <w:i w:val="0"/>
          <w:color w:val="auto"/>
        </w:rPr>
        <w:tab/>
      </w:r>
      <w:r w:rsidRPr="001C7F56">
        <w:rPr>
          <w:rFonts w:cs="Arial"/>
          <w:b/>
          <w:i w:val="0"/>
          <w:color w:val="auto"/>
        </w:rPr>
        <w:t xml:space="preserve">Critical antimicrobial resistances (CARs), as a percentage of all CARs, reported by month, </w:t>
      </w:r>
      <w:r>
        <w:rPr>
          <w:rFonts w:cs="Arial"/>
          <w:b/>
          <w:i w:val="0"/>
          <w:color w:val="auto"/>
        </w:rPr>
        <w:t xml:space="preserve">17 </w:t>
      </w:r>
      <w:r w:rsidRPr="001C7F56">
        <w:rPr>
          <w:rFonts w:cs="Arial"/>
          <w:b/>
          <w:i w:val="0"/>
          <w:color w:val="auto"/>
        </w:rPr>
        <w:t>March</w:t>
      </w:r>
      <w:r>
        <w:rPr>
          <w:rFonts w:cs="Arial"/>
          <w:b/>
          <w:i w:val="0"/>
          <w:color w:val="auto"/>
        </w:rPr>
        <w:t xml:space="preserve"> 2016</w:t>
      </w:r>
      <w:r w:rsidRPr="001C7F56">
        <w:rPr>
          <w:rFonts w:cs="Arial"/>
          <w:b/>
          <w:i w:val="0"/>
          <w:color w:val="auto"/>
        </w:rPr>
        <w:t>–</w:t>
      </w:r>
      <w:r>
        <w:rPr>
          <w:rFonts w:cs="Arial"/>
          <w:b/>
          <w:i w:val="0"/>
          <w:color w:val="auto"/>
        </w:rPr>
        <w:t>31 March 2017</w:t>
      </w:r>
    </w:p>
    <w:p w:rsidR="00C4402E" w:rsidRDefault="00C4402E" w:rsidP="00C4402E"/>
    <w:p w:rsidR="00C4402E" w:rsidRPr="00C4402E" w:rsidRDefault="00C4402E" w:rsidP="00C4402E">
      <w:r>
        <w:rPr>
          <w:noProof/>
          <w:lang w:eastAsia="en-AU"/>
        </w:rPr>
        <w:drawing>
          <wp:inline distT="0" distB="0" distL="0" distR="0" wp14:anchorId="02516BF7" wp14:editId="08A79D2E">
            <wp:extent cx="5742940" cy="3164205"/>
            <wp:effectExtent l="0" t="0" r="0" b="0"/>
            <wp:docPr id="16" name="Picture 16" descr="Figure 1 shows the Critical antimicrobial resistances (CARs), as a percentage of all CARs, reported by month, 17 March 2016–31 March 2017" title=" Critical antimicrobial resistances (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2940" cy="3164205"/>
                    </a:xfrm>
                    <a:prstGeom prst="rect">
                      <a:avLst/>
                    </a:prstGeom>
                    <a:noFill/>
                  </pic:spPr>
                </pic:pic>
              </a:graphicData>
            </a:graphic>
          </wp:inline>
        </w:drawing>
      </w:r>
    </w:p>
    <w:p w:rsidR="007550B8" w:rsidRDefault="007550B8" w:rsidP="007550B8"/>
    <w:p w:rsidR="007550B8" w:rsidRDefault="007550B8" w:rsidP="007550B8">
      <w:pPr>
        <w:spacing w:before="120"/>
        <w:rPr>
          <w:rStyle w:val="IntenseReference"/>
          <w:rFonts w:cs="Arial"/>
          <w:b w:val="0"/>
          <w:bCs w:val="0"/>
          <w:smallCaps w:val="0"/>
          <w:color w:val="auto"/>
          <w:spacing w:val="0"/>
          <w:sz w:val="14"/>
          <w:szCs w:val="22"/>
        </w:rPr>
      </w:pPr>
      <w:r w:rsidRPr="007555B3">
        <w:rPr>
          <w:rStyle w:val="IntenseReference"/>
          <w:rFonts w:cs="Arial"/>
          <w:b w:val="0"/>
          <w:bCs w:val="0"/>
          <w:i w:val="0"/>
          <w:smallCaps w:val="0"/>
          <w:color w:val="auto"/>
          <w:spacing w:val="0"/>
          <w:sz w:val="14"/>
          <w:szCs w:val="22"/>
        </w:rPr>
        <w:t xml:space="preserve">CPE = </w:t>
      </w:r>
      <w:r>
        <w:rPr>
          <w:rStyle w:val="IntenseReference"/>
          <w:rFonts w:cs="Arial"/>
          <w:b w:val="0"/>
          <w:bCs w:val="0"/>
          <w:i w:val="0"/>
          <w:smallCaps w:val="0"/>
          <w:color w:val="auto"/>
          <w:spacing w:val="0"/>
          <w:sz w:val="14"/>
          <w:szCs w:val="22"/>
        </w:rPr>
        <w:t>carbapenemase-producing-</w:t>
      </w:r>
      <w:r w:rsidRPr="00661532">
        <w:rPr>
          <w:rStyle w:val="IntenseReference"/>
          <w:rFonts w:cs="Arial"/>
          <w:b w:val="0"/>
          <w:bCs w:val="0"/>
          <w:i w:val="0"/>
          <w:smallCaps w:val="0"/>
          <w:color w:val="auto"/>
          <w:spacing w:val="0"/>
          <w:sz w:val="14"/>
          <w:szCs w:val="22"/>
        </w:rPr>
        <w:t>Enterobacteriaceae</w:t>
      </w:r>
      <w:r>
        <w:rPr>
          <w:rStyle w:val="IntenseReference"/>
          <w:rFonts w:cs="Arial"/>
          <w:b w:val="0"/>
          <w:bCs w:val="0"/>
          <w:i w:val="0"/>
          <w:smallCaps w:val="0"/>
          <w:color w:val="auto"/>
          <w:spacing w:val="0"/>
          <w:sz w:val="14"/>
          <w:szCs w:val="22"/>
        </w:rPr>
        <w:t>; RMT = ribosomal methyltransferase-</w:t>
      </w:r>
      <w:r w:rsidRPr="007555B3">
        <w:rPr>
          <w:rStyle w:val="IntenseReference"/>
          <w:rFonts w:cs="Arial"/>
          <w:b w:val="0"/>
          <w:bCs w:val="0"/>
          <w:i w:val="0"/>
          <w:smallCaps w:val="0"/>
          <w:color w:val="auto"/>
          <w:spacing w:val="0"/>
          <w:sz w:val="14"/>
          <w:szCs w:val="22"/>
        </w:rPr>
        <w:t xml:space="preserve">producing </w:t>
      </w:r>
      <w:r w:rsidRPr="00661532">
        <w:rPr>
          <w:rStyle w:val="IntenseReference"/>
          <w:rFonts w:cs="Arial"/>
          <w:b w:val="0"/>
          <w:bCs w:val="0"/>
          <w:i w:val="0"/>
          <w:smallCaps w:val="0"/>
          <w:color w:val="auto"/>
          <w:spacing w:val="0"/>
          <w:sz w:val="14"/>
          <w:szCs w:val="22"/>
        </w:rPr>
        <w:t>Enterobacteriaceae</w:t>
      </w:r>
      <w:r w:rsidRPr="007555B3">
        <w:rPr>
          <w:rStyle w:val="IntenseReference"/>
          <w:rFonts w:cs="Arial"/>
          <w:b w:val="0"/>
          <w:bCs w:val="0"/>
          <w:i w:val="0"/>
          <w:smallCaps w:val="0"/>
          <w:color w:val="auto"/>
          <w:spacing w:val="0"/>
          <w:sz w:val="14"/>
          <w:szCs w:val="22"/>
        </w:rPr>
        <w:t>; CPE+RMT = carbapenemase</w:t>
      </w:r>
      <w:r>
        <w:rPr>
          <w:rStyle w:val="IntenseReference"/>
          <w:rFonts w:cs="Arial"/>
          <w:b w:val="0"/>
          <w:bCs w:val="0"/>
          <w:i w:val="0"/>
          <w:smallCaps w:val="0"/>
          <w:color w:val="auto"/>
          <w:spacing w:val="0"/>
          <w:sz w:val="14"/>
          <w:szCs w:val="22"/>
        </w:rPr>
        <w:t>- and ribosomal methyltransferase-</w:t>
      </w:r>
      <w:r w:rsidRPr="007555B3">
        <w:rPr>
          <w:rStyle w:val="IntenseReference"/>
          <w:rFonts w:cs="Arial"/>
          <w:b w:val="0"/>
          <w:bCs w:val="0"/>
          <w:i w:val="0"/>
          <w:smallCaps w:val="0"/>
          <w:color w:val="auto"/>
          <w:spacing w:val="0"/>
          <w:sz w:val="14"/>
          <w:szCs w:val="22"/>
        </w:rPr>
        <w:t xml:space="preserve">producing </w:t>
      </w:r>
      <w:r w:rsidRPr="00661532">
        <w:rPr>
          <w:rStyle w:val="IntenseReference"/>
          <w:rFonts w:cs="Arial"/>
          <w:b w:val="0"/>
          <w:bCs w:val="0"/>
          <w:i w:val="0"/>
          <w:smallCaps w:val="0"/>
          <w:color w:val="auto"/>
          <w:spacing w:val="0"/>
          <w:sz w:val="14"/>
          <w:szCs w:val="22"/>
        </w:rPr>
        <w:t>Enterobacteriaceae</w:t>
      </w:r>
      <w:r w:rsidRPr="007555B3">
        <w:rPr>
          <w:rStyle w:val="IntenseReference"/>
          <w:rFonts w:cs="Arial"/>
          <w:b w:val="0"/>
          <w:bCs w:val="0"/>
          <w:i w:val="0"/>
          <w:smallCaps w:val="0"/>
          <w:color w:val="auto"/>
          <w:spacing w:val="0"/>
          <w:sz w:val="14"/>
          <w:szCs w:val="22"/>
        </w:rPr>
        <w:t>; LNZ</w:t>
      </w:r>
      <w:r>
        <w:rPr>
          <w:rStyle w:val="IntenseReference"/>
          <w:rFonts w:cs="Arial"/>
          <w:b w:val="0"/>
          <w:bCs w:val="0"/>
          <w:i w:val="0"/>
          <w:smallCaps w:val="0"/>
          <w:color w:val="auto"/>
          <w:spacing w:val="0"/>
          <w:sz w:val="14"/>
          <w:szCs w:val="22"/>
        </w:rPr>
        <w:t xml:space="preserve"> ENTE</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l</w:t>
      </w:r>
      <w:r w:rsidRPr="007555B3">
        <w:rPr>
          <w:rStyle w:val="IntenseReference"/>
          <w:rFonts w:cs="Arial"/>
          <w:b w:val="0"/>
          <w:bCs w:val="0"/>
          <w:i w:val="0"/>
          <w:smallCaps w:val="0"/>
          <w:color w:val="auto"/>
          <w:spacing w:val="0"/>
          <w:sz w:val="14"/>
          <w:szCs w:val="22"/>
        </w:rPr>
        <w:t xml:space="preserve">inezolid non-susceptible </w:t>
      </w:r>
      <w:r w:rsidRPr="007555B3">
        <w:rPr>
          <w:rStyle w:val="IntenseReference"/>
          <w:rFonts w:cs="Arial"/>
          <w:b w:val="0"/>
          <w:bCs w:val="0"/>
          <w:smallCaps w:val="0"/>
          <w:color w:val="auto"/>
          <w:spacing w:val="0"/>
          <w:sz w:val="14"/>
          <w:szCs w:val="22"/>
        </w:rPr>
        <w:t>Enterococcus</w:t>
      </w:r>
      <w:r w:rsidR="00AA44FB">
        <w:rPr>
          <w:rStyle w:val="IntenseReference"/>
          <w:rFonts w:cs="Arial"/>
          <w:b w:val="0"/>
          <w:bCs w:val="0"/>
          <w:i w:val="0"/>
          <w:smallCaps w:val="0"/>
          <w:color w:val="auto"/>
          <w:spacing w:val="0"/>
          <w:sz w:val="14"/>
          <w:szCs w:val="22"/>
        </w:rPr>
        <w:t xml:space="preserve"> species; AZI LLR</w:t>
      </w:r>
      <w:r w:rsidRPr="007555B3">
        <w:rPr>
          <w:rStyle w:val="IntenseReference"/>
          <w:rFonts w:cs="Arial"/>
          <w:b w:val="0"/>
          <w:bCs w:val="0"/>
          <w:i w:val="0"/>
          <w:smallCaps w:val="0"/>
          <w:color w:val="auto"/>
          <w:spacing w:val="0"/>
          <w:sz w:val="14"/>
          <w:szCs w:val="22"/>
        </w:rPr>
        <w:t xml:space="preserve"> = azithromycin</w:t>
      </w:r>
      <w:r>
        <w:rPr>
          <w:rStyle w:val="IntenseReference"/>
          <w:rFonts w:cs="Arial"/>
          <w:b w:val="0"/>
          <w:bCs w:val="0"/>
          <w:i w:val="0"/>
          <w:smallCaps w:val="0"/>
          <w:color w:val="auto"/>
          <w:spacing w:val="0"/>
          <w:sz w:val="14"/>
          <w:szCs w:val="22"/>
        </w:rPr>
        <w:t>-resistant, low level resistance</w:t>
      </w:r>
      <w:r w:rsidRPr="007555B3">
        <w:rPr>
          <w:rStyle w:val="IntenseReference"/>
          <w:rFonts w:cs="Arial"/>
          <w:b w:val="0"/>
          <w:bCs w:val="0"/>
          <w:i w:val="0"/>
          <w:smallCaps w:val="0"/>
          <w:color w:val="auto"/>
          <w:spacing w:val="0"/>
          <w:sz w:val="14"/>
          <w:szCs w:val="22"/>
        </w:rPr>
        <w:t xml:space="preserve"> (LLR, MIC</w:t>
      </w:r>
      <w:r>
        <w:rPr>
          <w:rStyle w:val="FootnoteReference"/>
          <w:rFonts w:cs="Arial"/>
          <w:sz w:val="14"/>
          <w:szCs w:val="22"/>
        </w:rPr>
        <w:footnoteReference w:id="1"/>
      </w:r>
      <w:r w:rsidRPr="007555B3">
        <w:rPr>
          <w:rStyle w:val="IntenseReference"/>
          <w:rFonts w:cs="Arial"/>
          <w:b w:val="0"/>
          <w:bCs w:val="0"/>
          <w:i w:val="0"/>
          <w:smallCaps w:val="0"/>
          <w:color w:val="auto"/>
          <w:spacing w:val="0"/>
          <w:sz w:val="14"/>
          <w:szCs w:val="22"/>
        </w:rPr>
        <w:t xml:space="preserve"> &lt; 256 mg/L) </w:t>
      </w:r>
      <w:r w:rsidRPr="007555B3">
        <w:rPr>
          <w:rStyle w:val="IntenseReference"/>
          <w:rFonts w:cs="Arial"/>
          <w:b w:val="0"/>
          <w:bCs w:val="0"/>
          <w:smallCaps w:val="0"/>
          <w:color w:val="auto"/>
          <w:spacing w:val="0"/>
          <w:sz w:val="14"/>
          <w:szCs w:val="22"/>
        </w:rPr>
        <w:t>Neisseria gonorrhoeae</w:t>
      </w:r>
      <w:r>
        <w:rPr>
          <w:rStyle w:val="IntenseReference"/>
          <w:rFonts w:cs="Arial"/>
          <w:b w:val="0"/>
          <w:bCs w:val="0"/>
          <w:i w:val="0"/>
          <w:smallCaps w:val="0"/>
          <w:color w:val="auto"/>
          <w:spacing w:val="0"/>
          <w:sz w:val="14"/>
          <w:szCs w:val="22"/>
        </w:rPr>
        <w:t xml:space="preserve">; </w:t>
      </w:r>
      <w:r w:rsidR="00AA44FB">
        <w:rPr>
          <w:rStyle w:val="IntenseReference"/>
          <w:rFonts w:cs="Arial"/>
          <w:b w:val="0"/>
          <w:bCs w:val="0"/>
          <w:i w:val="0"/>
          <w:smallCaps w:val="0"/>
          <w:color w:val="auto"/>
          <w:spacing w:val="0"/>
          <w:sz w:val="14"/>
          <w:szCs w:val="22"/>
        </w:rPr>
        <w:t>AZI HLR</w:t>
      </w:r>
      <w:r w:rsidRPr="007555B3">
        <w:rPr>
          <w:rStyle w:val="IntenseReference"/>
          <w:rFonts w:cs="Arial"/>
          <w:b w:val="0"/>
          <w:bCs w:val="0"/>
          <w:i w:val="0"/>
          <w:smallCaps w:val="0"/>
          <w:color w:val="auto"/>
          <w:spacing w:val="0"/>
          <w:sz w:val="14"/>
          <w:szCs w:val="22"/>
        </w:rPr>
        <w:t xml:space="preserve"> = azithromycin</w:t>
      </w:r>
      <w:r>
        <w:rPr>
          <w:rStyle w:val="IntenseReference"/>
          <w:rFonts w:cs="Arial"/>
          <w:b w:val="0"/>
          <w:bCs w:val="0"/>
          <w:i w:val="0"/>
          <w:smallCaps w:val="0"/>
          <w:color w:val="auto"/>
          <w:spacing w:val="0"/>
          <w:sz w:val="14"/>
          <w:szCs w:val="22"/>
        </w:rPr>
        <w:t>-resistant, high level resistance</w:t>
      </w:r>
      <w:r w:rsidRPr="007555B3">
        <w:rPr>
          <w:rStyle w:val="IntenseReference"/>
          <w:rFonts w:cs="Arial"/>
          <w:b w:val="0"/>
          <w:bCs w:val="0"/>
          <w:i w:val="0"/>
          <w:smallCaps w:val="0"/>
          <w:color w:val="auto"/>
          <w:spacing w:val="0"/>
          <w:sz w:val="14"/>
          <w:szCs w:val="22"/>
        </w:rPr>
        <w:t xml:space="preserve"> (HLR, MIC &gt; 256 mg/L) </w:t>
      </w:r>
      <w:r w:rsidRPr="007555B3">
        <w:rPr>
          <w:rStyle w:val="IntenseReference"/>
          <w:rFonts w:cs="Arial"/>
          <w:b w:val="0"/>
          <w:bCs w:val="0"/>
          <w:smallCaps w:val="0"/>
          <w:color w:val="auto"/>
          <w:spacing w:val="0"/>
          <w:sz w:val="14"/>
          <w:szCs w:val="22"/>
        </w:rPr>
        <w:t>Neisseria gonorrhoeae</w:t>
      </w:r>
      <w:r w:rsidRPr="007555B3">
        <w:rPr>
          <w:rStyle w:val="IntenseReference"/>
          <w:rFonts w:cs="Arial"/>
          <w:b w:val="0"/>
          <w:bCs w:val="0"/>
          <w:i w:val="0"/>
          <w:smallCaps w:val="0"/>
          <w:color w:val="auto"/>
          <w:spacing w:val="0"/>
          <w:sz w:val="14"/>
          <w:szCs w:val="22"/>
        </w:rPr>
        <w:t>; CTR</w:t>
      </w:r>
      <w:r>
        <w:rPr>
          <w:rStyle w:val="IntenseReference"/>
          <w:rFonts w:cs="Arial"/>
          <w:b w:val="0"/>
          <w:bCs w:val="0"/>
          <w:i w:val="0"/>
          <w:smallCaps w:val="0"/>
          <w:color w:val="auto"/>
          <w:spacing w:val="0"/>
          <w:sz w:val="14"/>
          <w:szCs w:val="22"/>
        </w:rPr>
        <w:t xml:space="preserve"> NGON</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Neisseria gonorrhoeae</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DAP</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d</w:t>
      </w:r>
      <w:r w:rsidRPr="007555B3">
        <w:rPr>
          <w:rStyle w:val="IntenseReference"/>
          <w:rFonts w:cs="Arial"/>
          <w:b w:val="0"/>
          <w:bCs w:val="0"/>
          <w:i w:val="0"/>
          <w:smallCaps w:val="0"/>
          <w:color w:val="auto"/>
          <w:spacing w:val="0"/>
          <w:sz w:val="14"/>
          <w:szCs w:val="22"/>
        </w:rPr>
        <w:t xml:space="preserve">aptomycin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VAN</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v</w:t>
      </w:r>
      <w:r w:rsidRPr="007555B3">
        <w:rPr>
          <w:rStyle w:val="IntenseReference"/>
          <w:rFonts w:cs="Arial"/>
          <w:b w:val="0"/>
          <w:bCs w:val="0"/>
          <w:i w:val="0"/>
          <w:smallCaps w:val="0"/>
          <w:color w:val="auto"/>
          <w:spacing w:val="0"/>
          <w:sz w:val="14"/>
          <w:szCs w:val="22"/>
        </w:rPr>
        <w:t xml:space="preserve">ancomycin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CTR</w:t>
      </w:r>
      <w:r>
        <w:rPr>
          <w:rStyle w:val="IntenseReference"/>
          <w:rFonts w:cs="Arial"/>
          <w:b w:val="0"/>
          <w:bCs w:val="0"/>
          <w:i w:val="0"/>
          <w:smallCaps w:val="0"/>
          <w:color w:val="auto"/>
          <w:spacing w:val="0"/>
          <w:sz w:val="14"/>
          <w:szCs w:val="22"/>
        </w:rPr>
        <w:t xml:space="preserve"> SALM</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Salmonella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SHIG = multidrug-resistant</w:t>
      </w:r>
      <w:r w:rsidRPr="007555B3">
        <w:rPr>
          <w:rStyle w:val="IntenseReference"/>
          <w:rFonts w:cs="Arial"/>
          <w:b w:val="0"/>
          <w:bCs w:val="0"/>
          <w:i w:val="0"/>
          <w:smallCaps w:val="0"/>
          <w:color w:val="auto"/>
          <w:spacing w:val="0"/>
          <w:sz w:val="14"/>
          <w:szCs w:val="22"/>
        </w:rPr>
        <w:t xml:space="preserve"> </w:t>
      </w:r>
      <w:r w:rsidRPr="007555B3">
        <w:rPr>
          <w:rStyle w:val="IntenseReference"/>
          <w:rFonts w:cs="Arial"/>
          <w:b w:val="0"/>
          <w:bCs w:val="0"/>
          <w:smallCaps w:val="0"/>
          <w:color w:val="auto"/>
          <w:spacing w:val="0"/>
          <w:sz w:val="14"/>
          <w:szCs w:val="22"/>
        </w:rPr>
        <w:t>Shigella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MTB = multidrug-resistant</w:t>
      </w:r>
      <w:r w:rsidRPr="007555B3">
        <w:rPr>
          <w:rStyle w:val="IntenseReference"/>
          <w:rFonts w:cs="Arial"/>
          <w:b w:val="0"/>
          <w:bCs w:val="0"/>
          <w:i w:val="0"/>
          <w:smallCaps w:val="0"/>
          <w:color w:val="auto"/>
          <w:spacing w:val="0"/>
          <w:sz w:val="14"/>
          <w:szCs w:val="22"/>
        </w:rPr>
        <w:t xml:space="preserve"> </w:t>
      </w:r>
      <w:r w:rsidRPr="001E17F1">
        <w:rPr>
          <w:rStyle w:val="IntenseReference"/>
          <w:rFonts w:cs="Arial"/>
          <w:b w:val="0"/>
          <w:bCs w:val="0"/>
          <w:smallCaps w:val="0"/>
          <w:color w:val="auto"/>
          <w:spacing w:val="0"/>
          <w:sz w:val="14"/>
          <w:szCs w:val="22"/>
        </w:rPr>
        <w:t>Mycobacterium tuberculosis</w:t>
      </w:r>
    </w:p>
    <w:p w:rsidR="00AE718B" w:rsidRPr="001C7F56" w:rsidRDefault="00AE718B" w:rsidP="00AE718B">
      <w:pPr>
        <w:pStyle w:val="Caption"/>
        <w:tabs>
          <w:tab w:val="left" w:pos="1134"/>
        </w:tabs>
        <w:ind w:left="1134" w:hanging="1134"/>
        <w:rPr>
          <w:rFonts w:cs="Arial"/>
          <w:b/>
          <w:i w:val="0"/>
          <w:noProof/>
          <w:color w:val="auto"/>
          <w:sz w:val="20"/>
        </w:rPr>
      </w:pPr>
      <w:r w:rsidRPr="001C7F56">
        <w:rPr>
          <w:rFonts w:cs="Arial"/>
          <w:b/>
          <w:i w:val="0"/>
          <w:color w:val="auto"/>
        </w:rPr>
        <w:lastRenderedPageBreak/>
        <w:t xml:space="preserve">Figure </w:t>
      </w:r>
      <w:r w:rsidRPr="001C7F56">
        <w:rPr>
          <w:rFonts w:cs="Arial"/>
          <w:b/>
          <w:i w:val="0"/>
          <w:color w:val="auto"/>
        </w:rPr>
        <w:fldChar w:fldCharType="begin"/>
      </w:r>
      <w:r w:rsidRPr="001C7F56">
        <w:rPr>
          <w:rFonts w:cs="Arial"/>
          <w:b/>
          <w:i w:val="0"/>
          <w:color w:val="auto"/>
        </w:rPr>
        <w:instrText xml:space="preserve"> SEQ Figure \* ARABIC </w:instrText>
      </w:r>
      <w:r w:rsidRPr="001C7F56">
        <w:rPr>
          <w:rFonts w:cs="Arial"/>
          <w:b/>
          <w:i w:val="0"/>
          <w:color w:val="auto"/>
        </w:rPr>
        <w:fldChar w:fldCharType="separate"/>
      </w:r>
      <w:r w:rsidR="007A7F88">
        <w:rPr>
          <w:rFonts w:cs="Arial"/>
          <w:b/>
          <w:i w:val="0"/>
          <w:noProof/>
          <w:color w:val="auto"/>
        </w:rPr>
        <w:t>2</w:t>
      </w:r>
      <w:r w:rsidRPr="001C7F56">
        <w:rPr>
          <w:rFonts w:cs="Arial"/>
          <w:b/>
          <w:i w:val="0"/>
          <w:color w:val="auto"/>
        </w:rPr>
        <w:fldChar w:fldCharType="end"/>
      </w:r>
      <w:r>
        <w:rPr>
          <w:b/>
          <w:i w:val="0"/>
          <w:color w:val="auto"/>
        </w:rPr>
        <w:tab/>
      </w:r>
      <w:r w:rsidRPr="001C7F56">
        <w:rPr>
          <w:rFonts w:cs="Arial"/>
          <w:b/>
          <w:i w:val="0"/>
          <w:color w:val="auto"/>
        </w:rPr>
        <w:t xml:space="preserve">Critical antimicrobial resistances, number reported by species and month, </w:t>
      </w:r>
      <w:r>
        <w:rPr>
          <w:rFonts w:cs="Arial"/>
          <w:b/>
          <w:i w:val="0"/>
          <w:color w:val="auto"/>
        </w:rPr>
        <w:t xml:space="preserve">17 </w:t>
      </w:r>
      <w:r w:rsidRPr="001C7F56">
        <w:rPr>
          <w:rFonts w:cs="Arial"/>
          <w:b/>
          <w:i w:val="0"/>
          <w:color w:val="auto"/>
        </w:rPr>
        <w:t>March</w:t>
      </w:r>
      <w:r>
        <w:rPr>
          <w:rFonts w:cs="Arial"/>
          <w:b/>
          <w:i w:val="0"/>
          <w:color w:val="auto"/>
        </w:rPr>
        <w:t xml:space="preserve"> 2016</w:t>
      </w:r>
      <w:r w:rsidRPr="001C7F56">
        <w:rPr>
          <w:rFonts w:cs="Arial"/>
          <w:b/>
          <w:i w:val="0"/>
          <w:color w:val="auto"/>
        </w:rPr>
        <w:t>–</w:t>
      </w:r>
      <w:r>
        <w:rPr>
          <w:rFonts w:cs="Arial"/>
          <w:b/>
          <w:i w:val="0"/>
          <w:color w:val="auto"/>
        </w:rPr>
        <w:t>31 March</w:t>
      </w:r>
      <w:r w:rsidRPr="001C7F56">
        <w:rPr>
          <w:rFonts w:cs="Arial"/>
          <w:b/>
          <w:i w:val="0"/>
          <w:color w:val="auto"/>
        </w:rPr>
        <w:t xml:space="preserve"> 201</w:t>
      </w:r>
      <w:r>
        <w:rPr>
          <w:rFonts w:cs="Arial"/>
          <w:b/>
          <w:i w:val="0"/>
          <w:color w:val="auto"/>
        </w:rPr>
        <w:t>7</w:t>
      </w:r>
    </w:p>
    <w:p w:rsidR="00AE718B" w:rsidRDefault="00AE718B" w:rsidP="007550B8">
      <w:pPr>
        <w:rPr>
          <w:rStyle w:val="IntenseReference"/>
          <w:rFonts w:cs="Arial"/>
          <w:b w:val="0"/>
          <w:bCs w:val="0"/>
          <w:i w:val="0"/>
          <w:smallCaps w:val="0"/>
          <w:color w:val="auto"/>
          <w:spacing w:val="0"/>
          <w:szCs w:val="22"/>
        </w:rPr>
      </w:pPr>
    </w:p>
    <w:p w:rsidR="00C4402E" w:rsidRDefault="00C4402E" w:rsidP="007550B8">
      <w:pPr>
        <w:rPr>
          <w:rStyle w:val="IntenseReference"/>
          <w:rFonts w:cs="Arial"/>
          <w:b w:val="0"/>
          <w:bCs w:val="0"/>
          <w:i w:val="0"/>
          <w:smallCaps w:val="0"/>
          <w:color w:val="auto"/>
          <w:spacing w:val="0"/>
          <w:szCs w:val="22"/>
        </w:rPr>
      </w:pPr>
      <w:r>
        <w:rPr>
          <w:rFonts w:cs="Arial"/>
          <w:noProof/>
          <w:szCs w:val="22"/>
          <w:lang w:eastAsia="en-AU"/>
        </w:rPr>
        <w:drawing>
          <wp:inline distT="0" distB="0" distL="0" distR="0" wp14:anchorId="1338C263">
            <wp:extent cx="6229985" cy="7621270"/>
            <wp:effectExtent l="0" t="0" r="0" b="0"/>
            <wp:docPr id="17" name="Picture 17" descr="Figure 2 shows the Critical antimicrobial resistances, number reported by species and month, 17 March 2016–31 March 2017" title="Critical antimicrobial resistances, number reported by species and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9985" cy="7621270"/>
                    </a:xfrm>
                    <a:prstGeom prst="rect">
                      <a:avLst/>
                    </a:prstGeom>
                    <a:noFill/>
                  </pic:spPr>
                </pic:pic>
              </a:graphicData>
            </a:graphic>
          </wp:inline>
        </w:drawing>
      </w:r>
    </w:p>
    <w:p w:rsidR="00C4402E" w:rsidRDefault="00C4402E" w:rsidP="007550B8">
      <w:pPr>
        <w:rPr>
          <w:rStyle w:val="IntenseReference"/>
          <w:rFonts w:cs="Arial"/>
          <w:b w:val="0"/>
          <w:bCs w:val="0"/>
          <w:i w:val="0"/>
          <w:smallCaps w:val="0"/>
          <w:color w:val="auto"/>
          <w:spacing w:val="0"/>
          <w:szCs w:val="22"/>
        </w:rPr>
      </w:pPr>
    </w:p>
    <w:p w:rsidR="007550B8" w:rsidRDefault="000E1F1F" w:rsidP="00997C30">
      <w:pPr>
        <w:spacing w:before="120"/>
        <w:ind w:left="142"/>
        <w:rPr>
          <w:rStyle w:val="IntenseReference"/>
          <w:rFonts w:cs="Arial"/>
          <w:b w:val="0"/>
          <w:bCs w:val="0"/>
          <w:smallCaps w:val="0"/>
          <w:color w:val="auto"/>
          <w:spacing w:val="0"/>
          <w:sz w:val="14"/>
          <w:szCs w:val="22"/>
        </w:rPr>
      </w:pPr>
      <w:r>
        <w:rPr>
          <w:rStyle w:val="IntenseReference"/>
          <w:rFonts w:cs="Arial"/>
          <w:b w:val="0"/>
          <w:bCs w:val="0"/>
          <w:i w:val="0"/>
          <w:smallCaps w:val="0"/>
          <w:color w:val="auto"/>
          <w:spacing w:val="0"/>
          <w:sz w:val="14"/>
          <w:szCs w:val="22"/>
        </w:rPr>
        <w:t>C</w:t>
      </w:r>
      <w:r w:rsidR="007550B8" w:rsidRPr="007555B3">
        <w:rPr>
          <w:rStyle w:val="IntenseReference"/>
          <w:rFonts w:cs="Arial"/>
          <w:b w:val="0"/>
          <w:bCs w:val="0"/>
          <w:i w:val="0"/>
          <w:smallCaps w:val="0"/>
          <w:color w:val="auto"/>
          <w:spacing w:val="0"/>
          <w:sz w:val="14"/>
          <w:szCs w:val="22"/>
        </w:rPr>
        <w:t xml:space="preserve">PE = </w:t>
      </w:r>
      <w:r w:rsidR="007550B8">
        <w:rPr>
          <w:rStyle w:val="IntenseReference"/>
          <w:rFonts w:cs="Arial"/>
          <w:b w:val="0"/>
          <w:bCs w:val="0"/>
          <w:i w:val="0"/>
          <w:smallCaps w:val="0"/>
          <w:color w:val="auto"/>
          <w:spacing w:val="0"/>
          <w:sz w:val="14"/>
          <w:szCs w:val="22"/>
        </w:rPr>
        <w:t>carbapenemase-producing-</w:t>
      </w:r>
      <w:r w:rsidR="007550B8" w:rsidRPr="00553B41">
        <w:rPr>
          <w:rStyle w:val="IntenseReference"/>
          <w:rFonts w:cs="Arial"/>
          <w:b w:val="0"/>
          <w:bCs w:val="0"/>
          <w:smallCaps w:val="0"/>
          <w:color w:val="auto"/>
          <w:spacing w:val="0"/>
          <w:sz w:val="14"/>
          <w:szCs w:val="22"/>
        </w:rPr>
        <w:t>Enterobacteriaceae</w:t>
      </w:r>
      <w:r w:rsidR="007550B8">
        <w:rPr>
          <w:rStyle w:val="IntenseReference"/>
          <w:rFonts w:cs="Arial"/>
          <w:b w:val="0"/>
          <w:bCs w:val="0"/>
          <w:i w:val="0"/>
          <w:smallCaps w:val="0"/>
          <w:color w:val="auto"/>
          <w:spacing w:val="0"/>
          <w:sz w:val="14"/>
          <w:szCs w:val="22"/>
        </w:rPr>
        <w:t>; RMT = ribosomal methyltransferase-</w:t>
      </w:r>
      <w:r w:rsidR="007550B8" w:rsidRPr="007555B3">
        <w:rPr>
          <w:rStyle w:val="IntenseReference"/>
          <w:rFonts w:cs="Arial"/>
          <w:b w:val="0"/>
          <w:bCs w:val="0"/>
          <w:i w:val="0"/>
          <w:smallCaps w:val="0"/>
          <w:color w:val="auto"/>
          <w:spacing w:val="0"/>
          <w:sz w:val="14"/>
          <w:szCs w:val="22"/>
        </w:rPr>
        <w:t xml:space="preserve">producing </w:t>
      </w:r>
      <w:r w:rsidR="007550B8" w:rsidRPr="00553B41">
        <w:rPr>
          <w:rStyle w:val="IntenseReference"/>
          <w:rFonts w:cs="Arial"/>
          <w:b w:val="0"/>
          <w:bCs w:val="0"/>
          <w:smallCaps w:val="0"/>
          <w:color w:val="auto"/>
          <w:spacing w:val="0"/>
          <w:sz w:val="14"/>
          <w:szCs w:val="22"/>
        </w:rPr>
        <w:t>Enterobacteriaceae</w:t>
      </w:r>
      <w:r w:rsidR="007550B8" w:rsidRPr="007555B3">
        <w:rPr>
          <w:rStyle w:val="IntenseReference"/>
          <w:rFonts w:cs="Arial"/>
          <w:b w:val="0"/>
          <w:bCs w:val="0"/>
          <w:i w:val="0"/>
          <w:smallCaps w:val="0"/>
          <w:color w:val="auto"/>
          <w:spacing w:val="0"/>
          <w:sz w:val="14"/>
          <w:szCs w:val="22"/>
        </w:rPr>
        <w:t>; LLR =</w:t>
      </w:r>
      <w:r w:rsidR="007550B8">
        <w:rPr>
          <w:rStyle w:val="IntenseReference"/>
          <w:rFonts w:cs="Arial"/>
          <w:b w:val="0"/>
          <w:bCs w:val="0"/>
          <w:i w:val="0"/>
          <w:smallCaps w:val="0"/>
          <w:color w:val="auto"/>
          <w:spacing w:val="0"/>
          <w:sz w:val="14"/>
          <w:szCs w:val="22"/>
        </w:rPr>
        <w:t xml:space="preserve"> low level resistance</w:t>
      </w:r>
      <w:r w:rsidR="00567CB6">
        <w:rPr>
          <w:rStyle w:val="IntenseReference"/>
          <w:rFonts w:cs="Arial"/>
          <w:b w:val="0"/>
          <w:bCs w:val="0"/>
          <w:i w:val="0"/>
          <w:smallCaps w:val="0"/>
          <w:color w:val="auto"/>
          <w:spacing w:val="0"/>
          <w:sz w:val="14"/>
          <w:szCs w:val="22"/>
        </w:rPr>
        <w:t>;</w:t>
      </w:r>
      <w:r w:rsidR="007550B8" w:rsidRPr="007555B3">
        <w:rPr>
          <w:rStyle w:val="IntenseReference"/>
          <w:rFonts w:cs="Arial"/>
          <w:b w:val="0"/>
          <w:bCs w:val="0"/>
          <w:i w:val="0"/>
          <w:smallCaps w:val="0"/>
          <w:color w:val="auto"/>
          <w:spacing w:val="0"/>
          <w:sz w:val="14"/>
          <w:szCs w:val="22"/>
        </w:rPr>
        <w:t xml:space="preserve"> HLR</w:t>
      </w:r>
      <w:r w:rsidR="00567CB6">
        <w:rPr>
          <w:rStyle w:val="IntenseReference"/>
          <w:rFonts w:cs="Arial"/>
          <w:b w:val="0"/>
          <w:bCs w:val="0"/>
          <w:i w:val="0"/>
          <w:smallCaps w:val="0"/>
          <w:color w:val="auto"/>
          <w:spacing w:val="0"/>
          <w:sz w:val="14"/>
          <w:szCs w:val="22"/>
        </w:rPr>
        <w:t> </w:t>
      </w:r>
      <w:r w:rsidR="007550B8" w:rsidRPr="007555B3">
        <w:rPr>
          <w:rStyle w:val="IntenseReference"/>
          <w:rFonts w:cs="Arial"/>
          <w:b w:val="0"/>
          <w:bCs w:val="0"/>
          <w:i w:val="0"/>
          <w:smallCaps w:val="0"/>
          <w:color w:val="auto"/>
          <w:spacing w:val="0"/>
          <w:sz w:val="14"/>
          <w:szCs w:val="22"/>
        </w:rPr>
        <w:t xml:space="preserve"> = </w:t>
      </w:r>
      <w:r w:rsidR="007550B8">
        <w:rPr>
          <w:rStyle w:val="IntenseReference"/>
          <w:rFonts w:cs="Arial"/>
          <w:b w:val="0"/>
          <w:bCs w:val="0"/>
          <w:i w:val="0"/>
          <w:smallCaps w:val="0"/>
          <w:color w:val="auto"/>
          <w:spacing w:val="0"/>
          <w:sz w:val="14"/>
          <w:szCs w:val="22"/>
        </w:rPr>
        <w:t>high level resistance</w:t>
      </w:r>
      <w:r w:rsidR="007550B8" w:rsidRPr="007555B3">
        <w:rPr>
          <w:rStyle w:val="IntenseReference"/>
          <w:rFonts w:cs="Arial"/>
          <w:b w:val="0"/>
          <w:bCs w:val="0"/>
          <w:i w:val="0"/>
          <w:smallCaps w:val="0"/>
          <w:color w:val="auto"/>
          <w:spacing w:val="0"/>
          <w:sz w:val="14"/>
          <w:szCs w:val="22"/>
        </w:rPr>
        <w:t xml:space="preserve"> </w:t>
      </w:r>
    </w:p>
    <w:p w:rsidR="00841214" w:rsidRDefault="00841214">
      <w:pPr>
        <w:rPr>
          <w:rStyle w:val="IntenseReference"/>
          <w:rFonts w:cs="Arial"/>
          <w:i w:val="0"/>
          <w:iCs/>
          <w:smallCaps w:val="0"/>
          <w:color w:val="AA610D" w:themeColor="accent1" w:themeShade="BF"/>
          <w:spacing w:val="0"/>
          <w:szCs w:val="28"/>
        </w:rPr>
      </w:pPr>
    </w:p>
    <w:p w:rsidR="00351BEB" w:rsidRPr="00887184" w:rsidRDefault="007D5376" w:rsidP="00164D03">
      <w:pPr>
        <w:pStyle w:val="Heading1"/>
        <w:spacing w:after="240"/>
        <w:rPr>
          <w:rStyle w:val="IntenseReference"/>
          <w:b/>
          <w:bCs/>
          <w:i w:val="0"/>
          <w:smallCaps w:val="0"/>
          <w:color w:val="AA610D" w:themeColor="accent1" w:themeShade="BF"/>
          <w:spacing w:val="0"/>
          <w:szCs w:val="28"/>
        </w:rPr>
      </w:pPr>
      <w:bookmarkStart w:id="5" w:name="_Toc486425617"/>
      <w:r w:rsidRPr="00887184">
        <w:rPr>
          <w:rStyle w:val="IntenseReference"/>
          <w:b/>
          <w:bCs/>
          <w:i w:val="0"/>
          <w:smallCaps w:val="0"/>
          <w:color w:val="AA610D" w:themeColor="accent1" w:themeShade="BF"/>
          <w:spacing w:val="0"/>
          <w:szCs w:val="28"/>
        </w:rPr>
        <w:lastRenderedPageBreak/>
        <w:t>Critica</w:t>
      </w:r>
      <w:r w:rsidR="00AE7B0F" w:rsidRPr="00887184">
        <w:rPr>
          <w:rStyle w:val="IntenseReference"/>
          <w:b/>
          <w:bCs/>
          <w:i w:val="0"/>
          <w:smallCaps w:val="0"/>
          <w:color w:val="AA610D" w:themeColor="accent1" w:themeShade="BF"/>
          <w:spacing w:val="0"/>
          <w:szCs w:val="28"/>
        </w:rPr>
        <w:t xml:space="preserve">l </w:t>
      </w:r>
      <w:r w:rsidR="00841214" w:rsidRPr="00887184">
        <w:rPr>
          <w:rStyle w:val="IntenseReference"/>
          <w:b/>
          <w:bCs/>
          <w:i w:val="0"/>
          <w:smallCaps w:val="0"/>
          <w:color w:val="AA610D" w:themeColor="accent1" w:themeShade="BF"/>
          <w:spacing w:val="0"/>
          <w:szCs w:val="28"/>
        </w:rPr>
        <w:t xml:space="preserve">antimicrobial resistances </w:t>
      </w:r>
      <w:r w:rsidR="00AE7B0F" w:rsidRPr="00887184">
        <w:rPr>
          <w:rStyle w:val="IntenseReference"/>
          <w:b/>
          <w:bCs/>
          <w:i w:val="0"/>
          <w:smallCaps w:val="0"/>
          <w:color w:val="AA610D" w:themeColor="accent1" w:themeShade="BF"/>
          <w:spacing w:val="0"/>
          <w:szCs w:val="28"/>
        </w:rPr>
        <w:t>by s</w:t>
      </w:r>
      <w:r w:rsidRPr="00887184">
        <w:rPr>
          <w:rStyle w:val="IntenseReference"/>
          <w:b/>
          <w:bCs/>
          <w:i w:val="0"/>
          <w:smallCaps w:val="0"/>
          <w:color w:val="AA610D" w:themeColor="accent1" w:themeShade="BF"/>
          <w:spacing w:val="0"/>
          <w:szCs w:val="28"/>
        </w:rPr>
        <w:t xml:space="preserve">tate and </w:t>
      </w:r>
      <w:r w:rsidR="00AE7B0F" w:rsidRPr="00887184">
        <w:rPr>
          <w:rStyle w:val="IntenseReference"/>
          <w:b/>
          <w:bCs/>
          <w:i w:val="0"/>
          <w:smallCaps w:val="0"/>
          <w:color w:val="AA610D" w:themeColor="accent1" w:themeShade="BF"/>
          <w:spacing w:val="0"/>
          <w:szCs w:val="28"/>
        </w:rPr>
        <w:t>t</w:t>
      </w:r>
      <w:r w:rsidRPr="00887184">
        <w:rPr>
          <w:rStyle w:val="IntenseReference"/>
          <w:b/>
          <w:bCs/>
          <w:i w:val="0"/>
          <w:smallCaps w:val="0"/>
          <w:color w:val="AA610D" w:themeColor="accent1" w:themeShade="BF"/>
          <w:spacing w:val="0"/>
          <w:szCs w:val="28"/>
        </w:rPr>
        <w:t>erritory</w:t>
      </w:r>
      <w:bookmarkEnd w:id="5"/>
    </w:p>
    <w:p w:rsidR="005F0C08" w:rsidRDefault="005F0C08" w:rsidP="005F0C08">
      <w:pPr>
        <w:spacing w:before="120"/>
        <w:rPr>
          <w:rFonts w:cs="Arial"/>
          <w:bCs/>
          <w:szCs w:val="22"/>
        </w:rPr>
      </w:pPr>
      <w:r w:rsidRPr="00197EF1">
        <w:rPr>
          <w:rFonts w:cs="Arial"/>
          <w:bCs/>
          <w:szCs w:val="22"/>
        </w:rPr>
        <w:t>Seventy</w:t>
      </w:r>
      <w:r w:rsidRPr="00FF343A">
        <w:rPr>
          <w:rFonts w:cs="Arial"/>
          <w:bCs/>
          <w:szCs w:val="22"/>
        </w:rPr>
        <w:t xml:space="preserve"> per</w:t>
      </w:r>
      <w:r w:rsidR="00D93729">
        <w:rPr>
          <w:rFonts w:cs="Arial"/>
          <w:bCs/>
          <w:szCs w:val="22"/>
        </w:rPr>
        <w:t xml:space="preserve"> </w:t>
      </w:r>
      <w:r w:rsidRPr="00FF343A">
        <w:rPr>
          <w:rFonts w:cs="Arial"/>
          <w:bCs/>
          <w:szCs w:val="22"/>
        </w:rPr>
        <w:t xml:space="preserve">cent of all CARs were from </w:t>
      </w:r>
      <w:r>
        <w:rPr>
          <w:rFonts w:cs="Arial"/>
          <w:bCs/>
          <w:szCs w:val="22"/>
        </w:rPr>
        <w:t>the three most populous states</w:t>
      </w:r>
      <w:r w:rsidR="00FC1B90">
        <w:rPr>
          <w:rFonts w:cs="Arial"/>
          <w:bCs/>
          <w:szCs w:val="22"/>
        </w:rPr>
        <w:t xml:space="preserve"> –</w:t>
      </w:r>
      <w:r>
        <w:rPr>
          <w:rFonts w:cs="Arial"/>
          <w:bCs/>
          <w:szCs w:val="22"/>
        </w:rPr>
        <w:t xml:space="preserve"> New South Wales </w:t>
      </w:r>
      <w:r w:rsidRPr="00197EF1">
        <w:rPr>
          <w:rFonts w:cs="Arial"/>
          <w:bCs/>
          <w:szCs w:val="22"/>
        </w:rPr>
        <w:t>(34%), Victoria (21%) and Queensland (15%).</w:t>
      </w:r>
      <w:r w:rsidRPr="00FF343A">
        <w:rPr>
          <w:rFonts w:cs="Arial"/>
          <w:bCs/>
          <w:szCs w:val="22"/>
        </w:rPr>
        <w:t xml:space="preserve"> </w:t>
      </w:r>
      <w:r w:rsidR="00D21BC6">
        <w:rPr>
          <w:rFonts w:cs="Arial"/>
          <w:bCs/>
          <w:szCs w:val="22"/>
        </w:rPr>
        <w:t>T</w:t>
      </w:r>
      <w:r>
        <w:rPr>
          <w:rFonts w:cs="Arial"/>
          <w:bCs/>
          <w:szCs w:val="22"/>
        </w:rPr>
        <w:t>wo</w:t>
      </w:r>
      <w:r w:rsidRPr="00FF343A">
        <w:rPr>
          <w:rFonts w:cs="Arial"/>
          <w:bCs/>
          <w:szCs w:val="22"/>
        </w:rPr>
        <w:t xml:space="preserve"> report</w:t>
      </w:r>
      <w:r>
        <w:rPr>
          <w:rFonts w:cs="Arial"/>
          <w:bCs/>
          <w:szCs w:val="22"/>
        </w:rPr>
        <w:t>s</w:t>
      </w:r>
      <w:r w:rsidRPr="00FF343A">
        <w:rPr>
          <w:rFonts w:cs="Arial"/>
          <w:bCs/>
          <w:szCs w:val="22"/>
        </w:rPr>
        <w:t xml:space="preserve"> were received fro</w:t>
      </w:r>
      <w:r>
        <w:rPr>
          <w:rFonts w:cs="Arial"/>
          <w:bCs/>
          <w:szCs w:val="22"/>
        </w:rPr>
        <w:t>m the Northern Territory and five</w:t>
      </w:r>
      <w:r w:rsidRPr="00FF343A">
        <w:rPr>
          <w:rFonts w:cs="Arial"/>
          <w:bCs/>
          <w:szCs w:val="22"/>
        </w:rPr>
        <w:t xml:space="preserve"> from Tasmania</w:t>
      </w:r>
      <w:r>
        <w:rPr>
          <w:rFonts w:cs="Arial"/>
          <w:bCs/>
          <w:szCs w:val="22"/>
        </w:rPr>
        <w:t>. CPE</w:t>
      </w:r>
      <w:r w:rsidR="00FC1B90">
        <w:rPr>
          <w:rFonts w:cs="Arial"/>
          <w:bCs/>
          <w:szCs w:val="22"/>
        </w:rPr>
        <w:t>,</w:t>
      </w:r>
      <w:r>
        <w:rPr>
          <w:rFonts w:cs="Arial"/>
          <w:bCs/>
          <w:szCs w:val="22"/>
        </w:rPr>
        <w:t xml:space="preserve"> as a proportion of all reported CARs</w:t>
      </w:r>
      <w:r w:rsidR="00FC1B90">
        <w:rPr>
          <w:rFonts w:cs="Arial"/>
          <w:bCs/>
          <w:szCs w:val="22"/>
        </w:rPr>
        <w:t>,</w:t>
      </w:r>
      <w:r>
        <w:rPr>
          <w:rFonts w:cs="Arial"/>
          <w:bCs/>
          <w:szCs w:val="22"/>
        </w:rPr>
        <w:t xml:space="preserve"> was lowest in South</w:t>
      </w:r>
      <w:r w:rsidRPr="00701CAA">
        <w:rPr>
          <w:rFonts w:cs="Arial"/>
          <w:bCs/>
          <w:szCs w:val="22"/>
        </w:rPr>
        <w:t xml:space="preserve"> Australia (2</w:t>
      </w:r>
      <w:r>
        <w:rPr>
          <w:rFonts w:cs="Arial"/>
          <w:bCs/>
          <w:szCs w:val="22"/>
        </w:rPr>
        <w:t>9</w:t>
      </w:r>
      <w:r w:rsidRPr="00701CAA">
        <w:rPr>
          <w:rFonts w:cs="Arial"/>
          <w:bCs/>
          <w:szCs w:val="22"/>
        </w:rPr>
        <w:t xml:space="preserve">%) and </w:t>
      </w:r>
      <w:r>
        <w:rPr>
          <w:rFonts w:cs="Arial"/>
          <w:bCs/>
          <w:szCs w:val="22"/>
        </w:rPr>
        <w:t>Western Australia (</w:t>
      </w:r>
      <w:r w:rsidR="00427AA4">
        <w:rPr>
          <w:rFonts w:cs="Arial"/>
          <w:bCs/>
          <w:szCs w:val="22"/>
        </w:rPr>
        <w:t>29</w:t>
      </w:r>
      <w:r w:rsidR="00427AA4" w:rsidRPr="00701CAA">
        <w:rPr>
          <w:rFonts w:cs="Arial"/>
          <w:bCs/>
          <w:szCs w:val="22"/>
        </w:rPr>
        <w:t>%)</w:t>
      </w:r>
      <w:r>
        <w:rPr>
          <w:rFonts w:cs="Arial"/>
          <w:bCs/>
          <w:szCs w:val="22"/>
        </w:rPr>
        <w:t xml:space="preserve"> and highest in</w:t>
      </w:r>
      <w:r w:rsidRPr="00701CAA">
        <w:rPr>
          <w:rFonts w:cs="Arial"/>
          <w:bCs/>
          <w:szCs w:val="22"/>
        </w:rPr>
        <w:t xml:space="preserve"> Queensland (7</w:t>
      </w:r>
      <w:r>
        <w:rPr>
          <w:rFonts w:cs="Arial"/>
          <w:bCs/>
          <w:szCs w:val="22"/>
        </w:rPr>
        <w:t xml:space="preserve">1%) and </w:t>
      </w:r>
      <w:r w:rsidR="00FC1B90">
        <w:rPr>
          <w:rFonts w:cs="Arial"/>
          <w:bCs/>
          <w:szCs w:val="22"/>
        </w:rPr>
        <w:t>the Australian Capital Territory</w:t>
      </w:r>
      <w:r>
        <w:rPr>
          <w:rFonts w:cs="Arial"/>
          <w:bCs/>
          <w:szCs w:val="22"/>
        </w:rPr>
        <w:t xml:space="preserve"> (68%)</w:t>
      </w:r>
      <w:r w:rsidRPr="00701CAA">
        <w:rPr>
          <w:rFonts w:cs="Arial"/>
          <w:bCs/>
          <w:szCs w:val="22"/>
        </w:rPr>
        <w:t xml:space="preserve"> </w:t>
      </w:r>
      <w:r w:rsidR="00CC3F71">
        <w:rPr>
          <w:rFonts w:cs="Arial"/>
          <w:bCs/>
          <w:szCs w:val="22"/>
        </w:rPr>
        <w:t xml:space="preserve">as shown in </w:t>
      </w:r>
      <w:r w:rsidRPr="00701CAA">
        <w:rPr>
          <w:rFonts w:cs="Arial"/>
          <w:bCs/>
          <w:szCs w:val="22"/>
        </w:rPr>
        <w:t>Figure 3.</w:t>
      </w:r>
      <w:r>
        <w:rPr>
          <w:rFonts w:cs="Arial"/>
          <w:bCs/>
          <w:szCs w:val="22"/>
        </w:rPr>
        <w:t xml:space="preserve"> </w:t>
      </w:r>
    </w:p>
    <w:p w:rsidR="00C24681" w:rsidRPr="0018798A" w:rsidRDefault="00C24681" w:rsidP="00C24681">
      <w:pPr>
        <w:rPr>
          <w:rStyle w:val="IntenseReference"/>
          <w:rFonts w:cs="Arial"/>
          <w:b w:val="0"/>
          <w:bCs w:val="0"/>
          <w:i w:val="0"/>
          <w:smallCaps w:val="0"/>
          <w:color w:val="auto"/>
          <w:spacing w:val="0"/>
          <w:sz w:val="20"/>
          <w:szCs w:val="20"/>
        </w:rPr>
      </w:pPr>
    </w:p>
    <w:p w:rsidR="00C24681" w:rsidRDefault="00C24681" w:rsidP="00AE718B">
      <w:pPr>
        <w:pStyle w:val="Caption"/>
        <w:keepNext/>
        <w:ind w:left="1134" w:hanging="1134"/>
        <w:rPr>
          <w:rFonts w:cs="Arial"/>
          <w:b/>
          <w:i w:val="0"/>
          <w:color w:val="auto"/>
        </w:rPr>
      </w:pPr>
      <w:r w:rsidRPr="001C7F56">
        <w:rPr>
          <w:rFonts w:cs="Arial"/>
          <w:b/>
          <w:i w:val="0"/>
          <w:color w:val="auto"/>
        </w:rPr>
        <w:t xml:space="preserve">Figure </w:t>
      </w:r>
      <w:r w:rsidRPr="001C7F56">
        <w:rPr>
          <w:rFonts w:cs="Arial"/>
          <w:b/>
          <w:i w:val="0"/>
          <w:color w:val="auto"/>
        </w:rPr>
        <w:fldChar w:fldCharType="begin"/>
      </w:r>
      <w:r w:rsidRPr="001C7F56">
        <w:rPr>
          <w:rFonts w:cs="Arial"/>
          <w:b/>
          <w:i w:val="0"/>
          <w:color w:val="auto"/>
        </w:rPr>
        <w:instrText xml:space="preserve"> SEQ Figure \* ARABIC </w:instrText>
      </w:r>
      <w:r w:rsidRPr="001C7F56">
        <w:rPr>
          <w:rFonts w:cs="Arial"/>
          <w:b/>
          <w:i w:val="0"/>
          <w:color w:val="auto"/>
        </w:rPr>
        <w:fldChar w:fldCharType="separate"/>
      </w:r>
      <w:r w:rsidR="007A7F88">
        <w:rPr>
          <w:rFonts w:cs="Arial"/>
          <w:b/>
          <w:i w:val="0"/>
          <w:noProof/>
          <w:color w:val="auto"/>
        </w:rPr>
        <w:t>3</w:t>
      </w:r>
      <w:r w:rsidRPr="001C7F56">
        <w:rPr>
          <w:rFonts w:cs="Arial"/>
          <w:b/>
          <w:i w:val="0"/>
          <w:color w:val="auto"/>
        </w:rPr>
        <w:fldChar w:fldCharType="end"/>
      </w:r>
      <w:r w:rsidR="00750EAA">
        <w:rPr>
          <w:b/>
          <w:i w:val="0"/>
          <w:color w:val="auto"/>
        </w:rPr>
        <w:tab/>
      </w:r>
      <w:r w:rsidRPr="001C7F56">
        <w:rPr>
          <w:rFonts w:cs="Arial"/>
          <w:b/>
          <w:i w:val="0"/>
          <w:color w:val="auto"/>
        </w:rPr>
        <w:t>Critical antimicrobial resistances, percentage reported by stat</w:t>
      </w:r>
      <w:r w:rsidR="00D317D1" w:rsidRPr="001C7F56">
        <w:rPr>
          <w:rFonts w:cs="Arial"/>
          <w:b/>
          <w:i w:val="0"/>
          <w:color w:val="auto"/>
        </w:rPr>
        <w:t>e and territory, March</w:t>
      </w:r>
      <w:r w:rsidR="00CB12AA" w:rsidRPr="001C7F56">
        <w:rPr>
          <w:rFonts w:cs="Arial"/>
          <w:b/>
          <w:i w:val="0"/>
          <w:color w:val="auto"/>
        </w:rPr>
        <w:t>–</w:t>
      </w:r>
      <w:r w:rsidRPr="001C7F56">
        <w:rPr>
          <w:rFonts w:cs="Arial"/>
          <w:b/>
          <w:i w:val="0"/>
          <w:color w:val="auto"/>
        </w:rPr>
        <w:t>December 2016</w:t>
      </w:r>
    </w:p>
    <w:p w:rsidR="00C4402E" w:rsidRPr="00C4402E" w:rsidRDefault="00C4402E" w:rsidP="00C4402E">
      <w:r>
        <w:rPr>
          <w:noProof/>
          <w:lang w:eastAsia="en-AU"/>
        </w:rPr>
        <w:drawing>
          <wp:inline distT="0" distB="0" distL="0" distR="0" wp14:anchorId="656538A8">
            <wp:extent cx="6096635" cy="3359150"/>
            <wp:effectExtent l="0" t="0" r="0" b="0"/>
            <wp:docPr id="29" name="Picture 29" descr="Critical antimicrobial resistances, percentage reported by state and territory, March–December 2016" title="Critical antimicrobial resistances, percentage reported by state and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635" cy="3359150"/>
                    </a:xfrm>
                    <a:prstGeom prst="rect">
                      <a:avLst/>
                    </a:prstGeom>
                    <a:noFill/>
                  </pic:spPr>
                </pic:pic>
              </a:graphicData>
            </a:graphic>
          </wp:inline>
        </w:drawing>
      </w:r>
    </w:p>
    <w:p w:rsidR="005F0C08" w:rsidRPr="0065116F" w:rsidRDefault="005F0C08" w:rsidP="005F0C08">
      <w:pPr>
        <w:spacing w:before="120"/>
        <w:rPr>
          <w:rStyle w:val="IntenseReference"/>
          <w:rFonts w:cs="Arial"/>
          <w:b w:val="0"/>
          <w:bCs w:val="0"/>
          <w:i w:val="0"/>
          <w:smallCaps w:val="0"/>
          <w:color w:val="auto"/>
          <w:spacing w:val="0"/>
          <w:sz w:val="14"/>
          <w:szCs w:val="22"/>
        </w:rPr>
      </w:pPr>
      <w:r w:rsidRPr="007555B3">
        <w:rPr>
          <w:rStyle w:val="IntenseReference"/>
          <w:rFonts w:cs="Arial"/>
          <w:b w:val="0"/>
          <w:bCs w:val="0"/>
          <w:i w:val="0"/>
          <w:smallCaps w:val="0"/>
          <w:color w:val="auto"/>
          <w:spacing w:val="0"/>
          <w:sz w:val="14"/>
          <w:szCs w:val="22"/>
        </w:rPr>
        <w:t xml:space="preserve">CPE = </w:t>
      </w:r>
      <w:r>
        <w:rPr>
          <w:rStyle w:val="IntenseReference"/>
          <w:rFonts w:cs="Arial"/>
          <w:b w:val="0"/>
          <w:bCs w:val="0"/>
          <w:i w:val="0"/>
          <w:smallCaps w:val="0"/>
          <w:color w:val="auto"/>
          <w:spacing w:val="0"/>
          <w:sz w:val="14"/>
          <w:szCs w:val="22"/>
        </w:rPr>
        <w:t>carbapenemase-producing-</w:t>
      </w:r>
      <w:r w:rsidRPr="00661532">
        <w:rPr>
          <w:rStyle w:val="IntenseReference"/>
          <w:rFonts w:cs="Arial"/>
          <w:b w:val="0"/>
          <w:bCs w:val="0"/>
          <w:i w:val="0"/>
          <w:smallCaps w:val="0"/>
          <w:color w:val="auto"/>
          <w:spacing w:val="0"/>
          <w:sz w:val="14"/>
          <w:szCs w:val="22"/>
        </w:rPr>
        <w:t>Enterobacteriaceae</w:t>
      </w:r>
      <w:r>
        <w:rPr>
          <w:rStyle w:val="IntenseReference"/>
          <w:rFonts w:cs="Arial"/>
          <w:b w:val="0"/>
          <w:bCs w:val="0"/>
          <w:i w:val="0"/>
          <w:smallCaps w:val="0"/>
          <w:color w:val="auto"/>
          <w:spacing w:val="0"/>
          <w:sz w:val="14"/>
          <w:szCs w:val="22"/>
        </w:rPr>
        <w:t>; RMT = ribosomal methyltransferase-</w:t>
      </w:r>
      <w:r w:rsidRPr="007555B3">
        <w:rPr>
          <w:rStyle w:val="IntenseReference"/>
          <w:rFonts w:cs="Arial"/>
          <w:b w:val="0"/>
          <w:bCs w:val="0"/>
          <w:i w:val="0"/>
          <w:smallCaps w:val="0"/>
          <w:color w:val="auto"/>
          <w:spacing w:val="0"/>
          <w:sz w:val="14"/>
          <w:szCs w:val="22"/>
        </w:rPr>
        <w:t xml:space="preserve">producing </w:t>
      </w:r>
      <w:r w:rsidRPr="00661532">
        <w:rPr>
          <w:rStyle w:val="IntenseReference"/>
          <w:rFonts w:cs="Arial"/>
          <w:b w:val="0"/>
          <w:bCs w:val="0"/>
          <w:i w:val="0"/>
          <w:smallCaps w:val="0"/>
          <w:color w:val="auto"/>
          <w:spacing w:val="0"/>
          <w:sz w:val="14"/>
          <w:szCs w:val="22"/>
        </w:rPr>
        <w:t>Enterobacteriaceae</w:t>
      </w:r>
      <w:r w:rsidRPr="007555B3">
        <w:rPr>
          <w:rStyle w:val="IntenseReference"/>
          <w:rFonts w:cs="Arial"/>
          <w:b w:val="0"/>
          <w:bCs w:val="0"/>
          <w:i w:val="0"/>
          <w:smallCaps w:val="0"/>
          <w:color w:val="auto"/>
          <w:spacing w:val="0"/>
          <w:sz w:val="14"/>
          <w:szCs w:val="22"/>
        </w:rPr>
        <w:t>; CPE+RMT = carbapenemase</w:t>
      </w:r>
      <w:r>
        <w:rPr>
          <w:rStyle w:val="IntenseReference"/>
          <w:rFonts w:cs="Arial"/>
          <w:b w:val="0"/>
          <w:bCs w:val="0"/>
          <w:i w:val="0"/>
          <w:smallCaps w:val="0"/>
          <w:color w:val="auto"/>
          <w:spacing w:val="0"/>
          <w:sz w:val="14"/>
          <w:szCs w:val="22"/>
        </w:rPr>
        <w:t>- and ribosomal methyltransferase-</w:t>
      </w:r>
      <w:r w:rsidRPr="007555B3">
        <w:rPr>
          <w:rStyle w:val="IntenseReference"/>
          <w:rFonts w:cs="Arial"/>
          <w:b w:val="0"/>
          <w:bCs w:val="0"/>
          <w:i w:val="0"/>
          <w:smallCaps w:val="0"/>
          <w:color w:val="auto"/>
          <w:spacing w:val="0"/>
          <w:sz w:val="14"/>
          <w:szCs w:val="22"/>
        </w:rPr>
        <w:t xml:space="preserve">producing </w:t>
      </w:r>
      <w:r w:rsidRPr="00661532">
        <w:rPr>
          <w:rStyle w:val="IntenseReference"/>
          <w:rFonts w:cs="Arial"/>
          <w:b w:val="0"/>
          <w:bCs w:val="0"/>
          <w:i w:val="0"/>
          <w:smallCaps w:val="0"/>
          <w:color w:val="auto"/>
          <w:spacing w:val="0"/>
          <w:sz w:val="14"/>
          <w:szCs w:val="22"/>
        </w:rPr>
        <w:t>Enterobacteriaceae</w:t>
      </w:r>
      <w:r w:rsidRPr="007555B3">
        <w:rPr>
          <w:rStyle w:val="IntenseReference"/>
          <w:rFonts w:cs="Arial"/>
          <w:b w:val="0"/>
          <w:bCs w:val="0"/>
          <w:i w:val="0"/>
          <w:smallCaps w:val="0"/>
          <w:color w:val="auto"/>
          <w:spacing w:val="0"/>
          <w:sz w:val="14"/>
          <w:szCs w:val="22"/>
        </w:rPr>
        <w:t>; LNZ</w:t>
      </w:r>
      <w:r>
        <w:rPr>
          <w:rStyle w:val="IntenseReference"/>
          <w:rFonts w:cs="Arial"/>
          <w:b w:val="0"/>
          <w:bCs w:val="0"/>
          <w:i w:val="0"/>
          <w:smallCaps w:val="0"/>
          <w:color w:val="auto"/>
          <w:spacing w:val="0"/>
          <w:sz w:val="14"/>
          <w:szCs w:val="22"/>
        </w:rPr>
        <w:t xml:space="preserve"> ENTE</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l</w:t>
      </w:r>
      <w:r w:rsidRPr="007555B3">
        <w:rPr>
          <w:rStyle w:val="IntenseReference"/>
          <w:rFonts w:cs="Arial"/>
          <w:b w:val="0"/>
          <w:bCs w:val="0"/>
          <w:i w:val="0"/>
          <w:smallCaps w:val="0"/>
          <w:color w:val="auto"/>
          <w:spacing w:val="0"/>
          <w:sz w:val="14"/>
          <w:szCs w:val="22"/>
        </w:rPr>
        <w:t xml:space="preserve">inezolid non-susceptible </w:t>
      </w:r>
      <w:r w:rsidRPr="007555B3">
        <w:rPr>
          <w:rStyle w:val="IntenseReference"/>
          <w:rFonts w:cs="Arial"/>
          <w:b w:val="0"/>
          <w:bCs w:val="0"/>
          <w:smallCaps w:val="0"/>
          <w:color w:val="auto"/>
          <w:spacing w:val="0"/>
          <w:sz w:val="14"/>
          <w:szCs w:val="22"/>
        </w:rPr>
        <w:t>Enterococcus</w:t>
      </w:r>
      <w:r w:rsidRPr="007555B3">
        <w:rPr>
          <w:rStyle w:val="IntenseReference"/>
          <w:rFonts w:cs="Arial"/>
          <w:b w:val="0"/>
          <w:bCs w:val="0"/>
          <w:i w:val="0"/>
          <w:smallCaps w:val="0"/>
          <w:color w:val="auto"/>
          <w:spacing w:val="0"/>
          <w:sz w:val="14"/>
          <w:szCs w:val="22"/>
        </w:rPr>
        <w:t xml:space="preserve"> species; AZI </w:t>
      </w:r>
      <w:r w:rsidR="00AA44FB">
        <w:rPr>
          <w:rStyle w:val="IntenseReference"/>
          <w:rFonts w:cs="Arial"/>
          <w:b w:val="0"/>
          <w:bCs w:val="0"/>
          <w:i w:val="0"/>
          <w:smallCaps w:val="0"/>
          <w:color w:val="auto"/>
          <w:spacing w:val="0"/>
          <w:sz w:val="14"/>
          <w:szCs w:val="22"/>
        </w:rPr>
        <w:t>LLR</w:t>
      </w:r>
      <w:r w:rsidRPr="007555B3">
        <w:rPr>
          <w:rStyle w:val="IntenseReference"/>
          <w:rFonts w:cs="Arial"/>
          <w:b w:val="0"/>
          <w:bCs w:val="0"/>
          <w:i w:val="0"/>
          <w:smallCaps w:val="0"/>
          <w:color w:val="auto"/>
          <w:spacing w:val="0"/>
          <w:sz w:val="14"/>
          <w:szCs w:val="22"/>
        </w:rPr>
        <w:t xml:space="preserve"> = azithromycin</w:t>
      </w:r>
      <w:r>
        <w:rPr>
          <w:rStyle w:val="IntenseReference"/>
          <w:rFonts w:cs="Arial"/>
          <w:b w:val="0"/>
          <w:bCs w:val="0"/>
          <w:i w:val="0"/>
          <w:smallCaps w:val="0"/>
          <w:color w:val="auto"/>
          <w:spacing w:val="0"/>
          <w:sz w:val="14"/>
          <w:szCs w:val="22"/>
        </w:rPr>
        <w:t xml:space="preserve"> non-susceptible</w:t>
      </w:r>
      <w:r w:rsidR="00E60E38">
        <w:rPr>
          <w:rStyle w:val="IntenseReference"/>
          <w:rFonts w:cs="Arial"/>
          <w:b w:val="0"/>
          <w:bCs w:val="0"/>
          <w:i w:val="0"/>
          <w:smallCaps w:val="0"/>
          <w:color w:val="auto"/>
          <w:spacing w:val="0"/>
          <w:sz w:val="14"/>
          <w:szCs w:val="22"/>
        </w:rPr>
        <w:t>,</w:t>
      </w:r>
      <w:r w:rsidR="00E24685">
        <w:rPr>
          <w:rStyle w:val="IntenseReference"/>
          <w:rFonts w:cs="Arial"/>
          <w:b w:val="0"/>
          <w:bCs w:val="0"/>
          <w:i w:val="0"/>
          <w:smallCaps w:val="0"/>
          <w:color w:val="auto"/>
          <w:spacing w:val="0"/>
          <w:sz w:val="14"/>
          <w:szCs w:val="22"/>
        </w:rPr>
        <w:t xml:space="preserve"> low level resistance</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 xml:space="preserve">(LLR, MIC &lt; 256 mg/L) </w:t>
      </w:r>
      <w:r w:rsidRPr="007555B3">
        <w:rPr>
          <w:rStyle w:val="IntenseReference"/>
          <w:rFonts w:cs="Arial"/>
          <w:b w:val="0"/>
          <w:bCs w:val="0"/>
          <w:smallCaps w:val="0"/>
          <w:color w:val="auto"/>
          <w:spacing w:val="0"/>
          <w:sz w:val="14"/>
          <w:szCs w:val="22"/>
        </w:rPr>
        <w:t>Neisseria gonorrhoeae</w:t>
      </w:r>
      <w:r>
        <w:rPr>
          <w:rStyle w:val="IntenseReference"/>
          <w:rFonts w:cs="Arial"/>
          <w:b w:val="0"/>
          <w:bCs w:val="0"/>
          <w:i w:val="0"/>
          <w:smallCaps w:val="0"/>
          <w:color w:val="auto"/>
          <w:spacing w:val="0"/>
          <w:sz w:val="14"/>
          <w:szCs w:val="22"/>
        </w:rPr>
        <w:t xml:space="preserve">; </w:t>
      </w:r>
      <w:r w:rsidR="00AA44FB">
        <w:rPr>
          <w:rStyle w:val="IntenseReference"/>
          <w:rFonts w:cs="Arial"/>
          <w:b w:val="0"/>
          <w:bCs w:val="0"/>
          <w:i w:val="0"/>
          <w:smallCaps w:val="0"/>
          <w:color w:val="auto"/>
          <w:spacing w:val="0"/>
          <w:sz w:val="14"/>
          <w:szCs w:val="22"/>
        </w:rPr>
        <w:t>AZI HLR</w:t>
      </w:r>
      <w:r w:rsidRPr="007555B3">
        <w:rPr>
          <w:rStyle w:val="IntenseReference"/>
          <w:rFonts w:cs="Arial"/>
          <w:b w:val="0"/>
          <w:bCs w:val="0"/>
          <w:i w:val="0"/>
          <w:smallCaps w:val="0"/>
          <w:color w:val="auto"/>
          <w:spacing w:val="0"/>
          <w:sz w:val="14"/>
          <w:szCs w:val="22"/>
        </w:rPr>
        <w:t xml:space="preserve"> = azithromycin</w:t>
      </w:r>
      <w:r>
        <w:rPr>
          <w:rStyle w:val="IntenseReference"/>
          <w:rFonts w:cs="Arial"/>
          <w:b w:val="0"/>
          <w:bCs w:val="0"/>
          <w:i w:val="0"/>
          <w:smallCaps w:val="0"/>
          <w:color w:val="auto"/>
          <w:spacing w:val="0"/>
          <w:sz w:val="14"/>
          <w:szCs w:val="22"/>
        </w:rPr>
        <w:t xml:space="preserve"> non-susceptible</w:t>
      </w:r>
      <w:r w:rsidR="00E60E38">
        <w:rPr>
          <w:rStyle w:val="IntenseReference"/>
          <w:rFonts w:cs="Arial"/>
          <w:b w:val="0"/>
          <w:bCs w:val="0"/>
          <w:i w:val="0"/>
          <w:smallCaps w:val="0"/>
          <w:color w:val="auto"/>
          <w:spacing w:val="0"/>
          <w:sz w:val="14"/>
          <w:szCs w:val="22"/>
        </w:rPr>
        <w:t>,</w:t>
      </w:r>
      <w:r w:rsidR="00E24685">
        <w:rPr>
          <w:rStyle w:val="IntenseReference"/>
          <w:rFonts w:cs="Arial"/>
          <w:b w:val="0"/>
          <w:bCs w:val="0"/>
          <w:i w:val="0"/>
          <w:smallCaps w:val="0"/>
          <w:color w:val="auto"/>
          <w:spacing w:val="0"/>
          <w:sz w:val="14"/>
          <w:szCs w:val="22"/>
        </w:rPr>
        <w:t xml:space="preserve"> high level resistance</w:t>
      </w:r>
      <w:r w:rsidRPr="007555B3">
        <w:rPr>
          <w:rStyle w:val="IntenseReference"/>
          <w:rFonts w:cs="Arial"/>
          <w:b w:val="0"/>
          <w:bCs w:val="0"/>
          <w:i w:val="0"/>
          <w:smallCaps w:val="0"/>
          <w:color w:val="auto"/>
          <w:spacing w:val="0"/>
          <w:sz w:val="14"/>
          <w:szCs w:val="22"/>
        </w:rPr>
        <w:t xml:space="preserve"> (HLR, MIC &gt; 256 mg/L) </w:t>
      </w:r>
      <w:r w:rsidRPr="007555B3">
        <w:rPr>
          <w:rStyle w:val="IntenseReference"/>
          <w:rFonts w:cs="Arial"/>
          <w:b w:val="0"/>
          <w:bCs w:val="0"/>
          <w:smallCaps w:val="0"/>
          <w:color w:val="auto"/>
          <w:spacing w:val="0"/>
          <w:sz w:val="14"/>
          <w:szCs w:val="22"/>
        </w:rPr>
        <w:t>Neisseria gonorrhoeae</w:t>
      </w:r>
      <w:r w:rsidRPr="007555B3">
        <w:rPr>
          <w:rStyle w:val="IntenseReference"/>
          <w:rFonts w:cs="Arial"/>
          <w:b w:val="0"/>
          <w:bCs w:val="0"/>
          <w:i w:val="0"/>
          <w:smallCaps w:val="0"/>
          <w:color w:val="auto"/>
          <w:spacing w:val="0"/>
          <w:sz w:val="14"/>
          <w:szCs w:val="22"/>
        </w:rPr>
        <w:t>; CTR</w:t>
      </w:r>
      <w:r>
        <w:rPr>
          <w:rStyle w:val="IntenseReference"/>
          <w:rFonts w:cs="Arial"/>
          <w:b w:val="0"/>
          <w:bCs w:val="0"/>
          <w:i w:val="0"/>
          <w:smallCaps w:val="0"/>
          <w:color w:val="auto"/>
          <w:spacing w:val="0"/>
          <w:sz w:val="14"/>
          <w:szCs w:val="22"/>
        </w:rPr>
        <w:t xml:space="preserve"> NGON</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Neisseria gonorrhoeae</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DAP</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d</w:t>
      </w:r>
      <w:r w:rsidRPr="007555B3">
        <w:rPr>
          <w:rStyle w:val="IntenseReference"/>
          <w:rFonts w:cs="Arial"/>
          <w:b w:val="0"/>
          <w:bCs w:val="0"/>
          <w:i w:val="0"/>
          <w:smallCaps w:val="0"/>
          <w:color w:val="auto"/>
          <w:spacing w:val="0"/>
          <w:sz w:val="14"/>
          <w:szCs w:val="22"/>
        </w:rPr>
        <w:t xml:space="preserve">aptomycin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VAN</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v</w:t>
      </w:r>
      <w:r w:rsidRPr="007555B3">
        <w:rPr>
          <w:rStyle w:val="IntenseReference"/>
          <w:rFonts w:cs="Arial"/>
          <w:b w:val="0"/>
          <w:bCs w:val="0"/>
          <w:i w:val="0"/>
          <w:smallCaps w:val="0"/>
          <w:color w:val="auto"/>
          <w:spacing w:val="0"/>
          <w:sz w:val="14"/>
          <w:szCs w:val="22"/>
        </w:rPr>
        <w:t xml:space="preserve">ancomycin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CTR</w:t>
      </w:r>
      <w:r>
        <w:rPr>
          <w:rStyle w:val="IntenseReference"/>
          <w:rFonts w:cs="Arial"/>
          <w:b w:val="0"/>
          <w:bCs w:val="0"/>
          <w:i w:val="0"/>
          <w:smallCaps w:val="0"/>
          <w:color w:val="auto"/>
          <w:spacing w:val="0"/>
          <w:sz w:val="14"/>
          <w:szCs w:val="22"/>
        </w:rPr>
        <w:t xml:space="preserve"> SALM</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Salmonella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SHIG = multidrug-resistant</w:t>
      </w:r>
      <w:r w:rsidRPr="007555B3">
        <w:rPr>
          <w:rStyle w:val="IntenseReference"/>
          <w:rFonts w:cs="Arial"/>
          <w:b w:val="0"/>
          <w:bCs w:val="0"/>
          <w:i w:val="0"/>
          <w:smallCaps w:val="0"/>
          <w:color w:val="auto"/>
          <w:spacing w:val="0"/>
          <w:sz w:val="14"/>
          <w:szCs w:val="22"/>
        </w:rPr>
        <w:t xml:space="preserve"> </w:t>
      </w:r>
      <w:r w:rsidRPr="007555B3">
        <w:rPr>
          <w:rStyle w:val="IntenseReference"/>
          <w:rFonts w:cs="Arial"/>
          <w:b w:val="0"/>
          <w:bCs w:val="0"/>
          <w:smallCaps w:val="0"/>
          <w:color w:val="auto"/>
          <w:spacing w:val="0"/>
          <w:sz w:val="14"/>
          <w:szCs w:val="22"/>
        </w:rPr>
        <w:t>Shigella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MTB = multidrug-resistant</w:t>
      </w:r>
      <w:r w:rsidRPr="007555B3">
        <w:rPr>
          <w:rStyle w:val="IntenseReference"/>
          <w:rFonts w:cs="Arial"/>
          <w:b w:val="0"/>
          <w:bCs w:val="0"/>
          <w:i w:val="0"/>
          <w:smallCaps w:val="0"/>
          <w:color w:val="auto"/>
          <w:spacing w:val="0"/>
          <w:sz w:val="14"/>
          <w:szCs w:val="22"/>
        </w:rPr>
        <w:t xml:space="preserve"> </w:t>
      </w:r>
      <w:r w:rsidRPr="001E17F1">
        <w:rPr>
          <w:rStyle w:val="IntenseReference"/>
          <w:rFonts w:cs="Arial"/>
          <w:b w:val="0"/>
          <w:bCs w:val="0"/>
          <w:smallCaps w:val="0"/>
          <w:color w:val="auto"/>
          <w:spacing w:val="0"/>
          <w:sz w:val="14"/>
          <w:szCs w:val="22"/>
        </w:rPr>
        <w:t>Mycobacterium tuberculosis</w:t>
      </w:r>
    </w:p>
    <w:p w:rsidR="00C24681" w:rsidRPr="00C56D83" w:rsidRDefault="00C24681" w:rsidP="00D01A61">
      <w:pPr>
        <w:rPr>
          <w:rFonts w:cs="Arial"/>
          <w:bCs/>
          <w:szCs w:val="22"/>
        </w:rPr>
      </w:pPr>
    </w:p>
    <w:p w:rsidR="00265D98" w:rsidRDefault="005F0C08" w:rsidP="00D01A61">
      <w:pPr>
        <w:rPr>
          <w:rFonts w:cs="Arial"/>
          <w:bCs/>
          <w:szCs w:val="22"/>
        </w:rPr>
      </w:pPr>
      <w:r>
        <w:rPr>
          <w:rFonts w:cs="Arial"/>
          <w:bCs/>
          <w:szCs w:val="22"/>
        </w:rPr>
        <w:t>Batch testing of</w:t>
      </w:r>
      <w:r w:rsidRPr="0055387A">
        <w:rPr>
          <w:rFonts w:cs="Arial"/>
          <w:bCs/>
          <w:szCs w:val="22"/>
        </w:rPr>
        <w:t xml:space="preserve"> </w:t>
      </w:r>
      <w:r w:rsidRPr="009552DE">
        <w:rPr>
          <w:rFonts w:cs="Arial"/>
          <w:bCs/>
          <w:i/>
          <w:szCs w:val="22"/>
        </w:rPr>
        <w:t>N. gonorrhoeae</w:t>
      </w:r>
      <w:r>
        <w:rPr>
          <w:rFonts w:cs="Arial"/>
          <w:bCs/>
          <w:szCs w:val="22"/>
        </w:rPr>
        <w:t xml:space="preserve"> is common</w:t>
      </w:r>
      <w:r w:rsidR="00D21BC6">
        <w:rPr>
          <w:rFonts w:cs="Arial"/>
          <w:bCs/>
          <w:szCs w:val="22"/>
        </w:rPr>
        <w:t xml:space="preserve"> in Australia. For these isolates, </w:t>
      </w:r>
      <w:r>
        <w:rPr>
          <w:rFonts w:cs="Arial"/>
          <w:bCs/>
          <w:szCs w:val="22"/>
        </w:rPr>
        <w:t xml:space="preserve">the state and territory of residence is </w:t>
      </w:r>
      <w:r w:rsidR="00D21BC6">
        <w:rPr>
          <w:rFonts w:cs="Arial"/>
          <w:bCs/>
          <w:szCs w:val="22"/>
        </w:rPr>
        <w:t xml:space="preserve">often </w:t>
      </w:r>
      <w:r>
        <w:rPr>
          <w:rFonts w:cs="Arial"/>
          <w:bCs/>
          <w:szCs w:val="22"/>
        </w:rPr>
        <w:t>not supplied</w:t>
      </w:r>
      <w:r w:rsidR="00E60E38">
        <w:rPr>
          <w:rFonts w:cs="Arial"/>
          <w:bCs/>
          <w:szCs w:val="22"/>
        </w:rPr>
        <w:t>,</w:t>
      </w:r>
      <w:r>
        <w:rPr>
          <w:rFonts w:cs="Arial"/>
          <w:bCs/>
          <w:szCs w:val="22"/>
        </w:rPr>
        <w:t xml:space="preserve"> as </w:t>
      </w:r>
      <w:r w:rsidRPr="00FA0774">
        <w:rPr>
          <w:rFonts w:cs="Arial"/>
          <w:bCs/>
          <w:szCs w:val="22"/>
        </w:rPr>
        <w:t xml:space="preserve">isolates </w:t>
      </w:r>
      <w:r>
        <w:rPr>
          <w:rFonts w:cs="Arial"/>
          <w:bCs/>
          <w:szCs w:val="22"/>
        </w:rPr>
        <w:t>are</w:t>
      </w:r>
      <w:r w:rsidRPr="00FA0774">
        <w:rPr>
          <w:rFonts w:cs="Arial"/>
          <w:bCs/>
          <w:szCs w:val="22"/>
        </w:rPr>
        <w:t xml:space="preserve"> collected from patients that attended sexual health clinics where postcode of residence is not </w:t>
      </w:r>
      <w:r>
        <w:rPr>
          <w:rFonts w:cs="Arial"/>
          <w:bCs/>
          <w:szCs w:val="22"/>
        </w:rPr>
        <w:t xml:space="preserve">always </w:t>
      </w:r>
      <w:r w:rsidRPr="00FA0774">
        <w:rPr>
          <w:rFonts w:cs="Arial"/>
          <w:bCs/>
          <w:szCs w:val="22"/>
        </w:rPr>
        <w:t>sought</w:t>
      </w:r>
      <w:r>
        <w:rPr>
          <w:rFonts w:cs="Arial"/>
          <w:bCs/>
          <w:szCs w:val="22"/>
        </w:rPr>
        <w:t>. R</w:t>
      </w:r>
      <w:r w:rsidRPr="0055387A">
        <w:rPr>
          <w:rFonts w:cs="Arial"/>
          <w:bCs/>
          <w:szCs w:val="22"/>
        </w:rPr>
        <w:t>eports were analysed by date of collection, rather than date of confirmation</w:t>
      </w:r>
      <w:r>
        <w:rPr>
          <w:rFonts w:cs="Arial"/>
          <w:bCs/>
          <w:szCs w:val="22"/>
        </w:rPr>
        <w:t>, and where state and territory of residence was unknown, the state and territory of the originating laboratory was assigned (Figure 4</w:t>
      </w:r>
      <w:r w:rsidR="00265D98">
        <w:rPr>
          <w:rFonts w:cs="Arial"/>
          <w:bCs/>
          <w:szCs w:val="22"/>
        </w:rPr>
        <w:t>)</w:t>
      </w:r>
      <w:r>
        <w:rPr>
          <w:rFonts w:cs="Arial"/>
          <w:bCs/>
          <w:szCs w:val="22"/>
        </w:rPr>
        <w:t xml:space="preserve">. </w:t>
      </w:r>
    </w:p>
    <w:p w:rsidR="005F0C08" w:rsidRDefault="00E60E38" w:rsidP="005F0C08">
      <w:pPr>
        <w:spacing w:before="120"/>
        <w:rPr>
          <w:rFonts w:cs="Arial"/>
          <w:bCs/>
          <w:szCs w:val="22"/>
          <w:highlight w:val="yellow"/>
        </w:rPr>
      </w:pPr>
      <w:r>
        <w:rPr>
          <w:rFonts w:cs="Arial"/>
          <w:bCs/>
          <w:szCs w:val="22"/>
        </w:rPr>
        <w:t>An increase in a</w:t>
      </w:r>
      <w:r w:rsidR="005F0C08">
        <w:rPr>
          <w:rFonts w:cs="Arial"/>
          <w:bCs/>
          <w:szCs w:val="22"/>
        </w:rPr>
        <w:t xml:space="preserve">zithromycin-resistant [LLR MIC &lt; 256 mg/L] </w:t>
      </w:r>
      <w:r w:rsidR="005F0C08" w:rsidRPr="008937BF">
        <w:rPr>
          <w:rFonts w:cs="Arial"/>
          <w:bCs/>
          <w:i/>
          <w:szCs w:val="22"/>
        </w:rPr>
        <w:t>N. gonorrhoeae</w:t>
      </w:r>
      <w:r w:rsidR="005F0C08">
        <w:rPr>
          <w:rFonts w:cs="Arial"/>
          <w:bCs/>
          <w:szCs w:val="22"/>
        </w:rPr>
        <w:t xml:space="preserve"> originating from South Australia </w:t>
      </w:r>
      <w:r w:rsidR="005F0C08" w:rsidRPr="008937BF">
        <w:rPr>
          <w:rFonts w:cs="Arial"/>
          <w:bCs/>
          <w:szCs w:val="22"/>
        </w:rPr>
        <w:t>in January 2016</w:t>
      </w:r>
      <w:r w:rsidR="005F0C08">
        <w:rPr>
          <w:rFonts w:cs="Arial"/>
          <w:bCs/>
          <w:szCs w:val="22"/>
        </w:rPr>
        <w:t xml:space="preserve"> </w:t>
      </w:r>
      <w:r w:rsidR="00634FBD">
        <w:rPr>
          <w:rFonts w:cs="Arial"/>
          <w:bCs/>
          <w:szCs w:val="22"/>
        </w:rPr>
        <w:t xml:space="preserve">was </w:t>
      </w:r>
      <w:r w:rsidR="000E1F1F">
        <w:rPr>
          <w:rFonts w:cs="Arial"/>
          <w:bCs/>
          <w:szCs w:val="22"/>
        </w:rPr>
        <w:t xml:space="preserve">observed </w:t>
      </w:r>
      <w:r w:rsidR="00634FBD">
        <w:rPr>
          <w:rFonts w:cs="Arial"/>
          <w:bCs/>
          <w:szCs w:val="22"/>
        </w:rPr>
        <w:t xml:space="preserve">in CARAlert in March 2016. Reports from South Australia </w:t>
      </w:r>
      <w:r w:rsidR="005F0C08">
        <w:rPr>
          <w:rFonts w:cs="Arial"/>
          <w:bCs/>
          <w:szCs w:val="22"/>
        </w:rPr>
        <w:t xml:space="preserve">peaked in April 2016, then declined </w:t>
      </w:r>
      <w:r>
        <w:rPr>
          <w:rFonts w:cs="Arial"/>
          <w:bCs/>
          <w:szCs w:val="22"/>
        </w:rPr>
        <w:t>before re-emerging</w:t>
      </w:r>
      <w:r w:rsidR="005F0C08">
        <w:rPr>
          <w:rFonts w:cs="Arial"/>
          <w:bCs/>
          <w:szCs w:val="22"/>
        </w:rPr>
        <w:t xml:space="preserve"> during the last quarter of 2016 and peak</w:t>
      </w:r>
      <w:r>
        <w:rPr>
          <w:rFonts w:cs="Arial"/>
          <w:bCs/>
          <w:szCs w:val="22"/>
        </w:rPr>
        <w:t>ing</w:t>
      </w:r>
      <w:r w:rsidR="005F0C08">
        <w:rPr>
          <w:rFonts w:cs="Arial"/>
          <w:bCs/>
          <w:szCs w:val="22"/>
        </w:rPr>
        <w:t xml:space="preserve"> again in </w:t>
      </w:r>
      <w:r w:rsidR="00953CA5">
        <w:rPr>
          <w:rFonts w:cs="Arial"/>
          <w:bCs/>
          <w:szCs w:val="22"/>
        </w:rPr>
        <w:t xml:space="preserve">March </w:t>
      </w:r>
      <w:r w:rsidR="005F0C08">
        <w:rPr>
          <w:rFonts w:cs="Arial"/>
          <w:bCs/>
          <w:szCs w:val="22"/>
        </w:rPr>
        <w:t xml:space="preserve">2017. There has been a three-fold increase in numbers reported from both New South Wales and Western Australia throughout 2016. </w:t>
      </w:r>
      <w:r w:rsidR="00427AA4">
        <w:rPr>
          <w:rFonts w:cs="Arial"/>
          <w:bCs/>
          <w:szCs w:val="22"/>
        </w:rPr>
        <w:t>There was a</w:t>
      </w:r>
      <w:r w:rsidR="005F0C08">
        <w:rPr>
          <w:rFonts w:cs="Arial"/>
          <w:bCs/>
          <w:szCs w:val="22"/>
        </w:rPr>
        <w:t xml:space="preserve"> sharp increase in the number of reports orig</w:t>
      </w:r>
      <w:r w:rsidR="00427AA4">
        <w:rPr>
          <w:rFonts w:cs="Arial"/>
          <w:bCs/>
          <w:szCs w:val="22"/>
        </w:rPr>
        <w:t>inating from Victoria</w:t>
      </w:r>
      <w:r w:rsidR="005F0C08">
        <w:rPr>
          <w:rFonts w:cs="Arial"/>
          <w:bCs/>
          <w:szCs w:val="22"/>
        </w:rPr>
        <w:t xml:space="preserve"> from November 2016, with a peak in February 2017.</w:t>
      </w:r>
    </w:p>
    <w:p w:rsidR="005F0C08" w:rsidRDefault="005F0C08" w:rsidP="005F0C08">
      <w:pPr>
        <w:spacing w:before="120"/>
        <w:rPr>
          <w:rFonts w:cs="Arial"/>
          <w:bCs/>
          <w:szCs w:val="22"/>
        </w:rPr>
      </w:pPr>
      <w:r w:rsidRPr="008937BF">
        <w:rPr>
          <w:rFonts w:cs="Arial"/>
          <w:bCs/>
          <w:szCs w:val="22"/>
        </w:rPr>
        <w:t xml:space="preserve">Four strains </w:t>
      </w:r>
      <w:r w:rsidR="000E1F1F">
        <w:rPr>
          <w:rFonts w:cs="Arial"/>
          <w:bCs/>
          <w:szCs w:val="22"/>
        </w:rPr>
        <w:t>of</w:t>
      </w:r>
      <w:r w:rsidR="000E1F1F" w:rsidRPr="0055387A">
        <w:rPr>
          <w:rFonts w:cs="Arial"/>
          <w:bCs/>
          <w:szCs w:val="22"/>
        </w:rPr>
        <w:t xml:space="preserve"> </w:t>
      </w:r>
      <w:r w:rsidR="000E1F1F" w:rsidRPr="009552DE">
        <w:rPr>
          <w:rFonts w:cs="Arial"/>
          <w:bCs/>
          <w:i/>
          <w:szCs w:val="22"/>
        </w:rPr>
        <w:t>N. gonorrhoeae</w:t>
      </w:r>
      <w:r w:rsidR="000E1F1F">
        <w:rPr>
          <w:rFonts w:cs="Arial"/>
          <w:bCs/>
          <w:szCs w:val="22"/>
        </w:rPr>
        <w:t xml:space="preserve"> </w:t>
      </w:r>
      <w:r w:rsidRPr="008937BF">
        <w:rPr>
          <w:rFonts w:cs="Arial"/>
          <w:bCs/>
          <w:szCs w:val="22"/>
        </w:rPr>
        <w:t>with high-level azithromycin resistance (MIC ≥ 256 mg/L) were confirmed</w:t>
      </w:r>
      <w:r w:rsidR="00084F69">
        <w:rPr>
          <w:rFonts w:cs="Arial"/>
          <w:bCs/>
          <w:szCs w:val="22"/>
        </w:rPr>
        <w:t>,</w:t>
      </w:r>
      <w:r w:rsidRPr="008937BF">
        <w:rPr>
          <w:rFonts w:cs="Arial"/>
          <w:bCs/>
          <w:szCs w:val="22"/>
        </w:rPr>
        <w:t xml:space="preserve"> three from Victoria, collected in April, May, and July 2016; and one in October 2016, from </w:t>
      </w:r>
      <w:r w:rsidR="00E60E38">
        <w:rPr>
          <w:rFonts w:cs="Arial"/>
          <w:bCs/>
          <w:szCs w:val="22"/>
        </w:rPr>
        <w:t xml:space="preserve">an </w:t>
      </w:r>
      <w:r w:rsidRPr="008937BF">
        <w:rPr>
          <w:rFonts w:cs="Arial"/>
          <w:bCs/>
          <w:szCs w:val="22"/>
        </w:rPr>
        <w:t>unknown place of residence</w:t>
      </w:r>
      <w:r w:rsidR="000E1F1F">
        <w:rPr>
          <w:rFonts w:cs="Arial"/>
          <w:bCs/>
          <w:szCs w:val="22"/>
        </w:rPr>
        <w:t xml:space="preserve">; the </w:t>
      </w:r>
      <w:r w:rsidRPr="008937BF">
        <w:rPr>
          <w:rFonts w:cs="Arial"/>
          <w:bCs/>
          <w:szCs w:val="22"/>
        </w:rPr>
        <w:t xml:space="preserve">originating </w:t>
      </w:r>
      <w:r w:rsidR="000E1F1F">
        <w:rPr>
          <w:rFonts w:cs="Arial"/>
          <w:bCs/>
          <w:szCs w:val="22"/>
        </w:rPr>
        <w:t xml:space="preserve">laboratory was located in </w:t>
      </w:r>
      <w:r w:rsidRPr="008937BF">
        <w:rPr>
          <w:rFonts w:cs="Arial"/>
          <w:bCs/>
          <w:szCs w:val="22"/>
        </w:rPr>
        <w:t>South Australia.</w:t>
      </w:r>
      <w:r>
        <w:rPr>
          <w:rFonts w:cs="Arial"/>
          <w:bCs/>
          <w:szCs w:val="22"/>
        </w:rPr>
        <w:t xml:space="preserve"> </w:t>
      </w:r>
      <w:r w:rsidRPr="008937BF">
        <w:rPr>
          <w:rFonts w:cs="Arial"/>
          <w:bCs/>
          <w:szCs w:val="22"/>
        </w:rPr>
        <w:t>Four ceftriaxone non-susceptible strains, collected in July 2016</w:t>
      </w:r>
      <w:r w:rsidR="004D765C">
        <w:rPr>
          <w:rFonts w:cs="Arial"/>
          <w:bCs/>
          <w:szCs w:val="22"/>
        </w:rPr>
        <w:t xml:space="preserve"> </w:t>
      </w:r>
      <w:r w:rsidR="004D765C" w:rsidRPr="004D765C">
        <w:rPr>
          <w:rFonts w:cs="Arial"/>
          <w:bCs/>
          <w:szCs w:val="22"/>
        </w:rPr>
        <w:t>from New South Wales</w:t>
      </w:r>
      <w:r w:rsidRPr="008937BF">
        <w:rPr>
          <w:rFonts w:cs="Arial"/>
          <w:bCs/>
          <w:szCs w:val="22"/>
        </w:rPr>
        <w:t>, were confirmed.</w:t>
      </w:r>
      <w:r>
        <w:rPr>
          <w:rFonts w:cs="Arial"/>
          <w:bCs/>
          <w:szCs w:val="22"/>
        </w:rPr>
        <w:t xml:space="preserve"> </w:t>
      </w:r>
    </w:p>
    <w:p w:rsidR="00AE718B" w:rsidRDefault="00AE718B">
      <w:pPr>
        <w:rPr>
          <w:rFonts w:cs="Arial"/>
          <w:bCs/>
          <w:szCs w:val="22"/>
        </w:rPr>
      </w:pPr>
      <w:r>
        <w:rPr>
          <w:rFonts w:cs="Arial"/>
          <w:bCs/>
          <w:szCs w:val="22"/>
        </w:rPr>
        <w:br w:type="page"/>
      </w:r>
    </w:p>
    <w:p w:rsidR="001D2D59" w:rsidRDefault="005F0C08" w:rsidP="005F0C08">
      <w:pPr>
        <w:spacing w:before="120"/>
        <w:rPr>
          <w:rFonts w:cs="Arial"/>
          <w:bCs/>
          <w:szCs w:val="22"/>
        </w:rPr>
      </w:pPr>
      <w:r w:rsidRPr="00FA0774">
        <w:rPr>
          <w:rFonts w:cs="Arial"/>
          <w:bCs/>
          <w:szCs w:val="22"/>
        </w:rPr>
        <w:lastRenderedPageBreak/>
        <w:t xml:space="preserve">State or </w:t>
      </w:r>
      <w:r>
        <w:rPr>
          <w:rFonts w:cs="Arial"/>
          <w:bCs/>
          <w:szCs w:val="22"/>
        </w:rPr>
        <w:t>t</w:t>
      </w:r>
      <w:r w:rsidRPr="00FA0774">
        <w:rPr>
          <w:rFonts w:cs="Arial"/>
          <w:bCs/>
          <w:szCs w:val="22"/>
        </w:rPr>
        <w:t xml:space="preserve">erritory of residence was not available for </w:t>
      </w:r>
      <w:r w:rsidR="00E60E38">
        <w:rPr>
          <w:rFonts w:cs="Arial"/>
          <w:bCs/>
          <w:szCs w:val="22"/>
        </w:rPr>
        <w:t>another four</w:t>
      </w:r>
      <w:r w:rsidRPr="00AA7098">
        <w:rPr>
          <w:rFonts w:cs="Arial"/>
          <w:bCs/>
          <w:szCs w:val="22"/>
        </w:rPr>
        <w:t xml:space="preserve"> reports (CPE, RMT, linezolid non-susceptible </w:t>
      </w:r>
      <w:r w:rsidRPr="00AA7098">
        <w:rPr>
          <w:rFonts w:cs="Arial"/>
          <w:bCs/>
          <w:i/>
          <w:szCs w:val="22"/>
        </w:rPr>
        <w:t>Enterococcus</w:t>
      </w:r>
      <w:r w:rsidRPr="00AA7098">
        <w:rPr>
          <w:rFonts w:cs="Arial"/>
          <w:bCs/>
          <w:szCs w:val="22"/>
        </w:rPr>
        <w:t xml:space="preserve"> species and daptomycin non-susceptible </w:t>
      </w:r>
      <w:r w:rsidRPr="00AA7098">
        <w:rPr>
          <w:rFonts w:cs="Arial"/>
          <w:bCs/>
          <w:i/>
          <w:szCs w:val="22"/>
        </w:rPr>
        <w:t>S. aureus</w:t>
      </w:r>
      <w:r w:rsidRPr="00AA7098">
        <w:rPr>
          <w:rFonts w:cs="Arial"/>
          <w:bCs/>
          <w:szCs w:val="22"/>
        </w:rPr>
        <w:t>)</w:t>
      </w:r>
      <w:r w:rsidR="001D2D59">
        <w:rPr>
          <w:rFonts w:cs="Arial"/>
          <w:bCs/>
          <w:szCs w:val="22"/>
        </w:rPr>
        <w:t>.  These</w:t>
      </w:r>
      <w:r>
        <w:rPr>
          <w:rFonts w:cs="Arial"/>
          <w:bCs/>
          <w:szCs w:val="22"/>
        </w:rPr>
        <w:t xml:space="preserve"> all originated from Victoria</w:t>
      </w:r>
      <w:r w:rsidRPr="00FA0774">
        <w:rPr>
          <w:rFonts w:cs="Arial"/>
          <w:bCs/>
          <w:szCs w:val="22"/>
        </w:rPr>
        <w:t>.</w:t>
      </w:r>
      <w:r>
        <w:rPr>
          <w:rFonts w:cs="Arial"/>
          <w:bCs/>
          <w:szCs w:val="22"/>
        </w:rPr>
        <w:t xml:space="preserve"> </w:t>
      </w:r>
    </w:p>
    <w:p w:rsidR="005F0C08" w:rsidRDefault="005F0C08" w:rsidP="005F0C08">
      <w:pPr>
        <w:spacing w:before="120"/>
        <w:rPr>
          <w:rFonts w:cs="Arial"/>
          <w:bCs/>
          <w:szCs w:val="22"/>
        </w:rPr>
      </w:pPr>
      <w:r>
        <w:rPr>
          <w:rFonts w:cs="Arial"/>
          <w:bCs/>
          <w:szCs w:val="22"/>
        </w:rPr>
        <w:t xml:space="preserve">Four reports were from overseas residents, one daptomycin non-susceptible </w:t>
      </w:r>
      <w:r>
        <w:rPr>
          <w:rFonts w:cs="Arial"/>
          <w:bCs/>
          <w:i/>
          <w:szCs w:val="22"/>
        </w:rPr>
        <w:t>S. </w:t>
      </w:r>
      <w:r w:rsidRPr="00713D5F">
        <w:rPr>
          <w:rFonts w:cs="Arial"/>
          <w:bCs/>
          <w:i/>
          <w:szCs w:val="22"/>
        </w:rPr>
        <w:t>aureus</w:t>
      </w:r>
      <w:r>
        <w:rPr>
          <w:rFonts w:cs="Arial"/>
          <w:bCs/>
          <w:szCs w:val="22"/>
        </w:rPr>
        <w:t xml:space="preserve">, and three azithromycin-resistant (LLR, MIC &lt; 256 mg/L) </w:t>
      </w:r>
      <w:r w:rsidRPr="00713D5F">
        <w:rPr>
          <w:rFonts w:cs="Arial"/>
          <w:bCs/>
          <w:i/>
          <w:szCs w:val="22"/>
        </w:rPr>
        <w:t>N. gonorrhoeae</w:t>
      </w:r>
      <w:r>
        <w:rPr>
          <w:rFonts w:cs="Arial"/>
          <w:bCs/>
          <w:szCs w:val="22"/>
        </w:rPr>
        <w:t>.</w:t>
      </w:r>
    </w:p>
    <w:p w:rsidR="005F0C08" w:rsidRPr="007605F2" w:rsidRDefault="005F0C08" w:rsidP="005F0C08">
      <w:pPr>
        <w:spacing w:before="120"/>
        <w:rPr>
          <w:rStyle w:val="IntenseReference"/>
          <w:rFonts w:cs="Arial"/>
          <w:b w:val="0"/>
          <w:i w:val="0"/>
          <w:smallCaps w:val="0"/>
          <w:color w:val="auto"/>
          <w:spacing w:val="0"/>
          <w:szCs w:val="22"/>
        </w:rPr>
      </w:pPr>
      <w:r>
        <w:rPr>
          <w:rFonts w:cs="Arial"/>
          <w:bCs/>
          <w:szCs w:val="22"/>
        </w:rPr>
        <w:t xml:space="preserve">Daptomycin non-susceptible </w:t>
      </w:r>
      <w:r w:rsidRPr="00705886">
        <w:rPr>
          <w:rFonts w:cs="Arial"/>
          <w:bCs/>
          <w:i/>
          <w:szCs w:val="22"/>
        </w:rPr>
        <w:t>S. aureus</w:t>
      </w:r>
      <w:r>
        <w:rPr>
          <w:rFonts w:cs="Arial"/>
          <w:bCs/>
          <w:szCs w:val="22"/>
        </w:rPr>
        <w:t xml:space="preserve"> were reported </w:t>
      </w:r>
      <w:r w:rsidR="001D2D59">
        <w:rPr>
          <w:rFonts w:cs="Arial"/>
          <w:bCs/>
          <w:szCs w:val="22"/>
        </w:rPr>
        <w:t xml:space="preserve">as follows: </w:t>
      </w:r>
      <w:r w:rsidRPr="00CC1282">
        <w:rPr>
          <w:rFonts w:cs="Arial"/>
          <w:bCs/>
          <w:szCs w:val="22"/>
        </w:rPr>
        <w:t>4</w:t>
      </w:r>
      <w:r>
        <w:rPr>
          <w:rFonts w:cs="Arial"/>
          <w:bCs/>
          <w:szCs w:val="22"/>
        </w:rPr>
        <w:t>1</w:t>
      </w:r>
      <w:r w:rsidRPr="00CC1282">
        <w:rPr>
          <w:rFonts w:cs="Arial"/>
          <w:bCs/>
          <w:szCs w:val="22"/>
        </w:rPr>
        <w:t>% (2</w:t>
      </w:r>
      <w:r>
        <w:rPr>
          <w:rFonts w:cs="Arial"/>
          <w:bCs/>
          <w:szCs w:val="22"/>
        </w:rPr>
        <w:t>5</w:t>
      </w:r>
      <w:r w:rsidRPr="00CC1282">
        <w:rPr>
          <w:rFonts w:cs="Arial"/>
          <w:bCs/>
          <w:szCs w:val="22"/>
        </w:rPr>
        <w:t>/6</w:t>
      </w:r>
      <w:r>
        <w:rPr>
          <w:rFonts w:cs="Arial"/>
          <w:bCs/>
          <w:szCs w:val="22"/>
        </w:rPr>
        <w:t>1</w:t>
      </w:r>
      <w:r w:rsidRPr="00CC1282">
        <w:rPr>
          <w:rFonts w:cs="Arial"/>
          <w:bCs/>
          <w:szCs w:val="22"/>
        </w:rPr>
        <w:t>) from Victoria, 2</w:t>
      </w:r>
      <w:r>
        <w:rPr>
          <w:rFonts w:cs="Arial"/>
          <w:bCs/>
          <w:szCs w:val="22"/>
        </w:rPr>
        <w:t>1</w:t>
      </w:r>
      <w:r w:rsidRPr="00CC1282">
        <w:rPr>
          <w:rFonts w:cs="Arial"/>
          <w:bCs/>
          <w:szCs w:val="22"/>
        </w:rPr>
        <w:t>% (13/6</w:t>
      </w:r>
      <w:r>
        <w:rPr>
          <w:rFonts w:cs="Arial"/>
          <w:bCs/>
          <w:szCs w:val="22"/>
        </w:rPr>
        <w:t>1</w:t>
      </w:r>
      <w:r w:rsidRPr="00CC1282">
        <w:rPr>
          <w:rFonts w:cs="Arial"/>
          <w:bCs/>
          <w:szCs w:val="22"/>
        </w:rPr>
        <w:t>) from</w:t>
      </w:r>
      <w:r>
        <w:rPr>
          <w:rFonts w:cs="Arial"/>
          <w:bCs/>
          <w:szCs w:val="22"/>
        </w:rPr>
        <w:t xml:space="preserve"> Queensland and 20% (12/61) from Western Australia. Multidrug-resistant </w:t>
      </w:r>
      <w:r w:rsidRPr="00705886">
        <w:rPr>
          <w:rFonts w:cs="Arial"/>
          <w:bCs/>
          <w:i/>
          <w:szCs w:val="22"/>
        </w:rPr>
        <w:t>Mycobacterium tuberculosis</w:t>
      </w:r>
      <w:r>
        <w:rPr>
          <w:rFonts w:cs="Arial"/>
          <w:bCs/>
          <w:szCs w:val="22"/>
        </w:rPr>
        <w:t xml:space="preserve"> were reported from patients from all states and territories except Queensland.</w:t>
      </w:r>
    </w:p>
    <w:p w:rsidR="00CE7B0D" w:rsidRPr="0065116F" w:rsidRDefault="00CE7B0D" w:rsidP="00AD4926">
      <w:pPr>
        <w:rPr>
          <w:rStyle w:val="IntenseReference"/>
          <w:rFonts w:cs="Arial"/>
          <w:b w:val="0"/>
          <w:bCs w:val="0"/>
          <w:i w:val="0"/>
          <w:smallCaps w:val="0"/>
          <w:color w:val="auto"/>
          <w:spacing w:val="0"/>
          <w:szCs w:val="22"/>
        </w:rPr>
      </w:pPr>
    </w:p>
    <w:p w:rsidR="001C5825" w:rsidRDefault="001C5825" w:rsidP="00AE718B">
      <w:pPr>
        <w:pStyle w:val="Caption"/>
        <w:keepNext/>
        <w:spacing w:after="0"/>
        <w:ind w:left="1134" w:hanging="1134"/>
        <w:rPr>
          <w:rFonts w:cs="Arial"/>
          <w:b/>
          <w:i w:val="0"/>
          <w:color w:val="auto"/>
        </w:rPr>
      </w:pPr>
      <w:r w:rsidRPr="001C7F56">
        <w:rPr>
          <w:rFonts w:cs="Arial"/>
          <w:b/>
          <w:i w:val="0"/>
          <w:color w:val="auto"/>
        </w:rPr>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A7F88">
        <w:rPr>
          <w:rFonts w:cs="Arial"/>
          <w:b/>
          <w:i w:val="0"/>
          <w:noProof/>
          <w:color w:val="auto"/>
        </w:rPr>
        <w:t>4</w:t>
      </w:r>
      <w:r w:rsidR="00B833F8" w:rsidRPr="001C7F56">
        <w:rPr>
          <w:rFonts w:cs="Arial"/>
          <w:b/>
          <w:i w:val="0"/>
          <w:color w:val="auto"/>
        </w:rPr>
        <w:fldChar w:fldCharType="end"/>
      </w:r>
      <w:r w:rsidR="00AD48FB">
        <w:rPr>
          <w:rFonts w:cs="Arial"/>
          <w:b/>
          <w:i w:val="0"/>
          <w:color w:val="auto"/>
        </w:rPr>
        <w:tab/>
      </w:r>
      <w:r w:rsidRPr="001C7F56">
        <w:rPr>
          <w:rFonts w:cs="Arial"/>
          <w:b/>
          <w:color w:val="auto"/>
        </w:rPr>
        <w:t>Neisseria gonorrhoeae</w:t>
      </w:r>
      <w:r w:rsidRPr="001C7F56">
        <w:rPr>
          <w:rFonts w:cs="Arial"/>
          <w:b/>
          <w:i w:val="0"/>
          <w:color w:val="auto"/>
        </w:rPr>
        <w:t xml:space="preserve">, </w:t>
      </w:r>
      <w:r w:rsidR="00477390" w:rsidRPr="001C7F56">
        <w:rPr>
          <w:rFonts w:cs="Arial"/>
          <w:b/>
          <w:i w:val="0"/>
          <w:color w:val="auto"/>
        </w:rPr>
        <w:t xml:space="preserve">number reported </w:t>
      </w:r>
      <w:r w:rsidRPr="001C7F56">
        <w:rPr>
          <w:rFonts w:cs="Arial"/>
          <w:b/>
          <w:i w:val="0"/>
          <w:color w:val="auto"/>
        </w:rPr>
        <w:t>by state and territory</w:t>
      </w:r>
      <w:r w:rsidR="005F0C08">
        <w:rPr>
          <w:rFonts w:cs="Arial"/>
          <w:b/>
          <w:i w:val="0"/>
          <w:color w:val="auto"/>
        </w:rPr>
        <w:t>*</w:t>
      </w:r>
      <w:r w:rsidRPr="001C7F56">
        <w:rPr>
          <w:rFonts w:cs="Arial"/>
          <w:b/>
          <w:i w:val="0"/>
          <w:color w:val="auto"/>
        </w:rPr>
        <w:t xml:space="preserve"> and mont</w:t>
      </w:r>
      <w:r w:rsidR="00D317D1" w:rsidRPr="001C7F56">
        <w:rPr>
          <w:rFonts w:cs="Arial"/>
          <w:b/>
          <w:i w:val="0"/>
          <w:color w:val="auto"/>
        </w:rPr>
        <w:t xml:space="preserve">h of collection, </w:t>
      </w:r>
      <w:r w:rsidR="005F0C08">
        <w:rPr>
          <w:rFonts w:cs="Arial"/>
          <w:b/>
          <w:i w:val="0"/>
          <w:color w:val="auto"/>
        </w:rPr>
        <w:t xml:space="preserve">17 </w:t>
      </w:r>
      <w:r w:rsidR="00D317D1" w:rsidRPr="001C7F56">
        <w:rPr>
          <w:rFonts w:cs="Arial"/>
          <w:b/>
          <w:i w:val="0"/>
          <w:color w:val="auto"/>
        </w:rPr>
        <w:t>March</w:t>
      </w:r>
      <w:r w:rsidR="005F0C08">
        <w:rPr>
          <w:rFonts w:cs="Arial"/>
          <w:b/>
          <w:i w:val="0"/>
          <w:color w:val="auto"/>
        </w:rPr>
        <w:t xml:space="preserve"> 2016</w:t>
      </w:r>
      <w:r w:rsidR="00CB12AA" w:rsidRPr="001C7F56">
        <w:rPr>
          <w:rFonts w:cs="Arial"/>
          <w:b/>
          <w:i w:val="0"/>
          <w:color w:val="auto"/>
        </w:rPr>
        <w:t>–</w:t>
      </w:r>
      <w:r w:rsidR="005F0C08">
        <w:rPr>
          <w:rFonts w:cs="Arial"/>
          <w:b/>
          <w:i w:val="0"/>
          <w:color w:val="auto"/>
        </w:rPr>
        <w:t>31 March 2017</w:t>
      </w:r>
    </w:p>
    <w:p w:rsidR="00C4402E" w:rsidRDefault="00C4402E" w:rsidP="00C4402E"/>
    <w:p w:rsidR="00C4402E" w:rsidRPr="00C4402E" w:rsidRDefault="00C4402E" w:rsidP="00C4402E">
      <w:r>
        <w:rPr>
          <w:noProof/>
          <w:lang w:eastAsia="en-AU"/>
        </w:rPr>
        <w:drawing>
          <wp:inline distT="0" distB="0" distL="0" distR="0" wp14:anchorId="6E89C4C5">
            <wp:extent cx="6132830" cy="3487420"/>
            <wp:effectExtent l="0" t="0" r="1270" b="0"/>
            <wp:docPr id="30" name="Picture 30" descr="Figure 4 Neisseria gonorrhoeae, number reported by state and territory* and month of collection, 17 March 2016–31 March 2017&#10;" title="Figure 4 Neisseria gonorrhoeae, number reported by state and territory* and month of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2830" cy="3487420"/>
                    </a:xfrm>
                    <a:prstGeom prst="rect">
                      <a:avLst/>
                    </a:prstGeom>
                    <a:noFill/>
                  </pic:spPr>
                </pic:pic>
              </a:graphicData>
            </a:graphic>
          </wp:inline>
        </w:drawing>
      </w:r>
    </w:p>
    <w:p w:rsidR="00322050" w:rsidRDefault="00322050" w:rsidP="00AD4926">
      <w:pPr>
        <w:rPr>
          <w:rStyle w:val="IntenseReference"/>
          <w:rFonts w:cs="Arial"/>
          <w:bCs w:val="0"/>
          <w:i w:val="0"/>
          <w:smallCaps w:val="0"/>
          <w:color w:val="auto"/>
          <w:spacing w:val="0"/>
          <w:szCs w:val="22"/>
        </w:rPr>
      </w:pPr>
    </w:p>
    <w:p w:rsidR="005F0C08" w:rsidRDefault="009F2136" w:rsidP="005F0C08">
      <w:pPr>
        <w:ind w:left="426"/>
        <w:rPr>
          <w:sz w:val="18"/>
        </w:rPr>
      </w:pPr>
      <w:r w:rsidRPr="00F716F9">
        <w:rPr>
          <w:sz w:val="16"/>
        </w:rPr>
        <w:t>*</w:t>
      </w:r>
      <w:r w:rsidR="005F0C08" w:rsidRPr="00F716F9">
        <w:rPr>
          <w:sz w:val="16"/>
        </w:rPr>
        <w:t xml:space="preserve">Where state and territory of residence </w:t>
      </w:r>
      <w:r w:rsidR="00D93729" w:rsidRPr="00F716F9">
        <w:rPr>
          <w:sz w:val="16"/>
        </w:rPr>
        <w:t xml:space="preserve">is </w:t>
      </w:r>
      <w:r w:rsidR="005F0C08" w:rsidRPr="00F716F9">
        <w:rPr>
          <w:sz w:val="16"/>
        </w:rPr>
        <w:t>unknown, the state of the originating laboratory has been assigned</w:t>
      </w:r>
    </w:p>
    <w:p w:rsidR="005F0C08" w:rsidRPr="00F716F9" w:rsidRDefault="005F0C08" w:rsidP="004B1470">
      <w:pPr>
        <w:rPr>
          <w:rStyle w:val="IntenseReference"/>
          <w:rFonts w:cs="Arial"/>
          <w:bCs w:val="0"/>
          <w:i w:val="0"/>
          <w:smallCaps w:val="0"/>
          <w:color w:val="auto"/>
          <w:spacing w:val="0"/>
          <w:sz w:val="20"/>
          <w:szCs w:val="22"/>
        </w:rPr>
      </w:pPr>
    </w:p>
    <w:p w:rsidR="004B1470" w:rsidRPr="00C74994" w:rsidRDefault="007D5376" w:rsidP="00164D03">
      <w:pPr>
        <w:pStyle w:val="Heading2"/>
        <w:spacing w:after="240"/>
        <w:rPr>
          <w:rStyle w:val="IntenseReference"/>
          <w:b/>
          <w:bCs/>
          <w:smallCaps w:val="0"/>
          <w:color w:val="AA610D" w:themeColor="accent1" w:themeShade="BF"/>
          <w:spacing w:val="0"/>
          <w:sz w:val="28"/>
        </w:rPr>
      </w:pPr>
      <w:bookmarkStart w:id="6" w:name="_Toc486425618"/>
      <w:r w:rsidRPr="00C74994">
        <w:rPr>
          <w:rStyle w:val="IntenseReference"/>
          <w:b/>
          <w:bCs/>
          <w:smallCaps w:val="0"/>
          <w:color w:val="AA610D" w:themeColor="accent1" w:themeShade="BF"/>
          <w:spacing w:val="0"/>
          <w:sz w:val="28"/>
        </w:rPr>
        <w:t>Critica</w:t>
      </w:r>
      <w:r w:rsidR="00AE7B0F" w:rsidRPr="00C74994">
        <w:rPr>
          <w:rStyle w:val="IntenseReference"/>
          <w:b/>
          <w:bCs/>
          <w:smallCaps w:val="0"/>
          <w:color w:val="AA610D" w:themeColor="accent1" w:themeShade="BF"/>
          <w:spacing w:val="0"/>
          <w:sz w:val="28"/>
        </w:rPr>
        <w:t xml:space="preserve">l </w:t>
      </w:r>
      <w:r w:rsidR="00C258BF" w:rsidRPr="00C74994">
        <w:rPr>
          <w:rStyle w:val="IntenseReference"/>
          <w:b/>
          <w:bCs/>
          <w:smallCaps w:val="0"/>
          <w:color w:val="AA610D" w:themeColor="accent1" w:themeShade="BF"/>
          <w:spacing w:val="0"/>
          <w:sz w:val="28"/>
        </w:rPr>
        <w:t>a</w:t>
      </w:r>
      <w:r w:rsidR="00AE7B0F" w:rsidRPr="00C74994">
        <w:rPr>
          <w:rStyle w:val="IntenseReference"/>
          <w:b/>
          <w:bCs/>
          <w:smallCaps w:val="0"/>
          <w:color w:val="AA610D" w:themeColor="accent1" w:themeShade="BF"/>
          <w:spacing w:val="0"/>
          <w:sz w:val="28"/>
        </w:rPr>
        <w:t xml:space="preserve">ntimicrobial </w:t>
      </w:r>
      <w:r w:rsidR="00C258BF" w:rsidRPr="00C74994">
        <w:rPr>
          <w:rStyle w:val="IntenseReference"/>
          <w:b/>
          <w:bCs/>
          <w:smallCaps w:val="0"/>
          <w:color w:val="AA610D" w:themeColor="accent1" w:themeShade="BF"/>
          <w:spacing w:val="0"/>
          <w:sz w:val="28"/>
        </w:rPr>
        <w:t>r</w:t>
      </w:r>
      <w:r w:rsidR="00AE7B0F" w:rsidRPr="00C74994">
        <w:rPr>
          <w:rStyle w:val="IntenseReference"/>
          <w:b/>
          <w:bCs/>
          <w:smallCaps w:val="0"/>
          <w:color w:val="AA610D" w:themeColor="accent1" w:themeShade="BF"/>
          <w:spacing w:val="0"/>
          <w:sz w:val="28"/>
        </w:rPr>
        <w:t>esistances by a</w:t>
      </w:r>
      <w:r w:rsidRPr="00C74994">
        <w:rPr>
          <w:rStyle w:val="IntenseReference"/>
          <w:b/>
          <w:bCs/>
          <w:smallCaps w:val="0"/>
          <w:color w:val="AA610D" w:themeColor="accent1" w:themeShade="BF"/>
          <w:spacing w:val="0"/>
          <w:sz w:val="28"/>
        </w:rPr>
        <w:t xml:space="preserve">ge </w:t>
      </w:r>
      <w:r w:rsidR="00AE7B0F" w:rsidRPr="00C74994">
        <w:rPr>
          <w:rStyle w:val="IntenseReference"/>
          <w:b/>
          <w:bCs/>
          <w:smallCaps w:val="0"/>
          <w:color w:val="AA610D" w:themeColor="accent1" w:themeShade="BF"/>
          <w:spacing w:val="0"/>
          <w:sz w:val="28"/>
        </w:rPr>
        <w:t>g</w:t>
      </w:r>
      <w:r w:rsidR="009153AE" w:rsidRPr="00C74994">
        <w:rPr>
          <w:rStyle w:val="IntenseReference"/>
          <w:b/>
          <w:bCs/>
          <w:smallCaps w:val="0"/>
          <w:color w:val="AA610D" w:themeColor="accent1" w:themeShade="BF"/>
          <w:spacing w:val="0"/>
          <w:sz w:val="28"/>
        </w:rPr>
        <w:t>roup</w:t>
      </w:r>
      <w:bookmarkEnd w:id="6"/>
    </w:p>
    <w:p w:rsidR="006A7725" w:rsidRPr="00513721" w:rsidRDefault="006A7725" w:rsidP="006A7725">
      <w:pPr>
        <w:spacing w:before="120"/>
        <w:rPr>
          <w:rFonts w:cs="Arial"/>
          <w:bCs/>
          <w:szCs w:val="22"/>
        </w:rPr>
      </w:pPr>
      <w:r>
        <w:rPr>
          <w:rFonts w:cs="Arial"/>
          <w:bCs/>
          <w:szCs w:val="22"/>
        </w:rPr>
        <w:t xml:space="preserve">CARs were isolated from patients from birth to </w:t>
      </w:r>
      <w:r w:rsidR="00D93729">
        <w:rPr>
          <w:rFonts w:cs="Arial"/>
          <w:bCs/>
          <w:szCs w:val="22"/>
        </w:rPr>
        <w:t>those aged greater than</w:t>
      </w:r>
      <w:r>
        <w:rPr>
          <w:rFonts w:cs="Arial"/>
          <w:bCs/>
          <w:szCs w:val="22"/>
        </w:rPr>
        <w:t xml:space="preserve"> 80 years, with a median age of </w:t>
      </w:r>
      <w:r w:rsidRPr="004F5BD2">
        <w:rPr>
          <w:rFonts w:cs="Arial"/>
          <w:bCs/>
          <w:szCs w:val="22"/>
        </w:rPr>
        <w:t>40</w:t>
      </w:r>
      <w:r w:rsidR="00D93729">
        <w:rPr>
          <w:rFonts w:cs="Arial"/>
          <w:bCs/>
          <w:szCs w:val="22"/>
        </w:rPr>
        <w:t>–</w:t>
      </w:r>
      <w:r w:rsidRPr="004F5BD2">
        <w:rPr>
          <w:rFonts w:cs="Arial"/>
          <w:bCs/>
          <w:szCs w:val="22"/>
        </w:rPr>
        <w:t>49</w:t>
      </w:r>
      <w:r>
        <w:rPr>
          <w:rFonts w:cs="Arial"/>
          <w:bCs/>
          <w:szCs w:val="22"/>
        </w:rPr>
        <w:t xml:space="preserve"> years (Figure 5). Sixty-eight </w:t>
      </w:r>
      <w:r w:rsidRPr="00983E88">
        <w:rPr>
          <w:rFonts w:cs="Arial"/>
          <w:bCs/>
          <w:szCs w:val="22"/>
        </w:rPr>
        <w:t>per</w:t>
      </w:r>
      <w:r w:rsidR="00D93729">
        <w:rPr>
          <w:rFonts w:cs="Arial"/>
          <w:bCs/>
          <w:szCs w:val="22"/>
        </w:rPr>
        <w:t xml:space="preserve"> </w:t>
      </w:r>
      <w:r w:rsidRPr="00983E88">
        <w:rPr>
          <w:rFonts w:cs="Arial"/>
          <w:bCs/>
          <w:szCs w:val="22"/>
        </w:rPr>
        <w:t xml:space="preserve">cent </w:t>
      </w:r>
      <w:r>
        <w:rPr>
          <w:rFonts w:cs="Arial"/>
          <w:bCs/>
          <w:szCs w:val="22"/>
        </w:rPr>
        <w:t>(300/440</w:t>
      </w:r>
      <w:r w:rsidRPr="00983E88">
        <w:rPr>
          <w:rFonts w:cs="Arial"/>
          <w:bCs/>
          <w:szCs w:val="22"/>
        </w:rPr>
        <w:t>)</w:t>
      </w:r>
      <w:r>
        <w:rPr>
          <w:rFonts w:cs="Arial"/>
          <w:bCs/>
          <w:szCs w:val="22"/>
        </w:rPr>
        <w:t xml:space="preserve"> of CPE were from people aged 60 years and older. Azithromycin-resistant </w:t>
      </w:r>
      <w:r>
        <w:rPr>
          <w:rFonts w:cs="Arial"/>
          <w:bCs/>
          <w:i/>
          <w:szCs w:val="22"/>
        </w:rPr>
        <w:t>N. </w:t>
      </w:r>
      <w:r w:rsidRPr="00BE4D27">
        <w:rPr>
          <w:rFonts w:cs="Arial"/>
          <w:bCs/>
          <w:i/>
          <w:szCs w:val="22"/>
        </w:rPr>
        <w:t>gonorrhoeae</w:t>
      </w:r>
      <w:r>
        <w:rPr>
          <w:rFonts w:cs="Arial"/>
          <w:bCs/>
          <w:szCs w:val="22"/>
        </w:rPr>
        <w:t xml:space="preserve"> were the predominant CAR reported among the age groups 15–19</w:t>
      </w:r>
      <w:r w:rsidR="00D93729">
        <w:rPr>
          <w:rFonts w:cs="Arial"/>
          <w:bCs/>
          <w:szCs w:val="22"/>
        </w:rPr>
        <w:t xml:space="preserve"> years</w:t>
      </w:r>
      <w:r w:rsidR="001D2D59">
        <w:rPr>
          <w:rFonts w:cs="Arial"/>
          <w:bCs/>
          <w:szCs w:val="22"/>
        </w:rPr>
        <w:t>;</w:t>
      </w:r>
      <w:r>
        <w:rPr>
          <w:rFonts w:cs="Arial"/>
          <w:bCs/>
          <w:szCs w:val="22"/>
        </w:rPr>
        <w:t xml:space="preserve"> 20–29</w:t>
      </w:r>
      <w:r w:rsidR="00D93729">
        <w:rPr>
          <w:rFonts w:cs="Arial"/>
          <w:bCs/>
          <w:szCs w:val="22"/>
        </w:rPr>
        <w:t xml:space="preserve"> years</w:t>
      </w:r>
      <w:r w:rsidR="001D2D59">
        <w:rPr>
          <w:rFonts w:cs="Arial"/>
          <w:bCs/>
          <w:szCs w:val="22"/>
        </w:rPr>
        <w:t>;</w:t>
      </w:r>
      <w:r>
        <w:rPr>
          <w:rFonts w:cs="Arial"/>
          <w:bCs/>
          <w:szCs w:val="22"/>
        </w:rPr>
        <w:t xml:space="preserve"> 30–39</w:t>
      </w:r>
      <w:r w:rsidR="00D93729">
        <w:rPr>
          <w:rFonts w:cs="Arial"/>
          <w:bCs/>
          <w:szCs w:val="22"/>
        </w:rPr>
        <w:t xml:space="preserve"> years</w:t>
      </w:r>
      <w:r w:rsidR="001D2D59">
        <w:rPr>
          <w:rFonts w:cs="Arial"/>
          <w:bCs/>
          <w:szCs w:val="22"/>
        </w:rPr>
        <w:t>;</w:t>
      </w:r>
      <w:r>
        <w:rPr>
          <w:rFonts w:cs="Arial"/>
          <w:bCs/>
          <w:szCs w:val="22"/>
        </w:rPr>
        <w:t xml:space="preserve"> and 40–49</w:t>
      </w:r>
      <w:r w:rsidR="00D93729">
        <w:rPr>
          <w:rFonts w:cs="Arial"/>
          <w:bCs/>
          <w:szCs w:val="22"/>
        </w:rPr>
        <w:t xml:space="preserve"> years</w:t>
      </w:r>
      <w:r>
        <w:rPr>
          <w:rFonts w:cs="Arial"/>
          <w:bCs/>
          <w:szCs w:val="22"/>
        </w:rPr>
        <w:t xml:space="preserve">. Only </w:t>
      </w:r>
      <w:r w:rsidRPr="00EC5256">
        <w:rPr>
          <w:rFonts w:cs="Arial"/>
          <w:bCs/>
          <w:szCs w:val="22"/>
        </w:rPr>
        <w:t>2.3% (24/1,064)</w:t>
      </w:r>
      <w:r>
        <w:rPr>
          <w:rFonts w:cs="Arial"/>
          <w:bCs/>
          <w:szCs w:val="22"/>
        </w:rPr>
        <w:t xml:space="preserve"> of all CARs were reported in c</w:t>
      </w:r>
      <w:r w:rsidR="001D2D59">
        <w:rPr>
          <w:rFonts w:cs="Arial"/>
          <w:bCs/>
          <w:szCs w:val="22"/>
        </w:rPr>
        <w:t>hildren aged less than 15 years.</w:t>
      </w:r>
      <w:r>
        <w:rPr>
          <w:rFonts w:cs="Arial"/>
          <w:bCs/>
          <w:szCs w:val="22"/>
        </w:rPr>
        <w:t xml:space="preserve"> CPE and ceftriaxone non-susceptible </w:t>
      </w:r>
      <w:r w:rsidRPr="003E14C0">
        <w:rPr>
          <w:rFonts w:cs="Arial"/>
          <w:bCs/>
          <w:i/>
          <w:szCs w:val="22"/>
        </w:rPr>
        <w:t>Salmonella</w:t>
      </w:r>
      <w:r>
        <w:rPr>
          <w:rFonts w:cs="Arial"/>
          <w:bCs/>
          <w:szCs w:val="22"/>
        </w:rPr>
        <w:t xml:space="preserve"> species were common (67</w:t>
      </w:r>
      <w:r w:rsidRPr="005D525A">
        <w:rPr>
          <w:rFonts w:cs="Arial"/>
          <w:bCs/>
          <w:szCs w:val="22"/>
        </w:rPr>
        <w:t>%)</w:t>
      </w:r>
      <w:r>
        <w:rPr>
          <w:rFonts w:cs="Arial"/>
          <w:bCs/>
          <w:szCs w:val="22"/>
        </w:rPr>
        <w:t xml:space="preserve"> in this age group</w:t>
      </w:r>
      <w:r w:rsidRPr="005D525A">
        <w:rPr>
          <w:rFonts w:cs="Arial"/>
          <w:bCs/>
          <w:szCs w:val="22"/>
        </w:rPr>
        <w:t>.</w:t>
      </w:r>
    </w:p>
    <w:p w:rsidR="0065116F" w:rsidRPr="00513721" w:rsidRDefault="0065116F" w:rsidP="00506EF0">
      <w:pPr>
        <w:rPr>
          <w:rFonts w:cs="Arial"/>
          <w:sz w:val="20"/>
          <w:szCs w:val="20"/>
        </w:rPr>
      </w:pPr>
    </w:p>
    <w:p w:rsidR="00A55524" w:rsidRDefault="00A55524">
      <w:pPr>
        <w:rPr>
          <w:rFonts w:cs="Arial"/>
          <w:b/>
          <w:iCs/>
          <w:sz w:val="18"/>
          <w:szCs w:val="18"/>
        </w:rPr>
      </w:pPr>
      <w:r>
        <w:rPr>
          <w:rFonts w:cs="Arial"/>
          <w:b/>
          <w:i/>
        </w:rPr>
        <w:br w:type="page"/>
      </w:r>
    </w:p>
    <w:p w:rsidR="0065116F" w:rsidRDefault="0065116F" w:rsidP="00AE718B">
      <w:pPr>
        <w:pStyle w:val="Caption"/>
        <w:keepNext/>
        <w:tabs>
          <w:tab w:val="left" w:pos="1134"/>
        </w:tabs>
        <w:spacing w:after="0"/>
        <w:rPr>
          <w:rFonts w:cs="Arial"/>
          <w:b/>
          <w:i w:val="0"/>
          <w:color w:val="auto"/>
        </w:rPr>
      </w:pPr>
      <w:r w:rsidRPr="001C7F56">
        <w:rPr>
          <w:rFonts w:cs="Arial"/>
          <w:b/>
          <w:i w:val="0"/>
          <w:color w:val="auto"/>
        </w:rPr>
        <w:lastRenderedPageBreak/>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A7F88">
        <w:rPr>
          <w:rFonts w:cs="Arial"/>
          <w:b/>
          <w:i w:val="0"/>
          <w:noProof/>
          <w:color w:val="auto"/>
        </w:rPr>
        <w:t>5</w:t>
      </w:r>
      <w:r w:rsidR="00B833F8" w:rsidRPr="001C7F56">
        <w:rPr>
          <w:rFonts w:cs="Arial"/>
          <w:b/>
          <w:i w:val="0"/>
          <w:color w:val="auto"/>
        </w:rPr>
        <w:fldChar w:fldCharType="end"/>
      </w:r>
      <w:r w:rsidR="00C74994">
        <w:rPr>
          <w:rFonts w:cs="Arial"/>
          <w:b/>
          <w:i w:val="0"/>
          <w:color w:val="auto"/>
        </w:rPr>
        <w:tab/>
      </w:r>
      <w:r w:rsidR="00C74994">
        <w:rPr>
          <w:rFonts w:cs="Arial"/>
          <w:b/>
          <w:i w:val="0"/>
          <w:color w:val="auto"/>
        </w:rPr>
        <w:tab/>
      </w:r>
      <w:r w:rsidR="00C258BF">
        <w:rPr>
          <w:rFonts w:cs="Arial"/>
          <w:b/>
          <w:i w:val="0"/>
          <w:color w:val="auto"/>
        </w:rPr>
        <w:t>C</w:t>
      </w:r>
      <w:r w:rsidRPr="001C7F56">
        <w:rPr>
          <w:rFonts w:cs="Arial"/>
          <w:b/>
          <w:i w:val="0"/>
          <w:color w:val="auto"/>
        </w:rPr>
        <w:t>rit</w:t>
      </w:r>
      <w:r w:rsidR="006A7725">
        <w:rPr>
          <w:rFonts w:cs="Arial"/>
          <w:b/>
          <w:i w:val="0"/>
          <w:color w:val="auto"/>
        </w:rPr>
        <w:t xml:space="preserve">ical antimicrobial resistances </w:t>
      </w:r>
      <w:r w:rsidR="00D317D1" w:rsidRPr="001C7F56">
        <w:rPr>
          <w:rFonts w:cs="Arial"/>
          <w:b/>
          <w:i w:val="0"/>
          <w:color w:val="auto"/>
        </w:rPr>
        <w:t xml:space="preserve">by age group, </w:t>
      </w:r>
      <w:r w:rsidR="00C74994">
        <w:rPr>
          <w:rFonts w:cs="Arial"/>
          <w:b/>
          <w:i w:val="0"/>
          <w:color w:val="auto"/>
        </w:rPr>
        <w:t>17 March 2016</w:t>
      </w:r>
      <w:r w:rsidR="00CB12AA" w:rsidRPr="001C7F56">
        <w:rPr>
          <w:rFonts w:cs="Arial"/>
          <w:b/>
          <w:i w:val="0"/>
          <w:color w:val="auto"/>
        </w:rPr>
        <w:t>–</w:t>
      </w:r>
      <w:r w:rsidR="00C74994">
        <w:rPr>
          <w:rFonts w:cs="Arial"/>
          <w:b/>
          <w:i w:val="0"/>
          <w:color w:val="auto"/>
        </w:rPr>
        <w:t>3</w:t>
      </w:r>
      <w:r w:rsidR="006A7725">
        <w:rPr>
          <w:rFonts w:cs="Arial"/>
          <w:b/>
          <w:i w:val="0"/>
          <w:color w:val="auto"/>
        </w:rPr>
        <w:t>1 March</w:t>
      </w:r>
      <w:r w:rsidRPr="001C7F56">
        <w:rPr>
          <w:rFonts w:cs="Arial"/>
          <w:b/>
          <w:i w:val="0"/>
          <w:color w:val="auto"/>
        </w:rPr>
        <w:t xml:space="preserve"> 201</w:t>
      </w:r>
      <w:r w:rsidR="006A7725">
        <w:rPr>
          <w:rFonts w:cs="Arial"/>
          <w:b/>
          <w:i w:val="0"/>
          <w:color w:val="auto"/>
        </w:rPr>
        <w:t>7</w:t>
      </w:r>
    </w:p>
    <w:p w:rsidR="006A7725" w:rsidRPr="00D01A61" w:rsidRDefault="006A7725" w:rsidP="006A7725">
      <w:pPr>
        <w:rPr>
          <w:sz w:val="18"/>
          <w:szCs w:val="18"/>
        </w:rPr>
      </w:pPr>
    </w:p>
    <w:p w:rsidR="00D01A61" w:rsidRPr="00D01A61" w:rsidRDefault="00D01A61" w:rsidP="00D01A61">
      <w:pPr>
        <w:rPr>
          <w:rFonts w:cs="Arial"/>
          <w:b/>
          <w:sz w:val="18"/>
          <w:szCs w:val="18"/>
        </w:rPr>
      </w:pPr>
      <w:r w:rsidRPr="00D01A61">
        <w:rPr>
          <w:rFonts w:cs="Arial"/>
          <w:b/>
          <w:sz w:val="18"/>
          <w:szCs w:val="18"/>
        </w:rPr>
        <w:t xml:space="preserve">A. Number by age group </w:t>
      </w:r>
    </w:p>
    <w:p w:rsidR="00D01A61" w:rsidRPr="00D01A61" w:rsidRDefault="00D01A61" w:rsidP="006A7725">
      <w:pPr>
        <w:rPr>
          <w:sz w:val="18"/>
          <w:szCs w:val="18"/>
        </w:rPr>
      </w:pPr>
    </w:p>
    <w:p w:rsidR="00D01A61" w:rsidRPr="00D01A61" w:rsidRDefault="00D01A61" w:rsidP="006A7725">
      <w:pPr>
        <w:rPr>
          <w:szCs w:val="22"/>
        </w:rPr>
      </w:pPr>
      <w:r>
        <w:rPr>
          <w:noProof/>
          <w:szCs w:val="22"/>
          <w:lang w:eastAsia="en-AU"/>
        </w:rPr>
        <w:drawing>
          <wp:inline distT="0" distB="0" distL="0" distR="0" wp14:anchorId="52C148E5">
            <wp:extent cx="6096635" cy="3108960"/>
            <wp:effectExtent l="0" t="0" r="0" b="0"/>
            <wp:docPr id="46" name="Picture 46" descr="This figure shows Critical antimicrobial resistances by number by age group, 17 March 2016–31 March 2017" title="Figure 5 Critical antimicrobial resistances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635" cy="3108960"/>
                    </a:xfrm>
                    <a:prstGeom prst="rect">
                      <a:avLst/>
                    </a:prstGeom>
                    <a:noFill/>
                  </pic:spPr>
                </pic:pic>
              </a:graphicData>
            </a:graphic>
          </wp:inline>
        </w:drawing>
      </w:r>
    </w:p>
    <w:p w:rsidR="00D01A61" w:rsidRDefault="00D01A61" w:rsidP="006A7725"/>
    <w:p w:rsidR="00D01A61" w:rsidRPr="001C7F56" w:rsidRDefault="00D01A61" w:rsidP="00D01A61">
      <w:pPr>
        <w:rPr>
          <w:rFonts w:cs="Arial"/>
          <w:b/>
          <w:sz w:val="18"/>
        </w:rPr>
      </w:pPr>
      <w:r w:rsidRPr="001C7F56">
        <w:rPr>
          <w:rFonts w:cs="Arial"/>
          <w:b/>
          <w:sz w:val="18"/>
        </w:rPr>
        <w:t>B. Percentage by age group</w:t>
      </w:r>
    </w:p>
    <w:p w:rsidR="00D01A61" w:rsidRDefault="00D01A61" w:rsidP="006A7725"/>
    <w:p w:rsidR="00D01A61" w:rsidRDefault="00D01A61" w:rsidP="006A7725">
      <w:r>
        <w:rPr>
          <w:noProof/>
          <w:lang w:eastAsia="en-AU"/>
        </w:rPr>
        <w:drawing>
          <wp:inline distT="0" distB="0" distL="0" distR="0" wp14:anchorId="07D9A257">
            <wp:extent cx="6096635" cy="3286125"/>
            <wp:effectExtent l="0" t="0" r="0" b="9525"/>
            <wp:docPr id="47" name="Picture 47" descr="This figure shows Critical antimicrobial resistances by percentage by age group, 17 March 2016–31 March 2017" title="Figure 5 Critical antimicrobial resistances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635" cy="3286125"/>
                    </a:xfrm>
                    <a:prstGeom prst="rect">
                      <a:avLst/>
                    </a:prstGeom>
                    <a:noFill/>
                  </pic:spPr>
                </pic:pic>
              </a:graphicData>
            </a:graphic>
          </wp:inline>
        </w:drawing>
      </w:r>
    </w:p>
    <w:p w:rsidR="00D01A61" w:rsidRDefault="00D01A61" w:rsidP="006A7725"/>
    <w:p w:rsidR="000710F0" w:rsidRPr="0065116F" w:rsidRDefault="000710F0" w:rsidP="000710F0">
      <w:pPr>
        <w:spacing w:before="120"/>
        <w:rPr>
          <w:rStyle w:val="IntenseReference"/>
          <w:rFonts w:cs="Arial"/>
          <w:b w:val="0"/>
          <w:bCs w:val="0"/>
          <w:i w:val="0"/>
          <w:smallCaps w:val="0"/>
          <w:color w:val="auto"/>
          <w:spacing w:val="0"/>
          <w:sz w:val="14"/>
          <w:szCs w:val="22"/>
        </w:rPr>
      </w:pPr>
      <w:r w:rsidRPr="007555B3">
        <w:rPr>
          <w:rStyle w:val="IntenseReference"/>
          <w:rFonts w:cs="Arial"/>
          <w:b w:val="0"/>
          <w:bCs w:val="0"/>
          <w:i w:val="0"/>
          <w:smallCaps w:val="0"/>
          <w:color w:val="auto"/>
          <w:spacing w:val="0"/>
          <w:sz w:val="14"/>
          <w:szCs w:val="22"/>
        </w:rPr>
        <w:t xml:space="preserve">CPE = </w:t>
      </w:r>
      <w:r>
        <w:rPr>
          <w:rStyle w:val="IntenseReference"/>
          <w:rFonts w:cs="Arial"/>
          <w:b w:val="0"/>
          <w:bCs w:val="0"/>
          <w:i w:val="0"/>
          <w:smallCaps w:val="0"/>
          <w:color w:val="auto"/>
          <w:spacing w:val="0"/>
          <w:sz w:val="14"/>
          <w:szCs w:val="22"/>
        </w:rPr>
        <w:t>carbapenemase-producing-</w:t>
      </w:r>
      <w:r w:rsidRPr="00661532">
        <w:rPr>
          <w:rStyle w:val="IntenseReference"/>
          <w:rFonts w:cs="Arial"/>
          <w:b w:val="0"/>
          <w:bCs w:val="0"/>
          <w:i w:val="0"/>
          <w:smallCaps w:val="0"/>
          <w:color w:val="auto"/>
          <w:spacing w:val="0"/>
          <w:sz w:val="14"/>
          <w:szCs w:val="22"/>
        </w:rPr>
        <w:t>Enterobacteriaceae</w:t>
      </w:r>
      <w:r>
        <w:rPr>
          <w:rStyle w:val="IntenseReference"/>
          <w:rFonts w:cs="Arial"/>
          <w:b w:val="0"/>
          <w:bCs w:val="0"/>
          <w:i w:val="0"/>
          <w:smallCaps w:val="0"/>
          <w:color w:val="auto"/>
          <w:spacing w:val="0"/>
          <w:sz w:val="14"/>
          <w:szCs w:val="22"/>
        </w:rPr>
        <w:t>; RMT = ribosomal methyltransferase-</w:t>
      </w:r>
      <w:r w:rsidRPr="007555B3">
        <w:rPr>
          <w:rStyle w:val="IntenseReference"/>
          <w:rFonts w:cs="Arial"/>
          <w:b w:val="0"/>
          <w:bCs w:val="0"/>
          <w:i w:val="0"/>
          <w:smallCaps w:val="0"/>
          <w:color w:val="auto"/>
          <w:spacing w:val="0"/>
          <w:sz w:val="14"/>
          <w:szCs w:val="22"/>
        </w:rPr>
        <w:t xml:space="preserve">producing </w:t>
      </w:r>
      <w:r w:rsidRPr="00661532">
        <w:rPr>
          <w:rStyle w:val="IntenseReference"/>
          <w:rFonts w:cs="Arial"/>
          <w:b w:val="0"/>
          <w:bCs w:val="0"/>
          <w:i w:val="0"/>
          <w:smallCaps w:val="0"/>
          <w:color w:val="auto"/>
          <w:spacing w:val="0"/>
          <w:sz w:val="14"/>
          <w:szCs w:val="22"/>
        </w:rPr>
        <w:t>Enterobacteriaceae</w:t>
      </w:r>
      <w:r w:rsidRPr="007555B3">
        <w:rPr>
          <w:rStyle w:val="IntenseReference"/>
          <w:rFonts w:cs="Arial"/>
          <w:b w:val="0"/>
          <w:bCs w:val="0"/>
          <w:i w:val="0"/>
          <w:smallCaps w:val="0"/>
          <w:color w:val="auto"/>
          <w:spacing w:val="0"/>
          <w:sz w:val="14"/>
          <w:szCs w:val="22"/>
        </w:rPr>
        <w:t>; CPE+RMT = carbapenemase</w:t>
      </w:r>
      <w:r>
        <w:rPr>
          <w:rStyle w:val="IntenseReference"/>
          <w:rFonts w:cs="Arial"/>
          <w:b w:val="0"/>
          <w:bCs w:val="0"/>
          <w:i w:val="0"/>
          <w:smallCaps w:val="0"/>
          <w:color w:val="auto"/>
          <w:spacing w:val="0"/>
          <w:sz w:val="14"/>
          <w:szCs w:val="22"/>
        </w:rPr>
        <w:t>- and ribosomal methyltransferase-</w:t>
      </w:r>
      <w:r w:rsidRPr="007555B3">
        <w:rPr>
          <w:rStyle w:val="IntenseReference"/>
          <w:rFonts w:cs="Arial"/>
          <w:b w:val="0"/>
          <w:bCs w:val="0"/>
          <w:i w:val="0"/>
          <w:smallCaps w:val="0"/>
          <w:color w:val="auto"/>
          <w:spacing w:val="0"/>
          <w:sz w:val="14"/>
          <w:szCs w:val="22"/>
        </w:rPr>
        <w:t xml:space="preserve">producing </w:t>
      </w:r>
      <w:r w:rsidRPr="00661532">
        <w:rPr>
          <w:rStyle w:val="IntenseReference"/>
          <w:rFonts w:cs="Arial"/>
          <w:b w:val="0"/>
          <w:bCs w:val="0"/>
          <w:i w:val="0"/>
          <w:smallCaps w:val="0"/>
          <w:color w:val="auto"/>
          <w:spacing w:val="0"/>
          <w:sz w:val="14"/>
          <w:szCs w:val="22"/>
        </w:rPr>
        <w:t>Enterobacteriaceae</w:t>
      </w:r>
      <w:r w:rsidRPr="007555B3">
        <w:rPr>
          <w:rStyle w:val="IntenseReference"/>
          <w:rFonts w:cs="Arial"/>
          <w:b w:val="0"/>
          <w:bCs w:val="0"/>
          <w:i w:val="0"/>
          <w:smallCaps w:val="0"/>
          <w:color w:val="auto"/>
          <w:spacing w:val="0"/>
          <w:sz w:val="14"/>
          <w:szCs w:val="22"/>
        </w:rPr>
        <w:t>; LNZ</w:t>
      </w:r>
      <w:r>
        <w:rPr>
          <w:rStyle w:val="IntenseReference"/>
          <w:rFonts w:cs="Arial"/>
          <w:b w:val="0"/>
          <w:bCs w:val="0"/>
          <w:i w:val="0"/>
          <w:smallCaps w:val="0"/>
          <w:color w:val="auto"/>
          <w:spacing w:val="0"/>
          <w:sz w:val="14"/>
          <w:szCs w:val="22"/>
        </w:rPr>
        <w:t xml:space="preserve"> ENTE</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l</w:t>
      </w:r>
      <w:r w:rsidRPr="007555B3">
        <w:rPr>
          <w:rStyle w:val="IntenseReference"/>
          <w:rFonts w:cs="Arial"/>
          <w:b w:val="0"/>
          <w:bCs w:val="0"/>
          <w:i w:val="0"/>
          <w:smallCaps w:val="0"/>
          <w:color w:val="auto"/>
          <w:spacing w:val="0"/>
          <w:sz w:val="14"/>
          <w:szCs w:val="22"/>
        </w:rPr>
        <w:t xml:space="preserve">inezolid non-susceptible </w:t>
      </w:r>
      <w:r w:rsidRPr="007555B3">
        <w:rPr>
          <w:rStyle w:val="IntenseReference"/>
          <w:rFonts w:cs="Arial"/>
          <w:b w:val="0"/>
          <w:bCs w:val="0"/>
          <w:smallCaps w:val="0"/>
          <w:color w:val="auto"/>
          <w:spacing w:val="0"/>
          <w:sz w:val="14"/>
          <w:szCs w:val="22"/>
        </w:rPr>
        <w:t>Enterococcus</w:t>
      </w:r>
      <w:r w:rsidR="00AA44FB">
        <w:rPr>
          <w:rStyle w:val="IntenseReference"/>
          <w:rFonts w:cs="Arial"/>
          <w:b w:val="0"/>
          <w:bCs w:val="0"/>
          <w:i w:val="0"/>
          <w:smallCaps w:val="0"/>
          <w:color w:val="auto"/>
          <w:spacing w:val="0"/>
          <w:sz w:val="14"/>
          <w:szCs w:val="22"/>
        </w:rPr>
        <w:t xml:space="preserve"> species; AZI LLR</w:t>
      </w:r>
      <w:r w:rsidRPr="007555B3">
        <w:rPr>
          <w:rStyle w:val="IntenseReference"/>
          <w:rFonts w:cs="Arial"/>
          <w:b w:val="0"/>
          <w:bCs w:val="0"/>
          <w:i w:val="0"/>
          <w:smallCaps w:val="0"/>
          <w:color w:val="auto"/>
          <w:spacing w:val="0"/>
          <w:sz w:val="14"/>
          <w:szCs w:val="22"/>
        </w:rPr>
        <w:t xml:space="preserve"> = azithromycin</w:t>
      </w:r>
      <w:r>
        <w:rPr>
          <w:rStyle w:val="IntenseReference"/>
          <w:rFonts w:cs="Arial"/>
          <w:b w:val="0"/>
          <w:bCs w:val="0"/>
          <w:i w:val="0"/>
          <w:smallCaps w:val="0"/>
          <w:color w:val="auto"/>
          <w:spacing w:val="0"/>
          <w:sz w:val="14"/>
          <w:szCs w:val="22"/>
        </w:rPr>
        <w:t xml:space="preserve"> resistant</w:t>
      </w:r>
      <w:r w:rsidR="00D93729">
        <w:rPr>
          <w:rStyle w:val="IntenseReference"/>
          <w:rFonts w:cs="Arial"/>
          <w:b w:val="0"/>
          <w:bCs w:val="0"/>
          <w:i w:val="0"/>
          <w:smallCaps w:val="0"/>
          <w:color w:val="auto"/>
          <w:spacing w:val="0"/>
          <w:sz w:val="14"/>
          <w:szCs w:val="22"/>
        </w:rPr>
        <w:t>, low level resistance</w:t>
      </w:r>
      <w:r w:rsidRPr="007555B3">
        <w:rPr>
          <w:rStyle w:val="IntenseReference"/>
          <w:rFonts w:cs="Arial"/>
          <w:b w:val="0"/>
          <w:bCs w:val="0"/>
          <w:i w:val="0"/>
          <w:smallCaps w:val="0"/>
          <w:color w:val="auto"/>
          <w:spacing w:val="0"/>
          <w:sz w:val="14"/>
          <w:szCs w:val="22"/>
        </w:rPr>
        <w:t xml:space="preserve"> (LLR, MIC &lt; 256 mg/L) </w:t>
      </w:r>
      <w:r w:rsidRPr="007555B3">
        <w:rPr>
          <w:rStyle w:val="IntenseReference"/>
          <w:rFonts w:cs="Arial"/>
          <w:b w:val="0"/>
          <w:bCs w:val="0"/>
          <w:smallCaps w:val="0"/>
          <w:color w:val="auto"/>
          <w:spacing w:val="0"/>
          <w:sz w:val="14"/>
          <w:szCs w:val="22"/>
        </w:rPr>
        <w:t>Neisseria gonorrhoeae</w:t>
      </w:r>
      <w:r>
        <w:rPr>
          <w:rStyle w:val="IntenseReference"/>
          <w:rFonts w:cs="Arial"/>
          <w:b w:val="0"/>
          <w:bCs w:val="0"/>
          <w:i w:val="0"/>
          <w:smallCaps w:val="0"/>
          <w:color w:val="auto"/>
          <w:spacing w:val="0"/>
          <w:sz w:val="14"/>
          <w:szCs w:val="22"/>
        </w:rPr>
        <w:t xml:space="preserve">; </w:t>
      </w:r>
      <w:r w:rsidR="00AA44FB">
        <w:rPr>
          <w:rStyle w:val="IntenseReference"/>
          <w:rFonts w:cs="Arial"/>
          <w:b w:val="0"/>
          <w:bCs w:val="0"/>
          <w:i w:val="0"/>
          <w:smallCaps w:val="0"/>
          <w:color w:val="auto"/>
          <w:spacing w:val="0"/>
          <w:sz w:val="14"/>
          <w:szCs w:val="22"/>
        </w:rPr>
        <w:t>AZI HLR</w:t>
      </w:r>
      <w:r w:rsidRPr="007555B3">
        <w:rPr>
          <w:rStyle w:val="IntenseReference"/>
          <w:rFonts w:cs="Arial"/>
          <w:b w:val="0"/>
          <w:bCs w:val="0"/>
          <w:i w:val="0"/>
          <w:smallCaps w:val="0"/>
          <w:color w:val="auto"/>
          <w:spacing w:val="0"/>
          <w:sz w:val="14"/>
          <w:szCs w:val="22"/>
        </w:rPr>
        <w:t xml:space="preserve"> = azithromycin</w:t>
      </w:r>
      <w:r>
        <w:rPr>
          <w:rStyle w:val="IntenseReference"/>
          <w:rFonts w:cs="Arial"/>
          <w:b w:val="0"/>
          <w:bCs w:val="0"/>
          <w:i w:val="0"/>
          <w:smallCaps w:val="0"/>
          <w:color w:val="auto"/>
          <w:spacing w:val="0"/>
          <w:sz w:val="14"/>
          <w:szCs w:val="22"/>
        </w:rPr>
        <w:t xml:space="preserve"> resistant</w:t>
      </w:r>
      <w:r w:rsidR="00D93729">
        <w:rPr>
          <w:rStyle w:val="IntenseReference"/>
          <w:rFonts w:cs="Arial"/>
          <w:b w:val="0"/>
          <w:bCs w:val="0"/>
          <w:i w:val="0"/>
          <w:smallCaps w:val="0"/>
          <w:color w:val="auto"/>
          <w:spacing w:val="0"/>
          <w:sz w:val="14"/>
          <w:szCs w:val="22"/>
        </w:rPr>
        <w:t>, high level resistance</w:t>
      </w:r>
      <w:r w:rsidRPr="007555B3">
        <w:rPr>
          <w:rStyle w:val="IntenseReference"/>
          <w:rFonts w:cs="Arial"/>
          <w:b w:val="0"/>
          <w:bCs w:val="0"/>
          <w:i w:val="0"/>
          <w:smallCaps w:val="0"/>
          <w:color w:val="auto"/>
          <w:spacing w:val="0"/>
          <w:sz w:val="14"/>
          <w:szCs w:val="22"/>
        </w:rPr>
        <w:t xml:space="preserve"> (HLR, MIC &gt; 256 mg/L) </w:t>
      </w:r>
      <w:r w:rsidRPr="007555B3">
        <w:rPr>
          <w:rStyle w:val="IntenseReference"/>
          <w:rFonts w:cs="Arial"/>
          <w:b w:val="0"/>
          <w:bCs w:val="0"/>
          <w:smallCaps w:val="0"/>
          <w:color w:val="auto"/>
          <w:spacing w:val="0"/>
          <w:sz w:val="14"/>
          <w:szCs w:val="22"/>
        </w:rPr>
        <w:t>Neisseria gonorrhoeae</w:t>
      </w:r>
      <w:r w:rsidRPr="007555B3">
        <w:rPr>
          <w:rStyle w:val="IntenseReference"/>
          <w:rFonts w:cs="Arial"/>
          <w:b w:val="0"/>
          <w:bCs w:val="0"/>
          <w:i w:val="0"/>
          <w:smallCaps w:val="0"/>
          <w:color w:val="auto"/>
          <w:spacing w:val="0"/>
          <w:sz w:val="14"/>
          <w:szCs w:val="22"/>
        </w:rPr>
        <w:t>; CTR</w:t>
      </w:r>
      <w:r>
        <w:rPr>
          <w:rStyle w:val="IntenseReference"/>
          <w:rFonts w:cs="Arial"/>
          <w:b w:val="0"/>
          <w:bCs w:val="0"/>
          <w:i w:val="0"/>
          <w:smallCaps w:val="0"/>
          <w:color w:val="auto"/>
          <w:spacing w:val="0"/>
          <w:sz w:val="14"/>
          <w:szCs w:val="22"/>
        </w:rPr>
        <w:t xml:space="preserve"> NGON</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Neisseria gonorrhoeae</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DAP</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d</w:t>
      </w:r>
      <w:r w:rsidRPr="007555B3">
        <w:rPr>
          <w:rStyle w:val="IntenseReference"/>
          <w:rFonts w:cs="Arial"/>
          <w:b w:val="0"/>
          <w:bCs w:val="0"/>
          <w:i w:val="0"/>
          <w:smallCaps w:val="0"/>
          <w:color w:val="auto"/>
          <w:spacing w:val="0"/>
          <w:sz w:val="14"/>
          <w:szCs w:val="22"/>
        </w:rPr>
        <w:t xml:space="preserve">aptomycin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VAN</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v</w:t>
      </w:r>
      <w:r w:rsidRPr="007555B3">
        <w:rPr>
          <w:rStyle w:val="IntenseReference"/>
          <w:rFonts w:cs="Arial"/>
          <w:b w:val="0"/>
          <w:bCs w:val="0"/>
          <w:i w:val="0"/>
          <w:smallCaps w:val="0"/>
          <w:color w:val="auto"/>
          <w:spacing w:val="0"/>
          <w:sz w:val="14"/>
          <w:szCs w:val="22"/>
        </w:rPr>
        <w:t xml:space="preserve">ancomycin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CTR</w:t>
      </w:r>
      <w:r>
        <w:rPr>
          <w:rStyle w:val="IntenseReference"/>
          <w:rFonts w:cs="Arial"/>
          <w:b w:val="0"/>
          <w:bCs w:val="0"/>
          <w:i w:val="0"/>
          <w:smallCaps w:val="0"/>
          <w:color w:val="auto"/>
          <w:spacing w:val="0"/>
          <w:sz w:val="14"/>
          <w:szCs w:val="22"/>
        </w:rPr>
        <w:t xml:space="preserve"> SALM</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Salmonella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SHIG = multidrug-resistant</w:t>
      </w:r>
      <w:r w:rsidRPr="007555B3">
        <w:rPr>
          <w:rStyle w:val="IntenseReference"/>
          <w:rFonts w:cs="Arial"/>
          <w:b w:val="0"/>
          <w:bCs w:val="0"/>
          <w:i w:val="0"/>
          <w:smallCaps w:val="0"/>
          <w:color w:val="auto"/>
          <w:spacing w:val="0"/>
          <w:sz w:val="14"/>
          <w:szCs w:val="22"/>
        </w:rPr>
        <w:t xml:space="preserve"> </w:t>
      </w:r>
      <w:r w:rsidRPr="007555B3">
        <w:rPr>
          <w:rStyle w:val="IntenseReference"/>
          <w:rFonts w:cs="Arial"/>
          <w:b w:val="0"/>
          <w:bCs w:val="0"/>
          <w:smallCaps w:val="0"/>
          <w:color w:val="auto"/>
          <w:spacing w:val="0"/>
          <w:sz w:val="14"/>
          <w:szCs w:val="22"/>
        </w:rPr>
        <w:t>Shigella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MTB = multidrug-resistant</w:t>
      </w:r>
      <w:r w:rsidRPr="007555B3">
        <w:rPr>
          <w:rStyle w:val="IntenseReference"/>
          <w:rFonts w:cs="Arial"/>
          <w:b w:val="0"/>
          <w:bCs w:val="0"/>
          <w:i w:val="0"/>
          <w:smallCaps w:val="0"/>
          <w:color w:val="auto"/>
          <w:spacing w:val="0"/>
          <w:sz w:val="14"/>
          <w:szCs w:val="22"/>
        </w:rPr>
        <w:t xml:space="preserve"> </w:t>
      </w:r>
      <w:r w:rsidRPr="001E17F1">
        <w:rPr>
          <w:rStyle w:val="IntenseReference"/>
          <w:rFonts w:cs="Arial"/>
          <w:b w:val="0"/>
          <w:bCs w:val="0"/>
          <w:smallCaps w:val="0"/>
          <w:color w:val="auto"/>
          <w:spacing w:val="0"/>
          <w:sz w:val="14"/>
          <w:szCs w:val="22"/>
        </w:rPr>
        <w:t>Mycobacterium tuberculosis</w:t>
      </w:r>
    </w:p>
    <w:p w:rsidR="000710F0" w:rsidRDefault="000710F0" w:rsidP="000710F0">
      <w:pPr>
        <w:rPr>
          <w:rStyle w:val="IntenseReference"/>
          <w:rFonts w:cs="Arial"/>
          <w:bCs w:val="0"/>
          <w:i w:val="0"/>
          <w:smallCaps w:val="0"/>
          <w:color w:val="auto"/>
          <w:spacing w:val="0"/>
          <w:szCs w:val="22"/>
        </w:rPr>
      </w:pPr>
      <w:r>
        <w:rPr>
          <w:rStyle w:val="IntenseReference"/>
          <w:rFonts w:cs="Arial"/>
          <w:bCs w:val="0"/>
          <w:i w:val="0"/>
          <w:smallCaps w:val="0"/>
          <w:color w:val="auto"/>
          <w:spacing w:val="0"/>
          <w:szCs w:val="22"/>
        </w:rPr>
        <w:br w:type="page"/>
      </w:r>
    </w:p>
    <w:p w:rsidR="009D06FD" w:rsidRPr="00C74994" w:rsidRDefault="00761C5A" w:rsidP="00164D03">
      <w:pPr>
        <w:pStyle w:val="Heading2"/>
        <w:spacing w:after="240"/>
        <w:rPr>
          <w:i w:val="0"/>
          <w:color w:val="AA610D" w:themeColor="accent1" w:themeShade="BF"/>
          <w:sz w:val="28"/>
        </w:rPr>
      </w:pPr>
      <w:bookmarkStart w:id="7" w:name="_Toc486425619"/>
      <w:r w:rsidRPr="00C74994">
        <w:rPr>
          <w:i w:val="0"/>
          <w:color w:val="AA610D" w:themeColor="accent1" w:themeShade="BF"/>
          <w:sz w:val="28"/>
        </w:rPr>
        <w:lastRenderedPageBreak/>
        <w:t xml:space="preserve">Critical </w:t>
      </w:r>
      <w:r w:rsidR="00C258BF" w:rsidRPr="00C74994">
        <w:rPr>
          <w:i w:val="0"/>
          <w:color w:val="AA610D" w:themeColor="accent1" w:themeShade="BF"/>
          <w:sz w:val="28"/>
        </w:rPr>
        <w:t>a</w:t>
      </w:r>
      <w:r w:rsidRPr="00C74994">
        <w:rPr>
          <w:i w:val="0"/>
          <w:color w:val="AA610D" w:themeColor="accent1" w:themeShade="BF"/>
          <w:sz w:val="28"/>
        </w:rPr>
        <w:t xml:space="preserve">ntimicrobial </w:t>
      </w:r>
      <w:r w:rsidR="00C258BF" w:rsidRPr="00C74994">
        <w:rPr>
          <w:i w:val="0"/>
          <w:color w:val="AA610D" w:themeColor="accent1" w:themeShade="BF"/>
          <w:sz w:val="28"/>
        </w:rPr>
        <w:t>r</w:t>
      </w:r>
      <w:r w:rsidRPr="00C74994">
        <w:rPr>
          <w:i w:val="0"/>
          <w:color w:val="AA610D" w:themeColor="accent1" w:themeShade="BF"/>
          <w:sz w:val="28"/>
        </w:rPr>
        <w:t>esistances by specimen t</w:t>
      </w:r>
      <w:r w:rsidR="00623D05" w:rsidRPr="00C74994">
        <w:rPr>
          <w:i w:val="0"/>
          <w:color w:val="AA610D" w:themeColor="accent1" w:themeShade="BF"/>
          <w:sz w:val="28"/>
        </w:rPr>
        <w:t>ype</w:t>
      </w:r>
      <w:bookmarkEnd w:id="7"/>
    </w:p>
    <w:p w:rsidR="000710F0" w:rsidRDefault="000710F0" w:rsidP="000710F0">
      <w:pPr>
        <w:spacing w:before="120"/>
        <w:rPr>
          <w:rFonts w:cs="Arial"/>
          <w:color w:val="000000"/>
          <w:szCs w:val="22"/>
        </w:rPr>
      </w:pPr>
      <w:r>
        <w:rPr>
          <w:rFonts w:cs="Arial"/>
          <w:bCs/>
          <w:szCs w:val="22"/>
        </w:rPr>
        <w:t>Eighty-two per</w:t>
      </w:r>
      <w:r w:rsidR="00D93729">
        <w:rPr>
          <w:rFonts w:cs="Arial"/>
          <w:bCs/>
          <w:szCs w:val="22"/>
        </w:rPr>
        <w:t xml:space="preserve"> </w:t>
      </w:r>
      <w:r>
        <w:rPr>
          <w:rFonts w:cs="Arial"/>
          <w:bCs/>
          <w:szCs w:val="22"/>
        </w:rPr>
        <w:t xml:space="preserve">cent of all CARs were from clinical specimens (specimens collected for diagnostic purposes, rather than for screening). These include urine, wound, blood and </w:t>
      </w:r>
      <w:r w:rsidR="00D37110">
        <w:rPr>
          <w:rFonts w:cs="Arial"/>
          <w:bCs/>
          <w:szCs w:val="22"/>
        </w:rPr>
        <w:t>an</w:t>
      </w:r>
      <w:r>
        <w:rPr>
          <w:rFonts w:cs="Arial"/>
          <w:bCs/>
          <w:szCs w:val="22"/>
        </w:rPr>
        <w:t xml:space="preserve">other </w:t>
      </w:r>
      <w:r w:rsidR="00D37110">
        <w:rPr>
          <w:rFonts w:cs="Arial"/>
          <w:bCs/>
          <w:szCs w:val="22"/>
        </w:rPr>
        <w:t xml:space="preserve">category which includes </w:t>
      </w:r>
      <w:r>
        <w:rPr>
          <w:rFonts w:cs="Arial"/>
          <w:bCs/>
          <w:szCs w:val="22"/>
        </w:rPr>
        <w:t xml:space="preserve">genital </w:t>
      </w:r>
      <w:r w:rsidR="00D37110">
        <w:rPr>
          <w:rFonts w:cs="Arial"/>
          <w:bCs/>
          <w:szCs w:val="22"/>
        </w:rPr>
        <w:t xml:space="preserve">and </w:t>
      </w:r>
      <w:r>
        <w:rPr>
          <w:rFonts w:cs="Arial"/>
          <w:bCs/>
          <w:szCs w:val="22"/>
        </w:rPr>
        <w:t>respiratory specimens (Figure 6).</w:t>
      </w:r>
    </w:p>
    <w:p w:rsidR="000710F0" w:rsidRDefault="000710F0" w:rsidP="000710F0">
      <w:pPr>
        <w:spacing w:before="120"/>
        <w:rPr>
          <w:rFonts w:cs="Arial"/>
          <w:bCs/>
          <w:szCs w:val="22"/>
        </w:rPr>
      </w:pPr>
      <w:r>
        <w:rPr>
          <w:rFonts w:cs="Arial"/>
          <w:bCs/>
          <w:szCs w:val="22"/>
        </w:rPr>
        <w:t>Sixty</w:t>
      </w:r>
      <w:r w:rsidRPr="00FC78E0">
        <w:rPr>
          <w:rFonts w:cs="Arial"/>
          <w:bCs/>
          <w:szCs w:val="22"/>
        </w:rPr>
        <w:t xml:space="preserve"> </w:t>
      </w:r>
      <w:r w:rsidRPr="00C43854">
        <w:rPr>
          <w:rFonts w:cs="Arial"/>
          <w:bCs/>
          <w:szCs w:val="22"/>
        </w:rPr>
        <w:t>per</w:t>
      </w:r>
      <w:r w:rsidR="00D93729">
        <w:rPr>
          <w:rFonts w:cs="Arial"/>
          <w:bCs/>
          <w:szCs w:val="22"/>
        </w:rPr>
        <w:t xml:space="preserve"> </w:t>
      </w:r>
      <w:r w:rsidRPr="00C43854">
        <w:rPr>
          <w:rFonts w:cs="Arial"/>
          <w:bCs/>
          <w:szCs w:val="22"/>
        </w:rPr>
        <w:t xml:space="preserve">cent </w:t>
      </w:r>
      <w:r>
        <w:rPr>
          <w:rFonts w:cs="Arial"/>
          <w:bCs/>
          <w:szCs w:val="22"/>
        </w:rPr>
        <w:t>(266/440</w:t>
      </w:r>
      <w:r w:rsidRPr="00C43854">
        <w:rPr>
          <w:rFonts w:cs="Arial"/>
          <w:bCs/>
          <w:szCs w:val="22"/>
        </w:rPr>
        <w:t>)</w:t>
      </w:r>
      <w:r w:rsidRPr="00FC78E0">
        <w:rPr>
          <w:rFonts w:cs="Arial"/>
          <w:bCs/>
          <w:szCs w:val="22"/>
        </w:rPr>
        <w:t xml:space="preserve"> of CPE isolates were from clinical </w:t>
      </w:r>
      <w:r>
        <w:rPr>
          <w:rFonts w:cs="Arial"/>
          <w:bCs/>
          <w:szCs w:val="22"/>
        </w:rPr>
        <w:t xml:space="preserve">specimens; </w:t>
      </w:r>
      <w:r w:rsidRPr="00C43854">
        <w:rPr>
          <w:rFonts w:cs="Arial"/>
          <w:bCs/>
          <w:szCs w:val="22"/>
        </w:rPr>
        <w:t xml:space="preserve">61% </w:t>
      </w:r>
      <w:r>
        <w:rPr>
          <w:rFonts w:cs="Arial"/>
          <w:bCs/>
          <w:szCs w:val="22"/>
        </w:rPr>
        <w:t>(163</w:t>
      </w:r>
      <w:r w:rsidRPr="00C43854">
        <w:rPr>
          <w:rFonts w:cs="Arial"/>
          <w:bCs/>
          <w:szCs w:val="22"/>
        </w:rPr>
        <w:t>/</w:t>
      </w:r>
      <w:r>
        <w:rPr>
          <w:rFonts w:cs="Arial"/>
          <w:bCs/>
          <w:szCs w:val="22"/>
        </w:rPr>
        <w:t>266</w:t>
      </w:r>
      <w:r w:rsidRPr="00C43854">
        <w:rPr>
          <w:rFonts w:cs="Arial"/>
          <w:bCs/>
          <w:szCs w:val="22"/>
        </w:rPr>
        <w:t>)</w:t>
      </w:r>
      <w:r w:rsidRPr="00FC78E0">
        <w:rPr>
          <w:rFonts w:cs="Arial"/>
          <w:bCs/>
          <w:szCs w:val="22"/>
        </w:rPr>
        <w:t xml:space="preserve"> of these</w:t>
      </w:r>
      <w:r>
        <w:rPr>
          <w:rFonts w:cs="Arial"/>
          <w:bCs/>
          <w:szCs w:val="22"/>
        </w:rPr>
        <w:t xml:space="preserve"> were</w:t>
      </w:r>
      <w:r w:rsidRPr="00FC78E0">
        <w:rPr>
          <w:rFonts w:cs="Arial"/>
          <w:bCs/>
          <w:szCs w:val="22"/>
        </w:rPr>
        <w:t xml:space="preserve"> from urine, and </w:t>
      </w:r>
      <w:r>
        <w:rPr>
          <w:rFonts w:cs="Arial"/>
          <w:bCs/>
          <w:szCs w:val="22"/>
        </w:rPr>
        <w:t>7</w:t>
      </w:r>
      <w:r w:rsidRPr="00C43854">
        <w:rPr>
          <w:rFonts w:cs="Arial"/>
          <w:bCs/>
          <w:szCs w:val="22"/>
        </w:rPr>
        <w:t xml:space="preserve">% </w:t>
      </w:r>
      <w:r>
        <w:rPr>
          <w:rFonts w:cs="Arial"/>
          <w:bCs/>
          <w:szCs w:val="22"/>
        </w:rPr>
        <w:t>(23/266</w:t>
      </w:r>
      <w:r w:rsidRPr="00C43854">
        <w:rPr>
          <w:rFonts w:cs="Arial"/>
          <w:bCs/>
          <w:szCs w:val="22"/>
        </w:rPr>
        <w:t>)</w:t>
      </w:r>
      <w:r w:rsidRPr="00FC78E0">
        <w:rPr>
          <w:rFonts w:cs="Arial"/>
          <w:bCs/>
          <w:szCs w:val="22"/>
        </w:rPr>
        <w:t xml:space="preserve"> from blood cultures. Urine is an important specimen for certain CARs such as CPE and the urinary tract is a common site of infection.</w:t>
      </w:r>
      <w:r w:rsidRPr="00B15359">
        <w:rPr>
          <w:rFonts w:cs="Arial"/>
          <w:bCs/>
          <w:szCs w:val="22"/>
        </w:rPr>
        <w:t xml:space="preserve"> </w:t>
      </w:r>
      <w:r>
        <w:rPr>
          <w:rFonts w:cs="Arial"/>
          <w:bCs/>
          <w:szCs w:val="22"/>
        </w:rPr>
        <w:t>Other CARs reported from blood cultures include three</w:t>
      </w:r>
      <w:r w:rsidRPr="00FC78E0">
        <w:rPr>
          <w:rFonts w:cs="Arial"/>
          <w:bCs/>
          <w:szCs w:val="22"/>
        </w:rPr>
        <w:t xml:space="preserve"> daptomycin non-susceptible </w:t>
      </w:r>
      <w:r w:rsidRPr="00FC78E0">
        <w:rPr>
          <w:rFonts w:cs="Arial"/>
          <w:bCs/>
          <w:i/>
          <w:szCs w:val="22"/>
        </w:rPr>
        <w:t>S.</w:t>
      </w:r>
      <w:r>
        <w:rPr>
          <w:rFonts w:cs="Arial"/>
          <w:bCs/>
          <w:i/>
          <w:szCs w:val="22"/>
        </w:rPr>
        <w:t> </w:t>
      </w:r>
      <w:r w:rsidRPr="00FC78E0">
        <w:rPr>
          <w:rFonts w:cs="Arial"/>
          <w:bCs/>
          <w:i/>
          <w:szCs w:val="22"/>
        </w:rPr>
        <w:t>aureus</w:t>
      </w:r>
      <w:r>
        <w:rPr>
          <w:rFonts w:cs="Arial"/>
          <w:bCs/>
          <w:szCs w:val="22"/>
        </w:rPr>
        <w:t>, o</w:t>
      </w:r>
      <w:r w:rsidRPr="00C43854">
        <w:rPr>
          <w:rFonts w:cs="Arial"/>
          <w:bCs/>
          <w:szCs w:val="22"/>
        </w:rPr>
        <w:t>ne</w:t>
      </w:r>
      <w:r w:rsidRPr="00FC78E0">
        <w:rPr>
          <w:rFonts w:cs="Arial"/>
          <w:bCs/>
          <w:szCs w:val="22"/>
        </w:rPr>
        <w:t xml:space="preserve"> linezolid non-susceptible </w:t>
      </w:r>
      <w:r w:rsidRPr="00FC78E0">
        <w:rPr>
          <w:rFonts w:cs="Arial"/>
          <w:bCs/>
          <w:i/>
          <w:szCs w:val="22"/>
        </w:rPr>
        <w:t>E.</w:t>
      </w:r>
      <w:r>
        <w:rPr>
          <w:rFonts w:cs="Arial"/>
          <w:bCs/>
          <w:szCs w:val="22"/>
        </w:rPr>
        <w:t> </w:t>
      </w:r>
      <w:r w:rsidRPr="00FC78E0">
        <w:rPr>
          <w:rFonts w:cs="Arial"/>
          <w:bCs/>
          <w:i/>
          <w:szCs w:val="22"/>
        </w:rPr>
        <w:t>faecalis</w:t>
      </w:r>
      <w:r w:rsidRPr="00FC78E0">
        <w:rPr>
          <w:rFonts w:cs="Arial"/>
          <w:bCs/>
          <w:szCs w:val="22"/>
        </w:rPr>
        <w:t xml:space="preserve">, </w:t>
      </w:r>
      <w:r>
        <w:rPr>
          <w:rFonts w:cs="Arial"/>
          <w:bCs/>
          <w:szCs w:val="22"/>
        </w:rPr>
        <w:t xml:space="preserve">one ceftriaxone non-susceptible </w:t>
      </w:r>
      <w:r w:rsidRPr="00B15359">
        <w:rPr>
          <w:rFonts w:cs="Arial"/>
          <w:bCs/>
          <w:i/>
          <w:szCs w:val="22"/>
        </w:rPr>
        <w:t>Salmonella</w:t>
      </w:r>
      <w:r>
        <w:rPr>
          <w:rFonts w:cs="Arial"/>
          <w:bCs/>
          <w:szCs w:val="22"/>
        </w:rPr>
        <w:t xml:space="preserve"> species, and one ribosomal methyltransferase-producing </w:t>
      </w:r>
      <w:r w:rsidRPr="00B15359">
        <w:rPr>
          <w:rFonts w:cs="Arial"/>
          <w:bCs/>
          <w:i/>
          <w:szCs w:val="22"/>
        </w:rPr>
        <w:t>Enterobacteriaceae</w:t>
      </w:r>
      <w:r>
        <w:rPr>
          <w:rFonts w:cs="Arial"/>
          <w:bCs/>
          <w:szCs w:val="22"/>
        </w:rPr>
        <w:t>.</w:t>
      </w:r>
    </w:p>
    <w:p w:rsidR="008B2941" w:rsidRDefault="008B2941" w:rsidP="001236D6">
      <w:pPr>
        <w:rPr>
          <w:rFonts w:cs="Arial"/>
          <w:color w:val="000000"/>
          <w:szCs w:val="22"/>
        </w:rPr>
      </w:pPr>
    </w:p>
    <w:p w:rsidR="008B2941" w:rsidRPr="001C7F56" w:rsidRDefault="008B2941" w:rsidP="00AE718B">
      <w:pPr>
        <w:pStyle w:val="Caption"/>
        <w:keepNext/>
        <w:ind w:left="1134" w:hanging="1134"/>
        <w:rPr>
          <w:rFonts w:cs="Arial"/>
          <w:b/>
          <w:i w:val="0"/>
          <w:color w:val="auto"/>
        </w:rPr>
      </w:pPr>
      <w:r w:rsidRPr="001C7F56">
        <w:rPr>
          <w:rFonts w:cs="Arial"/>
          <w:b/>
          <w:i w:val="0"/>
          <w:color w:val="auto"/>
        </w:rPr>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A7F88">
        <w:rPr>
          <w:rFonts w:cs="Arial"/>
          <w:b/>
          <w:i w:val="0"/>
          <w:noProof/>
          <w:color w:val="auto"/>
        </w:rPr>
        <w:t>6</w:t>
      </w:r>
      <w:r w:rsidR="00B833F8" w:rsidRPr="001C7F56">
        <w:rPr>
          <w:rFonts w:cs="Arial"/>
          <w:b/>
          <w:i w:val="0"/>
          <w:color w:val="auto"/>
        </w:rPr>
        <w:fldChar w:fldCharType="end"/>
      </w:r>
      <w:r w:rsidR="00C74994">
        <w:rPr>
          <w:rFonts w:cs="Arial"/>
          <w:b/>
          <w:i w:val="0"/>
          <w:color w:val="auto"/>
        </w:rPr>
        <w:tab/>
      </w:r>
      <w:r w:rsidR="00D82482" w:rsidRPr="001C7F56">
        <w:rPr>
          <w:rFonts w:cs="Arial"/>
          <w:b/>
          <w:i w:val="0"/>
          <w:color w:val="auto"/>
        </w:rPr>
        <w:t>Critical antimicrobial resistances</w:t>
      </w:r>
      <w:r w:rsidR="00525CB7" w:rsidRPr="001C7F56">
        <w:rPr>
          <w:rFonts w:cs="Arial"/>
          <w:b/>
          <w:i w:val="0"/>
          <w:color w:val="auto"/>
        </w:rPr>
        <w:t>, number reported</w:t>
      </w:r>
      <w:r w:rsidR="00CB12AA" w:rsidRPr="001C7F56">
        <w:rPr>
          <w:rFonts w:cs="Arial"/>
          <w:b/>
          <w:i w:val="0"/>
          <w:color w:val="auto"/>
        </w:rPr>
        <w:t xml:space="preserve"> by specimen type, </w:t>
      </w:r>
      <w:r w:rsidR="000710F0">
        <w:rPr>
          <w:rFonts w:cs="Arial"/>
          <w:b/>
          <w:i w:val="0"/>
          <w:color w:val="auto"/>
        </w:rPr>
        <w:t xml:space="preserve">17 </w:t>
      </w:r>
      <w:r w:rsidR="00CB12AA" w:rsidRPr="001C7F56">
        <w:rPr>
          <w:rFonts w:cs="Arial"/>
          <w:b/>
          <w:i w:val="0"/>
          <w:color w:val="auto"/>
        </w:rPr>
        <w:t>March</w:t>
      </w:r>
      <w:r w:rsidR="000710F0">
        <w:rPr>
          <w:rFonts w:cs="Arial"/>
          <w:b/>
          <w:i w:val="0"/>
          <w:color w:val="auto"/>
        </w:rPr>
        <w:t xml:space="preserve"> 2016</w:t>
      </w:r>
      <w:r w:rsidR="00CB12AA" w:rsidRPr="001C7F56">
        <w:rPr>
          <w:rFonts w:cs="Arial"/>
          <w:b/>
          <w:i w:val="0"/>
          <w:color w:val="auto"/>
        </w:rPr>
        <w:t>–</w:t>
      </w:r>
      <w:r w:rsidR="000710F0">
        <w:rPr>
          <w:rFonts w:cs="Arial"/>
          <w:b/>
          <w:i w:val="0"/>
          <w:color w:val="auto"/>
        </w:rPr>
        <w:t>31 March 2017</w:t>
      </w:r>
    </w:p>
    <w:p w:rsidR="008B2941" w:rsidRDefault="00C4402E" w:rsidP="001236D6">
      <w:pPr>
        <w:rPr>
          <w:rFonts w:cs="Arial"/>
          <w:color w:val="000000"/>
          <w:szCs w:val="22"/>
        </w:rPr>
      </w:pPr>
      <w:r>
        <w:rPr>
          <w:rFonts w:cs="Arial"/>
          <w:noProof/>
          <w:color w:val="000000"/>
          <w:szCs w:val="22"/>
          <w:lang w:eastAsia="en-AU"/>
        </w:rPr>
        <w:drawing>
          <wp:inline distT="0" distB="0" distL="0" distR="0" wp14:anchorId="20D305A6">
            <wp:extent cx="6096635" cy="3469005"/>
            <wp:effectExtent l="0" t="0" r="0" b="0"/>
            <wp:docPr id="31" name="Picture 31" descr="This figure shows Critical antimicrobial resistances, number reported by specimen type, 17 March 2016–31 March 2017" title="Figure 6 Critical antimicrobial resistances, number reported by specimen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635" cy="3469005"/>
                    </a:xfrm>
                    <a:prstGeom prst="rect">
                      <a:avLst/>
                    </a:prstGeom>
                    <a:noFill/>
                  </pic:spPr>
                </pic:pic>
              </a:graphicData>
            </a:graphic>
          </wp:inline>
        </w:drawing>
      </w:r>
    </w:p>
    <w:p w:rsidR="006807E8" w:rsidRPr="00032E45" w:rsidRDefault="00C74994" w:rsidP="006807E8">
      <w:pPr>
        <w:spacing w:before="120"/>
        <w:rPr>
          <w:rFonts w:cs="Arial"/>
          <w:color w:val="000000"/>
          <w:sz w:val="16"/>
          <w:szCs w:val="20"/>
        </w:rPr>
      </w:pPr>
      <w:r>
        <w:rPr>
          <w:rFonts w:cs="Arial"/>
          <w:color w:val="000000"/>
          <w:sz w:val="16"/>
          <w:szCs w:val="20"/>
        </w:rPr>
        <w:t>Other specimen type: n</w:t>
      </w:r>
      <w:r w:rsidR="00642642">
        <w:rPr>
          <w:rFonts w:cs="Arial"/>
          <w:color w:val="000000"/>
          <w:sz w:val="16"/>
          <w:szCs w:val="20"/>
        </w:rPr>
        <w:t>ot</w:t>
      </w:r>
      <w:r>
        <w:rPr>
          <w:rFonts w:cs="Arial"/>
          <w:color w:val="000000"/>
          <w:sz w:val="16"/>
          <w:szCs w:val="20"/>
        </w:rPr>
        <w:t xml:space="preserve"> </w:t>
      </w:r>
      <w:r w:rsidR="006807E8">
        <w:rPr>
          <w:rFonts w:cs="Arial"/>
          <w:color w:val="000000"/>
          <w:sz w:val="16"/>
          <w:szCs w:val="20"/>
        </w:rPr>
        <w:t>urine, wound, or blood (</w:t>
      </w:r>
      <w:r>
        <w:rPr>
          <w:rFonts w:cs="Arial"/>
          <w:color w:val="000000"/>
          <w:sz w:val="16"/>
          <w:szCs w:val="20"/>
        </w:rPr>
        <w:t>for example,</w:t>
      </w:r>
      <w:r w:rsidR="006807E8">
        <w:rPr>
          <w:rFonts w:cs="Arial"/>
          <w:color w:val="000000"/>
          <w:sz w:val="16"/>
          <w:szCs w:val="20"/>
        </w:rPr>
        <w:t xml:space="preserve"> genital, faecal, respiratory)</w:t>
      </w:r>
    </w:p>
    <w:p w:rsidR="000710F0" w:rsidRPr="0065116F" w:rsidRDefault="000710F0" w:rsidP="000710F0">
      <w:pPr>
        <w:spacing w:before="240"/>
        <w:rPr>
          <w:rStyle w:val="IntenseReference"/>
          <w:rFonts w:cs="Arial"/>
          <w:b w:val="0"/>
          <w:bCs w:val="0"/>
          <w:i w:val="0"/>
          <w:smallCaps w:val="0"/>
          <w:color w:val="auto"/>
          <w:spacing w:val="0"/>
          <w:sz w:val="14"/>
          <w:szCs w:val="22"/>
        </w:rPr>
      </w:pPr>
      <w:r w:rsidRPr="007555B3">
        <w:rPr>
          <w:rStyle w:val="IntenseReference"/>
          <w:rFonts w:cs="Arial"/>
          <w:b w:val="0"/>
          <w:bCs w:val="0"/>
          <w:i w:val="0"/>
          <w:smallCaps w:val="0"/>
          <w:color w:val="auto"/>
          <w:spacing w:val="0"/>
          <w:sz w:val="14"/>
          <w:szCs w:val="22"/>
        </w:rPr>
        <w:t xml:space="preserve">CPE = </w:t>
      </w:r>
      <w:r>
        <w:rPr>
          <w:rStyle w:val="IntenseReference"/>
          <w:rFonts w:cs="Arial"/>
          <w:b w:val="0"/>
          <w:bCs w:val="0"/>
          <w:i w:val="0"/>
          <w:smallCaps w:val="0"/>
          <w:color w:val="auto"/>
          <w:spacing w:val="0"/>
          <w:sz w:val="14"/>
          <w:szCs w:val="22"/>
        </w:rPr>
        <w:t>carbapenemase-producing-</w:t>
      </w:r>
      <w:r w:rsidRPr="00661532">
        <w:rPr>
          <w:rStyle w:val="IntenseReference"/>
          <w:rFonts w:cs="Arial"/>
          <w:b w:val="0"/>
          <w:bCs w:val="0"/>
          <w:i w:val="0"/>
          <w:smallCaps w:val="0"/>
          <w:color w:val="auto"/>
          <w:spacing w:val="0"/>
          <w:sz w:val="14"/>
          <w:szCs w:val="22"/>
        </w:rPr>
        <w:t>Enterobacteriaceae</w:t>
      </w:r>
      <w:r>
        <w:rPr>
          <w:rStyle w:val="IntenseReference"/>
          <w:rFonts w:cs="Arial"/>
          <w:b w:val="0"/>
          <w:bCs w:val="0"/>
          <w:i w:val="0"/>
          <w:smallCaps w:val="0"/>
          <w:color w:val="auto"/>
          <w:spacing w:val="0"/>
          <w:sz w:val="14"/>
          <w:szCs w:val="22"/>
        </w:rPr>
        <w:t>; RMT = ribosomal methyltransferase-</w:t>
      </w:r>
      <w:r w:rsidRPr="007555B3">
        <w:rPr>
          <w:rStyle w:val="IntenseReference"/>
          <w:rFonts w:cs="Arial"/>
          <w:b w:val="0"/>
          <w:bCs w:val="0"/>
          <w:i w:val="0"/>
          <w:smallCaps w:val="0"/>
          <w:color w:val="auto"/>
          <w:spacing w:val="0"/>
          <w:sz w:val="14"/>
          <w:szCs w:val="22"/>
        </w:rPr>
        <w:t xml:space="preserve">producing </w:t>
      </w:r>
      <w:r w:rsidRPr="00661532">
        <w:rPr>
          <w:rStyle w:val="IntenseReference"/>
          <w:rFonts w:cs="Arial"/>
          <w:b w:val="0"/>
          <w:bCs w:val="0"/>
          <w:i w:val="0"/>
          <w:smallCaps w:val="0"/>
          <w:color w:val="auto"/>
          <w:spacing w:val="0"/>
          <w:sz w:val="14"/>
          <w:szCs w:val="22"/>
        </w:rPr>
        <w:t>Enterobacteriaceae</w:t>
      </w:r>
      <w:r w:rsidRPr="007555B3">
        <w:rPr>
          <w:rStyle w:val="IntenseReference"/>
          <w:rFonts w:cs="Arial"/>
          <w:b w:val="0"/>
          <w:bCs w:val="0"/>
          <w:i w:val="0"/>
          <w:smallCaps w:val="0"/>
          <w:color w:val="auto"/>
          <w:spacing w:val="0"/>
          <w:sz w:val="14"/>
          <w:szCs w:val="22"/>
        </w:rPr>
        <w:t>; CPE+RMT = carbapenemase</w:t>
      </w:r>
      <w:r>
        <w:rPr>
          <w:rStyle w:val="IntenseReference"/>
          <w:rFonts w:cs="Arial"/>
          <w:b w:val="0"/>
          <w:bCs w:val="0"/>
          <w:i w:val="0"/>
          <w:smallCaps w:val="0"/>
          <w:color w:val="auto"/>
          <w:spacing w:val="0"/>
          <w:sz w:val="14"/>
          <w:szCs w:val="22"/>
        </w:rPr>
        <w:t>- and ribosomal methyltransferase-</w:t>
      </w:r>
      <w:r w:rsidRPr="007555B3">
        <w:rPr>
          <w:rStyle w:val="IntenseReference"/>
          <w:rFonts w:cs="Arial"/>
          <w:b w:val="0"/>
          <w:bCs w:val="0"/>
          <w:i w:val="0"/>
          <w:smallCaps w:val="0"/>
          <w:color w:val="auto"/>
          <w:spacing w:val="0"/>
          <w:sz w:val="14"/>
          <w:szCs w:val="22"/>
        </w:rPr>
        <w:t xml:space="preserve">producing </w:t>
      </w:r>
      <w:r w:rsidRPr="00661532">
        <w:rPr>
          <w:rStyle w:val="IntenseReference"/>
          <w:rFonts w:cs="Arial"/>
          <w:b w:val="0"/>
          <w:bCs w:val="0"/>
          <w:i w:val="0"/>
          <w:smallCaps w:val="0"/>
          <w:color w:val="auto"/>
          <w:spacing w:val="0"/>
          <w:sz w:val="14"/>
          <w:szCs w:val="22"/>
        </w:rPr>
        <w:t>Enterobacteriaceae</w:t>
      </w:r>
      <w:r w:rsidRPr="007555B3">
        <w:rPr>
          <w:rStyle w:val="IntenseReference"/>
          <w:rFonts w:cs="Arial"/>
          <w:b w:val="0"/>
          <w:bCs w:val="0"/>
          <w:i w:val="0"/>
          <w:smallCaps w:val="0"/>
          <w:color w:val="auto"/>
          <w:spacing w:val="0"/>
          <w:sz w:val="14"/>
          <w:szCs w:val="22"/>
        </w:rPr>
        <w:t>; LNZ</w:t>
      </w:r>
      <w:r>
        <w:rPr>
          <w:rStyle w:val="IntenseReference"/>
          <w:rFonts w:cs="Arial"/>
          <w:b w:val="0"/>
          <w:bCs w:val="0"/>
          <w:i w:val="0"/>
          <w:smallCaps w:val="0"/>
          <w:color w:val="auto"/>
          <w:spacing w:val="0"/>
          <w:sz w:val="14"/>
          <w:szCs w:val="22"/>
        </w:rPr>
        <w:t xml:space="preserve"> ENTE</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l</w:t>
      </w:r>
      <w:r w:rsidRPr="007555B3">
        <w:rPr>
          <w:rStyle w:val="IntenseReference"/>
          <w:rFonts w:cs="Arial"/>
          <w:b w:val="0"/>
          <w:bCs w:val="0"/>
          <w:i w:val="0"/>
          <w:smallCaps w:val="0"/>
          <w:color w:val="auto"/>
          <w:spacing w:val="0"/>
          <w:sz w:val="14"/>
          <w:szCs w:val="22"/>
        </w:rPr>
        <w:t xml:space="preserve">inezolid non-susceptible </w:t>
      </w:r>
      <w:r w:rsidRPr="007555B3">
        <w:rPr>
          <w:rStyle w:val="IntenseReference"/>
          <w:rFonts w:cs="Arial"/>
          <w:b w:val="0"/>
          <w:bCs w:val="0"/>
          <w:smallCaps w:val="0"/>
          <w:color w:val="auto"/>
          <w:spacing w:val="0"/>
          <w:sz w:val="14"/>
          <w:szCs w:val="22"/>
        </w:rPr>
        <w:t>Enterococcus</w:t>
      </w:r>
      <w:r w:rsidR="00AA44FB">
        <w:rPr>
          <w:rStyle w:val="IntenseReference"/>
          <w:rFonts w:cs="Arial"/>
          <w:b w:val="0"/>
          <w:bCs w:val="0"/>
          <w:i w:val="0"/>
          <w:smallCaps w:val="0"/>
          <w:color w:val="auto"/>
          <w:spacing w:val="0"/>
          <w:sz w:val="14"/>
          <w:szCs w:val="22"/>
        </w:rPr>
        <w:t xml:space="preserve"> species; AZI LLR</w:t>
      </w:r>
      <w:r w:rsidRPr="007555B3">
        <w:rPr>
          <w:rStyle w:val="IntenseReference"/>
          <w:rFonts w:cs="Arial"/>
          <w:b w:val="0"/>
          <w:bCs w:val="0"/>
          <w:i w:val="0"/>
          <w:smallCaps w:val="0"/>
          <w:color w:val="auto"/>
          <w:spacing w:val="0"/>
          <w:sz w:val="14"/>
          <w:szCs w:val="22"/>
        </w:rPr>
        <w:t xml:space="preserve"> = azithromycin</w:t>
      </w:r>
      <w:r>
        <w:rPr>
          <w:rStyle w:val="IntenseReference"/>
          <w:rFonts w:cs="Arial"/>
          <w:b w:val="0"/>
          <w:bCs w:val="0"/>
          <w:i w:val="0"/>
          <w:smallCaps w:val="0"/>
          <w:color w:val="auto"/>
          <w:spacing w:val="0"/>
          <w:sz w:val="14"/>
          <w:szCs w:val="22"/>
        </w:rPr>
        <w:t xml:space="preserve"> resistant</w:t>
      </w:r>
      <w:r w:rsidR="00C74994">
        <w:rPr>
          <w:rStyle w:val="IntenseReference"/>
          <w:rFonts w:cs="Arial"/>
          <w:b w:val="0"/>
          <w:bCs w:val="0"/>
          <w:i w:val="0"/>
          <w:smallCaps w:val="0"/>
          <w:color w:val="auto"/>
          <w:spacing w:val="0"/>
          <w:sz w:val="14"/>
          <w:szCs w:val="22"/>
        </w:rPr>
        <w:t>, low level resistance</w:t>
      </w:r>
      <w:r w:rsidRPr="007555B3">
        <w:rPr>
          <w:rStyle w:val="IntenseReference"/>
          <w:rFonts w:cs="Arial"/>
          <w:b w:val="0"/>
          <w:bCs w:val="0"/>
          <w:i w:val="0"/>
          <w:smallCaps w:val="0"/>
          <w:color w:val="auto"/>
          <w:spacing w:val="0"/>
          <w:sz w:val="14"/>
          <w:szCs w:val="22"/>
        </w:rPr>
        <w:t xml:space="preserve"> (LLR, MIC &lt; 256 mg/L) </w:t>
      </w:r>
      <w:r w:rsidRPr="007555B3">
        <w:rPr>
          <w:rStyle w:val="IntenseReference"/>
          <w:rFonts w:cs="Arial"/>
          <w:b w:val="0"/>
          <w:bCs w:val="0"/>
          <w:smallCaps w:val="0"/>
          <w:color w:val="auto"/>
          <w:spacing w:val="0"/>
          <w:sz w:val="14"/>
          <w:szCs w:val="22"/>
        </w:rPr>
        <w:t>Neisseria gonorrhoeae</w:t>
      </w:r>
      <w:r>
        <w:rPr>
          <w:rStyle w:val="IntenseReference"/>
          <w:rFonts w:cs="Arial"/>
          <w:b w:val="0"/>
          <w:bCs w:val="0"/>
          <w:i w:val="0"/>
          <w:smallCaps w:val="0"/>
          <w:color w:val="auto"/>
          <w:spacing w:val="0"/>
          <w:sz w:val="14"/>
          <w:szCs w:val="22"/>
        </w:rPr>
        <w:t xml:space="preserve">; </w:t>
      </w:r>
      <w:r w:rsidR="00AA44FB">
        <w:rPr>
          <w:rStyle w:val="IntenseReference"/>
          <w:rFonts w:cs="Arial"/>
          <w:b w:val="0"/>
          <w:bCs w:val="0"/>
          <w:i w:val="0"/>
          <w:smallCaps w:val="0"/>
          <w:color w:val="auto"/>
          <w:spacing w:val="0"/>
          <w:sz w:val="14"/>
          <w:szCs w:val="22"/>
        </w:rPr>
        <w:t>AZI HLR</w:t>
      </w:r>
      <w:r w:rsidRPr="007555B3">
        <w:rPr>
          <w:rStyle w:val="IntenseReference"/>
          <w:rFonts w:cs="Arial"/>
          <w:b w:val="0"/>
          <w:bCs w:val="0"/>
          <w:i w:val="0"/>
          <w:smallCaps w:val="0"/>
          <w:color w:val="auto"/>
          <w:spacing w:val="0"/>
          <w:sz w:val="14"/>
          <w:szCs w:val="22"/>
        </w:rPr>
        <w:t xml:space="preserve"> = azithromycin</w:t>
      </w:r>
      <w:r>
        <w:rPr>
          <w:rStyle w:val="IntenseReference"/>
          <w:rFonts w:cs="Arial"/>
          <w:b w:val="0"/>
          <w:bCs w:val="0"/>
          <w:i w:val="0"/>
          <w:smallCaps w:val="0"/>
          <w:color w:val="auto"/>
          <w:spacing w:val="0"/>
          <w:sz w:val="14"/>
          <w:szCs w:val="22"/>
        </w:rPr>
        <w:t xml:space="preserve"> resistant</w:t>
      </w:r>
      <w:r w:rsidR="00C74994">
        <w:rPr>
          <w:rStyle w:val="IntenseReference"/>
          <w:rFonts w:cs="Arial"/>
          <w:b w:val="0"/>
          <w:bCs w:val="0"/>
          <w:i w:val="0"/>
          <w:smallCaps w:val="0"/>
          <w:color w:val="auto"/>
          <w:spacing w:val="0"/>
          <w:sz w:val="14"/>
          <w:szCs w:val="22"/>
        </w:rPr>
        <w:t>, high level resistance</w:t>
      </w:r>
      <w:r w:rsidRPr="007555B3">
        <w:rPr>
          <w:rStyle w:val="IntenseReference"/>
          <w:rFonts w:cs="Arial"/>
          <w:b w:val="0"/>
          <w:bCs w:val="0"/>
          <w:i w:val="0"/>
          <w:smallCaps w:val="0"/>
          <w:color w:val="auto"/>
          <w:spacing w:val="0"/>
          <w:sz w:val="14"/>
          <w:szCs w:val="22"/>
        </w:rPr>
        <w:t xml:space="preserve"> (HLR, MIC &gt; 256 mg/L) </w:t>
      </w:r>
      <w:r w:rsidRPr="007555B3">
        <w:rPr>
          <w:rStyle w:val="IntenseReference"/>
          <w:rFonts w:cs="Arial"/>
          <w:b w:val="0"/>
          <w:bCs w:val="0"/>
          <w:smallCaps w:val="0"/>
          <w:color w:val="auto"/>
          <w:spacing w:val="0"/>
          <w:sz w:val="14"/>
          <w:szCs w:val="22"/>
        </w:rPr>
        <w:t>Neisseria gonorrhoeae</w:t>
      </w:r>
      <w:r w:rsidRPr="007555B3">
        <w:rPr>
          <w:rStyle w:val="IntenseReference"/>
          <w:rFonts w:cs="Arial"/>
          <w:b w:val="0"/>
          <w:bCs w:val="0"/>
          <w:i w:val="0"/>
          <w:smallCaps w:val="0"/>
          <w:color w:val="auto"/>
          <w:spacing w:val="0"/>
          <w:sz w:val="14"/>
          <w:szCs w:val="22"/>
        </w:rPr>
        <w:t>; CTR</w:t>
      </w:r>
      <w:r>
        <w:rPr>
          <w:rStyle w:val="IntenseReference"/>
          <w:rFonts w:cs="Arial"/>
          <w:b w:val="0"/>
          <w:bCs w:val="0"/>
          <w:i w:val="0"/>
          <w:smallCaps w:val="0"/>
          <w:color w:val="auto"/>
          <w:spacing w:val="0"/>
          <w:sz w:val="14"/>
          <w:szCs w:val="22"/>
        </w:rPr>
        <w:t xml:space="preserve"> NGON</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Neisseria gonorrhoeae</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DAP</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d</w:t>
      </w:r>
      <w:r w:rsidRPr="007555B3">
        <w:rPr>
          <w:rStyle w:val="IntenseReference"/>
          <w:rFonts w:cs="Arial"/>
          <w:b w:val="0"/>
          <w:bCs w:val="0"/>
          <w:i w:val="0"/>
          <w:smallCaps w:val="0"/>
          <w:color w:val="auto"/>
          <w:spacing w:val="0"/>
          <w:sz w:val="14"/>
          <w:szCs w:val="22"/>
        </w:rPr>
        <w:t xml:space="preserve">aptomycin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VAN</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v</w:t>
      </w:r>
      <w:r w:rsidRPr="007555B3">
        <w:rPr>
          <w:rStyle w:val="IntenseReference"/>
          <w:rFonts w:cs="Arial"/>
          <w:b w:val="0"/>
          <w:bCs w:val="0"/>
          <w:i w:val="0"/>
          <w:smallCaps w:val="0"/>
          <w:color w:val="auto"/>
          <w:spacing w:val="0"/>
          <w:sz w:val="14"/>
          <w:szCs w:val="22"/>
        </w:rPr>
        <w:t xml:space="preserve">ancomycin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CTR</w:t>
      </w:r>
      <w:r>
        <w:rPr>
          <w:rStyle w:val="IntenseReference"/>
          <w:rFonts w:cs="Arial"/>
          <w:b w:val="0"/>
          <w:bCs w:val="0"/>
          <w:i w:val="0"/>
          <w:smallCaps w:val="0"/>
          <w:color w:val="auto"/>
          <w:spacing w:val="0"/>
          <w:sz w:val="14"/>
          <w:szCs w:val="22"/>
        </w:rPr>
        <w:t xml:space="preserve"> SALM</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Salmonella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SHIG = multidrug-resistant</w:t>
      </w:r>
      <w:r w:rsidRPr="007555B3">
        <w:rPr>
          <w:rStyle w:val="IntenseReference"/>
          <w:rFonts w:cs="Arial"/>
          <w:b w:val="0"/>
          <w:bCs w:val="0"/>
          <w:i w:val="0"/>
          <w:smallCaps w:val="0"/>
          <w:color w:val="auto"/>
          <w:spacing w:val="0"/>
          <w:sz w:val="14"/>
          <w:szCs w:val="22"/>
        </w:rPr>
        <w:t xml:space="preserve"> </w:t>
      </w:r>
      <w:r w:rsidRPr="007555B3">
        <w:rPr>
          <w:rStyle w:val="IntenseReference"/>
          <w:rFonts w:cs="Arial"/>
          <w:b w:val="0"/>
          <w:bCs w:val="0"/>
          <w:smallCaps w:val="0"/>
          <w:color w:val="auto"/>
          <w:spacing w:val="0"/>
          <w:sz w:val="14"/>
          <w:szCs w:val="22"/>
        </w:rPr>
        <w:t>Shigella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MTB = multidrug-resistant</w:t>
      </w:r>
      <w:r w:rsidRPr="007555B3">
        <w:rPr>
          <w:rStyle w:val="IntenseReference"/>
          <w:rFonts w:cs="Arial"/>
          <w:b w:val="0"/>
          <w:bCs w:val="0"/>
          <w:i w:val="0"/>
          <w:smallCaps w:val="0"/>
          <w:color w:val="auto"/>
          <w:spacing w:val="0"/>
          <w:sz w:val="14"/>
          <w:szCs w:val="22"/>
        </w:rPr>
        <w:t xml:space="preserve"> </w:t>
      </w:r>
      <w:r w:rsidRPr="001E17F1">
        <w:rPr>
          <w:rStyle w:val="IntenseReference"/>
          <w:rFonts w:cs="Arial"/>
          <w:b w:val="0"/>
          <w:bCs w:val="0"/>
          <w:smallCaps w:val="0"/>
          <w:color w:val="auto"/>
          <w:spacing w:val="0"/>
          <w:sz w:val="14"/>
          <w:szCs w:val="22"/>
        </w:rPr>
        <w:t>Mycobacterium tuberculosis</w:t>
      </w:r>
    </w:p>
    <w:p w:rsidR="001236D6" w:rsidRPr="001236D6" w:rsidRDefault="001236D6" w:rsidP="001236D6">
      <w:pPr>
        <w:rPr>
          <w:rFonts w:ascii="Tahoma" w:hAnsi="Tahoma" w:cs="Tahoma"/>
          <w:color w:val="000000"/>
          <w:sz w:val="20"/>
          <w:szCs w:val="20"/>
        </w:rPr>
      </w:pPr>
    </w:p>
    <w:p w:rsidR="005A73F7" w:rsidRDefault="005A73F7">
      <w:pPr>
        <w:rPr>
          <w:rFonts w:cs="Arial"/>
          <w:b/>
          <w:szCs w:val="22"/>
        </w:rPr>
      </w:pPr>
      <w:r>
        <w:rPr>
          <w:rFonts w:cs="Arial"/>
          <w:b/>
          <w:szCs w:val="22"/>
        </w:rPr>
        <w:br w:type="page"/>
      </w:r>
    </w:p>
    <w:p w:rsidR="00042D58" w:rsidRPr="00C74994" w:rsidRDefault="00353CFE" w:rsidP="00164D03">
      <w:pPr>
        <w:pStyle w:val="Heading2"/>
        <w:spacing w:after="240"/>
        <w:rPr>
          <w:i w:val="0"/>
          <w:color w:val="AA610D" w:themeColor="accent1" w:themeShade="BF"/>
          <w:sz w:val="28"/>
        </w:rPr>
      </w:pPr>
      <w:bookmarkStart w:id="8" w:name="_Toc486425620"/>
      <w:r w:rsidRPr="00C74994">
        <w:rPr>
          <w:i w:val="0"/>
          <w:color w:val="AA610D" w:themeColor="accent1" w:themeShade="BF"/>
          <w:sz w:val="28"/>
        </w:rPr>
        <w:lastRenderedPageBreak/>
        <w:t xml:space="preserve">Critical </w:t>
      </w:r>
      <w:r w:rsidR="00C258BF" w:rsidRPr="00C74994">
        <w:rPr>
          <w:i w:val="0"/>
          <w:color w:val="AA610D" w:themeColor="accent1" w:themeShade="BF"/>
          <w:sz w:val="28"/>
        </w:rPr>
        <w:t>a</w:t>
      </w:r>
      <w:r w:rsidRPr="00C74994">
        <w:rPr>
          <w:i w:val="0"/>
          <w:color w:val="AA610D" w:themeColor="accent1" w:themeShade="BF"/>
          <w:sz w:val="28"/>
        </w:rPr>
        <w:t xml:space="preserve">ntimicrobial </w:t>
      </w:r>
      <w:r w:rsidR="00C258BF" w:rsidRPr="00C74994">
        <w:rPr>
          <w:i w:val="0"/>
          <w:color w:val="AA610D" w:themeColor="accent1" w:themeShade="BF"/>
          <w:sz w:val="28"/>
        </w:rPr>
        <w:t>r</w:t>
      </w:r>
      <w:r w:rsidRPr="00C74994">
        <w:rPr>
          <w:i w:val="0"/>
          <w:color w:val="AA610D" w:themeColor="accent1" w:themeShade="BF"/>
          <w:sz w:val="28"/>
        </w:rPr>
        <w:t>esistance</w:t>
      </w:r>
      <w:r w:rsidR="00761C5A" w:rsidRPr="00C74994">
        <w:rPr>
          <w:i w:val="0"/>
          <w:color w:val="AA610D" w:themeColor="accent1" w:themeShade="BF"/>
          <w:sz w:val="28"/>
        </w:rPr>
        <w:t>s</w:t>
      </w:r>
      <w:r w:rsidR="00042D58" w:rsidRPr="00C74994">
        <w:rPr>
          <w:i w:val="0"/>
          <w:color w:val="AA610D" w:themeColor="accent1" w:themeShade="BF"/>
          <w:sz w:val="28"/>
        </w:rPr>
        <w:t xml:space="preserve"> by </w:t>
      </w:r>
      <w:r w:rsidRPr="00C74994">
        <w:rPr>
          <w:i w:val="0"/>
          <w:color w:val="AA610D" w:themeColor="accent1" w:themeShade="BF"/>
          <w:sz w:val="28"/>
        </w:rPr>
        <w:t>facility t</w:t>
      </w:r>
      <w:r w:rsidR="0099677D" w:rsidRPr="00C74994">
        <w:rPr>
          <w:i w:val="0"/>
          <w:color w:val="AA610D" w:themeColor="accent1" w:themeShade="BF"/>
          <w:sz w:val="28"/>
        </w:rPr>
        <w:t>ype</w:t>
      </w:r>
      <w:bookmarkEnd w:id="8"/>
    </w:p>
    <w:p w:rsidR="000710F0" w:rsidRDefault="000710F0" w:rsidP="000710F0">
      <w:pPr>
        <w:spacing w:before="120"/>
        <w:rPr>
          <w:rFonts w:cs="Arial"/>
          <w:bCs/>
          <w:szCs w:val="22"/>
        </w:rPr>
      </w:pPr>
      <w:r>
        <w:rPr>
          <w:rFonts w:cs="Arial"/>
          <w:bCs/>
          <w:szCs w:val="22"/>
        </w:rPr>
        <w:t xml:space="preserve">While most CARs were detected in either </w:t>
      </w:r>
      <w:r w:rsidRPr="00110B50">
        <w:rPr>
          <w:rFonts w:cs="Arial"/>
          <w:bCs/>
          <w:szCs w:val="22"/>
        </w:rPr>
        <w:t xml:space="preserve">hospitalised patients or hospital outpatients </w:t>
      </w:r>
      <w:r w:rsidRPr="00E30878">
        <w:rPr>
          <w:rFonts w:cs="Arial"/>
          <w:bCs/>
          <w:szCs w:val="22"/>
        </w:rPr>
        <w:t xml:space="preserve">(50%, 537/1,064), some were found in the community (37%, </w:t>
      </w:r>
      <w:r w:rsidR="002F770D">
        <w:rPr>
          <w:rFonts w:cs="Arial"/>
          <w:bCs/>
          <w:szCs w:val="22"/>
        </w:rPr>
        <w:t>393</w:t>
      </w:r>
      <w:r w:rsidRPr="00E30878">
        <w:rPr>
          <w:rFonts w:cs="Arial"/>
          <w:bCs/>
          <w:szCs w:val="22"/>
        </w:rPr>
        <w:t>/1,064)</w:t>
      </w:r>
      <w:r>
        <w:rPr>
          <w:rFonts w:cs="Arial"/>
          <w:bCs/>
          <w:szCs w:val="22"/>
        </w:rPr>
        <w:t xml:space="preserve"> and in aged care homes – see Figure 7. Facility type for azithromycin-resistant </w:t>
      </w:r>
      <w:r w:rsidRPr="000F2B97">
        <w:rPr>
          <w:rFonts w:cs="Arial"/>
          <w:bCs/>
          <w:i/>
          <w:szCs w:val="22"/>
        </w:rPr>
        <w:t>N. gonorrhoeae</w:t>
      </w:r>
      <w:r>
        <w:rPr>
          <w:rFonts w:cs="Arial"/>
          <w:bCs/>
          <w:szCs w:val="22"/>
        </w:rPr>
        <w:t xml:space="preserve"> was difficult to obtain as most isolates are referred to a public health laboratory for confirmation, and as such may reflect the facility from which the isolate was sent rather than the facility that the patient attended.</w:t>
      </w:r>
    </w:p>
    <w:p w:rsidR="006807E8" w:rsidRDefault="006807E8" w:rsidP="00032E45">
      <w:pPr>
        <w:spacing w:before="120"/>
        <w:rPr>
          <w:rFonts w:cs="Arial"/>
          <w:bCs/>
          <w:szCs w:val="22"/>
        </w:rPr>
      </w:pPr>
    </w:p>
    <w:p w:rsidR="00294EAB" w:rsidRDefault="00294EAB" w:rsidP="00AE718B">
      <w:pPr>
        <w:pStyle w:val="Caption"/>
        <w:keepNext/>
        <w:ind w:left="1134" w:hanging="1134"/>
        <w:rPr>
          <w:rFonts w:cs="Arial"/>
          <w:b/>
          <w:i w:val="0"/>
          <w:color w:val="auto"/>
        </w:rPr>
      </w:pPr>
      <w:r w:rsidRPr="001C7F56">
        <w:rPr>
          <w:rFonts w:cs="Arial"/>
          <w:b/>
          <w:i w:val="0"/>
          <w:color w:val="auto"/>
        </w:rPr>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A7F88">
        <w:rPr>
          <w:rFonts w:cs="Arial"/>
          <w:b/>
          <w:i w:val="0"/>
          <w:noProof/>
          <w:color w:val="auto"/>
        </w:rPr>
        <w:t>7</w:t>
      </w:r>
      <w:r w:rsidR="00B833F8" w:rsidRPr="001C7F56">
        <w:rPr>
          <w:rFonts w:cs="Arial"/>
          <w:b/>
          <w:i w:val="0"/>
          <w:color w:val="auto"/>
        </w:rPr>
        <w:fldChar w:fldCharType="end"/>
      </w:r>
      <w:r w:rsidR="00C74994">
        <w:rPr>
          <w:rFonts w:cs="Arial"/>
          <w:b/>
          <w:i w:val="0"/>
          <w:color w:val="auto"/>
        </w:rPr>
        <w:tab/>
      </w:r>
      <w:r w:rsidR="00D82482" w:rsidRPr="001C7F56">
        <w:rPr>
          <w:rFonts w:cs="Arial"/>
          <w:b/>
          <w:i w:val="0"/>
          <w:color w:val="auto"/>
        </w:rPr>
        <w:t>Critical antimicrobial resistances</w:t>
      </w:r>
      <w:r w:rsidR="00525CB7" w:rsidRPr="001C7F56">
        <w:rPr>
          <w:rFonts w:cs="Arial"/>
          <w:b/>
          <w:i w:val="0"/>
          <w:color w:val="auto"/>
        </w:rPr>
        <w:t>, number reported</w:t>
      </w:r>
      <w:r w:rsidR="00D82482" w:rsidRPr="001C7F56">
        <w:rPr>
          <w:rFonts w:cs="Arial"/>
          <w:b/>
          <w:i w:val="0"/>
          <w:color w:val="auto"/>
        </w:rPr>
        <w:t xml:space="preserve"> by facili</w:t>
      </w:r>
      <w:r w:rsidR="00CB12AA" w:rsidRPr="001C7F56">
        <w:rPr>
          <w:rFonts w:cs="Arial"/>
          <w:b/>
          <w:i w:val="0"/>
          <w:color w:val="auto"/>
        </w:rPr>
        <w:t xml:space="preserve">ty type, </w:t>
      </w:r>
      <w:r w:rsidR="000710F0">
        <w:rPr>
          <w:rFonts w:cs="Arial"/>
          <w:b/>
          <w:i w:val="0"/>
          <w:color w:val="auto"/>
        </w:rPr>
        <w:t xml:space="preserve">17 </w:t>
      </w:r>
      <w:r w:rsidR="000710F0" w:rsidRPr="001C7F56">
        <w:rPr>
          <w:rFonts w:cs="Arial"/>
          <w:b/>
          <w:i w:val="0"/>
          <w:color w:val="auto"/>
        </w:rPr>
        <w:t>March</w:t>
      </w:r>
      <w:r w:rsidR="000710F0">
        <w:rPr>
          <w:rFonts w:cs="Arial"/>
          <w:b/>
          <w:i w:val="0"/>
          <w:color w:val="auto"/>
        </w:rPr>
        <w:t xml:space="preserve"> 2016</w:t>
      </w:r>
      <w:r w:rsidR="000710F0" w:rsidRPr="001C7F56">
        <w:rPr>
          <w:rFonts w:cs="Arial"/>
          <w:b/>
          <w:i w:val="0"/>
          <w:color w:val="auto"/>
        </w:rPr>
        <w:t>–</w:t>
      </w:r>
      <w:r w:rsidR="000710F0">
        <w:rPr>
          <w:rFonts w:cs="Arial"/>
          <w:b/>
          <w:i w:val="0"/>
          <w:color w:val="auto"/>
        </w:rPr>
        <w:t>31 March 2017</w:t>
      </w:r>
    </w:p>
    <w:p w:rsidR="00C4402E" w:rsidRPr="00C4402E" w:rsidRDefault="00C4402E" w:rsidP="00C4402E">
      <w:r>
        <w:rPr>
          <w:noProof/>
          <w:lang w:eastAsia="en-AU"/>
        </w:rPr>
        <w:drawing>
          <wp:inline distT="0" distB="0" distL="0" distR="0" wp14:anchorId="24D9ADBB">
            <wp:extent cx="6096635" cy="3469005"/>
            <wp:effectExtent l="0" t="0" r="0" b="0"/>
            <wp:docPr id="32" name="Picture 32" descr="This figure shows the Critical antimicrobial resistances, number reported by facility type for the period 17 March 2016–31 March 2017" title="Figure 7 Critical antimicrobial resistances, number reported by facilit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635" cy="3469005"/>
                    </a:xfrm>
                    <a:prstGeom prst="rect">
                      <a:avLst/>
                    </a:prstGeom>
                    <a:noFill/>
                  </pic:spPr>
                </pic:pic>
              </a:graphicData>
            </a:graphic>
          </wp:inline>
        </w:drawing>
      </w:r>
    </w:p>
    <w:p w:rsidR="00F20792" w:rsidRPr="00513721" w:rsidRDefault="00AC36C9" w:rsidP="00513721">
      <w:pPr>
        <w:spacing w:before="120"/>
        <w:rPr>
          <w:rFonts w:cs="Arial"/>
          <w:color w:val="000000"/>
          <w:sz w:val="16"/>
          <w:szCs w:val="20"/>
        </w:rPr>
      </w:pPr>
      <w:r>
        <w:rPr>
          <w:rFonts w:cs="Arial"/>
          <w:color w:val="000000"/>
          <w:sz w:val="16"/>
          <w:szCs w:val="20"/>
        </w:rPr>
        <w:t xml:space="preserve">Other: Community (non-hospital and </w:t>
      </w:r>
      <w:r w:rsidR="00E37518" w:rsidRPr="00032E45">
        <w:rPr>
          <w:rFonts w:cs="Arial"/>
          <w:color w:val="000000"/>
          <w:sz w:val="16"/>
          <w:szCs w:val="20"/>
        </w:rPr>
        <w:t>non</w:t>
      </w:r>
      <w:r w:rsidR="00525CB7">
        <w:rPr>
          <w:rFonts w:cs="Arial"/>
          <w:color w:val="000000"/>
          <w:sz w:val="16"/>
          <w:szCs w:val="20"/>
        </w:rPr>
        <w:t>-aged care</w:t>
      </w:r>
      <w:r w:rsidR="00530B88">
        <w:rPr>
          <w:rFonts w:cs="Arial"/>
          <w:color w:val="000000"/>
          <w:sz w:val="16"/>
          <w:szCs w:val="20"/>
        </w:rPr>
        <w:t xml:space="preserve"> home</w:t>
      </w:r>
      <w:r w:rsidR="00E37518" w:rsidRPr="00032E45">
        <w:rPr>
          <w:rFonts w:cs="Arial"/>
          <w:color w:val="000000"/>
          <w:sz w:val="16"/>
          <w:szCs w:val="20"/>
        </w:rPr>
        <w:t>)</w:t>
      </w:r>
    </w:p>
    <w:p w:rsidR="000710F0" w:rsidRPr="0065116F" w:rsidRDefault="000710F0" w:rsidP="000710F0">
      <w:pPr>
        <w:spacing w:before="240"/>
        <w:rPr>
          <w:rStyle w:val="IntenseReference"/>
          <w:rFonts w:cs="Arial"/>
          <w:b w:val="0"/>
          <w:bCs w:val="0"/>
          <w:i w:val="0"/>
          <w:smallCaps w:val="0"/>
          <w:color w:val="auto"/>
          <w:spacing w:val="0"/>
          <w:sz w:val="14"/>
          <w:szCs w:val="22"/>
        </w:rPr>
      </w:pPr>
      <w:r w:rsidRPr="007555B3">
        <w:rPr>
          <w:rStyle w:val="IntenseReference"/>
          <w:rFonts w:cs="Arial"/>
          <w:b w:val="0"/>
          <w:bCs w:val="0"/>
          <w:i w:val="0"/>
          <w:smallCaps w:val="0"/>
          <w:color w:val="auto"/>
          <w:spacing w:val="0"/>
          <w:sz w:val="14"/>
          <w:szCs w:val="22"/>
        </w:rPr>
        <w:t xml:space="preserve">CPE = </w:t>
      </w:r>
      <w:r>
        <w:rPr>
          <w:rStyle w:val="IntenseReference"/>
          <w:rFonts w:cs="Arial"/>
          <w:b w:val="0"/>
          <w:bCs w:val="0"/>
          <w:i w:val="0"/>
          <w:smallCaps w:val="0"/>
          <w:color w:val="auto"/>
          <w:spacing w:val="0"/>
          <w:sz w:val="14"/>
          <w:szCs w:val="22"/>
        </w:rPr>
        <w:t>carbapenemase-producing-</w:t>
      </w:r>
      <w:r w:rsidRPr="00661532">
        <w:rPr>
          <w:rStyle w:val="IntenseReference"/>
          <w:rFonts w:cs="Arial"/>
          <w:b w:val="0"/>
          <w:bCs w:val="0"/>
          <w:i w:val="0"/>
          <w:smallCaps w:val="0"/>
          <w:color w:val="auto"/>
          <w:spacing w:val="0"/>
          <w:sz w:val="14"/>
          <w:szCs w:val="22"/>
        </w:rPr>
        <w:t>Enterobacteriaceae</w:t>
      </w:r>
      <w:r w:rsidRPr="00553B41">
        <w:rPr>
          <w:rStyle w:val="IntenseReference"/>
          <w:rFonts w:cs="Arial"/>
          <w:b w:val="0"/>
          <w:bCs w:val="0"/>
          <w:smallCaps w:val="0"/>
          <w:color w:val="auto"/>
          <w:spacing w:val="0"/>
          <w:sz w:val="14"/>
          <w:szCs w:val="22"/>
        </w:rPr>
        <w:t>;</w:t>
      </w:r>
      <w:r>
        <w:rPr>
          <w:rStyle w:val="IntenseReference"/>
          <w:rFonts w:cs="Arial"/>
          <w:b w:val="0"/>
          <w:bCs w:val="0"/>
          <w:i w:val="0"/>
          <w:smallCaps w:val="0"/>
          <w:color w:val="auto"/>
          <w:spacing w:val="0"/>
          <w:sz w:val="14"/>
          <w:szCs w:val="22"/>
        </w:rPr>
        <w:t xml:space="preserve"> RMT = ribosomal methyltransferase-</w:t>
      </w:r>
      <w:r w:rsidRPr="007555B3">
        <w:rPr>
          <w:rStyle w:val="IntenseReference"/>
          <w:rFonts w:cs="Arial"/>
          <w:b w:val="0"/>
          <w:bCs w:val="0"/>
          <w:i w:val="0"/>
          <w:smallCaps w:val="0"/>
          <w:color w:val="auto"/>
          <w:spacing w:val="0"/>
          <w:sz w:val="14"/>
          <w:szCs w:val="22"/>
        </w:rPr>
        <w:t xml:space="preserve">producing </w:t>
      </w:r>
      <w:r w:rsidRPr="00661532">
        <w:rPr>
          <w:rStyle w:val="IntenseReference"/>
          <w:rFonts w:cs="Arial"/>
          <w:b w:val="0"/>
          <w:bCs w:val="0"/>
          <w:i w:val="0"/>
          <w:smallCaps w:val="0"/>
          <w:color w:val="auto"/>
          <w:spacing w:val="0"/>
          <w:sz w:val="14"/>
          <w:szCs w:val="22"/>
        </w:rPr>
        <w:t>Enterobacteriaceae</w:t>
      </w:r>
      <w:r w:rsidRPr="007555B3">
        <w:rPr>
          <w:rStyle w:val="IntenseReference"/>
          <w:rFonts w:cs="Arial"/>
          <w:b w:val="0"/>
          <w:bCs w:val="0"/>
          <w:i w:val="0"/>
          <w:smallCaps w:val="0"/>
          <w:color w:val="auto"/>
          <w:spacing w:val="0"/>
          <w:sz w:val="14"/>
          <w:szCs w:val="22"/>
        </w:rPr>
        <w:t>; CPE+RMT = carbapenemase</w:t>
      </w:r>
      <w:r>
        <w:rPr>
          <w:rStyle w:val="IntenseReference"/>
          <w:rFonts w:cs="Arial"/>
          <w:b w:val="0"/>
          <w:bCs w:val="0"/>
          <w:i w:val="0"/>
          <w:smallCaps w:val="0"/>
          <w:color w:val="auto"/>
          <w:spacing w:val="0"/>
          <w:sz w:val="14"/>
          <w:szCs w:val="22"/>
        </w:rPr>
        <w:t>- and ribosomal methyltransferase-</w:t>
      </w:r>
      <w:r w:rsidRPr="007555B3">
        <w:rPr>
          <w:rStyle w:val="IntenseReference"/>
          <w:rFonts w:cs="Arial"/>
          <w:b w:val="0"/>
          <w:bCs w:val="0"/>
          <w:i w:val="0"/>
          <w:smallCaps w:val="0"/>
          <w:color w:val="auto"/>
          <w:spacing w:val="0"/>
          <w:sz w:val="14"/>
          <w:szCs w:val="22"/>
        </w:rPr>
        <w:t xml:space="preserve">producing </w:t>
      </w:r>
      <w:r w:rsidRPr="00661532">
        <w:rPr>
          <w:rStyle w:val="IntenseReference"/>
          <w:rFonts w:cs="Arial"/>
          <w:b w:val="0"/>
          <w:bCs w:val="0"/>
          <w:i w:val="0"/>
          <w:smallCaps w:val="0"/>
          <w:color w:val="auto"/>
          <w:spacing w:val="0"/>
          <w:sz w:val="14"/>
          <w:szCs w:val="22"/>
        </w:rPr>
        <w:t>Enterobacteriaceae</w:t>
      </w:r>
      <w:r w:rsidRPr="007555B3">
        <w:rPr>
          <w:rStyle w:val="IntenseReference"/>
          <w:rFonts w:cs="Arial"/>
          <w:b w:val="0"/>
          <w:bCs w:val="0"/>
          <w:i w:val="0"/>
          <w:smallCaps w:val="0"/>
          <w:color w:val="auto"/>
          <w:spacing w:val="0"/>
          <w:sz w:val="14"/>
          <w:szCs w:val="22"/>
        </w:rPr>
        <w:t>; LNZ</w:t>
      </w:r>
      <w:r>
        <w:rPr>
          <w:rStyle w:val="IntenseReference"/>
          <w:rFonts w:cs="Arial"/>
          <w:b w:val="0"/>
          <w:bCs w:val="0"/>
          <w:i w:val="0"/>
          <w:smallCaps w:val="0"/>
          <w:color w:val="auto"/>
          <w:spacing w:val="0"/>
          <w:sz w:val="14"/>
          <w:szCs w:val="22"/>
        </w:rPr>
        <w:t xml:space="preserve"> ENTE</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l</w:t>
      </w:r>
      <w:r w:rsidRPr="007555B3">
        <w:rPr>
          <w:rStyle w:val="IntenseReference"/>
          <w:rFonts w:cs="Arial"/>
          <w:b w:val="0"/>
          <w:bCs w:val="0"/>
          <w:i w:val="0"/>
          <w:smallCaps w:val="0"/>
          <w:color w:val="auto"/>
          <w:spacing w:val="0"/>
          <w:sz w:val="14"/>
          <w:szCs w:val="22"/>
        </w:rPr>
        <w:t xml:space="preserve">inezolid non-susceptible </w:t>
      </w:r>
      <w:r w:rsidRPr="007555B3">
        <w:rPr>
          <w:rStyle w:val="IntenseReference"/>
          <w:rFonts w:cs="Arial"/>
          <w:b w:val="0"/>
          <w:bCs w:val="0"/>
          <w:smallCaps w:val="0"/>
          <w:color w:val="auto"/>
          <w:spacing w:val="0"/>
          <w:sz w:val="14"/>
          <w:szCs w:val="22"/>
        </w:rPr>
        <w:t>Enterococcus</w:t>
      </w:r>
      <w:r w:rsidR="00AA44FB">
        <w:rPr>
          <w:rStyle w:val="IntenseReference"/>
          <w:rFonts w:cs="Arial"/>
          <w:b w:val="0"/>
          <w:bCs w:val="0"/>
          <w:i w:val="0"/>
          <w:smallCaps w:val="0"/>
          <w:color w:val="auto"/>
          <w:spacing w:val="0"/>
          <w:sz w:val="14"/>
          <w:szCs w:val="22"/>
        </w:rPr>
        <w:t xml:space="preserve"> species; AZI LLR</w:t>
      </w:r>
      <w:r w:rsidRPr="007555B3">
        <w:rPr>
          <w:rStyle w:val="IntenseReference"/>
          <w:rFonts w:cs="Arial"/>
          <w:b w:val="0"/>
          <w:bCs w:val="0"/>
          <w:i w:val="0"/>
          <w:smallCaps w:val="0"/>
          <w:color w:val="auto"/>
          <w:spacing w:val="0"/>
          <w:sz w:val="14"/>
          <w:szCs w:val="22"/>
        </w:rPr>
        <w:t xml:space="preserve"> = azithromycin</w:t>
      </w:r>
      <w:r>
        <w:rPr>
          <w:rStyle w:val="IntenseReference"/>
          <w:rFonts w:cs="Arial"/>
          <w:b w:val="0"/>
          <w:bCs w:val="0"/>
          <w:i w:val="0"/>
          <w:smallCaps w:val="0"/>
          <w:color w:val="auto"/>
          <w:spacing w:val="0"/>
          <w:sz w:val="14"/>
          <w:szCs w:val="22"/>
        </w:rPr>
        <w:t xml:space="preserve"> sistant</w:t>
      </w:r>
      <w:r w:rsidR="00C74994">
        <w:rPr>
          <w:rStyle w:val="IntenseReference"/>
          <w:rFonts w:cs="Arial"/>
          <w:b w:val="0"/>
          <w:bCs w:val="0"/>
          <w:i w:val="0"/>
          <w:smallCaps w:val="0"/>
          <w:color w:val="auto"/>
          <w:spacing w:val="0"/>
          <w:sz w:val="14"/>
          <w:szCs w:val="22"/>
        </w:rPr>
        <w:t>, low level resistance</w:t>
      </w:r>
      <w:r w:rsidRPr="007555B3">
        <w:rPr>
          <w:rStyle w:val="IntenseReference"/>
          <w:rFonts w:cs="Arial"/>
          <w:b w:val="0"/>
          <w:bCs w:val="0"/>
          <w:i w:val="0"/>
          <w:smallCaps w:val="0"/>
          <w:color w:val="auto"/>
          <w:spacing w:val="0"/>
          <w:sz w:val="14"/>
          <w:szCs w:val="22"/>
        </w:rPr>
        <w:t xml:space="preserve"> (LLR, MIC &lt; 256 mg/L) </w:t>
      </w:r>
      <w:r w:rsidRPr="007555B3">
        <w:rPr>
          <w:rStyle w:val="IntenseReference"/>
          <w:rFonts w:cs="Arial"/>
          <w:b w:val="0"/>
          <w:bCs w:val="0"/>
          <w:smallCaps w:val="0"/>
          <w:color w:val="auto"/>
          <w:spacing w:val="0"/>
          <w:sz w:val="14"/>
          <w:szCs w:val="22"/>
        </w:rPr>
        <w:t>Neisseria gonorrhoeae</w:t>
      </w:r>
      <w:r>
        <w:rPr>
          <w:rStyle w:val="IntenseReference"/>
          <w:rFonts w:cs="Arial"/>
          <w:b w:val="0"/>
          <w:bCs w:val="0"/>
          <w:i w:val="0"/>
          <w:smallCaps w:val="0"/>
          <w:color w:val="auto"/>
          <w:spacing w:val="0"/>
          <w:sz w:val="14"/>
          <w:szCs w:val="22"/>
        </w:rPr>
        <w:t xml:space="preserve">; </w:t>
      </w:r>
      <w:r w:rsidR="00AA44FB">
        <w:rPr>
          <w:rStyle w:val="IntenseReference"/>
          <w:rFonts w:cs="Arial"/>
          <w:b w:val="0"/>
          <w:bCs w:val="0"/>
          <w:i w:val="0"/>
          <w:smallCaps w:val="0"/>
          <w:color w:val="auto"/>
          <w:spacing w:val="0"/>
          <w:sz w:val="14"/>
          <w:szCs w:val="22"/>
        </w:rPr>
        <w:t>AZI HLR</w:t>
      </w:r>
      <w:r w:rsidRPr="007555B3">
        <w:rPr>
          <w:rStyle w:val="IntenseReference"/>
          <w:rFonts w:cs="Arial"/>
          <w:b w:val="0"/>
          <w:bCs w:val="0"/>
          <w:i w:val="0"/>
          <w:smallCaps w:val="0"/>
          <w:color w:val="auto"/>
          <w:spacing w:val="0"/>
          <w:sz w:val="14"/>
          <w:szCs w:val="22"/>
        </w:rPr>
        <w:t xml:space="preserve"> = azithromycin</w:t>
      </w:r>
      <w:r>
        <w:rPr>
          <w:rStyle w:val="IntenseReference"/>
          <w:rFonts w:cs="Arial"/>
          <w:b w:val="0"/>
          <w:bCs w:val="0"/>
          <w:i w:val="0"/>
          <w:smallCaps w:val="0"/>
          <w:color w:val="auto"/>
          <w:spacing w:val="0"/>
          <w:sz w:val="14"/>
          <w:szCs w:val="22"/>
        </w:rPr>
        <w:t xml:space="preserve"> resistant</w:t>
      </w:r>
      <w:r w:rsidR="00506045">
        <w:rPr>
          <w:rStyle w:val="IntenseReference"/>
          <w:rFonts w:cs="Arial"/>
          <w:b w:val="0"/>
          <w:bCs w:val="0"/>
          <w:i w:val="0"/>
          <w:smallCaps w:val="0"/>
          <w:color w:val="auto"/>
          <w:spacing w:val="0"/>
          <w:sz w:val="14"/>
          <w:szCs w:val="22"/>
        </w:rPr>
        <w:t>, high level resistance</w:t>
      </w:r>
      <w:r w:rsidRPr="007555B3">
        <w:rPr>
          <w:rStyle w:val="IntenseReference"/>
          <w:rFonts w:cs="Arial"/>
          <w:b w:val="0"/>
          <w:bCs w:val="0"/>
          <w:i w:val="0"/>
          <w:smallCaps w:val="0"/>
          <w:color w:val="auto"/>
          <w:spacing w:val="0"/>
          <w:sz w:val="14"/>
          <w:szCs w:val="22"/>
        </w:rPr>
        <w:t xml:space="preserve"> (HLR, MIC &gt; 256 mg/L) </w:t>
      </w:r>
      <w:r w:rsidRPr="007555B3">
        <w:rPr>
          <w:rStyle w:val="IntenseReference"/>
          <w:rFonts w:cs="Arial"/>
          <w:b w:val="0"/>
          <w:bCs w:val="0"/>
          <w:smallCaps w:val="0"/>
          <w:color w:val="auto"/>
          <w:spacing w:val="0"/>
          <w:sz w:val="14"/>
          <w:szCs w:val="22"/>
        </w:rPr>
        <w:t>Neisseria gonorrhoeae</w:t>
      </w:r>
      <w:r w:rsidRPr="007555B3">
        <w:rPr>
          <w:rStyle w:val="IntenseReference"/>
          <w:rFonts w:cs="Arial"/>
          <w:b w:val="0"/>
          <w:bCs w:val="0"/>
          <w:i w:val="0"/>
          <w:smallCaps w:val="0"/>
          <w:color w:val="auto"/>
          <w:spacing w:val="0"/>
          <w:sz w:val="14"/>
          <w:szCs w:val="22"/>
        </w:rPr>
        <w:t>; CTR</w:t>
      </w:r>
      <w:r>
        <w:rPr>
          <w:rStyle w:val="IntenseReference"/>
          <w:rFonts w:cs="Arial"/>
          <w:b w:val="0"/>
          <w:bCs w:val="0"/>
          <w:i w:val="0"/>
          <w:smallCaps w:val="0"/>
          <w:color w:val="auto"/>
          <w:spacing w:val="0"/>
          <w:sz w:val="14"/>
          <w:szCs w:val="22"/>
        </w:rPr>
        <w:t xml:space="preserve"> NGON</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Neisseria gonorrhoeae</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DAP</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d</w:t>
      </w:r>
      <w:r w:rsidRPr="007555B3">
        <w:rPr>
          <w:rStyle w:val="IntenseReference"/>
          <w:rFonts w:cs="Arial"/>
          <w:b w:val="0"/>
          <w:bCs w:val="0"/>
          <w:i w:val="0"/>
          <w:smallCaps w:val="0"/>
          <w:color w:val="auto"/>
          <w:spacing w:val="0"/>
          <w:sz w:val="14"/>
          <w:szCs w:val="22"/>
        </w:rPr>
        <w:t xml:space="preserve">aptomycin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VAN</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v</w:t>
      </w:r>
      <w:r w:rsidRPr="007555B3">
        <w:rPr>
          <w:rStyle w:val="IntenseReference"/>
          <w:rFonts w:cs="Arial"/>
          <w:b w:val="0"/>
          <w:bCs w:val="0"/>
          <w:i w:val="0"/>
          <w:smallCaps w:val="0"/>
          <w:color w:val="auto"/>
          <w:spacing w:val="0"/>
          <w:sz w:val="14"/>
          <w:szCs w:val="22"/>
        </w:rPr>
        <w:t xml:space="preserve">ancomycin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CTR</w:t>
      </w:r>
      <w:r>
        <w:rPr>
          <w:rStyle w:val="IntenseReference"/>
          <w:rFonts w:cs="Arial"/>
          <w:b w:val="0"/>
          <w:bCs w:val="0"/>
          <w:i w:val="0"/>
          <w:smallCaps w:val="0"/>
          <w:color w:val="auto"/>
          <w:spacing w:val="0"/>
          <w:sz w:val="14"/>
          <w:szCs w:val="22"/>
        </w:rPr>
        <w:t xml:space="preserve"> SALM</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Salmonella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SHIG = multidrug-resistant</w:t>
      </w:r>
      <w:r w:rsidRPr="007555B3">
        <w:rPr>
          <w:rStyle w:val="IntenseReference"/>
          <w:rFonts w:cs="Arial"/>
          <w:b w:val="0"/>
          <w:bCs w:val="0"/>
          <w:i w:val="0"/>
          <w:smallCaps w:val="0"/>
          <w:color w:val="auto"/>
          <w:spacing w:val="0"/>
          <w:sz w:val="14"/>
          <w:szCs w:val="22"/>
        </w:rPr>
        <w:t xml:space="preserve"> </w:t>
      </w:r>
      <w:r w:rsidRPr="007555B3">
        <w:rPr>
          <w:rStyle w:val="IntenseReference"/>
          <w:rFonts w:cs="Arial"/>
          <w:b w:val="0"/>
          <w:bCs w:val="0"/>
          <w:smallCaps w:val="0"/>
          <w:color w:val="auto"/>
          <w:spacing w:val="0"/>
          <w:sz w:val="14"/>
          <w:szCs w:val="22"/>
        </w:rPr>
        <w:t>Shigella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MTB = multidrug-resistant</w:t>
      </w:r>
      <w:r w:rsidRPr="007555B3">
        <w:rPr>
          <w:rStyle w:val="IntenseReference"/>
          <w:rFonts w:cs="Arial"/>
          <w:b w:val="0"/>
          <w:bCs w:val="0"/>
          <w:i w:val="0"/>
          <w:smallCaps w:val="0"/>
          <w:color w:val="auto"/>
          <w:spacing w:val="0"/>
          <w:sz w:val="14"/>
          <w:szCs w:val="22"/>
        </w:rPr>
        <w:t xml:space="preserve"> </w:t>
      </w:r>
      <w:r w:rsidRPr="001E17F1">
        <w:rPr>
          <w:rStyle w:val="IntenseReference"/>
          <w:rFonts w:cs="Arial"/>
          <w:b w:val="0"/>
          <w:bCs w:val="0"/>
          <w:smallCaps w:val="0"/>
          <w:color w:val="auto"/>
          <w:spacing w:val="0"/>
          <w:sz w:val="14"/>
          <w:szCs w:val="22"/>
        </w:rPr>
        <w:t>Mycobacterium tuberculosis</w:t>
      </w:r>
    </w:p>
    <w:p w:rsidR="00706AAA" w:rsidRPr="00E37518" w:rsidRDefault="00706AAA">
      <w:pPr>
        <w:rPr>
          <w:rFonts w:cs="Arial"/>
          <w:sz w:val="20"/>
          <w:szCs w:val="20"/>
        </w:rPr>
      </w:pPr>
    </w:p>
    <w:p w:rsidR="00576FBE" w:rsidRPr="00506045" w:rsidRDefault="00761C5A" w:rsidP="00164D03">
      <w:pPr>
        <w:pStyle w:val="Heading2"/>
        <w:spacing w:after="240"/>
        <w:rPr>
          <w:rStyle w:val="IntenseReference"/>
          <w:b/>
          <w:bCs/>
          <w:smallCaps w:val="0"/>
          <w:color w:val="AA610D" w:themeColor="accent1" w:themeShade="BF"/>
          <w:spacing w:val="0"/>
          <w:sz w:val="28"/>
        </w:rPr>
      </w:pPr>
      <w:bookmarkStart w:id="9" w:name="_Toc486425621"/>
      <w:r w:rsidRPr="00506045">
        <w:rPr>
          <w:rStyle w:val="IntenseReference"/>
          <w:b/>
          <w:bCs/>
          <w:smallCaps w:val="0"/>
          <w:color w:val="AA610D" w:themeColor="accent1" w:themeShade="BF"/>
          <w:spacing w:val="0"/>
          <w:sz w:val="28"/>
        </w:rPr>
        <w:t xml:space="preserve">Carbapenemase-producing </w:t>
      </w:r>
      <w:r w:rsidRPr="00AD48FB">
        <w:rPr>
          <w:rStyle w:val="IntenseReference"/>
          <w:b/>
          <w:bCs/>
          <w:smallCaps w:val="0"/>
          <w:color w:val="AA610D" w:themeColor="accent1" w:themeShade="BF"/>
          <w:spacing w:val="0"/>
          <w:sz w:val="28"/>
        </w:rPr>
        <w:t>Enterobacteriaceae</w:t>
      </w:r>
      <w:r w:rsidRPr="00506045">
        <w:rPr>
          <w:rStyle w:val="IntenseReference"/>
          <w:b/>
          <w:bCs/>
          <w:smallCaps w:val="0"/>
          <w:color w:val="AA610D" w:themeColor="accent1" w:themeShade="BF"/>
          <w:spacing w:val="0"/>
          <w:sz w:val="28"/>
        </w:rPr>
        <w:t xml:space="preserve"> type by state and t</w:t>
      </w:r>
      <w:r w:rsidR="00576FBE" w:rsidRPr="00506045">
        <w:rPr>
          <w:rStyle w:val="IntenseReference"/>
          <w:b/>
          <w:bCs/>
          <w:smallCaps w:val="0"/>
          <w:color w:val="AA610D" w:themeColor="accent1" w:themeShade="BF"/>
          <w:spacing w:val="0"/>
          <w:sz w:val="28"/>
        </w:rPr>
        <w:t>erritory</w:t>
      </w:r>
      <w:bookmarkEnd w:id="9"/>
    </w:p>
    <w:p w:rsidR="000710F0" w:rsidRDefault="000710F0" w:rsidP="000710F0">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 xml:space="preserve">Seven different carbapenemase types </w:t>
      </w:r>
      <w:r w:rsidR="00803D8A">
        <w:rPr>
          <w:rStyle w:val="IntenseReference"/>
          <w:rFonts w:cs="Arial"/>
          <w:b w:val="0"/>
          <w:bCs w:val="0"/>
          <w:i w:val="0"/>
          <w:smallCaps w:val="0"/>
          <w:color w:val="auto"/>
          <w:spacing w:val="0"/>
          <w:szCs w:val="22"/>
        </w:rPr>
        <w:t xml:space="preserve">were reported throughout Australia: </w:t>
      </w:r>
      <w:r>
        <w:rPr>
          <w:rStyle w:val="IntenseReference"/>
          <w:rFonts w:cs="Arial"/>
          <w:b w:val="0"/>
          <w:bCs w:val="0"/>
          <w:i w:val="0"/>
          <w:smallCaps w:val="0"/>
          <w:color w:val="auto"/>
          <w:spacing w:val="0"/>
          <w:szCs w:val="22"/>
        </w:rPr>
        <w:t>IMP, NDM, OXA-48-like, KPC, VIM, SME, and OXA-23</w:t>
      </w:r>
      <w:r w:rsidR="00803D8A">
        <w:rPr>
          <w:rStyle w:val="IntenseReference"/>
          <w:rFonts w:cs="Arial"/>
          <w:b w:val="0"/>
          <w:bCs w:val="0"/>
          <w:i w:val="0"/>
          <w:smallCaps w:val="0"/>
          <w:color w:val="auto"/>
          <w:spacing w:val="0"/>
          <w:szCs w:val="22"/>
        </w:rPr>
        <w:t>. V</w:t>
      </w:r>
      <w:r w:rsidR="00EC37ED">
        <w:rPr>
          <w:rStyle w:val="IntenseReference"/>
          <w:rFonts w:cs="Arial"/>
          <w:b w:val="0"/>
          <w:bCs w:val="0"/>
          <w:i w:val="0"/>
          <w:smallCaps w:val="0"/>
          <w:color w:val="auto"/>
          <w:spacing w:val="0"/>
          <w:szCs w:val="22"/>
        </w:rPr>
        <w:t xml:space="preserve">ariation in distribution across Australia </w:t>
      </w:r>
      <w:r>
        <w:rPr>
          <w:rStyle w:val="IntenseReference"/>
          <w:rFonts w:cs="Arial"/>
          <w:b w:val="0"/>
          <w:bCs w:val="0"/>
          <w:i w:val="0"/>
          <w:smallCaps w:val="0"/>
          <w:color w:val="auto"/>
          <w:spacing w:val="0"/>
          <w:szCs w:val="22"/>
        </w:rPr>
        <w:t xml:space="preserve">were noted, see </w:t>
      </w:r>
      <w:r w:rsidRPr="00E02FF7">
        <w:rPr>
          <w:rStyle w:val="IntenseReference"/>
          <w:rFonts w:cs="Arial"/>
          <w:b w:val="0"/>
          <w:bCs w:val="0"/>
          <w:i w:val="0"/>
          <w:smallCaps w:val="0"/>
          <w:color w:val="auto"/>
          <w:spacing w:val="0"/>
          <w:szCs w:val="22"/>
        </w:rPr>
        <w:t xml:space="preserve">Figure </w:t>
      </w:r>
      <w:r>
        <w:rPr>
          <w:rStyle w:val="IntenseReference"/>
          <w:rFonts w:cs="Arial"/>
          <w:b w:val="0"/>
          <w:bCs w:val="0"/>
          <w:i w:val="0"/>
          <w:smallCaps w:val="0"/>
          <w:color w:val="auto"/>
          <w:spacing w:val="0"/>
          <w:szCs w:val="22"/>
        </w:rPr>
        <w:t>8</w:t>
      </w:r>
      <w:r w:rsidRPr="00E02FF7">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w:t>
      </w:r>
      <w:r w:rsidRPr="00740836">
        <w:rPr>
          <w:rStyle w:val="IntenseReference"/>
          <w:rFonts w:cs="Arial"/>
          <w:b w:val="0"/>
          <w:bCs w:val="0"/>
          <w:i w:val="0"/>
          <w:smallCaps w:val="0"/>
          <w:color w:val="auto"/>
          <w:spacing w:val="0"/>
          <w:szCs w:val="22"/>
        </w:rPr>
        <w:t xml:space="preserve">Two carbapenemase types, </w:t>
      </w:r>
      <w:r>
        <w:rPr>
          <w:rStyle w:val="IntenseReference"/>
          <w:rFonts w:cs="Arial"/>
          <w:b w:val="0"/>
          <w:bCs w:val="0"/>
          <w:i w:val="0"/>
          <w:smallCaps w:val="0"/>
          <w:color w:val="auto"/>
          <w:spacing w:val="0"/>
          <w:szCs w:val="22"/>
        </w:rPr>
        <w:t>IMP (65</w:t>
      </w:r>
      <w:r w:rsidRPr="00E35968">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286/440)</w:t>
      </w:r>
      <w:r w:rsidRPr="00740836">
        <w:rPr>
          <w:rStyle w:val="IntenseReference"/>
          <w:rFonts w:cs="Arial"/>
          <w:b w:val="0"/>
          <w:bCs w:val="0"/>
          <w:i w:val="0"/>
          <w:smallCaps w:val="0"/>
          <w:color w:val="auto"/>
          <w:spacing w:val="0"/>
          <w:szCs w:val="22"/>
        </w:rPr>
        <w:t xml:space="preserve"> and </w:t>
      </w:r>
      <w:r>
        <w:rPr>
          <w:rStyle w:val="IntenseReference"/>
          <w:rFonts w:cs="Arial"/>
          <w:b w:val="0"/>
          <w:bCs w:val="0"/>
          <w:i w:val="0"/>
          <w:smallCaps w:val="0"/>
          <w:color w:val="auto"/>
          <w:spacing w:val="0"/>
          <w:szCs w:val="22"/>
        </w:rPr>
        <w:t>NDM (19</w:t>
      </w:r>
      <w:r w:rsidRPr="00E35968">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84/440</w:t>
      </w:r>
      <w:r w:rsidRPr="00740836">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w:t>
      </w:r>
      <w:r w:rsidRPr="00740836">
        <w:rPr>
          <w:rStyle w:val="IntenseReference"/>
          <w:rFonts w:cs="Arial"/>
          <w:b w:val="0"/>
          <w:bCs w:val="0"/>
          <w:i w:val="0"/>
          <w:smallCaps w:val="0"/>
          <w:color w:val="auto"/>
          <w:spacing w:val="0"/>
          <w:szCs w:val="22"/>
        </w:rPr>
        <w:t xml:space="preserve"> </w:t>
      </w:r>
      <w:r>
        <w:rPr>
          <w:rStyle w:val="IntenseReference"/>
          <w:rFonts w:cs="Arial"/>
          <w:b w:val="0"/>
          <w:bCs w:val="0"/>
          <w:i w:val="0"/>
          <w:smallCaps w:val="0"/>
          <w:color w:val="auto"/>
          <w:spacing w:val="0"/>
          <w:szCs w:val="22"/>
        </w:rPr>
        <w:t xml:space="preserve">accounted for 84% </w:t>
      </w:r>
      <w:r w:rsidRPr="00740836">
        <w:rPr>
          <w:rStyle w:val="IntenseReference"/>
          <w:rFonts w:cs="Arial"/>
          <w:b w:val="0"/>
          <w:bCs w:val="0"/>
          <w:i w:val="0"/>
          <w:smallCaps w:val="0"/>
          <w:color w:val="auto"/>
          <w:spacing w:val="0"/>
          <w:szCs w:val="22"/>
        </w:rPr>
        <w:t xml:space="preserve">of all </w:t>
      </w:r>
      <w:r w:rsidRPr="00661532">
        <w:rPr>
          <w:rStyle w:val="IntenseReference"/>
          <w:rFonts w:cs="Arial"/>
          <w:b w:val="0"/>
          <w:bCs w:val="0"/>
          <w:i w:val="0"/>
          <w:smallCaps w:val="0"/>
          <w:color w:val="auto"/>
          <w:spacing w:val="0"/>
          <w:szCs w:val="22"/>
        </w:rPr>
        <w:t>Enterobacteriaceae</w:t>
      </w:r>
      <w:r w:rsidRPr="00740836">
        <w:rPr>
          <w:rStyle w:val="IntenseReference"/>
          <w:rFonts w:cs="Arial"/>
          <w:b w:val="0"/>
          <w:bCs w:val="0"/>
          <w:i w:val="0"/>
          <w:smallCaps w:val="0"/>
          <w:color w:val="auto"/>
          <w:spacing w:val="0"/>
          <w:szCs w:val="22"/>
        </w:rPr>
        <w:t xml:space="preserve"> </w:t>
      </w:r>
      <w:r w:rsidRPr="009F4DED">
        <w:rPr>
          <w:rStyle w:val="IntenseReference"/>
          <w:rFonts w:cs="Arial"/>
          <w:b w:val="0"/>
          <w:bCs w:val="0"/>
          <w:i w:val="0"/>
          <w:smallCaps w:val="0"/>
          <w:color w:val="auto"/>
          <w:spacing w:val="0"/>
          <w:szCs w:val="22"/>
        </w:rPr>
        <w:t>with a confirmed carbapenemase.</w:t>
      </w:r>
      <w:r>
        <w:rPr>
          <w:rStyle w:val="IntenseReference"/>
          <w:rFonts w:cs="Arial"/>
          <w:b w:val="0"/>
          <w:bCs w:val="0"/>
          <w:i w:val="0"/>
          <w:smallCaps w:val="0"/>
          <w:color w:val="auto"/>
          <w:spacing w:val="0"/>
          <w:szCs w:val="22"/>
        </w:rPr>
        <w:t xml:space="preserve"> </w:t>
      </w:r>
    </w:p>
    <w:p w:rsidR="000710F0" w:rsidRDefault="000710F0" w:rsidP="000710F0">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IMP type</w:t>
      </w:r>
      <w:r w:rsidRPr="00C84053">
        <w:rPr>
          <w:rStyle w:val="IntenseReference"/>
          <w:rFonts w:cs="Arial"/>
          <w:b w:val="0"/>
          <w:bCs w:val="0"/>
          <w:i w:val="0"/>
          <w:smallCaps w:val="0"/>
          <w:color w:val="auto"/>
          <w:spacing w:val="0"/>
          <w:szCs w:val="22"/>
        </w:rPr>
        <w:t xml:space="preserve"> carbapenemase</w:t>
      </w:r>
      <w:r>
        <w:rPr>
          <w:rStyle w:val="IntenseReference"/>
          <w:rFonts w:cs="Arial"/>
          <w:b w:val="0"/>
          <w:bCs w:val="0"/>
          <w:i w:val="0"/>
          <w:smallCaps w:val="0"/>
          <w:color w:val="auto"/>
          <w:spacing w:val="0"/>
          <w:szCs w:val="22"/>
        </w:rPr>
        <w:t>s</w:t>
      </w:r>
      <w:r w:rsidRPr="00C84053">
        <w:rPr>
          <w:rStyle w:val="IntenseReference"/>
          <w:rFonts w:cs="Arial"/>
          <w:b w:val="0"/>
          <w:bCs w:val="0"/>
          <w:i w:val="0"/>
          <w:smallCaps w:val="0"/>
          <w:color w:val="auto"/>
          <w:spacing w:val="0"/>
          <w:szCs w:val="22"/>
        </w:rPr>
        <w:t xml:space="preserve"> comprised the majority (&gt;70%)</w:t>
      </w:r>
      <w:r>
        <w:rPr>
          <w:rStyle w:val="IntenseReference"/>
          <w:rFonts w:cs="Arial"/>
          <w:b w:val="0"/>
          <w:bCs w:val="0"/>
          <w:i w:val="0"/>
          <w:smallCaps w:val="0"/>
          <w:color w:val="auto"/>
          <w:spacing w:val="0"/>
          <w:szCs w:val="22"/>
        </w:rPr>
        <w:t xml:space="preserve"> of CPE</w:t>
      </w:r>
      <w:r w:rsidRPr="00C84053">
        <w:rPr>
          <w:rStyle w:val="IntenseReference"/>
          <w:rFonts w:cs="Arial"/>
          <w:b w:val="0"/>
          <w:bCs w:val="0"/>
          <w:i w:val="0"/>
          <w:smallCaps w:val="0"/>
          <w:color w:val="auto"/>
          <w:spacing w:val="0"/>
          <w:szCs w:val="22"/>
        </w:rPr>
        <w:t xml:space="preserve"> in New South Wales (8</w:t>
      </w:r>
      <w:r>
        <w:rPr>
          <w:rStyle w:val="IntenseReference"/>
          <w:rFonts w:cs="Arial"/>
          <w:b w:val="0"/>
          <w:bCs w:val="0"/>
          <w:i w:val="0"/>
          <w:smallCaps w:val="0"/>
          <w:color w:val="auto"/>
          <w:spacing w:val="0"/>
          <w:szCs w:val="22"/>
        </w:rPr>
        <w:t>1</w:t>
      </w:r>
      <w:r w:rsidRPr="00C84053">
        <w:rPr>
          <w:rStyle w:val="IntenseReference"/>
          <w:rFonts w:cs="Arial"/>
          <w:b w:val="0"/>
          <w:bCs w:val="0"/>
          <w:i w:val="0"/>
          <w:smallCaps w:val="0"/>
          <w:color w:val="auto"/>
          <w:spacing w:val="0"/>
          <w:szCs w:val="22"/>
        </w:rPr>
        <w:t xml:space="preserve">%, </w:t>
      </w:r>
      <w:r>
        <w:rPr>
          <w:rStyle w:val="IntenseReference"/>
          <w:rFonts w:cs="Arial"/>
          <w:b w:val="0"/>
          <w:bCs w:val="0"/>
          <w:i w:val="0"/>
          <w:smallCaps w:val="0"/>
          <w:color w:val="auto"/>
          <w:spacing w:val="0"/>
          <w:szCs w:val="22"/>
        </w:rPr>
        <w:t>116</w:t>
      </w:r>
      <w:r w:rsidRPr="00C84053">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143</w:t>
      </w:r>
      <w:r w:rsidRPr="00C84053">
        <w:rPr>
          <w:rStyle w:val="IntenseReference"/>
          <w:rFonts w:cs="Arial"/>
          <w:b w:val="0"/>
          <w:bCs w:val="0"/>
          <w:i w:val="0"/>
          <w:smallCaps w:val="0"/>
          <w:color w:val="auto"/>
          <w:spacing w:val="0"/>
          <w:szCs w:val="22"/>
        </w:rPr>
        <w:t>), Queensland (8</w:t>
      </w:r>
      <w:r>
        <w:rPr>
          <w:rStyle w:val="IntenseReference"/>
          <w:rFonts w:cs="Arial"/>
          <w:b w:val="0"/>
          <w:bCs w:val="0"/>
          <w:i w:val="0"/>
          <w:smallCaps w:val="0"/>
          <w:color w:val="auto"/>
          <w:spacing w:val="0"/>
          <w:szCs w:val="22"/>
        </w:rPr>
        <w:t>8</w:t>
      </w:r>
      <w:r w:rsidRPr="00C84053">
        <w:rPr>
          <w:rStyle w:val="IntenseReference"/>
          <w:rFonts w:cs="Arial"/>
          <w:b w:val="0"/>
          <w:bCs w:val="0"/>
          <w:i w:val="0"/>
          <w:smallCaps w:val="0"/>
          <w:color w:val="auto"/>
          <w:spacing w:val="0"/>
          <w:szCs w:val="22"/>
        </w:rPr>
        <w:t xml:space="preserve">%, </w:t>
      </w:r>
      <w:r>
        <w:rPr>
          <w:rStyle w:val="IntenseReference"/>
          <w:rFonts w:cs="Arial"/>
          <w:b w:val="0"/>
          <w:bCs w:val="0"/>
          <w:i w:val="0"/>
          <w:smallCaps w:val="0"/>
          <w:color w:val="auto"/>
          <w:spacing w:val="0"/>
          <w:szCs w:val="22"/>
        </w:rPr>
        <w:t>102</w:t>
      </w:r>
      <w:r w:rsidRPr="00C84053">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116</w:t>
      </w:r>
      <w:r w:rsidRPr="00C84053">
        <w:rPr>
          <w:rStyle w:val="IntenseReference"/>
          <w:rFonts w:cs="Arial"/>
          <w:b w:val="0"/>
          <w:bCs w:val="0"/>
          <w:i w:val="0"/>
          <w:smallCaps w:val="0"/>
          <w:color w:val="auto"/>
          <w:spacing w:val="0"/>
          <w:szCs w:val="22"/>
        </w:rPr>
        <w:t>) and the Australian Capital Territory (7</w:t>
      </w:r>
      <w:r>
        <w:rPr>
          <w:rStyle w:val="IntenseReference"/>
          <w:rFonts w:cs="Arial"/>
          <w:b w:val="0"/>
          <w:bCs w:val="0"/>
          <w:i w:val="0"/>
          <w:smallCaps w:val="0"/>
          <w:color w:val="auto"/>
          <w:spacing w:val="0"/>
          <w:szCs w:val="22"/>
        </w:rPr>
        <w:t>6</w:t>
      </w:r>
      <w:r w:rsidRPr="00C84053">
        <w:rPr>
          <w:rStyle w:val="IntenseReference"/>
          <w:rFonts w:cs="Arial"/>
          <w:b w:val="0"/>
          <w:bCs w:val="0"/>
          <w:i w:val="0"/>
          <w:smallCaps w:val="0"/>
          <w:color w:val="auto"/>
          <w:spacing w:val="0"/>
          <w:szCs w:val="22"/>
        </w:rPr>
        <w:t xml:space="preserve">%, </w:t>
      </w:r>
      <w:r>
        <w:rPr>
          <w:rStyle w:val="IntenseReference"/>
          <w:rFonts w:cs="Arial"/>
          <w:b w:val="0"/>
          <w:bCs w:val="0"/>
          <w:i w:val="0"/>
          <w:smallCaps w:val="0"/>
          <w:color w:val="auto"/>
          <w:spacing w:val="0"/>
          <w:szCs w:val="22"/>
        </w:rPr>
        <w:t>13</w:t>
      </w:r>
      <w:r w:rsidRPr="00C84053">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17</w:t>
      </w:r>
      <w:r w:rsidRPr="00C84053">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w:t>
      </w:r>
      <w:r w:rsidRPr="00C84053">
        <w:rPr>
          <w:rStyle w:val="IntenseReference"/>
          <w:rFonts w:cs="Arial"/>
          <w:b w:val="0"/>
          <w:bCs w:val="0"/>
          <w:i w:val="0"/>
          <w:smallCaps w:val="0"/>
          <w:color w:val="auto"/>
          <w:spacing w:val="0"/>
          <w:szCs w:val="22"/>
        </w:rPr>
        <w:t xml:space="preserve">No IMP-producing </w:t>
      </w:r>
      <w:r w:rsidRPr="00661532">
        <w:rPr>
          <w:rStyle w:val="IntenseReference"/>
          <w:rFonts w:cs="Arial"/>
          <w:b w:val="0"/>
          <w:bCs w:val="0"/>
          <w:i w:val="0"/>
          <w:smallCaps w:val="0"/>
          <w:color w:val="auto"/>
          <w:spacing w:val="0"/>
          <w:szCs w:val="22"/>
        </w:rPr>
        <w:t>Enterobacteriaceae</w:t>
      </w:r>
      <w:r w:rsidRPr="00C84053">
        <w:rPr>
          <w:rStyle w:val="IntenseReference"/>
          <w:rFonts w:cs="Arial"/>
          <w:b w:val="0"/>
          <w:bCs w:val="0"/>
          <w:i w:val="0"/>
          <w:smallCaps w:val="0"/>
          <w:color w:val="auto"/>
          <w:spacing w:val="0"/>
          <w:szCs w:val="22"/>
        </w:rPr>
        <w:t xml:space="preserve"> were reported from South Australia. </w:t>
      </w:r>
      <w:r>
        <w:rPr>
          <w:rStyle w:val="IntenseReference"/>
          <w:rFonts w:cs="Arial"/>
          <w:b w:val="0"/>
          <w:bCs w:val="0"/>
          <w:i w:val="0"/>
          <w:smallCaps w:val="0"/>
          <w:color w:val="auto"/>
          <w:spacing w:val="0"/>
          <w:szCs w:val="22"/>
        </w:rPr>
        <w:t xml:space="preserve">All the strains that have been genetically sequenced to </w:t>
      </w:r>
      <w:r w:rsidRPr="00F53593">
        <w:rPr>
          <w:rStyle w:val="IntenseReference"/>
          <w:rFonts w:cs="Arial"/>
          <w:b w:val="0"/>
          <w:bCs w:val="0"/>
          <w:i w:val="0"/>
          <w:smallCaps w:val="0"/>
          <w:color w:val="auto"/>
          <w:spacing w:val="0"/>
          <w:szCs w:val="22"/>
        </w:rPr>
        <w:t>date (41%, 118/286) are</w:t>
      </w:r>
      <w:r>
        <w:rPr>
          <w:rStyle w:val="IntenseReference"/>
          <w:rFonts w:cs="Arial"/>
          <w:b w:val="0"/>
          <w:bCs w:val="0"/>
          <w:i w:val="0"/>
          <w:smallCaps w:val="0"/>
          <w:color w:val="auto"/>
          <w:spacing w:val="0"/>
          <w:szCs w:val="22"/>
        </w:rPr>
        <w:t xml:space="preserve"> </w:t>
      </w:r>
      <w:r w:rsidRPr="00C84053">
        <w:rPr>
          <w:rStyle w:val="IntenseReference"/>
          <w:rFonts w:cs="Arial"/>
          <w:b w:val="0"/>
          <w:bCs w:val="0"/>
          <w:smallCaps w:val="0"/>
          <w:color w:val="auto"/>
          <w:spacing w:val="0"/>
          <w:szCs w:val="22"/>
        </w:rPr>
        <w:t>bla</w:t>
      </w:r>
      <w:r w:rsidRPr="00C84053">
        <w:rPr>
          <w:rStyle w:val="IntenseReference"/>
          <w:rFonts w:cs="Arial"/>
          <w:b w:val="0"/>
          <w:bCs w:val="0"/>
          <w:i w:val="0"/>
          <w:smallCaps w:val="0"/>
          <w:color w:val="auto"/>
          <w:spacing w:val="0"/>
          <w:szCs w:val="22"/>
          <w:vertAlign w:val="subscript"/>
        </w:rPr>
        <w:t>IMP-4</w:t>
      </w:r>
      <w:r>
        <w:rPr>
          <w:rStyle w:val="IntenseReference"/>
          <w:rFonts w:cs="Arial"/>
          <w:b w:val="0"/>
          <w:bCs w:val="0"/>
          <w:i w:val="0"/>
          <w:smallCaps w:val="0"/>
          <w:color w:val="auto"/>
          <w:spacing w:val="0"/>
          <w:szCs w:val="22"/>
        </w:rPr>
        <w:t>.</w:t>
      </w:r>
    </w:p>
    <w:p w:rsidR="000710F0" w:rsidRDefault="000710F0" w:rsidP="000710F0">
      <w:pPr>
        <w:spacing w:before="120"/>
        <w:rPr>
          <w:rStyle w:val="IntenseReference"/>
          <w:rFonts w:cs="Arial"/>
          <w:b w:val="0"/>
          <w:bCs w:val="0"/>
          <w:i w:val="0"/>
          <w:smallCaps w:val="0"/>
          <w:color w:val="auto"/>
          <w:spacing w:val="0"/>
          <w:szCs w:val="22"/>
        </w:rPr>
      </w:pPr>
      <w:r w:rsidRPr="00C84053">
        <w:rPr>
          <w:rStyle w:val="IntenseReference"/>
          <w:rFonts w:cs="Arial"/>
          <w:b w:val="0"/>
          <w:bCs w:val="0"/>
          <w:i w:val="0"/>
          <w:smallCaps w:val="0"/>
          <w:color w:val="auto"/>
          <w:spacing w:val="0"/>
          <w:szCs w:val="22"/>
        </w:rPr>
        <w:t>NDM types were found in all states and terri</w:t>
      </w:r>
      <w:r>
        <w:rPr>
          <w:rStyle w:val="IntenseReference"/>
          <w:rFonts w:cs="Arial"/>
          <w:b w:val="0"/>
          <w:bCs w:val="0"/>
          <w:i w:val="0"/>
          <w:smallCaps w:val="0"/>
          <w:color w:val="auto"/>
          <w:spacing w:val="0"/>
          <w:szCs w:val="22"/>
        </w:rPr>
        <w:t>tories where CPE were detected. NDM</w:t>
      </w:r>
      <w:r w:rsidRPr="00C84053">
        <w:rPr>
          <w:rStyle w:val="IntenseReference"/>
          <w:rFonts w:cs="Arial"/>
          <w:b w:val="0"/>
          <w:bCs w:val="0"/>
          <w:i w:val="0"/>
          <w:smallCaps w:val="0"/>
          <w:color w:val="auto"/>
          <w:spacing w:val="0"/>
          <w:szCs w:val="22"/>
        </w:rPr>
        <w:t xml:space="preserve"> type</w:t>
      </w:r>
      <w:r>
        <w:rPr>
          <w:rStyle w:val="IntenseReference"/>
          <w:rFonts w:cs="Arial"/>
          <w:b w:val="0"/>
          <w:bCs w:val="0"/>
          <w:i w:val="0"/>
          <w:smallCaps w:val="0"/>
          <w:color w:val="auto"/>
          <w:spacing w:val="0"/>
          <w:szCs w:val="22"/>
        </w:rPr>
        <w:t>s contributed</w:t>
      </w:r>
      <w:r w:rsidRPr="00C84053">
        <w:rPr>
          <w:rStyle w:val="IntenseReference"/>
          <w:rFonts w:cs="Arial"/>
          <w:b w:val="0"/>
          <w:bCs w:val="0"/>
          <w:i w:val="0"/>
          <w:smallCaps w:val="0"/>
          <w:color w:val="auto"/>
          <w:spacing w:val="0"/>
          <w:szCs w:val="22"/>
        </w:rPr>
        <w:t xml:space="preserve"> to </w:t>
      </w:r>
      <w:r>
        <w:rPr>
          <w:rStyle w:val="IntenseReference"/>
          <w:rFonts w:cs="Arial"/>
          <w:b w:val="0"/>
          <w:bCs w:val="0"/>
          <w:i w:val="0"/>
          <w:smallCaps w:val="0"/>
          <w:color w:val="auto"/>
          <w:spacing w:val="0"/>
          <w:szCs w:val="22"/>
        </w:rPr>
        <w:t>71% (10/14) of all types found in South Australia and 34% (39</w:t>
      </w:r>
      <w:r w:rsidRPr="001D3370">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116</w:t>
      </w:r>
      <w:r w:rsidRPr="001D3370">
        <w:rPr>
          <w:rStyle w:val="IntenseReference"/>
          <w:rFonts w:cs="Arial"/>
          <w:b w:val="0"/>
          <w:bCs w:val="0"/>
          <w:i w:val="0"/>
          <w:smallCaps w:val="0"/>
          <w:color w:val="auto"/>
          <w:spacing w:val="0"/>
          <w:szCs w:val="22"/>
        </w:rPr>
        <w:t>)</w:t>
      </w:r>
      <w:r w:rsidRPr="00C84053">
        <w:rPr>
          <w:rStyle w:val="IntenseReference"/>
          <w:rFonts w:cs="Arial"/>
          <w:b w:val="0"/>
          <w:bCs w:val="0"/>
          <w:i w:val="0"/>
          <w:smallCaps w:val="0"/>
          <w:color w:val="auto"/>
          <w:spacing w:val="0"/>
          <w:szCs w:val="22"/>
        </w:rPr>
        <w:t xml:space="preserve"> of </w:t>
      </w:r>
      <w:r>
        <w:rPr>
          <w:rStyle w:val="IntenseReference"/>
          <w:rFonts w:cs="Arial"/>
          <w:b w:val="0"/>
          <w:bCs w:val="0"/>
          <w:i w:val="0"/>
          <w:smallCaps w:val="0"/>
          <w:color w:val="auto"/>
          <w:spacing w:val="0"/>
          <w:szCs w:val="22"/>
        </w:rPr>
        <w:t>all types</w:t>
      </w:r>
      <w:r w:rsidRPr="00C84053">
        <w:rPr>
          <w:rStyle w:val="IntenseReference"/>
          <w:rFonts w:cs="Arial"/>
          <w:b w:val="0"/>
          <w:bCs w:val="0"/>
          <w:i w:val="0"/>
          <w:smallCaps w:val="0"/>
          <w:color w:val="auto"/>
          <w:spacing w:val="0"/>
          <w:szCs w:val="22"/>
        </w:rPr>
        <w:t xml:space="preserve"> in Victoria</w:t>
      </w:r>
      <w:r>
        <w:rPr>
          <w:rStyle w:val="IntenseReference"/>
          <w:rFonts w:cs="Arial"/>
          <w:b w:val="0"/>
          <w:bCs w:val="0"/>
          <w:i w:val="0"/>
          <w:smallCaps w:val="0"/>
          <w:color w:val="auto"/>
          <w:spacing w:val="0"/>
          <w:szCs w:val="22"/>
        </w:rPr>
        <w:t xml:space="preserve">. NDM+OXA-48-like (5/65) and NDM+KPC (n=2/65) were reported. Four different </w:t>
      </w:r>
      <w:r w:rsidR="00934264">
        <w:rPr>
          <w:rStyle w:val="IntenseReference"/>
          <w:rFonts w:cs="Arial"/>
          <w:b w:val="0"/>
          <w:bCs w:val="0"/>
          <w:i w:val="0"/>
          <w:smallCaps w:val="0"/>
          <w:color w:val="auto"/>
          <w:spacing w:val="0"/>
          <w:szCs w:val="22"/>
        </w:rPr>
        <w:t xml:space="preserve">NDM </w:t>
      </w:r>
      <w:r>
        <w:rPr>
          <w:rStyle w:val="IntenseReference"/>
          <w:rFonts w:cs="Arial"/>
          <w:b w:val="0"/>
          <w:bCs w:val="0"/>
          <w:i w:val="0"/>
          <w:smallCaps w:val="0"/>
          <w:color w:val="auto"/>
          <w:spacing w:val="0"/>
          <w:szCs w:val="22"/>
        </w:rPr>
        <w:t xml:space="preserve">genes were found in the strains sequenced to date: </w:t>
      </w:r>
      <w:r>
        <w:rPr>
          <w:rStyle w:val="IntenseReference"/>
          <w:rFonts w:cs="Arial"/>
          <w:b w:val="0"/>
          <w:bCs w:val="0"/>
          <w:smallCaps w:val="0"/>
          <w:color w:val="auto"/>
          <w:spacing w:val="0"/>
          <w:szCs w:val="22"/>
        </w:rPr>
        <w:t>b</w:t>
      </w:r>
      <w:r w:rsidRPr="00C84053">
        <w:rPr>
          <w:rStyle w:val="IntenseReference"/>
          <w:rFonts w:cs="Arial"/>
          <w:b w:val="0"/>
          <w:bCs w:val="0"/>
          <w:smallCaps w:val="0"/>
          <w:color w:val="auto"/>
          <w:spacing w:val="0"/>
          <w:szCs w:val="22"/>
        </w:rPr>
        <w:t>la</w:t>
      </w:r>
      <w:r>
        <w:rPr>
          <w:rStyle w:val="IntenseReference"/>
          <w:rFonts w:cs="Arial"/>
          <w:b w:val="0"/>
          <w:bCs w:val="0"/>
          <w:i w:val="0"/>
          <w:smallCaps w:val="0"/>
          <w:color w:val="auto"/>
          <w:spacing w:val="0"/>
          <w:szCs w:val="22"/>
          <w:vertAlign w:val="subscript"/>
        </w:rPr>
        <w:t>NDM</w:t>
      </w:r>
      <w:r>
        <w:rPr>
          <w:rStyle w:val="IntenseReference"/>
          <w:rFonts w:cs="Arial"/>
          <w:b w:val="0"/>
          <w:bCs w:val="0"/>
          <w:i w:val="0"/>
          <w:smallCaps w:val="0"/>
          <w:color w:val="auto"/>
          <w:spacing w:val="0"/>
          <w:szCs w:val="22"/>
          <w:vertAlign w:val="subscript"/>
        </w:rPr>
        <w:noBreakHyphen/>
        <w:t>5</w:t>
      </w:r>
      <w:r>
        <w:rPr>
          <w:rStyle w:val="IntenseReference"/>
          <w:rFonts w:cs="Arial"/>
          <w:b w:val="0"/>
          <w:bCs w:val="0"/>
          <w:i w:val="0"/>
          <w:smallCaps w:val="0"/>
          <w:color w:val="auto"/>
          <w:spacing w:val="0"/>
          <w:szCs w:val="22"/>
        </w:rPr>
        <w:t xml:space="preserve"> </w:t>
      </w:r>
      <w:r w:rsidRPr="00161CDB">
        <w:rPr>
          <w:rStyle w:val="IntenseReference"/>
          <w:rFonts w:cs="Arial"/>
          <w:b w:val="0"/>
          <w:bCs w:val="0"/>
          <w:i w:val="0"/>
          <w:smallCaps w:val="0"/>
          <w:color w:val="auto"/>
          <w:spacing w:val="0"/>
          <w:szCs w:val="22"/>
        </w:rPr>
        <w:t xml:space="preserve">(40%, 19/47), </w:t>
      </w:r>
      <w:r w:rsidRPr="00161CDB">
        <w:rPr>
          <w:rStyle w:val="IntenseReference"/>
          <w:rFonts w:cs="Arial"/>
          <w:b w:val="0"/>
          <w:bCs w:val="0"/>
          <w:smallCaps w:val="0"/>
          <w:color w:val="auto"/>
          <w:spacing w:val="0"/>
          <w:szCs w:val="22"/>
        </w:rPr>
        <w:t>bla</w:t>
      </w:r>
      <w:r w:rsidRPr="00161CDB">
        <w:rPr>
          <w:rStyle w:val="IntenseReference"/>
          <w:rFonts w:cs="Arial"/>
          <w:b w:val="0"/>
          <w:bCs w:val="0"/>
          <w:i w:val="0"/>
          <w:smallCaps w:val="0"/>
          <w:color w:val="auto"/>
          <w:spacing w:val="0"/>
          <w:szCs w:val="22"/>
          <w:vertAlign w:val="subscript"/>
        </w:rPr>
        <w:t>NDM-1</w:t>
      </w:r>
      <w:r w:rsidRPr="00161CDB">
        <w:rPr>
          <w:rStyle w:val="IntenseReference"/>
          <w:rFonts w:cs="Arial"/>
          <w:b w:val="0"/>
          <w:bCs w:val="0"/>
          <w:i w:val="0"/>
          <w:smallCaps w:val="0"/>
          <w:color w:val="auto"/>
          <w:spacing w:val="0"/>
          <w:szCs w:val="22"/>
        </w:rPr>
        <w:t xml:space="preserve"> (40%, 19/47), </w:t>
      </w:r>
      <w:r w:rsidRPr="00161CDB">
        <w:rPr>
          <w:rStyle w:val="IntenseReference"/>
          <w:rFonts w:cs="Arial"/>
          <w:b w:val="0"/>
          <w:bCs w:val="0"/>
          <w:smallCaps w:val="0"/>
          <w:color w:val="auto"/>
          <w:spacing w:val="0"/>
          <w:szCs w:val="22"/>
        </w:rPr>
        <w:t>bla</w:t>
      </w:r>
      <w:r w:rsidRPr="00161CDB">
        <w:rPr>
          <w:rStyle w:val="IntenseReference"/>
          <w:rFonts w:cs="Arial"/>
          <w:b w:val="0"/>
          <w:bCs w:val="0"/>
          <w:i w:val="0"/>
          <w:smallCaps w:val="0"/>
          <w:color w:val="auto"/>
          <w:spacing w:val="0"/>
          <w:szCs w:val="22"/>
          <w:vertAlign w:val="subscript"/>
        </w:rPr>
        <w:t>NDM-4</w:t>
      </w:r>
      <w:r w:rsidRPr="00161CDB">
        <w:rPr>
          <w:rStyle w:val="IntenseReference"/>
          <w:rFonts w:cs="Arial"/>
          <w:b w:val="0"/>
          <w:bCs w:val="0"/>
          <w:i w:val="0"/>
          <w:smallCaps w:val="0"/>
          <w:color w:val="auto"/>
          <w:spacing w:val="0"/>
          <w:szCs w:val="22"/>
        </w:rPr>
        <w:t xml:space="preserve"> (13%, 6/47), and</w:t>
      </w:r>
      <w:r w:rsidRPr="00161CDB">
        <w:rPr>
          <w:rStyle w:val="IntenseReference"/>
          <w:rFonts w:cs="Arial"/>
          <w:b w:val="0"/>
          <w:bCs w:val="0"/>
          <w:i w:val="0"/>
          <w:smallCaps w:val="0"/>
          <w:color w:val="auto"/>
          <w:spacing w:val="0"/>
          <w:szCs w:val="22"/>
          <w:vertAlign w:val="subscript"/>
        </w:rPr>
        <w:t xml:space="preserve"> </w:t>
      </w:r>
      <w:r w:rsidRPr="00161CDB">
        <w:rPr>
          <w:rStyle w:val="IntenseReference"/>
          <w:rFonts w:cs="Arial"/>
          <w:b w:val="0"/>
          <w:bCs w:val="0"/>
          <w:smallCaps w:val="0"/>
          <w:color w:val="auto"/>
          <w:spacing w:val="0"/>
          <w:szCs w:val="22"/>
        </w:rPr>
        <w:t>bla</w:t>
      </w:r>
      <w:r w:rsidRPr="00161CDB">
        <w:rPr>
          <w:rStyle w:val="IntenseReference"/>
          <w:rFonts w:cs="Arial"/>
          <w:b w:val="0"/>
          <w:bCs w:val="0"/>
          <w:i w:val="0"/>
          <w:smallCaps w:val="0"/>
          <w:color w:val="auto"/>
          <w:spacing w:val="0"/>
          <w:szCs w:val="22"/>
          <w:vertAlign w:val="subscript"/>
        </w:rPr>
        <w:t>NDM-7</w:t>
      </w:r>
      <w:r w:rsidRPr="00161CDB">
        <w:rPr>
          <w:rStyle w:val="IntenseReference"/>
          <w:rFonts w:cs="Arial"/>
          <w:b w:val="0"/>
          <w:bCs w:val="0"/>
          <w:i w:val="0"/>
          <w:smallCaps w:val="0"/>
          <w:color w:val="auto"/>
          <w:spacing w:val="0"/>
          <w:szCs w:val="22"/>
        </w:rPr>
        <w:t xml:space="preserve"> (6%, 3/47).</w:t>
      </w:r>
    </w:p>
    <w:p w:rsidR="000710F0" w:rsidRDefault="000710F0" w:rsidP="000710F0">
      <w:pPr>
        <w:spacing w:before="120"/>
        <w:rPr>
          <w:rStyle w:val="IntenseReference"/>
          <w:rFonts w:cs="Arial"/>
          <w:b w:val="0"/>
          <w:bCs w:val="0"/>
          <w:i w:val="0"/>
          <w:smallCaps w:val="0"/>
          <w:color w:val="auto"/>
          <w:spacing w:val="0"/>
          <w:szCs w:val="22"/>
        </w:rPr>
      </w:pPr>
      <w:r w:rsidRPr="00E644D8">
        <w:rPr>
          <w:rStyle w:val="IntenseReference"/>
          <w:rFonts w:cs="Arial"/>
          <w:b w:val="0"/>
          <w:bCs w:val="0"/>
          <w:i w:val="0"/>
          <w:smallCaps w:val="0"/>
          <w:color w:val="auto"/>
          <w:spacing w:val="0"/>
          <w:szCs w:val="22"/>
        </w:rPr>
        <w:lastRenderedPageBreak/>
        <w:t>Ribosomal methyl</w:t>
      </w:r>
      <w:r>
        <w:rPr>
          <w:rStyle w:val="IntenseReference"/>
          <w:rFonts w:cs="Arial"/>
          <w:b w:val="0"/>
          <w:bCs w:val="0"/>
          <w:i w:val="0"/>
          <w:smallCaps w:val="0"/>
          <w:color w:val="auto"/>
          <w:spacing w:val="0"/>
          <w:szCs w:val="22"/>
        </w:rPr>
        <w:t>transfer</w:t>
      </w:r>
      <w:r w:rsidRPr="00E644D8">
        <w:rPr>
          <w:rStyle w:val="IntenseReference"/>
          <w:rFonts w:cs="Arial"/>
          <w:b w:val="0"/>
          <w:bCs w:val="0"/>
          <w:i w:val="0"/>
          <w:smallCaps w:val="0"/>
          <w:color w:val="auto"/>
          <w:spacing w:val="0"/>
          <w:szCs w:val="22"/>
        </w:rPr>
        <w:t xml:space="preserve">ases were often detected among isolates </w:t>
      </w:r>
      <w:r>
        <w:rPr>
          <w:rStyle w:val="IntenseReference"/>
          <w:rFonts w:cs="Arial"/>
          <w:b w:val="0"/>
          <w:bCs w:val="0"/>
          <w:i w:val="0"/>
          <w:smallCaps w:val="0"/>
          <w:color w:val="auto"/>
          <w:spacing w:val="0"/>
          <w:szCs w:val="22"/>
        </w:rPr>
        <w:t xml:space="preserve">containing NDM </w:t>
      </w:r>
      <w:r w:rsidRPr="00F00965">
        <w:rPr>
          <w:rStyle w:val="IntenseReference"/>
          <w:rFonts w:cs="Arial"/>
          <w:b w:val="0"/>
          <w:bCs w:val="0"/>
          <w:i w:val="0"/>
          <w:smallCaps w:val="0"/>
          <w:color w:val="auto"/>
          <w:spacing w:val="0"/>
          <w:szCs w:val="22"/>
        </w:rPr>
        <w:t xml:space="preserve">types (25%, 21/84; </w:t>
      </w:r>
      <w:r w:rsidRPr="00F00965">
        <w:rPr>
          <w:rStyle w:val="IntenseReference"/>
          <w:rFonts w:cs="Arial"/>
          <w:b w:val="0"/>
          <w:bCs w:val="0"/>
          <w:smallCaps w:val="0"/>
          <w:color w:val="auto"/>
          <w:spacing w:val="0"/>
          <w:szCs w:val="22"/>
        </w:rPr>
        <w:t>rmtB</w:t>
      </w:r>
      <w:r w:rsidRPr="00F00965">
        <w:rPr>
          <w:rStyle w:val="IntenseReference"/>
          <w:rFonts w:cs="Arial"/>
          <w:b w:val="0"/>
          <w:bCs w:val="0"/>
          <w:i w:val="0"/>
          <w:smallCaps w:val="0"/>
          <w:color w:val="auto"/>
          <w:spacing w:val="0"/>
          <w:szCs w:val="22"/>
        </w:rPr>
        <w:t xml:space="preserve"> [15], </w:t>
      </w:r>
      <w:r w:rsidRPr="00F00965">
        <w:rPr>
          <w:rStyle w:val="IntenseReference"/>
          <w:rFonts w:cs="Arial"/>
          <w:b w:val="0"/>
          <w:bCs w:val="0"/>
          <w:smallCaps w:val="0"/>
          <w:color w:val="auto"/>
          <w:spacing w:val="0"/>
          <w:szCs w:val="22"/>
        </w:rPr>
        <w:t>armA</w:t>
      </w:r>
      <w:r w:rsidRPr="00F00965">
        <w:rPr>
          <w:rStyle w:val="IntenseReference"/>
          <w:rFonts w:cs="Arial"/>
          <w:b w:val="0"/>
          <w:bCs w:val="0"/>
          <w:i w:val="0"/>
          <w:smallCaps w:val="0"/>
          <w:color w:val="auto"/>
          <w:spacing w:val="0"/>
          <w:szCs w:val="22"/>
        </w:rPr>
        <w:t xml:space="preserve"> [3], </w:t>
      </w:r>
      <w:r w:rsidRPr="00F00965">
        <w:rPr>
          <w:rStyle w:val="IntenseReference"/>
          <w:rFonts w:cs="Arial"/>
          <w:b w:val="0"/>
          <w:bCs w:val="0"/>
          <w:smallCaps w:val="0"/>
          <w:color w:val="auto"/>
          <w:spacing w:val="0"/>
          <w:szCs w:val="22"/>
        </w:rPr>
        <w:t>rmtC</w:t>
      </w:r>
      <w:r w:rsidRPr="00F00965">
        <w:rPr>
          <w:rStyle w:val="IntenseReference"/>
          <w:rFonts w:cs="Arial"/>
          <w:b w:val="0"/>
          <w:bCs w:val="0"/>
          <w:i w:val="0"/>
          <w:smallCaps w:val="0"/>
          <w:color w:val="auto"/>
          <w:spacing w:val="0"/>
          <w:szCs w:val="22"/>
        </w:rPr>
        <w:t xml:space="preserve"> [1], r</w:t>
      </w:r>
      <w:r w:rsidRPr="00F00965">
        <w:rPr>
          <w:rStyle w:val="IntenseReference"/>
          <w:rFonts w:cs="Arial"/>
          <w:b w:val="0"/>
          <w:bCs w:val="0"/>
          <w:smallCaps w:val="0"/>
          <w:color w:val="auto"/>
          <w:spacing w:val="0"/>
          <w:szCs w:val="22"/>
        </w:rPr>
        <w:t>mtB</w:t>
      </w:r>
      <w:r w:rsidRPr="00F00965">
        <w:rPr>
          <w:rStyle w:val="IntenseReference"/>
          <w:rFonts w:cs="Arial"/>
          <w:b w:val="0"/>
          <w:bCs w:val="0"/>
          <w:i w:val="0"/>
          <w:smallCaps w:val="0"/>
          <w:color w:val="auto"/>
          <w:spacing w:val="0"/>
          <w:szCs w:val="22"/>
        </w:rPr>
        <w:t>+</w:t>
      </w:r>
      <w:r w:rsidRPr="00F00965">
        <w:rPr>
          <w:rStyle w:val="IntenseReference"/>
          <w:rFonts w:cs="Arial"/>
          <w:b w:val="0"/>
          <w:bCs w:val="0"/>
          <w:smallCaps w:val="0"/>
          <w:color w:val="auto"/>
          <w:spacing w:val="0"/>
          <w:szCs w:val="22"/>
        </w:rPr>
        <w:t>rmtF</w:t>
      </w:r>
      <w:r w:rsidRPr="00F00965">
        <w:rPr>
          <w:rStyle w:val="IntenseReference"/>
          <w:rFonts w:cs="Arial"/>
          <w:b w:val="0"/>
          <w:bCs w:val="0"/>
          <w:i w:val="0"/>
          <w:smallCaps w:val="0"/>
          <w:color w:val="auto"/>
          <w:spacing w:val="0"/>
          <w:szCs w:val="22"/>
        </w:rPr>
        <w:t xml:space="preserve"> [1] and </w:t>
      </w:r>
      <w:r w:rsidRPr="00F00965">
        <w:rPr>
          <w:rStyle w:val="IntenseReference"/>
          <w:rFonts w:cs="Arial"/>
          <w:b w:val="0"/>
          <w:bCs w:val="0"/>
          <w:smallCaps w:val="0"/>
          <w:color w:val="auto"/>
          <w:spacing w:val="0"/>
          <w:szCs w:val="22"/>
        </w:rPr>
        <w:t>rmtB</w:t>
      </w:r>
      <w:r w:rsidRPr="00F00965">
        <w:rPr>
          <w:rStyle w:val="IntenseReference"/>
          <w:rFonts w:cs="Arial"/>
          <w:b w:val="0"/>
          <w:bCs w:val="0"/>
          <w:i w:val="0"/>
          <w:smallCaps w:val="0"/>
          <w:color w:val="auto"/>
          <w:spacing w:val="0"/>
          <w:szCs w:val="22"/>
        </w:rPr>
        <w:t>+</w:t>
      </w:r>
      <w:r w:rsidRPr="00F00965">
        <w:rPr>
          <w:rStyle w:val="IntenseReference"/>
          <w:rFonts w:cs="Arial"/>
          <w:b w:val="0"/>
          <w:bCs w:val="0"/>
          <w:smallCaps w:val="0"/>
          <w:color w:val="auto"/>
          <w:spacing w:val="0"/>
          <w:szCs w:val="22"/>
        </w:rPr>
        <w:t>rmtE</w:t>
      </w:r>
      <w:r w:rsidRPr="00F00965">
        <w:rPr>
          <w:rStyle w:val="IntenseReference"/>
          <w:rFonts w:cs="Arial"/>
          <w:b w:val="0"/>
          <w:bCs w:val="0"/>
          <w:i w:val="0"/>
          <w:smallCaps w:val="0"/>
          <w:color w:val="auto"/>
          <w:spacing w:val="0"/>
          <w:szCs w:val="22"/>
        </w:rPr>
        <w:t xml:space="preserve"> [1]).</w:t>
      </w:r>
    </w:p>
    <w:p w:rsidR="000710F0" w:rsidRDefault="000710F0" w:rsidP="000710F0">
      <w:pPr>
        <w:spacing w:before="120"/>
        <w:rPr>
          <w:rStyle w:val="IntenseReference"/>
          <w:rFonts w:cs="Arial"/>
          <w:b w:val="0"/>
          <w:bCs w:val="0"/>
          <w:i w:val="0"/>
          <w:smallCaps w:val="0"/>
          <w:color w:val="auto"/>
          <w:spacing w:val="0"/>
          <w:szCs w:val="22"/>
        </w:rPr>
      </w:pPr>
      <w:r w:rsidRPr="00FE1470">
        <w:rPr>
          <w:rStyle w:val="IntenseReference"/>
          <w:rFonts w:cs="Arial"/>
          <w:b w:val="0"/>
          <w:bCs w:val="0"/>
          <w:smallCaps w:val="0"/>
          <w:color w:val="auto"/>
          <w:spacing w:val="0"/>
          <w:szCs w:val="22"/>
        </w:rPr>
        <w:t>Klebsiella pneumoniae</w:t>
      </w:r>
      <w:r w:rsidRPr="00FE1470">
        <w:rPr>
          <w:rStyle w:val="IntenseReference"/>
          <w:rFonts w:cs="Arial"/>
          <w:b w:val="0"/>
          <w:bCs w:val="0"/>
          <w:i w:val="0"/>
          <w:smallCaps w:val="0"/>
          <w:color w:val="auto"/>
          <w:spacing w:val="0"/>
          <w:szCs w:val="22"/>
        </w:rPr>
        <w:t xml:space="preserve"> carbapenemase (KPC) types were mostly confined to </w:t>
      </w:r>
      <w:r w:rsidRPr="00F00965">
        <w:rPr>
          <w:rStyle w:val="IntenseReference"/>
          <w:rFonts w:cs="Arial"/>
          <w:b w:val="0"/>
          <w:bCs w:val="0"/>
          <w:i w:val="0"/>
          <w:smallCaps w:val="0"/>
          <w:color w:val="auto"/>
          <w:spacing w:val="0"/>
          <w:szCs w:val="22"/>
        </w:rPr>
        <w:t xml:space="preserve">Victoria (57%, 13/23), although </w:t>
      </w:r>
      <w:r w:rsidR="002E7825">
        <w:rPr>
          <w:rStyle w:val="IntenseReference"/>
          <w:rFonts w:cs="Arial"/>
          <w:b w:val="0"/>
          <w:bCs w:val="0"/>
          <w:i w:val="0"/>
          <w:smallCaps w:val="0"/>
          <w:color w:val="auto"/>
          <w:spacing w:val="0"/>
          <w:szCs w:val="22"/>
        </w:rPr>
        <w:t xml:space="preserve">there were </w:t>
      </w:r>
      <w:r w:rsidRPr="00F00965">
        <w:rPr>
          <w:rStyle w:val="IntenseReference"/>
          <w:rFonts w:cs="Arial"/>
          <w:b w:val="0"/>
          <w:bCs w:val="0"/>
          <w:i w:val="0"/>
          <w:smallCaps w:val="0"/>
          <w:color w:val="auto"/>
          <w:spacing w:val="0"/>
          <w:szCs w:val="22"/>
        </w:rPr>
        <w:t xml:space="preserve">reports </w:t>
      </w:r>
      <w:r w:rsidR="002E7825">
        <w:rPr>
          <w:rStyle w:val="IntenseReference"/>
          <w:rFonts w:cs="Arial"/>
          <w:b w:val="0"/>
          <w:bCs w:val="0"/>
          <w:i w:val="0"/>
          <w:smallCaps w:val="0"/>
          <w:color w:val="auto"/>
          <w:spacing w:val="0"/>
          <w:szCs w:val="22"/>
        </w:rPr>
        <w:t>from</w:t>
      </w:r>
      <w:r w:rsidRPr="00F00965">
        <w:rPr>
          <w:rStyle w:val="IntenseReference"/>
          <w:rFonts w:cs="Arial"/>
          <w:b w:val="0"/>
          <w:bCs w:val="0"/>
          <w:i w:val="0"/>
          <w:smallCaps w:val="0"/>
          <w:color w:val="auto"/>
          <w:spacing w:val="0"/>
          <w:szCs w:val="22"/>
        </w:rPr>
        <w:t xml:space="preserve"> three other states (New South Wales, n=4; Queensland, n=2; and South Australia, n=2).</w:t>
      </w:r>
      <w:r w:rsidRPr="00FE1470">
        <w:rPr>
          <w:rStyle w:val="IntenseReference"/>
          <w:rFonts w:cs="Arial"/>
          <w:b w:val="0"/>
          <w:bCs w:val="0"/>
          <w:i w:val="0"/>
          <w:smallCaps w:val="0"/>
          <w:color w:val="auto"/>
          <w:spacing w:val="0"/>
          <w:szCs w:val="22"/>
        </w:rPr>
        <w:t xml:space="preserve"> </w:t>
      </w:r>
    </w:p>
    <w:p w:rsidR="007D4987" w:rsidRDefault="000710F0" w:rsidP="00576FBE">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No CPE have been reported from the Northern Territory to date.</w:t>
      </w:r>
    </w:p>
    <w:p w:rsidR="00506045" w:rsidRPr="008743AA" w:rsidRDefault="00506045" w:rsidP="008743AA">
      <w:pPr>
        <w:pStyle w:val="Caption"/>
        <w:keepNext/>
        <w:spacing w:after="0"/>
        <w:ind w:left="1440" w:hanging="1440"/>
        <w:rPr>
          <w:i w:val="0"/>
          <w:color w:val="auto"/>
          <w:sz w:val="22"/>
          <w:szCs w:val="22"/>
        </w:rPr>
      </w:pPr>
    </w:p>
    <w:p w:rsidR="00FE0F08" w:rsidRDefault="00B833F8" w:rsidP="00AE718B">
      <w:pPr>
        <w:pStyle w:val="Caption"/>
        <w:keepNext/>
        <w:ind w:left="1134" w:hanging="1134"/>
        <w:rPr>
          <w:rFonts w:cs="Arial"/>
          <w:b/>
          <w:i w:val="0"/>
          <w:color w:val="auto"/>
        </w:rPr>
      </w:pPr>
      <w:r w:rsidRPr="001C7F56">
        <w:rPr>
          <w:b/>
          <w:i w:val="0"/>
          <w:color w:val="auto"/>
        </w:rPr>
        <w:t xml:space="preserve">Figure </w:t>
      </w:r>
      <w:r w:rsidRPr="001C7F56">
        <w:rPr>
          <w:b/>
          <w:i w:val="0"/>
          <w:color w:val="auto"/>
        </w:rPr>
        <w:fldChar w:fldCharType="begin"/>
      </w:r>
      <w:r w:rsidRPr="001C7F56">
        <w:rPr>
          <w:b/>
          <w:i w:val="0"/>
          <w:color w:val="auto"/>
        </w:rPr>
        <w:instrText xml:space="preserve"> SEQ Figure \* ARABIC </w:instrText>
      </w:r>
      <w:r w:rsidRPr="001C7F56">
        <w:rPr>
          <w:b/>
          <w:i w:val="0"/>
          <w:color w:val="auto"/>
        </w:rPr>
        <w:fldChar w:fldCharType="separate"/>
      </w:r>
      <w:r w:rsidR="007A7F88">
        <w:rPr>
          <w:b/>
          <w:i w:val="0"/>
          <w:noProof/>
          <w:color w:val="auto"/>
        </w:rPr>
        <w:t>8</w:t>
      </w:r>
      <w:r w:rsidRPr="001C7F56">
        <w:rPr>
          <w:b/>
          <w:i w:val="0"/>
          <w:color w:val="auto"/>
        </w:rPr>
        <w:fldChar w:fldCharType="end"/>
      </w:r>
      <w:r w:rsidR="00506045">
        <w:rPr>
          <w:b/>
          <w:i w:val="0"/>
          <w:color w:val="auto"/>
        </w:rPr>
        <w:tab/>
      </w:r>
      <w:r w:rsidRPr="001C7F56">
        <w:rPr>
          <w:rFonts w:cs="Arial"/>
          <w:b/>
          <w:i w:val="0"/>
          <w:color w:val="auto"/>
        </w:rPr>
        <w:t>Carbapenemase types as a proportion of all carbapenemases, number (A) and percentage (B) reported by stat</w:t>
      </w:r>
      <w:r w:rsidR="00CB12AA" w:rsidRPr="001C7F56">
        <w:rPr>
          <w:rFonts w:cs="Arial"/>
          <w:b/>
          <w:i w:val="0"/>
          <w:color w:val="auto"/>
        </w:rPr>
        <w:t xml:space="preserve">e and territory, </w:t>
      </w:r>
      <w:r w:rsidR="000710F0">
        <w:rPr>
          <w:rFonts w:cs="Arial"/>
          <w:b/>
          <w:i w:val="0"/>
          <w:color w:val="auto"/>
        </w:rPr>
        <w:t xml:space="preserve">17 </w:t>
      </w:r>
      <w:r w:rsidR="00CB12AA" w:rsidRPr="001C7F56">
        <w:rPr>
          <w:rFonts w:cs="Arial"/>
          <w:b/>
          <w:i w:val="0"/>
          <w:color w:val="auto"/>
        </w:rPr>
        <w:t>March</w:t>
      </w:r>
      <w:r w:rsidR="000710F0">
        <w:rPr>
          <w:rFonts w:cs="Arial"/>
          <w:b/>
          <w:i w:val="0"/>
          <w:color w:val="auto"/>
        </w:rPr>
        <w:t xml:space="preserve"> 2016</w:t>
      </w:r>
      <w:r w:rsidR="00CB12AA" w:rsidRPr="001C7F56">
        <w:rPr>
          <w:rFonts w:cs="Arial"/>
          <w:b/>
          <w:i w:val="0"/>
          <w:color w:val="auto"/>
        </w:rPr>
        <w:t>–</w:t>
      </w:r>
      <w:r w:rsidR="000710F0">
        <w:rPr>
          <w:rFonts w:cs="Arial"/>
          <w:b/>
          <w:i w:val="0"/>
          <w:color w:val="auto"/>
        </w:rPr>
        <w:t>31 March 2017</w:t>
      </w:r>
    </w:p>
    <w:p w:rsidR="008743AA" w:rsidRPr="001C7F56" w:rsidRDefault="008743AA" w:rsidP="008743AA">
      <w:pPr>
        <w:rPr>
          <w:rFonts w:cs="Arial"/>
          <w:b/>
          <w:sz w:val="18"/>
        </w:rPr>
      </w:pPr>
      <w:r w:rsidRPr="00307233">
        <w:rPr>
          <w:rFonts w:cs="Arial"/>
          <w:b/>
          <w:sz w:val="18"/>
        </w:rPr>
        <w:t>A</w:t>
      </w:r>
      <w:r>
        <w:rPr>
          <w:rFonts w:cs="Arial"/>
          <w:b/>
          <w:sz w:val="18"/>
        </w:rPr>
        <w:t>.</w:t>
      </w:r>
      <w:r w:rsidRPr="00307233">
        <w:rPr>
          <w:rFonts w:cs="Arial"/>
          <w:b/>
          <w:sz w:val="18"/>
        </w:rPr>
        <w:t xml:space="preserve"> Number by state and territory</w:t>
      </w:r>
      <w:r w:rsidRPr="001C7F56">
        <w:rPr>
          <w:rFonts w:cs="Arial"/>
          <w:b/>
          <w:sz w:val="18"/>
        </w:rPr>
        <w:t xml:space="preserve"> </w:t>
      </w:r>
    </w:p>
    <w:p w:rsidR="008743AA" w:rsidRDefault="008743AA" w:rsidP="00B833F8">
      <w:pPr>
        <w:rPr>
          <w:noProof/>
          <w:lang w:eastAsia="en-AU"/>
        </w:rPr>
      </w:pPr>
      <w:r>
        <w:rPr>
          <w:noProof/>
          <w:lang w:eastAsia="en-AU"/>
        </w:rPr>
        <w:drawing>
          <wp:inline distT="0" distB="0" distL="0" distR="0" wp14:anchorId="0BE1278A">
            <wp:extent cx="6096635" cy="3469005"/>
            <wp:effectExtent l="0" t="0" r="0" b="0"/>
            <wp:docPr id="35" name="Picture 35" descr="This figure shows Carbapenemase types as a proportion of all carbapenemases, number reported by state and territory, 17 March 2016–31 March 2017" title="Figure 8 Carbapenemase types as a proportion of all carbapenemases reported by state and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635" cy="3469005"/>
                    </a:xfrm>
                    <a:prstGeom prst="rect">
                      <a:avLst/>
                    </a:prstGeom>
                    <a:noFill/>
                  </pic:spPr>
                </pic:pic>
              </a:graphicData>
            </a:graphic>
          </wp:inline>
        </w:drawing>
      </w:r>
    </w:p>
    <w:p w:rsidR="008743AA" w:rsidRPr="001C7F56" w:rsidRDefault="008743AA" w:rsidP="00AE718B">
      <w:pPr>
        <w:spacing w:before="120" w:after="120"/>
        <w:rPr>
          <w:rFonts w:cs="Arial"/>
          <w:b/>
          <w:sz w:val="18"/>
        </w:rPr>
      </w:pPr>
      <w:r w:rsidRPr="00E54BB6">
        <w:rPr>
          <w:rFonts w:cs="Arial"/>
          <w:b/>
          <w:sz w:val="18"/>
        </w:rPr>
        <w:t>B. Percentage by state and territory</w:t>
      </w:r>
      <w:r w:rsidRPr="001C7F56">
        <w:rPr>
          <w:rFonts w:cs="Arial"/>
          <w:b/>
          <w:sz w:val="18"/>
        </w:rPr>
        <w:t xml:space="preserve"> </w:t>
      </w:r>
    </w:p>
    <w:p w:rsidR="008743AA" w:rsidRDefault="008743AA" w:rsidP="008743AA">
      <w:pPr>
        <w:rPr>
          <w:rStyle w:val="IntenseReference"/>
          <w:rFonts w:cs="Arial"/>
          <w:b w:val="0"/>
          <w:bCs w:val="0"/>
          <w:i w:val="0"/>
          <w:smallCaps w:val="0"/>
          <w:color w:val="auto"/>
          <w:spacing w:val="0"/>
          <w:szCs w:val="22"/>
        </w:rPr>
      </w:pPr>
      <w:r>
        <w:rPr>
          <w:rFonts w:cs="Arial"/>
          <w:noProof/>
          <w:szCs w:val="22"/>
          <w:lang w:eastAsia="en-AU"/>
        </w:rPr>
        <w:drawing>
          <wp:inline distT="0" distB="0" distL="0" distR="0" wp14:anchorId="7034AE8C" wp14:editId="3019333C">
            <wp:extent cx="6096635" cy="3469005"/>
            <wp:effectExtent l="0" t="0" r="0" b="0"/>
            <wp:docPr id="40" name="Picture 40" descr="This figure shows Carbapenemase types as a proportion of all carbapenemases, percentage reported by state and territory, 17 March 2016–31 March 2017" title="Figure 8 Carbapenemase types as a proportion of all carbapenemases reported by state and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635" cy="3469005"/>
                    </a:xfrm>
                    <a:prstGeom prst="rect">
                      <a:avLst/>
                    </a:prstGeom>
                    <a:noFill/>
                  </pic:spPr>
                </pic:pic>
              </a:graphicData>
            </a:graphic>
          </wp:inline>
        </w:drawing>
      </w:r>
    </w:p>
    <w:p w:rsidR="00563088" w:rsidRDefault="00563088" w:rsidP="00563088">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lastRenderedPageBreak/>
        <w:t xml:space="preserve">The distribution of carbapenemase types by state and territory and month of confirmation is shown in </w:t>
      </w:r>
      <w:r w:rsidRPr="00E02FF7">
        <w:rPr>
          <w:rStyle w:val="IntenseReference"/>
          <w:rFonts w:cs="Arial"/>
          <w:b w:val="0"/>
          <w:bCs w:val="0"/>
          <w:i w:val="0"/>
          <w:smallCaps w:val="0"/>
          <w:color w:val="auto"/>
          <w:spacing w:val="0"/>
          <w:szCs w:val="22"/>
        </w:rPr>
        <w:t xml:space="preserve">Figure </w:t>
      </w:r>
      <w:r>
        <w:rPr>
          <w:rStyle w:val="IntenseReference"/>
          <w:rFonts w:cs="Arial"/>
          <w:b w:val="0"/>
          <w:bCs w:val="0"/>
          <w:i w:val="0"/>
          <w:smallCaps w:val="0"/>
          <w:color w:val="auto"/>
          <w:spacing w:val="0"/>
          <w:szCs w:val="22"/>
        </w:rPr>
        <w:t>9</w:t>
      </w:r>
      <w:r w:rsidRPr="00E02FF7">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The sharp increase noted in October 2016 and March 2017 for Victoria reflects several isolates that were collected in the previous month. Of interest is the emergence of two </w:t>
      </w:r>
      <w:r w:rsidRPr="00517C4B">
        <w:rPr>
          <w:rStyle w:val="IntenseReference"/>
          <w:rFonts w:cs="Arial"/>
          <w:b w:val="0"/>
          <w:bCs w:val="0"/>
          <w:smallCaps w:val="0"/>
          <w:color w:val="auto"/>
          <w:spacing w:val="0"/>
          <w:szCs w:val="22"/>
        </w:rPr>
        <w:t>Serratia marcescens</w:t>
      </w:r>
      <w:r>
        <w:rPr>
          <w:rStyle w:val="IntenseReference"/>
          <w:rFonts w:cs="Arial"/>
          <w:b w:val="0"/>
          <w:bCs w:val="0"/>
          <w:i w:val="0"/>
          <w:smallCaps w:val="0"/>
          <w:color w:val="auto"/>
          <w:spacing w:val="0"/>
          <w:szCs w:val="22"/>
        </w:rPr>
        <w:t xml:space="preserve"> with </w:t>
      </w:r>
      <w:r w:rsidRPr="006A21D7">
        <w:rPr>
          <w:rStyle w:val="IntenseReference"/>
          <w:rFonts w:cs="Arial"/>
          <w:b w:val="0"/>
          <w:bCs w:val="0"/>
          <w:i w:val="0"/>
          <w:smallCaps w:val="0"/>
          <w:color w:val="auto"/>
          <w:spacing w:val="0"/>
          <w:szCs w:val="22"/>
        </w:rPr>
        <w:t>SME</w:t>
      </w:r>
      <w:r>
        <w:rPr>
          <w:rStyle w:val="IntenseReference"/>
          <w:rFonts w:cs="Arial"/>
          <w:b w:val="0"/>
          <w:bCs w:val="0"/>
          <w:i w:val="0"/>
          <w:smallCaps w:val="0"/>
          <w:color w:val="auto"/>
          <w:spacing w:val="0"/>
          <w:szCs w:val="22"/>
        </w:rPr>
        <w:t xml:space="preserve"> type in Victoria. There have been increasing numbers of SME carbapenemases reported globally</w:t>
      </w:r>
      <w:r w:rsidR="00934264">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especially in the Americas.</w:t>
      </w:r>
      <w:r w:rsidRPr="00A3467A">
        <w:rPr>
          <w:rStyle w:val="IntenseReference"/>
          <w:rFonts w:cs="Arial"/>
          <w:b w:val="0"/>
          <w:bCs w:val="0"/>
          <w:i w:val="0"/>
          <w:smallCaps w:val="0"/>
          <w:color w:val="auto"/>
          <w:spacing w:val="0"/>
          <w:szCs w:val="22"/>
        </w:rPr>
        <w:t xml:space="preserve"> </w:t>
      </w:r>
      <w:r>
        <w:rPr>
          <w:rStyle w:val="IntenseReference"/>
          <w:rFonts w:cs="Arial"/>
          <w:b w:val="0"/>
          <w:bCs w:val="0"/>
          <w:i w:val="0"/>
          <w:smallCaps w:val="0"/>
          <w:color w:val="auto"/>
          <w:spacing w:val="0"/>
          <w:szCs w:val="22"/>
        </w:rPr>
        <w:t xml:space="preserve">One </w:t>
      </w:r>
      <w:r w:rsidRPr="00A3467A">
        <w:rPr>
          <w:rStyle w:val="IntenseReference"/>
          <w:rFonts w:cs="Arial"/>
          <w:b w:val="0"/>
          <w:bCs w:val="0"/>
          <w:smallCaps w:val="0"/>
          <w:color w:val="auto"/>
          <w:spacing w:val="0"/>
          <w:szCs w:val="22"/>
        </w:rPr>
        <w:t xml:space="preserve">E. coli </w:t>
      </w:r>
      <w:r>
        <w:rPr>
          <w:rStyle w:val="IntenseReference"/>
          <w:rFonts w:cs="Arial"/>
          <w:b w:val="0"/>
          <w:bCs w:val="0"/>
          <w:i w:val="0"/>
          <w:smallCaps w:val="0"/>
          <w:color w:val="auto"/>
          <w:spacing w:val="0"/>
          <w:szCs w:val="22"/>
        </w:rPr>
        <w:t>with OXA-23-like carbapenemase was also reported from Victoria in January 2017.</w:t>
      </w:r>
    </w:p>
    <w:p w:rsidR="00517C4B" w:rsidRDefault="00517C4B" w:rsidP="00576FBE">
      <w:pPr>
        <w:spacing w:before="120"/>
        <w:rPr>
          <w:rStyle w:val="IntenseReference"/>
          <w:rFonts w:cs="Arial"/>
          <w:b w:val="0"/>
          <w:bCs w:val="0"/>
          <w:i w:val="0"/>
          <w:smallCaps w:val="0"/>
          <w:color w:val="auto"/>
          <w:spacing w:val="0"/>
          <w:szCs w:val="22"/>
        </w:rPr>
      </w:pPr>
    </w:p>
    <w:p w:rsidR="008743AA" w:rsidRDefault="00581B14" w:rsidP="00AE718B">
      <w:pPr>
        <w:pStyle w:val="Caption"/>
        <w:keepNext/>
        <w:ind w:left="1134" w:hanging="1134"/>
        <w:rPr>
          <w:lang w:eastAsia="en-AU"/>
        </w:rPr>
      </w:pPr>
      <w:r w:rsidRPr="001C7F56">
        <w:rPr>
          <w:rFonts w:cs="Arial"/>
          <w:b/>
          <w:i w:val="0"/>
          <w:color w:val="auto"/>
        </w:rPr>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A7F88">
        <w:rPr>
          <w:rFonts w:cs="Arial"/>
          <w:b/>
          <w:i w:val="0"/>
          <w:noProof/>
          <w:color w:val="auto"/>
        </w:rPr>
        <w:t>9</w:t>
      </w:r>
      <w:r w:rsidR="00B833F8" w:rsidRPr="001C7F56">
        <w:rPr>
          <w:rFonts w:cs="Arial"/>
          <w:b/>
          <w:i w:val="0"/>
          <w:color w:val="auto"/>
        </w:rPr>
        <w:fldChar w:fldCharType="end"/>
      </w:r>
      <w:r w:rsidR="00506045">
        <w:rPr>
          <w:rFonts w:cs="Arial"/>
          <w:b/>
          <w:i w:val="0"/>
          <w:color w:val="auto"/>
        </w:rPr>
        <w:tab/>
      </w:r>
      <w:r w:rsidR="00E35968" w:rsidRPr="001C7F56">
        <w:rPr>
          <w:rFonts w:cs="Arial"/>
          <w:b/>
          <w:i w:val="0"/>
          <w:iCs w:val="0"/>
          <w:noProof/>
          <w:color w:val="auto"/>
          <w:lang w:eastAsia="en-AU"/>
        </w:rPr>
        <w:t>C</w:t>
      </w:r>
      <w:r w:rsidR="00605555" w:rsidRPr="001C7F56">
        <w:rPr>
          <w:rFonts w:cs="Arial"/>
          <w:b/>
          <w:i w:val="0"/>
          <w:iCs w:val="0"/>
          <w:noProof/>
          <w:color w:val="auto"/>
          <w:lang w:eastAsia="en-AU"/>
        </w:rPr>
        <w:t>arbapenemase</w:t>
      </w:r>
      <w:r w:rsidR="00E35968" w:rsidRPr="001C7F56">
        <w:rPr>
          <w:rFonts w:cs="Arial"/>
          <w:b/>
          <w:i w:val="0"/>
          <w:iCs w:val="0"/>
          <w:noProof/>
          <w:color w:val="auto"/>
          <w:lang w:eastAsia="en-AU"/>
        </w:rPr>
        <w:t xml:space="preserve"> type</w:t>
      </w:r>
      <w:r w:rsidR="00AC36C9" w:rsidRPr="001C7F56">
        <w:rPr>
          <w:rFonts w:cs="Arial"/>
          <w:b/>
          <w:i w:val="0"/>
          <w:iCs w:val="0"/>
          <w:noProof/>
          <w:color w:val="auto"/>
          <w:lang w:eastAsia="en-AU"/>
        </w:rPr>
        <w:t>s</w:t>
      </w:r>
      <w:r w:rsidR="00E35968" w:rsidRPr="001C7F56">
        <w:rPr>
          <w:rFonts w:cs="Arial"/>
          <w:b/>
          <w:i w:val="0"/>
          <w:iCs w:val="0"/>
          <w:noProof/>
          <w:color w:val="auto"/>
          <w:lang w:eastAsia="en-AU"/>
        </w:rPr>
        <w:t xml:space="preserve">, number reported by </w:t>
      </w:r>
      <w:r w:rsidR="00605555" w:rsidRPr="001C7F56">
        <w:rPr>
          <w:rFonts w:cs="Arial"/>
          <w:b/>
          <w:i w:val="0"/>
          <w:iCs w:val="0"/>
          <w:noProof/>
          <w:color w:val="auto"/>
          <w:lang w:eastAsia="en-AU"/>
        </w:rPr>
        <w:t xml:space="preserve">month and </w:t>
      </w:r>
      <w:r w:rsidR="00CB12AA" w:rsidRPr="001C7F56">
        <w:rPr>
          <w:rFonts w:cs="Arial"/>
          <w:b/>
          <w:i w:val="0"/>
          <w:iCs w:val="0"/>
          <w:noProof/>
          <w:color w:val="auto"/>
          <w:lang w:eastAsia="en-AU"/>
        </w:rPr>
        <w:t xml:space="preserve">state and territory, </w:t>
      </w:r>
      <w:r w:rsidR="00563088">
        <w:rPr>
          <w:rFonts w:cs="Arial"/>
          <w:b/>
          <w:i w:val="0"/>
          <w:iCs w:val="0"/>
          <w:noProof/>
          <w:color w:val="auto"/>
          <w:lang w:eastAsia="en-AU"/>
        </w:rPr>
        <w:t xml:space="preserve">17 </w:t>
      </w:r>
      <w:r w:rsidR="00CB12AA" w:rsidRPr="001C7F56">
        <w:rPr>
          <w:rFonts w:cs="Arial"/>
          <w:b/>
          <w:i w:val="0"/>
          <w:iCs w:val="0"/>
          <w:noProof/>
          <w:color w:val="auto"/>
          <w:lang w:eastAsia="en-AU"/>
        </w:rPr>
        <w:t>March</w:t>
      </w:r>
      <w:r w:rsidR="00563088">
        <w:rPr>
          <w:rFonts w:cs="Arial"/>
          <w:b/>
          <w:i w:val="0"/>
          <w:iCs w:val="0"/>
          <w:noProof/>
          <w:color w:val="auto"/>
          <w:lang w:eastAsia="en-AU"/>
        </w:rPr>
        <w:t xml:space="preserve"> 2016</w:t>
      </w:r>
      <w:r w:rsidR="00CB12AA" w:rsidRPr="001C7F56">
        <w:rPr>
          <w:rFonts w:cs="Arial"/>
          <w:b/>
          <w:i w:val="0"/>
          <w:iCs w:val="0"/>
          <w:noProof/>
          <w:color w:val="auto"/>
          <w:lang w:eastAsia="en-AU"/>
        </w:rPr>
        <w:t>–</w:t>
      </w:r>
      <w:r w:rsidR="00563088">
        <w:rPr>
          <w:rFonts w:cs="Arial"/>
          <w:b/>
          <w:i w:val="0"/>
          <w:iCs w:val="0"/>
          <w:noProof/>
          <w:color w:val="auto"/>
          <w:lang w:eastAsia="en-AU"/>
        </w:rPr>
        <w:t>31 March</w:t>
      </w:r>
      <w:r w:rsidR="00E35968" w:rsidRPr="001C7F56">
        <w:rPr>
          <w:rFonts w:cs="Arial"/>
          <w:b/>
          <w:i w:val="0"/>
          <w:iCs w:val="0"/>
          <w:noProof/>
          <w:color w:val="auto"/>
          <w:lang w:eastAsia="en-AU"/>
        </w:rPr>
        <w:t xml:space="preserve"> 201</w:t>
      </w:r>
      <w:r w:rsidR="00563088">
        <w:rPr>
          <w:rFonts w:cs="Arial"/>
          <w:b/>
          <w:i w:val="0"/>
          <w:iCs w:val="0"/>
          <w:noProof/>
          <w:color w:val="auto"/>
          <w:lang w:eastAsia="en-AU"/>
        </w:rPr>
        <w:t>7</w:t>
      </w:r>
    </w:p>
    <w:p w:rsidR="008743AA" w:rsidRPr="008743AA" w:rsidRDefault="008743AA" w:rsidP="008743AA">
      <w:pPr>
        <w:rPr>
          <w:lang w:eastAsia="en-AU"/>
        </w:rPr>
      </w:pPr>
      <w:r>
        <w:rPr>
          <w:noProof/>
          <w:lang w:eastAsia="en-AU"/>
        </w:rPr>
        <w:drawing>
          <wp:inline distT="0" distB="0" distL="0" distR="0" wp14:anchorId="0E431046">
            <wp:extent cx="6096635" cy="3359150"/>
            <wp:effectExtent l="0" t="0" r="0" b="0"/>
            <wp:docPr id="41" name="Picture 41" descr="This figure shows Carbapenemase types, number reported by month and state and territory, 17 March 2016–31 March 2017" title="Figure 9 Carbapenemase types, number reported by month and state and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635" cy="3359150"/>
                    </a:xfrm>
                    <a:prstGeom prst="rect">
                      <a:avLst/>
                    </a:prstGeom>
                    <a:noFill/>
                  </pic:spPr>
                </pic:pic>
              </a:graphicData>
            </a:graphic>
          </wp:inline>
        </w:drawing>
      </w:r>
    </w:p>
    <w:p w:rsidR="00750EAA" w:rsidRPr="00E02FF7" w:rsidRDefault="00750EAA" w:rsidP="00E02FF7">
      <w:pPr>
        <w:pStyle w:val="NoSpacing"/>
        <w:rPr>
          <w:rStyle w:val="IntenseReference"/>
          <w:rFonts w:ascii="Arial" w:hAnsi="Arial" w:cs="Arial"/>
          <w:b w:val="0"/>
          <w:bCs w:val="0"/>
          <w:i w:val="0"/>
          <w:smallCaps w:val="0"/>
          <w:color w:val="auto"/>
          <w:spacing w:val="0"/>
          <w:sz w:val="20"/>
          <w:szCs w:val="20"/>
        </w:rPr>
      </w:pPr>
    </w:p>
    <w:p w:rsidR="00B75EFF" w:rsidRPr="003949CF" w:rsidRDefault="003949CF">
      <w:pPr>
        <w:rPr>
          <w:rFonts w:cs="Arial"/>
          <w:sz w:val="16"/>
          <w:szCs w:val="16"/>
        </w:rPr>
      </w:pPr>
      <w:r w:rsidRPr="003949CF">
        <w:rPr>
          <w:rFonts w:cs="Arial"/>
          <w:sz w:val="16"/>
          <w:szCs w:val="16"/>
        </w:rPr>
        <w:t>Note</w:t>
      </w:r>
      <w:r w:rsidRPr="003949CF">
        <w:rPr>
          <w:rFonts w:cs="Arial"/>
          <w:sz w:val="16"/>
          <w:szCs w:val="16"/>
        </w:rPr>
        <w:tab/>
        <w:t>O=overseas</w:t>
      </w:r>
      <w:r>
        <w:rPr>
          <w:rFonts w:cs="Arial"/>
          <w:sz w:val="16"/>
          <w:szCs w:val="16"/>
        </w:rPr>
        <w:tab/>
        <w:t>U=unknown</w:t>
      </w:r>
    </w:p>
    <w:p w:rsidR="00576FBE" w:rsidRPr="00506045" w:rsidRDefault="001C7F56" w:rsidP="00164D03">
      <w:pPr>
        <w:pStyle w:val="Heading2"/>
        <w:spacing w:after="240"/>
        <w:rPr>
          <w:rStyle w:val="IntenseReference"/>
          <w:b/>
          <w:bCs/>
          <w:smallCaps w:val="0"/>
          <w:color w:val="AA610D" w:themeColor="accent1" w:themeShade="BF"/>
          <w:spacing w:val="0"/>
          <w:sz w:val="28"/>
        </w:rPr>
      </w:pPr>
      <w:bookmarkStart w:id="10" w:name="_Toc486425622"/>
      <w:r w:rsidRPr="00506045">
        <w:rPr>
          <w:rStyle w:val="IntenseReference"/>
          <w:b/>
          <w:bCs/>
          <w:smallCaps w:val="0"/>
          <w:color w:val="AA610D" w:themeColor="accent1" w:themeShade="BF"/>
          <w:spacing w:val="0"/>
          <w:sz w:val="28"/>
        </w:rPr>
        <w:t xml:space="preserve">Organism by carbapenemase-producing </w:t>
      </w:r>
      <w:r w:rsidRPr="0003492C">
        <w:rPr>
          <w:rStyle w:val="IntenseReference"/>
          <w:b/>
          <w:bCs/>
          <w:smallCaps w:val="0"/>
          <w:color w:val="AA610D" w:themeColor="accent1" w:themeShade="BF"/>
          <w:spacing w:val="0"/>
          <w:sz w:val="28"/>
        </w:rPr>
        <w:t>Enterobacteriaceae</w:t>
      </w:r>
      <w:r w:rsidRPr="00506045">
        <w:rPr>
          <w:rStyle w:val="IntenseReference"/>
          <w:b/>
          <w:bCs/>
          <w:smallCaps w:val="0"/>
          <w:color w:val="AA610D" w:themeColor="accent1" w:themeShade="BF"/>
          <w:spacing w:val="0"/>
          <w:sz w:val="28"/>
        </w:rPr>
        <w:t xml:space="preserve"> t</w:t>
      </w:r>
      <w:r w:rsidR="00576FBE" w:rsidRPr="00506045">
        <w:rPr>
          <w:rStyle w:val="IntenseReference"/>
          <w:b/>
          <w:bCs/>
          <w:smallCaps w:val="0"/>
          <w:color w:val="AA610D" w:themeColor="accent1" w:themeShade="BF"/>
          <w:spacing w:val="0"/>
          <w:sz w:val="28"/>
        </w:rPr>
        <w:t>ype</w:t>
      </w:r>
      <w:bookmarkEnd w:id="10"/>
    </w:p>
    <w:p w:rsidR="00563088" w:rsidRDefault="00563088" w:rsidP="00563088">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 xml:space="preserve">Carbapenemases were found </w:t>
      </w:r>
      <w:r w:rsidRPr="004A7DFD">
        <w:rPr>
          <w:rStyle w:val="IntenseReference"/>
          <w:rFonts w:cs="Arial"/>
          <w:b w:val="0"/>
          <w:bCs w:val="0"/>
          <w:i w:val="0"/>
          <w:smallCaps w:val="0"/>
          <w:color w:val="auto"/>
          <w:spacing w:val="0"/>
          <w:szCs w:val="22"/>
        </w:rPr>
        <w:t xml:space="preserve">in 19 species of </w:t>
      </w:r>
      <w:r w:rsidRPr="00661532">
        <w:rPr>
          <w:rStyle w:val="IntenseReference"/>
          <w:rFonts w:cs="Arial"/>
          <w:b w:val="0"/>
          <w:bCs w:val="0"/>
          <w:i w:val="0"/>
          <w:smallCaps w:val="0"/>
          <w:color w:val="auto"/>
          <w:spacing w:val="0"/>
          <w:szCs w:val="22"/>
        </w:rPr>
        <w:t>Enterobacteriaceae</w:t>
      </w:r>
      <w:r>
        <w:rPr>
          <w:rStyle w:val="IntenseReference"/>
          <w:rFonts w:cs="Arial"/>
          <w:b w:val="0"/>
          <w:bCs w:val="0"/>
          <w:i w:val="0"/>
          <w:smallCaps w:val="0"/>
          <w:color w:val="auto"/>
          <w:spacing w:val="0"/>
          <w:szCs w:val="22"/>
        </w:rPr>
        <w:t xml:space="preserve"> representing nine genera (</w:t>
      </w:r>
      <w:r w:rsidRPr="00D93474">
        <w:rPr>
          <w:rStyle w:val="IntenseReference"/>
          <w:rFonts w:cs="Arial"/>
          <w:b w:val="0"/>
          <w:bCs w:val="0"/>
          <w:smallCaps w:val="0"/>
          <w:color w:val="auto"/>
          <w:spacing w:val="0"/>
          <w:szCs w:val="22"/>
        </w:rPr>
        <w:t>Citrobacter</w:t>
      </w:r>
      <w:r>
        <w:rPr>
          <w:rStyle w:val="IntenseReference"/>
          <w:rFonts w:cs="Arial"/>
          <w:b w:val="0"/>
          <w:bCs w:val="0"/>
          <w:i w:val="0"/>
          <w:smallCaps w:val="0"/>
          <w:color w:val="auto"/>
          <w:spacing w:val="0"/>
          <w:szCs w:val="22"/>
        </w:rPr>
        <w:t xml:space="preserve">, </w:t>
      </w:r>
      <w:r w:rsidRPr="00D93474">
        <w:rPr>
          <w:rStyle w:val="IntenseReference"/>
          <w:rFonts w:cs="Arial"/>
          <w:b w:val="0"/>
          <w:bCs w:val="0"/>
          <w:smallCaps w:val="0"/>
          <w:color w:val="auto"/>
          <w:spacing w:val="0"/>
          <w:szCs w:val="22"/>
        </w:rPr>
        <w:t>Enterobacter</w:t>
      </w:r>
      <w:r>
        <w:rPr>
          <w:rStyle w:val="IntenseReference"/>
          <w:rFonts w:cs="Arial"/>
          <w:b w:val="0"/>
          <w:bCs w:val="0"/>
          <w:i w:val="0"/>
          <w:smallCaps w:val="0"/>
          <w:color w:val="auto"/>
          <w:spacing w:val="0"/>
          <w:szCs w:val="22"/>
        </w:rPr>
        <w:t xml:space="preserve">, </w:t>
      </w:r>
      <w:r w:rsidRPr="00D93474">
        <w:rPr>
          <w:rStyle w:val="IntenseReference"/>
          <w:rFonts w:cs="Arial"/>
          <w:b w:val="0"/>
          <w:bCs w:val="0"/>
          <w:smallCaps w:val="0"/>
          <w:color w:val="auto"/>
          <w:spacing w:val="0"/>
          <w:szCs w:val="22"/>
        </w:rPr>
        <w:t>Escherichia</w:t>
      </w:r>
      <w:r>
        <w:rPr>
          <w:rStyle w:val="IntenseReference"/>
          <w:rFonts w:cs="Arial"/>
          <w:b w:val="0"/>
          <w:bCs w:val="0"/>
          <w:i w:val="0"/>
          <w:smallCaps w:val="0"/>
          <w:color w:val="auto"/>
          <w:spacing w:val="0"/>
          <w:szCs w:val="22"/>
        </w:rPr>
        <w:t xml:space="preserve">, </w:t>
      </w:r>
      <w:r w:rsidRPr="00D93474">
        <w:rPr>
          <w:rStyle w:val="IntenseReference"/>
          <w:rFonts w:cs="Arial"/>
          <w:b w:val="0"/>
          <w:bCs w:val="0"/>
          <w:smallCaps w:val="0"/>
          <w:color w:val="auto"/>
          <w:spacing w:val="0"/>
          <w:szCs w:val="22"/>
        </w:rPr>
        <w:t>Klebsiella</w:t>
      </w:r>
      <w:r>
        <w:rPr>
          <w:rStyle w:val="IntenseReference"/>
          <w:rFonts w:cs="Arial"/>
          <w:b w:val="0"/>
          <w:bCs w:val="0"/>
          <w:i w:val="0"/>
          <w:smallCaps w:val="0"/>
          <w:color w:val="auto"/>
          <w:spacing w:val="0"/>
          <w:szCs w:val="22"/>
        </w:rPr>
        <w:t xml:space="preserve">, </w:t>
      </w:r>
      <w:r w:rsidRPr="00D93474">
        <w:rPr>
          <w:rStyle w:val="IntenseReference"/>
          <w:rFonts w:cs="Arial"/>
          <w:b w:val="0"/>
          <w:bCs w:val="0"/>
          <w:smallCaps w:val="0"/>
          <w:color w:val="auto"/>
          <w:spacing w:val="0"/>
          <w:szCs w:val="22"/>
        </w:rPr>
        <w:t>Morganella</w:t>
      </w:r>
      <w:r>
        <w:rPr>
          <w:rStyle w:val="IntenseReference"/>
          <w:rFonts w:cs="Arial"/>
          <w:b w:val="0"/>
          <w:bCs w:val="0"/>
          <w:i w:val="0"/>
          <w:smallCaps w:val="0"/>
          <w:color w:val="auto"/>
          <w:spacing w:val="0"/>
          <w:szCs w:val="22"/>
        </w:rPr>
        <w:t xml:space="preserve">, </w:t>
      </w:r>
      <w:r w:rsidRPr="00D93474">
        <w:rPr>
          <w:rStyle w:val="IntenseReference"/>
          <w:rFonts w:cs="Arial"/>
          <w:b w:val="0"/>
          <w:bCs w:val="0"/>
          <w:smallCaps w:val="0"/>
          <w:color w:val="auto"/>
          <w:spacing w:val="0"/>
          <w:szCs w:val="22"/>
        </w:rPr>
        <w:t>Proteus</w:t>
      </w:r>
      <w:r>
        <w:rPr>
          <w:rStyle w:val="IntenseReference"/>
          <w:rFonts w:cs="Arial"/>
          <w:b w:val="0"/>
          <w:bCs w:val="0"/>
          <w:i w:val="0"/>
          <w:smallCaps w:val="0"/>
          <w:color w:val="auto"/>
          <w:spacing w:val="0"/>
          <w:szCs w:val="22"/>
        </w:rPr>
        <w:t xml:space="preserve">, </w:t>
      </w:r>
      <w:r w:rsidRPr="00D93474">
        <w:rPr>
          <w:rStyle w:val="IntenseReference"/>
          <w:rFonts w:cs="Arial"/>
          <w:b w:val="0"/>
          <w:bCs w:val="0"/>
          <w:smallCaps w:val="0"/>
          <w:color w:val="auto"/>
          <w:spacing w:val="0"/>
          <w:szCs w:val="22"/>
        </w:rPr>
        <w:t>Providencia</w:t>
      </w:r>
      <w:r>
        <w:rPr>
          <w:rStyle w:val="IntenseReference"/>
          <w:rFonts w:cs="Arial"/>
          <w:b w:val="0"/>
          <w:bCs w:val="0"/>
          <w:i w:val="0"/>
          <w:smallCaps w:val="0"/>
          <w:color w:val="auto"/>
          <w:spacing w:val="0"/>
          <w:szCs w:val="22"/>
        </w:rPr>
        <w:t xml:space="preserve">, </w:t>
      </w:r>
      <w:r w:rsidRPr="00D93474">
        <w:rPr>
          <w:rStyle w:val="IntenseReference"/>
          <w:rFonts w:cs="Arial"/>
          <w:b w:val="0"/>
          <w:bCs w:val="0"/>
          <w:smallCaps w:val="0"/>
          <w:color w:val="auto"/>
          <w:spacing w:val="0"/>
          <w:szCs w:val="22"/>
        </w:rPr>
        <w:t>Raoultella</w:t>
      </w:r>
      <w:r>
        <w:rPr>
          <w:rStyle w:val="IntenseReference"/>
          <w:rFonts w:cs="Arial"/>
          <w:b w:val="0"/>
          <w:bCs w:val="0"/>
          <w:i w:val="0"/>
          <w:smallCaps w:val="0"/>
          <w:color w:val="auto"/>
          <w:spacing w:val="0"/>
          <w:szCs w:val="22"/>
        </w:rPr>
        <w:t xml:space="preserve">, </w:t>
      </w:r>
      <w:r w:rsidRPr="00D93474">
        <w:rPr>
          <w:rStyle w:val="IntenseReference"/>
          <w:rFonts w:cs="Arial"/>
          <w:b w:val="0"/>
          <w:bCs w:val="0"/>
          <w:smallCaps w:val="0"/>
          <w:color w:val="auto"/>
          <w:spacing w:val="0"/>
          <w:szCs w:val="22"/>
        </w:rPr>
        <w:t>Serrat</w:t>
      </w:r>
      <w:r>
        <w:rPr>
          <w:rStyle w:val="IntenseReference"/>
          <w:rFonts w:cs="Arial"/>
          <w:b w:val="0"/>
          <w:bCs w:val="0"/>
          <w:smallCaps w:val="0"/>
          <w:color w:val="auto"/>
          <w:spacing w:val="0"/>
          <w:szCs w:val="22"/>
        </w:rPr>
        <w:t>i</w:t>
      </w:r>
      <w:r w:rsidRPr="00D93474">
        <w:rPr>
          <w:rStyle w:val="IntenseReference"/>
          <w:rFonts w:cs="Arial"/>
          <w:b w:val="0"/>
          <w:bCs w:val="0"/>
          <w:smallCaps w:val="0"/>
          <w:color w:val="auto"/>
          <w:spacing w:val="0"/>
          <w:szCs w:val="22"/>
        </w:rPr>
        <w:t>a</w:t>
      </w:r>
      <w:r>
        <w:rPr>
          <w:rStyle w:val="IntenseReference"/>
          <w:rFonts w:cs="Arial"/>
          <w:b w:val="0"/>
          <w:bCs w:val="0"/>
          <w:i w:val="0"/>
          <w:smallCaps w:val="0"/>
          <w:color w:val="auto"/>
          <w:spacing w:val="0"/>
          <w:szCs w:val="22"/>
        </w:rPr>
        <w:t xml:space="preserve">). </w:t>
      </w:r>
      <w:r w:rsidRPr="004A7DFD">
        <w:rPr>
          <w:rStyle w:val="IntenseReference"/>
          <w:rFonts w:cs="Arial"/>
          <w:b w:val="0"/>
          <w:bCs w:val="0"/>
          <w:i w:val="0"/>
          <w:smallCaps w:val="0"/>
          <w:color w:val="auto"/>
          <w:spacing w:val="0"/>
          <w:szCs w:val="22"/>
        </w:rPr>
        <w:t xml:space="preserve">IMP </w:t>
      </w:r>
      <w:r w:rsidRPr="00336C30">
        <w:rPr>
          <w:rStyle w:val="IntenseReference"/>
          <w:rFonts w:cs="Arial"/>
          <w:b w:val="0"/>
          <w:bCs w:val="0"/>
          <w:i w:val="0"/>
          <w:smallCaps w:val="0"/>
          <w:color w:val="auto"/>
          <w:spacing w:val="0"/>
          <w:szCs w:val="22"/>
        </w:rPr>
        <w:t>type carbapenemase</w:t>
      </w:r>
      <w:r w:rsidR="00934264">
        <w:rPr>
          <w:rStyle w:val="IntenseReference"/>
          <w:rFonts w:cs="Arial"/>
          <w:b w:val="0"/>
          <w:bCs w:val="0"/>
          <w:i w:val="0"/>
          <w:smallCaps w:val="0"/>
          <w:color w:val="auto"/>
          <w:spacing w:val="0"/>
          <w:szCs w:val="22"/>
        </w:rPr>
        <w:t>s</w:t>
      </w:r>
      <w:r w:rsidRPr="00336C30">
        <w:rPr>
          <w:rStyle w:val="IntenseReference"/>
          <w:rFonts w:cs="Arial"/>
          <w:b w:val="0"/>
          <w:bCs w:val="0"/>
          <w:i w:val="0"/>
          <w:smallCaps w:val="0"/>
          <w:color w:val="auto"/>
          <w:spacing w:val="0"/>
          <w:szCs w:val="22"/>
        </w:rPr>
        <w:t xml:space="preserve"> accounted for 65% (286/440) of all carbapenemases, and w</w:t>
      </w:r>
      <w:r w:rsidR="00934264">
        <w:rPr>
          <w:rStyle w:val="IntenseReference"/>
          <w:rFonts w:cs="Arial"/>
          <w:b w:val="0"/>
          <w:bCs w:val="0"/>
          <w:i w:val="0"/>
          <w:smallCaps w:val="0"/>
          <w:color w:val="auto"/>
          <w:spacing w:val="0"/>
          <w:szCs w:val="22"/>
        </w:rPr>
        <w:t>ere</w:t>
      </w:r>
      <w:r w:rsidRPr="00336C30">
        <w:rPr>
          <w:rStyle w:val="IntenseReference"/>
          <w:rFonts w:cs="Arial"/>
          <w:b w:val="0"/>
          <w:bCs w:val="0"/>
          <w:i w:val="0"/>
          <w:smallCaps w:val="0"/>
          <w:color w:val="auto"/>
          <w:spacing w:val="0"/>
          <w:szCs w:val="22"/>
        </w:rPr>
        <w:t xml:space="preserve"> found in 16 different species (Figure 10). </w:t>
      </w:r>
      <w:r w:rsidRPr="00336C30">
        <w:rPr>
          <w:rStyle w:val="IntenseReference"/>
          <w:rFonts w:cs="Arial"/>
          <w:b w:val="0"/>
          <w:bCs w:val="0"/>
          <w:smallCaps w:val="0"/>
          <w:color w:val="auto"/>
          <w:spacing w:val="0"/>
          <w:szCs w:val="22"/>
        </w:rPr>
        <w:t>Enterobacter cloacae</w:t>
      </w:r>
      <w:r w:rsidRPr="00336C30">
        <w:rPr>
          <w:rStyle w:val="IntenseReference"/>
          <w:rFonts w:cs="Arial"/>
          <w:b w:val="0"/>
          <w:bCs w:val="0"/>
          <w:i w:val="0"/>
          <w:smallCaps w:val="0"/>
          <w:color w:val="auto"/>
          <w:spacing w:val="0"/>
          <w:szCs w:val="22"/>
        </w:rPr>
        <w:t xml:space="preserve"> complex accounted for 45% (130/286) of all IMP type carbapenemases and 31% (138/440) of all CPE. </w:t>
      </w:r>
      <w:r w:rsidRPr="00D93474">
        <w:rPr>
          <w:rStyle w:val="IntenseReference"/>
          <w:rFonts w:cs="Arial"/>
          <w:b w:val="0"/>
          <w:bCs w:val="0"/>
          <w:i w:val="0"/>
          <w:smallCaps w:val="0"/>
          <w:color w:val="auto"/>
          <w:spacing w:val="0"/>
          <w:szCs w:val="22"/>
        </w:rPr>
        <w:t xml:space="preserve">However, in Queensland 56% (65/116) of all CPE reported were </w:t>
      </w:r>
      <w:r w:rsidRPr="00D93474">
        <w:rPr>
          <w:rStyle w:val="IntenseReference"/>
          <w:rFonts w:cs="Arial"/>
          <w:b w:val="0"/>
          <w:bCs w:val="0"/>
          <w:smallCaps w:val="0"/>
          <w:color w:val="auto"/>
          <w:spacing w:val="0"/>
          <w:szCs w:val="22"/>
        </w:rPr>
        <w:t>E. cloacae</w:t>
      </w:r>
      <w:r w:rsidRPr="00D93474">
        <w:rPr>
          <w:rStyle w:val="IntenseReference"/>
          <w:rFonts w:cs="Arial"/>
          <w:b w:val="0"/>
          <w:bCs w:val="0"/>
          <w:i w:val="0"/>
          <w:smallCaps w:val="0"/>
          <w:color w:val="auto"/>
          <w:spacing w:val="0"/>
          <w:szCs w:val="22"/>
        </w:rPr>
        <w:t xml:space="preserve"> complex containing IMP types. </w:t>
      </w:r>
      <w:r w:rsidRPr="00A057AE">
        <w:rPr>
          <w:rStyle w:val="IntenseReference"/>
          <w:rFonts w:cs="Arial"/>
          <w:b w:val="0"/>
          <w:bCs w:val="0"/>
          <w:i w:val="0"/>
          <w:smallCaps w:val="0"/>
          <w:color w:val="auto"/>
          <w:spacing w:val="0"/>
          <w:szCs w:val="22"/>
        </w:rPr>
        <w:t xml:space="preserve">NDM and OXA-48-like carbapenemase types were found mainly in </w:t>
      </w:r>
      <w:r w:rsidRPr="00A057AE">
        <w:rPr>
          <w:rStyle w:val="IntenseReference"/>
          <w:rFonts w:cs="Arial"/>
          <w:b w:val="0"/>
          <w:bCs w:val="0"/>
          <w:smallCaps w:val="0"/>
          <w:color w:val="auto"/>
          <w:spacing w:val="0"/>
          <w:szCs w:val="22"/>
        </w:rPr>
        <w:t>E. coli</w:t>
      </w:r>
      <w:r w:rsidRPr="00A057AE">
        <w:rPr>
          <w:rStyle w:val="IntenseReference"/>
          <w:rFonts w:cs="Arial"/>
          <w:b w:val="0"/>
          <w:bCs w:val="0"/>
          <w:i w:val="0"/>
          <w:smallCaps w:val="0"/>
          <w:color w:val="auto"/>
          <w:spacing w:val="0"/>
          <w:szCs w:val="22"/>
        </w:rPr>
        <w:t xml:space="preserve"> (58%, 49/84; 58%, 29/50, respectively); however, when</w:t>
      </w:r>
      <w:r w:rsidRPr="002023E2">
        <w:rPr>
          <w:rStyle w:val="IntenseReference"/>
          <w:rFonts w:cs="Arial"/>
          <w:b w:val="0"/>
          <w:bCs w:val="0"/>
          <w:i w:val="0"/>
          <w:smallCaps w:val="0"/>
          <w:color w:val="auto"/>
          <w:spacing w:val="0"/>
          <w:szCs w:val="22"/>
        </w:rPr>
        <w:t xml:space="preserve"> both NDM and OXA-48-like or KPC types were found together, they were mainly in </w:t>
      </w:r>
      <w:r w:rsidRPr="002023E2">
        <w:rPr>
          <w:rStyle w:val="IntenseReference"/>
          <w:rFonts w:cs="Arial"/>
          <w:b w:val="0"/>
          <w:bCs w:val="0"/>
          <w:smallCaps w:val="0"/>
          <w:color w:val="auto"/>
          <w:spacing w:val="0"/>
          <w:szCs w:val="22"/>
        </w:rPr>
        <w:t xml:space="preserve">K. pneumoniae </w:t>
      </w:r>
      <w:r w:rsidRPr="002023E2">
        <w:rPr>
          <w:rStyle w:val="IntenseReference"/>
          <w:rFonts w:cs="Arial"/>
          <w:b w:val="0"/>
          <w:bCs w:val="0"/>
          <w:i w:val="0"/>
          <w:smallCaps w:val="0"/>
          <w:color w:val="auto"/>
          <w:spacing w:val="0"/>
          <w:szCs w:val="22"/>
        </w:rPr>
        <w:t>(78%, 7/9).</w:t>
      </w:r>
      <w:r w:rsidRPr="00D93474">
        <w:rPr>
          <w:rStyle w:val="IntenseReference"/>
          <w:rFonts w:cs="Arial"/>
          <w:b w:val="0"/>
          <w:bCs w:val="0"/>
          <w:i w:val="0"/>
          <w:smallCaps w:val="0"/>
          <w:color w:val="auto"/>
          <w:spacing w:val="0"/>
          <w:szCs w:val="22"/>
        </w:rPr>
        <w:t xml:space="preserve"> One KPC </w:t>
      </w:r>
      <w:r>
        <w:rPr>
          <w:rStyle w:val="IntenseReference"/>
          <w:rFonts w:cs="Arial"/>
          <w:b w:val="0"/>
          <w:bCs w:val="0"/>
          <w:i w:val="0"/>
          <w:smallCaps w:val="0"/>
          <w:color w:val="auto"/>
          <w:spacing w:val="0"/>
          <w:szCs w:val="22"/>
        </w:rPr>
        <w:t>(4%, 1/23</w:t>
      </w:r>
      <w:r w:rsidRPr="00D93474">
        <w:rPr>
          <w:rStyle w:val="IntenseReference"/>
          <w:rFonts w:cs="Arial"/>
          <w:b w:val="0"/>
          <w:bCs w:val="0"/>
          <w:i w:val="0"/>
          <w:smallCaps w:val="0"/>
          <w:color w:val="auto"/>
          <w:spacing w:val="0"/>
          <w:szCs w:val="22"/>
        </w:rPr>
        <w:t>)</w:t>
      </w:r>
      <w:r w:rsidRPr="00BB5596">
        <w:rPr>
          <w:rStyle w:val="IntenseReference"/>
          <w:rFonts w:cs="Arial"/>
          <w:b w:val="0"/>
          <w:bCs w:val="0"/>
          <w:i w:val="0"/>
          <w:smallCaps w:val="0"/>
          <w:color w:val="auto"/>
          <w:spacing w:val="0"/>
          <w:szCs w:val="22"/>
        </w:rPr>
        <w:t xml:space="preserve"> was found in </w:t>
      </w:r>
      <w:r w:rsidRPr="00BB5596">
        <w:rPr>
          <w:rStyle w:val="IntenseReference"/>
          <w:rFonts w:cs="Arial"/>
          <w:b w:val="0"/>
          <w:bCs w:val="0"/>
          <w:smallCaps w:val="0"/>
          <w:color w:val="auto"/>
          <w:spacing w:val="0"/>
          <w:szCs w:val="22"/>
        </w:rPr>
        <w:t>Citrobacter </w:t>
      </w:r>
      <w:r>
        <w:rPr>
          <w:rStyle w:val="IntenseReference"/>
          <w:rFonts w:cs="Arial"/>
          <w:b w:val="0"/>
          <w:bCs w:val="0"/>
          <w:smallCaps w:val="0"/>
          <w:color w:val="auto"/>
          <w:spacing w:val="0"/>
          <w:szCs w:val="22"/>
        </w:rPr>
        <w:t>farmeri</w:t>
      </w:r>
      <w:r>
        <w:rPr>
          <w:rStyle w:val="IntenseReference"/>
          <w:rFonts w:cs="Arial"/>
          <w:b w:val="0"/>
          <w:bCs w:val="0"/>
          <w:i w:val="0"/>
          <w:smallCaps w:val="0"/>
          <w:color w:val="auto"/>
          <w:spacing w:val="0"/>
          <w:szCs w:val="22"/>
        </w:rPr>
        <w:t xml:space="preserve">, and one in </w:t>
      </w:r>
      <w:r w:rsidRPr="00D93474">
        <w:rPr>
          <w:rStyle w:val="IntenseReference"/>
          <w:rFonts w:cs="Arial"/>
          <w:b w:val="0"/>
          <w:bCs w:val="0"/>
          <w:smallCaps w:val="0"/>
          <w:color w:val="auto"/>
          <w:spacing w:val="0"/>
          <w:szCs w:val="22"/>
        </w:rPr>
        <w:t>Enterobacter cloacae</w:t>
      </w:r>
      <w:r>
        <w:rPr>
          <w:rStyle w:val="IntenseReference"/>
          <w:rFonts w:cs="Arial"/>
          <w:b w:val="0"/>
          <w:bCs w:val="0"/>
          <w:i w:val="0"/>
          <w:smallCaps w:val="0"/>
          <w:color w:val="auto"/>
          <w:spacing w:val="0"/>
          <w:szCs w:val="22"/>
        </w:rPr>
        <w:t xml:space="preserve"> complex</w:t>
      </w:r>
    </w:p>
    <w:p w:rsidR="008846FE" w:rsidRDefault="008846FE" w:rsidP="007C1C2E">
      <w:pPr>
        <w:spacing w:before="120"/>
        <w:rPr>
          <w:rStyle w:val="IntenseReference"/>
          <w:rFonts w:cs="Arial"/>
          <w:b w:val="0"/>
          <w:bCs w:val="0"/>
          <w:i w:val="0"/>
          <w:smallCaps w:val="0"/>
          <w:color w:val="auto"/>
          <w:spacing w:val="0"/>
          <w:szCs w:val="22"/>
        </w:rPr>
      </w:pPr>
    </w:p>
    <w:p w:rsidR="00AE718B" w:rsidRDefault="00AE718B">
      <w:pPr>
        <w:rPr>
          <w:rFonts w:cs="Arial"/>
          <w:b/>
          <w:iCs/>
          <w:sz w:val="18"/>
          <w:szCs w:val="18"/>
        </w:rPr>
      </w:pPr>
      <w:r>
        <w:rPr>
          <w:rFonts w:cs="Arial"/>
          <w:b/>
          <w:i/>
        </w:rPr>
        <w:br w:type="page"/>
      </w:r>
    </w:p>
    <w:p w:rsidR="00C70B4B" w:rsidRDefault="00C70B4B" w:rsidP="00AE718B">
      <w:pPr>
        <w:pStyle w:val="Caption"/>
        <w:keepNext/>
        <w:spacing w:before="120" w:after="120"/>
        <w:ind w:left="1134" w:hanging="1134"/>
        <w:rPr>
          <w:rFonts w:cs="Arial"/>
          <w:b/>
          <w:i w:val="0"/>
          <w:color w:val="auto"/>
        </w:rPr>
      </w:pPr>
      <w:r w:rsidRPr="001C7F56">
        <w:rPr>
          <w:rFonts w:cs="Arial"/>
          <w:b/>
          <w:i w:val="0"/>
          <w:color w:val="auto"/>
        </w:rPr>
        <w:lastRenderedPageBreak/>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A7F88">
        <w:rPr>
          <w:rFonts w:cs="Arial"/>
          <w:b/>
          <w:i w:val="0"/>
          <w:noProof/>
          <w:color w:val="auto"/>
        </w:rPr>
        <w:t>10</w:t>
      </w:r>
      <w:r w:rsidR="00B833F8" w:rsidRPr="001C7F56">
        <w:rPr>
          <w:rFonts w:cs="Arial"/>
          <w:b/>
          <w:i w:val="0"/>
          <w:color w:val="auto"/>
        </w:rPr>
        <w:fldChar w:fldCharType="end"/>
      </w:r>
      <w:r w:rsidR="00506045">
        <w:rPr>
          <w:rFonts w:cs="Arial"/>
          <w:b/>
          <w:i w:val="0"/>
          <w:color w:val="auto"/>
        </w:rPr>
        <w:tab/>
      </w:r>
      <w:r w:rsidRPr="001C7F56">
        <w:rPr>
          <w:rFonts w:cs="Arial"/>
          <w:b/>
          <w:i w:val="0"/>
          <w:color w:val="auto"/>
        </w:rPr>
        <w:t xml:space="preserve">Carbapenemase-producing </w:t>
      </w:r>
      <w:r w:rsidRPr="00661532">
        <w:rPr>
          <w:rFonts w:cs="Arial"/>
          <w:b/>
          <w:i w:val="0"/>
          <w:color w:val="auto"/>
        </w:rPr>
        <w:t>Enterobacteriaceae</w:t>
      </w:r>
      <w:r w:rsidRPr="001C7F56">
        <w:rPr>
          <w:rFonts w:cs="Arial"/>
          <w:b/>
          <w:i w:val="0"/>
          <w:color w:val="auto"/>
        </w:rPr>
        <w:t xml:space="preserve">, number reported by </w:t>
      </w:r>
      <w:r w:rsidR="00AB786F" w:rsidRPr="001C7F56">
        <w:rPr>
          <w:rFonts w:cs="Arial"/>
          <w:b/>
          <w:i w:val="0"/>
          <w:color w:val="auto"/>
        </w:rPr>
        <w:t xml:space="preserve">species (A) and </w:t>
      </w:r>
      <w:r w:rsidRPr="001C7F56">
        <w:rPr>
          <w:rFonts w:cs="Arial"/>
          <w:b/>
          <w:i w:val="0"/>
          <w:color w:val="auto"/>
        </w:rPr>
        <w:t>carbapenemase type</w:t>
      </w:r>
      <w:r w:rsidR="00AB786F" w:rsidRPr="001C7F56">
        <w:rPr>
          <w:rFonts w:cs="Arial"/>
          <w:b/>
          <w:i w:val="0"/>
          <w:color w:val="auto"/>
        </w:rPr>
        <w:t xml:space="preserve"> (B)</w:t>
      </w:r>
      <w:r w:rsidRPr="001C7F56">
        <w:rPr>
          <w:rFonts w:cs="Arial"/>
          <w:b/>
          <w:i w:val="0"/>
          <w:color w:val="auto"/>
        </w:rPr>
        <w:t xml:space="preserve">, </w:t>
      </w:r>
      <w:r w:rsidR="00563088">
        <w:rPr>
          <w:rFonts w:cs="Arial"/>
          <w:b/>
          <w:i w:val="0"/>
          <w:color w:val="auto"/>
        </w:rPr>
        <w:t xml:space="preserve">31 </w:t>
      </w:r>
      <w:r w:rsidRPr="001C7F56">
        <w:rPr>
          <w:rFonts w:cs="Arial"/>
          <w:b/>
          <w:i w:val="0"/>
          <w:color w:val="auto"/>
        </w:rPr>
        <w:t>March</w:t>
      </w:r>
      <w:r w:rsidR="00563088">
        <w:rPr>
          <w:rFonts w:cs="Arial"/>
          <w:b/>
          <w:i w:val="0"/>
          <w:color w:val="auto"/>
        </w:rPr>
        <w:t xml:space="preserve"> 2016–31 March 2017</w:t>
      </w:r>
    </w:p>
    <w:p w:rsidR="008743AA" w:rsidRPr="00F716F9" w:rsidRDefault="008743AA" w:rsidP="00AE718B">
      <w:pPr>
        <w:pStyle w:val="Caption"/>
        <w:keepNext/>
        <w:spacing w:before="120" w:after="120"/>
        <w:ind w:left="1440" w:hanging="1440"/>
        <w:rPr>
          <w:rFonts w:cs="Arial"/>
          <w:b/>
          <w:noProof/>
          <w:color w:val="auto"/>
          <w:lang w:eastAsia="en-AU"/>
        </w:rPr>
      </w:pPr>
      <w:r w:rsidRPr="00F716F9">
        <w:rPr>
          <w:rFonts w:cs="Arial"/>
          <w:b/>
          <w:i w:val="0"/>
          <w:iCs w:val="0"/>
          <w:noProof/>
          <w:color w:val="auto"/>
          <w:lang w:eastAsia="en-AU"/>
        </w:rPr>
        <w:t>A. Species by carbapenemase type</w:t>
      </w:r>
    </w:p>
    <w:p w:rsidR="008743AA" w:rsidRPr="008743AA" w:rsidRDefault="008743AA" w:rsidP="008743AA">
      <w:r>
        <w:rPr>
          <w:noProof/>
          <w:lang w:eastAsia="en-AU"/>
        </w:rPr>
        <w:drawing>
          <wp:inline distT="0" distB="0" distL="0" distR="0" wp14:anchorId="707C14EF">
            <wp:extent cx="6096635" cy="3108960"/>
            <wp:effectExtent l="0" t="0" r="0" b="0"/>
            <wp:docPr id="44" name="Picture 44" descr="Figure 10 Carbapenemase-producing Enterobacteriaceae, number reported by species, 31 March 2016–31 March 2017" title="Figure 10 Carbapenemase-producing Enterobacteriaceae, number reported by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635" cy="3108960"/>
                    </a:xfrm>
                    <a:prstGeom prst="rect">
                      <a:avLst/>
                    </a:prstGeom>
                    <a:noFill/>
                  </pic:spPr>
                </pic:pic>
              </a:graphicData>
            </a:graphic>
          </wp:inline>
        </w:drawing>
      </w:r>
    </w:p>
    <w:p w:rsidR="008743AA" w:rsidRPr="00F716F9" w:rsidRDefault="008743AA" w:rsidP="00AE718B">
      <w:pPr>
        <w:pStyle w:val="Caption"/>
        <w:keepNext/>
        <w:spacing w:before="120" w:after="120"/>
        <w:ind w:left="1440" w:hanging="1440"/>
        <w:rPr>
          <w:rFonts w:cs="Arial"/>
          <w:b/>
          <w:noProof/>
          <w:lang w:eastAsia="en-AU"/>
        </w:rPr>
      </w:pPr>
      <w:r w:rsidRPr="00F716F9">
        <w:rPr>
          <w:rFonts w:cs="Arial"/>
          <w:b/>
          <w:i w:val="0"/>
          <w:iCs w:val="0"/>
          <w:noProof/>
          <w:color w:val="auto"/>
          <w:lang w:eastAsia="en-AU"/>
        </w:rPr>
        <w:t>B. Carbapenemase type by species</w:t>
      </w:r>
    </w:p>
    <w:p w:rsidR="008743AA" w:rsidRDefault="008743AA">
      <w:pPr>
        <w:rPr>
          <w:noProof/>
          <w:lang w:eastAsia="en-AU"/>
        </w:rPr>
      </w:pPr>
      <w:r>
        <w:rPr>
          <w:noProof/>
          <w:lang w:eastAsia="en-AU"/>
        </w:rPr>
        <w:drawing>
          <wp:inline distT="0" distB="0" distL="0" distR="0" wp14:anchorId="4BADD8D7">
            <wp:extent cx="6096635" cy="3218815"/>
            <wp:effectExtent l="0" t="0" r="0" b="635"/>
            <wp:docPr id="45" name="Picture 45" descr="This figure shows Carbapenemase-producing Enterobacteriaceae, number reported by carbapenemase type, 31 March 2016–31 March 2017" title="Figure 10 Carbapenemase-producing Enterobacteriaceae, number reported by carbapenemas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635" cy="3218815"/>
                    </a:xfrm>
                    <a:prstGeom prst="rect">
                      <a:avLst/>
                    </a:prstGeom>
                    <a:noFill/>
                  </pic:spPr>
                </pic:pic>
              </a:graphicData>
            </a:graphic>
          </wp:inline>
        </w:drawing>
      </w:r>
    </w:p>
    <w:p w:rsidR="00563088" w:rsidRDefault="00563088">
      <w:pPr>
        <w:rPr>
          <w:rStyle w:val="IntenseReference"/>
          <w:rFonts w:cs="Arial"/>
          <w:bCs w:val="0"/>
          <w:i w:val="0"/>
          <w:smallCaps w:val="0"/>
          <w:color w:val="auto"/>
          <w:spacing w:val="0"/>
          <w:szCs w:val="22"/>
        </w:rPr>
      </w:pPr>
    </w:p>
    <w:p w:rsidR="00C70B4B" w:rsidRPr="00506045" w:rsidRDefault="001C7F56" w:rsidP="00164D03">
      <w:pPr>
        <w:pStyle w:val="Heading2"/>
        <w:spacing w:after="240"/>
        <w:rPr>
          <w:rStyle w:val="IntenseReference"/>
          <w:b/>
          <w:bCs/>
          <w:smallCaps w:val="0"/>
          <w:color w:val="AA610D" w:themeColor="accent1" w:themeShade="BF"/>
          <w:spacing w:val="0"/>
          <w:sz w:val="28"/>
        </w:rPr>
      </w:pPr>
      <w:bookmarkStart w:id="11" w:name="_Toc486425623"/>
      <w:r w:rsidRPr="00506045">
        <w:rPr>
          <w:rStyle w:val="IntenseReference"/>
          <w:b/>
          <w:bCs/>
          <w:smallCaps w:val="0"/>
          <w:color w:val="AA610D" w:themeColor="accent1" w:themeShade="BF"/>
          <w:spacing w:val="0"/>
          <w:sz w:val="28"/>
        </w:rPr>
        <w:t>Other Critical Antimicrobial Resistance t</w:t>
      </w:r>
      <w:r w:rsidR="00C70B4B" w:rsidRPr="00506045">
        <w:rPr>
          <w:rStyle w:val="IntenseReference"/>
          <w:b/>
          <w:bCs/>
          <w:smallCaps w:val="0"/>
          <w:color w:val="AA610D" w:themeColor="accent1" w:themeShade="BF"/>
          <w:spacing w:val="0"/>
          <w:sz w:val="28"/>
        </w:rPr>
        <w:t>ypes</w:t>
      </w:r>
      <w:bookmarkEnd w:id="11"/>
    </w:p>
    <w:p w:rsidR="00563088" w:rsidRDefault="00563088" w:rsidP="00563088">
      <w:pPr>
        <w:spacing w:before="120"/>
        <w:rPr>
          <w:rStyle w:val="IntenseReference"/>
          <w:rFonts w:cs="Arial"/>
          <w:b w:val="0"/>
          <w:bCs w:val="0"/>
          <w:i w:val="0"/>
          <w:smallCaps w:val="0"/>
          <w:color w:val="auto"/>
          <w:spacing w:val="0"/>
          <w:szCs w:val="22"/>
        </w:rPr>
      </w:pPr>
      <w:r w:rsidRPr="00404063">
        <w:rPr>
          <w:rStyle w:val="IntenseReference"/>
          <w:rFonts w:cs="Arial"/>
          <w:b w:val="0"/>
          <w:bCs w:val="0"/>
          <w:i w:val="0"/>
          <w:smallCaps w:val="0"/>
          <w:color w:val="auto"/>
          <w:spacing w:val="0"/>
          <w:szCs w:val="22"/>
        </w:rPr>
        <w:t xml:space="preserve">Ceftriaxone non-susceptible </w:t>
      </w:r>
      <w:r w:rsidRPr="00404063">
        <w:rPr>
          <w:rStyle w:val="IntenseReference"/>
          <w:rFonts w:cs="Arial"/>
          <w:b w:val="0"/>
          <w:bCs w:val="0"/>
          <w:smallCaps w:val="0"/>
          <w:color w:val="auto"/>
          <w:spacing w:val="0"/>
          <w:szCs w:val="22"/>
        </w:rPr>
        <w:t>N. gonorrhoeae</w:t>
      </w:r>
      <w:r w:rsidRPr="00404063">
        <w:rPr>
          <w:rStyle w:val="IntenseReference"/>
          <w:rFonts w:cs="Arial"/>
          <w:b w:val="0"/>
          <w:bCs w:val="0"/>
          <w:i w:val="0"/>
          <w:smallCaps w:val="0"/>
          <w:color w:val="auto"/>
          <w:spacing w:val="0"/>
          <w:szCs w:val="22"/>
        </w:rPr>
        <w:t xml:space="preserve"> were </w:t>
      </w:r>
      <w:r w:rsidR="00A55524">
        <w:rPr>
          <w:rStyle w:val="IntenseReference"/>
          <w:rFonts w:cs="Arial"/>
          <w:b w:val="0"/>
          <w:bCs w:val="0"/>
          <w:i w:val="0"/>
          <w:smallCaps w:val="0"/>
          <w:color w:val="auto"/>
          <w:spacing w:val="0"/>
          <w:szCs w:val="22"/>
        </w:rPr>
        <w:t xml:space="preserve">only </w:t>
      </w:r>
      <w:r w:rsidRPr="00404063">
        <w:rPr>
          <w:rStyle w:val="IntenseReference"/>
          <w:rFonts w:cs="Arial"/>
          <w:b w:val="0"/>
          <w:bCs w:val="0"/>
          <w:i w:val="0"/>
          <w:smallCaps w:val="0"/>
          <w:color w:val="auto"/>
          <w:spacing w:val="0"/>
          <w:szCs w:val="22"/>
        </w:rPr>
        <w:t>reported from N</w:t>
      </w:r>
      <w:r>
        <w:rPr>
          <w:rStyle w:val="IntenseReference"/>
          <w:rFonts w:cs="Arial"/>
          <w:b w:val="0"/>
          <w:bCs w:val="0"/>
          <w:i w:val="0"/>
          <w:smallCaps w:val="0"/>
          <w:color w:val="auto"/>
          <w:spacing w:val="0"/>
          <w:szCs w:val="22"/>
        </w:rPr>
        <w:t>SW, and contrib</w:t>
      </w:r>
      <w:r w:rsidRPr="005170AA">
        <w:rPr>
          <w:rStyle w:val="IntenseReference"/>
          <w:rFonts w:cs="Arial"/>
          <w:b w:val="0"/>
          <w:bCs w:val="0"/>
          <w:i w:val="0"/>
          <w:smallCaps w:val="0"/>
          <w:color w:val="auto"/>
          <w:spacing w:val="0"/>
          <w:szCs w:val="22"/>
        </w:rPr>
        <w:t xml:space="preserve">uted </w:t>
      </w:r>
      <w:r w:rsidRPr="00D02C4C">
        <w:rPr>
          <w:rStyle w:val="IntenseReference"/>
          <w:rFonts w:cs="Arial"/>
          <w:b w:val="0"/>
          <w:bCs w:val="0"/>
          <w:i w:val="0"/>
          <w:smallCaps w:val="0"/>
          <w:color w:val="auto"/>
          <w:spacing w:val="0"/>
          <w:szCs w:val="22"/>
        </w:rPr>
        <w:t xml:space="preserve">to 17% (4/24) of all </w:t>
      </w:r>
      <w:r w:rsidRPr="00D02C4C">
        <w:rPr>
          <w:rStyle w:val="IntenseReference"/>
          <w:rFonts w:cs="Arial"/>
          <w:b w:val="0"/>
          <w:bCs w:val="0"/>
          <w:smallCaps w:val="0"/>
          <w:color w:val="auto"/>
          <w:spacing w:val="0"/>
          <w:szCs w:val="22"/>
        </w:rPr>
        <w:t>N. gonorrhoeae</w:t>
      </w:r>
      <w:r w:rsidRPr="00D02C4C">
        <w:rPr>
          <w:rStyle w:val="IntenseReference"/>
          <w:rFonts w:cs="Arial"/>
          <w:b w:val="0"/>
          <w:bCs w:val="0"/>
          <w:i w:val="0"/>
          <w:smallCaps w:val="0"/>
          <w:color w:val="auto"/>
          <w:spacing w:val="0"/>
          <w:szCs w:val="22"/>
        </w:rPr>
        <w:t xml:space="preserve"> </w:t>
      </w:r>
      <w:r w:rsidR="00A55524">
        <w:rPr>
          <w:rStyle w:val="IntenseReference"/>
          <w:rFonts w:cs="Arial"/>
          <w:b w:val="0"/>
          <w:bCs w:val="0"/>
          <w:i w:val="0"/>
          <w:smallCaps w:val="0"/>
          <w:color w:val="auto"/>
          <w:spacing w:val="0"/>
          <w:szCs w:val="22"/>
        </w:rPr>
        <w:t xml:space="preserve">reported to CARAlert </w:t>
      </w:r>
      <w:r w:rsidRPr="00D02C4C">
        <w:rPr>
          <w:rStyle w:val="IntenseReference"/>
          <w:rFonts w:cs="Arial"/>
          <w:b w:val="0"/>
          <w:bCs w:val="0"/>
          <w:i w:val="0"/>
          <w:smallCaps w:val="0"/>
          <w:color w:val="auto"/>
          <w:spacing w:val="0"/>
          <w:szCs w:val="22"/>
        </w:rPr>
        <w:t>in July 2016.</w:t>
      </w:r>
      <w:r w:rsidRPr="00404063">
        <w:rPr>
          <w:rStyle w:val="IntenseReference"/>
          <w:rFonts w:cs="Arial"/>
          <w:b w:val="0"/>
          <w:bCs w:val="0"/>
          <w:i w:val="0"/>
          <w:smallCaps w:val="0"/>
          <w:color w:val="auto"/>
          <w:spacing w:val="0"/>
          <w:szCs w:val="22"/>
        </w:rPr>
        <w:t xml:space="preserve"> </w:t>
      </w:r>
    </w:p>
    <w:p w:rsidR="00563088" w:rsidRDefault="00563088" w:rsidP="00563088">
      <w:pPr>
        <w:spacing w:before="120"/>
        <w:rPr>
          <w:rStyle w:val="IntenseReference"/>
          <w:rFonts w:cs="Arial"/>
          <w:b w:val="0"/>
          <w:bCs w:val="0"/>
          <w:i w:val="0"/>
          <w:smallCaps w:val="0"/>
          <w:color w:val="auto"/>
          <w:spacing w:val="0"/>
          <w:szCs w:val="22"/>
        </w:rPr>
      </w:pPr>
      <w:r w:rsidRPr="00404063">
        <w:rPr>
          <w:rStyle w:val="IntenseReference"/>
          <w:rFonts w:cs="Arial"/>
          <w:b w:val="0"/>
          <w:bCs w:val="0"/>
          <w:i w:val="0"/>
          <w:smallCaps w:val="0"/>
          <w:color w:val="auto"/>
          <w:spacing w:val="0"/>
          <w:szCs w:val="22"/>
        </w:rPr>
        <w:t xml:space="preserve">For </w:t>
      </w:r>
      <w:r w:rsidRPr="00404063">
        <w:rPr>
          <w:rStyle w:val="IntenseReference"/>
          <w:rFonts w:cs="Arial"/>
          <w:b w:val="0"/>
          <w:bCs w:val="0"/>
          <w:smallCaps w:val="0"/>
          <w:color w:val="auto"/>
          <w:spacing w:val="0"/>
          <w:szCs w:val="22"/>
        </w:rPr>
        <w:t>S.</w:t>
      </w:r>
      <w:r>
        <w:rPr>
          <w:rStyle w:val="IntenseReference"/>
          <w:rFonts w:cs="Arial"/>
          <w:b w:val="0"/>
          <w:bCs w:val="0"/>
          <w:smallCaps w:val="0"/>
          <w:color w:val="auto"/>
          <w:spacing w:val="0"/>
          <w:szCs w:val="22"/>
        </w:rPr>
        <w:t> </w:t>
      </w:r>
      <w:r w:rsidRPr="00404063">
        <w:rPr>
          <w:rStyle w:val="IntenseReference"/>
          <w:rFonts w:cs="Arial"/>
          <w:b w:val="0"/>
          <w:bCs w:val="0"/>
          <w:smallCaps w:val="0"/>
          <w:color w:val="auto"/>
          <w:spacing w:val="0"/>
          <w:szCs w:val="22"/>
        </w:rPr>
        <w:t>aureus</w:t>
      </w:r>
      <w:r>
        <w:rPr>
          <w:rStyle w:val="IntenseReference"/>
          <w:rFonts w:cs="Arial"/>
          <w:b w:val="0"/>
          <w:bCs w:val="0"/>
          <w:i w:val="0"/>
          <w:smallCaps w:val="0"/>
          <w:color w:val="auto"/>
          <w:spacing w:val="0"/>
          <w:szCs w:val="22"/>
        </w:rPr>
        <w:t>, 99</w:t>
      </w:r>
      <w:r w:rsidRPr="00404063">
        <w:rPr>
          <w:rStyle w:val="IntenseReference"/>
          <w:rFonts w:cs="Arial"/>
          <w:b w:val="0"/>
          <w:bCs w:val="0"/>
          <w:i w:val="0"/>
          <w:smallCaps w:val="0"/>
          <w:color w:val="auto"/>
          <w:spacing w:val="0"/>
          <w:szCs w:val="22"/>
        </w:rPr>
        <w:t>% were daptom</w:t>
      </w:r>
      <w:r>
        <w:rPr>
          <w:rStyle w:val="IntenseReference"/>
          <w:rFonts w:cs="Arial"/>
          <w:b w:val="0"/>
          <w:bCs w:val="0"/>
          <w:i w:val="0"/>
          <w:smallCaps w:val="0"/>
          <w:color w:val="auto"/>
          <w:spacing w:val="0"/>
          <w:szCs w:val="22"/>
        </w:rPr>
        <w:t>ycin non-susceptible strains (92/93</w:t>
      </w:r>
      <w:r w:rsidRPr="00404063">
        <w:rPr>
          <w:rStyle w:val="IntenseReference"/>
          <w:rFonts w:cs="Arial"/>
          <w:b w:val="0"/>
          <w:bCs w:val="0"/>
          <w:i w:val="0"/>
          <w:smallCaps w:val="0"/>
          <w:color w:val="auto"/>
          <w:spacing w:val="0"/>
          <w:szCs w:val="22"/>
        </w:rPr>
        <w:t>). One vancomycin non-susceptible (vancomycin</w:t>
      </w:r>
      <w:r>
        <w:rPr>
          <w:rStyle w:val="IntenseReference"/>
          <w:rFonts w:cs="Arial"/>
          <w:b w:val="0"/>
          <w:bCs w:val="0"/>
          <w:i w:val="0"/>
          <w:smallCaps w:val="0"/>
          <w:color w:val="auto"/>
          <w:spacing w:val="0"/>
          <w:szCs w:val="22"/>
        </w:rPr>
        <w:t>-</w:t>
      </w:r>
      <w:r w:rsidRPr="00404063">
        <w:rPr>
          <w:rStyle w:val="IntenseReference"/>
          <w:rFonts w:cs="Arial"/>
          <w:b w:val="0"/>
          <w:bCs w:val="0"/>
          <w:i w:val="0"/>
          <w:smallCaps w:val="0"/>
          <w:color w:val="auto"/>
          <w:spacing w:val="0"/>
          <w:szCs w:val="22"/>
        </w:rPr>
        <w:t>intermediate) strain was reported in June</w:t>
      </w:r>
      <w:r>
        <w:rPr>
          <w:rStyle w:val="IntenseReference"/>
          <w:rFonts w:cs="Arial"/>
          <w:b w:val="0"/>
          <w:bCs w:val="0"/>
          <w:i w:val="0"/>
          <w:smallCaps w:val="0"/>
          <w:color w:val="auto"/>
          <w:spacing w:val="0"/>
          <w:szCs w:val="22"/>
        </w:rPr>
        <w:t xml:space="preserve"> 2016</w:t>
      </w:r>
      <w:r w:rsidRPr="00404063">
        <w:rPr>
          <w:rStyle w:val="IntenseReference"/>
          <w:rFonts w:cs="Arial"/>
          <w:b w:val="0"/>
          <w:bCs w:val="0"/>
          <w:i w:val="0"/>
          <w:smallCaps w:val="0"/>
          <w:color w:val="auto"/>
          <w:spacing w:val="0"/>
          <w:szCs w:val="22"/>
        </w:rPr>
        <w:t xml:space="preserve"> from Victoria. No linezolid non-susceptible </w:t>
      </w:r>
      <w:r w:rsidRPr="00C70B4B">
        <w:rPr>
          <w:rStyle w:val="IntenseReference"/>
          <w:rFonts w:cs="Arial"/>
          <w:b w:val="0"/>
          <w:bCs w:val="0"/>
          <w:smallCaps w:val="0"/>
          <w:color w:val="auto"/>
          <w:spacing w:val="0"/>
          <w:szCs w:val="22"/>
        </w:rPr>
        <w:t>S.</w:t>
      </w:r>
      <w:r>
        <w:rPr>
          <w:rStyle w:val="IntenseReference"/>
          <w:rFonts w:cs="Arial"/>
          <w:b w:val="0"/>
          <w:bCs w:val="0"/>
          <w:smallCaps w:val="0"/>
          <w:color w:val="auto"/>
          <w:spacing w:val="0"/>
          <w:szCs w:val="22"/>
        </w:rPr>
        <w:t> </w:t>
      </w:r>
      <w:r w:rsidRPr="00C70B4B">
        <w:rPr>
          <w:rStyle w:val="IntenseReference"/>
          <w:rFonts w:cs="Arial"/>
          <w:b w:val="0"/>
          <w:bCs w:val="0"/>
          <w:smallCaps w:val="0"/>
          <w:color w:val="auto"/>
          <w:spacing w:val="0"/>
          <w:szCs w:val="22"/>
        </w:rPr>
        <w:t>aureus</w:t>
      </w:r>
      <w:r>
        <w:rPr>
          <w:rStyle w:val="IntenseReference"/>
          <w:rFonts w:cs="Arial"/>
          <w:b w:val="0"/>
          <w:bCs w:val="0"/>
          <w:i w:val="0"/>
          <w:smallCaps w:val="0"/>
          <w:color w:val="auto"/>
          <w:spacing w:val="0"/>
          <w:szCs w:val="22"/>
        </w:rPr>
        <w:t xml:space="preserve"> </w:t>
      </w:r>
      <w:r w:rsidRPr="00404063">
        <w:rPr>
          <w:rStyle w:val="IntenseReference"/>
          <w:rFonts w:cs="Arial"/>
          <w:b w:val="0"/>
          <w:bCs w:val="0"/>
          <w:i w:val="0"/>
          <w:smallCaps w:val="0"/>
          <w:color w:val="auto"/>
          <w:spacing w:val="0"/>
          <w:szCs w:val="22"/>
        </w:rPr>
        <w:t>strains were reported.</w:t>
      </w:r>
    </w:p>
    <w:p w:rsidR="00AE718B" w:rsidRDefault="00AE718B">
      <w:pPr>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br w:type="page"/>
      </w:r>
    </w:p>
    <w:p w:rsidR="00506045" w:rsidRDefault="00563088" w:rsidP="00563088">
      <w:pPr>
        <w:spacing w:before="120"/>
        <w:rPr>
          <w:szCs w:val="22"/>
        </w:rPr>
      </w:pPr>
      <w:r w:rsidRPr="00220902">
        <w:rPr>
          <w:rStyle w:val="IntenseReference"/>
          <w:rFonts w:cs="Arial"/>
          <w:b w:val="0"/>
          <w:bCs w:val="0"/>
          <w:i w:val="0"/>
          <w:smallCaps w:val="0"/>
          <w:color w:val="auto"/>
          <w:spacing w:val="0"/>
          <w:szCs w:val="22"/>
        </w:rPr>
        <w:lastRenderedPageBreak/>
        <w:t>Ribosomal methyl</w:t>
      </w:r>
      <w:r>
        <w:rPr>
          <w:rStyle w:val="IntenseReference"/>
          <w:rFonts w:cs="Arial"/>
          <w:b w:val="0"/>
          <w:bCs w:val="0"/>
          <w:i w:val="0"/>
          <w:smallCaps w:val="0"/>
          <w:color w:val="auto"/>
          <w:spacing w:val="0"/>
          <w:szCs w:val="22"/>
        </w:rPr>
        <w:t>transfer</w:t>
      </w:r>
      <w:r w:rsidRPr="00220902">
        <w:rPr>
          <w:rStyle w:val="IntenseReference"/>
          <w:rFonts w:cs="Arial"/>
          <w:b w:val="0"/>
          <w:bCs w:val="0"/>
          <w:i w:val="0"/>
          <w:smallCaps w:val="0"/>
          <w:color w:val="auto"/>
          <w:spacing w:val="0"/>
          <w:szCs w:val="22"/>
        </w:rPr>
        <w:t xml:space="preserve">ases were detected </w:t>
      </w:r>
      <w:r w:rsidRPr="00812743">
        <w:rPr>
          <w:rStyle w:val="IntenseReference"/>
          <w:rFonts w:cs="Arial"/>
          <w:b w:val="0"/>
          <w:bCs w:val="0"/>
          <w:i w:val="0"/>
          <w:smallCaps w:val="0"/>
          <w:color w:val="auto"/>
          <w:spacing w:val="0"/>
          <w:szCs w:val="22"/>
        </w:rPr>
        <w:t xml:space="preserve">in </w:t>
      </w:r>
      <w:r>
        <w:rPr>
          <w:rStyle w:val="IntenseReference"/>
          <w:rFonts w:cs="Arial"/>
          <w:b w:val="0"/>
          <w:bCs w:val="0"/>
          <w:i w:val="0"/>
          <w:smallCaps w:val="0"/>
          <w:color w:val="auto"/>
          <w:spacing w:val="0"/>
          <w:szCs w:val="22"/>
        </w:rPr>
        <w:t>42</w:t>
      </w:r>
      <w:r w:rsidRPr="00812743">
        <w:rPr>
          <w:rStyle w:val="IntenseReference"/>
          <w:rFonts w:cs="Arial"/>
          <w:b w:val="0"/>
          <w:bCs w:val="0"/>
          <w:i w:val="0"/>
          <w:smallCaps w:val="0"/>
          <w:color w:val="auto"/>
          <w:spacing w:val="0"/>
          <w:szCs w:val="22"/>
        </w:rPr>
        <w:t xml:space="preserve"> </w:t>
      </w:r>
      <w:r w:rsidRPr="00661532">
        <w:rPr>
          <w:rStyle w:val="IntenseReference"/>
          <w:rFonts w:cs="Arial"/>
          <w:b w:val="0"/>
          <w:bCs w:val="0"/>
          <w:i w:val="0"/>
          <w:smallCaps w:val="0"/>
          <w:color w:val="auto"/>
          <w:spacing w:val="0"/>
          <w:szCs w:val="22"/>
        </w:rPr>
        <w:t>Enterobacteriaceae</w:t>
      </w:r>
      <w:r w:rsidRPr="00812743">
        <w:rPr>
          <w:rStyle w:val="IntenseReference"/>
          <w:rFonts w:cs="Arial"/>
          <w:b w:val="0"/>
          <w:bCs w:val="0"/>
          <w:i w:val="0"/>
          <w:smallCaps w:val="0"/>
          <w:color w:val="auto"/>
          <w:spacing w:val="0"/>
          <w:szCs w:val="22"/>
        </w:rPr>
        <w:t xml:space="preserve">, representing </w:t>
      </w:r>
      <w:r>
        <w:rPr>
          <w:rStyle w:val="IntenseReference"/>
          <w:rFonts w:cs="Arial"/>
          <w:b w:val="0"/>
          <w:bCs w:val="0"/>
          <w:i w:val="0"/>
          <w:smallCaps w:val="0"/>
          <w:color w:val="auto"/>
          <w:spacing w:val="0"/>
          <w:szCs w:val="22"/>
        </w:rPr>
        <w:t>seven</w:t>
      </w:r>
      <w:r w:rsidRPr="00812743">
        <w:rPr>
          <w:rStyle w:val="IntenseReference"/>
          <w:rFonts w:cs="Arial"/>
          <w:b w:val="0"/>
          <w:bCs w:val="0"/>
          <w:i w:val="0"/>
          <w:smallCaps w:val="0"/>
          <w:color w:val="auto"/>
          <w:spacing w:val="0"/>
          <w:szCs w:val="22"/>
        </w:rPr>
        <w:t xml:space="preserve"> different species</w:t>
      </w:r>
      <w:r>
        <w:rPr>
          <w:rStyle w:val="IntenseReference"/>
          <w:rFonts w:cs="Arial"/>
          <w:b w:val="0"/>
          <w:bCs w:val="0"/>
          <w:i w:val="0"/>
          <w:smallCaps w:val="0"/>
          <w:color w:val="auto"/>
          <w:spacing w:val="0"/>
          <w:szCs w:val="22"/>
        </w:rPr>
        <w:t>; 57% (24/42</w:t>
      </w:r>
      <w:r w:rsidRPr="00812743">
        <w:rPr>
          <w:rStyle w:val="IntenseReference"/>
          <w:rFonts w:cs="Arial"/>
          <w:b w:val="0"/>
          <w:bCs w:val="0"/>
          <w:i w:val="0"/>
          <w:smallCaps w:val="0"/>
          <w:color w:val="auto"/>
          <w:spacing w:val="0"/>
          <w:szCs w:val="22"/>
        </w:rPr>
        <w:t xml:space="preserve">) of which also had a carbapenemase. Ribosomal methyltransferases are not always associated with a carbapenemase gene. </w:t>
      </w:r>
      <w:r w:rsidRPr="0006793D">
        <w:rPr>
          <w:rFonts w:cs="Arial"/>
        </w:rPr>
        <w:t xml:space="preserve">Five ribosomal methyltransferase genes were found: </w:t>
      </w:r>
      <w:r w:rsidRPr="00144BAE">
        <w:rPr>
          <w:rStyle w:val="Emphasis"/>
        </w:rPr>
        <w:t>rmtB</w:t>
      </w:r>
      <w:r w:rsidRPr="00144BAE">
        <w:rPr>
          <w:rFonts w:cs="Arial"/>
        </w:rPr>
        <w:t xml:space="preserve"> (55%; 23/42), either alone (21; 50%) or in combination with </w:t>
      </w:r>
      <w:r w:rsidRPr="00144BAE">
        <w:rPr>
          <w:rStyle w:val="Emphasis"/>
        </w:rPr>
        <w:t>rmtE</w:t>
      </w:r>
      <w:r w:rsidRPr="00144BAE">
        <w:rPr>
          <w:rFonts w:cs="Arial"/>
        </w:rPr>
        <w:t xml:space="preserve"> (1; 2.4%)</w:t>
      </w:r>
      <w:r w:rsidRPr="0006793D">
        <w:rPr>
          <w:rFonts w:cs="Arial"/>
        </w:rPr>
        <w:t xml:space="preserve"> or </w:t>
      </w:r>
      <w:r w:rsidRPr="0006793D">
        <w:rPr>
          <w:rStyle w:val="Emphasis"/>
        </w:rPr>
        <w:t>rmtF</w:t>
      </w:r>
      <w:r>
        <w:rPr>
          <w:rFonts w:cs="Arial"/>
        </w:rPr>
        <w:t xml:space="preserve"> (1, 2.4</w:t>
      </w:r>
      <w:r w:rsidRPr="0006793D">
        <w:rPr>
          <w:rFonts w:cs="Arial"/>
        </w:rPr>
        <w:t xml:space="preserve">%); </w:t>
      </w:r>
      <w:r w:rsidRPr="00144BAE">
        <w:rPr>
          <w:rStyle w:val="Emphasis"/>
        </w:rPr>
        <w:t>armA</w:t>
      </w:r>
      <w:r w:rsidRPr="00144BAE">
        <w:rPr>
          <w:rFonts w:cs="Arial"/>
        </w:rPr>
        <w:t xml:space="preserve"> (33%; 14/42); </w:t>
      </w:r>
      <w:r w:rsidRPr="00144BAE">
        <w:rPr>
          <w:rStyle w:val="Emphasis"/>
        </w:rPr>
        <w:t>rmtC</w:t>
      </w:r>
      <w:r w:rsidRPr="00144BAE">
        <w:rPr>
          <w:rFonts w:cs="Arial"/>
        </w:rPr>
        <w:t xml:space="preserve"> (10%; 4/42); and </w:t>
      </w:r>
      <w:r w:rsidRPr="00144BAE">
        <w:rPr>
          <w:rStyle w:val="Emphasis"/>
        </w:rPr>
        <w:t>rmtF</w:t>
      </w:r>
      <w:r w:rsidRPr="00144BAE">
        <w:rPr>
          <w:rFonts w:cs="Arial"/>
        </w:rPr>
        <w:t xml:space="preserve"> alone (1; 2%).</w:t>
      </w:r>
      <w:r>
        <w:rPr>
          <w:rStyle w:val="IntenseReference"/>
          <w:rFonts w:cs="Arial"/>
          <w:bCs w:val="0"/>
          <w:i w:val="0"/>
          <w:smallCaps w:val="0"/>
          <w:color w:val="auto"/>
          <w:spacing w:val="0"/>
          <w:szCs w:val="22"/>
        </w:rPr>
        <w:t xml:space="preserve"> </w:t>
      </w:r>
      <w:r w:rsidRPr="00812743">
        <w:rPr>
          <w:szCs w:val="22"/>
        </w:rPr>
        <w:t>Two isolates had multiple genes</w:t>
      </w:r>
      <w:r w:rsidR="000A073E">
        <w:rPr>
          <w:szCs w:val="22"/>
        </w:rPr>
        <w:t>:</w:t>
      </w:r>
      <w:r w:rsidRPr="00812743">
        <w:rPr>
          <w:szCs w:val="22"/>
        </w:rPr>
        <w:t xml:space="preserve"> </w:t>
      </w:r>
      <w:r w:rsidRPr="00812743">
        <w:rPr>
          <w:i/>
          <w:szCs w:val="22"/>
        </w:rPr>
        <w:t>Providencia rettgeri</w:t>
      </w:r>
      <w:r w:rsidRPr="00812743">
        <w:rPr>
          <w:szCs w:val="22"/>
        </w:rPr>
        <w:t xml:space="preserve"> (</w:t>
      </w:r>
      <w:r w:rsidRPr="00812743">
        <w:rPr>
          <w:i/>
          <w:szCs w:val="22"/>
        </w:rPr>
        <w:t>rmtB</w:t>
      </w:r>
      <w:r w:rsidRPr="00812743">
        <w:rPr>
          <w:szCs w:val="22"/>
        </w:rPr>
        <w:t>,</w:t>
      </w:r>
      <w:r w:rsidRPr="00812743">
        <w:rPr>
          <w:i/>
          <w:szCs w:val="22"/>
        </w:rPr>
        <w:t xml:space="preserve"> rmtE</w:t>
      </w:r>
      <w:r w:rsidRPr="00812743">
        <w:rPr>
          <w:szCs w:val="22"/>
        </w:rPr>
        <w:t xml:space="preserve">, and NDM) and </w:t>
      </w:r>
      <w:r w:rsidRPr="00812743">
        <w:rPr>
          <w:i/>
          <w:szCs w:val="22"/>
        </w:rPr>
        <w:t>K. pneumoniae</w:t>
      </w:r>
      <w:r w:rsidRPr="00812743">
        <w:rPr>
          <w:szCs w:val="22"/>
        </w:rPr>
        <w:t xml:space="preserve"> (</w:t>
      </w:r>
      <w:r w:rsidRPr="00812743">
        <w:rPr>
          <w:i/>
          <w:szCs w:val="22"/>
        </w:rPr>
        <w:t>rmtB</w:t>
      </w:r>
      <w:r w:rsidRPr="00812743">
        <w:rPr>
          <w:szCs w:val="22"/>
        </w:rPr>
        <w:t xml:space="preserve">, </w:t>
      </w:r>
      <w:r w:rsidRPr="00812743">
        <w:rPr>
          <w:i/>
          <w:szCs w:val="22"/>
        </w:rPr>
        <w:t>rmtF</w:t>
      </w:r>
      <w:r w:rsidRPr="00812743">
        <w:rPr>
          <w:szCs w:val="22"/>
        </w:rPr>
        <w:t>, and NDM+OXA-48-like).</w:t>
      </w:r>
    </w:p>
    <w:p w:rsidR="00DF21B1" w:rsidRPr="00506045" w:rsidRDefault="00DF21B1" w:rsidP="00164D03">
      <w:pPr>
        <w:pStyle w:val="Heading1"/>
        <w:spacing w:after="240"/>
        <w:rPr>
          <w:color w:val="AA610D" w:themeColor="accent1" w:themeShade="BF"/>
          <w:sz w:val="32"/>
        </w:rPr>
      </w:pPr>
      <w:bookmarkStart w:id="12" w:name="_Toc486425624"/>
      <w:r w:rsidRPr="00506045">
        <w:rPr>
          <w:color w:val="AA610D" w:themeColor="accent1" w:themeShade="BF"/>
          <w:sz w:val="32"/>
        </w:rPr>
        <w:t>Conclusion</w:t>
      </w:r>
      <w:bookmarkEnd w:id="12"/>
    </w:p>
    <w:p w:rsidR="007023D0" w:rsidRDefault="007023D0" w:rsidP="007C1C2E">
      <w:pPr>
        <w:spacing w:before="120"/>
        <w:rPr>
          <w:rFonts w:cs="Arial"/>
          <w:szCs w:val="22"/>
        </w:rPr>
      </w:pPr>
      <w:r>
        <w:rPr>
          <w:rFonts w:cs="Arial"/>
          <w:szCs w:val="22"/>
        </w:rPr>
        <w:t xml:space="preserve">CARAlert </w:t>
      </w:r>
      <w:r w:rsidR="00EC37ED">
        <w:rPr>
          <w:rFonts w:cs="Arial"/>
          <w:szCs w:val="22"/>
        </w:rPr>
        <w:t xml:space="preserve">was established </w:t>
      </w:r>
      <w:r>
        <w:rPr>
          <w:rFonts w:cs="Arial"/>
          <w:szCs w:val="22"/>
        </w:rPr>
        <w:t xml:space="preserve">in 2016 </w:t>
      </w:r>
      <w:r w:rsidR="00EC37ED">
        <w:rPr>
          <w:rFonts w:cs="Arial"/>
          <w:szCs w:val="22"/>
        </w:rPr>
        <w:t>to provide specific and more timely surveillance</w:t>
      </w:r>
      <w:r w:rsidR="00F603CF">
        <w:rPr>
          <w:rFonts w:cs="Arial"/>
          <w:szCs w:val="22"/>
        </w:rPr>
        <w:t xml:space="preserve"> and reporting</w:t>
      </w:r>
      <w:r w:rsidR="00EC37ED">
        <w:rPr>
          <w:rFonts w:cs="Arial"/>
          <w:szCs w:val="22"/>
        </w:rPr>
        <w:t xml:space="preserve"> of CARs. </w:t>
      </w:r>
    </w:p>
    <w:p w:rsidR="007379F5" w:rsidRDefault="005421B3" w:rsidP="00AF68EE">
      <w:pPr>
        <w:spacing w:before="120"/>
        <w:rPr>
          <w:rFonts w:cs="Arial"/>
          <w:szCs w:val="22"/>
        </w:rPr>
      </w:pPr>
      <w:r>
        <w:rPr>
          <w:rFonts w:cs="Arial"/>
          <w:szCs w:val="22"/>
        </w:rPr>
        <w:t>The IMP-type carbapenemase</w:t>
      </w:r>
      <w:r w:rsidR="00934264">
        <w:rPr>
          <w:rFonts w:cs="Arial"/>
          <w:szCs w:val="22"/>
        </w:rPr>
        <w:t xml:space="preserve"> (mainly IMP-4)</w:t>
      </w:r>
      <w:r>
        <w:rPr>
          <w:rFonts w:cs="Arial"/>
          <w:szCs w:val="22"/>
        </w:rPr>
        <w:t xml:space="preserve"> is now endemic on the eastern seaboard </w:t>
      </w:r>
      <w:r w:rsidR="007023D0">
        <w:rPr>
          <w:rFonts w:cs="Arial"/>
          <w:szCs w:val="22"/>
        </w:rPr>
        <w:t xml:space="preserve">of Australia </w:t>
      </w:r>
      <w:r>
        <w:rPr>
          <w:rFonts w:cs="Arial"/>
          <w:szCs w:val="22"/>
        </w:rPr>
        <w:t>in several species of</w:t>
      </w:r>
      <w:r w:rsidRPr="004A7DFD">
        <w:rPr>
          <w:rStyle w:val="IntenseReference"/>
          <w:rFonts w:cs="Arial"/>
          <w:b w:val="0"/>
          <w:bCs w:val="0"/>
          <w:i w:val="0"/>
          <w:smallCaps w:val="0"/>
          <w:color w:val="auto"/>
          <w:spacing w:val="0"/>
          <w:szCs w:val="22"/>
        </w:rPr>
        <w:t xml:space="preserve"> </w:t>
      </w:r>
      <w:r w:rsidRPr="00661532">
        <w:rPr>
          <w:rStyle w:val="IntenseReference"/>
          <w:rFonts w:cs="Arial"/>
          <w:b w:val="0"/>
          <w:bCs w:val="0"/>
          <w:i w:val="0"/>
          <w:smallCaps w:val="0"/>
          <w:color w:val="auto"/>
          <w:spacing w:val="0"/>
          <w:szCs w:val="22"/>
        </w:rPr>
        <w:t>Enterobacteriaceae</w:t>
      </w:r>
      <w:r w:rsidR="00F603CF">
        <w:rPr>
          <w:rFonts w:cs="Arial"/>
          <w:szCs w:val="22"/>
        </w:rPr>
        <w:t>,</w:t>
      </w:r>
      <w:r>
        <w:rPr>
          <w:rFonts w:cs="Arial"/>
          <w:szCs w:val="22"/>
        </w:rPr>
        <w:t xml:space="preserve"> </w:t>
      </w:r>
      <w:r w:rsidR="007023D0" w:rsidRPr="007023D0">
        <w:rPr>
          <w:rFonts w:cs="Arial"/>
          <w:szCs w:val="22"/>
        </w:rPr>
        <w:t xml:space="preserve">particularly </w:t>
      </w:r>
      <w:r w:rsidR="007023D0" w:rsidRPr="007023D0">
        <w:rPr>
          <w:rFonts w:cs="Arial"/>
          <w:i/>
          <w:szCs w:val="22"/>
        </w:rPr>
        <w:t>E</w:t>
      </w:r>
      <w:r w:rsidR="007023D0">
        <w:rPr>
          <w:rFonts w:cs="Arial"/>
          <w:i/>
          <w:szCs w:val="22"/>
        </w:rPr>
        <w:t>.</w:t>
      </w:r>
      <w:r w:rsidR="007023D0" w:rsidRPr="007023D0">
        <w:rPr>
          <w:rFonts w:cs="Arial"/>
          <w:i/>
          <w:szCs w:val="22"/>
        </w:rPr>
        <w:t xml:space="preserve"> cloacae</w:t>
      </w:r>
      <w:r w:rsidR="007379F5" w:rsidRPr="00172710">
        <w:rPr>
          <w:rFonts w:cs="Arial"/>
          <w:szCs w:val="22"/>
        </w:rPr>
        <w:t>; this means that it is</w:t>
      </w:r>
      <w:r w:rsidR="007379F5">
        <w:rPr>
          <w:rFonts w:cs="Arial"/>
          <w:szCs w:val="22"/>
        </w:rPr>
        <w:t xml:space="preserve"> difficult to eliminate, and rigorous control measures are essential</w:t>
      </w:r>
      <w:r w:rsidR="007023D0" w:rsidRPr="007023D0">
        <w:rPr>
          <w:rFonts w:cs="Arial"/>
          <w:szCs w:val="22"/>
        </w:rPr>
        <w:t xml:space="preserve">. </w:t>
      </w:r>
      <w:r w:rsidR="007023D0">
        <w:rPr>
          <w:rFonts w:cs="Arial"/>
          <w:szCs w:val="22"/>
        </w:rPr>
        <w:t>T</w:t>
      </w:r>
      <w:r>
        <w:rPr>
          <w:rFonts w:cs="Arial"/>
          <w:szCs w:val="22"/>
        </w:rPr>
        <w:t>here is no evidence that other carbapenemases hav</w:t>
      </w:r>
      <w:r w:rsidR="007023D0">
        <w:rPr>
          <w:rFonts w:cs="Arial"/>
          <w:szCs w:val="22"/>
        </w:rPr>
        <w:t>e</w:t>
      </w:r>
      <w:r>
        <w:rPr>
          <w:rFonts w:cs="Arial"/>
          <w:szCs w:val="22"/>
        </w:rPr>
        <w:t xml:space="preserve"> become established in Australia </w:t>
      </w:r>
      <w:r w:rsidR="007023D0">
        <w:rPr>
          <w:rFonts w:cs="Arial"/>
          <w:szCs w:val="22"/>
        </w:rPr>
        <w:t>to date.</w:t>
      </w:r>
      <w:r w:rsidR="00AF68EE">
        <w:rPr>
          <w:rFonts w:cs="Arial"/>
          <w:szCs w:val="22"/>
        </w:rPr>
        <w:t xml:space="preserve"> </w:t>
      </w:r>
    </w:p>
    <w:p w:rsidR="00172710" w:rsidRDefault="00AF68EE" w:rsidP="007C1C2E">
      <w:pPr>
        <w:spacing w:before="120"/>
        <w:rPr>
          <w:rFonts w:cs="Arial"/>
          <w:szCs w:val="22"/>
        </w:rPr>
      </w:pPr>
      <w:r>
        <w:rPr>
          <w:rFonts w:cs="Arial"/>
          <w:szCs w:val="22"/>
        </w:rPr>
        <w:t xml:space="preserve">The </w:t>
      </w:r>
      <w:r w:rsidR="00EC37ED">
        <w:rPr>
          <w:rFonts w:cs="Arial"/>
          <w:szCs w:val="22"/>
        </w:rPr>
        <w:t xml:space="preserve">number of </w:t>
      </w:r>
      <w:r>
        <w:rPr>
          <w:rFonts w:cs="Arial"/>
          <w:szCs w:val="22"/>
        </w:rPr>
        <w:t xml:space="preserve">CPE </w:t>
      </w:r>
      <w:r w:rsidR="00EC37ED">
        <w:rPr>
          <w:rFonts w:cs="Arial"/>
          <w:szCs w:val="22"/>
        </w:rPr>
        <w:t>report</w:t>
      </w:r>
      <w:r w:rsidR="00F85520">
        <w:rPr>
          <w:rFonts w:cs="Arial"/>
          <w:szCs w:val="22"/>
        </w:rPr>
        <w:t>ed</w:t>
      </w:r>
      <w:r w:rsidR="007379F5">
        <w:rPr>
          <w:rFonts w:cs="Arial"/>
          <w:szCs w:val="22"/>
        </w:rPr>
        <w:t xml:space="preserve">, and the endemicity of IMP-type </w:t>
      </w:r>
      <w:r w:rsidR="007379F5" w:rsidRPr="007379F5">
        <w:rPr>
          <w:rFonts w:cs="Arial"/>
          <w:szCs w:val="22"/>
        </w:rPr>
        <w:t>carbapenemase</w:t>
      </w:r>
      <w:r w:rsidR="007379F5">
        <w:rPr>
          <w:rFonts w:cs="Arial"/>
          <w:szCs w:val="22"/>
        </w:rPr>
        <w:t xml:space="preserve">, </w:t>
      </w:r>
      <w:r>
        <w:rPr>
          <w:rFonts w:cs="Arial"/>
          <w:szCs w:val="22"/>
        </w:rPr>
        <w:t xml:space="preserve">highlight the importance of </w:t>
      </w:r>
      <w:r w:rsidR="00D079B1">
        <w:rPr>
          <w:rFonts w:cs="Arial"/>
          <w:szCs w:val="22"/>
        </w:rPr>
        <w:t>implementing actions outlined within</w:t>
      </w:r>
      <w:r w:rsidR="00555AB3" w:rsidRPr="00555AB3">
        <w:rPr>
          <w:rFonts w:cs="Arial"/>
          <w:szCs w:val="22"/>
        </w:rPr>
        <w:t xml:space="preserve"> the </w:t>
      </w:r>
      <w:r w:rsidR="003A282C">
        <w:rPr>
          <w:rFonts w:cs="Arial"/>
          <w:szCs w:val="22"/>
        </w:rPr>
        <w:t xml:space="preserve">Commission’s </w:t>
      </w:r>
      <w:hyperlink r:id="rId29" w:history="1">
        <w:r w:rsidR="00555AB3" w:rsidRPr="00E26C54">
          <w:rPr>
            <w:rStyle w:val="Hyperlink"/>
            <w:rFonts w:cs="Arial"/>
            <w:szCs w:val="22"/>
          </w:rPr>
          <w:t xml:space="preserve">Recommendations for the control of carbapenemase-producing Enterobacteriaceae: </w:t>
        </w:r>
        <w:r w:rsidR="00172710">
          <w:rPr>
            <w:rStyle w:val="Hyperlink"/>
            <w:rFonts w:cs="Arial"/>
            <w:szCs w:val="22"/>
          </w:rPr>
          <w:t>A</w:t>
        </w:r>
        <w:r w:rsidR="00172710" w:rsidRPr="00E26C54">
          <w:rPr>
            <w:rStyle w:val="Hyperlink"/>
            <w:rFonts w:cs="Arial"/>
            <w:szCs w:val="22"/>
          </w:rPr>
          <w:t xml:space="preserve"> </w:t>
        </w:r>
        <w:r w:rsidR="00555AB3" w:rsidRPr="00E26C54">
          <w:rPr>
            <w:rStyle w:val="Hyperlink"/>
            <w:rFonts w:cs="Arial"/>
            <w:szCs w:val="22"/>
          </w:rPr>
          <w:t>guide for acute health facilities</w:t>
        </w:r>
      </w:hyperlink>
      <w:r>
        <w:rPr>
          <w:rFonts w:cs="Arial"/>
          <w:szCs w:val="22"/>
        </w:rPr>
        <w:t xml:space="preserve">. </w:t>
      </w:r>
      <w:r>
        <w:rPr>
          <w:rStyle w:val="FootnoteReference"/>
          <w:rFonts w:cs="Arial"/>
          <w:szCs w:val="22"/>
        </w:rPr>
        <w:footnoteReference w:id="2"/>
      </w:r>
      <w:r>
        <w:rPr>
          <w:rFonts w:cs="Arial"/>
          <w:szCs w:val="22"/>
        </w:rPr>
        <w:t xml:space="preserve"> </w:t>
      </w:r>
    </w:p>
    <w:p w:rsidR="007023D0" w:rsidRDefault="00336205" w:rsidP="007C1C2E">
      <w:pPr>
        <w:spacing w:before="120"/>
        <w:rPr>
          <w:rFonts w:cs="Arial"/>
          <w:szCs w:val="22"/>
        </w:rPr>
      </w:pPr>
      <w:r>
        <w:rPr>
          <w:rFonts w:cs="Arial"/>
          <w:szCs w:val="22"/>
        </w:rPr>
        <w:t>A</w:t>
      </w:r>
      <w:r w:rsidR="007023D0" w:rsidRPr="007023D0">
        <w:rPr>
          <w:rFonts w:cs="Arial"/>
          <w:szCs w:val="22"/>
        </w:rPr>
        <w:t>zithromycin</w:t>
      </w:r>
      <w:r w:rsidR="007023D0">
        <w:rPr>
          <w:rFonts w:cs="Arial"/>
          <w:szCs w:val="22"/>
        </w:rPr>
        <w:t xml:space="preserve"> </w:t>
      </w:r>
      <w:r w:rsidR="007023D0" w:rsidRPr="007023D0">
        <w:rPr>
          <w:rFonts w:cs="Arial"/>
          <w:szCs w:val="22"/>
        </w:rPr>
        <w:t>non</w:t>
      </w:r>
      <w:r w:rsidR="007023D0">
        <w:rPr>
          <w:rFonts w:cs="Arial"/>
          <w:szCs w:val="22"/>
        </w:rPr>
        <w:t>-</w:t>
      </w:r>
      <w:r w:rsidR="007023D0" w:rsidRPr="007023D0">
        <w:rPr>
          <w:rFonts w:cs="Arial"/>
          <w:szCs w:val="22"/>
        </w:rPr>
        <w:t xml:space="preserve">susceptible </w:t>
      </w:r>
      <w:r w:rsidR="007023D0" w:rsidRPr="007023D0">
        <w:rPr>
          <w:rFonts w:cs="Arial"/>
          <w:i/>
          <w:szCs w:val="22"/>
        </w:rPr>
        <w:t>N</w:t>
      </w:r>
      <w:r w:rsidR="007023D0">
        <w:rPr>
          <w:rFonts w:cs="Arial"/>
          <w:i/>
          <w:szCs w:val="22"/>
        </w:rPr>
        <w:t>.</w:t>
      </w:r>
      <w:r w:rsidR="007023D0" w:rsidRPr="007023D0">
        <w:rPr>
          <w:rFonts w:cs="Arial"/>
          <w:i/>
          <w:szCs w:val="22"/>
        </w:rPr>
        <w:t xml:space="preserve"> gonorrhoeae</w:t>
      </w:r>
      <w:r w:rsidR="007023D0" w:rsidRPr="007023D0">
        <w:rPr>
          <w:rFonts w:cs="Arial"/>
          <w:szCs w:val="22"/>
        </w:rPr>
        <w:t xml:space="preserve"> are common in Australia, and </w:t>
      </w:r>
      <w:r w:rsidR="007023D0">
        <w:rPr>
          <w:rFonts w:cs="Arial"/>
          <w:szCs w:val="22"/>
        </w:rPr>
        <w:t xml:space="preserve">there </w:t>
      </w:r>
      <w:r>
        <w:rPr>
          <w:rFonts w:cs="Arial"/>
          <w:szCs w:val="22"/>
        </w:rPr>
        <w:t>we</w:t>
      </w:r>
      <w:r w:rsidR="00AF68EE">
        <w:rPr>
          <w:rFonts w:cs="Arial"/>
          <w:szCs w:val="22"/>
        </w:rPr>
        <w:t xml:space="preserve">re </w:t>
      </w:r>
      <w:r w:rsidR="00EC37ED">
        <w:rPr>
          <w:rFonts w:cs="Arial"/>
          <w:szCs w:val="22"/>
        </w:rPr>
        <w:t xml:space="preserve">variations </w:t>
      </w:r>
      <w:r w:rsidR="00AF68EE">
        <w:rPr>
          <w:rFonts w:cs="Arial"/>
          <w:szCs w:val="22"/>
        </w:rPr>
        <w:t xml:space="preserve">in numbers </w:t>
      </w:r>
      <w:r w:rsidR="00EC37ED">
        <w:rPr>
          <w:rFonts w:cs="Arial"/>
          <w:szCs w:val="22"/>
        </w:rPr>
        <w:t xml:space="preserve">and time of reporting between </w:t>
      </w:r>
      <w:r w:rsidR="007023D0">
        <w:rPr>
          <w:rFonts w:cs="Arial"/>
          <w:szCs w:val="22"/>
        </w:rPr>
        <w:t>and within states</w:t>
      </w:r>
      <w:r w:rsidR="00172710">
        <w:rPr>
          <w:rFonts w:cs="Arial"/>
          <w:szCs w:val="22"/>
        </w:rPr>
        <w:t xml:space="preserve"> and territories</w:t>
      </w:r>
      <w:r w:rsidR="007023D0">
        <w:rPr>
          <w:rFonts w:cs="Arial"/>
          <w:szCs w:val="22"/>
        </w:rPr>
        <w:t xml:space="preserve"> during the reporting period. </w:t>
      </w:r>
    </w:p>
    <w:p w:rsidR="00555AB3" w:rsidRPr="00555AB3" w:rsidRDefault="00555AB3" w:rsidP="00555AB3">
      <w:pPr>
        <w:spacing w:before="120"/>
        <w:rPr>
          <w:rFonts w:cs="Arial"/>
          <w:szCs w:val="22"/>
        </w:rPr>
      </w:pPr>
      <w:r>
        <w:rPr>
          <w:rFonts w:cs="Arial"/>
          <w:szCs w:val="22"/>
        </w:rPr>
        <w:t xml:space="preserve">The timely </w:t>
      </w:r>
      <w:r w:rsidR="00426E37">
        <w:rPr>
          <w:rFonts w:cs="Arial"/>
          <w:szCs w:val="22"/>
        </w:rPr>
        <w:t xml:space="preserve">reporting of </w:t>
      </w:r>
      <w:r w:rsidRPr="00555AB3">
        <w:rPr>
          <w:rFonts w:cs="Arial"/>
          <w:szCs w:val="22"/>
        </w:rPr>
        <w:t>ceftriaxone or azithromycin non</w:t>
      </w:r>
      <w:r>
        <w:rPr>
          <w:rFonts w:cs="Arial"/>
          <w:szCs w:val="22"/>
        </w:rPr>
        <w:t>-</w:t>
      </w:r>
      <w:r w:rsidRPr="00555AB3">
        <w:rPr>
          <w:rFonts w:cs="Arial"/>
          <w:szCs w:val="22"/>
        </w:rPr>
        <w:t xml:space="preserve">susceptible </w:t>
      </w:r>
      <w:r w:rsidRPr="00555AB3">
        <w:rPr>
          <w:rFonts w:cs="Arial"/>
          <w:i/>
          <w:iCs/>
          <w:szCs w:val="22"/>
        </w:rPr>
        <w:t>N</w:t>
      </w:r>
      <w:r>
        <w:rPr>
          <w:rFonts w:cs="Arial"/>
          <w:i/>
          <w:iCs/>
          <w:szCs w:val="22"/>
        </w:rPr>
        <w:t>.</w:t>
      </w:r>
      <w:r w:rsidRPr="00555AB3">
        <w:rPr>
          <w:rFonts w:cs="Arial"/>
          <w:i/>
          <w:iCs/>
          <w:szCs w:val="22"/>
        </w:rPr>
        <w:t xml:space="preserve"> gonorrhoeae</w:t>
      </w:r>
      <w:r w:rsidRPr="00555AB3">
        <w:rPr>
          <w:rFonts w:cs="Arial"/>
          <w:szCs w:val="22"/>
        </w:rPr>
        <w:t xml:space="preserve"> </w:t>
      </w:r>
      <w:r w:rsidR="00426E37">
        <w:rPr>
          <w:rFonts w:cs="Arial"/>
          <w:szCs w:val="22"/>
        </w:rPr>
        <w:t xml:space="preserve">data </w:t>
      </w:r>
      <w:r>
        <w:rPr>
          <w:rFonts w:cs="Arial"/>
          <w:szCs w:val="22"/>
        </w:rPr>
        <w:t xml:space="preserve">to CARAlert complement </w:t>
      </w:r>
      <w:r w:rsidRPr="00555AB3">
        <w:rPr>
          <w:rFonts w:cs="Arial"/>
          <w:szCs w:val="22"/>
        </w:rPr>
        <w:t>state and territory systems t</w:t>
      </w:r>
      <w:r>
        <w:rPr>
          <w:rFonts w:cs="Arial"/>
          <w:szCs w:val="22"/>
        </w:rPr>
        <w:t>hat</w:t>
      </w:r>
      <w:r w:rsidRPr="00555AB3">
        <w:rPr>
          <w:rFonts w:cs="Arial"/>
          <w:szCs w:val="22"/>
        </w:rPr>
        <w:t xml:space="preserve"> monitor antimicrobial resistance as part of their </w:t>
      </w:r>
      <w:r>
        <w:rPr>
          <w:rFonts w:cs="Arial"/>
          <w:szCs w:val="22"/>
        </w:rPr>
        <w:t xml:space="preserve">sexually transmitted infection </w:t>
      </w:r>
      <w:r w:rsidRPr="00555AB3">
        <w:rPr>
          <w:rFonts w:cs="Arial"/>
          <w:szCs w:val="22"/>
        </w:rPr>
        <w:t xml:space="preserve">prevention and control strategies. </w:t>
      </w:r>
      <w:r>
        <w:rPr>
          <w:rFonts w:cs="Arial"/>
          <w:szCs w:val="22"/>
        </w:rPr>
        <w:t>A</w:t>
      </w:r>
      <w:r w:rsidRPr="00555AB3">
        <w:rPr>
          <w:rFonts w:cs="Arial"/>
          <w:szCs w:val="22"/>
        </w:rPr>
        <w:t xml:space="preserve">s prevention and treatment are key components of effective </w:t>
      </w:r>
      <w:r w:rsidR="0015603C">
        <w:rPr>
          <w:rFonts w:cs="Arial"/>
          <w:szCs w:val="22"/>
        </w:rPr>
        <w:t xml:space="preserve">control of </w:t>
      </w:r>
      <w:r>
        <w:rPr>
          <w:rFonts w:cs="Arial"/>
          <w:szCs w:val="22"/>
        </w:rPr>
        <w:t>sexually transmitted infection</w:t>
      </w:r>
      <w:r w:rsidR="0015603C">
        <w:rPr>
          <w:rFonts w:cs="Arial"/>
          <w:szCs w:val="22"/>
        </w:rPr>
        <w:t>s</w:t>
      </w:r>
      <w:r w:rsidRPr="00555AB3">
        <w:rPr>
          <w:rFonts w:cs="Arial"/>
          <w:szCs w:val="22"/>
        </w:rPr>
        <w:t xml:space="preserve">, the emergence of antimicrobial resistant </w:t>
      </w:r>
      <w:r w:rsidRPr="00555AB3">
        <w:rPr>
          <w:rFonts w:cs="Arial"/>
          <w:i/>
          <w:iCs/>
          <w:szCs w:val="22"/>
        </w:rPr>
        <w:t>N</w:t>
      </w:r>
      <w:r>
        <w:rPr>
          <w:rFonts w:cs="Arial"/>
          <w:i/>
          <w:iCs/>
          <w:szCs w:val="22"/>
        </w:rPr>
        <w:t>.</w:t>
      </w:r>
      <w:r w:rsidRPr="00555AB3">
        <w:rPr>
          <w:rFonts w:cs="Arial"/>
          <w:i/>
          <w:iCs/>
          <w:szCs w:val="22"/>
        </w:rPr>
        <w:t xml:space="preserve"> gonorrhoeae</w:t>
      </w:r>
      <w:r w:rsidRPr="00555AB3">
        <w:rPr>
          <w:rFonts w:cs="Arial"/>
          <w:szCs w:val="22"/>
        </w:rPr>
        <w:t xml:space="preserve"> at the same time as sustained increases in notifications may lead to treatment failures and continued transmission. The Commission will work with the states and territories</w:t>
      </w:r>
      <w:r w:rsidR="00F85520">
        <w:rPr>
          <w:rFonts w:cs="Arial"/>
          <w:szCs w:val="22"/>
        </w:rPr>
        <w:t xml:space="preserve"> </w:t>
      </w:r>
      <w:r w:rsidR="00EC37ED">
        <w:rPr>
          <w:rFonts w:cs="Arial"/>
          <w:szCs w:val="22"/>
        </w:rPr>
        <w:t xml:space="preserve">to provide </w:t>
      </w:r>
      <w:r w:rsidRPr="00555AB3">
        <w:rPr>
          <w:rFonts w:cs="Arial"/>
          <w:szCs w:val="22"/>
        </w:rPr>
        <w:t>regular updates on the reporting of ceftriaxone or azithromycin non</w:t>
      </w:r>
      <w:r>
        <w:rPr>
          <w:rFonts w:cs="Arial"/>
          <w:szCs w:val="22"/>
        </w:rPr>
        <w:t>-</w:t>
      </w:r>
      <w:r w:rsidRPr="00555AB3">
        <w:rPr>
          <w:rFonts w:cs="Arial"/>
          <w:szCs w:val="22"/>
        </w:rPr>
        <w:t xml:space="preserve">susceptible </w:t>
      </w:r>
      <w:r w:rsidRPr="00555AB3">
        <w:rPr>
          <w:rFonts w:cs="Arial"/>
          <w:i/>
          <w:iCs/>
          <w:szCs w:val="22"/>
        </w:rPr>
        <w:t>N</w:t>
      </w:r>
      <w:r>
        <w:rPr>
          <w:rFonts w:cs="Arial"/>
          <w:i/>
          <w:iCs/>
          <w:szCs w:val="22"/>
        </w:rPr>
        <w:t>.</w:t>
      </w:r>
      <w:r w:rsidRPr="00555AB3">
        <w:rPr>
          <w:rFonts w:cs="Arial"/>
          <w:i/>
          <w:iCs/>
          <w:szCs w:val="22"/>
        </w:rPr>
        <w:t xml:space="preserve"> gonorrhoeae</w:t>
      </w:r>
      <w:r w:rsidRPr="00555AB3">
        <w:rPr>
          <w:rFonts w:cs="Arial"/>
          <w:szCs w:val="22"/>
        </w:rPr>
        <w:t xml:space="preserve"> through CARAlert, a</w:t>
      </w:r>
      <w:r>
        <w:rPr>
          <w:rFonts w:cs="Arial"/>
          <w:szCs w:val="22"/>
        </w:rPr>
        <w:t>nd promote consideration of th</w:t>
      </w:r>
      <w:r w:rsidR="00F85520">
        <w:rPr>
          <w:rFonts w:cs="Arial"/>
          <w:szCs w:val="22"/>
        </w:rPr>
        <w:t>ese</w:t>
      </w:r>
      <w:r>
        <w:rPr>
          <w:rFonts w:cs="Arial"/>
          <w:szCs w:val="22"/>
        </w:rPr>
        <w:t xml:space="preserve"> data </w:t>
      </w:r>
      <w:r w:rsidR="00F85520">
        <w:rPr>
          <w:rFonts w:cs="Arial"/>
          <w:szCs w:val="22"/>
        </w:rPr>
        <w:t xml:space="preserve">for </w:t>
      </w:r>
      <w:r w:rsidRPr="00555AB3">
        <w:rPr>
          <w:rFonts w:cs="Arial"/>
          <w:szCs w:val="22"/>
        </w:rPr>
        <w:t xml:space="preserve">national and local treatment guidelines. </w:t>
      </w:r>
    </w:p>
    <w:p w:rsidR="00563088" w:rsidRDefault="00563088" w:rsidP="00563088">
      <w:pPr>
        <w:spacing w:before="120"/>
        <w:rPr>
          <w:rFonts w:cs="Arial"/>
          <w:szCs w:val="22"/>
        </w:rPr>
      </w:pPr>
      <w:r>
        <w:rPr>
          <w:rFonts w:cs="Arial"/>
          <w:szCs w:val="22"/>
        </w:rPr>
        <w:t xml:space="preserve">The Commission will continue to monitor records from </w:t>
      </w:r>
      <w:r w:rsidR="00336205">
        <w:rPr>
          <w:rFonts w:cs="Arial"/>
          <w:szCs w:val="22"/>
        </w:rPr>
        <w:t>CARAlert</w:t>
      </w:r>
      <w:r>
        <w:rPr>
          <w:rFonts w:cs="Arial"/>
          <w:szCs w:val="22"/>
        </w:rPr>
        <w:t xml:space="preserve">, and prepare summary reports on a regular basis. The Commission will </w:t>
      </w:r>
      <w:r w:rsidR="0043443B">
        <w:rPr>
          <w:rFonts w:cs="Arial"/>
          <w:szCs w:val="22"/>
        </w:rPr>
        <w:t xml:space="preserve">also </w:t>
      </w:r>
      <w:r>
        <w:rPr>
          <w:rFonts w:cs="Arial"/>
          <w:szCs w:val="22"/>
        </w:rPr>
        <w:t xml:space="preserve">provide ad hoc reports to </w:t>
      </w:r>
      <w:r w:rsidR="0043443B">
        <w:rPr>
          <w:rFonts w:cs="Arial"/>
          <w:szCs w:val="22"/>
        </w:rPr>
        <w:t>state and territory health departments</w:t>
      </w:r>
      <w:r>
        <w:rPr>
          <w:rFonts w:cs="Arial"/>
          <w:szCs w:val="22"/>
        </w:rPr>
        <w:t xml:space="preserve"> as required. </w:t>
      </w:r>
    </w:p>
    <w:p w:rsidR="00AF68EE" w:rsidRDefault="00563088" w:rsidP="00563088">
      <w:pPr>
        <w:spacing w:before="120"/>
        <w:rPr>
          <w:rFonts w:cs="Arial"/>
          <w:szCs w:val="22"/>
        </w:rPr>
      </w:pPr>
      <w:r w:rsidRPr="00563088">
        <w:rPr>
          <w:rFonts w:cs="Arial"/>
          <w:szCs w:val="22"/>
        </w:rPr>
        <w:t>The number of records in the database to date means that it is not yet possible to draw specific conclusions from the analyses.</w:t>
      </w:r>
      <w:r w:rsidRPr="001A08F5">
        <w:rPr>
          <w:rFonts w:cs="Arial"/>
          <w:szCs w:val="22"/>
        </w:rPr>
        <w:t xml:space="preserve"> </w:t>
      </w:r>
      <w:r>
        <w:rPr>
          <w:rFonts w:cs="Arial"/>
          <w:szCs w:val="22"/>
        </w:rPr>
        <w:t>However,</w:t>
      </w:r>
      <w:r w:rsidRPr="001A08F5">
        <w:rPr>
          <w:rFonts w:cs="Arial"/>
          <w:szCs w:val="22"/>
        </w:rPr>
        <w:t xml:space="preserve"> the data </w:t>
      </w:r>
      <w:r>
        <w:rPr>
          <w:rFonts w:cs="Arial"/>
          <w:szCs w:val="22"/>
        </w:rPr>
        <w:t>undergo regular epidemiological analysis, and</w:t>
      </w:r>
      <w:r w:rsidR="0043443B">
        <w:rPr>
          <w:rFonts w:cs="Arial"/>
          <w:szCs w:val="22"/>
        </w:rPr>
        <w:t xml:space="preserve"> statistical methods for evaluating temporal and spatial trends will be implemented as the data collection matures. </w:t>
      </w:r>
    </w:p>
    <w:p w:rsidR="00563088" w:rsidRDefault="00563088" w:rsidP="00563088">
      <w:pPr>
        <w:spacing w:before="120"/>
        <w:rPr>
          <w:rFonts w:cs="Arial"/>
          <w:szCs w:val="22"/>
        </w:rPr>
      </w:pPr>
      <w:r>
        <w:rPr>
          <w:rFonts w:cs="Arial"/>
          <w:szCs w:val="22"/>
        </w:rPr>
        <w:t>It</w:t>
      </w:r>
      <w:r w:rsidRPr="001A08F5">
        <w:rPr>
          <w:rFonts w:cs="Arial"/>
          <w:szCs w:val="22"/>
        </w:rPr>
        <w:t xml:space="preserve"> is anticipated that the data will inform quality improvement initiatives and </w:t>
      </w:r>
      <w:r>
        <w:rPr>
          <w:rFonts w:cs="Arial"/>
          <w:szCs w:val="22"/>
        </w:rPr>
        <w:t>policies to reduce antimicrobial resistance</w:t>
      </w:r>
      <w:r w:rsidRPr="001A08F5">
        <w:rPr>
          <w:rFonts w:cs="Arial"/>
          <w:szCs w:val="22"/>
        </w:rPr>
        <w:t>.</w:t>
      </w:r>
    </w:p>
    <w:p w:rsidR="00563088" w:rsidRDefault="00563088" w:rsidP="00563088">
      <w:pPr>
        <w:spacing w:before="120"/>
        <w:rPr>
          <w:rFonts w:cs="Arial"/>
          <w:szCs w:val="22"/>
        </w:rPr>
      </w:pPr>
      <w:r w:rsidRPr="00D60799">
        <w:rPr>
          <w:rFonts w:cs="Arial"/>
          <w:szCs w:val="22"/>
        </w:rPr>
        <w:t>The CARAlert Handbook is currently under review. During this process, all CARs will be examined for suitability to remain on the list and additional CARs will be considered for inclusion</w:t>
      </w:r>
      <w:r w:rsidR="00D079B1">
        <w:rPr>
          <w:rFonts w:cs="Arial"/>
          <w:szCs w:val="22"/>
        </w:rPr>
        <w:t>. These include</w:t>
      </w:r>
      <w:r w:rsidR="00D079B1" w:rsidRPr="00D60799">
        <w:rPr>
          <w:rFonts w:cs="Arial"/>
          <w:szCs w:val="22"/>
        </w:rPr>
        <w:t xml:space="preserve"> </w:t>
      </w:r>
      <w:r w:rsidRPr="00D60799">
        <w:rPr>
          <w:rFonts w:cs="Arial"/>
          <w:szCs w:val="22"/>
        </w:rPr>
        <w:t xml:space="preserve">colistin-resistance, carbapenemase-producing </w:t>
      </w:r>
      <w:r w:rsidRPr="00D60799">
        <w:rPr>
          <w:rFonts w:cs="Arial"/>
          <w:i/>
          <w:szCs w:val="22"/>
        </w:rPr>
        <w:t>Pseudomonas</w:t>
      </w:r>
      <w:r w:rsidRPr="00D60799">
        <w:rPr>
          <w:rFonts w:cs="Arial"/>
          <w:szCs w:val="22"/>
        </w:rPr>
        <w:t xml:space="preserve"> species and </w:t>
      </w:r>
      <w:r w:rsidRPr="00D60799">
        <w:rPr>
          <w:rFonts w:cs="Arial"/>
          <w:i/>
          <w:szCs w:val="22"/>
        </w:rPr>
        <w:t>Acinetobacter</w:t>
      </w:r>
      <w:r w:rsidRPr="00D60799">
        <w:rPr>
          <w:rFonts w:cs="Arial"/>
          <w:szCs w:val="22"/>
        </w:rPr>
        <w:t xml:space="preserve"> species. The CARAlert Handbook will be </w:t>
      </w:r>
      <w:r w:rsidR="00B11FD4">
        <w:rPr>
          <w:rFonts w:cs="Arial"/>
          <w:szCs w:val="22"/>
        </w:rPr>
        <w:t>re-</w:t>
      </w:r>
      <w:r>
        <w:rPr>
          <w:rFonts w:cs="Arial"/>
          <w:szCs w:val="22"/>
        </w:rPr>
        <w:t>issued</w:t>
      </w:r>
      <w:r w:rsidRPr="00D60799">
        <w:rPr>
          <w:rFonts w:cs="Arial"/>
          <w:szCs w:val="22"/>
        </w:rPr>
        <w:t xml:space="preserve"> </w:t>
      </w:r>
      <w:r w:rsidR="00661532">
        <w:rPr>
          <w:rFonts w:cs="Arial"/>
          <w:szCs w:val="22"/>
        </w:rPr>
        <w:t xml:space="preserve">in the second half of </w:t>
      </w:r>
      <w:r w:rsidRPr="00D60799">
        <w:rPr>
          <w:rFonts w:cs="Arial"/>
          <w:szCs w:val="22"/>
        </w:rPr>
        <w:t>2017</w:t>
      </w:r>
      <w:r w:rsidR="00B11FD4">
        <w:rPr>
          <w:rFonts w:cs="Arial"/>
          <w:szCs w:val="22"/>
        </w:rPr>
        <w:t xml:space="preserve"> after the review of CAR</w:t>
      </w:r>
      <w:r w:rsidR="00B2560F">
        <w:rPr>
          <w:rFonts w:cs="Arial"/>
          <w:szCs w:val="22"/>
        </w:rPr>
        <w:t>s</w:t>
      </w:r>
      <w:r w:rsidR="00B11FD4">
        <w:rPr>
          <w:rFonts w:cs="Arial"/>
          <w:szCs w:val="22"/>
        </w:rPr>
        <w:t xml:space="preserve"> has be</w:t>
      </w:r>
      <w:r w:rsidR="00A17102">
        <w:rPr>
          <w:rFonts w:cs="Arial"/>
          <w:szCs w:val="22"/>
        </w:rPr>
        <w:t>e</w:t>
      </w:r>
      <w:r w:rsidR="00B11FD4">
        <w:rPr>
          <w:rFonts w:cs="Arial"/>
          <w:szCs w:val="22"/>
        </w:rPr>
        <w:t>n completed</w:t>
      </w:r>
      <w:r w:rsidRPr="00D60799">
        <w:rPr>
          <w:rFonts w:cs="Arial"/>
          <w:szCs w:val="22"/>
        </w:rPr>
        <w:t>.</w:t>
      </w:r>
    </w:p>
    <w:p w:rsidR="00DF21B1" w:rsidRPr="004B34ED" w:rsidRDefault="001C7B87" w:rsidP="007C1C2E">
      <w:pPr>
        <w:spacing w:before="120"/>
        <w:rPr>
          <w:rFonts w:cs="Arial"/>
          <w:szCs w:val="22"/>
        </w:rPr>
      </w:pPr>
      <w:r>
        <w:rPr>
          <w:rFonts w:cs="Arial"/>
          <w:szCs w:val="22"/>
        </w:rPr>
        <w:t>E</w:t>
      </w:r>
      <w:r w:rsidR="00DF21B1">
        <w:rPr>
          <w:rFonts w:cs="Arial"/>
          <w:szCs w:val="22"/>
        </w:rPr>
        <w:t xml:space="preserve">nquiries regarding </w:t>
      </w:r>
      <w:r>
        <w:rPr>
          <w:rFonts w:cs="Arial"/>
          <w:szCs w:val="22"/>
        </w:rPr>
        <w:t xml:space="preserve">either </w:t>
      </w:r>
      <w:r w:rsidR="002E421F">
        <w:rPr>
          <w:rFonts w:cs="Arial"/>
          <w:szCs w:val="22"/>
        </w:rPr>
        <w:t>this r</w:t>
      </w:r>
      <w:r w:rsidR="00DF21B1">
        <w:rPr>
          <w:rFonts w:cs="Arial"/>
          <w:szCs w:val="22"/>
        </w:rPr>
        <w:t xml:space="preserve">eport or </w:t>
      </w:r>
      <w:r w:rsidR="00623CB1">
        <w:rPr>
          <w:rFonts w:cs="Arial"/>
          <w:szCs w:val="22"/>
        </w:rPr>
        <w:t xml:space="preserve">the </w:t>
      </w:r>
      <w:r w:rsidR="00DF21B1">
        <w:rPr>
          <w:rFonts w:cs="Arial"/>
          <w:szCs w:val="22"/>
        </w:rPr>
        <w:t xml:space="preserve">CARAlert </w:t>
      </w:r>
      <w:r w:rsidR="00623CB1">
        <w:rPr>
          <w:rFonts w:cs="Arial"/>
          <w:szCs w:val="22"/>
        </w:rPr>
        <w:t xml:space="preserve">System </w:t>
      </w:r>
      <w:r w:rsidR="002E421F">
        <w:rPr>
          <w:rFonts w:cs="Arial"/>
          <w:szCs w:val="22"/>
        </w:rPr>
        <w:t xml:space="preserve">should </w:t>
      </w:r>
      <w:r>
        <w:rPr>
          <w:rFonts w:cs="Arial"/>
          <w:szCs w:val="22"/>
        </w:rPr>
        <w:t>be submitted to</w:t>
      </w:r>
      <w:r w:rsidR="00DF21B1">
        <w:rPr>
          <w:rFonts w:cs="Arial"/>
          <w:szCs w:val="22"/>
        </w:rPr>
        <w:t xml:space="preserve"> </w:t>
      </w:r>
      <w:hyperlink r:id="rId30" w:history="1">
        <w:r w:rsidR="00DF21B1" w:rsidRPr="00C369BD">
          <w:rPr>
            <w:rStyle w:val="Hyperlink"/>
            <w:rFonts w:cs="Arial"/>
            <w:szCs w:val="22"/>
          </w:rPr>
          <w:t>CARAlert@safetyandquality.gov.au</w:t>
        </w:r>
      </w:hyperlink>
      <w:r w:rsidR="00DF21B1">
        <w:rPr>
          <w:rFonts w:cs="Arial"/>
          <w:szCs w:val="22"/>
        </w:rPr>
        <w:t>.</w:t>
      </w:r>
    </w:p>
    <w:p w:rsidR="001D7349" w:rsidRDefault="001D7349">
      <w:pPr>
        <w:rPr>
          <w:rFonts w:cs="Arial"/>
          <w:b/>
          <w:szCs w:val="22"/>
        </w:rPr>
      </w:pPr>
      <w:r>
        <w:rPr>
          <w:rFonts w:cs="Arial"/>
          <w:b/>
          <w:szCs w:val="22"/>
        </w:rPr>
        <w:br w:type="page"/>
      </w:r>
    </w:p>
    <w:p w:rsidR="001D7349" w:rsidRPr="00614108" w:rsidRDefault="001D7349" w:rsidP="00164D03">
      <w:pPr>
        <w:pStyle w:val="Heading1"/>
        <w:spacing w:after="240"/>
      </w:pPr>
      <w:bookmarkStart w:id="13" w:name="_Toc486425625"/>
      <w:r w:rsidRPr="003A282C">
        <w:rPr>
          <w:color w:val="AA610D" w:themeColor="accent1" w:themeShade="BF"/>
          <w:sz w:val="32"/>
        </w:rPr>
        <w:lastRenderedPageBreak/>
        <w:t>Glossary of Terms and Abbreviations</w:t>
      </w:r>
      <w:bookmarkEnd w:id="13"/>
    </w:p>
    <w:tbl>
      <w:tblPr>
        <w:tblStyle w:val="GridTable4-Accent11"/>
        <w:tblW w:w="5000" w:type="pct"/>
        <w:tblLook w:val="0620" w:firstRow="1" w:lastRow="0" w:firstColumn="0" w:lastColumn="0" w:noHBand="1" w:noVBand="1"/>
        <w:tblCaption w:val="Glossary of Terms and Abbreviations"/>
        <w:tblDescription w:val="Glossary of Terms and Abbreviations"/>
      </w:tblPr>
      <w:tblGrid>
        <w:gridCol w:w="2314"/>
        <w:gridCol w:w="7540"/>
      </w:tblGrid>
      <w:tr w:rsidR="00652858" w:rsidRPr="00AB786F" w:rsidTr="00271F3E">
        <w:trPr>
          <w:cnfStyle w:val="100000000000" w:firstRow="1" w:lastRow="0" w:firstColumn="0" w:lastColumn="0" w:oddVBand="0" w:evenVBand="0" w:oddHBand="0" w:evenHBand="0" w:firstRowFirstColumn="0" w:firstRowLastColumn="0" w:lastRowFirstColumn="0" w:lastRowLastColumn="0"/>
          <w:trHeight w:val="397"/>
          <w:tblHeader/>
        </w:trPr>
        <w:tc>
          <w:tcPr>
            <w:tcW w:w="1174" w:type="pct"/>
            <w:vAlign w:val="center"/>
          </w:tcPr>
          <w:p w:rsidR="001D7349" w:rsidRPr="00AB786F" w:rsidRDefault="001D7349" w:rsidP="00FB3D84">
            <w:pPr>
              <w:rPr>
                <w:rStyle w:val="IntenseReference"/>
                <w:rFonts w:cs="Arial"/>
                <w:b/>
                <w:bCs/>
                <w:i w:val="0"/>
                <w:smallCaps w:val="0"/>
                <w:color w:val="FFFFFF" w:themeColor="background1"/>
                <w:spacing w:val="0"/>
                <w:sz w:val="20"/>
                <w:szCs w:val="22"/>
              </w:rPr>
            </w:pPr>
            <w:r w:rsidRPr="00AB786F">
              <w:rPr>
                <w:rStyle w:val="IntenseReference"/>
                <w:rFonts w:cs="Arial"/>
                <w:b/>
                <w:bCs/>
                <w:i w:val="0"/>
                <w:smallCaps w:val="0"/>
                <w:color w:val="FFFFFF" w:themeColor="background1"/>
                <w:spacing w:val="0"/>
                <w:sz w:val="20"/>
                <w:szCs w:val="22"/>
              </w:rPr>
              <w:t>Term/Abbreviation</w:t>
            </w:r>
          </w:p>
        </w:tc>
        <w:tc>
          <w:tcPr>
            <w:tcW w:w="3826" w:type="pct"/>
            <w:vAlign w:val="center"/>
          </w:tcPr>
          <w:p w:rsidR="001D7349" w:rsidRPr="00AB786F" w:rsidRDefault="001D7349" w:rsidP="00FB3D84">
            <w:pPr>
              <w:rPr>
                <w:rStyle w:val="IntenseReference"/>
                <w:rFonts w:cs="Arial"/>
                <w:b/>
                <w:bCs/>
                <w:i w:val="0"/>
                <w:smallCaps w:val="0"/>
                <w:color w:val="FFFFFF" w:themeColor="background1"/>
                <w:spacing w:val="0"/>
                <w:sz w:val="20"/>
                <w:szCs w:val="22"/>
              </w:rPr>
            </w:pPr>
            <w:r w:rsidRPr="00AB786F">
              <w:rPr>
                <w:rStyle w:val="IntenseReference"/>
                <w:rFonts w:cs="Arial"/>
                <w:b/>
                <w:bCs/>
                <w:i w:val="0"/>
                <w:smallCaps w:val="0"/>
                <w:color w:val="FFFFFF" w:themeColor="background1"/>
                <w:spacing w:val="0"/>
                <w:sz w:val="20"/>
                <w:szCs w:val="22"/>
              </w:rPr>
              <w:t>Definition</w:t>
            </w:r>
          </w:p>
        </w:tc>
      </w:tr>
      <w:tr w:rsidR="001D7349" w:rsidRPr="00614108" w:rsidTr="00FB3D84">
        <w:trPr>
          <w:trHeight w:val="283"/>
        </w:trPr>
        <w:tc>
          <w:tcPr>
            <w:tcW w:w="1174" w:type="pct"/>
          </w:tcPr>
          <w:p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Clinical specimen</w:t>
            </w:r>
          </w:p>
        </w:tc>
        <w:tc>
          <w:tcPr>
            <w:tcW w:w="3826" w:type="pct"/>
          </w:tcPr>
          <w:p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Clinical specimens are collected for diagnostic purposes. They include urine, wound, blood and other (e.g. genital or respiratory) specimens</w:t>
            </w:r>
          </w:p>
        </w:tc>
      </w:tr>
      <w:tr w:rsidR="00BF2E60" w:rsidRPr="00614108" w:rsidTr="00FB3D84">
        <w:trPr>
          <w:trHeight w:val="283"/>
        </w:trPr>
        <w:tc>
          <w:tcPr>
            <w:tcW w:w="1174" w:type="pct"/>
          </w:tcPr>
          <w:p w:rsidR="00BF2E60" w:rsidRPr="00AB786F" w:rsidRDefault="00BF2E60"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Screen</w:t>
            </w:r>
            <w:r w:rsidR="006411C0" w:rsidRPr="00AB786F">
              <w:rPr>
                <w:rStyle w:val="IntenseReference"/>
                <w:rFonts w:cs="Arial"/>
                <w:b w:val="0"/>
                <w:bCs w:val="0"/>
                <w:i w:val="0"/>
                <w:smallCaps w:val="0"/>
                <w:color w:val="auto"/>
                <w:spacing w:val="0"/>
                <w:sz w:val="20"/>
                <w:szCs w:val="22"/>
              </w:rPr>
              <w:t xml:space="preserve"> specimen</w:t>
            </w:r>
          </w:p>
        </w:tc>
        <w:tc>
          <w:tcPr>
            <w:tcW w:w="3826" w:type="pct"/>
          </w:tcPr>
          <w:p w:rsidR="00BF2E60" w:rsidRPr="00AB786F" w:rsidRDefault="00BF2E60"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Specimens taken for the purpose of screening for resistances </w:t>
            </w:r>
          </w:p>
        </w:tc>
      </w:tr>
      <w:tr w:rsidR="001D7349" w:rsidRPr="00614108" w:rsidTr="00FB3D84">
        <w:trPr>
          <w:trHeight w:val="283"/>
        </w:trPr>
        <w:tc>
          <w:tcPr>
            <w:tcW w:w="1174" w:type="pct"/>
          </w:tcPr>
          <w:p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Confirming laboratory</w:t>
            </w:r>
          </w:p>
        </w:tc>
        <w:tc>
          <w:tcPr>
            <w:tcW w:w="3826" w:type="pct"/>
          </w:tcPr>
          <w:p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The laboratory which performs the necessary confirmatory tests for a CAR. Confirming laboratories:</w:t>
            </w:r>
          </w:p>
          <w:p w:rsidR="001D7349" w:rsidRPr="00AB786F" w:rsidRDefault="008D01B1" w:rsidP="00107CB8">
            <w:pPr>
              <w:pStyle w:val="ListParagraph"/>
              <w:numPr>
                <w:ilvl w:val="0"/>
                <w:numId w:val="18"/>
              </w:numPr>
              <w:ind w:left="667" w:hanging="307"/>
              <w:rPr>
                <w:rStyle w:val="IntenseReference"/>
                <w:rFonts w:cs="Arial"/>
                <w:b w:val="0"/>
                <w:bCs w:val="0"/>
                <w:i w:val="0"/>
                <w:smallCaps w:val="0"/>
                <w:color w:val="auto"/>
                <w:spacing w:val="0"/>
                <w:sz w:val="20"/>
                <w:szCs w:val="22"/>
              </w:rPr>
            </w:pPr>
            <w:r>
              <w:rPr>
                <w:rStyle w:val="IntenseReference"/>
                <w:rFonts w:cs="Arial"/>
                <w:b w:val="0"/>
                <w:bCs w:val="0"/>
                <w:i w:val="0"/>
                <w:smallCaps w:val="0"/>
                <w:color w:val="auto"/>
                <w:spacing w:val="0"/>
                <w:sz w:val="20"/>
                <w:szCs w:val="22"/>
              </w:rPr>
              <w:t>N</w:t>
            </w:r>
            <w:r w:rsidRPr="00AB786F">
              <w:rPr>
                <w:rStyle w:val="IntenseReference"/>
                <w:rFonts w:cs="Arial"/>
                <w:b w:val="0"/>
                <w:bCs w:val="0"/>
                <w:i w:val="0"/>
                <w:smallCaps w:val="0"/>
                <w:color w:val="auto"/>
                <w:spacing w:val="0"/>
                <w:sz w:val="20"/>
                <w:szCs w:val="22"/>
              </w:rPr>
              <w:t xml:space="preserve">otify </w:t>
            </w:r>
            <w:r w:rsidR="001D7349" w:rsidRPr="00AB786F">
              <w:rPr>
                <w:rStyle w:val="IntenseReference"/>
                <w:rFonts w:cs="Arial"/>
                <w:b w:val="0"/>
                <w:bCs w:val="0"/>
                <w:i w:val="0"/>
                <w:smallCaps w:val="0"/>
                <w:color w:val="auto"/>
                <w:spacing w:val="0"/>
                <w:sz w:val="20"/>
                <w:szCs w:val="22"/>
              </w:rPr>
              <w:t>the originating laboratory of test outcomes through the usual communication channels, regardless of whether a CAR is confirmed or not</w:t>
            </w:r>
          </w:p>
          <w:p w:rsidR="001D7349" w:rsidRPr="00AB786F" w:rsidRDefault="008D01B1" w:rsidP="00237235">
            <w:pPr>
              <w:pStyle w:val="ListParagraph"/>
              <w:numPr>
                <w:ilvl w:val="0"/>
                <w:numId w:val="18"/>
              </w:numPr>
              <w:ind w:left="663" w:hanging="303"/>
              <w:rPr>
                <w:rStyle w:val="IntenseReference"/>
                <w:rFonts w:cs="Arial"/>
                <w:b w:val="0"/>
                <w:bCs w:val="0"/>
                <w:i w:val="0"/>
                <w:smallCaps w:val="0"/>
                <w:color w:val="auto"/>
                <w:spacing w:val="0"/>
                <w:sz w:val="20"/>
                <w:szCs w:val="22"/>
              </w:rPr>
            </w:pPr>
            <w:r>
              <w:rPr>
                <w:rStyle w:val="IntenseReference"/>
                <w:rFonts w:cs="Arial"/>
                <w:b w:val="0"/>
                <w:bCs w:val="0"/>
                <w:i w:val="0"/>
                <w:smallCaps w:val="0"/>
                <w:color w:val="auto"/>
                <w:spacing w:val="0"/>
                <w:sz w:val="20"/>
                <w:szCs w:val="22"/>
              </w:rPr>
              <w:t>E</w:t>
            </w:r>
            <w:r w:rsidRPr="00AB786F">
              <w:rPr>
                <w:rStyle w:val="IntenseReference"/>
                <w:rFonts w:cs="Arial"/>
                <w:b w:val="0"/>
                <w:bCs w:val="0"/>
                <w:i w:val="0"/>
                <w:smallCaps w:val="0"/>
                <w:color w:val="auto"/>
                <w:spacing w:val="0"/>
                <w:sz w:val="20"/>
                <w:szCs w:val="22"/>
              </w:rPr>
              <w:t xml:space="preserve">nter </w:t>
            </w:r>
            <w:r w:rsidR="001D7349" w:rsidRPr="00AB786F">
              <w:rPr>
                <w:rStyle w:val="IntenseReference"/>
                <w:rFonts w:cs="Arial"/>
                <w:b w:val="0"/>
                <w:bCs w:val="0"/>
                <w:i w:val="0"/>
                <w:smallCaps w:val="0"/>
                <w:color w:val="auto"/>
                <w:spacing w:val="0"/>
                <w:sz w:val="20"/>
                <w:szCs w:val="22"/>
              </w:rPr>
              <w:t>data for each confirmed CAR into the CARAlert web-portal.</w:t>
            </w:r>
          </w:p>
          <w:p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State and territory health authorities and the Public Health Laboratory Network have contributed to identification of confirming laboratories for the purpose of CARAlert.</w:t>
            </w:r>
          </w:p>
        </w:tc>
      </w:tr>
      <w:tr w:rsidR="001D7349" w:rsidRPr="00614108" w:rsidTr="00FB3D84">
        <w:trPr>
          <w:trHeight w:val="283"/>
        </w:trPr>
        <w:tc>
          <w:tcPr>
            <w:tcW w:w="1174" w:type="pct"/>
          </w:tcPr>
          <w:p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Critical Antimicrobial Resistances (CARs)</w:t>
            </w:r>
          </w:p>
        </w:tc>
        <w:tc>
          <w:tcPr>
            <w:tcW w:w="3826" w:type="pct"/>
          </w:tcPr>
          <w:p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CARs are resistance mechanisms, or profiles, known to be a serious threat to the effectiveness of last-line antimicrobial agents</w:t>
            </w:r>
          </w:p>
        </w:tc>
      </w:tr>
      <w:tr w:rsidR="001D7349" w:rsidRPr="00614108" w:rsidTr="00FB3D84">
        <w:trPr>
          <w:trHeight w:val="283"/>
        </w:trPr>
        <w:tc>
          <w:tcPr>
            <w:tcW w:w="1174" w:type="pct"/>
          </w:tcPr>
          <w:p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Originating laboratory</w:t>
            </w:r>
          </w:p>
        </w:tc>
        <w:tc>
          <w:tcPr>
            <w:tcW w:w="3826" w:type="pct"/>
          </w:tcPr>
          <w:p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The laboratory to which a specimen is initially referred by a general practice or hospital for routine testing of isolates.</w:t>
            </w:r>
          </w:p>
          <w:p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If an originating laboratory identifies an isolate that may have the potential to be a CAR, it:</w:t>
            </w:r>
          </w:p>
          <w:p w:rsidR="001D7349" w:rsidRPr="00AB786F" w:rsidRDefault="008D01B1" w:rsidP="00237235">
            <w:pPr>
              <w:pStyle w:val="ListParagraph"/>
              <w:numPr>
                <w:ilvl w:val="0"/>
                <w:numId w:val="17"/>
              </w:numPr>
              <w:ind w:left="663" w:hanging="303"/>
              <w:rPr>
                <w:rStyle w:val="IntenseReference"/>
                <w:rFonts w:cs="Arial"/>
                <w:b w:val="0"/>
                <w:bCs w:val="0"/>
                <w:i w:val="0"/>
                <w:smallCaps w:val="0"/>
                <w:color w:val="auto"/>
                <w:spacing w:val="0"/>
                <w:sz w:val="20"/>
                <w:szCs w:val="22"/>
              </w:rPr>
            </w:pPr>
            <w:r>
              <w:rPr>
                <w:rStyle w:val="IntenseReference"/>
                <w:rFonts w:cs="Arial"/>
                <w:b w:val="0"/>
                <w:bCs w:val="0"/>
                <w:i w:val="0"/>
                <w:smallCaps w:val="0"/>
                <w:color w:val="auto"/>
                <w:spacing w:val="0"/>
                <w:sz w:val="20"/>
                <w:szCs w:val="22"/>
              </w:rPr>
              <w:t>N</w:t>
            </w:r>
            <w:r w:rsidRPr="00AB786F">
              <w:rPr>
                <w:rStyle w:val="IntenseReference"/>
                <w:rFonts w:cs="Arial"/>
                <w:b w:val="0"/>
                <w:bCs w:val="0"/>
                <w:i w:val="0"/>
                <w:smallCaps w:val="0"/>
                <w:color w:val="auto"/>
                <w:spacing w:val="0"/>
                <w:sz w:val="20"/>
                <w:szCs w:val="22"/>
              </w:rPr>
              <w:t xml:space="preserve">otifies </w:t>
            </w:r>
            <w:r w:rsidR="001D7349" w:rsidRPr="00AB786F">
              <w:rPr>
                <w:rStyle w:val="IntenseReference"/>
                <w:rFonts w:cs="Arial"/>
                <w:b w:val="0"/>
                <w:bCs w:val="0"/>
                <w:i w:val="0"/>
                <w:smallCaps w:val="0"/>
                <w:color w:val="auto"/>
                <w:spacing w:val="0"/>
                <w:sz w:val="20"/>
                <w:szCs w:val="22"/>
              </w:rPr>
              <w:t>the requesting clinician of the test results, and the suspected CAR</w:t>
            </w:r>
          </w:p>
          <w:p w:rsidR="001D7349" w:rsidRPr="00AB786F" w:rsidRDefault="008D01B1" w:rsidP="00237235">
            <w:pPr>
              <w:pStyle w:val="ListParagraph"/>
              <w:numPr>
                <w:ilvl w:val="0"/>
                <w:numId w:val="17"/>
              </w:numPr>
              <w:ind w:left="663" w:hanging="303"/>
              <w:rPr>
                <w:rStyle w:val="IntenseReference"/>
                <w:rFonts w:cs="Arial"/>
                <w:b w:val="0"/>
                <w:bCs w:val="0"/>
                <w:i w:val="0"/>
                <w:smallCaps w:val="0"/>
                <w:color w:val="auto"/>
                <w:spacing w:val="0"/>
                <w:sz w:val="20"/>
                <w:szCs w:val="22"/>
              </w:rPr>
            </w:pPr>
            <w:r>
              <w:rPr>
                <w:rStyle w:val="IntenseReference"/>
                <w:rFonts w:cs="Arial"/>
                <w:b w:val="0"/>
                <w:bCs w:val="0"/>
                <w:i w:val="0"/>
                <w:smallCaps w:val="0"/>
                <w:color w:val="auto"/>
                <w:spacing w:val="0"/>
                <w:sz w:val="20"/>
                <w:szCs w:val="22"/>
              </w:rPr>
              <w:t>S</w:t>
            </w:r>
            <w:r w:rsidRPr="00AB786F">
              <w:rPr>
                <w:rStyle w:val="IntenseReference"/>
                <w:rFonts w:cs="Arial"/>
                <w:b w:val="0"/>
                <w:bCs w:val="0"/>
                <w:i w:val="0"/>
                <w:smallCaps w:val="0"/>
                <w:color w:val="auto"/>
                <w:spacing w:val="0"/>
                <w:sz w:val="20"/>
                <w:szCs w:val="22"/>
              </w:rPr>
              <w:t xml:space="preserve">ends </w:t>
            </w:r>
            <w:r w:rsidR="001D7349" w:rsidRPr="00AB786F">
              <w:rPr>
                <w:rStyle w:val="IntenseReference"/>
                <w:rFonts w:cs="Arial"/>
                <w:b w:val="0"/>
                <w:bCs w:val="0"/>
                <w:i w:val="0"/>
                <w:smallCaps w:val="0"/>
                <w:color w:val="auto"/>
                <w:spacing w:val="0"/>
                <w:sz w:val="20"/>
                <w:szCs w:val="22"/>
              </w:rPr>
              <w:t>the suspected isolate onto a confirming laboratory for confirmation.</w:t>
            </w:r>
          </w:p>
        </w:tc>
      </w:tr>
      <w:tr w:rsidR="0043443B" w:rsidRPr="00614108" w:rsidTr="00FB3D84">
        <w:trPr>
          <w:trHeight w:val="283"/>
        </w:trPr>
        <w:tc>
          <w:tcPr>
            <w:tcW w:w="1174" w:type="pct"/>
          </w:tcPr>
          <w:p w:rsidR="0043443B" w:rsidRPr="00AB786F" w:rsidRDefault="0043443B" w:rsidP="0065116F">
            <w:pPr>
              <w:rPr>
                <w:rStyle w:val="IntenseReference"/>
                <w:rFonts w:cs="Arial"/>
                <w:b w:val="0"/>
                <w:bCs w:val="0"/>
                <w:i w:val="0"/>
                <w:smallCaps w:val="0"/>
                <w:color w:val="auto"/>
                <w:spacing w:val="0"/>
                <w:sz w:val="20"/>
                <w:szCs w:val="22"/>
              </w:rPr>
            </w:pPr>
            <w:r>
              <w:rPr>
                <w:rStyle w:val="IntenseReference"/>
                <w:rFonts w:cs="Arial"/>
                <w:b w:val="0"/>
                <w:bCs w:val="0"/>
                <w:i w:val="0"/>
                <w:smallCaps w:val="0"/>
                <w:color w:val="auto"/>
                <w:spacing w:val="0"/>
                <w:sz w:val="20"/>
                <w:szCs w:val="22"/>
              </w:rPr>
              <w:t>MIC</w:t>
            </w:r>
          </w:p>
        </w:tc>
        <w:tc>
          <w:tcPr>
            <w:tcW w:w="3826" w:type="pct"/>
          </w:tcPr>
          <w:p w:rsidR="0043443B" w:rsidRPr="00AB786F" w:rsidRDefault="0043443B" w:rsidP="0065116F">
            <w:pPr>
              <w:rPr>
                <w:rStyle w:val="IntenseReference"/>
                <w:rFonts w:cs="Arial"/>
                <w:b w:val="0"/>
                <w:bCs w:val="0"/>
                <w:i w:val="0"/>
                <w:smallCaps w:val="0"/>
                <w:color w:val="auto"/>
                <w:spacing w:val="0"/>
                <w:sz w:val="20"/>
                <w:szCs w:val="22"/>
              </w:rPr>
            </w:pPr>
            <w:r>
              <w:rPr>
                <w:rStyle w:val="IntenseReference"/>
                <w:rFonts w:cs="Arial"/>
                <w:b w:val="0"/>
                <w:bCs w:val="0"/>
                <w:i w:val="0"/>
                <w:smallCaps w:val="0"/>
                <w:color w:val="auto"/>
                <w:spacing w:val="0"/>
                <w:sz w:val="20"/>
                <w:szCs w:val="22"/>
              </w:rPr>
              <w:t>Minimum inhibitory concentration</w:t>
            </w:r>
          </w:p>
        </w:tc>
      </w:tr>
      <w:tr w:rsidR="002F0AB2" w:rsidRPr="002F0AB2" w:rsidTr="00FB3D84">
        <w:trPr>
          <w:trHeight w:val="397"/>
        </w:trPr>
        <w:tc>
          <w:tcPr>
            <w:tcW w:w="1174" w:type="pct"/>
            <w:shd w:val="clear" w:color="auto" w:fill="E48312" w:themeFill="accent1"/>
            <w:vAlign w:val="center"/>
          </w:tcPr>
          <w:p w:rsidR="001D7349" w:rsidRPr="002F0AB2" w:rsidRDefault="001D7349" w:rsidP="00FB3D84">
            <w:pPr>
              <w:rPr>
                <w:rStyle w:val="IntenseReference"/>
                <w:rFonts w:cs="Arial"/>
                <w:bCs w:val="0"/>
                <w:i w:val="0"/>
                <w:smallCaps w:val="0"/>
                <w:color w:val="FFFFFF" w:themeColor="background1"/>
                <w:spacing w:val="0"/>
                <w:sz w:val="20"/>
                <w:szCs w:val="22"/>
              </w:rPr>
            </w:pPr>
            <w:r w:rsidRPr="002F0AB2">
              <w:rPr>
                <w:rStyle w:val="IntenseReference"/>
                <w:rFonts w:cs="Arial"/>
                <w:bCs w:val="0"/>
                <w:i w:val="0"/>
                <w:smallCaps w:val="0"/>
                <w:color w:val="FFFFFF" w:themeColor="background1"/>
                <w:spacing w:val="0"/>
                <w:sz w:val="20"/>
                <w:szCs w:val="22"/>
              </w:rPr>
              <w:t>Abbreviation</w:t>
            </w:r>
          </w:p>
        </w:tc>
        <w:tc>
          <w:tcPr>
            <w:tcW w:w="3826" w:type="pct"/>
            <w:shd w:val="clear" w:color="auto" w:fill="E48312" w:themeFill="accent1"/>
            <w:vAlign w:val="center"/>
          </w:tcPr>
          <w:p w:rsidR="001D7349" w:rsidRPr="002F0AB2" w:rsidRDefault="001D7349" w:rsidP="00FB3D84">
            <w:pPr>
              <w:rPr>
                <w:rStyle w:val="IntenseReference"/>
                <w:rFonts w:cs="Arial"/>
                <w:bCs w:val="0"/>
                <w:i w:val="0"/>
                <w:smallCaps w:val="0"/>
                <w:color w:val="FFFFFF" w:themeColor="background1"/>
                <w:spacing w:val="0"/>
                <w:sz w:val="20"/>
                <w:szCs w:val="22"/>
              </w:rPr>
            </w:pPr>
            <w:r w:rsidRPr="002F0AB2">
              <w:rPr>
                <w:rStyle w:val="IntenseReference"/>
                <w:rFonts w:cs="Arial"/>
                <w:bCs w:val="0"/>
                <w:i w:val="0"/>
                <w:smallCaps w:val="0"/>
                <w:color w:val="FFFFFF" w:themeColor="background1"/>
                <w:spacing w:val="0"/>
                <w:sz w:val="20"/>
                <w:szCs w:val="22"/>
              </w:rPr>
              <w:t>Critical antimicrobial resistance</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CPE</w:t>
            </w:r>
          </w:p>
        </w:tc>
        <w:tc>
          <w:tcPr>
            <w:tcW w:w="3826" w:type="pct"/>
          </w:tcPr>
          <w:p w:rsidR="001D7349" w:rsidRPr="00AB786F" w:rsidRDefault="00652858"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carbapenemase-</w:t>
            </w:r>
            <w:r w:rsidR="001D7349" w:rsidRPr="00AB786F">
              <w:rPr>
                <w:rStyle w:val="IntenseReference"/>
                <w:rFonts w:cs="Arial"/>
                <w:b w:val="0"/>
                <w:bCs w:val="0"/>
                <w:i w:val="0"/>
                <w:smallCaps w:val="0"/>
                <w:color w:val="auto"/>
                <w:spacing w:val="0"/>
                <w:sz w:val="20"/>
                <w:szCs w:val="22"/>
              </w:rPr>
              <w:t xml:space="preserve">producing </w:t>
            </w:r>
            <w:r w:rsidR="001D7349" w:rsidRPr="00661532">
              <w:rPr>
                <w:rStyle w:val="IntenseReference"/>
                <w:rFonts w:cs="Arial"/>
                <w:b w:val="0"/>
                <w:bCs w:val="0"/>
                <w:i w:val="0"/>
                <w:smallCaps w:val="0"/>
                <w:color w:val="auto"/>
                <w:spacing w:val="0"/>
                <w:sz w:val="20"/>
                <w:szCs w:val="22"/>
              </w:rPr>
              <w:t>Enterobacteriaceae</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RMT</w:t>
            </w:r>
          </w:p>
        </w:tc>
        <w:tc>
          <w:tcPr>
            <w:tcW w:w="3826" w:type="pct"/>
          </w:tcPr>
          <w:p w:rsidR="001D7349" w:rsidRPr="00AB786F" w:rsidRDefault="00652858"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ribosomal methylase-</w:t>
            </w:r>
            <w:r w:rsidR="001D7349" w:rsidRPr="00AB786F">
              <w:rPr>
                <w:rStyle w:val="IntenseReference"/>
                <w:rFonts w:cs="Arial"/>
                <w:b w:val="0"/>
                <w:bCs w:val="0"/>
                <w:i w:val="0"/>
                <w:smallCaps w:val="0"/>
                <w:color w:val="auto"/>
                <w:spacing w:val="0"/>
                <w:sz w:val="20"/>
                <w:szCs w:val="22"/>
              </w:rPr>
              <w:t xml:space="preserve">producing </w:t>
            </w:r>
            <w:r w:rsidR="001D7349" w:rsidRPr="00661532">
              <w:rPr>
                <w:rStyle w:val="IntenseReference"/>
                <w:rFonts w:cs="Arial"/>
                <w:b w:val="0"/>
                <w:bCs w:val="0"/>
                <w:i w:val="0"/>
                <w:smallCaps w:val="0"/>
                <w:color w:val="auto"/>
                <w:spacing w:val="0"/>
                <w:sz w:val="20"/>
                <w:szCs w:val="22"/>
              </w:rPr>
              <w:t>Enterobacteriaceae</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CPE+RMT</w:t>
            </w:r>
          </w:p>
        </w:tc>
        <w:tc>
          <w:tcPr>
            <w:tcW w:w="3826" w:type="pct"/>
          </w:tcPr>
          <w:p w:rsidR="001D7349" w:rsidRPr="00AB786F" w:rsidRDefault="00652858"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w:t>
            </w:r>
            <w:r w:rsidR="001D7349" w:rsidRPr="00AB786F">
              <w:rPr>
                <w:rStyle w:val="IntenseReference"/>
                <w:rFonts w:cs="Arial"/>
                <w:b w:val="0"/>
                <w:bCs w:val="0"/>
                <w:i w:val="0"/>
                <w:smallCaps w:val="0"/>
                <w:color w:val="auto"/>
                <w:spacing w:val="0"/>
                <w:sz w:val="20"/>
                <w:szCs w:val="22"/>
              </w:rPr>
              <w:t>arbapenemase</w:t>
            </w:r>
            <w:r w:rsidRPr="00AB786F">
              <w:rPr>
                <w:rStyle w:val="IntenseReference"/>
                <w:rFonts w:cs="Arial"/>
                <w:b w:val="0"/>
                <w:bCs w:val="0"/>
                <w:i w:val="0"/>
                <w:smallCaps w:val="0"/>
                <w:color w:val="auto"/>
                <w:spacing w:val="0"/>
                <w:sz w:val="20"/>
                <w:szCs w:val="22"/>
              </w:rPr>
              <w:t>- and ribosomal methylase-</w:t>
            </w:r>
            <w:r w:rsidR="001D7349" w:rsidRPr="00AB786F">
              <w:rPr>
                <w:rStyle w:val="IntenseReference"/>
                <w:rFonts w:cs="Arial"/>
                <w:b w:val="0"/>
                <w:bCs w:val="0"/>
                <w:i w:val="0"/>
                <w:smallCaps w:val="0"/>
                <w:color w:val="auto"/>
                <w:spacing w:val="0"/>
                <w:sz w:val="20"/>
                <w:szCs w:val="22"/>
              </w:rPr>
              <w:t xml:space="preserve">producing </w:t>
            </w:r>
            <w:r w:rsidR="001D7349" w:rsidRPr="00661532">
              <w:rPr>
                <w:rStyle w:val="IntenseReference"/>
                <w:rFonts w:cs="Arial"/>
                <w:b w:val="0"/>
                <w:bCs w:val="0"/>
                <w:i w:val="0"/>
                <w:smallCaps w:val="0"/>
                <w:color w:val="auto"/>
                <w:spacing w:val="0"/>
                <w:sz w:val="20"/>
                <w:szCs w:val="22"/>
              </w:rPr>
              <w:t>Enterobacteriaceae</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LNZ ENTE</w:t>
            </w:r>
          </w:p>
        </w:tc>
        <w:tc>
          <w:tcPr>
            <w:tcW w:w="3826"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linezolid non-susceptible </w:t>
            </w:r>
            <w:r w:rsidRPr="00661532">
              <w:rPr>
                <w:rStyle w:val="IntenseReference"/>
                <w:rFonts w:cs="Arial"/>
                <w:b w:val="0"/>
                <w:bCs w:val="0"/>
                <w:i w:val="0"/>
                <w:smallCaps w:val="0"/>
                <w:color w:val="auto"/>
                <w:spacing w:val="0"/>
                <w:sz w:val="20"/>
                <w:szCs w:val="22"/>
              </w:rPr>
              <w:t xml:space="preserve">Enterococcus </w:t>
            </w:r>
            <w:r w:rsidRPr="00AB786F">
              <w:rPr>
                <w:rStyle w:val="IntenseReference"/>
                <w:rFonts w:cs="Arial"/>
                <w:b w:val="0"/>
                <w:bCs w:val="0"/>
                <w:i w:val="0"/>
                <w:smallCaps w:val="0"/>
                <w:color w:val="auto"/>
                <w:spacing w:val="0"/>
                <w:sz w:val="20"/>
                <w:szCs w:val="22"/>
              </w:rPr>
              <w:t>species</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AZI (LLR)</w:t>
            </w:r>
          </w:p>
        </w:tc>
        <w:tc>
          <w:tcPr>
            <w:tcW w:w="3826" w:type="pct"/>
          </w:tcPr>
          <w:p w:rsidR="001D7349" w:rsidRPr="00AB786F" w:rsidRDefault="00054841" w:rsidP="00054841">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A</w:t>
            </w:r>
            <w:r w:rsidR="001D7349" w:rsidRPr="00AB786F">
              <w:rPr>
                <w:rStyle w:val="IntenseReference"/>
                <w:rFonts w:cs="Arial"/>
                <w:b w:val="0"/>
                <w:bCs w:val="0"/>
                <w:i w:val="0"/>
                <w:smallCaps w:val="0"/>
                <w:color w:val="auto"/>
                <w:spacing w:val="0"/>
                <w:sz w:val="20"/>
                <w:szCs w:val="22"/>
              </w:rPr>
              <w:t>zithromycin</w:t>
            </w:r>
            <w:r>
              <w:rPr>
                <w:rStyle w:val="IntenseReference"/>
                <w:rFonts w:cs="Arial"/>
                <w:b w:val="0"/>
                <w:bCs w:val="0"/>
                <w:i w:val="0"/>
                <w:smallCaps w:val="0"/>
                <w:color w:val="auto"/>
                <w:spacing w:val="0"/>
                <w:sz w:val="20"/>
                <w:szCs w:val="22"/>
              </w:rPr>
              <w:t>-</w:t>
            </w:r>
            <w:r w:rsidR="001D7349" w:rsidRPr="00AB786F">
              <w:rPr>
                <w:rStyle w:val="IntenseReference"/>
                <w:rFonts w:cs="Arial"/>
                <w:b w:val="0"/>
                <w:bCs w:val="0"/>
                <w:i w:val="0"/>
                <w:smallCaps w:val="0"/>
                <w:color w:val="auto"/>
                <w:spacing w:val="0"/>
                <w:sz w:val="20"/>
                <w:szCs w:val="22"/>
              </w:rPr>
              <w:t>resistant</w:t>
            </w:r>
            <w:r w:rsidR="0043443B">
              <w:rPr>
                <w:rStyle w:val="IntenseReference"/>
                <w:rFonts w:cs="Arial"/>
                <w:b w:val="0"/>
                <w:bCs w:val="0"/>
                <w:i w:val="0"/>
                <w:smallCaps w:val="0"/>
                <w:color w:val="auto"/>
                <w:spacing w:val="0"/>
                <w:sz w:val="20"/>
                <w:szCs w:val="22"/>
              </w:rPr>
              <w:t>, low level resistance</w:t>
            </w:r>
            <w:r w:rsidR="001D7349" w:rsidRPr="00AB786F">
              <w:rPr>
                <w:rStyle w:val="IntenseReference"/>
                <w:rFonts w:cs="Arial"/>
                <w:b w:val="0"/>
                <w:bCs w:val="0"/>
                <w:i w:val="0"/>
                <w:smallCaps w:val="0"/>
                <w:color w:val="auto"/>
                <w:spacing w:val="0"/>
                <w:sz w:val="20"/>
                <w:szCs w:val="22"/>
              </w:rPr>
              <w:t xml:space="preserve"> (LLR</w:t>
            </w:r>
            <w:r w:rsidR="00F85520">
              <w:rPr>
                <w:rStyle w:val="IntenseReference"/>
                <w:rFonts w:cs="Arial"/>
                <w:b w:val="0"/>
                <w:bCs w:val="0"/>
                <w:i w:val="0"/>
                <w:smallCaps w:val="0"/>
                <w:color w:val="auto"/>
                <w:spacing w:val="0"/>
                <w:sz w:val="20"/>
                <w:szCs w:val="22"/>
              </w:rPr>
              <w:t xml:space="preserve"> </w:t>
            </w:r>
            <w:r w:rsidR="00F85520" w:rsidRPr="00F85520">
              <w:rPr>
                <w:rStyle w:val="IntenseReference"/>
                <w:rFonts w:cs="Arial"/>
                <w:b w:val="0"/>
                <w:bCs w:val="0"/>
                <w:i w:val="0"/>
                <w:smallCaps w:val="0"/>
                <w:color w:val="auto"/>
                <w:spacing w:val="0"/>
                <w:sz w:val="20"/>
                <w:szCs w:val="22"/>
                <w:vertAlign w:val="superscript"/>
              </w:rPr>
              <w:t>#</w:t>
            </w:r>
            <w:r w:rsidR="001D7349" w:rsidRPr="00AB786F">
              <w:rPr>
                <w:rStyle w:val="IntenseReference"/>
                <w:rFonts w:cs="Arial"/>
                <w:b w:val="0"/>
                <w:bCs w:val="0"/>
                <w:i w:val="0"/>
                <w:smallCaps w:val="0"/>
                <w:color w:val="auto"/>
                <w:spacing w:val="0"/>
                <w:sz w:val="20"/>
                <w:szCs w:val="22"/>
              </w:rPr>
              <w:t xml:space="preserve">, MIC &lt; 256 mg/L) </w:t>
            </w:r>
            <w:r w:rsidR="001D7349" w:rsidRPr="00AB786F">
              <w:rPr>
                <w:rStyle w:val="IntenseReference"/>
                <w:rFonts w:cs="Arial"/>
                <w:b w:val="0"/>
                <w:bCs w:val="0"/>
                <w:smallCaps w:val="0"/>
                <w:color w:val="auto"/>
                <w:spacing w:val="0"/>
                <w:sz w:val="20"/>
                <w:szCs w:val="22"/>
              </w:rPr>
              <w:t>Neisseria gonorrhoeae</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AZI (HLR)</w:t>
            </w:r>
          </w:p>
        </w:tc>
        <w:tc>
          <w:tcPr>
            <w:tcW w:w="3826" w:type="pct"/>
          </w:tcPr>
          <w:p w:rsidR="001D7349" w:rsidRPr="00AB786F" w:rsidRDefault="00054841" w:rsidP="00054841">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A</w:t>
            </w:r>
            <w:r w:rsidR="001D7349" w:rsidRPr="00AB786F">
              <w:rPr>
                <w:rStyle w:val="IntenseReference"/>
                <w:rFonts w:cs="Arial"/>
                <w:b w:val="0"/>
                <w:bCs w:val="0"/>
                <w:i w:val="0"/>
                <w:smallCaps w:val="0"/>
                <w:color w:val="auto"/>
                <w:spacing w:val="0"/>
                <w:sz w:val="20"/>
                <w:szCs w:val="22"/>
              </w:rPr>
              <w:t>zithromycin</w:t>
            </w:r>
            <w:r>
              <w:rPr>
                <w:rStyle w:val="IntenseReference"/>
                <w:rFonts w:cs="Arial"/>
                <w:b w:val="0"/>
                <w:bCs w:val="0"/>
                <w:i w:val="0"/>
                <w:smallCaps w:val="0"/>
                <w:color w:val="auto"/>
                <w:spacing w:val="0"/>
                <w:sz w:val="20"/>
                <w:szCs w:val="22"/>
              </w:rPr>
              <w:t>-</w:t>
            </w:r>
            <w:r w:rsidR="001D7349" w:rsidRPr="00AB786F">
              <w:rPr>
                <w:rStyle w:val="IntenseReference"/>
                <w:rFonts w:cs="Arial"/>
                <w:b w:val="0"/>
                <w:bCs w:val="0"/>
                <w:i w:val="0"/>
                <w:smallCaps w:val="0"/>
                <w:color w:val="auto"/>
                <w:spacing w:val="0"/>
                <w:sz w:val="20"/>
                <w:szCs w:val="22"/>
              </w:rPr>
              <w:t>resistant</w:t>
            </w:r>
            <w:r w:rsidR="0043443B">
              <w:rPr>
                <w:rStyle w:val="IntenseReference"/>
                <w:rFonts w:cs="Arial"/>
                <w:b w:val="0"/>
                <w:bCs w:val="0"/>
                <w:i w:val="0"/>
                <w:smallCaps w:val="0"/>
                <w:color w:val="auto"/>
                <w:spacing w:val="0"/>
                <w:sz w:val="20"/>
                <w:szCs w:val="22"/>
              </w:rPr>
              <w:t>, high level resistance</w:t>
            </w:r>
            <w:r w:rsidR="001D7349" w:rsidRPr="00AB786F">
              <w:rPr>
                <w:rStyle w:val="IntenseReference"/>
                <w:rFonts w:cs="Arial"/>
                <w:b w:val="0"/>
                <w:bCs w:val="0"/>
                <w:i w:val="0"/>
                <w:smallCaps w:val="0"/>
                <w:color w:val="auto"/>
                <w:spacing w:val="0"/>
                <w:sz w:val="20"/>
                <w:szCs w:val="22"/>
              </w:rPr>
              <w:t xml:space="preserve"> (HLR</w:t>
            </w:r>
            <w:r w:rsidR="00F85520">
              <w:rPr>
                <w:rStyle w:val="IntenseReference"/>
                <w:rFonts w:cs="Arial"/>
                <w:b w:val="0"/>
                <w:bCs w:val="0"/>
                <w:i w:val="0"/>
                <w:smallCaps w:val="0"/>
                <w:color w:val="auto"/>
                <w:spacing w:val="0"/>
                <w:sz w:val="20"/>
                <w:szCs w:val="22"/>
              </w:rPr>
              <w:t xml:space="preserve"> </w:t>
            </w:r>
            <w:r w:rsidR="00F85520">
              <w:rPr>
                <w:rStyle w:val="IntenseReference"/>
                <w:rFonts w:cs="Arial"/>
                <w:b w:val="0"/>
                <w:bCs w:val="0"/>
                <w:i w:val="0"/>
                <w:smallCaps w:val="0"/>
                <w:color w:val="auto"/>
                <w:spacing w:val="0"/>
                <w:sz w:val="20"/>
                <w:szCs w:val="22"/>
                <w:vertAlign w:val="superscript"/>
              </w:rPr>
              <w:t>*</w:t>
            </w:r>
            <w:r w:rsidR="001D7349" w:rsidRPr="00AB786F">
              <w:rPr>
                <w:rStyle w:val="IntenseReference"/>
                <w:rFonts w:cs="Arial"/>
                <w:b w:val="0"/>
                <w:bCs w:val="0"/>
                <w:i w:val="0"/>
                <w:smallCaps w:val="0"/>
                <w:color w:val="auto"/>
                <w:spacing w:val="0"/>
                <w:sz w:val="20"/>
                <w:szCs w:val="22"/>
              </w:rPr>
              <w:t xml:space="preserve">, MIC &gt; 256 mg/L) </w:t>
            </w:r>
            <w:r w:rsidR="001D7349" w:rsidRPr="00AB786F">
              <w:rPr>
                <w:rStyle w:val="IntenseReference"/>
                <w:rFonts w:cs="Arial"/>
                <w:b w:val="0"/>
                <w:bCs w:val="0"/>
                <w:smallCaps w:val="0"/>
                <w:color w:val="auto"/>
                <w:spacing w:val="0"/>
                <w:sz w:val="20"/>
                <w:szCs w:val="22"/>
              </w:rPr>
              <w:t>Neisseria gonorrhoeae</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CTR NGON </w:t>
            </w:r>
          </w:p>
        </w:tc>
        <w:tc>
          <w:tcPr>
            <w:tcW w:w="3826"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ceftriaxone non-susceptible </w:t>
            </w:r>
            <w:r w:rsidRPr="00AB786F">
              <w:rPr>
                <w:rStyle w:val="IntenseReference"/>
                <w:rFonts w:cs="Arial"/>
                <w:b w:val="0"/>
                <w:bCs w:val="0"/>
                <w:smallCaps w:val="0"/>
                <w:color w:val="auto"/>
                <w:spacing w:val="0"/>
                <w:sz w:val="20"/>
                <w:szCs w:val="22"/>
              </w:rPr>
              <w:t>Neisseria gonorrhoeae</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DAP SAUR </w:t>
            </w:r>
          </w:p>
        </w:tc>
        <w:tc>
          <w:tcPr>
            <w:tcW w:w="3826"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daptomycin non-susceptible </w:t>
            </w:r>
            <w:r w:rsidRPr="00AB786F">
              <w:rPr>
                <w:rStyle w:val="IntenseReference"/>
                <w:rFonts w:cs="Arial"/>
                <w:b w:val="0"/>
                <w:bCs w:val="0"/>
                <w:smallCaps w:val="0"/>
                <w:color w:val="auto"/>
                <w:spacing w:val="0"/>
                <w:sz w:val="20"/>
                <w:szCs w:val="22"/>
              </w:rPr>
              <w:t>Staphylococcus aureus</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VAN SAUR</w:t>
            </w:r>
          </w:p>
        </w:tc>
        <w:tc>
          <w:tcPr>
            <w:tcW w:w="3826"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vancomycin non-susceptible </w:t>
            </w:r>
            <w:r w:rsidRPr="00AB786F">
              <w:rPr>
                <w:rStyle w:val="IntenseReference"/>
                <w:rFonts w:cs="Arial"/>
                <w:b w:val="0"/>
                <w:bCs w:val="0"/>
                <w:smallCaps w:val="0"/>
                <w:color w:val="auto"/>
                <w:spacing w:val="0"/>
                <w:sz w:val="20"/>
                <w:szCs w:val="22"/>
              </w:rPr>
              <w:t>Staphylococcus aureus</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CTR SALM </w:t>
            </w:r>
          </w:p>
        </w:tc>
        <w:tc>
          <w:tcPr>
            <w:tcW w:w="3826"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ceftriaxone non-susceptible </w:t>
            </w:r>
            <w:r w:rsidRPr="00AB786F">
              <w:rPr>
                <w:rStyle w:val="IntenseReference"/>
                <w:rFonts w:cs="Arial"/>
                <w:b w:val="0"/>
                <w:bCs w:val="0"/>
                <w:smallCaps w:val="0"/>
                <w:color w:val="auto"/>
                <w:spacing w:val="0"/>
                <w:sz w:val="20"/>
                <w:szCs w:val="22"/>
              </w:rPr>
              <w:t>Salmonella</w:t>
            </w:r>
            <w:r w:rsidRPr="00AB786F">
              <w:rPr>
                <w:rStyle w:val="IntenseReference"/>
                <w:rFonts w:cs="Arial"/>
                <w:b w:val="0"/>
                <w:bCs w:val="0"/>
                <w:i w:val="0"/>
                <w:smallCaps w:val="0"/>
                <w:color w:val="auto"/>
                <w:spacing w:val="0"/>
                <w:sz w:val="20"/>
                <w:szCs w:val="22"/>
              </w:rPr>
              <w:t xml:space="preserve"> species</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MDR SHIG </w:t>
            </w:r>
          </w:p>
        </w:tc>
        <w:tc>
          <w:tcPr>
            <w:tcW w:w="3826" w:type="pct"/>
          </w:tcPr>
          <w:p w:rsidR="001D7349" w:rsidRPr="00AB786F" w:rsidRDefault="00AE1B51" w:rsidP="00BF2E60">
            <w:pPr>
              <w:rPr>
                <w:rStyle w:val="IntenseReference"/>
                <w:rFonts w:cs="Arial"/>
                <w:b w:val="0"/>
                <w:bCs w:val="0"/>
                <w:i w:val="0"/>
                <w:smallCaps w:val="0"/>
                <w:color w:val="auto"/>
                <w:spacing w:val="0"/>
                <w:sz w:val="20"/>
                <w:szCs w:val="22"/>
              </w:rPr>
            </w:pPr>
            <w:r>
              <w:rPr>
                <w:rStyle w:val="IntenseReference"/>
                <w:rFonts w:cs="Arial"/>
                <w:b w:val="0"/>
                <w:bCs w:val="0"/>
                <w:i w:val="0"/>
                <w:smallCaps w:val="0"/>
                <w:color w:val="auto"/>
                <w:spacing w:val="0"/>
                <w:sz w:val="20"/>
                <w:szCs w:val="22"/>
              </w:rPr>
              <w:t>multidrug-</w:t>
            </w:r>
            <w:r w:rsidR="001D7349" w:rsidRPr="00AB786F">
              <w:rPr>
                <w:rStyle w:val="IntenseReference"/>
                <w:rFonts w:cs="Arial"/>
                <w:b w:val="0"/>
                <w:bCs w:val="0"/>
                <w:i w:val="0"/>
                <w:smallCaps w:val="0"/>
                <w:color w:val="auto"/>
                <w:spacing w:val="0"/>
                <w:sz w:val="20"/>
                <w:szCs w:val="22"/>
              </w:rPr>
              <w:t xml:space="preserve">resistant </w:t>
            </w:r>
            <w:r w:rsidR="001D7349" w:rsidRPr="00AB786F">
              <w:rPr>
                <w:rStyle w:val="IntenseReference"/>
                <w:rFonts w:cs="Arial"/>
                <w:b w:val="0"/>
                <w:bCs w:val="0"/>
                <w:smallCaps w:val="0"/>
                <w:color w:val="auto"/>
                <w:spacing w:val="0"/>
                <w:sz w:val="20"/>
                <w:szCs w:val="22"/>
              </w:rPr>
              <w:t>Shigella</w:t>
            </w:r>
            <w:r w:rsidR="001D7349" w:rsidRPr="00AB786F">
              <w:rPr>
                <w:rStyle w:val="IntenseReference"/>
                <w:rFonts w:cs="Arial"/>
                <w:b w:val="0"/>
                <w:bCs w:val="0"/>
                <w:i w:val="0"/>
                <w:smallCaps w:val="0"/>
                <w:color w:val="auto"/>
                <w:spacing w:val="0"/>
                <w:sz w:val="20"/>
                <w:szCs w:val="22"/>
              </w:rPr>
              <w:t xml:space="preserve"> species</w:t>
            </w:r>
          </w:p>
        </w:tc>
      </w:tr>
      <w:tr w:rsidR="001D7349" w:rsidRPr="00614108" w:rsidTr="00FB3D84">
        <w:trPr>
          <w:trHeight w:val="283"/>
        </w:trPr>
        <w:tc>
          <w:tcPr>
            <w:tcW w:w="1174" w:type="pct"/>
          </w:tcPr>
          <w:p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MDR MTB</w:t>
            </w:r>
          </w:p>
        </w:tc>
        <w:tc>
          <w:tcPr>
            <w:tcW w:w="3826" w:type="pct"/>
          </w:tcPr>
          <w:p w:rsidR="001D7349" w:rsidRPr="00AB786F" w:rsidRDefault="00AE1B51" w:rsidP="00BF2E60">
            <w:pPr>
              <w:rPr>
                <w:rStyle w:val="IntenseReference"/>
                <w:rFonts w:cs="Arial"/>
                <w:b w:val="0"/>
                <w:bCs w:val="0"/>
                <w:i w:val="0"/>
                <w:smallCaps w:val="0"/>
                <w:color w:val="auto"/>
                <w:spacing w:val="0"/>
                <w:sz w:val="20"/>
                <w:szCs w:val="22"/>
              </w:rPr>
            </w:pPr>
            <w:r>
              <w:rPr>
                <w:rStyle w:val="IntenseReference"/>
                <w:rFonts w:cs="Arial"/>
                <w:b w:val="0"/>
                <w:bCs w:val="0"/>
                <w:i w:val="0"/>
                <w:smallCaps w:val="0"/>
                <w:color w:val="auto"/>
                <w:spacing w:val="0"/>
                <w:sz w:val="20"/>
                <w:szCs w:val="22"/>
              </w:rPr>
              <w:t>multidrug-</w:t>
            </w:r>
            <w:r w:rsidR="00652858" w:rsidRPr="00AB786F">
              <w:rPr>
                <w:rStyle w:val="IntenseReference"/>
                <w:rFonts w:cs="Arial"/>
                <w:b w:val="0"/>
                <w:bCs w:val="0"/>
                <w:i w:val="0"/>
                <w:smallCaps w:val="0"/>
                <w:color w:val="auto"/>
                <w:spacing w:val="0"/>
                <w:sz w:val="20"/>
                <w:szCs w:val="22"/>
              </w:rPr>
              <w:t>resistant</w:t>
            </w:r>
            <w:r w:rsidR="001D7349" w:rsidRPr="00AB786F">
              <w:rPr>
                <w:rStyle w:val="IntenseReference"/>
                <w:rFonts w:cs="Arial"/>
                <w:b w:val="0"/>
                <w:bCs w:val="0"/>
                <w:i w:val="0"/>
                <w:smallCaps w:val="0"/>
                <w:color w:val="auto"/>
                <w:spacing w:val="0"/>
                <w:sz w:val="20"/>
                <w:szCs w:val="22"/>
              </w:rPr>
              <w:t xml:space="preserve"> </w:t>
            </w:r>
            <w:r w:rsidR="001D7349" w:rsidRPr="00AB786F">
              <w:rPr>
                <w:rStyle w:val="IntenseReference"/>
                <w:rFonts w:cs="Arial"/>
                <w:b w:val="0"/>
                <w:bCs w:val="0"/>
                <w:smallCaps w:val="0"/>
                <w:color w:val="auto"/>
                <w:spacing w:val="0"/>
                <w:sz w:val="20"/>
                <w:szCs w:val="22"/>
              </w:rPr>
              <w:t>Mycobacterium tuberculosis</w:t>
            </w:r>
          </w:p>
        </w:tc>
      </w:tr>
    </w:tbl>
    <w:p w:rsidR="00F85520" w:rsidRDefault="00F85520" w:rsidP="00506EF0">
      <w:pPr>
        <w:rPr>
          <w:rFonts w:cs="Arial"/>
          <w:sz w:val="16"/>
          <w:szCs w:val="16"/>
        </w:rPr>
      </w:pPr>
    </w:p>
    <w:p w:rsidR="001D7349" w:rsidRPr="00F85520" w:rsidRDefault="00F85520" w:rsidP="00506EF0">
      <w:pPr>
        <w:rPr>
          <w:rFonts w:cs="Arial"/>
          <w:sz w:val="16"/>
          <w:szCs w:val="16"/>
        </w:rPr>
      </w:pPr>
      <w:r>
        <w:rPr>
          <w:rFonts w:cs="Arial"/>
          <w:sz w:val="16"/>
          <w:szCs w:val="16"/>
        </w:rPr>
        <w:t>#</w:t>
      </w:r>
      <w:r w:rsidRPr="00F85520">
        <w:rPr>
          <w:rFonts w:cs="Arial"/>
          <w:sz w:val="16"/>
          <w:szCs w:val="16"/>
        </w:rPr>
        <w:t>LLR=low level resistance</w:t>
      </w:r>
    </w:p>
    <w:p w:rsidR="00F85520" w:rsidRPr="00F85520" w:rsidRDefault="00F85520" w:rsidP="00506EF0">
      <w:pPr>
        <w:rPr>
          <w:rFonts w:cs="Arial"/>
          <w:sz w:val="16"/>
          <w:szCs w:val="16"/>
        </w:rPr>
      </w:pPr>
      <w:r>
        <w:rPr>
          <w:rFonts w:cs="Arial"/>
          <w:sz w:val="16"/>
          <w:szCs w:val="16"/>
        </w:rPr>
        <w:t>*</w:t>
      </w:r>
      <w:r w:rsidRPr="00F85520">
        <w:rPr>
          <w:rFonts w:cs="Arial"/>
          <w:sz w:val="16"/>
          <w:szCs w:val="16"/>
        </w:rPr>
        <w:t>HLR=high level resistance</w:t>
      </w:r>
    </w:p>
    <w:p w:rsidR="00516C44" w:rsidRDefault="00516C44" w:rsidP="00506EF0">
      <w:pPr>
        <w:rPr>
          <w:rFonts w:cs="Arial"/>
          <w:szCs w:val="22"/>
        </w:rPr>
      </w:pPr>
    </w:p>
    <w:sectPr w:rsidR="00516C44" w:rsidSect="00A35190">
      <w:footerReference w:type="default" r:id="rId31"/>
      <w:footerReference w:type="first" r:id="rId32"/>
      <w:pgSz w:w="11906" w:h="16838"/>
      <w:pgMar w:top="1134" w:right="1134" w:bottom="1134" w:left="1134"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E8172B" w15:done="0"/>
  <w15:commentEx w15:paraId="2AECAF46" w15:paraIdParent="1BE8172B" w15:done="0"/>
  <w15:commentEx w15:paraId="647EEE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0D" w:rsidRDefault="009E6A0D" w:rsidP="00E913BC">
      <w:r>
        <w:separator/>
      </w:r>
    </w:p>
  </w:endnote>
  <w:endnote w:type="continuationSeparator" w:id="0">
    <w:p w:rsidR="009E6A0D" w:rsidRDefault="009E6A0D" w:rsidP="00E9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8A" w:rsidRPr="007F3D2B" w:rsidRDefault="00803D8A" w:rsidP="002208EB">
    <w:pPr>
      <w:pStyle w:val="Footer"/>
      <w:pBdr>
        <w:top w:val="single" w:sz="4" w:space="1" w:color="D9D9D9" w:themeColor="background1" w:themeShade="D9"/>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101572"/>
      <w:docPartObj>
        <w:docPartGallery w:val="Page Numbers (Bottom of Page)"/>
        <w:docPartUnique/>
      </w:docPartObj>
    </w:sdtPr>
    <w:sdtEndPr>
      <w:rPr>
        <w:noProof/>
        <w:sz w:val="18"/>
        <w:szCs w:val="18"/>
      </w:rPr>
    </w:sdtEndPr>
    <w:sdtContent>
      <w:p w:rsidR="00803D8A" w:rsidRPr="00AE718B" w:rsidRDefault="00803D8A">
        <w:pPr>
          <w:pStyle w:val="Footer"/>
          <w:jc w:val="right"/>
          <w:rPr>
            <w:sz w:val="18"/>
            <w:szCs w:val="18"/>
          </w:rPr>
        </w:pPr>
        <w:r w:rsidRPr="00AE718B">
          <w:rPr>
            <w:sz w:val="18"/>
            <w:szCs w:val="18"/>
          </w:rPr>
          <w:fldChar w:fldCharType="begin"/>
        </w:r>
        <w:r w:rsidRPr="00AE718B">
          <w:rPr>
            <w:sz w:val="18"/>
            <w:szCs w:val="18"/>
          </w:rPr>
          <w:instrText xml:space="preserve"> PAGE   \* MERGEFORMAT </w:instrText>
        </w:r>
        <w:r w:rsidRPr="00AE718B">
          <w:rPr>
            <w:sz w:val="18"/>
            <w:szCs w:val="18"/>
          </w:rPr>
          <w:fldChar w:fldCharType="separate"/>
        </w:r>
        <w:r w:rsidR="00270E2D">
          <w:rPr>
            <w:noProof/>
            <w:sz w:val="18"/>
            <w:szCs w:val="18"/>
          </w:rPr>
          <w:t>3</w:t>
        </w:r>
        <w:r w:rsidRPr="00AE718B">
          <w:rPr>
            <w:noProof/>
            <w:sz w:val="18"/>
            <w:szCs w:val="18"/>
          </w:rPr>
          <w:fldChar w:fldCharType="end"/>
        </w:r>
      </w:p>
    </w:sdtContent>
  </w:sdt>
  <w:p w:rsidR="00803D8A" w:rsidRPr="00AE718B" w:rsidRDefault="00803D8A" w:rsidP="00A35190">
    <w:pPr>
      <w:pStyle w:val="Footer"/>
      <w:rPr>
        <w:sz w:val="18"/>
        <w:szCs w:val="18"/>
      </w:rPr>
    </w:pPr>
    <w:r w:rsidRPr="00AE718B">
      <w:rPr>
        <w:sz w:val="18"/>
        <w:szCs w:val="18"/>
      </w:rPr>
      <w:t>CARALert First Annual Report March 2016–March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558252"/>
      <w:docPartObj>
        <w:docPartGallery w:val="Page Numbers (Bottom of Page)"/>
        <w:docPartUnique/>
      </w:docPartObj>
    </w:sdtPr>
    <w:sdtEndPr>
      <w:rPr>
        <w:noProof/>
      </w:rPr>
    </w:sdtEndPr>
    <w:sdtContent>
      <w:p w:rsidR="00803D8A" w:rsidRDefault="00803D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03D8A" w:rsidRDefault="00803D8A">
    <w:pPr>
      <w:pStyle w:val="Footer"/>
    </w:pPr>
    <w:r w:rsidRPr="00841214">
      <w:t>CARALert Progress Report March 2016–March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0D" w:rsidRDefault="009E6A0D" w:rsidP="00E913BC">
      <w:r>
        <w:separator/>
      </w:r>
    </w:p>
  </w:footnote>
  <w:footnote w:type="continuationSeparator" w:id="0">
    <w:p w:rsidR="009E6A0D" w:rsidRDefault="009E6A0D" w:rsidP="00E913BC">
      <w:r>
        <w:continuationSeparator/>
      </w:r>
    </w:p>
  </w:footnote>
  <w:footnote w:id="1">
    <w:p w:rsidR="00803D8A" w:rsidRPr="00AE718B" w:rsidRDefault="00803D8A" w:rsidP="007550B8">
      <w:pPr>
        <w:pStyle w:val="FootnoteText"/>
        <w:rPr>
          <w:sz w:val="18"/>
        </w:rPr>
      </w:pPr>
      <w:r w:rsidRPr="00AE718B">
        <w:rPr>
          <w:rStyle w:val="FootnoteReference"/>
          <w:sz w:val="18"/>
        </w:rPr>
        <w:footnoteRef/>
      </w:r>
      <w:r w:rsidRPr="00AE718B">
        <w:rPr>
          <w:sz w:val="18"/>
        </w:rPr>
        <w:t xml:space="preserve"> MIC=minimum inhibitory concentration</w:t>
      </w:r>
    </w:p>
  </w:footnote>
  <w:footnote w:id="2">
    <w:p w:rsidR="00803D8A" w:rsidRPr="00AE718B" w:rsidRDefault="00803D8A" w:rsidP="00AF68EE">
      <w:pPr>
        <w:pStyle w:val="FootnoteText"/>
        <w:rPr>
          <w:sz w:val="18"/>
          <w:szCs w:val="18"/>
        </w:rPr>
      </w:pPr>
      <w:r w:rsidRPr="00AE718B">
        <w:rPr>
          <w:rStyle w:val="FootnoteReference"/>
          <w:sz w:val="18"/>
          <w:szCs w:val="18"/>
        </w:rPr>
        <w:footnoteRef/>
      </w:r>
      <w:r w:rsidRPr="00AE718B">
        <w:rPr>
          <w:sz w:val="18"/>
          <w:szCs w:val="18"/>
        </w:rPr>
        <w:t xml:space="preserve"> </w:t>
      </w:r>
      <w:r w:rsidRPr="00AE718B">
        <w:rPr>
          <w:rFonts w:cs="Helvetica 45 Light"/>
          <w:color w:val="000000"/>
          <w:sz w:val="18"/>
          <w:szCs w:val="18"/>
        </w:rPr>
        <w:t xml:space="preserve">Australian Commission on Safety and Quality in Health Care. </w:t>
      </w:r>
      <w:r w:rsidRPr="00AE718B">
        <w:rPr>
          <w:rFonts w:cs="Helvetica 45 Light"/>
          <w:iCs/>
          <w:color w:val="000000"/>
          <w:sz w:val="18"/>
          <w:szCs w:val="18"/>
        </w:rPr>
        <w:t xml:space="preserve">Recommendations for the control of carbapenemase-producing Enterobacteriaceae (CPE). </w:t>
      </w:r>
      <w:r w:rsidRPr="00AE718B">
        <w:rPr>
          <w:rFonts w:cs="Helvetica 45 Light"/>
          <w:color w:val="000000"/>
          <w:sz w:val="18"/>
          <w:szCs w:val="18"/>
        </w:rPr>
        <w:t>A guide for acute care health facilities. Sydney: ACSQHC,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1302"/>
    <w:multiLevelType w:val="hybridMultilevel"/>
    <w:tmpl w:val="BAD63DE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nsid w:val="1AED363A"/>
    <w:multiLevelType w:val="hybridMultilevel"/>
    <w:tmpl w:val="AC68936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E235317"/>
    <w:multiLevelType w:val="hybridMultilevel"/>
    <w:tmpl w:val="C478ACD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nsid w:val="1F0F286A"/>
    <w:multiLevelType w:val="hybridMultilevel"/>
    <w:tmpl w:val="23CCC2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45254C"/>
    <w:multiLevelType w:val="hybridMultilevel"/>
    <w:tmpl w:val="132AB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B37C87"/>
    <w:multiLevelType w:val="hybridMultilevel"/>
    <w:tmpl w:val="316AF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CC2312"/>
    <w:multiLevelType w:val="hybridMultilevel"/>
    <w:tmpl w:val="3F448062"/>
    <w:lvl w:ilvl="0" w:tplc="DA78DF36">
      <w:start w:val="1"/>
      <w:numFmt w:val="decimal"/>
      <w:lvlText w:val="%1."/>
      <w:lvlJc w:val="left"/>
      <w:pPr>
        <w:tabs>
          <w:tab w:val="num" w:pos="360"/>
        </w:tabs>
        <w:ind w:left="360" w:hanging="360"/>
      </w:pPr>
      <w:rPr>
        <w:rFonts w:ascii="Arial" w:hAnsi="Arial" w:cs="Arial" w:hint="default"/>
        <w:b w:val="0"/>
        <w:i w:val="0"/>
        <w:sz w:val="22"/>
        <w:szCs w:val="22"/>
      </w:rPr>
    </w:lvl>
    <w:lvl w:ilvl="1" w:tplc="0C090017">
      <w:start w:val="1"/>
      <w:numFmt w:val="lowerLetter"/>
      <w:lvlText w:val="%2)"/>
      <w:lvlJc w:val="left"/>
      <w:pPr>
        <w:tabs>
          <w:tab w:val="num" w:pos="1440"/>
        </w:tabs>
        <w:ind w:left="1440" w:hanging="360"/>
      </w:pPr>
      <w:rPr>
        <w:rFonts w:hint="default"/>
        <w:b w:val="0"/>
        <w:i w:val="0"/>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54C7BB5"/>
    <w:multiLevelType w:val="hybridMultilevel"/>
    <w:tmpl w:val="49D60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A749A9"/>
    <w:multiLevelType w:val="hybridMultilevel"/>
    <w:tmpl w:val="219E1F70"/>
    <w:lvl w:ilvl="0" w:tplc="7C7E5794">
      <w:start w:val="1"/>
      <w:numFmt w:val="bullet"/>
      <w:lvlText w:val="•"/>
      <w:lvlJc w:val="left"/>
      <w:pPr>
        <w:tabs>
          <w:tab w:val="num" w:pos="720"/>
        </w:tabs>
        <w:ind w:left="720" w:hanging="360"/>
      </w:pPr>
      <w:rPr>
        <w:rFonts w:ascii="Arial" w:hAnsi="Arial" w:hint="default"/>
      </w:rPr>
    </w:lvl>
    <w:lvl w:ilvl="1" w:tplc="476ED0F2">
      <w:start w:val="1861"/>
      <w:numFmt w:val="bullet"/>
      <w:lvlText w:val="o"/>
      <w:lvlJc w:val="left"/>
      <w:pPr>
        <w:tabs>
          <w:tab w:val="num" w:pos="1440"/>
        </w:tabs>
        <w:ind w:left="1440" w:hanging="360"/>
      </w:pPr>
      <w:rPr>
        <w:rFonts w:ascii="Courier New" w:hAnsi="Courier New" w:hint="default"/>
      </w:rPr>
    </w:lvl>
    <w:lvl w:ilvl="2" w:tplc="5B0C7386" w:tentative="1">
      <w:start w:val="1"/>
      <w:numFmt w:val="bullet"/>
      <w:lvlText w:val="•"/>
      <w:lvlJc w:val="left"/>
      <w:pPr>
        <w:tabs>
          <w:tab w:val="num" w:pos="2160"/>
        </w:tabs>
        <w:ind w:left="2160" w:hanging="360"/>
      </w:pPr>
      <w:rPr>
        <w:rFonts w:ascii="Arial" w:hAnsi="Arial" w:hint="default"/>
      </w:rPr>
    </w:lvl>
    <w:lvl w:ilvl="3" w:tplc="38CAE9E4" w:tentative="1">
      <w:start w:val="1"/>
      <w:numFmt w:val="bullet"/>
      <w:lvlText w:val="•"/>
      <w:lvlJc w:val="left"/>
      <w:pPr>
        <w:tabs>
          <w:tab w:val="num" w:pos="2880"/>
        </w:tabs>
        <w:ind w:left="2880" w:hanging="360"/>
      </w:pPr>
      <w:rPr>
        <w:rFonts w:ascii="Arial" w:hAnsi="Arial" w:hint="default"/>
      </w:rPr>
    </w:lvl>
    <w:lvl w:ilvl="4" w:tplc="597C4C8A" w:tentative="1">
      <w:start w:val="1"/>
      <w:numFmt w:val="bullet"/>
      <w:lvlText w:val="•"/>
      <w:lvlJc w:val="left"/>
      <w:pPr>
        <w:tabs>
          <w:tab w:val="num" w:pos="3600"/>
        </w:tabs>
        <w:ind w:left="3600" w:hanging="360"/>
      </w:pPr>
      <w:rPr>
        <w:rFonts w:ascii="Arial" w:hAnsi="Arial" w:hint="default"/>
      </w:rPr>
    </w:lvl>
    <w:lvl w:ilvl="5" w:tplc="B76AE18E" w:tentative="1">
      <w:start w:val="1"/>
      <w:numFmt w:val="bullet"/>
      <w:lvlText w:val="•"/>
      <w:lvlJc w:val="left"/>
      <w:pPr>
        <w:tabs>
          <w:tab w:val="num" w:pos="4320"/>
        </w:tabs>
        <w:ind w:left="4320" w:hanging="360"/>
      </w:pPr>
      <w:rPr>
        <w:rFonts w:ascii="Arial" w:hAnsi="Arial" w:hint="default"/>
      </w:rPr>
    </w:lvl>
    <w:lvl w:ilvl="6" w:tplc="B0041D02" w:tentative="1">
      <w:start w:val="1"/>
      <w:numFmt w:val="bullet"/>
      <w:lvlText w:val="•"/>
      <w:lvlJc w:val="left"/>
      <w:pPr>
        <w:tabs>
          <w:tab w:val="num" w:pos="5040"/>
        </w:tabs>
        <w:ind w:left="5040" w:hanging="360"/>
      </w:pPr>
      <w:rPr>
        <w:rFonts w:ascii="Arial" w:hAnsi="Arial" w:hint="default"/>
      </w:rPr>
    </w:lvl>
    <w:lvl w:ilvl="7" w:tplc="3CC48072" w:tentative="1">
      <w:start w:val="1"/>
      <w:numFmt w:val="bullet"/>
      <w:lvlText w:val="•"/>
      <w:lvlJc w:val="left"/>
      <w:pPr>
        <w:tabs>
          <w:tab w:val="num" w:pos="5760"/>
        </w:tabs>
        <w:ind w:left="5760" w:hanging="360"/>
      </w:pPr>
      <w:rPr>
        <w:rFonts w:ascii="Arial" w:hAnsi="Arial" w:hint="default"/>
      </w:rPr>
    </w:lvl>
    <w:lvl w:ilvl="8" w:tplc="23F02226" w:tentative="1">
      <w:start w:val="1"/>
      <w:numFmt w:val="bullet"/>
      <w:lvlText w:val="•"/>
      <w:lvlJc w:val="left"/>
      <w:pPr>
        <w:tabs>
          <w:tab w:val="num" w:pos="6480"/>
        </w:tabs>
        <w:ind w:left="6480" w:hanging="360"/>
      </w:pPr>
      <w:rPr>
        <w:rFonts w:ascii="Arial" w:hAnsi="Arial" w:hint="default"/>
      </w:rPr>
    </w:lvl>
  </w:abstractNum>
  <w:abstractNum w:abstractNumId="9">
    <w:nsid w:val="3CDF705E"/>
    <w:multiLevelType w:val="hybridMultilevel"/>
    <w:tmpl w:val="651AF3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17C60FA"/>
    <w:multiLevelType w:val="hybridMultilevel"/>
    <w:tmpl w:val="4502D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757D36"/>
    <w:multiLevelType w:val="hybridMultilevel"/>
    <w:tmpl w:val="975C391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C10F1C"/>
    <w:multiLevelType w:val="hybridMultilevel"/>
    <w:tmpl w:val="C5002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3A4A5E"/>
    <w:multiLevelType w:val="hybridMultilevel"/>
    <w:tmpl w:val="7312DB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D697366"/>
    <w:multiLevelType w:val="hybridMultilevel"/>
    <w:tmpl w:val="E54E7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F81BB7"/>
    <w:multiLevelType w:val="hybridMultilevel"/>
    <w:tmpl w:val="BC72F19E"/>
    <w:lvl w:ilvl="0" w:tplc="AFC49D8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DC341B"/>
    <w:multiLevelType w:val="hybridMultilevel"/>
    <w:tmpl w:val="51BAE72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nsid w:val="628E283C"/>
    <w:multiLevelType w:val="hybridMultilevel"/>
    <w:tmpl w:val="A2646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E43D45"/>
    <w:multiLevelType w:val="hybridMultilevel"/>
    <w:tmpl w:val="97400B26"/>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19">
    <w:nsid w:val="6CD97F10"/>
    <w:multiLevelType w:val="hybridMultilevel"/>
    <w:tmpl w:val="BA4A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A91665"/>
    <w:multiLevelType w:val="hybridMultilevel"/>
    <w:tmpl w:val="BE429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0A7BFB"/>
    <w:multiLevelType w:val="hybridMultilevel"/>
    <w:tmpl w:val="287C8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EA968C5"/>
    <w:multiLevelType w:val="hybridMultilevel"/>
    <w:tmpl w:val="43661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CD5A04"/>
    <w:multiLevelType w:val="hybridMultilevel"/>
    <w:tmpl w:val="194A8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9"/>
  </w:num>
  <w:num w:numId="4">
    <w:abstractNumId w:val="17"/>
  </w:num>
  <w:num w:numId="5">
    <w:abstractNumId w:val="23"/>
  </w:num>
  <w:num w:numId="6">
    <w:abstractNumId w:val="18"/>
  </w:num>
  <w:num w:numId="7">
    <w:abstractNumId w:val="0"/>
  </w:num>
  <w:num w:numId="8">
    <w:abstractNumId w:val="2"/>
  </w:num>
  <w:num w:numId="9">
    <w:abstractNumId w:val="16"/>
  </w:num>
  <w:num w:numId="10">
    <w:abstractNumId w:val="21"/>
  </w:num>
  <w:num w:numId="11">
    <w:abstractNumId w:val="11"/>
  </w:num>
  <w:num w:numId="12">
    <w:abstractNumId w:val="3"/>
  </w:num>
  <w:num w:numId="13">
    <w:abstractNumId w:val="4"/>
  </w:num>
  <w:num w:numId="14">
    <w:abstractNumId w:val="9"/>
  </w:num>
  <w:num w:numId="15">
    <w:abstractNumId w:val="22"/>
  </w:num>
  <w:num w:numId="16">
    <w:abstractNumId w:val="10"/>
  </w:num>
  <w:num w:numId="17">
    <w:abstractNumId w:val="7"/>
  </w:num>
  <w:num w:numId="18">
    <w:abstractNumId w:val="20"/>
  </w:num>
  <w:num w:numId="19">
    <w:abstractNumId w:val="20"/>
  </w:num>
  <w:num w:numId="20">
    <w:abstractNumId w:val="7"/>
  </w:num>
  <w:num w:numId="21">
    <w:abstractNumId w:val="13"/>
  </w:num>
  <w:num w:numId="22">
    <w:abstractNumId w:val="6"/>
  </w:num>
  <w:num w:numId="23">
    <w:abstractNumId w:val="1"/>
  </w:num>
  <w:num w:numId="24">
    <w:abstractNumId w:val="15"/>
  </w:num>
  <w:num w:numId="25">
    <w:abstractNumId w:val="12"/>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stralian Commission">
    <w15:presenceInfo w15:providerId="Windows Live" w15:userId="0945ee1c02856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AD"/>
    <w:rsid w:val="00003743"/>
    <w:rsid w:val="000064A4"/>
    <w:rsid w:val="00013828"/>
    <w:rsid w:val="0001676B"/>
    <w:rsid w:val="00016E6F"/>
    <w:rsid w:val="0002046C"/>
    <w:rsid w:val="0002048D"/>
    <w:rsid w:val="00021904"/>
    <w:rsid w:val="00023072"/>
    <w:rsid w:val="00023E05"/>
    <w:rsid w:val="00026637"/>
    <w:rsid w:val="000276E2"/>
    <w:rsid w:val="00030683"/>
    <w:rsid w:val="00030752"/>
    <w:rsid w:val="0003110E"/>
    <w:rsid w:val="00032E45"/>
    <w:rsid w:val="0003448B"/>
    <w:rsid w:val="00034593"/>
    <w:rsid w:val="0003492C"/>
    <w:rsid w:val="00036D4E"/>
    <w:rsid w:val="000411DA"/>
    <w:rsid w:val="00042D58"/>
    <w:rsid w:val="00042ED3"/>
    <w:rsid w:val="00047BDF"/>
    <w:rsid w:val="00050F06"/>
    <w:rsid w:val="0005160C"/>
    <w:rsid w:val="00054841"/>
    <w:rsid w:val="00057A0E"/>
    <w:rsid w:val="00064608"/>
    <w:rsid w:val="00067456"/>
    <w:rsid w:val="00070265"/>
    <w:rsid w:val="000702EC"/>
    <w:rsid w:val="000710F0"/>
    <w:rsid w:val="00072804"/>
    <w:rsid w:val="00074BA3"/>
    <w:rsid w:val="00084F69"/>
    <w:rsid w:val="0008542F"/>
    <w:rsid w:val="000968B6"/>
    <w:rsid w:val="000A073E"/>
    <w:rsid w:val="000A0E25"/>
    <w:rsid w:val="000A7ADE"/>
    <w:rsid w:val="000B1146"/>
    <w:rsid w:val="000B71F3"/>
    <w:rsid w:val="000C1C95"/>
    <w:rsid w:val="000C3627"/>
    <w:rsid w:val="000C708E"/>
    <w:rsid w:val="000D2440"/>
    <w:rsid w:val="000D2C05"/>
    <w:rsid w:val="000D64BC"/>
    <w:rsid w:val="000E1F1F"/>
    <w:rsid w:val="000E757C"/>
    <w:rsid w:val="000F1A5A"/>
    <w:rsid w:val="000F29CF"/>
    <w:rsid w:val="000F2B97"/>
    <w:rsid w:val="000F2E06"/>
    <w:rsid w:val="000F3E10"/>
    <w:rsid w:val="000F4776"/>
    <w:rsid w:val="000F63F0"/>
    <w:rsid w:val="001009F4"/>
    <w:rsid w:val="00104C67"/>
    <w:rsid w:val="001052BF"/>
    <w:rsid w:val="001062B4"/>
    <w:rsid w:val="00107C04"/>
    <w:rsid w:val="00107CB8"/>
    <w:rsid w:val="00110B1E"/>
    <w:rsid w:val="00110B50"/>
    <w:rsid w:val="0011354D"/>
    <w:rsid w:val="00120EDD"/>
    <w:rsid w:val="00122454"/>
    <w:rsid w:val="001236D6"/>
    <w:rsid w:val="001237D2"/>
    <w:rsid w:val="0012545C"/>
    <w:rsid w:val="001273EE"/>
    <w:rsid w:val="00127D9D"/>
    <w:rsid w:val="00131323"/>
    <w:rsid w:val="001314DE"/>
    <w:rsid w:val="00132330"/>
    <w:rsid w:val="00132952"/>
    <w:rsid w:val="00133EC3"/>
    <w:rsid w:val="00137D14"/>
    <w:rsid w:val="001456AF"/>
    <w:rsid w:val="001479DC"/>
    <w:rsid w:val="0015603C"/>
    <w:rsid w:val="00164D03"/>
    <w:rsid w:val="001705BD"/>
    <w:rsid w:val="00172710"/>
    <w:rsid w:val="00173511"/>
    <w:rsid w:val="00176210"/>
    <w:rsid w:val="00180048"/>
    <w:rsid w:val="00183FEA"/>
    <w:rsid w:val="0018498B"/>
    <w:rsid w:val="00186698"/>
    <w:rsid w:val="0018798A"/>
    <w:rsid w:val="00194AB1"/>
    <w:rsid w:val="001974CB"/>
    <w:rsid w:val="001A08F5"/>
    <w:rsid w:val="001A1B5E"/>
    <w:rsid w:val="001A628C"/>
    <w:rsid w:val="001A6857"/>
    <w:rsid w:val="001B075A"/>
    <w:rsid w:val="001B186E"/>
    <w:rsid w:val="001B1D51"/>
    <w:rsid w:val="001B2222"/>
    <w:rsid w:val="001B3443"/>
    <w:rsid w:val="001B46DB"/>
    <w:rsid w:val="001B4BF9"/>
    <w:rsid w:val="001B54D0"/>
    <w:rsid w:val="001B569D"/>
    <w:rsid w:val="001B7AD8"/>
    <w:rsid w:val="001C5001"/>
    <w:rsid w:val="001C5825"/>
    <w:rsid w:val="001C7B87"/>
    <w:rsid w:val="001C7F56"/>
    <w:rsid w:val="001D11FF"/>
    <w:rsid w:val="001D12B0"/>
    <w:rsid w:val="001D2D59"/>
    <w:rsid w:val="001D3370"/>
    <w:rsid w:val="001D370F"/>
    <w:rsid w:val="001D44E7"/>
    <w:rsid w:val="001D5814"/>
    <w:rsid w:val="001D6EB1"/>
    <w:rsid w:val="001D7349"/>
    <w:rsid w:val="001E06B3"/>
    <w:rsid w:val="001E09DF"/>
    <w:rsid w:val="001E17F1"/>
    <w:rsid w:val="001E2087"/>
    <w:rsid w:val="001E405B"/>
    <w:rsid w:val="001E5C14"/>
    <w:rsid w:val="001E5E7E"/>
    <w:rsid w:val="001E63BF"/>
    <w:rsid w:val="001E6753"/>
    <w:rsid w:val="001E7234"/>
    <w:rsid w:val="001E7F71"/>
    <w:rsid w:val="001F1BCE"/>
    <w:rsid w:val="001F1FD8"/>
    <w:rsid w:val="001F3CE6"/>
    <w:rsid w:val="001F41CB"/>
    <w:rsid w:val="001F50F8"/>
    <w:rsid w:val="001F54A3"/>
    <w:rsid w:val="001F5871"/>
    <w:rsid w:val="00200A39"/>
    <w:rsid w:val="00201711"/>
    <w:rsid w:val="00202545"/>
    <w:rsid w:val="00204A0B"/>
    <w:rsid w:val="00205F89"/>
    <w:rsid w:val="00207164"/>
    <w:rsid w:val="00212C97"/>
    <w:rsid w:val="00213144"/>
    <w:rsid w:val="00216493"/>
    <w:rsid w:val="00217CBA"/>
    <w:rsid w:val="002208EB"/>
    <w:rsid w:val="00220902"/>
    <w:rsid w:val="002260AD"/>
    <w:rsid w:val="00231695"/>
    <w:rsid w:val="00232377"/>
    <w:rsid w:val="00235276"/>
    <w:rsid w:val="002370E6"/>
    <w:rsid w:val="00237235"/>
    <w:rsid w:val="00237D5B"/>
    <w:rsid w:val="00240FDF"/>
    <w:rsid w:val="00242E68"/>
    <w:rsid w:val="00245BF4"/>
    <w:rsid w:val="002527FB"/>
    <w:rsid w:val="00256952"/>
    <w:rsid w:val="002607BE"/>
    <w:rsid w:val="00265539"/>
    <w:rsid w:val="00265D98"/>
    <w:rsid w:val="002675E1"/>
    <w:rsid w:val="00267D7A"/>
    <w:rsid w:val="00267DEA"/>
    <w:rsid w:val="00270861"/>
    <w:rsid w:val="00270C85"/>
    <w:rsid w:val="00270E2D"/>
    <w:rsid w:val="00271F3E"/>
    <w:rsid w:val="002749C8"/>
    <w:rsid w:val="00276043"/>
    <w:rsid w:val="002852A3"/>
    <w:rsid w:val="0028774A"/>
    <w:rsid w:val="00287DD3"/>
    <w:rsid w:val="00292543"/>
    <w:rsid w:val="00294EAB"/>
    <w:rsid w:val="0029564C"/>
    <w:rsid w:val="00295922"/>
    <w:rsid w:val="002A03DE"/>
    <w:rsid w:val="002A33E6"/>
    <w:rsid w:val="002B22B0"/>
    <w:rsid w:val="002B3077"/>
    <w:rsid w:val="002B61D0"/>
    <w:rsid w:val="002C0220"/>
    <w:rsid w:val="002C0D84"/>
    <w:rsid w:val="002C1AAB"/>
    <w:rsid w:val="002C1DE5"/>
    <w:rsid w:val="002C2154"/>
    <w:rsid w:val="002C5BD5"/>
    <w:rsid w:val="002C6DB6"/>
    <w:rsid w:val="002D1780"/>
    <w:rsid w:val="002D5009"/>
    <w:rsid w:val="002D5661"/>
    <w:rsid w:val="002D5873"/>
    <w:rsid w:val="002D5B70"/>
    <w:rsid w:val="002D7DDC"/>
    <w:rsid w:val="002E421F"/>
    <w:rsid w:val="002E7825"/>
    <w:rsid w:val="002F0AB2"/>
    <w:rsid w:val="002F2DC1"/>
    <w:rsid w:val="002F4928"/>
    <w:rsid w:val="002F73EB"/>
    <w:rsid w:val="002F770D"/>
    <w:rsid w:val="00302243"/>
    <w:rsid w:val="0030538C"/>
    <w:rsid w:val="0030786C"/>
    <w:rsid w:val="003104CB"/>
    <w:rsid w:val="003130E3"/>
    <w:rsid w:val="00313854"/>
    <w:rsid w:val="00320C8C"/>
    <w:rsid w:val="00321CCE"/>
    <w:rsid w:val="00322050"/>
    <w:rsid w:val="00322BEE"/>
    <w:rsid w:val="00322D9A"/>
    <w:rsid w:val="0032546B"/>
    <w:rsid w:val="0032643A"/>
    <w:rsid w:val="00326847"/>
    <w:rsid w:val="00327475"/>
    <w:rsid w:val="0033185D"/>
    <w:rsid w:val="00333980"/>
    <w:rsid w:val="00334BEF"/>
    <w:rsid w:val="00336205"/>
    <w:rsid w:val="00342132"/>
    <w:rsid w:val="00343C38"/>
    <w:rsid w:val="00344105"/>
    <w:rsid w:val="00347190"/>
    <w:rsid w:val="00351BEB"/>
    <w:rsid w:val="0035311C"/>
    <w:rsid w:val="003534D1"/>
    <w:rsid w:val="00353CFE"/>
    <w:rsid w:val="003607DE"/>
    <w:rsid w:val="00360B1B"/>
    <w:rsid w:val="003611B3"/>
    <w:rsid w:val="003664B9"/>
    <w:rsid w:val="00366612"/>
    <w:rsid w:val="003675C4"/>
    <w:rsid w:val="003728A0"/>
    <w:rsid w:val="0037488B"/>
    <w:rsid w:val="00375EEA"/>
    <w:rsid w:val="00381CC6"/>
    <w:rsid w:val="00385312"/>
    <w:rsid w:val="00390A73"/>
    <w:rsid w:val="0039420B"/>
    <w:rsid w:val="003949CF"/>
    <w:rsid w:val="00396CB3"/>
    <w:rsid w:val="0039792A"/>
    <w:rsid w:val="003A1367"/>
    <w:rsid w:val="003A282C"/>
    <w:rsid w:val="003A2ECB"/>
    <w:rsid w:val="003B2149"/>
    <w:rsid w:val="003B3D32"/>
    <w:rsid w:val="003B3E9C"/>
    <w:rsid w:val="003B60F0"/>
    <w:rsid w:val="003B6CC2"/>
    <w:rsid w:val="003C23C7"/>
    <w:rsid w:val="003C27FC"/>
    <w:rsid w:val="003C34C8"/>
    <w:rsid w:val="003C35B1"/>
    <w:rsid w:val="003C3BFB"/>
    <w:rsid w:val="003C7C83"/>
    <w:rsid w:val="003D17F9"/>
    <w:rsid w:val="003D39AC"/>
    <w:rsid w:val="003D47FF"/>
    <w:rsid w:val="003D4A1C"/>
    <w:rsid w:val="003D5CB3"/>
    <w:rsid w:val="003D7290"/>
    <w:rsid w:val="003D7B5C"/>
    <w:rsid w:val="003E0391"/>
    <w:rsid w:val="003E14C0"/>
    <w:rsid w:val="003E15FB"/>
    <w:rsid w:val="003E1D39"/>
    <w:rsid w:val="003E23EA"/>
    <w:rsid w:val="003E33FA"/>
    <w:rsid w:val="003E356B"/>
    <w:rsid w:val="003E395B"/>
    <w:rsid w:val="003E3DC1"/>
    <w:rsid w:val="003F1446"/>
    <w:rsid w:val="00400ECA"/>
    <w:rsid w:val="00402CF2"/>
    <w:rsid w:val="00404063"/>
    <w:rsid w:val="00404990"/>
    <w:rsid w:val="00407EB6"/>
    <w:rsid w:val="00412F7E"/>
    <w:rsid w:val="004137AF"/>
    <w:rsid w:val="00415875"/>
    <w:rsid w:val="004209DA"/>
    <w:rsid w:val="004219E3"/>
    <w:rsid w:val="00421B0F"/>
    <w:rsid w:val="00421CF3"/>
    <w:rsid w:val="00426AB4"/>
    <w:rsid w:val="00426E37"/>
    <w:rsid w:val="00427AA4"/>
    <w:rsid w:val="00427CF2"/>
    <w:rsid w:val="00430CFF"/>
    <w:rsid w:val="00430E4D"/>
    <w:rsid w:val="004338A1"/>
    <w:rsid w:val="00433C78"/>
    <w:rsid w:val="0043443B"/>
    <w:rsid w:val="00436E3B"/>
    <w:rsid w:val="004400B2"/>
    <w:rsid w:val="0044372B"/>
    <w:rsid w:val="00446131"/>
    <w:rsid w:val="00446F49"/>
    <w:rsid w:val="00454309"/>
    <w:rsid w:val="0045528F"/>
    <w:rsid w:val="00455D92"/>
    <w:rsid w:val="00462DC4"/>
    <w:rsid w:val="00464102"/>
    <w:rsid w:val="00466352"/>
    <w:rsid w:val="00467629"/>
    <w:rsid w:val="004676A8"/>
    <w:rsid w:val="0047684D"/>
    <w:rsid w:val="00477390"/>
    <w:rsid w:val="004774E6"/>
    <w:rsid w:val="00482178"/>
    <w:rsid w:val="00486381"/>
    <w:rsid w:val="004867E2"/>
    <w:rsid w:val="00486907"/>
    <w:rsid w:val="004907F6"/>
    <w:rsid w:val="00491908"/>
    <w:rsid w:val="00496ED0"/>
    <w:rsid w:val="004A5D32"/>
    <w:rsid w:val="004A6F83"/>
    <w:rsid w:val="004A7C38"/>
    <w:rsid w:val="004A7DC1"/>
    <w:rsid w:val="004B01C5"/>
    <w:rsid w:val="004B1470"/>
    <w:rsid w:val="004B282E"/>
    <w:rsid w:val="004B3428"/>
    <w:rsid w:val="004B3611"/>
    <w:rsid w:val="004B40FC"/>
    <w:rsid w:val="004B5055"/>
    <w:rsid w:val="004B75BE"/>
    <w:rsid w:val="004B7EB1"/>
    <w:rsid w:val="004C0562"/>
    <w:rsid w:val="004C245A"/>
    <w:rsid w:val="004C2C4B"/>
    <w:rsid w:val="004C3391"/>
    <w:rsid w:val="004C4018"/>
    <w:rsid w:val="004C48BD"/>
    <w:rsid w:val="004D346C"/>
    <w:rsid w:val="004D490A"/>
    <w:rsid w:val="004D53D8"/>
    <w:rsid w:val="004D746D"/>
    <w:rsid w:val="004D765C"/>
    <w:rsid w:val="004E1426"/>
    <w:rsid w:val="004E4240"/>
    <w:rsid w:val="004F1C4F"/>
    <w:rsid w:val="004F3990"/>
    <w:rsid w:val="004F5664"/>
    <w:rsid w:val="004F5709"/>
    <w:rsid w:val="00500B5E"/>
    <w:rsid w:val="00502418"/>
    <w:rsid w:val="005058A4"/>
    <w:rsid w:val="00505A4A"/>
    <w:rsid w:val="00505FDB"/>
    <w:rsid w:val="00506045"/>
    <w:rsid w:val="00506EF0"/>
    <w:rsid w:val="00512D15"/>
    <w:rsid w:val="00513721"/>
    <w:rsid w:val="005143B1"/>
    <w:rsid w:val="005152AB"/>
    <w:rsid w:val="005165D2"/>
    <w:rsid w:val="00516C44"/>
    <w:rsid w:val="00516FE8"/>
    <w:rsid w:val="005170AA"/>
    <w:rsid w:val="00517C4B"/>
    <w:rsid w:val="00521896"/>
    <w:rsid w:val="00525707"/>
    <w:rsid w:val="00525CB7"/>
    <w:rsid w:val="0052697E"/>
    <w:rsid w:val="00527B24"/>
    <w:rsid w:val="00530296"/>
    <w:rsid w:val="00530542"/>
    <w:rsid w:val="00530B88"/>
    <w:rsid w:val="00532BB2"/>
    <w:rsid w:val="005352F5"/>
    <w:rsid w:val="00535E3A"/>
    <w:rsid w:val="0054078C"/>
    <w:rsid w:val="00542047"/>
    <w:rsid w:val="005421B3"/>
    <w:rsid w:val="0054510E"/>
    <w:rsid w:val="0054584A"/>
    <w:rsid w:val="00545E09"/>
    <w:rsid w:val="00546CC3"/>
    <w:rsid w:val="005510FF"/>
    <w:rsid w:val="00551A67"/>
    <w:rsid w:val="0055268B"/>
    <w:rsid w:val="00553985"/>
    <w:rsid w:val="00553B41"/>
    <w:rsid w:val="00555AB3"/>
    <w:rsid w:val="005579CB"/>
    <w:rsid w:val="00563088"/>
    <w:rsid w:val="00567CB6"/>
    <w:rsid w:val="005715C9"/>
    <w:rsid w:val="0057322E"/>
    <w:rsid w:val="00576C53"/>
    <w:rsid w:val="00576FBE"/>
    <w:rsid w:val="00580059"/>
    <w:rsid w:val="00581B14"/>
    <w:rsid w:val="00582201"/>
    <w:rsid w:val="0058252A"/>
    <w:rsid w:val="00583543"/>
    <w:rsid w:val="0058671D"/>
    <w:rsid w:val="00587434"/>
    <w:rsid w:val="00592460"/>
    <w:rsid w:val="0059251C"/>
    <w:rsid w:val="00594AFA"/>
    <w:rsid w:val="005A185D"/>
    <w:rsid w:val="005A3D6B"/>
    <w:rsid w:val="005A62F1"/>
    <w:rsid w:val="005A6CD6"/>
    <w:rsid w:val="005A73F7"/>
    <w:rsid w:val="005A7DAD"/>
    <w:rsid w:val="005B0B42"/>
    <w:rsid w:val="005B256C"/>
    <w:rsid w:val="005B2EA4"/>
    <w:rsid w:val="005B3459"/>
    <w:rsid w:val="005B6901"/>
    <w:rsid w:val="005C0C2D"/>
    <w:rsid w:val="005C3BBA"/>
    <w:rsid w:val="005C40CD"/>
    <w:rsid w:val="005C511A"/>
    <w:rsid w:val="005D525A"/>
    <w:rsid w:val="005E10DE"/>
    <w:rsid w:val="005E2451"/>
    <w:rsid w:val="005E3440"/>
    <w:rsid w:val="005E439F"/>
    <w:rsid w:val="005E63E2"/>
    <w:rsid w:val="005F03A5"/>
    <w:rsid w:val="005F0C08"/>
    <w:rsid w:val="00601087"/>
    <w:rsid w:val="00602259"/>
    <w:rsid w:val="00605555"/>
    <w:rsid w:val="00605B53"/>
    <w:rsid w:val="00605DC6"/>
    <w:rsid w:val="006132C3"/>
    <w:rsid w:val="00614108"/>
    <w:rsid w:val="00617DB7"/>
    <w:rsid w:val="00622C87"/>
    <w:rsid w:val="00623CB1"/>
    <w:rsid w:val="00623D05"/>
    <w:rsid w:val="00630BBE"/>
    <w:rsid w:val="00634FBD"/>
    <w:rsid w:val="00635303"/>
    <w:rsid w:val="006355E8"/>
    <w:rsid w:val="006402E1"/>
    <w:rsid w:val="006411C0"/>
    <w:rsid w:val="00641584"/>
    <w:rsid w:val="00642642"/>
    <w:rsid w:val="0065116F"/>
    <w:rsid w:val="00652858"/>
    <w:rsid w:val="00654D30"/>
    <w:rsid w:val="00654E20"/>
    <w:rsid w:val="00655F65"/>
    <w:rsid w:val="0065670D"/>
    <w:rsid w:val="006605BE"/>
    <w:rsid w:val="00661532"/>
    <w:rsid w:val="00666043"/>
    <w:rsid w:val="006665F0"/>
    <w:rsid w:val="00675A7F"/>
    <w:rsid w:val="006766A0"/>
    <w:rsid w:val="006807E8"/>
    <w:rsid w:val="0068376A"/>
    <w:rsid w:val="00686261"/>
    <w:rsid w:val="006920D2"/>
    <w:rsid w:val="006A1DAD"/>
    <w:rsid w:val="006A211F"/>
    <w:rsid w:val="006A21D7"/>
    <w:rsid w:val="006A3A82"/>
    <w:rsid w:val="006A7725"/>
    <w:rsid w:val="006B36B7"/>
    <w:rsid w:val="006B5BEE"/>
    <w:rsid w:val="006C0BF5"/>
    <w:rsid w:val="006C2558"/>
    <w:rsid w:val="006C3445"/>
    <w:rsid w:val="006C62F4"/>
    <w:rsid w:val="006C7598"/>
    <w:rsid w:val="006C77EF"/>
    <w:rsid w:val="006D20EC"/>
    <w:rsid w:val="006D72B1"/>
    <w:rsid w:val="006E3C4D"/>
    <w:rsid w:val="006E4EA2"/>
    <w:rsid w:val="006E65C8"/>
    <w:rsid w:val="006F0483"/>
    <w:rsid w:val="006F0538"/>
    <w:rsid w:val="006F08E0"/>
    <w:rsid w:val="006F0CC2"/>
    <w:rsid w:val="006F14FC"/>
    <w:rsid w:val="006F1BDA"/>
    <w:rsid w:val="00701CAA"/>
    <w:rsid w:val="00701F0E"/>
    <w:rsid w:val="007023D0"/>
    <w:rsid w:val="007026FD"/>
    <w:rsid w:val="00703698"/>
    <w:rsid w:val="00703DCE"/>
    <w:rsid w:val="007040D8"/>
    <w:rsid w:val="007056A4"/>
    <w:rsid w:val="00705886"/>
    <w:rsid w:val="00706AAA"/>
    <w:rsid w:val="00712E75"/>
    <w:rsid w:val="00713D5F"/>
    <w:rsid w:val="0071543C"/>
    <w:rsid w:val="007155A3"/>
    <w:rsid w:val="0071653A"/>
    <w:rsid w:val="00716B02"/>
    <w:rsid w:val="00716F94"/>
    <w:rsid w:val="00717E52"/>
    <w:rsid w:val="007223EC"/>
    <w:rsid w:val="007246E3"/>
    <w:rsid w:val="0072504B"/>
    <w:rsid w:val="007266EF"/>
    <w:rsid w:val="00727076"/>
    <w:rsid w:val="0073123D"/>
    <w:rsid w:val="00732BC0"/>
    <w:rsid w:val="00734C7A"/>
    <w:rsid w:val="00736E30"/>
    <w:rsid w:val="007379F5"/>
    <w:rsid w:val="00740836"/>
    <w:rsid w:val="00745B9B"/>
    <w:rsid w:val="00750EAA"/>
    <w:rsid w:val="007511DF"/>
    <w:rsid w:val="0075354A"/>
    <w:rsid w:val="007550B8"/>
    <w:rsid w:val="007555B3"/>
    <w:rsid w:val="0075595B"/>
    <w:rsid w:val="00757760"/>
    <w:rsid w:val="007605F2"/>
    <w:rsid w:val="00760AB1"/>
    <w:rsid w:val="00761C5A"/>
    <w:rsid w:val="00763E2D"/>
    <w:rsid w:val="00765172"/>
    <w:rsid w:val="00765280"/>
    <w:rsid w:val="00765EB3"/>
    <w:rsid w:val="007670B4"/>
    <w:rsid w:val="0077208D"/>
    <w:rsid w:val="00773AFE"/>
    <w:rsid w:val="0077453D"/>
    <w:rsid w:val="00774AB3"/>
    <w:rsid w:val="00775864"/>
    <w:rsid w:val="00776966"/>
    <w:rsid w:val="0078120F"/>
    <w:rsid w:val="00781858"/>
    <w:rsid w:val="007871AA"/>
    <w:rsid w:val="007A7375"/>
    <w:rsid w:val="007A7F88"/>
    <w:rsid w:val="007B0558"/>
    <w:rsid w:val="007B2D49"/>
    <w:rsid w:val="007B5008"/>
    <w:rsid w:val="007C0730"/>
    <w:rsid w:val="007C1C2E"/>
    <w:rsid w:val="007C294C"/>
    <w:rsid w:val="007C4F5B"/>
    <w:rsid w:val="007C580C"/>
    <w:rsid w:val="007D1436"/>
    <w:rsid w:val="007D3887"/>
    <w:rsid w:val="007D4987"/>
    <w:rsid w:val="007D5376"/>
    <w:rsid w:val="007D6CF9"/>
    <w:rsid w:val="007E6C60"/>
    <w:rsid w:val="007F2293"/>
    <w:rsid w:val="007F3D2B"/>
    <w:rsid w:val="007F52E8"/>
    <w:rsid w:val="00803D8A"/>
    <w:rsid w:val="00806668"/>
    <w:rsid w:val="00807BD9"/>
    <w:rsid w:val="00814994"/>
    <w:rsid w:val="0081542C"/>
    <w:rsid w:val="00820A15"/>
    <w:rsid w:val="00821921"/>
    <w:rsid w:val="008223BA"/>
    <w:rsid w:val="00822C28"/>
    <w:rsid w:val="008238E8"/>
    <w:rsid w:val="00823CC6"/>
    <w:rsid w:val="008264EB"/>
    <w:rsid w:val="00831038"/>
    <w:rsid w:val="008315FF"/>
    <w:rsid w:val="0083242B"/>
    <w:rsid w:val="00833F48"/>
    <w:rsid w:val="00834AFC"/>
    <w:rsid w:val="008357C7"/>
    <w:rsid w:val="0083618F"/>
    <w:rsid w:val="00836AE9"/>
    <w:rsid w:val="00840412"/>
    <w:rsid w:val="00841214"/>
    <w:rsid w:val="008419F6"/>
    <w:rsid w:val="00841F0E"/>
    <w:rsid w:val="0084260F"/>
    <w:rsid w:val="0084640F"/>
    <w:rsid w:val="008575AA"/>
    <w:rsid w:val="00857680"/>
    <w:rsid w:val="008606EE"/>
    <w:rsid w:val="008610F2"/>
    <w:rsid w:val="00861EAB"/>
    <w:rsid w:val="008636AE"/>
    <w:rsid w:val="008648F0"/>
    <w:rsid w:val="00864974"/>
    <w:rsid w:val="00864A37"/>
    <w:rsid w:val="00864D08"/>
    <w:rsid w:val="0086693A"/>
    <w:rsid w:val="008703D2"/>
    <w:rsid w:val="0087154C"/>
    <w:rsid w:val="008723AD"/>
    <w:rsid w:val="008743AA"/>
    <w:rsid w:val="00875608"/>
    <w:rsid w:val="00876B96"/>
    <w:rsid w:val="00877475"/>
    <w:rsid w:val="00883AC2"/>
    <w:rsid w:val="008846FE"/>
    <w:rsid w:val="008853F8"/>
    <w:rsid w:val="00886382"/>
    <w:rsid w:val="00887184"/>
    <w:rsid w:val="008878FF"/>
    <w:rsid w:val="00890030"/>
    <w:rsid w:val="00891C88"/>
    <w:rsid w:val="00893BFD"/>
    <w:rsid w:val="0089471F"/>
    <w:rsid w:val="00894A99"/>
    <w:rsid w:val="00894E1A"/>
    <w:rsid w:val="00896807"/>
    <w:rsid w:val="008A0E69"/>
    <w:rsid w:val="008A1328"/>
    <w:rsid w:val="008A147F"/>
    <w:rsid w:val="008A2517"/>
    <w:rsid w:val="008A3320"/>
    <w:rsid w:val="008A4CD0"/>
    <w:rsid w:val="008A4D92"/>
    <w:rsid w:val="008A68E1"/>
    <w:rsid w:val="008A7AFC"/>
    <w:rsid w:val="008B21EC"/>
    <w:rsid w:val="008B2941"/>
    <w:rsid w:val="008B4AFD"/>
    <w:rsid w:val="008B7731"/>
    <w:rsid w:val="008C1898"/>
    <w:rsid w:val="008C434F"/>
    <w:rsid w:val="008C44C2"/>
    <w:rsid w:val="008C5C03"/>
    <w:rsid w:val="008C7CCA"/>
    <w:rsid w:val="008D01B1"/>
    <w:rsid w:val="008D3F4E"/>
    <w:rsid w:val="008E5D16"/>
    <w:rsid w:val="008F7FCA"/>
    <w:rsid w:val="0090343E"/>
    <w:rsid w:val="00904475"/>
    <w:rsid w:val="0090535D"/>
    <w:rsid w:val="00905389"/>
    <w:rsid w:val="009079AE"/>
    <w:rsid w:val="0091166F"/>
    <w:rsid w:val="009122B8"/>
    <w:rsid w:val="009153AE"/>
    <w:rsid w:val="00921459"/>
    <w:rsid w:val="009236BB"/>
    <w:rsid w:val="00926274"/>
    <w:rsid w:val="0092761C"/>
    <w:rsid w:val="00930E5A"/>
    <w:rsid w:val="00931DDC"/>
    <w:rsid w:val="00934264"/>
    <w:rsid w:val="00940597"/>
    <w:rsid w:val="00941514"/>
    <w:rsid w:val="009438EF"/>
    <w:rsid w:val="00944CC4"/>
    <w:rsid w:val="00944F48"/>
    <w:rsid w:val="00946524"/>
    <w:rsid w:val="00952702"/>
    <w:rsid w:val="00953CA5"/>
    <w:rsid w:val="00953DCD"/>
    <w:rsid w:val="00957E1F"/>
    <w:rsid w:val="00962DAA"/>
    <w:rsid w:val="009733E6"/>
    <w:rsid w:val="00974134"/>
    <w:rsid w:val="0097420C"/>
    <w:rsid w:val="00975130"/>
    <w:rsid w:val="00975D2F"/>
    <w:rsid w:val="00975EF6"/>
    <w:rsid w:val="009810C8"/>
    <w:rsid w:val="00981B3E"/>
    <w:rsid w:val="00982989"/>
    <w:rsid w:val="00983E88"/>
    <w:rsid w:val="009870E7"/>
    <w:rsid w:val="00987D49"/>
    <w:rsid w:val="0099153C"/>
    <w:rsid w:val="0099276C"/>
    <w:rsid w:val="00993EED"/>
    <w:rsid w:val="0099677D"/>
    <w:rsid w:val="00997C30"/>
    <w:rsid w:val="009A19B2"/>
    <w:rsid w:val="009A3289"/>
    <w:rsid w:val="009A502C"/>
    <w:rsid w:val="009A73AD"/>
    <w:rsid w:val="009B2F63"/>
    <w:rsid w:val="009B380C"/>
    <w:rsid w:val="009B4001"/>
    <w:rsid w:val="009B4BF8"/>
    <w:rsid w:val="009C04BA"/>
    <w:rsid w:val="009C5487"/>
    <w:rsid w:val="009D06FD"/>
    <w:rsid w:val="009D554A"/>
    <w:rsid w:val="009E606F"/>
    <w:rsid w:val="009E6A0D"/>
    <w:rsid w:val="009E6BCB"/>
    <w:rsid w:val="009F1E71"/>
    <w:rsid w:val="009F2136"/>
    <w:rsid w:val="009F255C"/>
    <w:rsid w:val="009F4DED"/>
    <w:rsid w:val="00A000C4"/>
    <w:rsid w:val="00A00387"/>
    <w:rsid w:val="00A00507"/>
    <w:rsid w:val="00A00C11"/>
    <w:rsid w:val="00A01773"/>
    <w:rsid w:val="00A01FC1"/>
    <w:rsid w:val="00A038E5"/>
    <w:rsid w:val="00A0446A"/>
    <w:rsid w:val="00A0519C"/>
    <w:rsid w:val="00A051FE"/>
    <w:rsid w:val="00A071AA"/>
    <w:rsid w:val="00A07249"/>
    <w:rsid w:val="00A078E1"/>
    <w:rsid w:val="00A16958"/>
    <w:rsid w:val="00A17102"/>
    <w:rsid w:val="00A20064"/>
    <w:rsid w:val="00A2049F"/>
    <w:rsid w:val="00A20672"/>
    <w:rsid w:val="00A244D8"/>
    <w:rsid w:val="00A253B0"/>
    <w:rsid w:val="00A27655"/>
    <w:rsid w:val="00A30C55"/>
    <w:rsid w:val="00A319EC"/>
    <w:rsid w:val="00A35190"/>
    <w:rsid w:val="00A35BBA"/>
    <w:rsid w:val="00A36AC2"/>
    <w:rsid w:val="00A40D18"/>
    <w:rsid w:val="00A447E1"/>
    <w:rsid w:val="00A4512D"/>
    <w:rsid w:val="00A51A29"/>
    <w:rsid w:val="00A55524"/>
    <w:rsid w:val="00A57EE5"/>
    <w:rsid w:val="00A60E6D"/>
    <w:rsid w:val="00A63FD1"/>
    <w:rsid w:val="00A64907"/>
    <w:rsid w:val="00A66A43"/>
    <w:rsid w:val="00A705AF"/>
    <w:rsid w:val="00A747A8"/>
    <w:rsid w:val="00A74847"/>
    <w:rsid w:val="00A8080F"/>
    <w:rsid w:val="00A814A0"/>
    <w:rsid w:val="00A85A30"/>
    <w:rsid w:val="00A861C6"/>
    <w:rsid w:val="00A86479"/>
    <w:rsid w:val="00A87200"/>
    <w:rsid w:val="00A8728E"/>
    <w:rsid w:val="00A87666"/>
    <w:rsid w:val="00A87AA8"/>
    <w:rsid w:val="00A91A6C"/>
    <w:rsid w:val="00A93333"/>
    <w:rsid w:val="00A934BE"/>
    <w:rsid w:val="00A9463B"/>
    <w:rsid w:val="00A96C12"/>
    <w:rsid w:val="00AA29BA"/>
    <w:rsid w:val="00AA44FB"/>
    <w:rsid w:val="00AA5DC6"/>
    <w:rsid w:val="00AA759B"/>
    <w:rsid w:val="00AB47A4"/>
    <w:rsid w:val="00AB786F"/>
    <w:rsid w:val="00AC166F"/>
    <w:rsid w:val="00AC36C9"/>
    <w:rsid w:val="00AD0D9F"/>
    <w:rsid w:val="00AD11E8"/>
    <w:rsid w:val="00AD2D5C"/>
    <w:rsid w:val="00AD48FB"/>
    <w:rsid w:val="00AD4926"/>
    <w:rsid w:val="00AE1038"/>
    <w:rsid w:val="00AE1B51"/>
    <w:rsid w:val="00AE6FEA"/>
    <w:rsid w:val="00AE718B"/>
    <w:rsid w:val="00AE7B0F"/>
    <w:rsid w:val="00AF0690"/>
    <w:rsid w:val="00AF1197"/>
    <w:rsid w:val="00AF672C"/>
    <w:rsid w:val="00AF68EE"/>
    <w:rsid w:val="00B0151C"/>
    <w:rsid w:val="00B03D6D"/>
    <w:rsid w:val="00B11FD4"/>
    <w:rsid w:val="00B22323"/>
    <w:rsid w:val="00B25386"/>
    <w:rsid w:val="00B2560F"/>
    <w:rsid w:val="00B263AA"/>
    <w:rsid w:val="00B27BE3"/>
    <w:rsid w:val="00B30A3C"/>
    <w:rsid w:val="00B339F9"/>
    <w:rsid w:val="00B34333"/>
    <w:rsid w:val="00B34E97"/>
    <w:rsid w:val="00B4224A"/>
    <w:rsid w:val="00B42851"/>
    <w:rsid w:val="00B44B80"/>
    <w:rsid w:val="00B51971"/>
    <w:rsid w:val="00B52872"/>
    <w:rsid w:val="00B53A29"/>
    <w:rsid w:val="00B53D29"/>
    <w:rsid w:val="00B54480"/>
    <w:rsid w:val="00B622E7"/>
    <w:rsid w:val="00B6284F"/>
    <w:rsid w:val="00B63469"/>
    <w:rsid w:val="00B6572A"/>
    <w:rsid w:val="00B7029D"/>
    <w:rsid w:val="00B7165F"/>
    <w:rsid w:val="00B71F6D"/>
    <w:rsid w:val="00B71FFA"/>
    <w:rsid w:val="00B720B1"/>
    <w:rsid w:val="00B75B27"/>
    <w:rsid w:val="00B75EFF"/>
    <w:rsid w:val="00B809D3"/>
    <w:rsid w:val="00B833F8"/>
    <w:rsid w:val="00B85188"/>
    <w:rsid w:val="00B85339"/>
    <w:rsid w:val="00B9092F"/>
    <w:rsid w:val="00B966E7"/>
    <w:rsid w:val="00B96A3F"/>
    <w:rsid w:val="00BA1439"/>
    <w:rsid w:val="00BA15E4"/>
    <w:rsid w:val="00BA1DA7"/>
    <w:rsid w:val="00BA361D"/>
    <w:rsid w:val="00BA4B48"/>
    <w:rsid w:val="00BA5422"/>
    <w:rsid w:val="00BA5BC2"/>
    <w:rsid w:val="00BB1BFE"/>
    <w:rsid w:val="00BB2672"/>
    <w:rsid w:val="00BB3F03"/>
    <w:rsid w:val="00BB5596"/>
    <w:rsid w:val="00BB6085"/>
    <w:rsid w:val="00BB6889"/>
    <w:rsid w:val="00BC2234"/>
    <w:rsid w:val="00BC262C"/>
    <w:rsid w:val="00BC3518"/>
    <w:rsid w:val="00BD717E"/>
    <w:rsid w:val="00BE236F"/>
    <w:rsid w:val="00BE23EF"/>
    <w:rsid w:val="00BE25E8"/>
    <w:rsid w:val="00BF1434"/>
    <w:rsid w:val="00BF2E60"/>
    <w:rsid w:val="00BF374D"/>
    <w:rsid w:val="00BF6C1A"/>
    <w:rsid w:val="00C07372"/>
    <w:rsid w:val="00C07EF5"/>
    <w:rsid w:val="00C11A80"/>
    <w:rsid w:val="00C14599"/>
    <w:rsid w:val="00C17EEE"/>
    <w:rsid w:val="00C24681"/>
    <w:rsid w:val="00C258BF"/>
    <w:rsid w:val="00C2590A"/>
    <w:rsid w:val="00C26E87"/>
    <w:rsid w:val="00C320FB"/>
    <w:rsid w:val="00C37E21"/>
    <w:rsid w:val="00C41382"/>
    <w:rsid w:val="00C42A80"/>
    <w:rsid w:val="00C43854"/>
    <w:rsid w:val="00C4402E"/>
    <w:rsid w:val="00C520A2"/>
    <w:rsid w:val="00C52EE8"/>
    <w:rsid w:val="00C5386F"/>
    <w:rsid w:val="00C53A1B"/>
    <w:rsid w:val="00C56D83"/>
    <w:rsid w:val="00C57031"/>
    <w:rsid w:val="00C5728C"/>
    <w:rsid w:val="00C636AD"/>
    <w:rsid w:val="00C66631"/>
    <w:rsid w:val="00C67D1A"/>
    <w:rsid w:val="00C70B4B"/>
    <w:rsid w:val="00C715DE"/>
    <w:rsid w:val="00C74994"/>
    <w:rsid w:val="00C7627F"/>
    <w:rsid w:val="00C76BA7"/>
    <w:rsid w:val="00C84053"/>
    <w:rsid w:val="00C94F3E"/>
    <w:rsid w:val="00C9653E"/>
    <w:rsid w:val="00C96E67"/>
    <w:rsid w:val="00CA138D"/>
    <w:rsid w:val="00CA55CE"/>
    <w:rsid w:val="00CB04C4"/>
    <w:rsid w:val="00CB12AA"/>
    <w:rsid w:val="00CB2429"/>
    <w:rsid w:val="00CB31E5"/>
    <w:rsid w:val="00CB4D4E"/>
    <w:rsid w:val="00CB5B1A"/>
    <w:rsid w:val="00CB62E8"/>
    <w:rsid w:val="00CC1282"/>
    <w:rsid w:val="00CC3237"/>
    <w:rsid w:val="00CC384B"/>
    <w:rsid w:val="00CC3F71"/>
    <w:rsid w:val="00CC48A8"/>
    <w:rsid w:val="00CC5550"/>
    <w:rsid w:val="00CD1E1B"/>
    <w:rsid w:val="00CD2088"/>
    <w:rsid w:val="00CD3573"/>
    <w:rsid w:val="00CD3FE1"/>
    <w:rsid w:val="00CD4FA7"/>
    <w:rsid w:val="00CD512B"/>
    <w:rsid w:val="00CD74AE"/>
    <w:rsid w:val="00CD758F"/>
    <w:rsid w:val="00CE0A27"/>
    <w:rsid w:val="00CE25D8"/>
    <w:rsid w:val="00CE393C"/>
    <w:rsid w:val="00CE43A6"/>
    <w:rsid w:val="00CE5A23"/>
    <w:rsid w:val="00CE613C"/>
    <w:rsid w:val="00CE7AE8"/>
    <w:rsid w:val="00CE7B0D"/>
    <w:rsid w:val="00CF286F"/>
    <w:rsid w:val="00D0005A"/>
    <w:rsid w:val="00D00872"/>
    <w:rsid w:val="00D00BE9"/>
    <w:rsid w:val="00D00D18"/>
    <w:rsid w:val="00D017F2"/>
    <w:rsid w:val="00D01A61"/>
    <w:rsid w:val="00D01C0D"/>
    <w:rsid w:val="00D03FA6"/>
    <w:rsid w:val="00D05A5A"/>
    <w:rsid w:val="00D06C53"/>
    <w:rsid w:val="00D06E9C"/>
    <w:rsid w:val="00D079B1"/>
    <w:rsid w:val="00D157BF"/>
    <w:rsid w:val="00D16A2A"/>
    <w:rsid w:val="00D17583"/>
    <w:rsid w:val="00D17C48"/>
    <w:rsid w:val="00D20CD3"/>
    <w:rsid w:val="00D21BC6"/>
    <w:rsid w:val="00D22F1D"/>
    <w:rsid w:val="00D258C7"/>
    <w:rsid w:val="00D317D1"/>
    <w:rsid w:val="00D318CC"/>
    <w:rsid w:val="00D335B7"/>
    <w:rsid w:val="00D344BC"/>
    <w:rsid w:val="00D37110"/>
    <w:rsid w:val="00D43544"/>
    <w:rsid w:val="00D439B1"/>
    <w:rsid w:val="00D441F0"/>
    <w:rsid w:val="00D44739"/>
    <w:rsid w:val="00D4647E"/>
    <w:rsid w:val="00D47EB8"/>
    <w:rsid w:val="00D51B96"/>
    <w:rsid w:val="00D56D28"/>
    <w:rsid w:val="00D57846"/>
    <w:rsid w:val="00D60799"/>
    <w:rsid w:val="00D61DA7"/>
    <w:rsid w:val="00D623D2"/>
    <w:rsid w:val="00D6339D"/>
    <w:rsid w:val="00D65E51"/>
    <w:rsid w:val="00D71DAB"/>
    <w:rsid w:val="00D74060"/>
    <w:rsid w:val="00D74B13"/>
    <w:rsid w:val="00D75329"/>
    <w:rsid w:val="00D75645"/>
    <w:rsid w:val="00D768C0"/>
    <w:rsid w:val="00D801A8"/>
    <w:rsid w:val="00D82482"/>
    <w:rsid w:val="00D86D3D"/>
    <w:rsid w:val="00D875D1"/>
    <w:rsid w:val="00D8796A"/>
    <w:rsid w:val="00D931F8"/>
    <w:rsid w:val="00D93729"/>
    <w:rsid w:val="00D93F50"/>
    <w:rsid w:val="00D95D61"/>
    <w:rsid w:val="00DA0D07"/>
    <w:rsid w:val="00DA3D1E"/>
    <w:rsid w:val="00DA40B5"/>
    <w:rsid w:val="00DB0095"/>
    <w:rsid w:val="00DB147E"/>
    <w:rsid w:val="00DB3C9C"/>
    <w:rsid w:val="00DB76B2"/>
    <w:rsid w:val="00DC0EC5"/>
    <w:rsid w:val="00DC5521"/>
    <w:rsid w:val="00DC771A"/>
    <w:rsid w:val="00DC796C"/>
    <w:rsid w:val="00DD2307"/>
    <w:rsid w:val="00DE194E"/>
    <w:rsid w:val="00DE1D1E"/>
    <w:rsid w:val="00DE3640"/>
    <w:rsid w:val="00DE4A12"/>
    <w:rsid w:val="00DE4E5E"/>
    <w:rsid w:val="00DF1818"/>
    <w:rsid w:val="00DF21B1"/>
    <w:rsid w:val="00DF2756"/>
    <w:rsid w:val="00DF5150"/>
    <w:rsid w:val="00DF5BA5"/>
    <w:rsid w:val="00DF6977"/>
    <w:rsid w:val="00E01BF8"/>
    <w:rsid w:val="00E02F8C"/>
    <w:rsid w:val="00E02FF7"/>
    <w:rsid w:val="00E03720"/>
    <w:rsid w:val="00E04A87"/>
    <w:rsid w:val="00E05FE5"/>
    <w:rsid w:val="00E06BD3"/>
    <w:rsid w:val="00E12A0E"/>
    <w:rsid w:val="00E24685"/>
    <w:rsid w:val="00E252F9"/>
    <w:rsid w:val="00E26C54"/>
    <w:rsid w:val="00E27D84"/>
    <w:rsid w:val="00E326FB"/>
    <w:rsid w:val="00E338CC"/>
    <w:rsid w:val="00E35968"/>
    <w:rsid w:val="00E35C93"/>
    <w:rsid w:val="00E367C8"/>
    <w:rsid w:val="00E37518"/>
    <w:rsid w:val="00E375D8"/>
    <w:rsid w:val="00E43E6B"/>
    <w:rsid w:val="00E45587"/>
    <w:rsid w:val="00E47DFF"/>
    <w:rsid w:val="00E562F9"/>
    <w:rsid w:val="00E60E38"/>
    <w:rsid w:val="00E61794"/>
    <w:rsid w:val="00E63E50"/>
    <w:rsid w:val="00E644D8"/>
    <w:rsid w:val="00E65D8B"/>
    <w:rsid w:val="00E67AEE"/>
    <w:rsid w:val="00E739FC"/>
    <w:rsid w:val="00E77872"/>
    <w:rsid w:val="00E80978"/>
    <w:rsid w:val="00E84916"/>
    <w:rsid w:val="00E86B93"/>
    <w:rsid w:val="00E91303"/>
    <w:rsid w:val="00E913BC"/>
    <w:rsid w:val="00E9718A"/>
    <w:rsid w:val="00EA5366"/>
    <w:rsid w:val="00EA63B1"/>
    <w:rsid w:val="00EA75C9"/>
    <w:rsid w:val="00EB40DD"/>
    <w:rsid w:val="00EB4A15"/>
    <w:rsid w:val="00EB689A"/>
    <w:rsid w:val="00EC11D5"/>
    <w:rsid w:val="00EC37ED"/>
    <w:rsid w:val="00EC4BC8"/>
    <w:rsid w:val="00EC7779"/>
    <w:rsid w:val="00EC7FFB"/>
    <w:rsid w:val="00ED215F"/>
    <w:rsid w:val="00ED4315"/>
    <w:rsid w:val="00ED56C9"/>
    <w:rsid w:val="00ED6319"/>
    <w:rsid w:val="00EE1092"/>
    <w:rsid w:val="00EE28EA"/>
    <w:rsid w:val="00EE7347"/>
    <w:rsid w:val="00EF1B2D"/>
    <w:rsid w:val="00EF2C81"/>
    <w:rsid w:val="00EF2EF7"/>
    <w:rsid w:val="00EF5DBE"/>
    <w:rsid w:val="00F037B7"/>
    <w:rsid w:val="00F039E5"/>
    <w:rsid w:val="00F07652"/>
    <w:rsid w:val="00F07C2E"/>
    <w:rsid w:val="00F10D3D"/>
    <w:rsid w:val="00F11197"/>
    <w:rsid w:val="00F11290"/>
    <w:rsid w:val="00F17093"/>
    <w:rsid w:val="00F20792"/>
    <w:rsid w:val="00F20820"/>
    <w:rsid w:val="00F22ED5"/>
    <w:rsid w:val="00F34DE4"/>
    <w:rsid w:val="00F35007"/>
    <w:rsid w:val="00F40B9D"/>
    <w:rsid w:val="00F416C9"/>
    <w:rsid w:val="00F46E9D"/>
    <w:rsid w:val="00F46EE4"/>
    <w:rsid w:val="00F47362"/>
    <w:rsid w:val="00F50B7C"/>
    <w:rsid w:val="00F55434"/>
    <w:rsid w:val="00F566BF"/>
    <w:rsid w:val="00F603CF"/>
    <w:rsid w:val="00F62EF2"/>
    <w:rsid w:val="00F64CF5"/>
    <w:rsid w:val="00F65239"/>
    <w:rsid w:val="00F65EBF"/>
    <w:rsid w:val="00F700D4"/>
    <w:rsid w:val="00F716F9"/>
    <w:rsid w:val="00F7177B"/>
    <w:rsid w:val="00F71BC6"/>
    <w:rsid w:val="00F73164"/>
    <w:rsid w:val="00F7483A"/>
    <w:rsid w:val="00F77F70"/>
    <w:rsid w:val="00F81EF8"/>
    <w:rsid w:val="00F85520"/>
    <w:rsid w:val="00F85BCD"/>
    <w:rsid w:val="00F8710E"/>
    <w:rsid w:val="00F91A8B"/>
    <w:rsid w:val="00F93E66"/>
    <w:rsid w:val="00F974DC"/>
    <w:rsid w:val="00FA04A1"/>
    <w:rsid w:val="00FA0634"/>
    <w:rsid w:val="00FA0774"/>
    <w:rsid w:val="00FA3EA0"/>
    <w:rsid w:val="00FA49E2"/>
    <w:rsid w:val="00FB3D84"/>
    <w:rsid w:val="00FC155F"/>
    <w:rsid w:val="00FC1B90"/>
    <w:rsid w:val="00FC2252"/>
    <w:rsid w:val="00FC5C17"/>
    <w:rsid w:val="00FC665A"/>
    <w:rsid w:val="00FC78E0"/>
    <w:rsid w:val="00FC7BD7"/>
    <w:rsid w:val="00FD02F9"/>
    <w:rsid w:val="00FD09F3"/>
    <w:rsid w:val="00FD2937"/>
    <w:rsid w:val="00FD4C35"/>
    <w:rsid w:val="00FD5F73"/>
    <w:rsid w:val="00FE0B3B"/>
    <w:rsid w:val="00FE0F08"/>
    <w:rsid w:val="00FE1470"/>
    <w:rsid w:val="00FE1DA0"/>
    <w:rsid w:val="00FE7FED"/>
    <w:rsid w:val="00FF2619"/>
    <w:rsid w:val="00FF343A"/>
    <w:rsid w:val="00FF35A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1F"/>
    <w:rPr>
      <w:rFonts w:ascii="Arial" w:hAnsi="Arial"/>
      <w:sz w:val="22"/>
      <w:szCs w:val="24"/>
      <w:lang w:eastAsia="en-US"/>
    </w:rPr>
  </w:style>
  <w:style w:type="paragraph" w:styleId="Heading1">
    <w:name w:val="heading 1"/>
    <w:basedOn w:val="Normal"/>
    <w:next w:val="Normal"/>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link w:val="Heading4Char"/>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E48312"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E48312"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E48312" w:themeColor="accent1"/>
      </w:pBdr>
      <w:spacing w:before="200" w:after="280"/>
      <w:ind w:left="936" w:right="936"/>
    </w:pPr>
    <w:rPr>
      <w:b/>
      <w:bCs/>
      <w:i/>
      <w:iCs/>
      <w:color w:val="E48312" w:themeColor="accent1"/>
    </w:rPr>
  </w:style>
  <w:style w:type="character" w:customStyle="1" w:styleId="IntenseQuoteChar">
    <w:name w:val="Intense Quote Char"/>
    <w:basedOn w:val="DefaultParagraphFont"/>
    <w:link w:val="IntenseQuote"/>
    <w:uiPriority w:val="30"/>
    <w:rsid w:val="00A4512D"/>
    <w:rPr>
      <w:b/>
      <w:bCs/>
      <w:i/>
      <w:iCs/>
      <w:color w:val="E48312" w:themeColor="accent1"/>
      <w:sz w:val="24"/>
      <w:szCs w:val="24"/>
      <w:lang w:eastAsia="en-US"/>
    </w:rPr>
  </w:style>
  <w:style w:type="character" w:styleId="SubtleReference">
    <w:name w:val="Subtle Reference"/>
    <w:basedOn w:val="DefaultParagraphFont"/>
    <w:uiPriority w:val="31"/>
    <w:qFormat/>
    <w:rsid w:val="00A4512D"/>
    <w:rPr>
      <w:smallCaps/>
      <w:color w:val="BD582C" w:themeColor="accent2"/>
      <w:u w:val="single"/>
    </w:rPr>
  </w:style>
  <w:style w:type="character" w:styleId="IntenseReference">
    <w:name w:val="Intense Reference"/>
    <w:basedOn w:val="DefaultParagraphFont"/>
    <w:uiPriority w:val="32"/>
    <w:qFormat/>
    <w:rsid w:val="00A4512D"/>
    <w:rPr>
      <w:b/>
      <w:bCs/>
      <w:i/>
      <w:smallCaps/>
      <w:color w:val="BD582C"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8723AD"/>
    <w:rPr>
      <w:rFonts w:ascii="Tahoma" w:hAnsi="Tahoma" w:cs="Tahoma"/>
      <w:sz w:val="16"/>
      <w:szCs w:val="16"/>
    </w:rPr>
  </w:style>
  <w:style w:type="character" w:customStyle="1" w:styleId="BalloonTextChar">
    <w:name w:val="Balloon Text Char"/>
    <w:basedOn w:val="DefaultParagraphFont"/>
    <w:link w:val="BalloonText"/>
    <w:rsid w:val="008723AD"/>
    <w:rPr>
      <w:rFonts w:ascii="Tahoma" w:hAnsi="Tahoma" w:cs="Tahoma"/>
      <w:sz w:val="16"/>
      <w:szCs w:val="16"/>
      <w:lang w:eastAsia="en-US"/>
    </w:rPr>
  </w:style>
  <w:style w:type="paragraph" w:styleId="Header">
    <w:name w:val="header"/>
    <w:basedOn w:val="Normal"/>
    <w:link w:val="HeaderChar"/>
    <w:rsid w:val="00E913BC"/>
    <w:pPr>
      <w:tabs>
        <w:tab w:val="center" w:pos="4513"/>
        <w:tab w:val="right" w:pos="9026"/>
      </w:tabs>
    </w:pPr>
  </w:style>
  <w:style w:type="character" w:customStyle="1" w:styleId="HeaderChar">
    <w:name w:val="Header Char"/>
    <w:basedOn w:val="DefaultParagraphFont"/>
    <w:link w:val="Header"/>
    <w:rsid w:val="00E913BC"/>
    <w:rPr>
      <w:sz w:val="24"/>
      <w:szCs w:val="24"/>
      <w:lang w:eastAsia="en-US"/>
    </w:rPr>
  </w:style>
  <w:style w:type="paragraph" w:styleId="Footer">
    <w:name w:val="footer"/>
    <w:basedOn w:val="Normal"/>
    <w:link w:val="FooterChar"/>
    <w:uiPriority w:val="99"/>
    <w:rsid w:val="00E913BC"/>
    <w:pPr>
      <w:tabs>
        <w:tab w:val="center" w:pos="4513"/>
        <w:tab w:val="right" w:pos="9026"/>
      </w:tabs>
    </w:pPr>
  </w:style>
  <w:style w:type="character" w:customStyle="1" w:styleId="FooterChar">
    <w:name w:val="Footer Char"/>
    <w:basedOn w:val="DefaultParagraphFont"/>
    <w:link w:val="Footer"/>
    <w:uiPriority w:val="99"/>
    <w:rsid w:val="00E913BC"/>
    <w:rPr>
      <w:sz w:val="24"/>
      <w:szCs w:val="24"/>
      <w:lang w:eastAsia="en-US"/>
    </w:rPr>
  </w:style>
  <w:style w:type="table" w:styleId="TableGrid">
    <w:name w:val="Table Grid"/>
    <w:basedOn w:val="TableNormal"/>
    <w:uiPriority w:val="59"/>
    <w:rsid w:val="006A21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5">
    <w:name w:val="msobodytext5"/>
    <w:rsid w:val="006A211F"/>
    <w:pPr>
      <w:spacing w:line="309" w:lineRule="auto"/>
    </w:pPr>
    <w:rPr>
      <w:rFonts w:ascii="Script MT Bold" w:hAnsi="Script MT Bold"/>
      <w:b/>
      <w:bCs/>
      <w:color w:val="000000"/>
      <w:kern w:val="28"/>
      <w:sz w:val="24"/>
      <w:szCs w:val="24"/>
      <w14:ligatures w14:val="standard"/>
      <w14:cntxtAlts/>
    </w:rPr>
  </w:style>
  <w:style w:type="character" w:styleId="CommentReference">
    <w:name w:val="annotation reference"/>
    <w:basedOn w:val="DefaultParagraphFont"/>
    <w:rsid w:val="00F20792"/>
    <w:rPr>
      <w:sz w:val="16"/>
      <w:szCs w:val="16"/>
    </w:rPr>
  </w:style>
  <w:style w:type="paragraph" w:styleId="CommentText">
    <w:name w:val="annotation text"/>
    <w:basedOn w:val="Normal"/>
    <w:link w:val="CommentTextChar"/>
    <w:rsid w:val="00F20792"/>
    <w:rPr>
      <w:sz w:val="20"/>
      <w:szCs w:val="20"/>
    </w:rPr>
  </w:style>
  <w:style w:type="character" w:customStyle="1" w:styleId="CommentTextChar">
    <w:name w:val="Comment Text Char"/>
    <w:basedOn w:val="DefaultParagraphFont"/>
    <w:link w:val="CommentText"/>
    <w:rsid w:val="00F20792"/>
    <w:rPr>
      <w:lang w:eastAsia="en-US"/>
    </w:rPr>
  </w:style>
  <w:style w:type="paragraph" w:styleId="CommentSubject">
    <w:name w:val="annotation subject"/>
    <w:basedOn w:val="CommentText"/>
    <w:next w:val="CommentText"/>
    <w:link w:val="CommentSubjectChar"/>
    <w:rsid w:val="00F20792"/>
    <w:rPr>
      <w:b/>
      <w:bCs/>
    </w:rPr>
  </w:style>
  <w:style w:type="character" w:customStyle="1" w:styleId="CommentSubjectChar">
    <w:name w:val="Comment Subject Char"/>
    <w:basedOn w:val="CommentTextChar"/>
    <w:link w:val="CommentSubject"/>
    <w:rsid w:val="00F20792"/>
    <w:rPr>
      <w:b/>
      <w:bCs/>
      <w:lang w:eastAsia="en-US"/>
    </w:rPr>
  </w:style>
  <w:style w:type="paragraph" w:styleId="Caption">
    <w:name w:val="caption"/>
    <w:basedOn w:val="Normal"/>
    <w:next w:val="Normal"/>
    <w:unhideWhenUsed/>
    <w:qFormat/>
    <w:rsid w:val="004B01C5"/>
    <w:pPr>
      <w:spacing w:after="200"/>
    </w:pPr>
    <w:rPr>
      <w:i/>
      <w:iCs/>
      <w:color w:val="637052" w:themeColor="text2"/>
      <w:sz w:val="18"/>
      <w:szCs w:val="18"/>
    </w:rPr>
  </w:style>
  <w:style w:type="character" w:styleId="Hyperlink">
    <w:name w:val="Hyperlink"/>
    <w:basedOn w:val="DefaultParagraphFont"/>
    <w:uiPriority w:val="99"/>
    <w:unhideWhenUsed/>
    <w:rsid w:val="00DF21B1"/>
    <w:rPr>
      <w:color w:val="2998E3" w:themeColor="hyperlink"/>
      <w:u w:val="single"/>
    </w:rPr>
  </w:style>
  <w:style w:type="paragraph" w:styleId="NormalWeb">
    <w:name w:val="Normal (Web)"/>
    <w:basedOn w:val="Normal"/>
    <w:uiPriority w:val="99"/>
    <w:semiHidden/>
    <w:unhideWhenUsed/>
    <w:rsid w:val="00186698"/>
    <w:pPr>
      <w:spacing w:before="100" w:beforeAutospacing="1" w:after="100" w:afterAutospacing="1"/>
    </w:pPr>
    <w:rPr>
      <w:rFonts w:eastAsiaTheme="minorEastAsia"/>
      <w:lang w:eastAsia="en-AU"/>
    </w:rPr>
  </w:style>
  <w:style w:type="table" w:customStyle="1" w:styleId="ListTable4-Accent61">
    <w:name w:val="List Table 4 - Accent 61"/>
    <w:basedOn w:val="TableNormal"/>
    <w:uiPriority w:val="49"/>
    <w:rsid w:val="00614108"/>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6Colorful1">
    <w:name w:val="List Table 6 Colorful1"/>
    <w:basedOn w:val="TableNormal"/>
    <w:uiPriority w:val="51"/>
    <w:rsid w:val="007056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
    <w:name w:val="List Table 4 - Accent 31"/>
    <w:basedOn w:val="TableNormal"/>
    <w:uiPriority w:val="49"/>
    <w:rsid w:val="00652858"/>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tcBorders>
        <w:shd w:val="clear" w:color="auto" w:fill="865640" w:themeFill="accent3"/>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character" w:customStyle="1" w:styleId="Heading4Char">
    <w:name w:val="Heading 4 Char"/>
    <w:basedOn w:val="DefaultParagraphFont"/>
    <w:link w:val="Heading4"/>
    <w:rsid w:val="001E06B3"/>
    <w:rPr>
      <w:rFonts w:ascii="Arial" w:hAnsi="Arial"/>
      <w:bCs/>
      <w:sz w:val="28"/>
      <w:szCs w:val="28"/>
      <w:lang w:eastAsia="en-US"/>
    </w:rPr>
  </w:style>
  <w:style w:type="paragraph" w:styleId="TOCHeading">
    <w:name w:val="TOC Heading"/>
    <w:basedOn w:val="Heading1"/>
    <w:next w:val="Normal"/>
    <w:uiPriority w:val="39"/>
    <w:unhideWhenUsed/>
    <w:qFormat/>
    <w:rsid w:val="001456AF"/>
    <w:pPr>
      <w:keepLines/>
      <w:spacing w:after="0" w:line="259" w:lineRule="auto"/>
      <w:outlineLvl w:val="9"/>
    </w:pPr>
    <w:rPr>
      <w:rFonts w:asciiTheme="majorHAnsi" w:eastAsiaTheme="majorEastAsia" w:hAnsiTheme="majorHAnsi" w:cstheme="majorBidi"/>
      <w:b w:val="0"/>
      <w:bCs w:val="0"/>
      <w:color w:val="AA610D" w:themeColor="accent1" w:themeShade="BF"/>
      <w:kern w:val="0"/>
      <w:sz w:val="32"/>
      <w:lang w:val="en-US"/>
    </w:rPr>
  </w:style>
  <w:style w:type="paragraph" w:styleId="TOC1">
    <w:name w:val="toc 1"/>
    <w:basedOn w:val="Normal"/>
    <w:next w:val="Normal"/>
    <w:autoRedefine/>
    <w:uiPriority w:val="39"/>
    <w:unhideWhenUsed/>
    <w:rsid w:val="00E367C8"/>
    <w:pPr>
      <w:tabs>
        <w:tab w:val="right" w:leader="dot" w:pos="9628"/>
      </w:tabs>
      <w:spacing w:after="100"/>
    </w:pPr>
  </w:style>
  <w:style w:type="paragraph" w:styleId="TOC2">
    <w:name w:val="toc 2"/>
    <w:basedOn w:val="Normal"/>
    <w:next w:val="Normal"/>
    <w:autoRedefine/>
    <w:uiPriority w:val="39"/>
    <w:unhideWhenUsed/>
    <w:rsid w:val="008C1898"/>
    <w:pPr>
      <w:spacing w:after="100"/>
      <w:ind w:left="240"/>
    </w:pPr>
  </w:style>
  <w:style w:type="table" w:customStyle="1" w:styleId="GridTable4-Accent21">
    <w:name w:val="Grid Table 4 - Accent 21"/>
    <w:basedOn w:val="TableNormal"/>
    <w:uiPriority w:val="49"/>
    <w:rsid w:val="00F11197"/>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paragraph" w:styleId="FootnoteText">
    <w:name w:val="footnote text"/>
    <w:basedOn w:val="Normal"/>
    <w:link w:val="FootnoteTextChar"/>
    <w:semiHidden/>
    <w:unhideWhenUsed/>
    <w:rsid w:val="00F62EF2"/>
    <w:rPr>
      <w:sz w:val="20"/>
      <w:szCs w:val="20"/>
    </w:rPr>
  </w:style>
  <w:style w:type="character" w:customStyle="1" w:styleId="FootnoteTextChar">
    <w:name w:val="Footnote Text Char"/>
    <w:basedOn w:val="DefaultParagraphFont"/>
    <w:link w:val="FootnoteText"/>
    <w:semiHidden/>
    <w:rsid w:val="00F62EF2"/>
    <w:rPr>
      <w:rFonts w:ascii="Arial" w:hAnsi="Arial"/>
      <w:lang w:eastAsia="en-US"/>
    </w:rPr>
  </w:style>
  <w:style w:type="character" w:styleId="FootnoteReference">
    <w:name w:val="footnote reference"/>
    <w:basedOn w:val="DefaultParagraphFont"/>
    <w:semiHidden/>
    <w:unhideWhenUsed/>
    <w:rsid w:val="00F62EF2"/>
    <w:rPr>
      <w:vertAlign w:val="superscript"/>
    </w:rPr>
  </w:style>
  <w:style w:type="paragraph" w:styleId="TOC3">
    <w:name w:val="toc 3"/>
    <w:basedOn w:val="Normal"/>
    <w:next w:val="Normal"/>
    <w:autoRedefine/>
    <w:uiPriority w:val="39"/>
    <w:unhideWhenUsed/>
    <w:rsid w:val="00E367C8"/>
    <w:pPr>
      <w:tabs>
        <w:tab w:val="right" w:leader="dot" w:pos="9628"/>
      </w:tabs>
      <w:spacing w:after="100"/>
      <w:ind w:left="284"/>
    </w:pPr>
  </w:style>
  <w:style w:type="table" w:customStyle="1" w:styleId="GridTable4-Accent11">
    <w:name w:val="Grid Table 4 - Accent 11"/>
    <w:basedOn w:val="TableNormal"/>
    <w:uiPriority w:val="49"/>
    <w:rsid w:val="00EC11D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paragraph" w:customStyle="1" w:styleId="KeyPointsNum">
    <w:name w:val="KeyPoints_Num"/>
    <w:basedOn w:val="Normal"/>
    <w:rsid w:val="007550B8"/>
    <w:pPr>
      <w:spacing w:after="120" w:line="240" w:lineRule="atLeast"/>
    </w:pPr>
    <w:rPr>
      <w:rFonts w:ascii="Times New Roman" w:hAnsi="Times New Roman"/>
      <w:sz w:val="24"/>
    </w:rPr>
  </w:style>
  <w:style w:type="paragraph" w:styleId="Revision">
    <w:name w:val="Revision"/>
    <w:hidden/>
    <w:uiPriority w:val="99"/>
    <w:semiHidden/>
    <w:rsid w:val="00A35BBA"/>
    <w:rPr>
      <w:rFonts w:ascii="Arial" w:hAnsi="Arial"/>
      <w:sz w:val="22"/>
      <w:szCs w:val="24"/>
      <w:lang w:eastAsia="en-US"/>
    </w:rPr>
  </w:style>
  <w:style w:type="character" w:styleId="FollowedHyperlink">
    <w:name w:val="FollowedHyperlink"/>
    <w:basedOn w:val="DefaultParagraphFont"/>
    <w:semiHidden/>
    <w:unhideWhenUsed/>
    <w:rsid w:val="00172710"/>
    <w:rPr>
      <w:color w:val="8C8C8C"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1F"/>
    <w:rPr>
      <w:rFonts w:ascii="Arial" w:hAnsi="Arial"/>
      <w:sz w:val="22"/>
      <w:szCs w:val="24"/>
      <w:lang w:eastAsia="en-US"/>
    </w:rPr>
  </w:style>
  <w:style w:type="paragraph" w:styleId="Heading1">
    <w:name w:val="heading 1"/>
    <w:basedOn w:val="Normal"/>
    <w:next w:val="Normal"/>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link w:val="Heading4Char"/>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E48312"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E48312"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E48312" w:themeColor="accent1"/>
      </w:pBdr>
      <w:spacing w:before="200" w:after="280"/>
      <w:ind w:left="936" w:right="936"/>
    </w:pPr>
    <w:rPr>
      <w:b/>
      <w:bCs/>
      <w:i/>
      <w:iCs/>
      <w:color w:val="E48312" w:themeColor="accent1"/>
    </w:rPr>
  </w:style>
  <w:style w:type="character" w:customStyle="1" w:styleId="IntenseQuoteChar">
    <w:name w:val="Intense Quote Char"/>
    <w:basedOn w:val="DefaultParagraphFont"/>
    <w:link w:val="IntenseQuote"/>
    <w:uiPriority w:val="30"/>
    <w:rsid w:val="00A4512D"/>
    <w:rPr>
      <w:b/>
      <w:bCs/>
      <w:i/>
      <w:iCs/>
      <w:color w:val="E48312" w:themeColor="accent1"/>
      <w:sz w:val="24"/>
      <w:szCs w:val="24"/>
      <w:lang w:eastAsia="en-US"/>
    </w:rPr>
  </w:style>
  <w:style w:type="character" w:styleId="SubtleReference">
    <w:name w:val="Subtle Reference"/>
    <w:basedOn w:val="DefaultParagraphFont"/>
    <w:uiPriority w:val="31"/>
    <w:qFormat/>
    <w:rsid w:val="00A4512D"/>
    <w:rPr>
      <w:smallCaps/>
      <w:color w:val="BD582C" w:themeColor="accent2"/>
      <w:u w:val="single"/>
    </w:rPr>
  </w:style>
  <w:style w:type="character" w:styleId="IntenseReference">
    <w:name w:val="Intense Reference"/>
    <w:basedOn w:val="DefaultParagraphFont"/>
    <w:uiPriority w:val="32"/>
    <w:qFormat/>
    <w:rsid w:val="00A4512D"/>
    <w:rPr>
      <w:b/>
      <w:bCs/>
      <w:i/>
      <w:smallCaps/>
      <w:color w:val="BD582C"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8723AD"/>
    <w:rPr>
      <w:rFonts w:ascii="Tahoma" w:hAnsi="Tahoma" w:cs="Tahoma"/>
      <w:sz w:val="16"/>
      <w:szCs w:val="16"/>
    </w:rPr>
  </w:style>
  <w:style w:type="character" w:customStyle="1" w:styleId="BalloonTextChar">
    <w:name w:val="Balloon Text Char"/>
    <w:basedOn w:val="DefaultParagraphFont"/>
    <w:link w:val="BalloonText"/>
    <w:rsid w:val="008723AD"/>
    <w:rPr>
      <w:rFonts w:ascii="Tahoma" w:hAnsi="Tahoma" w:cs="Tahoma"/>
      <w:sz w:val="16"/>
      <w:szCs w:val="16"/>
      <w:lang w:eastAsia="en-US"/>
    </w:rPr>
  </w:style>
  <w:style w:type="paragraph" w:styleId="Header">
    <w:name w:val="header"/>
    <w:basedOn w:val="Normal"/>
    <w:link w:val="HeaderChar"/>
    <w:rsid w:val="00E913BC"/>
    <w:pPr>
      <w:tabs>
        <w:tab w:val="center" w:pos="4513"/>
        <w:tab w:val="right" w:pos="9026"/>
      </w:tabs>
    </w:pPr>
  </w:style>
  <w:style w:type="character" w:customStyle="1" w:styleId="HeaderChar">
    <w:name w:val="Header Char"/>
    <w:basedOn w:val="DefaultParagraphFont"/>
    <w:link w:val="Header"/>
    <w:rsid w:val="00E913BC"/>
    <w:rPr>
      <w:sz w:val="24"/>
      <w:szCs w:val="24"/>
      <w:lang w:eastAsia="en-US"/>
    </w:rPr>
  </w:style>
  <w:style w:type="paragraph" w:styleId="Footer">
    <w:name w:val="footer"/>
    <w:basedOn w:val="Normal"/>
    <w:link w:val="FooterChar"/>
    <w:uiPriority w:val="99"/>
    <w:rsid w:val="00E913BC"/>
    <w:pPr>
      <w:tabs>
        <w:tab w:val="center" w:pos="4513"/>
        <w:tab w:val="right" w:pos="9026"/>
      </w:tabs>
    </w:pPr>
  </w:style>
  <w:style w:type="character" w:customStyle="1" w:styleId="FooterChar">
    <w:name w:val="Footer Char"/>
    <w:basedOn w:val="DefaultParagraphFont"/>
    <w:link w:val="Footer"/>
    <w:uiPriority w:val="99"/>
    <w:rsid w:val="00E913BC"/>
    <w:rPr>
      <w:sz w:val="24"/>
      <w:szCs w:val="24"/>
      <w:lang w:eastAsia="en-US"/>
    </w:rPr>
  </w:style>
  <w:style w:type="table" w:styleId="TableGrid">
    <w:name w:val="Table Grid"/>
    <w:basedOn w:val="TableNormal"/>
    <w:uiPriority w:val="59"/>
    <w:rsid w:val="006A21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5">
    <w:name w:val="msobodytext5"/>
    <w:rsid w:val="006A211F"/>
    <w:pPr>
      <w:spacing w:line="309" w:lineRule="auto"/>
    </w:pPr>
    <w:rPr>
      <w:rFonts w:ascii="Script MT Bold" w:hAnsi="Script MT Bold"/>
      <w:b/>
      <w:bCs/>
      <w:color w:val="000000"/>
      <w:kern w:val="28"/>
      <w:sz w:val="24"/>
      <w:szCs w:val="24"/>
      <w14:ligatures w14:val="standard"/>
      <w14:cntxtAlts/>
    </w:rPr>
  </w:style>
  <w:style w:type="character" w:styleId="CommentReference">
    <w:name w:val="annotation reference"/>
    <w:basedOn w:val="DefaultParagraphFont"/>
    <w:rsid w:val="00F20792"/>
    <w:rPr>
      <w:sz w:val="16"/>
      <w:szCs w:val="16"/>
    </w:rPr>
  </w:style>
  <w:style w:type="paragraph" w:styleId="CommentText">
    <w:name w:val="annotation text"/>
    <w:basedOn w:val="Normal"/>
    <w:link w:val="CommentTextChar"/>
    <w:rsid w:val="00F20792"/>
    <w:rPr>
      <w:sz w:val="20"/>
      <w:szCs w:val="20"/>
    </w:rPr>
  </w:style>
  <w:style w:type="character" w:customStyle="1" w:styleId="CommentTextChar">
    <w:name w:val="Comment Text Char"/>
    <w:basedOn w:val="DefaultParagraphFont"/>
    <w:link w:val="CommentText"/>
    <w:rsid w:val="00F20792"/>
    <w:rPr>
      <w:lang w:eastAsia="en-US"/>
    </w:rPr>
  </w:style>
  <w:style w:type="paragraph" w:styleId="CommentSubject">
    <w:name w:val="annotation subject"/>
    <w:basedOn w:val="CommentText"/>
    <w:next w:val="CommentText"/>
    <w:link w:val="CommentSubjectChar"/>
    <w:rsid w:val="00F20792"/>
    <w:rPr>
      <w:b/>
      <w:bCs/>
    </w:rPr>
  </w:style>
  <w:style w:type="character" w:customStyle="1" w:styleId="CommentSubjectChar">
    <w:name w:val="Comment Subject Char"/>
    <w:basedOn w:val="CommentTextChar"/>
    <w:link w:val="CommentSubject"/>
    <w:rsid w:val="00F20792"/>
    <w:rPr>
      <w:b/>
      <w:bCs/>
      <w:lang w:eastAsia="en-US"/>
    </w:rPr>
  </w:style>
  <w:style w:type="paragraph" w:styleId="Caption">
    <w:name w:val="caption"/>
    <w:basedOn w:val="Normal"/>
    <w:next w:val="Normal"/>
    <w:unhideWhenUsed/>
    <w:qFormat/>
    <w:rsid w:val="004B01C5"/>
    <w:pPr>
      <w:spacing w:after="200"/>
    </w:pPr>
    <w:rPr>
      <w:i/>
      <w:iCs/>
      <w:color w:val="637052" w:themeColor="text2"/>
      <w:sz w:val="18"/>
      <w:szCs w:val="18"/>
    </w:rPr>
  </w:style>
  <w:style w:type="character" w:styleId="Hyperlink">
    <w:name w:val="Hyperlink"/>
    <w:basedOn w:val="DefaultParagraphFont"/>
    <w:uiPriority w:val="99"/>
    <w:unhideWhenUsed/>
    <w:rsid w:val="00DF21B1"/>
    <w:rPr>
      <w:color w:val="2998E3" w:themeColor="hyperlink"/>
      <w:u w:val="single"/>
    </w:rPr>
  </w:style>
  <w:style w:type="paragraph" w:styleId="NormalWeb">
    <w:name w:val="Normal (Web)"/>
    <w:basedOn w:val="Normal"/>
    <w:uiPriority w:val="99"/>
    <w:semiHidden/>
    <w:unhideWhenUsed/>
    <w:rsid w:val="00186698"/>
    <w:pPr>
      <w:spacing w:before="100" w:beforeAutospacing="1" w:after="100" w:afterAutospacing="1"/>
    </w:pPr>
    <w:rPr>
      <w:rFonts w:eastAsiaTheme="minorEastAsia"/>
      <w:lang w:eastAsia="en-AU"/>
    </w:rPr>
  </w:style>
  <w:style w:type="table" w:customStyle="1" w:styleId="ListTable4-Accent61">
    <w:name w:val="List Table 4 - Accent 61"/>
    <w:basedOn w:val="TableNormal"/>
    <w:uiPriority w:val="49"/>
    <w:rsid w:val="00614108"/>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6Colorful1">
    <w:name w:val="List Table 6 Colorful1"/>
    <w:basedOn w:val="TableNormal"/>
    <w:uiPriority w:val="51"/>
    <w:rsid w:val="007056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
    <w:name w:val="List Table 4 - Accent 31"/>
    <w:basedOn w:val="TableNormal"/>
    <w:uiPriority w:val="49"/>
    <w:rsid w:val="00652858"/>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tcBorders>
        <w:shd w:val="clear" w:color="auto" w:fill="865640" w:themeFill="accent3"/>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character" w:customStyle="1" w:styleId="Heading4Char">
    <w:name w:val="Heading 4 Char"/>
    <w:basedOn w:val="DefaultParagraphFont"/>
    <w:link w:val="Heading4"/>
    <w:rsid w:val="001E06B3"/>
    <w:rPr>
      <w:rFonts w:ascii="Arial" w:hAnsi="Arial"/>
      <w:bCs/>
      <w:sz w:val="28"/>
      <w:szCs w:val="28"/>
      <w:lang w:eastAsia="en-US"/>
    </w:rPr>
  </w:style>
  <w:style w:type="paragraph" w:styleId="TOCHeading">
    <w:name w:val="TOC Heading"/>
    <w:basedOn w:val="Heading1"/>
    <w:next w:val="Normal"/>
    <w:uiPriority w:val="39"/>
    <w:unhideWhenUsed/>
    <w:qFormat/>
    <w:rsid w:val="001456AF"/>
    <w:pPr>
      <w:keepLines/>
      <w:spacing w:after="0" w:line="259" w:lineRule="auto"/>
      <w:outlineLvl w:val="9"/>
    </w:pPr>
    <w:rPr>
      <w:rFonts w:asciiTheme="majorHAnsi" w:eastAsiaTheme="majorEastAsia" w:hAnsiTheme="majorHAnsi" w:cstheme="majorBidi"/>
      <w:b w:val="0"/>
      <w:bCs w:val="0"/>
      <w:color w:val="AA610D" w:themeColor="accent1" w:themeShade="BF"/>
      <w:kern w:val="0"/>
      <w:sz w:val="32"/>
      <w:lang w:val="en-US"/>
    </w:rPr>
  </w:style>
  <w:style w:type="paragraph" w:styleId="TOC1">
    <w:name w:val="toc 1"/>
    <w:basedOn w:val="Normal"/>
    <w:next w:val="Normal"/>
    <w:autoRedefine/>
    <w:uiPriority w:val="39"/>
    <w:unhideWhenUsed/>
    <w:rsid w:val="00E367C8"/>
    <w:pPr>
      <w:tabs>
        <w:tab w:val="right" w:leader="dot" w:pos="9628"/>
      </w:tabs>
      <w:spacing w:after="100"/>
    </w:pPr>
  </w:style>
  <w:style w:type="paragraph" w:styleId="TOC2">
    <w:name w:val="toc 2"/>
    <w:basedOn w:val="Normal"/>
    <w:next w:val="Normal"/>
    <w:autoRedefine/>
    <w:uiPriority w:val="39"/>
    <w:unhideWhenUsed/>
    <w:rsid w:val="008C1898"/>
    <w:pPr>
      <w:spacing w:after="100"/>
      <w:ind w:left="240"/>
    </w:pPr>
  </w:style>
  <w:style w:type="table" w:customStyle="1" w:styleId="GridTable4-Accent21">
    <w:name w:val="Grid Table 4 - Accent 21"/>
    <w:basedOn w:val="TableNormal"/>
    <w:uiPriority w:val="49"/>
    <w:rsid w:val="00F11197"/>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paragraph" w:styleId="FootnoteText">
    <w:name w:val="footnote text"/>
    <w:basedOn w:val="Normal"/>
    <w:link w:val="FootnoteTextChar"/>
    <w:semiHidden/>
    <w:unhideWhenUsed/>
    <w:rsid w:val="00F62EF2"/>
    <w:rPr>
      <w:sz w:val="20"/>
      <w:szCs w:val="20"/>
    </w:rPr>
  </w:style>
  <w:style w:type="character" w:customStyle="1" w:styleId="FootnoteTextChar">
    <w:name w:val="Footnote Text Char"/>
    <w:basedOn w:val="DefaultParagraphFont"/>
    <w:link w:val="FootnoteText"/>
    <w:semiHidden/>
    <w:rsid w:val="00F62EF2"/>
    <w:rPr>
      <w:rFonts w:ascii="Arial" w:hAnsi="Arial"/>
      <w:lang w:eastAsia="en-US"/>
    </w:rPr>
  </w:style>
  <w:style w:type="character" w:styleId="FootnoteReference">
    <w:name w:val="footnote reference"/>
    <w:basedOn w:val="DefaultParagraphFont"/>
    <w:semiHidden/>
    <w:unhideWhenUsed/>
    <w:rsid w:val="00F62EF2"/>
    <w:rPr>
      <w:vertAlign w:val="superscript"/>
    </w:rPr>
  </w:style>
  <w:style w:type="paragraph" w:styleId="TOC3">
    <w:name w:val="toc 3"/>
    <w:basedOn w:val="Normal"/>
    <w:next w:val="Normal"/>
    <w:autoRedefine/>
    <w:uiPriority w:val="39"/>
    <w:unhideWhenUsed/>
    <w:rsid w:val="00E367C8"/>
    <w:pPr>
      <w:tabs>
        <w:tab w:val="right" w:leader="dot" w:pos="9628"/>
      </w:tabs>
      <w:spacing w:after="100"/>
      <w:ind w:left="284"/>
    </w:pPr>
  </w:style>
  <w:style w:type="table" w:customStyle="1" w:styleId="GridTable4-Accent11">
    <w:name w:val="Grid Table 4 - Accent 11"/>
    <w:basedOn w:val="TableNormal"/>
    <w:uiPriority w:val="49"/>
    <w:rsid w:val="00EC11D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paragraph" w:customStyle="1" w:styleId="KeyPointsNum">
    <w:name w:val="KeyPoints_Num"/>
    <w:basedOn w:val="Normal"/>
    <w:rsid w:val="007550B8"/>
    <w:pPr>
      <w:spacing w:after="120" w:line="240" w:lineRule="atLeast"/>
    </w:pPr>
    <w:rPr>
      <w:rFonts w:ascii="Times New Roman" w:hAnsi="Times New Roman"/>
      <w:sz w:val="24"/>
    </w:rPr>
  </w:style>
  <w:style w:type="paragraph" w:styleId="Revision">
    <w:name w:val="Revision"/>
    <w:hidden/>
    <w:uiPriority w:val="99"/>
    <w:semiHidden/>
    <w:rsid w:val="00A35BBA"/>
    <w:rPr>
      <w:rFonts w:ascii="Arial" w:hAnsi="Arial"/>
      <w:sz w:val="22"/>
      <w:szCs w:val="24"/>
      <w:lang w:eastAsia="en-US"/>
    </w:rPr>
  </w:style>
  <w:style w:type="character" w:styleId="FollowedHyperlink">
    <w:name w:val="FollowedHyperlink"/>
    <w:basedOn w:val="DefaultParagraphFont"/>
    <w:semiHidden/>
    <w:unhideWhenUsed/>
    <w:rsid w:val="00172710"/>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5815">
      <w:bodyDiv w:val="1"/>
      <w:marLeft w:val="0"/>
      <w:marRight w:val="0"/>
      <w:marTop w:val="0"/>
      <w:marBottom w:val="0"/>
      <w:divBdr>
        <w:top w:val="none" w:sz="0" w:space="0" w:color="auto"/>
        <w:left w:val="none" w:sz="0" w:space="0" w:color="auto"/>
        <w:bottom w:val="none" w:sz="0" w:space="0" w:color="auto"/>
        <w:right w:val="none" w:sz="0" w:space="0" w:color="auto"/>
      </w:divBdr>
    </w:div>
    <w:div w:id="138307772">
      <w:bodyDiv w:val="1"/>
      <w:marLeft w:val="0"/>
      <w:marRight w:val="0"/>
      <w:marTop w:val="0"/>
      <w:marBottom w:val="0"/>
      <w:divBdr>
        <w:top w:val="none" w:sz="0" w:space="0" w:color="auto"/>
        <w:left w:val="none" w:sz="0" w:space="0" w:color="auto"/>
        <w:bottom w:val="none" w:sz="0" w:space="0" w:color="auto"/>
        <w:right w:val="none" w:sz="0" w:space="0" w:color="auto"/>
      </w:divBdr>
    </w:div>
    <w:div w:id="213470997">
      <w:bodyDiv w:val="1"/>
      <w:marLeft w:val="0"/>
      <w:marRight w:val="0"/>
      <w:marTop w:val="0"/>
      <w:marBottom w:val="0"/>
      <w:divBdr>
        <w:top w:val="none" w:sz="0" w:space="0" w:color="auto"/>
        <w:left w:val="none" w:sz="0" w:space="0" w:color="auto"/>
        <w:bottom w:val="none" w:sz="0" w:space="0" w:color="auto"/>
        <w:right w:val="none" w:sz="0" w:space="0" w:color="auto"/>
      </w:divBdr>
    </w:div>
    <w:div w:id="562254374">
      <w:bodyDiv w:val="1"/>
      <w:marLeft w:val="0"/>
      <w:marRight w:val="0"/>
      <w:marTop w:val="0"/>
      <w:marBottom w:val="0"/>
      <w:divBdr>
        <w:top w:val="none" w:sz="0" w:space="0" w:color="auto"/>
        <w:left w:val="none" w:sz="0" w:space="0" w:color="auto"/>
        <w:bottom w:val="none" w:sz="0" w:space="0" w:color="auto"/>
        <w:right w:val="none" w:sz="0" w:space="0" w:color="auto"/>
      </w:divBdr>
      <w:divsChild>
        <w:div w:id="2005401717">
          <w:marLeft w:val="446"/>
          <w:marRight w:val="0"/>
          <w:marTop w:val="120"/>
          <w:marBottom w:val="120"/>
          <w:divBdr>
            <w:top w:val="none" w:sz="0" w:space="0" w:color="auto"/>
            <w:left w:val="none" w:sz="0" w:space="0" w:color="auto"/>
            <w:bottom w:val="none" w:sz="0" w:space="0" w:color="auto"/>
            <w:right w:val="none" w:sz="0" w:space="0" w:color="auto"/>
          </w:divBdr>
        </w:div>
        <w:div w:id="328948069">
          <w:marLeft w:val="446"/>
          <w:marRight w:val="0"/>
          <w:marTop w:val="120"/>
          <w:marBottom w:val="120"/>
          <w:divBdr>
            <w:top w:val="none" w:sz="0" w:space="0" w:color="auto"/>
            <w:left w:val="none" w:sz="0" w:space="0" w:color="auto"/>
            <w:bottom w:val="none" w:sz="0" w:space="0" w:color="auto"/>
            <w:right w:val="none" w:sz="0" w:space="0" w:color="auto"/>
          </w:divBdr>
        </w:div>
        <w:div w:id="1624649565">
          <w:marLeft w:val="446"/>
          <w:marRight w:val="0"/>
          <w:marTop w:val="120"/>
          <w:marBottom w:val="120"/>
          <w:divBdr>
            <w:top w:val="none" w:sz="0" w:space="0" w:color="auto"/>
            <w:left w:val="none" w:sz="0" w:space="0" w:color="auto"/>
            <w:bottom w:val="none" w:sz="0" w:space="0" w:color="auto"/>
            <w:right w:val="none" w:sz="0" w:space="0" w:color="auto"/>
          </w:divBdr>
        </w:div>
      </w:divsChild>
    </w:div>
    <w:div w:id="802649454">
      <w:bodyDiv w:val="1"/>
      <w:marLeft w:val="0"/>
      <w:marRight w:val="0"/>
      <w:marTop w:val="0"/>
      <w:marBottom w:val="0"/>
      <w:divBdr>
        <w:top w:val="none" w:sz="0" w:space="0" w:color="auto"/>
        <w:left w:val="none" w:sz="0" w:space="0" w:color="auto"/>
        <w:bottom w:val="none" w:sz="0" w:space="0" w:color="auto"/>
        <w:right w:val="none" w:sz="0" w:space="0" w:color="auto"/>
      </w:divBdr>
    </w:div>
    <w:div w:id="880291571">
      <w:bodyDiv w:val="1"/>
      <w:marLeft w:val="0"/>
      <w:marRight w:val="0"/>
      <w:marTop w:val="0"/>
      <w:marBottom w:val="0"/>
      <w:divBdr>
        <w:top w:val="none" w:sz="0" w:space="0" w:color="auto"/>
        <w:left w:val="none" w:sz="0" w:space="0" w:color="auto"/>
        <w:bottom w:val="none" w:sz="0" w:space="0" w:color="auto"/>
        <w:right w:val="none" w:sz="0" w:space="0" w:color="auto"/>
      </w:divBdr>
    </w:div>
    <w:div w:id="1146312813">
      <w:bodyDiv w:val="1"/>
      <w:marLeft w:val="0"/>
      <w:marRight w:val="0"/>
      <w:marTop w:val="0"/>
      <w:marBottom w:val="0"/>
      <w:divBdr>
        <w:top w:val="none" w:sz="0" w:space="0" w:color="auto"/>
        <w:left w:val="none" w:sz="0" w:space="0" w:color="auto"/>
        <w:bottom w:val="none" w:sz="0" w:space="0" w:color="auto"/>
        <w:right w:val="none" w:sz="0" w:space="0" w:color="auto"/>
      </w:divBdr>
    </w:div>
    <w:div w:id="1206480936">
      <w:bodyDiv w:val="1"/>
      <w:marLeft w:val="0"/>
      <w:marRight w:val="0"/>
      <w:marTop w:val="0"/>
      <w:marBottom w:val="0"/>
      <w:divBdr>
        <w:top w:val="none" w:sz="0" w:space="0" w:color="auto"/>
        <w:left w:val="none" w:sz="0" w:space="0" w:color="auto"/>
        <w:bottom w:val="none" w:sz="0" w:space="0" w:color="auto"/>
        <w:right w:val="none" w:sz="0" w:space="0" w:color="auto"/>
      </w:divBdr>
      <w:divsChild>
        <w:div w:id="1731731608">
          <w:marLeft w:val="446"/>
          <w:marRight w:val="0"/>
          <w:marTop w:val="0"/>
          <w:marBottom w:val="0"/>
          <w:divBdr>
            <w:top w:val="none" w:sz="0" w:space="0" w:color="auto"/>
            <w:left w:val="none" w:sz="0" w:space="0" w:color="auto"/>
            <w:bottom w:val="none" w:sz="0" w:space="0" w:color="auto"/>
            <w:right w:val="none" w:sz="0" w:space="0" w:color="auto"/>
          </w:divBdr>
        </w:div>
        <w:div w:id="1908418235">
          <w:marLeft w:val="907"/>
          <w:marRight w:val="0"/>
          <w:marTop w:val="0"/>
          <w:marBottom w:val="0"/>
          <w:divBdr>
            <w:top w:val="none" w:sz="0" w:space="0" w:color="auto"/>
            <w:left w:val="none" w:sz="0" w:space="0" w:color="auto"/>
            <w:bottom w:val="none" w:sz="0" w:space="0" w:color="auto"/>
            <w:right w:val="none" w:sz="0" w:space="0" w:color="auto"/>
          </w:divBdr>
        </w:div>
        <w:div w:id="1156991945">
          <w:marLeft w:val="907"/>
          <w:marRight w:val="0"/>
          <w:marTop w:val="0"/>
          <w:marBottom w:val="0"/>
          <w:divBdr>
            <w:top w:val="none" w:sz="0" w:space="0" w:color="auto"/>
            <w:left w:val="none" w:sz="0" w:space="0" w:color="auto"/>
            <w:bottom w:val="none" w:sz="0" w:space="0" w:color="auto"/>
            <w:right w:val="none" w:sz="0" w:space="0" w:color="auto"/>
          </w:divBdr>
        </w:div>
        <w:div w:id="29112373">
          <w:marLeft w:val="907"/>
          <w:marRight w:val="0"/>
          <w:marTop w:val="0"/>
          <w:marBottom w:val="0"/>
          <w:divBdr>
            <w:top w:val="none" w:sz="0" w:space="0" w:color="auto"/>
            <w:left w:val="none" w:sz="0" w:space="0" w:color="auto"/>
            <w:bottom w:val="none" w:sz="0" w:space="0" w:color="auto"/>
            <w:right w:val="none" w:sz="0" w:space="0" w:color="auto"/>
          </w:divBdr>
        </w:div>
        <w:div w:id="1979528311">
          <w:marLeft w:val="907"/>
          <w:marRight w:val="0"/>
          <w:marTop w:val="0"/>
          <w:marBottom w:val="0"/>
          <w:divBdr>
            <w:top w:val="none" w:sz="0" w:space="0" w:color="auto"/>
            <w:left w:val="none" w:sz="0" w:space="0" w:color="auto"/>
            <w:bottom w:val="none" w:sz="0" w:space="0" w:color="auto"/>
            <w:right w:val="none" w:sz="0" w:space="0" w:color="auto"/>
          </w:divBdr>
        </w:div>
      </w:divsChild>
    </w:div>
    <w:div w:id="1405496276">
      <w:bodyDiv w:val="1"/>
      <w:marLeft w:val="0"/>
      <w:marRight w:val="0"/>
      <w:marTop w:val="0"/>
      <w:marBottom w:val="0"/>
      <w:divBdr>
        <w:top w:val="none" w:sz="0" w:space="0" w:color="auto"/>
        <w:left w:val="none" w:sz="0" w:space="0" w:color="auto"/>
        <w:bottom w:val="none" w:sz="0" w:space="0" w:color="auto"/>
        <w:right w:val="none" w:sz="0" w:space="0" w:color="auto"/>
      </w:divBdr>
    </w:div>
    <w:div w:id="1813592605">
      <w:bodyDiv w:val="1"/>
      <w:marLeft w:val="0"/>
      <w:marRight w:val="0"/>
      <w:marTop w:val="0"/>
      <w:marBottom w:val="0"/>
      <w:divBdr>
        <w:top w:val="none" w:sz="0" w:space="0" w:color="auto"/>
        <w:left w:val="none" w:sz="0" w:space="0" w:color="auto"/>
        <w:bottom w:val="none" w:sz="0" w:space="0" w:color="auto"/>
        <w:right w:val="none" w:sz="0" w:space="0" w:color="auto"/>
      </w:divBdr>
    </w:div>
    <w:div w:id="1841265072">
      <w:bodyDiv w:val="1"/>
      <w:marLeft w:val="0"/>
      <w:marRight w:val="0"/>
      <w:marTop w:val="0"/>
      <w:marBottom w:val="0"/>
      <w:divBdr>
        <w:top w:val="none" w:sz="0" w:space="0" w:color="auto"/>
        <w:left w:val="none" w:sz="0" w:space="0" w:color="auto"/>
        <w:bottom w:val="none" w:sz="0" w:space="0" w:color="auto"/>
        <w:right w:val="none" w:sz="0" w:space="0" w:color="auto"/>
      </w:divBdr>
    </w:div>
    <w:div w:id="2047022805">
      <w:bodyDiv w:val="1"/>
      <w:marLeft w:val="0"/>
      <w:marRight w:val="0"/>
      <w:marTop w:val="0"/>
      <w:marBottom w:val="0"/>
      <w:divBdr>
        <w:top w:val="none" w:sz="0" w:space="0" w:color="auto"/>
        <w:left w:val="none" w:sz="0" w:space="0" w:color="auto"/>
        <w:bottom w:val="none" w:sz="0" w:space="0" w:color="auto"/>
        <w:right w:val="none" w:sz="0" w:space="0" w:color="auto"/>
      </w:divBdr>
    </w:div>
    <w:div w:id="20477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nc-nd/4.0/"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safetyandquality.gov.au/our-work/healthcare-associated-infection/cpe-gu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footer" Target="footer3.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ralert@safetyandquality.gov.au"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mailto:CARAlert@safetyandquality.gov.au"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97358-7A37-4762-88D8-E00ED584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5347</Words>
  <Characters>25776</Characters>
  <Application>Microsoft Office Word</Application>
  <DocSecurity>0</DocSecurity>
  <Lines>1031</Lines>
  <Paragraphs>741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Kim</dc:creator>
  <cp:lastModifiedBy>STEWART, Kim</cp:lastModifiedBy>
  <cp:revision>2</cp:revision>
  <cp:lastPrinted>2017-07-03T23:04:00Z</cp:lastPrinted>
  <dcterms:created xsi:type="dcterms:W3CDTF">2017-07-11T00:31:00Z</dcterms:created>
  <dcterms:modified xsi:type="dcterms:W3CDTF">2017-07-11T00:31:00Z</dcterms:modified>
</cp:coreProperties>
</file>