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DF4" w:rsidRDefault="00B24DF4" w:rsidP="009424A5">
      <w:bookmarkStart w:id="0" w:name="_Toc476822632"/>
      <w:bookmarkStart w:id="1" w:name="_Toc476822653"/>
      <w:r w:rsidRPr="008A251F">
        <w:rPr>
          <w:rFonts w:eastAsiaTheme="majorEastAsia"/>
          <w:noProof/>
        </w:rPr>
        <w:drawing>
          <wp:inline distT="0" distB="0" distL="0" distR="0" wp14:anchorId="28C0DD95" wp14:editId="0A016CC8">
            <wp:extent cx="4335880" cy="612000"/>
            <wp:effectExtent l="0" t="0" r="0" b="0"/>
            <wp:docPr id="3" name="Picture 3" descr="Australian Commission on Safety and Quality in Health Care log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35880" cy="612000"/>
                    </a:xfrm>
                    <a:prstGeom prst="rect">
                      <a:avLst/>
                    </a:prstGeom>
                  </pic:spPr>
                </pic:pic>
              </a:graphicData>
            </a:graphic>
          </wp:inline>
        </w:drawing>
      </w:r>
      <w:bookmarkEnd w:id="0"/>
      <w:bookmarkEnd w:id="1"/>
    </w:p>
    <w:p w:rsidR="00BC07E4" w:rsidRDefault="00BC07E4" w:rsidP="009424A5">
      <w:pPr>
        <w:pStyle w:val="PublicationDate"/>
      </w:pPr>
    </w:p>
    <w:p w:rsidR="00BC07E4" w:rsidRDefault="00BC07E4" w:rsidP="009424A5">
      <w:pPr>
        <w:pStyle w:val="PublicationDate"/>
      </w:pPr>
    </w:p>
    <w:p w:rsidR="00BC07E4" w:rsidRDefault="00BC07E4" w:rsidP="00BC07E4">
      <w:pPr>
        <w:rPr>
          <w:rFonts w:eastAsiaTheme="majorEastAsia"/>
        </w:rPr>
      </w:pPr>
    </w:p>
    <w:p w:rsidR="00BC07E4" w:rsidRDefault="00BC07E4" w:rsidP="009424A5">
      <w:pPr>
        <w:pStyle w:val="PublicationDate"/>
      </w:pPr>
    </w:p>
    <w:p w:rsidR="004A496B" w:rsidRDefault="004A496B" w:rsidP="009424A5">
      <w:pPr>
        <w:pStyle w:val="PublicationDate"/>
      </w:pPr>
      <w:bookmarkStart w:id="2" w:name="_GoBack"/>
      <w:bookmarkEnd w:id="2"/>
    </w:p>
    <w:p w:rsidR="00BC07E4" w:rsidRDefault="00BC07E4" w:rsidP="009424A5">
      <w:pPr>
        <w:pStyle w:val="PublicationDate"/>
      </w:pPr>
    </w:p>
    <w:p w:rsidR="000B0274" w:rsidRDefault="00077FEB" w:rsidP="009424A5">
      <w:pPr>
        <w:pStyle w:val="PublicationDate"/>
      </w:pPr>
      <w:r>
        <w:t xml:space="preserve">October </w:t>
      </w:r>
      <w:r w:rsidR="002A68A3">
        <w:t>2017</w:t>
      </w:r>
    </w:p>
    <w:p w:rsidR="00BC07E4" w:rsidRDefault="00BC07E4" w:rsidP="009424A5">
      <w:pPr>
        <w:pStyle w:val="PublicationDate"/>
      </w:pPr>
    </w:p>
    <w:p w:rsidR="00BC07E4" w:rsidRPr="003C02C5" w:rsidRDefault="00BC07E4" w:rsidP="009424A5">
      <w:pPr>
        <w:pStyle w:val="PublicationDate"/>
      </w:pPr>
    </w:p>
    <w:p w:rsidR="000A4C01" w:rsidRDefault="00B047DF" w:rsidP="00C8331F">
      <w:pPr>
        <w:pStyle w:val="Title"/>
      </w:pPr>
      <w:r>
        <w:t xml:space="preserve">Development and </w:t>
      </w:r>
      <w:r w:rsidR="00D15CED">
        <w:t>E</w:t>
      </w:r>
      <w:r>
        <w:t xml:space="preserve">valuation of a </w:t>
      </w:r>
      <w:r w:rsidR="00D15CED">
        <w:t>S</w:t>
      </w:r>
      <w:r>
        <w:t xml:space="preserve">ubcutaneous </w:t>
      </w:r>
      <w:r w:rsidR="00D15CED">
        <w:t>I</w:t>
      </w:r>
      <w:r>
        <w:t xml:space="preserve">nsulin </w:t>
      </w:r>
      <w:r w:rsidR="00D15CED">
        <w:t>C</w:t>
      </w:r>
      <w:r>
        <w:t xml:space="preserve">hart </w:t>
      </w:r>
      <w:bookmarkStart w:id="3" w:name="_Toc476822633"/>
      <w:bookmarkStart w:id="4" w:name="_Toc476822654"/>
      <w:bookmarkStart w:id="5" w:name="_Toc476822854"/>
      <w:bookmarkStart w:id="6" w:name="_Toc476823158"/>
      <w:bookmarkStart w:id="7" w:name="_Toc476823667"/>
      <w:r w:rsidR="00C8331F">
        <w:t xml:space="preserve">in </w:t>
      </w:r>
      <w:r w:rsidR="00D15CED">
        <w:t>S</w:t>
      </w:r>
      <w:r w:rsidR="00C8331F">
        <w:t xml:space="preserve">ubacute </w:t>
      </w:r>
      <w:r w:rsidR="00D15CED">
        <w:t>H</w:t>
      </w:r>
      <w:r w:rsidR="00C8331F">
        <w:t xml:space="preserve">ospitals and </w:t>
      </w:r>
      <w:r w:rsidR="00D15CED">
        <w:t>M</w:t>
      </w:r>
      <w:r w:rsidR="00C8331F">
        <w:t xml:space="preserve">ental </w:t>
      </w:r>
      <w:r w:rsidR="00D15CED">
        <w:t>H</w:t>
      </w:r>
      <w:r w:rsidR="00C8331F">
        <w:t xml:space="preserve">ealth </w:t>
      </w:r>
      <w:r w:rsidR="00D15CED">
        <w:t>F</w:t>
      </w:r>
      <w:r w:rsidR="00C8331F">
        <w:t>acilities</w:t>
      </w:r>
    </w:p>
    <w:p w:rsidR="00C8331F" w:rsidRPr="00C8331F" w:rsidRDefault="00C8331F" w:rsidP="00C8331F">
      <w:pPr>
        <w:sectPr w:rsidR="00C8331F" w:rsidRPr="00C8331F" w:rsidSect="000A4C0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start="1"/>
          <w:cols w:space="708"/>
          <w:titlePg/>
          <w:docGrid w:linePitch="360"/>
        </w:sectPr>
      </w:pPr>
    </w:p>
    <w:p w:rsidR="009A007B" w:rsidRPr="009A007B" w:rsidRDefault="009A007B" w:rsidP="009A007B">
      <w:r w:rsidRPr="00B47076">
        <w:lastRenderedPageBreak/>
        <w:t>Published by the Australian Commission on Safety and Quality in Health Care</w:t>
      </w:r>
      <w:r>
        <w:br/>
        <w:t>Level 5, 255 E</w:t>
      </w:r>
      <w:r w:rsidR="000406F8">
        <w:t>lizabeth Street, Sydney NSW 2000</w:t>
      </w:r>
    </w:p>
    <w:p w:rsidR="009A007B" w:rsidRPr="009A007B" w:rsidRDefault="009A007B" w:rsidP="009A007B">
      <w:r w:rsidRPr="00B47076">
        <w:t>Phone: (02) 9126 3600</w:t>
      </w:r>
      <w:r>
        <w:br/>
        <w:t>Fax: (02) 9126 3613</w:t>
      </w:r>
    </w:p>
    <w:p w:rsidR="002A68A3" w:rsidRPr="002A68A3" w:rsidRDefault="009A007B" w:rsidP="002A68A3">
      <w:pPr>
        <w:pStyle w:val="CommentText"/>
        <w:rPr>
          <w:rStyle w:val="Hyperlink"/>
          <w:sz w:val="22"/>
          <w:szCs w:val="22"/>
        </w:rPr>
      </w:pPr>
      <w:r w:rsidRPr="002A68A3">
        <w:rPr>
          <w:sz w:val="22"/>
          <w:szCs w:val="22"/>
        </w:rPr>
        <w:t xml:space="preserve">Email: </w:t>
      </w:r>
      <w:hyperlink r:id="rId16" w:history="1">
        <w:r w:rsidR="002A68A3" w:rsidRPr="002A68A3">
          <w:rPr>
            <w:rStyle w:val="Hyperlink"/>
            <w:sz w:val="22"/>
            <w:szCs w:val="22"/>
          </w:rPr>
          <w:t>eHealth&amp;MedSafetyAdmin@safetyandquality.gov.au</w:t>
        </w:r>
      </w:hyperlink>
    </w:p>
    <w:p w:rsidR="009A007B" w:rsidRPr="002A68A3" w:rsidRDefault="009A007B" w:rsidP="002A68A3">
      <w:pPr>
        <w:pStyle w:val="CommentText"/>
        <w:rPr>
          <w:sz w:val="22"/>
          <w:szCs w:val="22"/>
        </w:rPr>
      </w:pPr>
      <w:r w:rsidRPr="002A68A3">
        <w:rPr>
          <w:sz w:val="22"/>
          <w:szCs w:val="22"/>
        </w:rPr>
        <w:t>Website: www.safetyandquality.gov.au</w:t>
      </w:r>
      <w:r w:rsidRPr="002A68A3">
        <w:rPr>
          <w:rFonts w:ascii="Times New Roman" w:hAnsi="Times New Roman"/>
          <w:snapToGrid w:val="0"/>
          <w:color w:val="000000"/>
          <w:w w:val="0"/>
          <w:sz w:val="22"/>
          <w:szCs w:val="22"/>
          <w:u w:color="000000"/>
          <w:bdr w:val="none" w:sz="0" w:space="0" w:color="000000"/>
          <w:shd w:val="clear" w:color="000000" w:fill="000000"/>
          <w:lang w:val="x-none" w:eastAsia="x-none" w:bidi="x-none"/>
        </w:rPr>
        <w:t xml:space="preserve"> </w:t>
      </w:r>
    </w:p>
    <w:p w:rsidR="009A007B" w:rsidRPr="009A007B" w:rsidRDefault="009A007B" w:rsidP="009A007B">
      <w:r w:rsidRPr="00A77349">
        <w:t xml:space="preserve">ISBN: </w:t>
      </w:r>
      <w:r w:rsidR="00B737DD" w:rsidRPr="00B737DD">
        <w:t>978-1-925665-11-6</w:t>
      </w:r>
    </w:p>
    <w:p w:rsidR="009A007B" w:rsidRPr="009A007B" w:rsidRDefault="009A007B" w:rsidP="009A007B">
      <w:r w:rsidRPr="00B47076">
        <w:t xml:space="preserve">© Australian Commission on Safety and Quality in Health Care </w:t>
      </w:r>
      <w:r w:rsidR="00B737DD">
        <w:t>2017</w:t>
      </w:r>
    </w:p>
    <w:p w:rsidR="009A007B" w:rsidRPr="009A007B" w:rsidRDefault="009A007B" w:rsidP="009A007B">
      <w:r w:rsidRPr="00B47076">
        <w:t xml:space="preserve">All material and work produced by the Australian Commission on Safety and Quality in Health Care </w:t>
      </w:r>
      <w:r>
        <w:t>is protected by</w:t>
      </w:r>
      <w:r w:rsidRPr="00B47076">
        <w:t xml:space="preserve"> copyright. The Commission reserves the right to set out the terms and conditions for the use of such material. </w:t>
      </w:r>
    </w:p>
    <w:p w:rsidR="009A007B" w:rsidRPr="009A007B" w:rsidRDefault="009A007B" w:rsidP="009A007B">
      <w:r w:rsidRPr="00B47076">
        <w:t>As far as practicable, material for which the copyright is owned by a third party will be clearly labelled. The</w:t>
      </w:r>
      <w:r>
        <w:t xml:space="preserve"> </w:t>
      </w:r>
      <w:r w:rsidRPr="00B47076">
        <w:t>Australian Commission on Safety and Quality in Health Care has made all reasonable efforts to ensure that this material has been reproduced in this publication with the full consent of the copyright owners.</w:t>
      </w:r>
    </w:p>
    <w:p w:rsidR="009A007B" w:rsidRPr="00F549D7" w:rsidRDefault="009A007B" w:rsidP="009A007B">
      <w:pPr>
        <w:rPr>
          <w:u w:val="single"/>
        </w:rPr>
      </w:pPr>
      <w:r w:rsidRPr="00B47076">
        <w:t xml:space="preserve">With the exception of any material protected by a trademark, any content provided by third parties, and where otherwise noted, all material presented in this publication is </w:t>
      </w:r>
      <w:r w:rsidRPr="00F549D7">
        <w:t>licensed under a </w:t>
      </w:r>
      <w:hyperlink r:id="rId17" w:history="1">
        <w:r w:rsidRPr="00F549D7">
          <w:rPr>
            <w:rStyle w:val="Hyperlink"/>
            <w:rFonts w:cs="Arial"/>
          </w:rPr>
          <w:t>Creative Commons Attribution-NonCommercial-NoDerivatives 4.0 International Licen</w:t>
        </w:r>
        <w:r>
          <w:rPr>
            <w:rStyle w:val="Hyperlink"/>
            <w:rFonts w:cs="Arial"/>
          </w:rPr>
          <w:t>c</w:t>
        </w:r>
        <w:r w:rsidRPr="00F549D7">
          <w:rPr>
            <w:rStyle w:val="Hyperlink"/>
            <w:rFonts w:cs="Arial"/>
          </w:rPr>
          <w:t>e</w:t>
        </w:r>
      </w:hyperlink>
      <w:r w:rsidRPr="00F549D7">
        <w:rPr>
          <w:u w:val="single"/>
        </w:rPr>
        <w:t>.</w:t>
      </w:r>
    </w:p>
    <w:p w:rsidR="009A007B" w:rsidRPr="009A007B" w:rsidRDefault="009A007B" w:rsidP="009A007B">
      <w:r w:rsidRPr="00B47076">
        <w:rPr>
          <w:noProof/>
        </w:rPr>
        <w:drawing>
          <wp:inline distT="0" distB="0" distL="0" distR="0" wp14:anchorId="1E1F4E6B" wp14:editId="32101040">
            <wp:extent cx="840105" cy="297815"/>
            <wp:effectExtent l="0" t="0" r="0" b="6985"/>
            <wp:docPr id="9" name="Picture 9"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inline>
        </w:drawing>
      </w:r>
    </w:p>
    <w:p w:rsidR="009A007B" w:rsidRPr="009A007B" w:rsidRDefault="009A007B" w:rsidP="009A007B">
      <w:r>
        <w:t>E</w:t>
      </w:r>
      <w:r w:rsidRPr="00B47076">
        <w:t xml:space="preserve">nquiries regarding the licence and any use of this publication are welcome </w:t>
      </w:r>
      <w:r>
        <w:t xml:space="preserve">and can be sent to </w:t>
      </w:r>
      <w:hyperlink r:id="rId19" w:history="1">
        <w:r w:rsidRPr="00B47076">
          <w:rPr>
            <w:rStyle w:val="Hyperlink"/>
            <w:rFonts w:cs="Arial"/>
          </w:rPr>
          <w:t>communications@safetyandquality.gov.au</w:t>
        </w:r>
      </w:hyperlink>
      <w:r w:rsidRPr="00B47076">
        <w:t>.</w:t>
      </w:r>
    </w:p>
    <w:p w:rsidR="009A007B" w:rsidRPr="009A007B" w:rsidRDefault="009A007B" w:rsidP="009A007B">
      <w:r w:rsidRPr="00B47076">
        <w:t xml:space="preserve">The Commission’s preference is that you attribute this publication (and any material sourced from it) using the following citation: </w:t>
      </w:r>
    </w:p>
    <w:p w:rsidR="009A007B" w:rsidRPr="009A007B" w:rsidRDefault="009A007B" w:rsidP="009A007B">
      <w:pPr>
        <w:ind w:left="720"/>
      </w:pPr>
      <w:proofErr w:type="gramStart"/>
      <w:r w:rsidRPr="006137A9">
        <w:t>Australian Commission on Safety and Quality in Health Care.</w:t>
      </w:r>
      <w:proofErr w:type="gramEnd"/>
      <w:r w:rsidRPr="006137A9">
        <w:t xml:space="preserve"> </w:t>
      </w:r>
      <w:r w:rsidR="006137A9">
        <w:t>Development and evaluation of a subcutaneous insulin chart in subacute hospitals and mental health facilities</w:t>
      </w:r>
      <w:r w:rsidRPr="006137A9">
        <w:t xml:space="preserve">. Sydney: ACSQHC; </w:t>
      </w:r>
      <w:r w:rsidR="006137A9">
        <w:t>2017</w:t>
      </w:r>
      <w:r w:rsidR="00DB5911">
        <w:br/>
      </w:r>
    </w:p>
    <w:p w:rsidR="009A007B" w:rsidRPr="009A007B" w:rsidRDefault="009A007B" w:rsidP="009A007B">
      <w:r w:rsidRPr="009A007B">
        <w:rPr>
          <w:rStyle w:val="Strong"/>
        </w:rPr>
        <w:t>Disclaimer</w:t>
      </w:r>
    </w:p>
    <w:p w:rsidR="00BA4AEE" w:rsidRDefault="009A007B" w:rsidP="00BA4AEE">
      <w:r w:rsidRPr="009A007B">
        <w:t xml:space="preserve">The content of this document is published in good faith by </w:t>
      </w:r>
      <w:r w:rsidR="00CB5999">
        <w:t xml:space="preserve">the </w:t>
      </w:r>
      <w:r w:rsidRPr="009A007B">
        <w:t>Australian Commission on Safety and Quality in Health Care (the Commission) for information purposes. The document is not intended to provid</w:t>
      </w:r>
      <w:r w:rsidR="00CB5999">
        <w:t>e guidance on particular health</w:t>
      </w:r>
      <w:r w:rsidRPr="009A007B">
        <w:t>care choices. You should contact your health car</w:t>
      </w:r>
      <w:r w:rsidR="00CB5999">
        <w:t>e provider on particular health</w:t>
      </w:r>
      <w:r w:rsidRPr="009A007B">
        <w:t xml:space="preserve">care choices. </w:t>
      </w:r>
      <w:r w:rsidRPr="009A007B">
        <w:br/>
      </w:r>
    </w:p>
    <w:p w:rsidR="009A007B" w:rsidRPr="009A007B" w:rsidRDefault="009A007B" w:rsidP="00BA4AEE">
      <w:pPr>
        <w:rPr>
          <w:b/>
          <w:bCs/>
          <w:i/>
          <w:smallCaps/>
        </w:rPr>
      </w:pPr>
      <w:r w:rsidRPr="009A007B">
        <w:t xml:space="preserve">The Commission does not accept any legal liability for any injury, loss or damage incurred by the use of, or reliance on, this document. </w:t>
      </w:r>
    </w:p>
    <w:p w:rsidR="00BC07E4" w:rsidRPr="00BC07E4" w:rsidRDefault="00BC07E4" w:rsidP="009A007B">
      <w:r>
        <w:br w:type="page"/>
      </w:r>
    </w:p>
    <w:p w:rsidR="00865932" w:rsidRDefault="00865932" w:rsidP="00B904EC">
      <w:pPr>
        <w:spacing w:after="240"/>
        <w:ind w:left="720" w:hanging="720"/>
        <w:rPr>
          <w:rFonts w:ascii="Arial" w:hAnsi="Arial" w:cs="Arial"/>
          <w:color w:val="000000"/>
          <w:szCs w:val="20"/>
        </w:rPr>
        <w:sectPr w:rsidR="00865932" w:rsidSect="000A4C01">
          <w:footerReference w:type="first" r:id="rId20"/>
          <w:pgSz w:w="11906" w:h="16838"/>
          <w:pgMar w:top="1440" w:right="1440" w:bottom="1440" w:left="1440" w:header="708" w:footer="708" w:gutter="0"/>
          <w:pgNumType w:fmt="lowerRoman" w:start="1"/>
          <w:cols w:space="708"/>
          <w:titlePg/>
          <w:docGrid w:linePitch="360"/>
        </w:sectPr>
      </w:pPr>
      <w:bookmarkStart w:id="8" w:name="_Toc482782728"/>
    </w:p>
    <w:bookmarkEnd w:id="8" w:displacedByCustomXml="next"/>
    <w:sdt>
      <w:sdtPr>
        <w:rPr>
          <w:rFonts w:asciiTheme="minorHAnsi" w:eastAsia="Times New Roman" w:hAnsiTheme="minorHAnsi" w:cs="Times New Roman"/>
          <w:b w:val="0"/>
          <w:bCs w:val="0"/>
          <w:color w:val="auto"/>
          <w:sz w:val="22"/>
          <w:szCs w:val="22"/>
          <w:lang w:val="en-AU" w:eastAsia="en-AU"/>
        </w:rPr>
        <w:id w:val="-1681035797"/>
        <w:docPartObj>
          <w:docPartGallery w:val="Table of Contents"/>
          <w:docPartUnique/>
        </w:docPartObj>
      </w:sdtPr>
      <w:sdtEndPr>
        <w:rPr>
          <w:noProof/>
        </w:rPr>
      </w:sdtEndPr>
      <w:sdtContent>
        <w:p w:rsidR="00F63C10" w:rsidRDefault="00F63C10">
          <w:pPr>
            <w:pStyle w:val="TOCHeading"/>
          </w:pPr>
          <w:r>
            <w:t>Contents</w:t>
          </w:r>
        </w:p>
        <w:p w:rsidR="002D3684" w:rsidRDefault="00F63C10">
          <w:pPr>
            <w:pStyle w:val="TOC1"/>
            <w:tabs>
              <w:tab w:val="right" w:leader="dot" w:pos="9016"/>
            </w:tabs>
            <w:rPr>
              <w:rFonts w:eastAsiaTheme="minorEastAsia" w:cstheme="minorBidi"/>
              <w:b w:val="0"/>
              <w:bCs w:val="0"/>
              <w:noProof/>
              <w:color w:val="auto"/>
              <w:sz w:val="22"/>
              <w:szCs w:val="22"/>
            </w:rPr>
          </w:pPr>
          <w:r>
            <w:rPr>
              <w:b w:val="0"/>
              <w:bCs w:val="0"/>
            </w:rPr>
            <w:fldChar w:fldCharType="begin"/>
          </w:r>
          <w:r>
            <w:instrText xml:space="preserve"> TOC \o "1-3" \h \z \u </w:instrText>
          </w:r>
          <w:r>
            <w:rPr>
              <w:b w:val="0"/>
              <w:bCs w:val="0"/>
            </w:rPr>
            <w:fldChar w:fldCharType="separate"/>
          </w:r>
          <w:hyperlink w:anchor="_Toc497132925" w:history="1">
            <w:r w:rsidR="002D3684" w:rsidRPr="007169DB">
              <w:rPr>
                <w:rStyle w:val="Hyperlink"/>
                <w:noProof/>
              </w:rPr>
              <w:t>Context and background</w:t>
            </w:r>
            <w:r w:rsidR="002D3684">
              <w:rPr>
                <w:noProof/>
                <w:webHidden/>
              </w:rPr>
              <w:tab/>
            </w:r>
            <w:r w:rsidR="002D3684">
              <w:rPr>
                <w:noProof/>
                <w:webHidden/>
              </w:rPr>
              <w:fldChar w:fldCharType="begin"/>
            </w:r>
            <w:r w:rsidR="002D3684">
              <w:rPr>
                <w:noProof/>
                <w:webHidden/>
              </w:rPr>
              <w:instrText xml:space="preserve"> PAGEREF _Toc497132925 \h </w:instrText>
            </w:r>
            <w:r w:rsidR="002D3684">
              <w:rPr>
                <w:noProof/>
                <w:webHidden/>
              </w:rPr>
            </w:r>
            <w:r w:rsidR="002D3684">
              <w:rPr>
                <w:noProof/>
                <w:webHidden/>
              </w:rPr>
              <w:fldChar w:fldCharType="separate"/>
            </w:r>
            <w:r w:rsidR="002D3684">
              <w:rPr>
                <w:noProof/>
                <w:webHidden/>
              </w:rPr>
              <w:t>2</w:t>
            </w:r>
            <w:r w:rsidR="002D3684">
              <w:rPr>
                <w:noProof/>
                <w:webHidden/>
              </w:rPr>
              <w:fldChar w:fldCharType="end"/>
            </w:r>
          </w:hyperlink>
        </w:p>
        <w:p w:rsidR="002D3684" w:rsidRDefault="004A496B">
          <w:pPr>
            <w:pStyle w:val="TOC2"/>
            <w:rPr>
              <w:rFonts w:eastAsiaTheme="minorEastAsia" w:cstheme="minorBidi"/>
              <w:noProof/>
              <w:szCs w:val="22"/>
            </w:rPr>
          </w:pPr>
          <w:hyperlink w:anchor="_Toc497132926" w:history="1">
            <w:r w:rsidR="002D3684" w:rsidRPr="007169DB">
              <w:rPr>
                <w:rStyle w:val="Hyperlink"/>
                <w:noProof/>
              </w:rPr>
              <w:t>Objective</w:t>
            </w:r>
            <w:r w:rsidR="002D3684">
              <w:rPr>
                <w:noProof/>
                <w:webHidden/>
              </w:rPr>
              <w:tab/>
            </w:r>
            <w:r w:rsidR="002D3684">
              <w:rPr>
                <w:noProof/>
                <w:webHidden/>
              </w:rPr>
              <w:fldChar w:fldCharType="begin"/>
            </w:r>
            <w:r w:rsidR="002D3684">
              <w:rPr>
                <w:noProof/>
                <w:webHidden/>
              </w:rPr>
              <w:instrText xml:space="preserve"> PAGEREF _Toc497132926 \h </w:instrText>
            </w:r>
            <w:r w:rsidR="002D3684">
              <w:rPr>
                <w:noProof/>
                <w:webHidden/>
              </w:rPr>
            </w:r>
            <w:r w:rsidR="002D3684">
              <w:rPr>
                <w:noProof/>
                <w:webHidden/>
              </w:rPr>
              <w:fldChar w:fldCharType="separate"/>
            </w:r>
            <w:r w:rsidR="002D3684">
              <w:rPr>
                <w:noProof/>
                <w:webHidden/>
              </w:rPr>
              <w:t>2</w:t>
            </w:r>
            <w:r w:rsidR="002D3684">
              <w:rPr>
                <w:noProof/>
                <w:webHidden/>
              </w:rPr>
              <w:fldChar w:fldCharType="end"/>
            </w:r>
          </w:hyperlink>
        </w:p>
        <w:p w:rsidR="002D3684" w:rsidRDefault="004A496B">
          <w:pPr>
            <w:pStyle w:val="TOC1"/>
            <w:tabs>
              <w:tab w:val="right" w:leader="dot" w:pos="9016"/>
            </w:tabs>
            <w:rPr>
              <w:rFonts w:eastAsiaTheme="minorEastAsia" w:cstheme="minorBidi"/>
              <w:b w:val="0"/>
              <w:bCs w:val="0"/>
              <w:noProof/>
              <w:color w:val="auto"/>
              <w:sz w:val="22"/>
              <w:szCs w:val="22"/>
            </w:rPr>
          </w:pPr>
          <w:hyperlink w:anchor="_Toc497132927" w:history="1">
            <w:r w:rsidR="002D3684" w:rsidRPr="007169DB">
              <w:rPr>
                <w:rStyle w:val="Hyperlink"/>
                <w:noProof/>
              </w:rPr>
              <w:t>Method</w:t>
            </w:r>
            <w:r w:rsidR="002D3684">
              <w:rPr>
                <w:noProof/>
                <w:webHidden/>
              </w:rPr>
              <w:tab/>
            </w:r>
            <w:r w:rsidR="002D3684">
              <w:rPr>
                <w:noProof/>
                <w:webHidden/>
              </w:rPr>
              <w:fldChar w:fldCharType="begin"/>
            </w:r>
            <w:r w:rsidR="002D3684">
              <w:rPr>
                <w:noProof/>
                <w:webHidden/>
              </w:rPr>
              <w:instrText xml:space="preserve"> PAGEREF _Toc497132927 \h </w:instrText>
            </w:r>
            <w:r w:rsidR="002D3684">
              <w:rPr>
                <w:noProof/>
                <w:webHidden/>
              </w:rPr>
            </w:r>
            <w:r w:rsidR="002D3684">
              <w:rPr>
                <w:noProof/>
                <w:webHidden/>
              </w:rPr>
              <w:fldChar w:fldCharType="separate"/>
            </w:r>
            <w:r w:rsidR="002D3684">
              <w:rPr>
                <w:noProof/>
                <w:webHidden/>
              </w:rPr>
              <w:t>3</w:t>
            </w:r>
            <w:r w:rsidR="002D3684">
              <w:rPr>
                <w:noProof/>
                <w:webHidden/>
              </w:rPr>
              <w:fldChar w:fldCharType="end"/>
            </w:r>
          </w:hyperlink>
        </w:p>
        <w:p w:rsidR="002D3684" w:rsidRDefault="004A496B">
          <w:pPr>
            <w:pStyle w:val="TOC2"/>
            <w:rPr>
              <w:rFonts w:eastAsiaTheme="minorEastAsia" w:cstheme="minorBidi"/>
              <w:noProof/>
              <w:szCs w:val="22"/>
            </w:rPr>
          </w:pPr>
          <w:hyperlink w:anchor="_Toc497132928" w:history="1">
            <w:r w:rsidR="002D3684" w:rsidRPr="007169DB">
              <w:rPr>
                <w:rStyle w:val="Hyperlink"/>
                <w:noProof/>
              </w:rPr>
              <w:t>Evaluation</w:t>
            </w:r>
            <w:r w:rsidR="002D3684">
              <w:rPr>
                <w:noProof/>
                <w:webHidden/>
              </w:rPr>
              <w:tab/>
            </w:r>
            <w:r w:rsidR="002D3684">
              <w:rPr>
                <w:noProof/>
                <w:webHidden/>
              </w:rPr>
              <w:fldChar w:fldCharType="begin"/>
            </w:r>
            <w:r w:rsidR="002D3684">
              <w:rPr>
                <w:noProof/>
                <w:webHidden/>
              </w:rPr>
              <w:instrText xml:space="preserve"> PAGEREF _Toc497132928 \h </w:instrText>
            </w:r>
            <w:r w:rsidR="002D3684">
              <w:rPr>
                <w:noProof/>
                <w:webHidden/>
              </w:rPr>
            </w:r>
            <w:r w:rsidR="002D3684">
              <w:rPr>
                <w:noProof/>
                <w:webHidden/>
              </w:rPr>
              <w:fldChar w:fldCharType="separate"/>
            </w:r>
            <w:r w:rsidR="002D3684">
              <w:rPr>
                <w:noProof/>
                <w:webHidden/>
              </w:rPr>
              <w:t>3</w:t>
            </w:r>
            <w:r w:rsidR="002D3684">
              <w:rPr>
                <w:noProof/>
                <w:webHidden/>
              </w:rPr>
              <w:fldChar w:fldCharType="end"/>
            </w:r>
          </w:hyperlink>
        </w:p>
        <w:p w:rsidR="002D3684" w:rsidRDefault="004A496B">
          <w:pPr>
            <w:pStyle w:val="TOC1"/>
            <w:tabs>
              <w:tab w:val="right" w:leader="dot" w:pos="9016"/>
            </w:tabs>
            <w:rPr>
              <w:rFonts w:eastAsiaTheme="minorEastAsia" w:cstheme="minorBidi"/>
              <w:b w:val="0"/>
              <w:bCs w:val="0"/>
              <w:noProof/>
              <w:color w:val="auto"/>
              <w:sz w:val="22"/>
              <w:szCs w:val="22"/>
            </w:rPr>
          </w:pPr>
          <w:hyperlink w:anchor="_Toc497132929" w:history="1">
            <w:r w:rsidR="002D3684" w:rsidRPr="007169DB">
              <w:rPr>
                <w:rStyle w:val="Hyperlink"/>
                <w:noProof/>
              </w:rPr>
              <w:t>Results</w:t>
            </w:r>
            <w:r w:rsidR="002D3684">
              <w:rPr>
                <w:noProof/>
                <w:webHidden/>
              </w:rPr>
              <w:tab/>
            </w:r>
            <w:r w:rsidR="002D3684">
              <w:rPr>
                <w:noProof/>
                <w:webHidden/>
              </w:rPr>
              <w:fldChar w:fldCharType="begin"/>
            </w:r>
            <w:r w:rsidR="002D3684">
              <w:rPr>
                <w:noProof/>
                <w:webHidden/>
              </w:rPr>
              <w:instrText xml:space="preserve"> PAGEREF _Toc497132929 \h </w:instrText>
            </w:r>
            <w:r w:rsidR="002D3684">
              <w:rPr>
                <w:noProof/>
                <w:webHidden/>
              </w:rPr>
            </w:r>
            <w:r w:rsidR="002D3684">
              <w:rPr>
                <w:noProof/>
                <w:webHidden/>
              </w:rPr>
              <w:fldChar w:fldCharType="separate"/>
            </w:r>
            <w:r w:rsidR="002D3684">
              <w:rPr>
                <w:noProof/>
                <w:webHidden/>
              </w:rPr>
              <w:t>4</w:t>
            </w:r>
            <w:r w:rsidR="002D3684">
              <w:rPr>
                <w:noProof/>
                <w:webHidden/>
              </w:rPr>
              <w:fldChar w:fldCharType="end"/>
            </w:r>
          </w:hyperlink>
        </w:p>
        <w:p w:rsidR="002D3684" w:rsidRDefault="004A496B">
          <w:pPr>
            <w:pStyle w:val="TOC3"/>
            <w:rPr>
              <w:rFonts w:eastAsiaTheme="minorEastAsia" w:cstheme="minorBidi"/>
              <w:iCs w:val="0"/>
              <w:szCs w:val="22"/>
            </w:rPr>
          </w:pPr>
          <w:hyperlink w:anchor="_Toc497132930" w:history="1">
            <w:r w:rsidR="002D3684" w:rsidRPr="007169DB">
              <w:rPr>
                <w:rStyle w:val="Hyperlink"/>
              </w:rPr>
              <w:t>Changes associated with use of the chart</w:t>
            </w:r>
            <w:r w:rsidR="002D3684">
              <w:rPr>
                <w:webHidden/>
              </w:rPr>
              <w:tab/>
            </w:r>
            <w:r w:rsidR="002D3684">
              <w:rPr>
                <w:webHidden/>
              </w:rPr>
              <w:fldChar w:fldCharType="begin"/>
            </w:r>
            <w:r w:rsidR="002D3684">
              <w:rPr>
                <w:webHidden/>
              </w:rPr>
              <w:instrText xml:space="preserve"> PAGEREF _Toc497132930 \h </w:instrText>
            </w:r>
            <w:r w:rsidR="002D3684">
              <w:rPr>
                <w:webHidden/>
              </w:rPr>
            </w:r>
            <w:r w:rsidR="002D3684">
              <w:rPr>
                <w:webHidden/>
              </w:rPr>
              <w:fldChar w:fldCharType="separate"/>
            </w:r>
            <w:r w:rsidR="002D3684">
              <w:rPr>
                <w:webHidden/>
              </w:rPr>
              <w:t>4</w:t>
            </w:r>
            <w:r w:rsidR="002D3684">
              <w:rPr>
                <w:webHidden/>
              </w:rPr>
              <w:fldChar w:fldCharType="end"/>
            </w:r>
          </w:hyperlink>
        </w:p>
        <w:p w:rsidR="002D3684" w:rsidRDefault="004A496B">
          <w:pPr>
            <w:pStyle w:val="TOC1"/>
            <w:tabs>
              <w:tab w:val="right" w:leader="dot" w:pos="9016"/>
            </w:tabs>
            <w:rPr>
              <w:rFonts w:eastAsiaTheme="minorEastAsia" w:cstheme="minorBidi"/>
              <w:b w:val="0"/>
              <w:bCs w:val="0"/>
              <w:noProof/>
              <w:color w:val="auto"/>
              <w:sz w:val="22"/>
              <w:szCs w:val="22"/>
            </w:rPr>
          </w:pPr>
          <w:hyperlink w:anchor="_Toc497132931" w:history="1">
            <w:r w:rsidR="002D3684" w:rsidRPr="007169DB">
              <w:rPr>
                <w:rStyle w:val="Hyperlink"/>
                <w:noProof/>
              </w:rPr>
              <w:t>Conclusion</w:t>
            </w:r>
            <w:r w:rsidR="002D3684">
              <w:rPr>
                <w:noProof/>
                <w:webHidden/>
              </w:rPr>
              <w:tab/>
            </w:r>
            <w:r w:rsidR="002D3684">
              <w:rPr>
                <w:noProof/>
                <w:webHidden/>
              </w:rPr>
              <w:fldChar w:fldCharType="begin"/>
            </w:r>
            <w:r w:rsidR="002D3684">
              <w:rPr>
                <w:noProof/>
                <w:webHidden/>
              </w:rPr>
              <w:instrText xml:space="preserve"> PAGEREF _Toc497132931 \h </w:instrText>
            </w:r>
            <w:r w:rsidR="002D3684">
              <w:rPr>
                <w:noProof/>
                <w:webHidden/>
              </w:rPr>
            </w:r>
            <w:r w:rsidR="002D3684">
              <w:rPr>
                <w:noProof/>
                <w:webHidden/>
              </w:rPr>
              <w:fldChar w:fldCharType="separate"/>
            </w:r>
            <w:r w:rsidR="002D3684">
              <w:rPr>
                <w:noProof/>
                <w:webHidden/>
              </w:rPr>
              <w:t>9</w:t>
            </w:r>
            <w:r w:rsidR="002D3684">
              <w:rPr>
                <w:noProof/>
                <w:webHidden/>
              </w:rPr>
              <w:fldChar w:fldCharType="end"/>
            </w:r>
          </w:hyperlink>
        </w:p>
        <w:p w:rsidR="002D3684" w:rsidRDefault="004A496B">
          <w:pPr>
            <w:pStyle w:val="TOC1"/>
            <w:tabs>
              <w:tab w:val="right" w:leader="dot" w:pos="9016"/>
            </w:tabs>
            <w:rPr>
              <w:rFonts w:eastAsiaTheme="minorEastAsia" w:cstheme="minorBidi"/>
              <w:b w:val="0"/>
              <w:bCs w:val="0"/>
              <w:noProof/>
              <w:color w:val="auto"/>
              <w:sz w:val="22"/>
              <w:szCs w:val="22"/>
            </w:rPr>
          </w:pPr>
          <w:hyperlink w:anchor="_Toc497132932" w:history="1">
            <w:r w:rsidR="002D3684" w:rsidRPr="007169DB">
              <w:rPr>
                <w:rStyle w:val="Hyperlink"/>
                <w:noProof/>
              </w:rPr>
              <w:t>Recommendations</w:t>
            </w:r>
            <w:r w:rsidR="002D3684">
              <w:rPr>
                <w:noProof/>
                <w:webHidden/>
              </w:rPr>
              <w:tab/>
            </w:r>
            <w:r w:rsidR="002D3684">
              <w:rPr>
                <w:noProof/>
                <w:webHidden/>
              </w:rPr>
              <w:fldChar w:fldCharType="begin"/>
            </w:r>
            <w:r w:rsidR="002D3684">
              <w:rPr>
                <w:noProof/>
                <w:webHidden/>
              </w:rPr>
              <w:instrText xml:space="preserve"> PAGEREF _Toc497132932 \h </w:instrText>
            </w:r>
            <w:r w:rsidR="002D3684">
              <w:rPr>
                <w:noProof/>
                <w:webHidden/>
              </w:rPr>
            </w:r>
            <w:r w:rsidR="002D3684">
              <w:rPr>
                <w:noProof/>
                <w:webHidden/>
              </w:rPr>
              <w:fldChar w:fldCharType="separate"/>
            </w:r>
            <w:r w:rsidR="002D3684">
              <w:rPr>
                <w:noProof/>
                <w:webHidden/>
              </w:rPr>
              <w:t>10</w:t>
            </w:r>
            <w:r w:rsidR="002D3684">
              <w:rPr>
                <w:noProof/>
                <w:webHidden/>
              </w:rPr>
              <w:fldChar w:fldCharType="end"/>
            </w:r>
          </w:hyperlink>
        </w:p>
        <w:p w:rsidR="00F63C10" w:rsidRDefault="00F63C10">
          <w:r>
            <w:rPr>
              <w:b/>
              <w:bCs/>
              <w:noProof/>
            </w:rPr>
            <w:fldChar w:fldCharType="end"/>
          </w:r>
        </w:p>
      </w:sdtContent>
    </w:sdt>
    <w:p w:rsidR="00865932" w:rsidRDefault="00865932" w:rsidP="009424A5">
      <w:pPr>
        <w:pStyle w:val="Heading1"/>
        <w:sectPr w:rsidR="00865932" w:rsidSect="000A4C01">
          <w:footerReference w:type="default" r:id="rId21"/>
          <w:pgSz w:w="11906" w:h="16838"/>
          <w:pgMar w:top="1440" w:right="1440" w:bottom="1440" w:left="1440" w:header="708" w:footer="708" w:gutter="0"/>
          <w:pgNumType w:start="1"/>
          <w:cols w:space="708"/>
          <w:docGrid w:linePitch="360"/>
        </w:sectPr>
      </w:pPr>
    </w:p>
    <w:p w:rsidR="00F34D63" w:rsidRPr="009424A5" w:rsidRDefault="0003162D" w:rsidP="0003162D">
      <w:pPr>
        <w:pStyle w:val="Heading1"/>
      </w:pPr>
      <w:bookmarkStart w:id="9" w:name="_Toc497132925"/>
      <w:bookmarkEnd w:id="3"/>
      <w:bookmarkEnd w:id="4"/>
      <w:bookmarkEnd w:id="5"/>
      <w:bookmarkEnd w:id="6"/>
      <w:bookmarkEnd w:id="7"/>
      <w:r>
        <w:lastRenderedPageBreak/>
        <w:t>Context and background</w:t>
      </w:r>
      <w:bookmarkEnd w:id="9"/>
    </w:p>
    <w:p w:rsidR="00A15082" w:rsidRDefault="00B047DF" w:rsidP="00020DBD">
      <w:r>
        <w:t>In May 2017, the Australian Commission on Safety and Quality in Health Care</w:t>
      </w:r>
      <w:r w:rsidR="00A35AE9">
        <w:t xml:space="preserve"> (the Commission)</w:t>
      </w:r>
      <w:r>
        <w:t xml:space="preserve"> released the national subcutaneous insulin chart for use in adult patients in acute hospitals</w:t>
      </w:r>
      <w:r w:rsidR="00D15CED">
        <w:t>.</w:t>
      </w:r>
      <w:r w:rsidR="005C4A84" w:rsidRPr="00CA38BF">
        <w:rPr>
          <w:rStyle w:val="FootnoteReference"/>
          <w:vertAlign w:val="baseline"/>
        </w:rPr>
        <w:footnoteReference w:id="2"/>
      </w:r>
      <w:r>
        <w:t xml:space="preserve"> The chart aims to improve the management of patients with increased glycaemic needs.</w:t>
      </w:r>
    </w:p>
    <w:p w:rsidR="00B047DF" w:rsidRDefault="00B047DF" w:rsidP="00020DBD">
      <w:r>
        <w:t>The chart allows blood glucose monitoring and management on the same chart that insulin is prescribed and administered.</w:t>
      </w:r>
    </w:p>
    <w:p w:rsidR="00B047DF" w:rsidRDefault="00B047DF" w:rsidP="00020DBD">
      <w:r>
        <w:t xml:space="preserve">During the consultation process that preceded the hospital pilot, it became clear that the guidelines for the management of </w:t>
      </w:r>
      <w:r w:rsidR="00A35AE9">
        <w:t>abnormal blood glucose levels</w:t>
      </w:r>
      <w:r>
        <w:t xml:space="preserve"> </w:t>
      </w:r>
      <w:r w:rsidR="00A35AE9">
        <w:t>(</w:t>
      </w:r>
      <w:r>
        <w:t>BGL</w:t>
      </w:r>
      <w:r w:rsidR="0097377D">
        <w:t>s</w:t>
      </w:r>
      <w:r w:rsidR="00A35AE9">
        <w:t>)</w:t>
      </w:r>
      <w:r w:rsidR="00C8331F">
        <w:t>,</w:t>
      </w:r>
      <w:r>
        <w:t xml:space="preserve"> printed on the chart</w:t>
      </w:r>
      <w:r w:rsidR="00A35AE9">
        <w:t>’</w:t>
      </w:r>
      <w:r>
        <w:t>s reverse side</w:t>
      </w:r>
      <w:r w:rsidR="00C8331F">
        <w:t>,</w:t>
      </w:r>
      <w:r>
        <w:t xml:space="preserve"> were not suitable </w:t>
      </w:r>
      <w:r w:rsidR="00620C69">
        <w:t xml:space="preserve">for </w:t>
      </w:r>
      <w:r>
        <w:t xml:space="preserve">subacute and mental health </w:t>
      </w:r>
      <w:r w:rsidR="00620C69">
        <w:t>facilities</w:t>
      </w:r>
      <w:r>
        <w:t>.</w:t>
      </w:r>
    </w:p>
    <w:p w:rsidR="00B047DF" w:rsidRDefault="00B047DF" w:rsidP="00020DBD">
      <w:r>
        <w:t xml:space="preserve">A </w:t>
      </w:r>
      <w:r w:rsidR="00543061">
        <w:t xml:space="preserve">modified </w:t>
      </w:r>
      <w:r>
        <w:t>guideline was develop</w:t>
      </w:r>
      <w:r w:rsidR="00A04882">
        <w:t>ed</w:t>
      </w:r>
      <w:r>
        <w:t xml:space="preserve"> by the national insulin form pilot </w:t>
      </w:r>
      <w:r w:rsidR="002D5342">
        <w:t xml:space="preserve">advisory group and a </w:t>
      </w:r>
      <w:r>
        <w:t>pilot was conducted in three subacute and mental health hospitals.</w:t>
      </w:r>
    </w:p>
    <w:p w:rsidR="002D5342" w:rsidRDefault="005C4A84" w:rsidP="00020DBD">
      <w:r>
        <w:t>For detailed information about the design and development of the national subcutaneous insulin charts</w:t>
      </w:r>
      <w:r w:rsidR="00A961DF">
        <w:t>,</w:t>
      </w:r>
      <w:r>
        <w:t xml:space="preserve"> refer to </w:t>
      </w:r>
      <w:r w:rsidRPr="00A35AE9">
        <w:rPr>
          <w:i/>
        </w:rPr>
        <w:t xml:space="preserve">Development and </w:t>
      </w:r>
      <w:r w:rsidR="00D15CED">
        <w:rPr>
          <w:i/>
        </w:rPr>
        <w:t>E</w:t>
      </w:r>
      <w:r w:rsidRPr="00A35AE9">
        <w:rPr>
          <w:i/>
        </w:rPr>
        <w:t xml:space="preserve">valuation of a </w:t>
      </w:r>
      <w:r w:rsidR="00D15CED">
        <w:rPr>
          <w:i/>
        </w:rPr>
        <w:t>N</w:t>
      </w:r>
      <w:r w:rsidRPr="00A35AE9">
        <w:rPr>
          <w:i/>
        </w:rPr>
        <w:t xml:space="preserve">ew </w:t>
      </w:r>
      <w:r w:rsidR="00D15CED">
        <w:rPr>
          <w:i/>
        </w:rPr>
        <w:t>C</w:t>
      </w:r>
      <w:r w:rsidRPr="00A35AE9">
        <w:rPr>
          <w:i/>
        </w:rPr>
        <w:t xml:space="preserve">hart for </w:t>
      </w:r>
      <w:r w:rsidR="00D15CED">
        <w:rPr>
          <w:i/>
        </w:rPr>
        <w:t>S</w:t>
      </w:r>
      <w:r w:rsidRPr="00A35AE9">
        <w:rPr>
          <w:i/>
        </w:rPr>
        <w:t xml:space="preserve">ubcutaneous </w:t>
      </w:r>
      <w:r w:rsidR="00D15CED">
        <w:rPr>
          <w:i/>
        </w:rPr>
        <w:t>I</w:t>
      </w:r>
      <w:r w:rsidRPr="00A35AE9">
        <w:rPr>
          <w:i/>
        </w:rPr>
        <w:t xml:space="preserve">nsulin </w:t>
      </w:r>
      <w:r w:rsidR="00D15CED">
        <w:rPr>
          <w:i/>
        </w:rPr>
        <w:t>A</w:t>
      </w:r>
      <w:r w:rsidRPr="00A35AE9">
        <w:rPr>
          <w:i/>
        </w:rPr>
        <w:t xml:space="preserve">dministration in </w:t>
      </w:r>
      <w:r w:rsidR="00D15CED">
        <w:rPr>
          <w:i/>
        </w:rPr>
        <w:t>A</w:t>
      </w:r>
      <w:r w:rsidRPr="00A35AE9">
        <w:rPr>
          <w:i/>
        </w:rPr>
        <w:t xml:space="preserve">cute </w:t>
      </w:r>
      <w:r w:rsidR="00D15CED">
        <w:rPr>
          <w:i/>
        </w:rPr>
        <w:t>C</w:t>
      </w:r>
      <w:r w:rsidRPr="00A35AE9">
        <w:rPr>
          <w:i/>
        </w:rPr>
        <w:t xml:space="preserve">are </w:t>
      </w:r>
      <w:r w:rsidR="00D15CED">
        <w:rPr>
          <w:i/>
        </w:rPr>
        <w:t>S</w:t>
      </w:r>
      <w:r w:rsidRPr="00A35AE9">
        <w:rPr>
          <w:i/>
        </w:rPr>
        <w:t>ettings</w:t>
      </w:r>
      <w:r>
        <w:rPr>
          <w:rStyle w:val="FootnoteReference"/>
        </w:rPr>
        <w:footnoteReference w:id="3"/>
      </w:r>
      <w:r w:rsidR="00A961DF">
        <w:rPr>
          <w:i/>
        </w:rPr>
        <w:t>,</w:t>
      </w:r>
      <w:r>
        <w:t xml:space="preserve"> available on the Commission</w:t>
      </w:r>
      <w:r w:rsidR="00A35AE9">
        <w:t>’</w:t>
      </w:r>
      <w:r>
        <w:t>s website.</w:t>
      </w:r>
    </w:p>
    <w:p w:rsidR="0003162D" w:rsidRDefault="0003162D" w:rsidP="0003162D">
      <w:pPr>
        <w:pStyle w:val="Heading2"/>
      </w:pPr>
      <w:bookmarkStart w:id="10" w:name="_Toc497132926"/>
      <w:r>
        <w:t>Objective</w:t>
      </w:r>
      <w:bookmarkEnd w:id="10"/>
    </w:p>
    <w:p w:rsidR="00A04882" w:rsidRDefault="00A04882" w:rsidP="000E5E5C">
      <w:pPr>
        <w:pStyle w:val="NormalBeforeBullet"/>
        <w:spacing w:after="0"/>
      </w:pPr>
      <w:r>
        <w:t xml:space="preserve">The objectives of the </w:t>
      </w:r>
      <w:r w:rsidR="00C8331F">
        <w:t xml:space="preserve">project </w:t>
      </w:r>
      <w:r>
        <w:t xml:space="preserve">were to evaluate the impact of the </w:t>
      </w:r>
      <w:r w:rsidR="00D15CED">
        <w:t xml:space="preserve">national subcutaneous insulin </w:t>
      </w:r>
      <w:r>
        <w:t xml:space="preserve">chart on: </w:t>
      </w:r>
    </w:p>
    <w:p w:rsidR="00A04882" w:rsidRDefault="00A04882" w:rsidP="000E5E5C">
      <w:pPr>
        <w:numPr>
          <w:ilvl w:val="0"/>
          <w:numId w:val="28"/>
        </w:numPr>
        <w:spacing w:after="0"/>
        <w:ind w:left="714" w:hanging="357"/>
      </w:pPr>
      <w:r>
        <w:t>The safety and quality of prescribing and administration of subcutaneous insulin in t</w:t>
      </w:r>
      <w:r w:rsidR="000764F2">
        <w:t>he adult inpatient setting of a sub</w:t>
      </w:r>
      <w:r>
        <w:t xml:space="preserve">acute care hospital </w:t>
      </w:r>
    </w:p>
    <w:p w:rsidR="00A04882" w:rsidRDefault="00A04882" w:rsidP="000E5E5C">
      <w:pPr>
        <w:numPr>
          <w:ilvl w:val="0"/>
          <w:numId w:val="28"/>
        </w:numPr>
        <w:spacing w:after="0"/>
        <w:ind w:left="714" w:hanging="357"/>
      </w:pPr>
      <w:r>
        <w:t>Blood glucose control.</w:t>
      </w:r>
    </w:p>
    <w:p w:rsidR="00763CDB" w:rsidRDefault="00763CDB">
      <w:pPr>
        <w:spacing w:after="80"/>
        <w:rPr>
          <w:rFonts w:cs="Arial"/>
          <w:b/>
          <w:bCs/>
          <w:color w:val="1178A2"/>
          <w:kern w:val="28"/>
          <w:sz w:val="40"/>
          <w:szCs w:val="32"/>
        </w:rPr>
      </w:pPr>
      <w:r>
        <w:br w:type="page"/>
      </w:r>
    </w:p>
    <w:p w:rsidR="0003162D" w:rsidRDefault="00C8331F" w:rsidP="00524E9B">
      <w:pPr>
        <w:pStyle w:val="Heading1"/>
      </w:pPr>
      <w:bookmarkStart w:id="11" w:name="_Toc497132927"/>
      <w:r>
        <w:lastRenderedPageBreak/>
        <w:t>Method</w:t>
      </w:r>
      <w:bookmarkEnd w:id="11"/>
    </w:p>
    <w:p w:rsidR="00A04882" w:rsidRDefault="00A04882" w:rsidP="00A04882">
      <w:r w:rsidRPr="006122ED">
        <w:t>Th</w:t>
      </w:r>
      <w:r>
        <w:t>e</w:t>
      </w:r>
      <w:r w:rsidRPr="006122ED">
        <w:t xml:space="preserve"> chart </w:t>
      </w:r>
      <w:r>
        <w:t>was</w:t>
      </w:r>
      <w:r w:rsidRPr="006122ED">
        <w:t xml:space="preserve"> piloted in </w:t>
      </w:r>
      <w:r>
        <w:t xml:space="preserve">three </w:t>
      </w:r>
      <w:r w:rsidRPr="006122ED">
        <w:t>hospitals</w:t>
      </w:r>
      <w:r w:rsidR="00D63EED">
        <w:t>, one</w:t>
      </w:r>
      <w:r w:rsidRPr="006122ED">
        <w:t xml:space="preserve"> </w:t>
      </w:r>
      <w:r w:rsidR="00A35AE9">
        <w:t>in Queensland</w:t>
      </w:r>
      <w:r>
        <w:t xml:space="preserve"> </w:t>
      </w:r>
      <w:r w:rsidR="00D63EED">
        <w:t xml:space="preserve">(Toowong Private Hospital) </w:t>
      </w:r>
      <w:r>
        <w:t xml:space="preserve">and </w:t>
      </w:r>
      <w:r w:rsidR="00D63EED">
        <w:t xml:space="preserve">two in </w:t>
      </w:r>
      <w:r>
        <w:t>Victoria</w:t>
      </w:r>
      <w:r w:rsidR="00D63EED">
        <w:t xml:space="preserve"> (St John of God Frankston Hospital and Epworth HealthCare).</w:t>
      </w:r>
      <w:r w:rsidR="007F0731">
        <w:t xml:space="preserve"> </w:t>
      </w:r>
      <w:r>
        <w:t xml:space="preserve">Pilot sites were selected through a targeted call for expressions of interest. This </w:t>
      </w:r>
      <w:r w:rsidRPr="006122ED">
        <w:t>pilot conclude</w:t>
      </w:r>
      <w:r>
        <w:t>d</w:t>
      </w:r>
      <w:r w:rsidRPr="006122ED">
        <w:t xml:space="preserve"> in </w:t>
      </w:r>
      <w:r>
        <w:t>January 2017</w:t>
      </w:r>
      <w:r w:rsidR="007F0731">
        <w:t>,</w:t>
      </w:r>
      <w:r>
        <w:t xml:space="preserve"> </w:t>
      </w:r>
      <w:r w:rsidRPr="006122ED">
        <w:t>with a final version of the</w:t>
      </w:r>
      <w:r>
        <w:t xml:space="preserve"> sub</w:t>
      </w:r>
      <w:r w:rsidRPr="006122ED">
        <w:t xml:space="preserve">acute care chart expected to be available </w:t>
      </w:r>
      <w:r>
        <w:t>in 2017.</w:t>
      </w:r>
    </w:p>
    <w:p w:rsidR="00A04882" w:rsidRDefault="00A04882" w:rsidP="000E5E5C">
      <w:pPr>
        <w:pStyle w:val="NormalBeforeBullet"/>
        <w:spacing w:after="0"/>
      </w:pPr>
      <w:r>
        <w:t>The pilot consisted of the following phases:</w:t>
      </w:r>
    </w:p>
    <w:p w:rsidR="00A04882" w:rsidRDefault="00A04882" w:rsidP="00360B82">
      <w:pPr>
        <w:numPr>
          <w:ilvl w:val="0"/>
          <w:numId w:val="28"/>
        </w:numPr>
        <w:spacing w:after="120"/>
      </w:pPr>
      <w:r>
        <w:t>A pre-implementation (baseline) audit of insulin prescribing and documentation using the national inpatient medication chart or local hospital insulin form, before education of staff</w:t>
      </w:r>
      <w:r w:rsidR="000E5E5C">
        <w:t xml:space="preserve"> about the new form took place</w:t>
      </w:r>
      <w:r>
        <w:t xml:space="preserve"> </w:t>
      </w:r>
    </w:p>
    <w:p w:rsidR="00A04882" w:rsidRDefault="00A04882" w:rsidP="000E5E5C">
      <w:pPr>
        <w:numPr>
          <w:ilvl w:val="0"/>
          <w:numId w:val="28"/>
        </w:numPr>
        <w:spacing w:after="0"/>
        <w:ind w:left="714" w:hanging="357"/>
      </w:pPr>
      <w:r>
        <w:t>Education of medical, nursing and pharmacy staff on the pilot subcutaneous insulin chart using educational materials provided by the Commission</w:t>
      </w:r>
    </w:p>
    <w:p w:rsidR="00A04882" w:rsidRDefault="00A04882" w:rsidP="000E5E5C">
      <w:pPr>
        <w:numPr>
          <w:ilvl w:val="0"/>
          <w:numId w:val="28"/>
        </w:numPr>
        <w:spacing w:after="0"/>
        <w:ind w:left="714" w:hanging="357"/>
      </w:pPr>
      <w:r>
        <w:t xml:space="preserve">Introduction of the subcutaneous insulin chart in each facility </w:t>
      </w:r>
    </w:p>
    <w:p w:rsidR="00A35AE9" w:rsidRDefault="00A04882" w:rsidP="000E5E5C">
      <w:pPr>
        <w:numPr>
          <w:ilvl w:val="0"/>
          <w:numId w:val="28"/>
        </w:numPr>
        <w:spacing w:after="0"/>
        <w:ind w:left="714" w:hanging="357"/>
      </w:pPr>
      <w:r>
        <w:t>Audit of the subcutaneous insulin chart five months after implementation</w:t>
      </w:r>
      <w:r w:rsidR="00D15CED">
        <w:t>.</w:t>
      </w:r>
    </w:p>
    <w:p w:rsidR="0003162D" w:rsidRPr="009424A5" w:rsidRDefault="00A04882" w:rsidP="00ED34B6">
      <w:pPr>
        <w:pStyle w:val="Heading2"/>
      </w:pPr>
      <w:bookmarkStart w:id="12" w:name="_Toc497132928"/>
      <w:r>
        <w:t>Evaluation</w:t>
      </w:r>
      <w:bookmarkEnd w:id="12"/>
    </w:p>
    <w:p w:rsidR="00A04882" w:rsidRDefault="00A04882" w:rsidP="000E5E5C">
      <w:pPr>
        <w:spacing w:after="0"/>
      </w:pPr>
      <w:r>
        <w:t xml:space="preserve">Data were </w:t>
      </w:r>
      <w:r w:rsidRPr="002F74E5">
        <w:t>collected at the ho</w:t>
      </w:r>
      <w:r>
        <w:t>spitals at two points in time:</w:t>
      </w:r>
    </w:p>
    <w:p w:rsidR="00A04882" w:rsidRDefault="00A04882" w:rsidP="000E5E5C">
      <w:pPr>
        <w:numPr>
          <w:ilvl w:val="0"/>
          <w:numId w:val="28"/>
        </w:numPr>
        <w:spacing w:after="0"/>
        <w:ind w:left="714" w:hanging="357"/>
      </w:pPr>
      <w:r>
        <w:t>B</w:t>
      </w:r>
      <w:r w:rsidRPr="002F74E5">
        <w:t xml:space="preserve">efore the introduction of the </w:t>
      </w:r>
      <w:r>
        <w:t xml:space="preserve">subcutaneous insulin chart </w:t>
      </w:r>
      <w:r w:rsidRPr="002F74E5">
        <w:t>(pre-audit)</w:t>
      </w:r>
    </w:p>
    <w:p w:rsidR="00A04882" w:rsidRDefault="00A04882" w:rsidP="000E5E5C">
      <w:pPr>
        <w:numPr>
          <w:ilvl w:val="0"/>
          <w:numId w:val="28"/>
        </w:numPr>
        <w:spacing w:after="0"/>
        <w:ind w:left="714" w:hanging="357"/>
      </w:pPr>
      <w:r>
        <w:t>After the chart was in use for four months (post-audit).</w:t>
      </w:r>
    </w:p>
    <w:p w:rsidR="00A04882" w:rsidRDefault="00A04882" w:rsidP="000E5E5C">
      <w:pPr>
        <w:spacing w:before="240"/>
      </w:pPr>
      <w:r>
        <w:t xml:space="preserve">The evaluation measured the impact of introducing the pilot subcutaneous insulin chart on the safety and quality of insulin prescribing and administration, and on the documentation and management of BGLs in adult inpatients. </w:t>
      </w:r>
    </w:p>
    <w:p w:rsidR="00A35AE9" w:rsidRDefault="00A35AE9" w:rsidP="00A04882">
      <w:pPr>
        <w:sectPr w:rsidR="00A35AE9" w:rsidSect="006803BA">
          <w:footnotePr>
            <w:numFmt w:val="chicago"/>
          </w:footnotePr>
          <w:pgSz w:w="11906" w:h="16838"/>
          <w:pgMar w:top="1440" w:right="1440" w:bottom="1440" w:left="1440" w:header="708" w:footer="708" w:gutter="0"/>
          <w:cols w:space="708"/>
          <w:docGrid w:linePitch="360"/>
        </w:sectPr>
      </w:pPr>
      <w:r>
        <w:t>Pilot coordinators in each hospital gathered feedback about the chart from prescribers, nurses and pharmacists</w:t>
      </w:r>
      <w:r w:rsidR="00A04882">
        <w:t>.</w:t>
      </w:r>
      <w:r>
        <w:t xml:space="preserve"> This feedback was considered alongside the quantitative data gathered during the pilot.</w:t>
      </w:r>
    </w:p>
    <w:p w:rsidR="00133873" w:rsidRDefault="00133873" w:rsidP="00A35AE9">
      <w:pPr>
        <w:pStyle w:val="Heading1"/>
      </w:pPr>
      <w:bookmarkStart w:id="13" w:name="_Toc497132929"/>
      <w:r>
        <w:lastRenderedPageBreak/>
        <w:t>Results</w:t>
      </w:r>
      <w:bookmarkEnd w:id="13"/>
    </w:p>
    <w:p w:rsidR="00CD5449" w:rsidRDefault="00CD5449" w:rsidP="000E5E5C">
      <w:pPr>
        <w:spacing w:after="0"/>
      </w:pPr>
      <w:r>
        <w:t>D</w:t>
      </w:r>
      <w:r w:rsidR="00133873">
        <w:t xml:space="preserve">ata from </w:t>
      </w:r>
      <w:r>
        <w:t xml:space="preserve">the </w:t>
      </w:r>
      <w:r w:rsidR="00133873">
        <w:t>pilot hospitals were combined in the analysis</w:t>
      </w:r>
      <w:r>
        <w:t>.</w:t>
      </w:r>
      <w:r w:rsidR="00133873">
        <w:t xml:space="preserve"> </w:t>
      </w:r>
      <w:r>
        <w:t xml:space="preserve">Data </w:t>
      </w:r>
      <w:r w:rsidR="00133873">
        <w:t>from individual hospitals were also reviewed for differences among healthcare settings.</w:t>
      </w:r>
      <w:r w:rsidR="00133873" w:rsidRPr="00375320">
        <w:t xml:space="preserve"> </w:t>
      </w:r>
      <w:r w:rsidR="00133873">
        <w:t>The charts of 85 patients prescribed insulin were audited</w:t>
      </w:r>
      <w:r w:rsidR="002F1851">
        <w:t>:</w:t>
      </w:r>
    </w:p>
    <w:p w:rsidR="00CD5449" w:rsidRDefault="00133873" w:rsidP="00524E9B">
      <w:pPr>
        <w:pStyle w:val="ListParagraph"/>
        <w:numPr>
          <w:ilvl w:val="0"/>
          <w:numId w:val="43"/>
        </w:numPr>
      </w:pPr>
      <w:r>
        <w:t>41 inpatients during the pre-audit (n=122 charts</w:t>
      </w:r>
      <w:r w:rsidR="00546B4C">
        <w:t>)</w:t>
      </w:r>
    </w:p>
    <w:p w:rsidR="00133873" w:rsidRDefault="00133873" w:rsidP="00524E9B">
      <w:pPr>
        <w:pStyle w:val="ListParagraph"/>
        <w:numPr>
          <w:ilvl w:val="0"/>
          <w:numId w:val="43"/>
        </w:numPr>
      </w:pPr>
      <w:r>
        <w:t>44 inpatients durin</w:t>
      </w:r>
      <w:r w:rsidR="008B761D">
        <w:t>g the post-audit (n=48 charts).</w:t>
      </w:r>
    </w:p>
    <w:p w:rsidR="008B761D" w:rsidRDefault="008B761D" w:rsidP="00133873">
      <w:r>
        <w:t>The sample size for this pilot was small and meant that calculations could not be performed for some indicators. There were fewer statistically significant improvements in the subacute pilot when compared to the acute hospital pilot and also fewer statistically significant areas of focus. The results from the two pilots were considered together in arriving at the conclusions and recommendations for the subacute pilot and chart.</w:t>
      </w:r>
    </w:p>
    <w:p w:rsidR="00133873" w:rsidRPr="001F1D03" w:rsidRDefault="00133873" w:rsidP="00ED34B6">
      <w:pPr>
        <w:pStyle w:val="Heading3"/>
      </w:pPr>
      <w:bookmarkStart w:id="14" w:name="_Toc479018793"/>
      <w:bookmarkStart w:id="15" w:name="_Toc497132930"/>
      <w:r>
        <w:t>Changes associated with use of the chart</w:t>
      </w:r>
      <w:bookmarkEnd w:id="14"/>
      <w:bookmarkEnd w:id="15"/>
    </w:p>
    <w:p w:rsidR="00133873" w:rsidRDefault="00133873" w:rsidP="00133873">
      <w:r>
        <w:t xml:space="preserve">The Commission analysed the </w:t>
      </w:r>
      <w:r w:rsidRPr="004B2089">
        <w:t>data from the</w:t>
      </w:r>
      <w:r>
        <w:t xml:space="preserve"> sub</w:t>
      </w:r>
      <w:r w:rsidRPr="004B2089">
        <w:t xml:space="preserve">acute </w:t>
      </w:r>
      <w:r>
        <w:t xml:space="preserve">care </w:t>
      </w:r>
      <w:r w:rsidRPr="004B2089">
        <w:t xml:space="preserve">hospital </w:t>
      </w:r>
      <w:r>
        <w:t>pilot</w:t>
      </w:r>
      <w:r w:rsidRPr="004B2089">
        <w:t xml:space="preserve"> </w:t>
      </w:r>
      <w:r w:rsidR="00543061">
        <w:t>in relation to</w:t>
      </w:r>
      <w:r w:rsidR="00543061" w:rsidRPr="004B2089">
        <w:t xml:space="preserve"> </w:t>
      </w:r>
      <w:r w:rsidRPr="004B2089">
        <w:t xml:space="preserve">the new national subcutaneous insulin form. </w:t>
      </w:r>
      <w:r w:rsidR="00CD5449">
        <w:t>A</w:t>
      </w:r>
      <w:r w:rsidRPr="004B2089">
        <w:t xml:space="preserve">ll </w:t>
      </w:r>
      <w:proofErr w:type="gramStart"/>
      <w:r w:rsidRPr="004B2089">
        <w:t>baseline</w:t>
      </w:r>
      <w:proofErr w:type="gramEnd"/>
      <w:r w:rsidRPr="004B2089">
        <w:t xml:space="preserve"> to post-audit changes that were statistically significant (</w:t>
      </w:r>
      <w:r w:rsidRPr="004B2089">
        <w:rPr>
          <w:i/>
        </w:rPr>
        <w:t>p</w:t>
      </w:r>
      <w:r>
        <w:t> </w:t>
      </w:r>
      <w:r w:rsidRPr="004B2089">
        <w:t>&lt;</w:t>
      </w:r>
      <w:r>
        <w:t> 0.05) and could be categoris</w:t>
      </w:r>
      <w:r w:rsidRPr="004B2089">
        <w:t xml:space="preserve">ed as either </w:t>
      </w:r>
      <w:r>
        <w:t>‘improvements’</w:t>
      </w:r>
      <w:r w:rsidRPr="004B2089">
        <w:t xml:space="preserve"> or </w:t>
      </w:r>
      <w:r>
        <w:t>‘areas of focus’ were identified</w:t>
      </w:r>
      <w:r w:rsidRPr="004B2089">
        <w:t xml:space="preserve">. The introduction of the new chart was associated with </w:t>
      </w:r>
      <w:r w:rsidR="00F6076C">
        <w:t>24</w:t>
      </w:r>
      <w:r w:rsidRPr="004B2089">
        <w:t xml:space="preserve"> </w:t>
      </w:r>
      <w:r>
        <w:t xml:space="preserve">improvements and </w:t>
      </w:r>
      <w:r w:rsidR="00F6076C" w:rsidRPr="00524E9B">
        <w:t xml:space="preserve">two </w:t>
      </w:r>
      <w:r w:rsidRPr="00524E9B">
        <w:t>areas</w:t>
      </w:r>
      <w:r>
        <w:t xml:space="preserve"> of focus.</w:t>
      </w:r>
    </w:p>
    <w:p w:rsidR="00133873" w:rsidRDefault="00133873" w:rsidP="00133873">
      <w:r>
        <w:t>A data point which showed generally positive changes after introduction of the chart was considered an improvement. Areas of focus are the data points where negative changes were observed. The measurements were grouped into five categories: patient identification and blood glucose level (BGL) documentation, routine insulin orders, supplemental insulin orders, stat/phone insulin orders, and sliding scale insulin orders.</w:t>
      </w:r>
    </w:p>
    <w:p w:rsidR="00133873" w:rsidRDefault="00133873" w:rsidP="00ED34B6">
      <w:pPr>
        <w:pStyle w:val="Heading5"/>
      </w:pPr>
      <w:r>
        <w:t>Patient identification and blood glucose level documentation</w:t>
      </w:r>
    </w:p>
    <w:p w:rsidR="00133873" w:rsidRDefault="000E5E5C" w:rsidP="000E5E5C">
      <w:pPr>
        <w:pStyle w:val="NormalBeforeBullet"/>
        <w:spacing w:after="0"/>
      </w:pPr>
      <w:r>
        <w:t>The Commission recorded the following improvements in insulin prescribing</w:t>
      </w:r>
      <w:r w:rsidR="00133873">
        <w:t>:</w:t>
      </w:r>
    </w:p>
    <w:p w:rsidR="00133873" w:rsidRDefault="00133873" w:rsidP="000E5E5C">
      <w:pPr>
        <w:pStyle w:val="ListParagraph"/>
        <w:numPr>
          <w:ilvl w:val="0"/>
          <w:numId w:val="43"/>
        </w:numPr>
      </w:pPr>
      <w:r>
        <w:t>The average number of charts per patient was reduced</w:t>
      </w:r>
    </w:p>
    <w:p w:rsidR="00133873" w:rsidRDefault="00133873" w:rsidP="000E5E5C">
      <w:pPr>
        <w:pStyle w:val="ListParagraph"/>
        <w:numPr>
          <w:ilvl w:val="0"/>
          <w:numId w:val="43"/>
        </w:numPr>
      </w:pPr>
      <w:r>
        <w:t>The number of times insulin forms were cross-referenced in the regular medications section of the NIMC increased</w:t>
      </w:r>
    </w:p>
    <w:p w:rsidR="00133873" w:rsidRDefault="00133873" w:rsidP="000E5E5C">
      <w:pPr>
        <w:pStyle w:val="ListParagraph"/>
        <w:numPr>
          <w:ilvl w:val="0"/>
          <w:numId w:val="43"/>
        </w:numPr>
      </w:pPr>
      <w:r>
        <w:t>The recording of BGLs on the same chart where insulin is prescribed increased</w:t>
      </w:r>
    </w:p>
    <w:p w:rsidR="00133873" w:rsidRDefault="00133873" w:rsidP="000E5E5C">
      <w:pPr>
        <w:pStyle w:val="ListParagraph"/>
        <w:numPr>
          <w:ilvl w:val="0"/>
          <w:numId w:val="43"/>
        </w:numPr>
      </w:pPr>
      <w:r>
        <w:t>The number of BGLs recorded as accurate data points on the BGL line graph increased</w:t>
      </w:r>
    </w:p>
    <w:p w:rsidR="00133873" w:rsidRDefault="00133873" w:rsidP="000E5E5C">
      <w:pPr>
        <w:pStyle w:val="ListParagraph"/>
        <w:numPr>
          <w:ilvl w:val="0"/>
          <w:numId w:val="43"/>
        </w:numPr>
      </w:pPr>
      <w:r>
        <w:t>The d</w:t>
      </w:r>
      <w:r w:rsidRPr="00DB55F8">
        <w:t>ocumentation of</w:t>
      </w:r>
      <w:r>
        <w:t xml:space="preserve"> the number of times the</w:t>
      </w:r>
      <w:r w:rsidRPr="00DB55F8">
        <w:t xml:space="preserve"> medical officer </w:t>
      </w:r>
      <w:r>
        <w:t xml:space="preserve">was </w:t>
      </w:r>
      <w:r w:rsidRPr="00DB55F8">
        <w:t>notif</w:t>
      </w:r>
      <w:r>
        <w:t>ied</w:t>
      </w:r>
      <w:r w:rsidRPr="00DB55F8">
        <w:t xml:space="preserve"> </w:t>
      </w:r>
      <w:r>
        <w:t>of</w:t>
      </w:r>
      <w:r w:rsidRPr="00DB55F8">
        <w:t xml:space="preserve"> hypoglycaemia </w:t>
      </w:r>
      <w:r>
        <w:t>increased</w:t>
      </w:r>
    </w:p>
    <w:p w:rsidR="00133873" w:rsidRDefault="00133873" w:rsidP="000E5E5C">
      <w:pPr>
        <w:pStyle w:val="ListParagraph"/>
        <w:numPr>
          <w:ilvl w:val="0"/>
          <w:numId w:val="43"/>
        </w:numPr>
      </w:pPr>
      <w:r>
        <w:t>The proportion of BGLs in the range 12 to 20mmol/L decreased</w:t>
      </w:r>
    </w:p>
    <w:p w:rsidR="00133873" w:rsidRDefault="00133873" w:rsidP="000E5E5C">
      <w:pPr>
        <w:pStyle w:val="ListParagraph"/>
        <w:numPr>
          <w:ilvl w:val="0"/>
          <w:numId w:val="43"/>
        </w:numPr>
      </w:pPr>
      <w:r>
        <w:t>The proportion</w:t>
      </w:r>
      <w:r w:rsidRPr="00DB55F8">
        <w:t xml:space="preserve"> of BGLs in the range </w:t>
      </w:r>
      <w:r>
        <w:t xml:space="preserve">of </w:t>
      </w:r>
      <w:r w:rsidRPr="00DB55F8">
        <w:t>4</w:t>
      </w:r>
      <w:r>
        <w:t xml:space="preserve"> to </w:t>
      </w:r>
      <w:r w:rsidRPr="00DB55F8">
        <w:t>12</w:t>
      </w:r>
      <w:r>
        <w:t>mmol/L increased</w:t>
      </w:r>
    </w:p>
    <w:p w:rsidR="00133873" w:rsidRPr="00B96910" w:rsidRDefault="00133873" w:rsidP="000E5E5C">
      <w:pPr>
        <w:pStyle w:val="ListParagraph"/>
        <w:numPr>
          <w:ilvl w:val="0"/>
          <w:numId w:val="43"/>
        </w:numPr>
      </w:pPr>
      <w:r>
        <w:t xml:space="preserve">The prescribing of insulin on the </w:t>
      </w:r>
      <w:r w:rsidRPr="00B96910">
        <w:t xml:space="preserve">NIMC </w:t>
      </w:r>
      <w:r>
        <w:t>decreased</w:t>
      </w:r>
    </w:p>
    <w:p w:rsidR="00133873" w:rsidRDefault="00133873" w:rsidP="000E5E5C">
      <w:pPr>
        <w:pStyle w:val="ListParagraph"/>
        <w:numPr>
          <w:ilvl w:val="0"/>
          <w:numId w:val="43"/>
        </w:numPr>
      </w:pPr>
      <w:r>
        <w:t>The prescribing of insulin on hospital-specific insulin forms decreased</w:t>
      </w:r>
    </w:p>
    <w:p w:rsidR="00133873" w:rsidRDefault="00133873" w:rsidP="000E5E5C">
      <w:pPr>
        <w:pStyle w:val="ListParagraph"/>
        <w:numPr>
          <w:ilvl w:val="0"/>
          <w:numId w:val="43"/>
        </w:numPr>
      </w:pPr>
      <w:r>
        <w:t>The n</w:t>
      </w:r>
      <w:r w:rsidRPr="00DB55F8">
        <w:t xml:space="preserve">umber of supplemental insulin orders </w:t>
      </w:r>
      <w:r>
        <w:t>charted appropriately increased.</w:t>
      </w:r>
    </w:p>
    <w:p w:rsidR="00133873" w:rsidRDefault="008B761D" w:rsidP="00133873">
      <w:r w:rsidRPr="00140E41">
        <w:t xml:space="preserve">The pilot did not highlight </w:t>
      </w:r>
      <w:r w:rsidR="00CD5449" w:rsidRPr="00140E41">
        <w:t>significan</w:t>
      </w:r>
      <w:r w:rsidR="00CD5449">
        <w:t>t issues</w:t>
      </w:r>
      <w:r w:rsidR="00CD5449" w:rsidRPr="00140E41">
        <w:t xml:space="preserve"> </w:t>
      </w:r>
      <w:r w:rsidRPr="00140E41">
        <w:t>with patient identification and BGL documentation</w:t>
      </w:r>
      <w:r w:rsidR="00140E41">
        <w:t>. T</w:t>
      </w:r>
      <w:r w:rsidRPr="00140E41">
        <w:t>here was a small increase in the number of BGL</w:t>
      </w:r>
      <w:r w:rsidR="00543061">
        <w:t>s</w:t>
      </w:r>
      <w:r w:rsidRPr="00140E41">
        <w:t xml:space="preserve"> in the abnormal ranges</w:t>
      </w:r>
      <w:r w:rsidR="00133873" w:rsidRPr="00140E41">
        <w:t>.</w:t>
      </w:r>
      <w:r>
        <w:t xml:space="preserve"> </w:t>
      </w:r>
      <w:r w:rsidR="00CD5449">
        <w:t>Overall, however,</w:t>
      </w:r>
      <w:r>
        <w:t xml:space="preserve"> the proportion of hypoglycaemia changed from 3.5%</w:t>
      </w:r>
      <w:r w:rsidR="00140E41">
        <w:t xml:space="preserve"> in the pre-implementation audit</w:t>
      </w:r>
      <w:r>
        <w:t xml:space="preserve"> to 4.1%</w:t>
      </w:r>
      <w:r w:rsidR="00140E41">
        <w:t xml:space="preserve"> in the post-audit. T</w:t>
      </w:r>
      <w:r>
        <w:t xml:space="preserve">he proportion of hyperglycaemia </w:t>
      </w:r>
      <w:r w:rsidR="00140E41">
        <w:t>changed</w:t>
      </w:r>
      <w:r>
        <w:t xml:space="preserve"> from</w:t>
      </w:r>
      <w:r w:rsidR="00140E41">
        <w:t xml:space="preserve"> 1.2% in the pre-implementation audit to 2.1</w:t>
      </w:r>
      <w:r w:rsidR="00546B4C">
        <w:t>%</w:t>
      </w:r>
      <w:r w:rsidR="00140E41">
        <w:t xml:space="preserve"> in the post-audit</w:t>
      </w:r>
      <w:r w:rsidR="00546B4C">
        <w:t xml:space="preserve">. Neither of these changes </w:t>
      </w:r>
      <w:r w:rsidR="00543061">
        <w:t>was</w:t>
      </w:r>
      <w:r w:rsidR="00546B4C">
        <w:t xml:space="preserve"> statistically significant.</w:t>
      </w:r>
    </w:p>
    <w:p w:rsidR="00133873" w:rsidRDefault="00133873" w:rsidP="00ED34B6">
      <w:pPr>
        <w:pStyle w:val="Heading5"/>
      </w:pPr>
      <w:r>
        <w:lastRenderedPageBreak/>
        <w:t>Routine insulin prescriptions</w:t>
      </w:r>
    </w:p>
    <w:p w:rsidR="00133873" w:rsidRDefault="00133873" w:rsidP="000E5E5C">
      <w:pPr>
        <w:pStyle w:val="NormalBeforeBullet"/>
        <w:spacing w:after="0"/>
      </w:pPr>
      <w:r>
        <w:t>The following improvements were observed in routine insulin ordering:</w:t>
      </w:r>
    </w:p>
    <w:p w:rsidR="00133873" w:rsidRDefault="00133873" w:rsidP="000E5E5C">
      <w:pPr>
        <w:pStyle w:val="ListParagraph"/>
        <w:numPr>
          <w:ilvl w:val="0"/>
          <w:numId w:val="43"/>
        </w:numPr>
      </w:pPr>
      <w:r>
        <w:t>The proportion of orders where route of administration was clear increased</w:t>
      </w:r>
    </w:p>
    <w:p w:rsidR="00133873" w:rsidRDefault="00133873" w:rsidP="000E5E5C">
      <w:pPr>
        <w:pStyle w:val="ListParagraph"/>
        <w:numPr>
          <w:ilvl w:val="0"/>
          <w:numId w:val="43"/>
        </w:numPr>
      </w:pPr>
      <w:r>
        <w:t>The proportion of orders where route of administration was unclear decreased</w:t>
      </w:r>
    </w:p>
    <w:p w:rsidR="00133873" w:rsidRDefault="00133873" w:rsidP="000E5E5C">
      <w:pPr>
        <w:pStyle w:val="ListParagraph"/>
        <w:numPr>
          <w:ilvl w:val="0"/>
          <w:numId w:val="43"/>
        </w:numPr>
      </w:pPr>
      <w:r>
        <w:t xml:space="preserve">The proportion of orders where </w:t>
      </w:r>
      <w:r w:rsidR="00EB53B1">
        <w:t xml:space="preserve">the </w:t>
      </w:r>
      <w:r>
        <w:t>prescriber</w:t>
      </w:r>
      <w:r w:rsidR="00EB53B1">
        <w:t>’s</w:t>
      </w:r>
      <w:r>
        <w:t xml:space="preserve"> name was clear increased</w:t>
      </w:r>
    </w:p>
    <w:p w:rsidR="00133873" w:rsidRDefault="00133873" w:rsidP="000E5E5C">
      <w:pPr>
        <w:pStyle w:val="ListParagraph"/>
        <w:numPr>
          <w:ilvl w:val="0"/>
          <w:numId w:val="43"/>
        </w:numPr>
      </w:pPr>
      <w:r>
        <w:t xml:space="preserve">The </w:t>
      </w:r>
      <w:r w:rsidR="00352E26">
        <w:t>number of doses with the administration time documented increased</w:t>
      </w:r>
      <w:r>
        <w:t>.</w:t>
      </w:r>
    </w:p>
    <w:p w:rsidR="00133873" w:rsidRDefault="00133873" w:rsidP="000E5E5C">
      <w:pPr>
        <w:pStyle w:val="NormalBeforeBullet"/>
        <w:spacing w:after="0"/>
      </w:pPr>
      <w:r>
        <w:t>The pilot highlighted the following areas that will require focus for future</w:t>
      </w:r>
      <w:r w:rsidR="002A68A3">
        <w:t xml:space="preserve"> hospital</w:t>
      </w:r>
      <w:r>
        <w:t xml:space="preserve"> implementations of the chart:</w:t>
      </w:r>
    </w:p>
    <w:p w:rsidR="00133873" w:rsidRDefault="00133873" w:rsidP="000E5E5C">
      <w:pPr>
        <w:pStyle w:val="ListParagraph"/>
        <w:numPr>
          <w:ilvl w:val="0"/>
          <w:numId w:val="43"/>
        </w:numPr>
      </w:pPr>
      <w:r>
        <w:t xml:space="preserve">The </w:t>
      </w:r>
      <w:r w:rsidR="00352E26">
        <w:t>proportion of doses that are missing increased</w:t>
      </w:r>
    </w:p>
    <w:p w:rsidR="00133873" w:rsidRDefault="00133873" w:rsidP="000E5E5C">
      <w:pPr>
        <w:pStyle w:val="ListParagraph"/>
        <w:numPr>
          <w:ilvl w:val="0"/>
          <w:numId w:val="43"/>
        </w:numPr>
      </w:pPr>
      <w:r>
        <w:t>The proportion of doses initialled as having been administered decreased</w:t>
      </w:r>
      <w:r w:rsidR="00CD5449">
        <w:t>.</w:t>
      </w:r>
    </w:p>
    <w:p w:rsidR="00133873" w:rsidRDefault="00133873" w:rsidP="00ED34B6">
      <w:pPr>
        <w:pStyle w:val="Heading5"/>
      </w:pPr>
      <w:r>
        <w:t>Supplemental insulin prescriptions</w:t>
      </w:r>
    </w:p>
    <w:p w:rsidR="00133873" w:rsidRDefault="00133873" w:rsidP="000E5E5C">
      <w:pPr>
        <w:pStyle w:val="NormalBeforeBullet"/>
        <w:spacing w:after="0"/>
      </w:pPr>
      <w:r>
        <w:t>The following improvements were observed in supplemental insulin ordering:</w:t>
      </w:r>
    </w:p>
    <w:p w:rsidR="00133873" w:rsidRDefault="00133873" w:rsidP="000E5E5C">
      <w:pPr>
        <w:pStyle w:val="ListParagraph"/>
        <w:numPr>
          <w:ilvl w:val="0"/>
          <w:numId w:val="43"/>
        </w:numPr>
      </w:pPr>
      <w:r>
        <w:t>The proportion of orders where route of administration was clear increased</w:t>
      </w:r>
    </w:p>
    <w:p w:rsidR="00133873" w:rsidRDefault="00133873" w:rsidP="000E5E5C">
      <w:pPr>
        <w:pStyle w:val="ListParagraph"/>
        <w:numPr>
          <w:ilvl w:val="0"/>
          <w:numId w:val="43"/>
        </w:numPr>
      </w:pPr>
      <w:r>
        <w:t>The proportion of orders where route of administration was unclear decreased</w:t>
      </w:r>
    </w:p>
    <w:p w:rsidR="00133873" w:rsidRDefault="00133873" w:rsidP="000E5E5C">
      <w:pPr>
        <w:pStyle w:val="ListParagraph"/>
        <w:numPr>
          <w:ilvl w:val="0"/>
          <w:numId w:val="43"/>
        </w:numPr>
      </w:pPr>
      <w:r>
        <w:t>The proportion</w:t>
      </w:r>
      <w:r w:rsidRPr="00DB55F8">
        <w:t xml:space="preserve"> of doses prescribed </w:t>
      </w:r>
      <w:r>
        <w:t>that use</w:t>
      </w:r>
      <w:r w:rsidR="00EB53B1">
        <w:t>d</w:t>
      </w:r>
      <w:r>
        <w:t xml:space="preserve"> unapproved abbreviations</w:t>
      </w:r>
      <w:r w:rsidRPr="00DB55F8">
        <w:t xml:space="preserve"> </w:t>
      </w:r>
      <w:r>
        <w:t>decreased</w:t>
      </w:r>
    </w:p>
    <w:p w:rsidR="00133873" w:rsidRPr="001F1D03" w:rsidRDefault="00133873" w:rsidP="000E5E5C">
      <w:pPr>
        <w:pStyle w:val="ListParagraph"/>
        <w:numPr>
          <w:ilvl w:val="0"/>
          <w:numId w:val="43"/>
        </w:numPr>
      </w:pPr>
      <w:r>
        <w:t>The proportion</w:t>
      </w:r>
      <w:r w:rsidRPr="00DB55F8">
        <w:t xml:space="preserve"> of doses </w:t>
      </w:r>
      <w:r w:rsidR="00352E26">
        <w:t>prescribed clearly increased</w:t>
      </w:r>
      <w:r>
        <w:t>.</w:t>
      </w:r>
    </w:p>
    <w:p w:rsidR="00352E26" w:rsidRDefault="00352E26" w:rsidP="00352E26">
      <w:r w:rsidRPr="00140E41">
        <w:t>The pilot did not highlight</w:t>
      </w:r>
      <w:r w:rsidR="00543061">
        <w:t xml:space="preserve"> adverse</w:t>
      </w:r>
      <w:r w:rsidRPr="00140E41">
        <w:t xml:space="preserve"> issues with </w:t>
      </w:r>
      <w:r w:rsidR="00CD5449">
        <w:t>supplemental insulin orders</w:t>
      </w:r>
      <w:r w:rsidRPr="00140E41">
        <w:t>.</w:t>
      </w:r>
    </w:p>
    <w:p w:rsidR="00133873" w:rsidRDefault="00133873" w:rsidP="00ED34B6">
      <w:pPr>
        <w:pStyle w:val="Heading5"/>
      </w:pPr>
      <w:r w:rsidRPr="00DB55F8">
        <w:t xml:space="preserve">Stat/phone insulin </w:t>
      </w:r>
      <w:r>
        <w:t>prescriptions</w:t>
      </w:r>
    </w:p>
    <w:p w:rsidR="00133873" w:rsidRDefault="00133873" w:rsidP="000E5E5C">
      <w:pPr>
        <w:pStyle w:val="NormalBeforeBullet"/>
        <w:spacing w:after="0"/>
      </w:pPr>
      <w:r>
        <w:t>The following improvements were observed in stat/phone insulin prescriptions:</w:t>
      </w:r>
    </w:p>
    <w:p w:rsidR="00813400" w:rsidRDefault="00813400" w:rsidP="000E5E5C">
      <w:pPr>
        <w:pStyle w:val="ListParagraph"/>
        <w:numPr>
          <w:ilvl w:val="0"/>
          <w:numId w:val="43"/>
        </w:numPr>
      </w:pPr>
      <w:r>
        <w:t>The proportion of doses prescribed that are clear increased</w:t>
      </w:r>
    </w:p>
    <w:p w:rsidR="00133873" w:rsidRDefault="00133873" w:rsidP="000E5E5C">
      <w:pPr>
        <w:pStyle w:val="ListParagraph"/>
        <w:numPr>
          <w:ilvl w:val="0"/>
          <w:numId w:val="43"/>
        </w:numPr>
      </w:pPr>
      <w:r>
        <w:t>The proportion</w:t>
      </w:r>
      <w:r w:rsidRPr="00DB55F8">
        <w:t xml:space="preserve"> of </w:t>
      </w:r>
      <w:r w:rsidR="00813400">
        <w:t>doses with the administration time documented</w:t>
      </w:r>
      <w:r w:rsidRPr="00DB55F8">
        <w:t xml:space="preserve"> </w:t>
      </w:r>
      <w:r>
        <w:t>increased</w:t>
      </w:r>
      <w:r w:rsidR="00D65457">
        <w:t>.</w:t>
      </w:r>
    </w:p>
    <w:p w:rsidR="00813400" w:rsidRDefault="00813400" w:rsidP="00813400">
      <w:r w:rsidRPr="00140E41">
        <w:t>The pilot did not highlight</w:t>
      </w:r>
      <w:r w:rsidR="00543061">
        <w:t xml:space="preserve"> adverse</w:t>
      </w:r>
      <w:r w:rsidRPr="00140E41">
        <w:t xml:space="preserve"> issues with </w:t>
      </w:r>
      <w:r w:rsidR="00CD5449">
        <w:t>stat/phone insulin prescriptions</w:t>
      </w:r>
      <w:r w:rsidRPr="00140E41">
        <w:t>.</w:t>
      </w:r>
    </w:p>
    <w:p w:rsidR="00133873" w:rsidRPr="001F1D03" w:rsidRDefault="00133873" w:rsidP="00ED34B6">
      <w:pPr>
        <w:pStyle w:val="Heading5"/>
      </w:pPr>
      <w:r>
        <w:t>Subcutaneous s</w:t>
      </w:r>
      <w:r w:rsidRPr="00DB55F8">
        <w:t xml:space="preserve">liding scale insulin </w:t>
      </w:r>
      <w:r>
        <w:t>prescriptions</w:t>
      </w:r>
    </w:p>
    <w:p w:rsidR="00133873" w:rsidRPr="001F1D03" w:rsidRDefault="00133873" w:rsidP="000E5E5C">
      <w:pPr>
        <w:pStyle w:val="NormalBeforeBullet"/>
        <w:spacing w:after="0"/>
      </w:pPr>
      <w:r>
        <w:t>The following improvements were observed in sliding scale insulin orders:</w:t>
      </w:r>
    </w:p>
    <w:p w:rsidR="00133873" w:rsidRDefault="00133873" w:rsidP="000E5E5C">
      <w:pPr>
        <w:pStyle w:val="ListParagraph"/>
        <w:numPr>
          <w:ilvl w:val="0"/>
          <w:numId w:val="42"/>
        </w:numPr>
      </w:pPr>
      <w:r>
        <w:t>The proportion of orders where route of administration is clear increased</w:t>
      </w:r>
    </w:p>
    <w:p w:rsidR="00133873" w:rsidRDefault="00133873" w:rsidP="000E5E5C">
      <w:pPr>
        <w:pStyle w:val="ListParagraph"/>
        <w:numPr>
          <w:ilvl w:val="0"/>
          <w:numId w:val="42"/>
        </w:numPr>
      </w:pPr>
      <w:r>
        <w:t>The proportion of doses prescribed clearly increased</w:t>
      </w:r>
    </w:p>
    <w:p w:rsidR="00133873" w:rsidRDefault="00133873" w:rsidP="000E5E5C">
      <w:pPr>
        <w:pStyle w:val="ListParagraph"/>
        <w:numPr>
          <w:ilvl w:val="0"/>
          <w:numId w:val="42"/>
        </w:numPr>
      </w:pPr>
      <w:r>
        <w:t>The proportion of doses with administration time documented increased.</w:t>
      </w:r>
    </w:p>
    <w:p w:rsidR="00133873" w:rsidRDefault="00133873" w:rsidP="00133873">
      <w:pPr>
        <w:pStyle w:val="BulletBeforeDash"/>
      </w:pPr>
      <w:r>
        <w:t xml:space="preserve">Prescribers were discouraged from using subcutaneous sliding scale insulin in a written alert on the pilot chart. </w:t>
      </w:r>
      <w:r w:rsidR="00CD5449">
        <w:t>T</w:t>
      </w:r>
      <w:r>
        <w:t>he audit did not identify significant use of subcutaneous sliding scale insulin prescriptions during the pilot. This may reflect prescriber adherence to the alert.</w:t>
      </w:r>
    </w:p>
    <w:p w:rsidR="00133873" w:rsidRDefault="00133873" w:rsidP="00ED34B6">
      <w:pPr>
        <w:pStyle w:val="Heading5"/>
      </w:pPr>
      <w:bookmarkStart w:id="16" w:name="_Toc479018794"/>
      <w:r>
        <w:t>Use of charts in hospitals</w:t>
      </w:r>
      <w:bookmarkEnd w:id="16"/>
    </w:p>
    <w:p w:rsidR="00EF6D5E" w:rsidRDefault="001D39E1" w:rsidP="00133873">
      <w:pPr>
        <w:sectPr w:rsidR="00EF6D5E" w:rsidSect="006803BA">
          <w:pgSz w:w="11906" w:h="16838"/>
          <w:pgMar w:top="1440" w:right="1440" w:bottom="1440" w:left="1440" w:header="708" w:footer="708" w:gutter="0"/>
          <w:cols w:space="708"/>
          <w:docGrid w:linePitch="360"/>
        </w:sectPr>
      </w:pPr>
      <w:r>
        <w:t>In the post-audit</w:t>
      </w:r>
      <w:r w:rsidR="00184192">
        <w:t xml:space="preserve"> period</w:t>
      </w:r>
      <w:r>
        <w:t>, only one patient was found to have insulin orders written on the national inpatient medi</w:t>
      </w:r>
      <w:r w:rsidR="00EB7B0F">
        <w:t>c</w:t>
      </w:r>
      <w:r>
        <w:t>ation chart</w:t>
      </w:r>
      <w:r w:rsidR="00CD5449">
        <w:t>.</w:t>
      </w:r>
      <w:r w:rsidR="0058693F">
        <w:t xml:space="preserve"> </w:t>
      </w:r>
      <w:r w:rsidR="00CD5449">
        <w:t>This indicates that prescribers did not revert to using local forms and charts during the pilot.</w:t>
      </w:r>
    </w:p>
    <w:p w:rsidR="001D39E1" w:rsidRDefault="001D39E1" w:rsidP="001D39E1">
      <w:pPr>
        <w:pStyle w:val="Heading5"/>
      </w:pPr>
      <w:r>
        <w:lastRenderedPageBreak/>
        <w:t>Blood glucose control</w:t>
      </w:r>
    </w:p>
    <w:p w:rsidR="001D39E1" w:rsidRDefault="001D39E1" w:rsidP="00133873">
      <w:r>
        <w:t>Figure 1 outlines the improvements in glycaemia management before and after the chart was introduced.</w:t>
      </w:r>
    </w:p>
    <w:p w:rsidR="001D39E1" w:rsidRPr="000E5E5C" w:rsidRDefault="001D39E1" w:rsidP="001D39E1">
      <w:pPr>
        <w:pStyle w:val="Caption"/>
        <w:keepNext/>
        <w:rPr>
          <w:color w:val="auto"/>
          <w:sz w:val="22"/>
          <w:szCs w:val="22"/>
        </w:rPr>
      </w:pPr>
      <w:r w:rsidRPr="000E5E5C">
        <w:rPr>
          <w:color w:val="auto"/>
          <w:sz w:val="22"/>
          <w:szCs w:val="22"/>
        </w:rPr>
        <w:t xml:space="preserve">Figure </w:t>
      </w:r>
      <w:r w:rsidRPr="000E5E5C">
        <w:rPr>
          <w:color w:val="auto"/>
          <w:sz w:val="22"/>
          <w:szCs w:val="22"/>
        </w:rPr>
        <w:fldChar w:fldCharType="begin"/>
      </w:r>
      <w:r w:rsidRPr="000E5E5C">
        <w:rPr>
          <w:color w:val="auto"/>
          <w:sz w:val="22"/>
          <w:szCs w:val="22"/>
        </w:rPr>
        <w:instrText xml:space="preserve"> SEQ Figure \* ARABIC </w:instrText>
      </w:r>
      <w:r w:rsidRPr="000E5E5C">
        <w:rPr>
          <w:color w:val="auto"/>
          <w:sz w:val="22"/>
          <w:szCs w:val="22"/>
        </w:rPr>
        <w:fldChar w:fldCharType="separate"/>
      </w:r>
      <w:r w:rsidR="002D3684">
        <w:rPr>
          <w:noProof/>
          <w:color w:val="auto"/>
          <w:sz w:val="22"/>
          <w:szCs w:val="22"/>
        </w:rPr>
        <w:t>1</w:t>
      </w:r>
      <w:r w:rsidRPr="000E5E5C">
        <w:rPr>
          <w:color w:val="auto"/>
          <w:sz w:val="22"/>
          <w:szCs w:val="22"/>
        </w:rPr>
        <w:fldChar w:fldCharType="end"/>
      </w:r>
      <w:r w:rsidRPr="000E5E5C">
        <w:rPr>
          <w:color w:val="auto"/>
          <w:sz w:val="22"/>
          <w:szCs w:val="22"/>
        </w:rPr>
        <w:t xml:space="preserve">: Hypoglycaemia and hyperglycaemia, </w:t>
      </w:r>
      <w:r w:rsidR="00CD5449" w:rsidRPr="000E5E5C">
        <w:rPr>
          <w:color w:val="auto"/>
          <w:sz w:val="22"/>
          <w:szCs w:val="22"/>
        </w:rPr>
        <w:t>aggregated results</w:t>
      </w:r>
    </w:p>
    <w:p w:rsidR="001D39E1" w:rsidRDefault="006137A9" w:rsidP="001D39E1">
      <w:pPr>
        <w:pStyle w:val="Heading4"/>
      </w:pPr>
      <w:r>
        <w:rPr>
          <w:noProof/>
        </w:rPr>
        <w:drawing>
          <wp:inline distT="0" distB="0" distL="0" distR="0" wp14:anchorId="5F7D11A9" wp14:editId="5C1B5E21">
            <wp:extent cx="5586414" cy="5800726"/>
            <wp:effectExtent l="0" t="0" r="1460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D39E1" w:rsidRPr="001D39E1" w:rsidRDefault="001D39E1" w:rsidP="001D39E1">
      <w:pPr>
        <w:rPr>
          <w:rFonts w:ascii="Arial" w:hAnsi="Arial" w:cs="Arial"/>
          <w:sz w:val="18"/>
          <w:szCs w:val="18"/>
        </w:rPr>
      </w:pPr>
      <w:r w:rsidRPr="001D39E1">
        <w:rPr>
          <w:rFonts w:ascii="Arial" w:hAnsi="Arial" w:cs="Arial"/>
          <w:sz w:val="18"/>
          <w:szCs w:val="18"/>
        </w:rPr>
        <w:t>*= statistically significant, p&lt;0.01; BGL = blood glucose level</w:t>
      </w:r>
    </w:p>
    <w:p w:rsidR="001D39E1" w:rsidRDefault="004A7B62" w:rsidP="00133873">
      <w:r>
        <w:t>These improvements were likely to result in direct patient benefit as a greater proportion of total readings were in the recommended range and fewer readings outside of this range. That is, following the introduction of the chart patients were more likely to experience normal BGL</w:t>
      </w:r>
      <w:r w:rsidR="00123F12">
        <w:t>.</w:t>
      </w:r>
    </w:p>
    <w:p w:rsidR="004B31D2" w:rsidRDefault="00205AFA" w:rsidP="00133873">
      <w:r>
        <w:t>The new chart led to improved BGLs in each of the three pilot hospitals. In two of the hospitals this improvement was significant. Figure 2 shows the number of BGLs recorded in the recommended range of 4</w:t>
      </w:r>
      <w:r w:rsidR="00184192">
        <w:t>–</w:t>
      </w:r>
      <w:r>
        <w:t>12mmol/L before and after the introduction of the new chart.</w:t>
      </w:r>
    </w:p>
    <w:p w:rsidR="004B31D2" w:rsidRPr="000E5E5C" w:rsidRDefault="004B31D2" w:rsidP="004B31D2">
      <w:pPr>
        <w:pStyle w:val="Caption"/>
        <w:keepNext/>
        <w:rPr>
          <w:color w:val="auto"/>
          <w:sz w:val="22"/>
          <w:szCs w:val="22"/>
        </w:rPr>
      </w:pPr>
      <w:r w:rsidRPr="000E5E5C">
        <w:rPr>
          <w:color w:val="auto"/>
          <w:sz w:val="22"/>
          <w:szCs w:val="22"/>
        </w:rPr>
        <w:lastRenderedPageBreak/>
        <w:t xml:space="preserve">Figure </w:t>
      </w:r>
      <w:r w:rsidRPr="000E5E5C">
        <w:rPr>
          <w:color w:val="auto"/>
          <w:sz w:val="22"/>
          <w:szCs w:val="22"/>
        </w:rPr>
        <w:fldChar w:fldCharType="begin"/>
      </w:r>
      <w:r w:rsidRPr="000E5E5C">
        <w:rPr>
          <w:color w:val="auto"/>
          <w:sz w:val="22"/>
          <w:szCs w:val="22"/>
        </w:rPr>
        <w:instrText xml:space="preserve"> SEQ Figure \* ARABIC </w:instrText>
      </w:r>
      <w:r w:rsidRPr="000E5E5C">
        <w:rPr>
          <w:color w:val="auto"/>
          <w:sz w:val="22"/>
          <w:szCs w:val="22"/>
        </w:rPr>
        <w:fldChar w:fldCharType="separate"/>
      </w:r>
      <w:r w:rsidR="002D3684">
        <w:rPr>
          <w:noProof/>
          <w:color w:val="auto"/>
          <w:sz w:val="22"/>
          <w:szCs w:val="22"/>
        </w:rPr>
        <w:t>2</w:t>
      </w:r>
      <w:r w:rsidRPr="000E5E5C">
        <w:rPr>
          <w:color w:val="auto"/>
          <w:sz w:val="22"/>
          <w:szCs w:val="22"/>
        </w:rPr>
        <w:fldChar w:fldCharType="end"/>
      </w:r>
      <w:r w:rsidRPr="000E5E5C">
        <w:rPr>
          <w:color w:val="auto"/>
          <w:sz w:val="22"/>
          <w:szCs w:val="22"/>
        </w:rPr>
        <w:t>: Blood glucose levels in the recommended range 4</w:t>
      </w:r>
      <w:r w:rsidR="00184192" w:rsidRPr="000E5E5C">
        <w:rPr>
          <w:color w:val="auto"/>
          <w:sz w:val="22"/>
          <w:szCs w:val="22"/>
        </w:rPr>
        <w:t>–</w:t>
      </w:r>
      <w:r w:rsidRPr="000E5E5C">
        <w:rPr>
          <w:color w:val="auto"/>
          <w:sz w:val="22"/>
          <w:szCs w:val="22"/>
        </w:rPr>
        <w:t>12 mmol/L</w:t>
      </w:r>
      <w:r w:rsidR="00184192" w:rsidRPr="000E5E5C">
        <w:rPr>
          <w:color w:val="auto"/>
          <w:sz w:val="22"/>
          <w:szCs w:val="22"/>
        </w:rPr>
        <w:t>,</w:t>
      </w:r>
      <w:r w:rsidRPr="000E5E5C">
        <w:rPr>
          <w:color w:val="auto"/>
          <w:sz w:val="22"/>
          <w:szCs w:val="22"/>
        </w:rPr>
        <w:t xml:space="preserve"> </w:t>
      </w:r>
      <w:r w:rsidR="00184192" w:rsidRPr="000E5E5C">
        <w:rPr>
          <w:color w:val="auto"/>
          <w:sz w:val="22"/>
          <w:szCs w:val="22"/>
        </w:rPr>
        <w:t xml:space="preserve">by </w:t>
      </w:r>
      <w:r w:rsidRPr="000E5E5C">
        <w:rPr>
          <w:color w:val="auto"/>
          <w:sz w:val="22"/>
          <w:szCs w:val="22"/>
        </w:rPr>
        <w:t>individual hospitals</w:t>
      </w:r>
    </w:p>
    <w:p w:rsidR="004B31D2" w:rsidRDefault="004B31D2" w:rsidP="004B31D2">
      <w:r>
        <w:rPr>
          <w:noProof/>
        </w:rPr>
        <w:drawing>
          <wp:inline distT="0" distB="0" distL="0" distR="0" wp14:anchorId="20F6FABF" wp14:editId="3DFE344C">
            <wp:extent cx="5562600" cy="3505200"/>
            <wp:effectExtent l="0" t="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B31D2" w:rsidRPr="004B31D2" w:rsidRDefault="004B31D2" w:rsidP="004B31D2">
      <w:pPr>
        <w:rPr>
          <w:rFonts w:ascii="Arial" w:hAnsi="Arial" w:cs="Arial"/>
          <w:sz w:val="18"/>
          <w:szCs w:val="18"/>
        </w:rPr>
      </w:pPr>
      <w:r w:rsidRPr="004B31D2">
        <w:rPr>
          <w:rFonts w:ascii="Arial" w:hAnsi="Arial" w:cs="Arial"/>
          <w:sz w:val="18"/>
          <w:szCs w:val="18"/>
        </w:rPr>
        <w:t>*=P&lt;0.001, statistically significant. BGL= Blood glucose level</w:t>
      </w:r>
    </w:p>
    <w:p w:rsidR="004A7B62" w:rsidRDefault="004A7B62" w:rsidP="00E34E17">
      <w:pPr>
        <w:pStyle w:val="Heading5"/>
      </w:pPr>
      <w:r>
        <w:t>Insulin prescribing and administration</w:t>
      </w:r>
    </w:p>
    <w:p w:rsidR="004A7B62" w:rsidRDefault="004A7B62" w:rsidP="00133873">
      <w:r>
        <w:t>Overall, the pi</w:t>
      </w:r>
      <w:r w:rsidR="00B602E4">
        <w:t>l</w:t>
      </w:r>
      <w:r>
        <w:t>ot hospitals sh</w:t>
      </w:r>
      <w:r w:rsidR="00B602E4">
        <w:t>owed some improvements in the prescribing of insulin for routine insulin orders and supplemental insulin orders</w:t>
      </w:r>
      <w:r w:rsidR="00184192">
        <w:t>,</w:t>
      </w:r>
      <w:r w:rsidR="00B602E4">
        <w:t xml:space="preserve"> and to a lesser extent there was some improvement in the prescribing of stat/phone insulin orders. As noted earlier in this report, there was a reduction in the use of sliding scale insulin.</w:t>
      </w:r>
    </w:p>
    <w:p w:rsidR="00B602E4" w:rsidRDefault="00A57ADC" w:rsidP="00133873">
      <w:r>
        <w:t xml:space="preserve">The two areas of focus identified in the pilot were </w:t>
      </w:r>
      <w:r w:rsidR="00205AFA">
        <w:t xml:space="preserve">also </w:t>
      </w:r>
      <w:r>
        <w:t xml:space="preserve">identified in the acute hospital pilot, showing lower levels of compliance at post-audit than at baseline. </w:t>
      </w:r>
      <w:r w:rsidR="00362E98">
        <w:t>For example, each time a nurse administers a dose of insulin a signature is required on the chart to confirm the dose has been given. Compliance with this measure was lower in the post-audit than before the chart was introduced in the pilot hospitals.</w:t>
      </w:r>
      <w:r w:rsidR="00B602E4">
        <w:t xml:space="preserve"> </w:t>
      </w:r>
    </w:p>
    <w:p w:rsidR="00A57ADC" w:rsidRDefault="00205AFA" w:rsidP="00133873">
      <w:r>
        <w:t>O</w:t>
      </w:r>
      <w:r w:rsidR="00A57ADC">
        <w:t>mitting a signature in this case is unlikely to adversely affect patients in a single instance</w:t>
      </w:r>
      <w:r w:rsidR="00184192">
        <w:t>;</w:t>
      </w:r>
      <w:r>
        <w:t xml:space="preserve"> however,</w:t>
      </w:r>
      <w:r w:rsidR="00A57ADC">
        <w:t xml:space="preserve"> it is likely to make tailoring of insulin doses difficult.</w:t>
      </w:r>
    </w:p>
    <w:p w:rsidR="00A57ADC" w:rsidRDefault="00A57ADC" w:rsidP="00133873">
      <w:r>
        <w:t>Feedback received from prescribers at one of the pilot hospitals stated that:</w:t>
      </w:r>
    </w:p>
    <w:p w:rsidR="00A57ADC" w:rsidRDefault="00A57ADC" w:rsidP="00860059">
      <w:pPr>
        <w:ind w:left="720"/>
      </w:pPr>
      <w:r w:rsidRPr="000E5E5C">
        <w:rPr>
          <w:sz w:val="20"/>
          <w:szCs w:val="20"/>
        </w:rPr>
        <w:t>Prescribing insulin is laborious on the new chart. Our patients are stable and often manage their own insulin.</w:t>
      </w:r>
    </w:p>
    <w:p w:rsidR="00A57ADC" w:rsidRDefault="00A57ADC" w:rsidP="00133873">
      <w:r>
        <w:t>The same group of prescribers stated that:</w:t>
      </w:r>
    </w:p>
    <w:p w:rsidR="000E5E5C" w:rsidRDefault="00A57ADC" w:rsidP="00860059">
      <w:pPr>
        <w:ind w:left="720"/>
        <w:rPr>
          <w:sz w:val="20"/>
          <w:szCs w:val="20"/>
        </w:rPr>
        <w:sectPr w:rsidR="000E5E5C" w:rsidSect="006803BA">
          <w:pgSz w:w="11906" w:h="16838"/>
          <w:pgMar w:top="1440" w:right="1440" w:bottom="1440" w:left="1440" w:header="708" w:footer="708" w:gutter="0"/>
          <w:cols w:space="708"/>
          <w:docGrid w:linePitch="360"/>
        </w:sectPr>
      </w:pPr>
      <w:r w:rsidRPr="000E5E5C">
        <w:rPr>
          <w:sz w:val="20"/>
          <w:szCs w:val="20"/>
        </w:rPr>
        <w:t xml:space="preserve">It is unreasonable to expect a psychiatrist to complete daily insulin orders when we do not routinely change patient doses </w:t>
      </w:r>
      <w:r w:rsidR="00093E04" w:rsidRPr="000E5E5C">
        <w:rPr>
          <w:sz w:val="20"/>
          <w:szCs w:val="20"/>
        </w:rPr>
        <w:t>for our patients.</w:t>
      </w:r>
    </w:p>
    <w:p w:rsidR="00093E04" w:rsidRDefault="00093E04" w:rsidP="00133873">
      <w:r>
        <w:lastRenderedPageBreak/>
        <w:t>In response to this feedback, a number of additional instructions have been added to the user manual to support prescribing on the subacute chart including:</w:t>
      </w:r>
    </w:p>
    <w:p w:rsidR="00093E04" w:rsidRDefault="00093E04" w:rsidP="00860059">
      <w:pPr>
        <w:pStyle w:val="ListParagraph"/>
        <w:numPr>
          <w:ilvl w:val="0"/>
          <w:numId w:val="42"/>
        </w:numPr>
      </w:pPr>
      <w:r>
        <w:t>An example of how to carry orders from initial prescribing to a future review date</w:t>
      </w:r>
      <w:r w:rsidR="00184192">
        <w:t>,</w:t>
      </w:r>
      <w:r>
        <w:t xml:space="preserve"> such as the last day of the chart</w:t>
      </w:r>
    </w:p>
    <w:p w:rsidR="00093E04" w:rsidRDefault="00093E04" w:rsidP="00860059">
      <w:pPr>
        <w:pStyle w:val="ListParagraph"/>
        <w:numPr>
          <w:ilvl w:val="0"/>
          <w:numId w:val="42"/>
        </w:numPr>
      </w:pPr>
      <w:r>
        <w:t>Advice on developing local policies to manage forward prescribing of insulin for stable patients</w:t>
      </w:r>
    </w:p>
    <w:p w:rsidR="00093E04" w:rsidRDefault="00093E04" w:rsidP="00860059">
      <w:pPr>
        <w:pStyle w:val="ListParagraph"/>
        <w:numPr>
          <w:ilvl w:val="0"/>
          <w:numId w:val="42"/>
        </w:numPr>
      </w:pPr>
      <w:r>
        <w:t>Directions on how to utilise the routine insulin section for phone orders where the stat/phone order section has been exhausted</w:t>
      </w:r>
      <w:r w:rsidR="00860059">
        <w:t xml:space="preserve"> </w:t>
      </w:r>
      <w:r w:rsidR="00184192">
        <w:t xml:space="preserve">and </w:t>
      </w:r>
      <w:r w:rsidR="00860059">
        <w:t>where access to onsite medical officers is intermittent</w:t>
      </w:r>
      <w:r w:rsidR="00205AFA">
        <w:t>.</w:t>
      </w:r>
    </w:p>
    <w:p w:rsidR="00860059" w:rsidRDefault="00860059" w:rsidP="00860059">
      <w:r>
        <w:t>The section on self-administration has been highlighted</w:t>
      </w:r>
      <w:r w:rsidR="00184192">
        <w:t>,</w:t>
      </w:r>
      <w:r>
        <w:t xml:space="preserve"> as have the instructions on how to adjust insulin dose depending on the anticipated amount of carbohydrate likely to be consumed.</w:t>
      </w:r>
    </w:p>
    <w:p w:rsidR="00860059" w:rsidRDefault="00860059" w:rsidP="00860059">
      <w:r>
        <w:t>These additions will further improve the impact of the chart on B</w:t>
      </w:r>
      <w:r w:rsidR="004B2787">
        <w:t>G</w:t>
      </w:r>
      <w:r>
        <w:t>L management and the prescribing of insulin.</w:t>
      </w:r>
    </w:p>
    <w:p w:rsidR="00133873" w:rsidRDefault="00133873" w:rsidP="00A04882"/>
    <w:p w:rsidR="0003162D" w:rsidRDefault="0003162D" w:rsidP="0003162D">
      <w:pPr>
        <w:sectPr w:rsidR="0003162D" w:rsidSect="006803BA">
          <w:pgSz w:w="11906" w:h="16838"/>
          <w:pgMar w:top="1440" w:right="1440" w:bottom="1440" w:left="1440" w:header="708" w:footer="708" w:gutter="0"/>
          <w:cols w:space="708"/>
          <w:docGrid w:linePitch="360"/>
        </w:sectPr>
      </w:pPr>
    </w:p>
    <w:p w:rsidR="00B459E9" w:rsidRPr="009424A5" w:rsidRDefault="00B459E9" w:rsidP="00B459E9">
      <w:pPr>
        <w:pStyle w:val="Heading1"/>
      </w:pPr>
      <w:bookmarkStart w:id="17" w:name="_Toc497132931"/>
      <w:r>
        <w:lastRenderedPageBreak/>
        <w:t>Conclusion</w:t>
      </w:r>
      <w:bookmarkEnd w:id="17"/>
    </w:p>
    <w:p w:rsidR="00F6076C" w:rsidRDefault="00F6076C" w:rsidP="00F6076C">
      <w:r>
        <w:t xml:space="preserve">The pilot project showed that the new national subcutaneous insulin chart is beneficial to patients that need their diabetes monitored and controlled in </w:t>
      </w:r>
      <w:r w:rsidR="00E20597">
        <w:t>sub</w:t>
      </w:r>
      <w:r>
        <w:t>acute care hospital</w:t>
      </w:r>
      <w:r w:rsidR="001B74AA">
        <w:t>s and mental health facilities</w:t>
      </w:r>
      <w:r>
        <w:t xml:space="preserve">. </w:t>
      </w:r>
    </w:p>
    <w:p w:rsidR="00F6076C" w:rsidRDefault="00F6076C" w:rsidP="00F6076C">
      <w:r>
        <w:t>Most of the improvements identified are associated with direct patient benefit. Better BGL control and clearer subcutaneous insulin prescribing were observed</w:t>
      </w:r>
      <w:r w:rsidR="001B74AA">
        <w:t xml:space="preserve"> where the chart was piloted</w:t>
      </w:r>
      <w:r w:rsidR="00564A16">
        <w:t>.</w:t>
      </w:r>
    </w:p>
    <w:p w:rsidR="00F6076C" w:rsidRDefault="00F6076C" w:rsidP="00F6076C">
      <w:r>
        <w:t>Administrative errors were observed during the pilot</w:t>
      </w:r>
      <w:r w:rsidR="00E20597">
        <w:t xml:space="preserve"> and these were similar to errors seen during the previous phases of the pilot. These errors</w:t>
      </w:r>
      <w:r>
        <w:t xml:space="preserve"> must be addressed when the chart is introduced to a</w:t>
      </w:r>
      <w:r w:rsidR="00543061">
        <w:t>ny</w:t>
      </w:r>
      <w:r>
        <w:t xml:space="preserve"> </w:t>
      </w:r>
      <w:r w:rsidR="00543061">
        <w:t>facility</w:t>
      </w:r>
      <w:r>
        <w:t>. Errors of this type are common when new tools are introduced, such as the national subcutaneous insulin chart. Their resolution requires systematic monitoring of the chart’s performance, continued education and positive reinforcement of practice change among clinicians.</w:t>
      </w:r>
    </w:p>
    <w:p w:rsidR="00F6076C" w:rsidRDefault="00F6076C" w:rsidP="000E5E5C">
      <w:pPr>
        <w:pStyle w:val="NormalBeforeBullet"/>
        <w:spacing w:after="0"/>
      </w:pPr>
      <w:r>
        <w:t>T</w:t>
      </w:r>
      <w:r w:rsidRPr="004B2089">
        <w:t xml:space="preserve">he </w:t>
      </w:r>
      <w:r>
        <w:t>national subcutaneous insulin chart</w:t>
      </w:r>
      <w:r w:rsidR="00E20597">
        <w:t xml:space="preserve"> </w:t>
      </w:r>
      <w:r w:rsidR="004D2077">
        <w:t>(</w:t>
      </w:r>
      <w:r w:rsidR="00E20597">
        <w:t>subacute</w:t>
      </w:r>
      <w:r w:rsidR="004D2077">
        <w:t>)</w:t>
      </w:r>
      <w:r>
        <w:t xml:space="preserve"> </w:t>
      </w:r>
      <w:r w:rsidRPr="004B2089">
        <w:t>yield</w:t>
      </w:r>
      <w:r>
        <w:t>s</w:t>
      </w:r>
      <w:r w:rsidRPr="004B2089">
        <w:t xml:space="preserve"> better outcomes than alternat</w:t>
      </w:r>
      <w:r>
        <w:t>ive charts with which it was compared. The results support</w:t>
      </w:r>
      <w:r w:rsidRPr="004B2089">
        <w:t xml:space="preserve"> </w:t>
      </w:r>
      <w:r>
        <w:t>the hypotheses that using a standardised chart for prescribing and administering subcutaneous insulin and recording BGLs, when combined with planned implementation and education:</w:t>
      </w:r>
    </w:p>
    <w:p w:rsidR="00F6076C" w:rsidRDefault="00F6076C" w:rsidP="000E5E5C">
      <w:pPr>
        <w:pStyle w:val="ListParagraph"/>
        <w:numPr>
          <w:ilvl w:val="0"/>
          <w:numId w:val="42"/>
        </w:numPr>
      </w:pPr>
      <w:r>
        <w:t>Reduces errors in subcutaneous insulin prescribing and administration</w:t>
      </w:r>
    </w:p>
    <w:p w:rsidR="00F6076C" w:rsidRPr="00A8624F" w:rsidRDefault="00F6076C" w:rsidP="000E5E5C">
      <w:pPr>
        <w:pStyle w:val="ListParagraph"/>
        <w:numPr>
          <w:ilvl w:val="0"/>
          <w:numId w:val="42"/>
        </w:numPr>
      </w:pPr>
      <w:r>
        <w:t>Does not result in inferior blood glucose control.</w:t>
      </w:r>
    </w:p>
    <w:p w:rsidR="00F6076C" w:rsidRDefault="00F6076C" w:rsidP="00F6076C">
      <w:r>
        <w:t>F</w:t>
      </w:r>
      <w:r w:rsidRPr="004B2089">
        <w:t xml:space="preserve">urther design </w:t>
      </w:r>
      <w:r>
        <w:t xml:space="preserve">work </w:t>
      </w:r>
      <w:r w:rsidRPr="004B2089">
        <w:t xml:space="preserve">would </w:t>
      </w:r>
      <w:r>
        <w:t xml:space="preserve">not </w:t>
      </w:r>
      <w:r w:rsidRPr="004B2089">
        <w:t xml:space="preserve">be beneficial at this stage. Rather than modifying the design of the chart, those issues that remain </w:t>
      </w:r>
      <w:r>
        <w:t>should be</w:t>
      </w:r>
      <w:r w:rsidRPr="004B2089">
        <w:t xml:space="preserve"> addressed through effective change management processes and training</w:t>
      </w:r>
      <w:r>
        <w:t>.</w:t>
      </w:r>
      <w:r w:rsidRPr="004B2089">
        <w:t xml:space="preserve"> </w:t>
      </w:r>
      <w:r>
        <w:t>These include</w:t>
      </w:r>
      <w:r w:rsidRPr="004B2089">
        <w:t xml:space="preserve"> providing more explicit training to </w:t>
      </w:r>
      <w:r>
        <w:t>all</w:t>
      </w:r>
      <w:r w:rsidRPr="004B2089">
        <w:t xml:space="preserve"> chart users on the phone order procedures that are currently outlined only in the </w:t>
      </w:r>
      <w:r w:rsidR="00644D9D">
        <w:t>‘</w:t>
      </w:r>
      <w:r>
        <w:t>frequently asked questions</w:t>
      </w:r>
      <w:r w:rsidR="00644D9D">
        <w:t>’</w:t>
      </w:r>
      <w:r>
        <w:t xml:space="preserve"> document</w:t>
      </w:r>
      <w:r w:rsidR="00E20597">
        <w:t>.</w:t>
      </w:r>
    </w:p>
    <w:p w:rsidR="00F6076C" w:rsidRPr="00CF45B9" w:rsidRDefault="00F6076C" w:rsidP="00F6076C">
      <w:r>
        <w:t xml:space="preserve">It is expected that </w:t>
      </w:r>
      <w:r w:rsidRPr="004B2089">
        <w:t xml:space="preserve">the negative changes </w:t>
      </w:r>
      <w:r>
        <w:t>seen will</w:t>
      </w:r>
      <w:r w:rsidRPr="004B2089">
        <w:t xml:space="preserve"> decrease as the new chart becomes more commonplace and familiar to staff.</w:t>
      </w:r>
    </w:p>
    <w:p w:rsidR="00F6076C" w:rsidRDefault="00F6076C" w:rsidP="00F6076C">
      <w:pPr>
        <w:pStyle w:val="NormalBeforeBullet"/>
        <w:sectPr w:rsidR="00F6076C" w:rsidSect="006803BA">
          <w:pgSz w:w="11906" w:h="16838"/>
          <w:pgMar w:top="1440" w:right="1440" w:bottom="1440" w:left="1440" w:header="708" w:footer="708" w:gutter="0"/>
          <w:cols w:space="708"/>
          <w:docGrid w:linePitch="360"/>
        </w:sectPr>
      </w:pPr>
      <w:r>
        <w:t xml:space="preserve">Because of space constraints on the printed chart, many instructions are not included and will thus require user training. The expert group </w:t>
      </w:r>
      <w:r w:rsidR="001B74AA">
        <w:t xml:space="preserve">advised </w:t>
      </w:r>
      <w:r>
        <w:t>that regardless of the improvements to the chart, user training is essential.</w:t>
      </w:r>
    </w:p>
    <w:p w:rsidR="00F6076C" w:rsidRDefault="00F6076C" w:rsidP="00F6076C">
      <w:pPr>
        <w:pStyle w:val="Heading1"/>
      </w:pPr>
      <w:bookmarkStart w:id="18" w:name="_Toc479018803"/>
      <w:bookmarkStart w:id="19" w:name="_Toc497132932"/>
      <w:r>
        <w:lastRenderedPageBreak/>
        <w:t>Recommendations</w:t>
      </w:r>
      <w:bookmarkEnd w:id="18"/>
      <w:bookmarkEnd w:id="19"/>
    </w:p>
    <w:p w:rsidR="00F6076C" w:rsidRPr="00A2757E" w:rsidRDefault="00F6076C" w:rsidP="00F6076C">
      <w:pPr>
        <w:pStyle w:val="NormalBeforeBullet"/>
      </w:pPr>
      <w:r w:rsidRPr="00A2757E">
        <w:t xml:space="preserve">Based on the outcomes of the </w:t>
      </w:r>
      <w:r>
        <w:t xml:space="preserve">pilot and </w:t>
      </w:r>
      <w:r w:rsidRPr="00A2757E">
        <w:t xml:space="preserve">evaluation of the </w:t>
      </w:r>
      <w:r>
        <w:t>national subcutaneous insulin chart</w:t>
      </w:r>
      <w:r w:rsidR="00A0011C">
        <w:t>, the Australian Commission on Safety and</w:t>
      </w:r>
      <w:r w:rsidR="006879D1">
        <w:t xml:space="preserve"> Quality in</w:t>
      </w:r>
      <w:r w:rsidR="00A0011C">
        <w:t xml:space="preserve"> Health Care recommends</w:t>
      </w:r>
      <w:r w:rsidRPr="00A2757E">
        <w:t>:</w:t>
      </w:r>
    </w:p>
    <w:p w:rsidR="00F6076C" w:rsidRPr="00A2757E" w:rsidRDefault="00F6076C" w:rsidP="00F6076C">
      <w:pPr>
        <w:numPr>
          <w:ilvl w:val="0"/>
          <w:numId w:val="39"/>
        </w:numPr>
        <w:spacing w:after="120"/>
      </w:pPr>
      <w:r w:rsidRPr="00A2757E">
        <w:t xml:space="preserve">The </w:t>
      </w:r>
      <w:r>
        <w:t>national subcutaneous insulin chart</w:t>
      </w:r>
      <w:r w:rsidR="002D5342">
        <w:t xml:space="preserve"> (subacute</w:t>
      </w:r>
      <w:r w:rsidR="003D03E2">
        <w:t>/mental health</w:t>
      </w:r>
      <w:r w:rsidR="002D5342">
        <w:t>)</w:t>
      </w:r>
      <w:r>
        <w:t xml:space="preserve"> </w:t>
      </w:r>
      <w:r w:rsidR="00A0011C">
        <w:t xml:space="preserve">should be used </w:t>
      </w:r>
      <w:r w:rsidRPr="00A2757E">
        <w:t xml:space="preserve">in </w:t>
      </w:r>
      <w:r>
        <w:t xml:space="preserve">all </w:t>
      </w:r>
      <w:r w:rsidR="002D5342">
        <w:t xml:space="preserve">subacute and mental health </w:t>
      </w:r>
      <w:r w:rsidR="00543061">
        <w:t>facilities</w:t>
      </w:r>
      <w:r w:rsidR="00644D9D">
        <w:t>,</w:t>
      </w:r>
      <w:r w:rsidR="00543061">
        <w:t xml:space="preserve"> </w:t>
      </w:r>
      <w:r>
        <w:t>unless the existing chart or charts can be demonstrated to be as effective</w:t>
      </w:r>
      <w:r w:rsidRPr="00A2757E">
        <w:t>.</w:t>
      </w:r>
    </w:p>
    <w:p w:rsidR="00F6076C" w:rsidRPr="00A2757E" w:rsidRDefault="006E3981" w:rsidP="00F6076C">
      <w:pPr>
        <w:pStyle w:val="BulletBeforeDash"/>
        <w:numPr>
          <w:ilvl w:val="0"/>
          <w:numId w:val="39"/>
        </w:numPr>
      </w:pPr>
      <w:r>
        <w:t xml:space="preserve">State and territory health authorities </w:t>
      </w:r>
      <w:r w:rsidR="00F6076C">
        <w:t>and private hospitals</w:t>
      </w:r>
      <w:r w:rsidR="00F6076C" w:rsidRPr="00A2757E">
        <w:t xml:space="preserve"> considering implementation of the </w:t>
      </w:r>
      <w:r w:rsidR="00F6076C">
        <w:t>national subcutaneous insulin chart</w:t>
      </w:r>
      <w:r w:rsidR="002D5342">
        <w:t xml:space="preserve"> (subacute</w:t>
      </w:r>
      <w:r w:rsidR="003D03E2">
        <w:t>/mental health</w:t>
      </w:r>
      <w:r w:rsidR="002D5342">
        <w:t>)</w:t>
      </w:r>
      <w:r w:rsidR="00F6076C">
        <w:t xml:space="preserve"> should</w:t>
      </w:r>
      <w:r w:rsidR="00644D9D">
        <w:t>:</w:t>
      </w:r>
      <w:r w:rsidR="00F6076C" w:rsidRPr="00A2757E">
        <w:t xml:space="preserve"> </w:t>
      </w:r>
    </w:p>
    <w:p w:rsidR="00F6076C" w:rsidRPr="00814913" w:rsidRDefault="00F6076C" w:rsidP="00F6076C">
      <w:pPr>
        <w:pStyle w:val="Dash"/>
        <w:numPr>
          <w:ilvl w:val="1"/>
          <w:numId w:val="40"/>
        </w:numPr>
      </w:pPr>
      <w:r w:rsidRPr="00814913">
        <w:t>confirm the expected benefits of implementation against local workflows and requirements in lead sites</w:t>
      </w:r>
    </w:p>
    <w:p w:rsidR="00F6076C" w:rsidRPr="00A2757E" w:rsidRDefault="00F6076C" w:rsidP="00F6076C">
      <w:pPr>
        <w:pStyle w:val="DashLast"/>
        <w:numPr>
          <w:ilvl w:val="1"/>
          <w:numId w:val="40"/>
        </w:numPr>
      </w:pPr>
      <w:proofErr w:type="gramStart"/>
      <w:r w:rsidRPr="00A2757E">
        <w:t>establish</w:t>
      </w:r>
      <w:proofErr w:type="gramEnd"/>
      <w:r w:rsidRPr="00A2757E">
        <w:t xml:space="preserve"> a plan to monitor the performance of the </w:t>
      </w:r>
      <w:r>
        <w:t>national subcutaneous insulin chart</w:t>
      </w:r>
      <w:r w:rsidR="002D5342">
        <w:t xml:space="preserve"> (subacute</w:t>
      </w:r>
      <w:r w:rsidR="003D03E2">
        <w:t>/mental health</w:t>
      </w:r>
      <w:r w:rsidR="002D5342">
        <w:t>)</w:t>
      </w:r>
      <w:r>
        <w:t xml:space="preserve"> </w:t>
      </w:r>
      <w:r w:rsidRPr="00A2757E">
        <w:t>as part of the organisation’s clinical governance processes.</w:t>
      </w:r>
    </w:p>
    <w:p w:rsidR="00F6076C" w:rsidRDefault="00F6076C" w:rsidP="00F6076C">
      <w:pPr>
        <w:numPr>
          <w:ilvl w:val="0"/>
          <w:numId w:val="39"/>
        </w:numPr>
        <w:spacing w:after="120"/>
      </w:pPr>
      <w:r w:rsidRPr="00814913">
        <w:t>The national subcutaneous insulin chart</w:t>
      </w:r>
      <w:r w:rsidR="002D5342">
        <w:t xml:space="preserve"> (subacute</w:t>
      </w:r>
      <w:r w:rsidR="003D03E2">
        <w:t>/mental health</w:t>
      </w:r>
      <w:r w:rsidR="002D5342">
        <w:t>)</w:t>
      </w:r>
      <w:r w:rsidRPr="00814913">
        <w:t xml:space="preserve"> should be </w:t>
      </w:r>
      <w:r>
        <w:t>implemented as part of an education program that explains</w:t>
      </w:r>
      <w:r w:rsidRPr="00814913">
        <w:t xml:space="preserve"> </w:t>
      </w:r>
      <w:r>
        <w:t>how</w:t>
      </w:r>
      <w:r w:rsidRPr="00814913">
        <w:t xml:space="preserve"> the chart </w:t>
      </w:r>
      <w:r>
        <w:t>should</w:t>
      </w:r>
      <w:r w:rsidRPr="00814913">
        <w:t xml:space="preserve"> be used</w:t>
      </w:r>
      <w:r>
        <w:t>.</w:t>
      </w:r>
      <w:r w:rsidRPr="00814913">
        <w:t xml:space="preserve"> </w:t>
      </w:r>
      <w:r>
        <w:t>L</w:t>
      </w:r>
      <w:r w:rsidRPr="00814913">
        <w:t>ocal variation</w:t>
      </w:r>
      <w:r>
        <w:t xml:space="preserve"> should be minimal because the chart was extensively tested, meaning any changes could reduce the positive impact on prescribing.</w:t>
      </w:r>
      <w:r w:rsidRPr="00814913">
        <w:t xml:space="preserve"> Permitted variation</w:t>
      </w:r>
      <w:r>
        <w:t>s</w:t>
      </w:r>
      <w:r w:rsidRPr="00814913">
        <w:t xml:space="preserve"> should be specified clearly in the accompanying support materials.</w:t>
      </w:r>
    </w:p>
    <w:p w:rsidR="00F6076C" w:rsidRPr="00814913" w:rsidRDefault="00F6076C" w:rsidP="00F6076C">
      <w:pPr>
        <w:numPr>
          <w:ilvl w:val="0"/>
          <w:numId w:val="39"/>
        </w:numPr>
        <w:spacing w:after="120"/>
      </w:pPr>
      <w:r>
        <w:t>Support materials should be developed by the Commission to assist hospitals that wish to implement the national subcutaneous chart</w:t>
      </w:r>
      <w:r w:rsidR="00894E83">
        <w:t xml:space="preserve"> in subacute and mental health facilities</w:t>
      </w:r>
      <w:r>
        <w:t>.</w:t>
      </w:r>
    </w:p>
    <w:p w:rsidR="00F6076C" w:rsidRPr="00A2757E" w:rsidRDefault="00F6076C" w:rsidP="00F6076C">
      <w:pPr>
        <w:pStyle w:val="BulletBeforeDash"/>
        <w:numPr>
          <w:ilvl w:val="0"/>
          <w:numId w:val="39"/>
        </w:numPr>
      </w:pPr>
      <w:r w:rsidRPr="00A2757E">
        <w:t xml:space="preserve">Hospitals should support effective local implementation of the </w:t>
      </w:r>
      <w:r>
        <w:t xml:space="preserve">national subcutaneous insulin chart </w:t>
      </w:r>
      <w:r w:rsidR="003D03E2">
        <w:t xml:space="preserve">in subacute and mental health facilities </w:t>
      </w:r>
      <w:r>
        <w:t>by</w:t>
      </w:r>
      <w:r w:rsidR="004D2077">
        <w:t>:</w:t>
      </w:r>
    </w:p>
    <w:p w:rsidR="00F6076C" w:rsidRPr="00A2757E" w:rsidRDefault="00F6076C" w:rsidP="00F6076C">
      <w:pPr>
        <w:pStyle w:val="Dash"/>
        <w:numPr>
          <w:ilvl w:val="1"/>
          <w:numId w:val="41"/>
        </w:numPr>
      </w:pPr>
      <w:r>
        <w:t>developing an implementation plan with key stakeholders in the institution</w:t>
      </w:r>
    </w:p>
    <w:p w:rsidR="00F6076C" w:rsidRPr="00A2757E" w:rsidRDefault="00F6076C" w:rsidP="00F6076C">
      <w:pPr>
        <w:pStyle w:val="Dash"/>
        <w:numPr>
          <w:ilvl w:val="1"/>
          <w:numId w:val="41"/>
        </w:numPr>
      </w:pPr>
      <w:r w:rsidRPr="00A2757E">
        <w:t>undertaking a risk assessment of the new chart and associated workflow changes</w:t>
      </w:r>
    </w:p>
    <w:p w:rsidR="00F6076C" w:rsidRDefault="00F6076C" w:rsidP="00F6076C">
      <w:pPr>
        <w:pStyle w:val="Dash"/>
        <w:numPr>
          <w:ilvl w:val="1"/>
          <w:numId w:val="41"/>
        </w:numPr>
        <w:spacing w:after="120"/>
      </w:pPr>
      <w:proofErr w:type="gramStart"/>
      <w:r w:rsidRPr="00A2757E">
        <w:t>using</w:t>
      </w:r>
      <w:proofErr w:type="gramEnd"/>
      <w:r w:rsidRPr="00A2757E">
        <w:t xml:space="preserve"> the </w:t>
      </w:r>
      <w:r>
        <w:t xml:space="preserve">national subcutaneous insulin chart </w:t>
      </w:r>
      <w:r w:rsidRPr="00A2757E">
        <w:t xml:space="preserve">implementation material developed by </w:t>
      </w:r>
      <w:r>
        <w:t xml:space="preserve">the </w:t>
      </w:r>
      <w:r w:rsidRPr="00A2757E">
        <w:t xml:space="preserve">Commission for </w:t>
      </w:r>
      <w:r w:rsidR="00E41B30">
        <w:t>hospital</w:t>
      </w:r>
      <w:r w:rsidR="00E41B30" w:rsidRPr="00A2757E">
        <w:t xml:space="preserve"> </w:t>
      </w:r>
      <w:r w:rsidRPr="00A2757E">
        <w:t>communication and training.</w:t>
      </w:r>
    </w:p>
    <w:p w:rsidR="00F6076C" w:rsidRDefault="00F6076C" w:rsidP="00F6076C">
      <w:pPr>
        <w:numPr>
          <w:ilvl w:val="0"/>
          <w:numId w:val="39"/>
        </w:numPr>
        <w:spacing w:after="120"/>
      </w:pPr>
      <w:r w:rsidRPr="00A2757E">
        <w:t xml:space="preserve">The Commission </w:t>
      </w:r>
      <w:r w:rsidR="00937841">
        <w:t xml:space="preserve">incorporate </w:t>
      </w:r>
      <w:r w:rsidRPr="00A2757E">
        <w:t xml:space="preserve">stewardship and governance </w:t>
      </w:r>
      <w:r w:rsidR="00937841">
        <w:t xml:space="preserve">of the subacute and mental health insulin chart into </w:t>
      </w:r>
      <w:r w:rsidRPr="00A2757E">
        <w:t xml:space="preserve">the national implementation of the </w:t>
      </w:r>
      <w:r>
        <w:t>national subcutaneous insulin chart</w:t>
      </w:r>
      <w:r w:rsidRPr="00A2757E">
        <w:t>.</w:t>
      </w:r>
    </w:p>
    <w:p w:rsidR="00F6076C" w:rsidRDefault="00A0011C" w:rsidP="00B459E9">
      <w:pPr>
        <w:numPr>
          <w:ilvl w:val="0"/>
          <w:numId w:val="39"/>
        </w:numPr>
        <w:spacing w:after="120"/>
        <w:sectPr w:rsidR="00F6076C" w:rsidSect="006803BA">
          <w:pgSz w:w="11906" w:h="16838"/>
          <w:pgMar w:top="1440" w:right="1440" w:bottom="1440" w:left="1440" w:header="708" w:footer="708" w:gutter="0"/>
          <w:cols w:space="708"/>
          <w:docGrid w:linePitch="360"/>
        </w:sectPr>
      </w:pPr>
      <w:r>
        <w:t>The existing evaluation of the acute sector chart should be expanded to include an evaluation of the subacute and mental health subcutaneous insulin chart and its implementation, with the expansion to be implemented no later than 18 months after the charts were launched</w:t>
      </w:r>
      <w:proofErr w:type="gramStart"/>
      <w:r>
        <w:t>.</w:t>
      </w:r>
      <w:r w:rsidR="00F6076C">
        <w:t>.</w:t>
      </w:r>
      <w:proofErr w:type="gramEnd"/>
    </w:p>
    <w:p w:rsidR="00B0734E" w:rsidRDefault="00B0734E" w:rsidP="00861BBF">
      <w:r>
        <w:rPr>
          <w:noProof/>
        </w:rPr>
        <w:lastRenderedPageBreak/>
        <mc:AlternateContent>
          <mc:Choice Requires="wps">
            <w:drawing>
              <wp:anchor distT="0" distB="0" distL="114300" distR="114300" simplePos="0" relativeHeight="251659264" behindDoc="0" locked="0" layoutInCell="1" allowOverlap="1" wp14:anchorId="4262F0D7" wp14:editId="68BE4756">
                <wp:simplePos x="0" y="0"/>
                <wp:positionH relativeFrom="column">
                  <wp:posOffset>-34290</wp:posOffset>
                </wp:positionH>
                <wp:positionV relativeFrom="paragraph">
                  <wp:posOffset>6748145</wp:posOffset>
                </wp:positionV>
                <wp:extent cx="4808220" cy="1403985"/>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8220" cy="1403985"/>
                        </a:xfrm>
                        <a:prstGeom prst="rect">
                          <a:avLst/>
                        </a:prstGeom>
                        <a:noFill/>
                        <a:ln w="9525">
                          <a:noFill/>
                          <a:miter lim="800000"/>
                          <a:headEnd/>
                          <a:tailEnd/>
                        </a:ln>
                      </wps:spPr>
                      <wps:txbx>
                        <w:txbxContent>
                          <w:p w:rsidR="00B0734E" w:rsidRDefault="00B0734E" w:rsidP="00B0734E">
                            <w:r>
                              <w:t>Level 5, 255 Elizabeth Street, Sydney NSW 2000</w:t>
                            </w:r>
                            <w:r>
                              <w:br/>
                              <w:t>GPO Box 5480, Sydney NSW 2001</w:t>
                            </w:r>
                          </w:p>
                          <w:p w:rsidR="00B0734E" w:rsidRDefault="00B0734E" w:rsidP="00B0734E">
                            <w:r>
                              <w:t xml:space="preserve">Phone: (02) 9126 3600 </w:t>
                            </w:r>
                            <w:r>
                              <w:br/>
                              <w:t>Fax: (02) 9126 3613</w:t>
                            </w:r>
                          </w:p>
                          <w:p w:rsidR="00B0734E" w:rsidRDefault="00B0734E" w:rsidP="00B0734E">
                            <w:r>
                              <w:t xml:space="preserve">Email: mail@safetyandquality.gov.au </w:t>
                            </w:r>
                            <w:r>
                              <w:br/>
                              <w:t>Website: www.safetyandquality.gov.au</w:t>
                            </w:r>
                          </w:p>
                        </w:txbxContent>
                      </wps:txbx>
                      <wps:bodyPr rot="0" vert="horz" wrap="square" lIns="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pt;margin-top:531.35pt;width:378.6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" filled="f" stroked="f">
                <v:textbox style="mso-fit-shape-to-text:t" inset="0">
                  <w:txbxContent>
                    <w:p w:rsidR="00B0734E" w:rsidRDefault="00B0734E" w:rsidP="00B0734E">
                      <w:r>
                        <w:t>Level 5, 255 Elizabeth Street, Sydney NSW 2000</w:t>
                      </w:r>
                      <w:r>
                        <w:br/>
                        <w:t>GPO Box 5480, Sydney NSW 2001</w:t>
                      </w:r>
                    </w:p>
                    <w:p w:rsidR="00B0734E" w:rsidRDefault="00B0734E" w:rsidP="00B0734E">
                      <w:r>
                        <w:t xml:space="preserve">Phone: (02) 9126 3600 </w:t>
                      </w:r>
                      <w:r>
                        <w:br/>
                        <w:t>Fax: (02) 9126 3613</w:t>
                      </w:r>
                    </w:p>
                    <w:p w:rsidR="00B0734E" w:rsidRDefault="00B0734E" w:rsidP="00B0734E">
                      <w:r>
                        <w:t xml:space="preserve">Email: mail@safetyandquality.gov.au </w:t>
                      </w:r>
                      <w:r>
                        <w:br/>
                        <w:t>Website: www.safetyandquality.gov.au</w:t>
                      </w:r>
                    </w:p>
                  </w:txbxContent>
                </v:textbox>
              </v:shape>
            </w:pict>
          </mc:Fallback>
        </mc:AlternateContent>
      </w:r>
      <w:r>
        <w:rPr>
          <w:rFonts w:eastAsiaTheme="majorEastAsia"/>
          <w:noProof/>
        </w:rPr>
        <w:drawing>
          <wp:anchor distT="0" distB="0" distL="114300" distR="114300" simplePos="0" relativeHeight="251660288" behindDoc="0" locked="0" layoutInCell="1" allowOverlap="1" wp14:anchorId="66C3A946" wp14:editId="7B41C602">
            <wp:simplePos x="0" y="0"/>
            <wp:positionH relativeFrom="column">
              <wp:posOffset>-77404</wp:posOffset>
            </wp:positionH>
            <wp:positionV relativeFrom="paragraph">
              <wp:posOffset>6138545</wp:posOffset>
            </wp:positionV>
            <wp:extent cx="4335780" cy="611505"/>
            <wp:effectExtent l="0" t="0" r="7620" b="0"/>
            <wp:wrapNone/>
            <wp:docPr id="5" name="Picture 5" descr="Australian Commission on Safety and Quality in Health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35780" cy="611505"/>
                    </a:xfrm>
                    <a:prstGeom prst="rect">
                      <a:avLst/>
                    </a:prstGeom>
                  </pic:spPr>
                </pic:pic>
              </a:graphicData>
            </a:graphic>
            <wp14:sizeRelH relativeFrom="page">
              <wp14:pctWidth>0</wp14:pctWidth>
            </wp14:sizeRelH>
            <wp14:sizeRelV relativeFrom="page">
              <wp14:pctHeight>0</wp14:pctHeight>
            </wp14:sizeRelV>
          </wp:anchor>
        </w:drawing>
      </w:r>
    </w:p>
    <w:sectPr w:rsidR="00B0734E" w:rsidSect="006803B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BFC" w:rsidRDefault="00E74BFC" w:rsidP="000B0274">
      <w:r>
        <w:separator/>
      </w:r>
    </w:p>
  </w:endnote>
  <w:endnote w:type="continuationSeparator" w:id="0">
    <w:p w:rsidR="00E74BFC" w:rsidRDefault="00E74BFC" w:rsidP="000B0274">
      <w:r>
        <w:continuationSeparator/>
      </w:r>
    </w:p>
  </w:endnote>
  <w:endnote w:type="continuationNotice" w:id="1">
    <w:p w:rsidR="00E74BFC" w:rsidRDefault="00E74BF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Bold">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2D0" w:rsidRDefault="00F812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53D" w:rsidRPr="00F57148" w:rsidRDefault="002A68A3" w:rsidP="009B053D">
    <w:pPr>
      <w:pStyle w:val="Footer"/>
      <w:jc w:val="right"/>
    </w:pPr>
    <w:r>
      <w:rPr>
        <w:sz w:val="18"/>
        <w:szCs w:val="18"/>
      </w:rPr>
      <w:t>Subcutaneous insulin chart in subacute hospitals and mental health facilities</w:t>
    </w:r>
    <w:r w:rsidR="009B053D">
      <w:tab/>
    </w:r>
    <w:r w:rsidR="009B053D" w:rsidRPr="00F57148">
      <w:fldChar w:fldCharType="begin"/>
    </w:r>
    <w:r w:rsidR="009B053D" w:rsidRPr="00F57148">
      <w:instrText xml:space="preserve"> PAGE   \* MERGEFORMAT </w:instrText>
    </w:r>
    <w:r w:rsidR="009B053D" w:rsidRPr="00F57148">
      <w:fldChar w:fldCharType="separate"/>
    </w:r>
    <w:r w:rsidR="002D3684">
      <w:rPr>
        <w:noProof/>
      </w:rPr>
      <w:t>ii</w:t>
    </w:r>
    <w:r w:rsidR="009B053D" w:rsidRPr="00F57148">
      <w:rPr>
        <w:noProof/>
      </w:rPr>
      <w:fldChar w:fldCharType="end"/>
    </w:r>
  </w:p>
  <w:p w:rsidR="009B053D" w:rsidRDefault="009B05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2D0" w:rsidRDefault="00F812D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C01" w:rsidRPr="000A4C01" w:rsidRDefault="002A68A3" w:rsidP="00C8331F">
    <w:pPr>
      <w:tabs>
        <w:tab w:val="center" w:pos="4513"/>
        <w:tab w:val="right" w:pos="9026"/>
      </w:tabs>
      <w:spacing w:after="0"/>
      <w:rPr>
        <w:color w:val="404040" w:themeColor="text1" w:themeTint="BF"/>
        <w:sz w:val="20"/>
      </w:rPr>
    </w:pPr>
    <w:r>
      <w:rPr>
        <w:sz w:val="18"/>
        <w:szCs w:val="18"/>
      </w:rPr>
      <w:t xml:space="preserve">Subcutaneous insulin chart in subacute hospitals and mental health facilities </w:t>
    </w:r>
    <w:r w:rsidR="000A4C01" w:rsidRPr="000A4C01">
      <w:rPr>
        <w:color w:val="404040" w:themeColor="text1" w:themeTint="BF"/>
        <w:sz w:val="20"/>
      </w:rPr>
      <w:tab/>
    </w:r>
    <w:r w:rsidR="000A4C01" w:rsidRPr="000A4C01">
      <w:rPr>
        <w:color w:val="404040" w:themeColor="text1" w:themeTint="BF"/>
        <w:sz w:val="20"/>
      </w:rPr>
      <w:fldChar w:fldCharType="begin"/>
    </w:r>
    <w:r w:rsidR="000A4C01" w:rsidRPr="000A4C01">
      <w:rPr>
        <w:color w:val="404040" w:themeColor="text1" w:themeTint="BF"/>
        <w:sz w:val="20"/>
      </w:rPr>
      <w:instrText xml:space="preserve"> PAGE   \* MERGEFORMAT </w:instrText>
    </w:r>
    <w:r w:rsidR="000A4C01" w:rsidRPr="000A4C01">
      <w:rPr>
        <w:color w:val="404040" w:themeColor="text1" w:themeTint="BF"/>
        <w:sz w:val="20"/>
      </w:rPr>
      <w:fldChar w:fldCharType="separate"/>
    </w:r>
    <w:r w:rsidR="00EC0416">
      <w:rPr>
        <w:noProof/>
        <w:color w:val="404040" w:themeColor="text1" w:themeTint="BF"/>
        <w:sz w:val="20"/>
      </w:rPr>
      <w:t>i</w:t>
    </w:r>
    <w:r w:rsidR="000A4C01" w:rsidRPr="000A4C01">
      <w:rPr>
        <w:noProof/>
        <w:color w:val="404040" w:themeColor="text1" w:themeTint="BF"/>
        <w:sz w:val="20"/>
      </w:rPr>
      <w:fldChar w:fldCharType="end"/>
    </w:r>
  </w:p>
  <w:p w:rsidR="000A4C01" w:rsidRDefault="000A4C0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AE9" w:rsidRDefault="002A68A3" w:rsidP="002A68A3">
    <w:pPr>
      <w:pStyle w:val="Footer"/>
    </w:pPr>
    <w:r>
      <w:rPr>
        <w:sz w:val="18"/>
        <w:szCs w:val="18"/>
      </w:rPr>
      <w:t>Subcutaneous insulin chart in subacute hospitals and mental health facilities</w:t>
    </w:r>
    <w:r>
      <w:t xml:space="preserve"> </w:t>
    </w:r>
    <w:r>
      <w:tab/>
    </w:r>
    <w:sdt>
      <w:sdtPr>
        <w:id w:val="-547137957"/>
        <w:docPartObj>
          <w:docPartGallery w:val="Page Numbers (Bottom of Page)"/>
          <w:docPartUnique/>
        </w:docPartObj>
      </w:sdtPr>
      <w:sdtEndPr>
        <w:rPr>
          <w:noProof/>
        </w:rPr>
      </w:sdtEndPr>
      <w:sdtContent>
        <w:r w:rsidR="00A35AE9">
          <w:fldChar w:fldCharType="begin"/>
        </w:r>
        <w:r w:rsidR="00A35AE9">
          <w:instrText xml:space="preserve"> PAGE   \* MERGEFORMAT </w:instrText>
        </w:r>
        <w:r w:rsidR="00A35AE9">
          <w:fldChar w:fldCharType="separate"/>
        </w:r>
        <w:r w:rsidR="00EC0416">
          <w:rPr>
            <w:noProof/>
          </w:rPr>
          <w:t>11</w:t>
        </w:r>
        <w:r w:rsidR="00A35AE9">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BFC" w:rsidRDefault="00E74BFC" w:rsidP="000B0274">
      <w:r>
        <w:separator/>
      </w:r>
    </w:p>
  </w:footnote>
  <w:footnote w:type="continuationSeparator" w:id="0">
    <w:p w:rsidR="00E74BFC" w:rsidRDefault="00E74BFC" w:rsidP="000B0274">
      <w:r>
        <w:continuationSeparator/>
      </w:r>
    </w:p>
  </w:footnote>
  <w:footnote w:type="continuationNotice" w:id="1">
    <w:p w:rsidR="00E74BFC" w:rsidRDefault="00E74BFC">
      <w:pPr>
        <w:spacing w:after="0"/>
      </w:pPr>
    </w:p>
  </w:footnote>
  <w:footnote w:id="2">
    <w:p w:rsidR="005C4A84" w:rsidRDefault="005C4A84">
      <w:pPr>
        <w:pStyle w:val="FootnoteText"/>
      </w:pPr>
      <w:r>
        <w:rPr>
          <w:rStyle w:val="FootnoteReference"/>
        </w:rPr>
        <w:footnoteRef/>
      </w:r>
      <w:r>
        <w:t xml:space="preserve"> </w:t>
      </w:r>
      <w:r w:rsidRPr="005C4A84">
        <w:t>https://www.safetyandquality.gov.au/our-work/medication-safety/medication-chart/national-subcutaneous-insulin-chart/</w:t>
      </w:r>
    </w:p>
  </w:footnote>
  <w:footnote w:id="3">
    <w:p w:rsidR="005C4A84" w:rsidRDefault="005C4A84">
      <w:pPr>
        <w:pStyle w:val="FootnoteText"/>
      </w:pPr>
      <w:r>
        <w:rPr>
          <w:rStyle w:val="FootnoteReference"/>
        </w:rPr>
        <w:footnoteRef/>
      </w:r>
      <w:r>
        <w:t xml:space="preserve"> </w:t>
      </w:r>
      <w:r w:rsidRPr="005C4A84">
        <w:t>https://www.safetyandquality.gov.au/wp-content/uploads/2017/06/Development-and-evaluation-of-new-subcutaneous-insulin-chart-2017.pdf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2D0" w:rsidRDefault="00F812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2D0" w:rsidRDefault="00F812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2D0" w:rsidRDefault="00F812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66FD5A"/>
    <w:lvl w:ilvl="0">
      <w:start w:val="1"/>
      <w:numFmt w:val="decimal"/>
      <w:lvlText w:val="%1."/>
      <w:lvlJc w:val="left"/>
      <w:pPr>
        <w:tabs>
          <w:tab w:val="num" w:pos="1492"/>
        </w:tabs>
        <w:ind w:left="1492" w:hanging="360"/>
      </w:pPr>
    </w:lvl>
  </w:abstractNum>
  <w:abstractNum w:abstractNumId="1">
    <w:nsid w:val="FFFFFF7D"/>
    <w:multiLevelType w:val="singleLevel"/>
    <w:tmpl w:val="58F89A46"/>
    <w:lvl w:ilvl="0">
      <w:start w:val="1"/>
      <w:numFmt w:val="decimal"/>
      <w:lvlText w:val="%1."/>
      <w:lvlJc w:val="left"/>
      <w:pPr>
        <w:tabs>
          <w:tab w:val="num" w:pos="1209"/>
        </w:tabs>
        <w:ind w:left="1209" w:hanging="360"/>
      </w:pPr>
    </w:lvl>
  </w:abstractNum>
  <w:abstractNum w:abstractNumId="2">
    <w:nsid w:val="FFFFFF7E"/>
    <w:multiLevelType w:val="singleLevel"/>
    <w:tmpl w:val="739C9CE6"/>
    <w:lvl w:ilvl="0">
      <w:start w:val="1"/>
      <w:numFmt w:val="decimal"/>
      <w:lvlText w:val="%1."/>
      <w:lvlJc w:val="left"/>
      <w:pPr>
        <w:tabs>
          <w:tab w:val="num" w:pos="926"/>
        </w:tabs>
        <w:ind w:left="926" w:hanging="360"/>
      </w:pPr>
    </w:lvl>
  </w:abstractNum>
  <w:abstractNum w:abstractNumId="3">
    <w:nsid w:val="FFFFFF7F"/>
    <w:multiLevelType w:val="singleLevel"/>
    <w:tmpl w:val="8578B1C6"/>
    <w:lvl w:ilvl="0">
      <w:start w:val="1"/>
      <w:numFmt w:val="decimal"/>
      <w:lvlText w:val="%1."/>
      <w:lvlJc w:val="left"/>
      <w:pPr>
        <w:tabs>
          <w:tab w:val="num" w:pos="643"/>
        </w:tabs>
        <w:ind w:left="643" w:hanging="360"/>
      </w:pPr>
    </w:lvl>
  </w:abstractNum>
  <w:abstractNum w:abstractNumId="4">
    <w:nsid w:val="FFFFFF80"/>
    <w:multiLevelType w:val="singleLevel"/>
    <w:tmpl w:val="3104CD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3A88D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4087C6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6E336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50EF306"/>
    <w:lvl w:ilvl="0">
      <w:start w:val="1"/>
      <w:numFmt w:val="decimal"/>
      <w:lvlText w:val="%1."/>
      <w:lvlJc w:val="left"/>
      <w:pPr>
        <w:tabs>
          <w:tab w:val="num" w:pos="360"/>
        </w:tabs>
        <w:ind w:left="360" w:hanging="360"/>
      </w:pPr>
    </w:lvl>
  </w:abstractNum>
  <w:abstractNum w:abstractNumId="9">
    <w:nsid w:val="FFFFFF89"/>
    <w:multiLevelType w:val="singleLevel"/>
    <w:tmpl w:val="36EA2B9A"/>
    <w:lvl w:ilvl="0">
      <w:start w:val="1"/>
      <w:numFmt w:val="bullet"/>
      <w:lvlText w:val=""/>
      <w:lvlJc w:val="left"/>
      <w:pPr>
        <w:tabs>
          <w:tab w:val="num" w:pos="360"/>
        </w:tabs>
        <w:ind w:left="360" w:hanging="360"/>
      </w:pPr>
      <w:rPr>
        <w:rFonts w:ascii="Symbol" w:hAnsi="Symbol" w:hint="default"/>
      </w:rPr>
    </w:lvl>
  </w:abstractNum>
  <w:abstractNum w:abstractNumId="10">
    <w:nsid w:val="039049FA"/>
    <w:multiLevelType w:val="multilevel"/>
    <w:tmpl w:val="EABE25FA"/>
    <w:styleLink w:val="Listbullets"/>
    <w:lvl w:ilvl="0">
      <w:start w:val="1"/>
      <w:numFmt w:val="bullet"/>
      <w:pStyle w:val="DashLast"/>
      <w:lvlText w:val=""/>
      <w:lvlJc w:val="left"/>
      <w:pPr>
        <w:ind w:left="360" w:hanging="360"/>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5BE76EF"/>
    <w:multiLevelType w:val="hybridMultilevel"/>
    <w:tmpl w:val="F4029F68"/>
    <w:lvl w:ilvl="0" w:tplc="EC840366">
      <w:start w:val="1"/>
      <w:numFmt w:val="bullet"/>
      <w:lvlText w:val="–"/>
      <w:lvlJc w:val="left"/>
      <w:pPr>
        <w:tabs>
          <w:tab w:val="num" w:pos="216"/>
        </w:tabs>
        <w:ind w:left="360" w:firstLine="0"/>
      </w:pPr>
      <w:rPr>
        <w:rFonts w:ascii="Times New Roman" w:hAnsi="Times New Roman" w:cs="Times New Roman" w:hint="default"/>
        <w:sz w:val="16"/>
      </w:rPr>
    </w:lvl>
    <w:lvl w:ilvl="1" w:tplc="0C090017">
      <w:start w:val="1"/>
      <w:numFmt w:val="lowerLetter"/>
      <w:lvlText w:val="%2)"/>
      <w:lvlJc w:val="left"/>
      <w:pPr>
        <w:tabs>
          <w:tab w:val="num" w:pos="1440"/>
        </w:tabs>
        <w:ind w:left="1440" w:hanging="360"/>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607579D"/>
    <w:multiLevelType w:val="hybridMultilevel"/>
    <w:tmpl w:val="1F789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6105138"/>
    <w:multiLevelType w:val="hybridMultilevel"/>
    <w:tmpl w:val="0E8C4BC4"/>
    <w:lvl w:ilvl="0" w:tplc="EC840366">
      <w:start w:val="1"/>
      <w:numFmt w:val="bullet"/>
      <w:pStyle w:val="Dash"/>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070744F2"/>
    <w:multiLevelType w:val="hybridMultilevel"/>
    <w:tmpl w:val="B2C47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070B7014"/>
    <w:multiLevelType w:val="hybridMultilevel"/>
    <w:tmpl w:val="04A0B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078C32C5"/>
    <w:multiLevelType w:val="hybridMultilevel"/>
    <w:tmpl w:val="E45C3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09B63B54"/>
    <w:multiLevelType w:val="hybridMultilevel"/>
    <w:tmpl w:val="95C2A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0DCB4511"/>
    <w:multiLevelType w:val="multilevel"/>
    <w:tmpl w:val="0C09001D"/>
    <w:styleLink w:val="Bulle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Arial" w:hAnsi="Arial"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0E9C32EB"/>
    <w:multiLevelType w:val="multilevel"/>
    <w:tmpl w:val="D1DCA2EC"/>
    <w:lvl w:ilvl="0">
      <w:start w:val="1"/>
      <w:numFmt w:val="bullet"/>
      <w:pStyle w:val="Bulletlist"/>
      <w:lvlText w:val=""/>
      <w:lvlJc w:val="left"/>
      <w:pPr>
        <w:ind w:left="567" w:hanging="283"/>
      </w:pPr>
      <w:rPr>
        <w:rFonts w:ascii="Symbol" w:hAnsi="Symbol" w:hint="default"/>
        <w:sz w:val="22"/>
      </w:rPr>
    </w:lvl>
    <w:lvl w:ilvl="1">
      <w:start w:val="1"/>
      <w:numFmt w:val="bullet"/>
      <w:lvlText w:val="-"/>
      <w:lvlJc w:val="left"/>
      <w:pPr>
        <w:ind w:left="851" w:hanging="284"/>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0">
    <w:nsid w:val="14B80DAF"/>
    <w:multiLevelType w:val="multilevel"/>
    <w:tmpl w:val="79D2EACE"/>
    <w:lvl w:ilvl="0">
      <w:start w:val="1"/>
      <w:numFmt w:val="decimal"/>
      <w:lvlText w:val="%1"/>
      <w:lvlJc w:val="left"/>
      <w:pPr>
        <w:ind w:left="360" w:hanging="360"/>
      </w:pPr>
      <w:rPr>
        <w:rFonts w:hint="default"/>
      </w:rPr>
    </w:lvl>
    <w:lvl w:ilvl="1">
      <w:start w:val="1"/>
      <w:numFmt w:val="lowerRoman"/>
      <w:lvlText w:val="%2"/>
      <w:lvlJc w:val="left"/>
      <w:pPr>
        <w:ind w:left="567" w:hanging="283"/>
      </w:pPr>
      <w:rPr>
        <w:rFonts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70B2BD2"/>
    <w:multiLevelType w:val="hybridMultilevel"/>
    <w:tmpl w:val="91143C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1A1D7CAD"/>
    <w:multiLevelType w:val="hybridMultilevel"/>
    <w:tmpl w:val="96B40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1C714585"/>
    <w:multiLevelType w:val="hybridMultilevel"/>
    <w:tmpl w:val="C3DA0A86"/>
    <w:lvl w:ilvl="0" w:tplc="F36611F8">
      <w:numFmt w:val="bullet"/>
      <w:lvlText w:val="•"/>
      <w:lvlJc w:val="left"/>
      <w:pPr>
        <w:ind w:left="720" w:hanging="360"/>
      </w:pPr>
      <w:rPr>
        <w:rFonts w:ascii="Arial" w:eastAsia="Times New Roman" w:hAnsi="Arial" w:cs="Arial" w:hint="default"/>
        <w:color w:val="00B0F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1E281DB3"/>
    <w:multiLevelType w:val="hybridMultilevel"/>
    <w:tmpl w:val="24623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234C484F"/>
    <w:multiLevelType w:val="multilevel"/>
    <w:tmpl w:val="EABE25FA"/>
    <w:numStyleLink w:val="Listbullets"/>
  </w:abstractNum>
  <w:abstractNum w:abstractNumId="27">
    <w:nsid w:val="23664C09"/>
    <w:multiLevelType w:val="hybridMultilevel"/>
    <w:tmpl w:val="038C497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23F52A50"/>
    <w:multiLevelType w:val="multilevel"/>
    <w:tmpl w:val="A3CE8E94"/>
    <w:styleLink w:val="Bullets"/>
    <w:lvl w:ilvl="0">
      <w:start w:val="1"/>
      <w:numFmt w:val="bullet"/>
      <w:lvlText w:val=""/>
      <w:lvlJc w:val="left"/>
      <w:pPr>
        <w:ind w:left="1080" w:hanging="360"/>
      </w:pPr>
      <w:rPr>
        <w:rFonts w:ascii="Symbol" w:hAnsi="Symbol" w:hint="default"/>
        <w:sz w:val="22"/>
      </w:rPr>
    </w:lvl>
    <w:lvl w:ilvl="1">
      <w:start w:val="1"/>
      <w:numFmt w:val="bullet"/>
      <w:lvlText w:val="-"/>
      <w:lvlJc w:val="left"/>
      <w:pPr>
        <w:ind w:left="1440" w:hanging="360"/>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9">
    <w:nsid w:val="246F684C"/>
    <w:multiLevelType w:val="hybridMultilevel"/>
    <w:tmpl w:val="CD329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282C5C28"/>
    <w:multiLevelType w:val="hybridMultilevel"/>
    <w:tmpl w:val="75968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6A452C3"/>
    <w:multiLevelType w:val="multilevel"/>
    <w:tmpl w:val="3FEA7ED4"/>
    <w:lvl w:ilvl="0">
      <w:start w:val="1"/>
      <w:numFmt w:val="decimal"/>
      <w:pStyle w:val="Numberedlists"/>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4B2508B8"/>
    <w:multiLevelType w:val="hybridMultilevel"/>
    <w:tmpl w:val="482AD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4BD975F5"/>
    <w:multiLevelType w:val="multilevel"/>
    <w:tmpl w:val="0C09001D"/>
    <w:styleLink w:val="BulletsLevel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50470613"/>
    <w:multiLevelType w:val="hybridMultilevel"/>
    <w:tmpl w:val="81925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0AB3DE0"/>
    <w:multiLevelType w:val="hybridMultilevel"/>
    <w:tmpl w:val="9002060E"/>
    <w:lvl w:ilvl="0" w:tplc="BD68ED14">
      <w:start w:val="1"/>
      <w:numFmt w:val="bullet"/>
      <w:lvlText w:val=""/>
      <w:lvlJc w:val="left"/>
      <w:pPr>
        <w:ind w:left="720" w:hanging="360"/>
      </w:pPr>
      <w:rPr>
        <w:rFonts w:ascii="Symbol" w:hAnsi="Symbol" w:hint="default"/>
        <w:color w:val="FF0000"/>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5BD456E"/>
    <w:multiLevelType w:val="hybridMultilevel"/>
    <w:tmpl w:val="B0AC2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7557CB6"/>
    <w:multiLevelType w:val="hybridMultilevel"/>
    <w:tmpl w:val="6B9CC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B794773"/>
    <w:multiLevelType w:val="multilevel"/>
    <w:tmpl w:val="0C09001D"/>
    <w:numStyleLink w:val="Bullet"/>
  </w:abstractNum>
  <w:abstractNum w:abstractNumId="39">
    <w:nsid w:val="70356B54"/>
    <w:multiLevelType w:val="multilevel"/>
    <w:tmpl w:val="A0B4CBEC"/>
    <w:lvl w:ilvl="0">
      <w:start w:val="1"/>
      <w:numFmt w:val="bullet"/>
      <w:lvlText w:val=""/>
      <w:lvlJc w:val="left"/>
      <w:pPr>
        <w:ind w:left="227" w:firstLine="0"/>
      </w:pPr>
      <w:rPr>
        <w:rFonts w:ascii="Symbol" w:hAnsi="Symbol" w:hint="default"/>
      </w:rPr>
    </w:lvl>
    <w:lvl w:ilvl="1">
      <w:start w:val="1"/>
      <w:numFmt w:val="bullet"/>
      <w:lvlText w:val="-"/>
      <w:lvlJc w:val="left"/>
      <w:pPr>
        <w:ind w:left="567" w:hanging="57"/>
      </w:pPr>
      <w:rPr>
        <w:rFonts w:ascii="Courier New" w:hAnsi="Courier New" w:hint="default"/>
      </w:rPr>
    </w:lvl>
    <w:lvl w:ilvl="2">
      <w:start w:val="1"/>
      <w:numFmt w:val="bullet"/>
      <w:lvlText w:val="-"/>
      <w:lvlJc w:val="left"/>
      <w:pPr>
        <w:ind w:left="624" w:firstLine="0"/>
      </w:pPr>
      <w:rPr>
        <w:rFonts w:ascii="Arial" w:hAnsi="Arial" w:hint="default"/>
      </w:rPr>
    </w:lvl>
    <w:lvl w:ilvl="3">
      <w:start w:val="1"/>
      <w:numFmt w:val="decimal"/>
      <w:lvlText w:val="(%4)"/>
      <w:lvlJc w:val="left"/>
      <w:pPr>
        <w:ind w:left="851" w:firstLine="0"/>
      </w:pPr>
      <w:rPr>
        <w:rFonts w:hint="default"/>
      </w:rPr>
    </w:lvl>
    <w:lvl w:ilvl="4">
      <w:start w:val="1"/>
      <w:numFmt w:val="lowerLetter"/>
      <w:lvlText w:val="(%5)"/>
      <w:lvlJc w:val="left"/>
      <w:pPr>
        <w:ind w:left="1078" w:firstLine="0"/>
      </w:pPr>
      <w:rPr>
        <w:rFonts w:hint="default"/>
      </w:rPr>
    </w:lvl>
    <w:lvl w:ilvl="5">
      <w:start w:val="1"/>
      <w:numFmt w:val="lowerRoman"/>
      <w:lvlText w:val="(%6)"/>
      <w:lvlJc w:val="left"/>
      <w:pPr>
        <w:ind w:left="1305" w:firstLine="0"/>
      </w:pPr>
      <w:rPr>
        <w:rFonts w:hint="default"/>
      </w:rPr>
    </w:lvl>
    <w:lvl w:ilvl="6">
      <w:start w:val="1"/>
      <w:numFmt w:val="decimal"/>
      <w:lvlText w:val="%7."/>
      <w:lvlJc w:val="left"/>
      <w:pPr>
        <w:ind w:left="1532" w:firstLine="0"/>
      </w:pPr>
      <w:rPr>
        <w:rFonts w:hint="default"/>
      </w:rPr>
    </w:lvl>
    <w:lvl w:ilvl="7">
      <w:start w:val="1"/>
      <w:numFmt w:val="lowerLetter"/>
      <w:lvlText w:val="%8."/>
      <w:lvlJc w:val="left"/>
      <w:pPr>
        <w:ind w:left="1759" w:firstLine="0"/>
      </w:pPr>
      <w:rPr>
        <w:rFonts w:hint="default"/>
      </w:rPr>
    </w:lvl>
    <w:lvl w:ilvl="8">
      <w:start w:val="1"/>
      <w:numFmt w:val="lowerRoman"/>
      <w:lvlText w:val="%9."/>
      <w:lvlJc w:val="left"/>
      <w:pPr>
        <w:ind w:left="1986" w:firstLine="0"/>
      </w:pPr>
      <w:rPr>
        <w:rFonts w:hint="default"/>
      </w:rPr>
    </w:lvl>
  </w:abstractNum>
  <w:abstractNum w:abstractNumId="40">
    <w:nsid w:val="73514618"/>
    <w:multiLevelType w:val="hybridMultilevel"/>
    <w:tmpl w:val="A1920D9A"/>
    <w:lvl w:ilvl="0" w:tplc="EC840366">
      <w:start w:val="1"/>
      <w:numFmt w:val="bullet"/>
      <w:lvlText w:val="–"/>
      <w:lvlJc w:val="left"/>
      <w:pPr>
        <w:tabs>
          <w:tab w:val="num" w:pos="216"/>
        </w:tabs>
        <w:ind w:left="360" w:firstLine="0"/>
      </w:pPr>
      <w:rPr>
        <w:rFonts w:ascii="Times New Roman" w:hAnsi="Times New Roman" w:cs="Times New Roman" w:hint="default"/>
        <w:sz w:val="16"/>
      </w:rPr>
    </w:lvl>
    <w:lvl w:ilvl="1" w:tplc="0C090017">
      <w:start w:val="1"/>
      <w:numFmt w:val="lowerLetter"/>
      <w:lvlText w:val="%2)"/>
      <w:lvlJc w:val="left"/>
      <w:pPr>
        <w:tabs>
          <w:tab w:val="num" w:pos="1440"/>
        </w:tabs>
        <w:ind w:left="1440" w:hanging="360"/>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nsid w:val="79307C2F"/>
    <w:multiLevelType w:val="hybridMultilevel"/>
    <w:tmpl w:val="68724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B942141"/>
    <w:multiLevelType w:val="hybridMultilevel"/>
    <w:tmpl w:val="03F2A5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35"/>
  </w:num>
  <w:num w:numId="3">
    <w:abstractNumId w:val="14"/>
  </w:num>
  <w:num w:numId="4">
    <w:abstractNumId w:val="10"/>
  </w:num>
  <w:num w:numId="5">
    <w:abstractNumId w:val="26"/>
  </w:num>
  <w:num w:numId="6">
    <w:abstractNumId w:val="20"/>
  </w:num>
  <w:num w:numId="7">
    <w:abstractNumId w:val="18"/>
  </w:num>
  <w:num w:numId="8">
    <w:abstractNumId w:val="28"/>
  </w:num>
  <w:num w:numId="9">
    <w:abstractNumId w:val="33"/>
  </w:num>
  <w:num w:numId="10">
    <w:abstractNumId w:val="10"/>
  </w:num>
  <w:num w:numId="11">
    <w:abstractNumId w:val="39"/>
  </w:num>
  <w:num w:numId="12">
    <w:abstractNumId w:val="31"/>
  </w:num>
  <w:num w:numId="13">
    <w:abstractNumId w:val="38"/>
  </w:num>
  <w:num w:numId="14">
    <w:abstractNumId w:val="19"/>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1"/>
  </w:num>
  <w:num w:numId="26">
    <w:abstractNumId w:val="13"/>
  </w:num>
  <w:num w:numId="27">
    <w:abstractNumId w:val="42"/>
  </w:num>
  <w:num w:numId="28">
    <w:abstractNumId w:val="32"/>
  </w:num>
  <w:num w:numId="29">
    <w:abstractNumId w:val="17"/>
  </w:num>
  <w:num w:numId="30">
    <w:abstractNumId w:val="12"/>
  </w:num>
  <w:num w:numId="31">
    <w:abstractNumId w:val="16"/>
  </w:num>
  <w:num w:numId="32">
    <w:abstractNumId w:val="30"/>
  </w:num>
  <w:num w:numId="33">
    <w:abstractNumId w:val="22"/>
  </w:num>
  <w:num w:numId="34">
    <w:abstractNumId w:val="37"/>
  </w:num>
  <w:num w:numId="35">
    <w:abstractNumId w:val="41"/>
  </w:num>
  <w:num w:numId="36">
    <w:abstractNumId w:val="15"/>
  </w:num>
  <w:num w:numId="37">
    <w:abstractNumId w:val="25"/>
  </w:num>
  <w:num w:numId="38">
    <w:abstractNumId w:val="34"/>
  </w:num>
  <w:num w:numId="39">
    <w:abstractNumId w:val="27"/>
  </w:num>
  <w:num w:numId="40">
    <w:abstractNumId w:val="40"/>
  </w:num>
  <w:num w:numId="41">
    <w:abstractNumId w:val="11"/>
  </w:num>
  <w:num w:numId="42">
    <w:abstractNumId w:val="29"/>
  </w:num>
  <w:num w:numId="43">
    <w:abstractNumId w:val="23"/>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839"/>
    <w:rsid w:val="00003743"/>
    <w:rsid w:val="00020DBD"/>
    <w:rsid w:val="0003162D"/>
    <w:rsid w:val="000406F8"/>
    <w:rsid w:val="00043671"/>
    <w:rsid w:val="00067456"/>
    <w:rsid w:val="000764F2"/>
    <w:rsid w:val="00077FEB"/>
    <w:rsid w:val="00093E04"/>
    <w:rsid w:val="000A3F0D"/>
    <w:rsid w:val="000A4C01"/>
    <w:rsid w:val="000A4C32"/>
    <w:rsid w:val="000B0274"/>
    <w:rsid w:val="000B79D3"/>
    <w:rsid w:val="000C1DD4"/>
    <w:rsid w:val="000D017D"/>
    <w:rsid w:val="000D6405"/>
    <w:rsid w:val="000E2F2E"/>
    <w:rsid w:val="000E5E5C"/>
    <w:rsid w:val="00123F12"/>
    <w:rsid w:val="00133873"/>
    <w:rsid w:val="00140E41"/>
    <w:rsid w:val="001514DC"/>
    <w:rsid w:val="0017675C"/>
    <w:rsid w:val="0018174C"/>
    <w:rsid w:val="00184192"/>
    <w:rsid w:val="001921ED"/>
    <w:rsid w:val="00196AC8"/>
    <w:rsid w:val="001B3443"/>
    <w:rsid w:val="001B49C7"/>
    <w:rsid w:val="001B74AA"/>
    <w:rsid w:val="001D39E1"/>
    <w:rsid w:val="001E1042"/>
    <w:rsid w:val="001E77C4"/>
    <w:rsid w:val="001F363B"/>
    <w:rsid w:val="00205AFA"/>
    <w:rsid w:val="00237ADF"/>
    <w:rsid w:val="0024171C"/>
    <w:rsid w:val="00245D81"/>
    <w:rsid w:val="00255596"/>
    <w:rsid w:val="00261F43"/>
    <w:rsid w:val="002662B4"/>
    <w:rsid w:val="00267635"/>
    <w:rsid w:val="00281FD4"/>
    <w:rsid w:val="002A68A3"/>
    <w:rsid w:val="002C6AF0"/>
    <w:rsid w:val="002D3684"/>
    <w:rsid w:val="002D5342"/>
    <w:rsid w:val="002E195D"/>
    <w:rsid w:val="002E6A48"/>
    <w:rsid w:val="002F1851"/>
    <w:rsid w:val="002F3AE3"/>
    <w:rsid w:val="002F68DC"/>
    <w:rsid w:val="002F7E6F"/>
    <w:rsid w:val="0030786C"/>
    <w:rsid w:val="00312A62"/>
    <w:rsid w:val="00316683"/>
    <w:rsid w:val="00352E26"/>
    <w:rsid w:val="00360B82"/>
    <w:rsid w:val="00362E98"/>
    <w:rsid w:val="003873C6"/>
    <w:rsid w:val="00395B9B"/>
    <w:rsid w:val="003B5A97"/>
    <w:rsid w:val="003C297A"/>
    <w:rsid w:val="003C540E"/>
    <w:rsid w:val="003D03E2"/>
    <w:rsid w:val="003D17F9"/>
    <w:rsid w:val="003D437B"/>
    <w:rsid w:val="003E76C8"/>
    <w:rsid w:val="00412E9D"/>
    <w:rsid w:val="00425504"/>
    <w:rsid w:val="0044641E"/>
    <w:rsid w:val="00447D31"/>
    <w:rsid w:val="004675E2"/>
    <w:rsid w:val="00470AB8"/>
    <w:rsid w:val="004867E2"/>
    <w:rsid w:val="00486826"/>
    <w:rsid w:val="0049524F"/>
    <w:rsid w:val="004A0670"/>
    <w:rsid w:val="004A496B"/>
    <w:rsid w:val="004A7B62"/>
    <w:rsid w:val="004B2787"/>
    <w:rsid w:val="004B2999"/>
    <w:rsid w:val="004B31D2"/>
    <w:rsid w:val="004D2077"/>
    <w:rsid w:val="004D32BB"/>
    <w:rsid w:val="004E58C1"/>
    <w:rsid w:val="00515577"/>
    <w:rsid w:val="0052107C"/>
    <w:rsid w:val="005221B7"/>
    <w:rsid w:val="00524E9B"/>
    <w:rsid w:val="00533D31"/>
    <w:rsid w:val="00543061"/>
    <w:rsid w:val="00544A4E"/>
    <w:rsid w:val="00546B4C"/>
    <w:rsid w:val="00553E33"/>
    <w:rsid w:val="00564A16"/>
    <w:rsid w:val="00566B97"/>
    <w:rsid w:val="0058693F"/>
    <w:rsid w:val="0059724C"/>
    <w:rsid w:val="005C1496"/>
    <w:rsid w:val="005C4A84"/>
    <w:rsid w:val="005C6AAE"/>
    <w:rsid w:val="005E2614"/>
    <w:rsid w:val="00607B0B"/>
    <w:rsid w:val="006137A9"/>
    <w:rsid w:val="00620C69"/>
    <w:rsid w:val="006317C9"/>
    <w:rsid w:val="00644D9D"/>
    <w:rsid w:val="006803BA"/>
    <w:rsid w:val="006879D1"/>
    <w:rsid w:val="006D732F"/>
    <w:rsid w:val="006E3981"/>
    <w:rsid w:val="006E688D"/>
    <w:rsid w:val="007028EC"/>
    <w:rsid w:val="0070703E"/>
    <w:rsid w:val="0071637F"/>
    <w:rsid w:val="007209A2"/>
    <w:rsid w:val="007360BF"/>
    <w:rsid w:val="007362F4"/>
    <w:rsid w:val="007545C7"/>
    <w:rsid w:val="0076005C"/>
    <w:rsid w:val="00760256"/>
    <w:rsid w:val="007635C1"/>
    <w:rsid w:val="00763CDB"/>
    <w:rsid w:val="00766B42"/>
    <w:rsid w:val="0078070C"/>
    <w:rsid w:val="00784541"/>
    <w:rsid w:val="007968CC"/>
    <w:rsid w:val="00796FB7"/>
    <w:rsid w:val="007B04A9"/>
    <w:rsid w:val="007B16AC"/>
    <w:rsid w:val="007D2A5C"/>
    <w:rsid w:val="007E000D"/>
    <w:rsid w:val="007F0731"/>
    <w:rsid w:val="00813400"/>
    <w:rsid w:val="008264EB"/>
    <w:rsid w:val="00827924"/>
    <w:rsid w:val="00830756"/>
    <w:rsid w:val="00860059"/>
    <w:rsid w:val="00861BBF"/>
    <w:rsid w:val="00865932"/>
    <w:rsid w:val="00894E83"/>
    <w:rsid w:val="008A58F9"/>
    <w:rsid w:val="008B0B6C"/>
    <w:rsid w:val="008B761D"/>
    <w:rsid w:val="008D14E2"/>
    <w:rsid w:val="008D3314"/>
    <w:rsid w:val="008E5D6A"/>
    <w:rsid w:val="0091137C"/>
    <w:rsid w:val="00937841"/>
    <w:rsid w:val="009424A5"/>
    <w:rsid w:val="00964277"/>
    <w:rsid w:val="0097377D"/>
    <w:rsid w:val="00977D26"/>
    <w:rsid w:val="00993E03"/>
    <w:rsid w:val="009A007B"/>
    <w:rsid w:val="009A263C"/>
    <w:rsid w:val="009B053D"/>
    <w:rsid w:val="009B64E3"/>
    <w:rsid w:val="009E1F38"/>
    <w:rsid w:val="009E6B78"/>
    <w:rsid w:val="009F5557"/>
    <w:rsid w:val="00A0011C"/>
    <w:rsid w:val="00A02A93"/>
    <w:rsid w:val="00A04882"/>
    <w:rsid w:val="00A0554C"/>
    <w:rsid w:val="00A15082"/>
    <w:rsid w:val="00A16AEE"/>
    <w:rsid w:val="00A16B1A"/>
    <w:rsid w:val="00A35AE9"/>
    <w:rsid w:val="00A4199A"/>
    <w:rsid w:val="00A4512D"/>
    <w:rsid w:val="00A57ADC"/>
    <w:rsid w:val="00A705AF"/>
    <w:rsid w:val="00A75B58"/>
    <w:rsid w:val="00A77349"/>
    <w:rsid w:val="00A931E2"/>
    <w:rsid w:val="00A93A18"/>
    <w:rsid w:val="00A961DF"/>
    <w:rsid w:val="00A964DB"/>
    <w:rsid w:val="00AA6DC2"/>
    <w:rsid w:val="00AA7B58"/>
    <w:rsid w:val="00AB00B3"/>
    <w:rsid w:val="00AB40AB"/>
    <w:rsid w:val="00AB6ED9"/>
    <w:rsid w:val="00AD52A0"/>
    <w:rsid w:val="00AF6154"/>
    <w:rsid w:val="00B047DF"/>
    <w:rsid w:val="00B0734E"/>
    <w:rsid w:val="00B24DF4"/>
    <w:rsid w:val="00B2665E"/>
    <w:rsid w:val="00B328AF"/>
    <w:rsid w:val="00B32DD1"/>
    <w:rsid w:val="00B36F5C"/>
    <w:rsid w:val="00B3720C"/>
    <w:rsid w:val="00B41409"/>
    <w:rsid w:val="00B421E4"/>
    <w:rsid w:val="00B42851"/>
    <w:rsid w:val="00B459E9"/>
    <w:rsid w:val="00B47076"/>
    <w:rsid w:val="00B56B37"/>
    <w:rsid w:val="00B602E4"/>
    <w:rsid w:val="00B737DD"/>
    <w:rsid w:val="00B904EC"/>
    <w:rsid w:val="00B95A67"/>
    <w:rsid w:val="00B972C3"/>
    <w:rsid w:val="00BA4AEE"/>
    <w:rsid w:val="00BC07E4"/>
    <w:rsid w:val="00BE09E1"/>
    <w:rsid w:val="00BF5AC2"/>
    <w:rsid w:val="00C02238"/>
    <w:rsid w:val="00C06314"/>
    <w:rsid w:val="00C23604"/>
    <w:rsid w:val="00C31839"/>
    <w:rsid w:val="00C35DEC"/>
    <w:rsid w:val="00C436EE"/>
    <w:rsid w:val="00C51BE7"/>
    <w:rsid w:val="00C8331F"/>
    <w:rsid w:val="00C84765"/>
    <w:rsid w:val="00C911AD"/>
    <w:rsid w:val="00CA38BF"/>
    <w:rsid w:val="00CB0684"/>
    <w:rsid w:val="00CB5999"/>
    <w:rsid w:val="00CB5B1A"/>
    <w:rsid w:val="00CB733F"/>
    <w:rsid w:val="00CC697B"/>
    <w:rsid w:val="00CD5449"/>
    <w:rsid w:val="00D15CED"/>
    <w:rsid w:val="00D24922"/>
    <w:rsid w:val="00D42B9A"/>
    <w:rsid w:val="00D43AB6"/>
    <w:rsid w:val="00D469E4"/>
    <w:rsid w:val="00D61D14"/>
    <w:rsid w:val="00D63EED"/>
    <w:rsid w:val="00D65457"/>
    <w:rsid w:val="00D73FE2"/>
    <w:rsid w:val="00D7465B"/>
    <w:rsid w:val="00D91B2B"/>
    <w:rsid w:val="00D96327"/>
    <w:rsid w:val="00DB5911"/>
    <w:rsid w:val="00DC0D24"/>
    <w:rsid w:val="00DE6D1D"/>
    <w:rsid w:val="00E13C5C"/>
    <w:rsid w:val="00E20597"/>
    <w:rsid w:val="00E236C6"/>
    <w:rsid w:val="00E34E17"/>
    <w:rsid w:val="00E40F95"/>
    <w:rsid w:val="00E41B30"/>
    <w:rsid w:val="00E4312B"/>
    <w:rsid w:val="00E60EE1"/>
    <w:rsid w:val="00E708F6"/>
    <w:rsid w:val="00E716B4"/>
    <w:rsid w:val="00E74BFC"/>
    <w:rsid w:val="00E82E62"/>
    <w:rsid w:val="00E86B67"/>
    <w:rsid w:val="00EA33D5"/>
    <w:rsid w:val="00EA4642"/>
    <w:rsid w:val="00EA5E02"/>
    <w:rsid w:val="00EA5FD0"/>
    <w:rsid w:val="00EA7195"/>
    <w:rsid w:val="00EB53B1"/>
    <w:rsid w:val="00EB7B0F"/>
    <w:rsid w:val="00EC0416"/>
    <w:rsid w:val="00ED34B6"/>
    <w:rsid w:val="00EE356F"/>
    <w:rsid w:val="00EE397E"/>
    <w:rsid w:val="00EF1C95"/>
    <w:rsid w:val="00EF6D5E"/>
    <w:rsid w:val="00F078B7"/>
    <w:rsid w:val="00F16E20"/>
    <w:rsid w:val="00F238F2"/>
    <w:rsid w:val="00F332B3"/>
    <w:rsid w:val="00F34D63"/>
    <w:rsid w:val="00F41C35"/>
    <w:rsid w:val="00F549D7"/>
    <w:rsid w:val="00F556DB"/>
    <w:rsid w:val="00F560D5"/>
    <w:rsid w:val="00F6076C"/>
    <w:rsid w:val="00F63C10"/>
    <w:rsid w:val="00F73D95"/>
    <w:rsid w:val="00F812D0"/>
    <w:rsid w:val="00F95769"/>
    <w:rsid w:val="00FA0990"/>
    <w:rsid w:val="00FC7F5D"/>
    <w:rsid w:val="00FD1D84"/>
    <w:rsid w:val="00FE5649"/>
    <w:rsid w:val="00FE5C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sz w:val="22"/>
        <w:szCs w:val="22"/>
        <w:lang w:val="en-AU" w:eastAsia="en-AU" w:bidi="ar-SA"/>
      </w:rPr>
    </w:rPrDefault>
    <w:pPrDefault>
      <w:pPr>
        <w:spacing w:after="80"/>
      </w:pPr>
    </w:pPrDefault>
  </w:docDefaults>
  <w:latentStyles w:defLockedState="1" w:defUIPriority="98" w:defSemiHidden="0" w:defUnhideWhenUsed="0" w:defQFormat="0" w:count="267">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locked="0" w:uiPriority="0" w:qFormat="1"/>
    <w:lsdException w:name="heading 7" w:semiHidden="1" w:unhideWhenUsed="1" w:qFormat="1"/>
    <w:lsdException w:name="heading 8" w:semiHidden="1" w:unhideWhenUsed="1" w:qFormat="1"/>
    <w:lsdException w:name="heading 9" w:semiHidden="1" w:unhideWhenUsed="1" w:qFormat="1"/>
    <w:lsdException w:name="toc 1" w:locked="0" w:uiPriority="39" w:qFormat="1"/>
    <w:lsdException w:name="toc 2" w:locked="0" w:uiPriority="39" w:qFormat="1"/>
    <w:lsdException w:name="toc 3" w:locked="0" w:uiPriority="39" w:qFormat="1"/>
    <w:lsdException w:name="toc 4" w:uiPriority="39"/>
    <w:lsdException w:name="footnote text" w:locked="0" w:uiPriority="0"/>
    <w:lsdException w:name="footer" w:locked="0" w:uiPriority="99"/>
    <w:lsdException w:name="caption" w:semiHidden="1" w:unhideWhenUsed="1" w:qFormat="1"/>
    <w:lsdException w:name="footnote reference" w:locked="0" w:uiPriority="0"/>
    <w:lsdException w:name="Title" w:locked="0" w:uiPriority="0" w:qFormat="1"/>
    <w:lsdException w:name="Default Paragraph Font" w:locked="0" w:uiPriority="1"/>
    <w:lsdException w:name="Hyperlink" w:locked="0" w:uiPriority="99"/>
    <w:lsdException w:name="FollowedHyperlink" w:locked="0" w:uiPriority="0"/>
    <w:lsdException w:name="Strong" w:locked="0" w:uiPriority="0" w:qFormat="1"/>
    <w:lsdException w:name="Emphasis" w:locked="0" w:uiPriority="0"/>
    <w:lsdException w:name="HTML Top of Form" w:locked="0" w:uiPriority="0"/>
    <w:lsdException w:name="HTML Bottom of Form" w:locked="0" w:uiPriority="0"/>
    <w:lsdException w:name="Normal Table" w:locked="0" w:uiPriority="0"/>
    <w:lsdException w:name="No List" w:locked="0" w:uiPriority="99"/>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locked="0"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uiPriority="0"/>
    <w:lsdException w:name="Table Theme" w:uiPriority="0"/>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locked="0"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uiPriority="32" w:qFormat="1"/>
    <w:lsdException w:name="Bibliography" w:semiHidden="1" w:unhideWhenUsed="1"/>
    <w:lsdException w:name="TOC Heading" w:locked="0" w:semiHidden="1" w:uiPriority="39" w:unhideWhenUsed="1" w:qFormat="1"/>
  </w:latentStyles>
  <w:style w:type="paragraph" w:default="1" w:styleId="Normal">
    <w:name w:val="Normal"/>
    <w:qFormat/>
    <w:rsid w:val="00B328AF"/>
    <w:pPr>
      <w:spacing w:after="200"/>
    </w:pPr>
  </w:style>
  <w:style w:type="paragraph" w:styleId="Heading1">
    <w:name w:val="heading 1"/>
    <w:basedOn w:val="Normal"/>
    <w:next w:val="Normal"/>
    <w:qFormat/>
    <w:rsid w:val="00A15082"/>
    <w:pPr>
      <w:keepNext/>
      <w:spacing w:before="240" w:after="240"/>
      <w:outlineLvl w:val="0"/>
    </w:pPr>
    <w:rPr>
      <w:rFonts w:cs="Arial"/>
      <w:b/>
      <w:bCs/>
      <w:color w:val="1178A2"/>
      <w:kern w:val="28"/>
      <w:sz w:val="40"/>
      <w:szCs w:val="32"/>
    </w:rPr>
  </w:style>
  <w:style w:type="paragraph" w:styleId="Heading2">
    <w:name w:val="heading 2"/>
    <w:basedOn w:val="Heading1"/>
    <w:next w:val="Normal"/>
    <w:qFormat/>
    <w:rsid w:val="00A15082"/>
    <w:pPr>
      <w:outlineLvl w:val="1"/>
    </w:pPr>
    <w:rPr>
      <w:bCs w:val="0"/>
      <w:iCs/>
      <w:sz w:val="32"/>
      <w:szCs w:val="28"/>
    </w:rPr>
  </w:style>
  <w:style w:type="paragraph" w:styleId="Heading3">
    <w:name w:val="heading 3"/>
    <w:basedOn w:val="Heading2"/>
    <w:next w:val="Normal"/>
    <w:qFormat/>
    <w:rsid w:val="00A15082"/>
    <w:pPr>
      <w:outlineLvl w:val="2"/>
    </w:pPr>
    <w:rPr>
      <w:bCs/>
      <w:sz w:val="28"/>
      <w:szCs w:val="26"/>
    </w:rPr>
  </w:style>
  <w:style w:type="paragraph" w:styleId="Heading4">
    <w:name w:val="heading 4"/>
    <w:basedOn w:val="Normal"/>
    <w:next w:val="Normal"/>
    <w:qFormat/>
    <w:rsid w:val="00A15082"/>
    <w:pPr>
      <w:keepNext/>
      <w:spacing w:before="240" w:after="60"/>
      <w:outlineLvl w:val="3"/>
    </w:pPr>
    <w:rPr>
      <w:b/>
      <w:bCs/>
      <w:color w:val="404040" w:themeColor="text1" w:themeTint="BF"/>
      <w:sz w:val="26"/>
      <w:szCs w:val="26"/>
    </w:rPr>
  </w:style>
  <w:style w:type="paragraph" w:styleId="Heading5">
    <w:name w:val="heading 5"/>
    <w:basedOn w:val="Normal"/>
    <w:next w:val="Normal"/>
    <w:qFormat/>
    <w:rsid w:val="00A15082"/>
    <w:pPr>
      <w:keepNext/>
      <w:spacing w:before="240" w:after="60"/>
      <w:outlineLvl w:val="4"/>
    </w:pPr>
    <w:rPr>
      <w:b/>
      <w:bCs/>
      <w:iCs/>
      <w:color w:val="404040" w:themeColor="text1" w:themeTint="BF"/>
      <w:sz w:val="24"/>
    </w:rPr>
  </w:style>
  <w:style w:type="paragraph" w:styleId="Heading6">
    <w:name w:val="heading 6"/>
    <w:basedOn w:val="Normal"/>
    <w:next w:val="Normal"/>
    <w:uiPriority w:val="98"/>
    <w:locked/>
    <w:rsid w:val="00A705AF"/>
    <w:pPr>
      <w:keepNext/>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uiPriority w:val="98"/>
    <w:locked/>
    <w:rsid w:val="00A75B58"/>
    <w:pPr>
      <w:numPr>
        <w:ilvl w:val="1"/>
      </w:numPr>
      <w:ind w:right="397"/>
    </w:pPr>
    <w:rPr>
      <w:rFonts w:ascii="Franklin Gothic Medium" w:eastAsiaTheme="majorEastAsia" w:hAnsi="Franklin Gothic Medium" w:cstheme="majorBidi"/>
      <w:iCs/>
      <w:color w:val="00A9E5"/>
      <w:spacing w:val="15"/>
      <w:sz w:val="52"/>
    </w:rPr>
  </w:style>
  <w:style w:type="character" w:customStyle="1" w:styleId="SubtitleChar">
    <w:name w:val="Subtitle Char"/>
    <w:basedOn w:val="DefaultParagraphFont"/>
    <w:link w:val="Subtitle"/>
    <w:uiPriority w:val="98"/>
    <w:rsid w:val="007B04A9"/>
    <w:rPr>
      <w:rFonts w:ascii="Franklin Gothic Medium" w:eastAsiaTheme="majorEastAsia" w:hAnsi="Franklin Gothic Medium" w:cstheme="majorBidi"/>
      <w:iCs/>
      <w:color w:val="00A9E5"/>
      <w:spacing w:val="15"/>
      <w:sz w:val="52"/>
    </w:rPr>
  </w:style>
  <w:style w:type="paragraph" w:styleId="Title">
    <w:name w:val="Title"/>
    <w:basedOn w:val="Normal"/>
    <w:next w:val="Normal"/>
    <w:link w:val="TitleChar"/>
    <w:qFormat/>
    <w:rsid w:val="000B0274"/>
    <w:pPr>
      <w:spacing w:after="300"/>
      <w:contextualSpacing/>
    </w:pPr>
    <w:rPr>
      <w:rFonts w:ascii="Arial Bold" w:eastAsiaTheme="majorEastAsia" w:hAnsi="Arial Bold" w:cstheme="majorBidi"/>
      <w:b/>
      <w:color w:val="0A4A63"/>
      <w:kern w:val="28"/>
      <w:sz w:val="56"/>
      <w:szCs w:val="56"/>
    </w:rPr>
  </w:style>
  <w:style w:type="character" w:customStyle="1" w:styleId="TitleChar">
    <w:name w:val="Title Char"/>
    <w:basedOn w:val="DefaultParagraphFont"/>
    <w:link w:val="Title"/>
    <w:rsid w:val="000B0274"/>
    <w:rPr>
      <w:rFonts w:ascii="Arial Bold" w:eastAsiaTheme="majorEastAsia" w:hAnsi="Arial Bold" w:cstheme="majorBidi"/>
      <w:b/>
      <w:color w:val="0A4A63"/>
      <w:kern w:val="28"/>
      <w:sz w:val="56"/>
      <w:szCs w:val="56"/>
      <w:lang w:eastAsia="en-US"/>
    </w:rPr>
  </w:style>
  <w:style w:type="paragraph" w:customStyle="1" w:styleId="Bulletlist">
    <w:name w:val="Bullet list"/>
    <w:qFormat/>
    <w:rsid w:val="00544A4E"/>
    <w:pPr>
      <w:numPr>
        <w:numId w:val="14"/>
      </w:numPr>
      <w:spacing w:after="200"/>
      <w:ind w:left="568" w:hanging="284"/>
      <w:contextualSpacing/>
    </w:pPr>
    <w:rPr>
      <w:rFonts w:ascii="Arial" w:hAnsi="Arial"/>
      <w:color w:val="000000" w:themeColor="text1"/>
      <w:szCs w:val="24"/>
      <w:lang w:eastAsia="en-US"/>
    </w:rPr>
  </w:style>
  <w:style w:type="paragraph" w:customStyle="1" w:styleId="Chaptertitle">
    <w:name w:val="Chapter title"/>
    <w:basedOn w:val="Title"/>
    <w:qFormat/>
    <w:rsid w:val="003873C6"/>
    <w:pPr>
      <w:spacing w:before="240" w:after="240"/>
      <w:contextualSpacing w:val="0"/>
    </w:pPr>
    <w:rPr>
      <w:color w:val="125370" w:themeColor="accent3"/>
      <w:sz w:val="48"/>
      <w:szCs w:val="48"/>
    </w:rPr>
  </w:style>
  <w:style w:type="paragraph" w:styleId="TOC1">
    <w:name w:val="toc 1"/>
    <w:basedOn w:val="Normal"/>
    <w:next w:val="Normal"/>
    <w:autoRedefine/>
    <w:uiPriority w:val="39"/>
    <w:qFormat/>
    <w:rsid w:val="005C1496"/>
    <w:pPr>
      <w:spacing w:before="120" w:after="120"/>
    </w:pPr>
    <w:rPr>
      <w:rFonts w:cstheme="minorHAnsi"/>
      <w:b/>
      <w:bCs/>
      <w:color w:val="1178A2" w:themeColor="text2"/>
      <w:sz w:val="24"/>
      <w:szCs w:val="20"/>
    </w:rPr>
  </w:style>
  <w:style w:type="paragraph" w:styleId="Quote">
    <w:name w:val="Quote"/>
    <w:basedOn w:val="Normal"/>
    <w:next w:val="Normal"/>
    <w:link w:val="QuoteChar"/>
    <w:qFormat/>
    <w:rsid w:val="000D017D"/>
    <w:pPr>
      <w:spacing w:before="240" w:after="240"/>
      <w:ind w:left="397"/>
    </w:pPr>
    <w:rPr>
      <w:iCs/>
      <w:sz w:val="20"/>
    </w:rPr>
  </w:style>
  <w:style w:type="character" w:customStyle="1" w:styleId="QuoteChar">
    <w:name w:val="Quote Char"/>
    <w:basedOn w:val="DefaultParagraphFont"/>
    <w:link w:val="Quote"/>
    <w:rsid w:val="007B04A9"/>
    <w:rPr>
      <w:iCs/>
      <w:sz w:val="20"/>
    </w:rPr>
  </w:style>
  <w:style w:type="paragraph" w:styleId="TOC2">
    <w:name w:val="toc 2"/>
    <w:basedOn w:val="Normal"/>
    <w:next w:val="Normal"/>
    <w:autoRedefine/>
    <w:uiPriority w:val="39"/>
    <w:qFormat/>
    <w:rsid w:val="009A263C"/>
    <w:pPr>
      <w:tabs>
        <w:tab w:val="right" w:pos="9016"/>
      </w:tabs>
      <w:spacing w:before="120" w:after="120"/>
      <w:ind w:left="221"/>
    </w:pPr>
    <w:rPr>
      <w:rFonts w:cstheme="minorHAnsi"/>
      <w:szCs w:val="20"/>
    </w:rPr>
  </w:style>
  <w:style w:type="paragraph" w:styleId="TOC3">
    <w:name w:val="toc 3"/>
    <w:basedOn w:val="Normal"/>
    <w:next w:val="Normal"/>
    <w:autoRedefine/>
    <w:uiPriority w:val="39"/>
    <w:qFormat/>
    <w:rsid w:val="002E6A48"/>
    <w:pPr>
      <w:tabs>
        <w:tab w:val="left" w:pos="8902"/>
      </w:tabs>
      <w:spacing w:after="0"/>
      <w:ind w:left="442"/>
    </w:pPr>
    <w:rPr>
      <w:rFonts w:cstheme="minorHAnsi"/>
      <w:iCs/>
      <w:noProof/>
      <w:szCs w:val="20"/>
    </w:rPr>
  </w:style>
  <w:style w:type="paragraph" w:customStyle="1" w:styleId="FigureTitle">
    <w:name w:val="Figure Title"/>
    <w:basedOn w:val="Normal"/>
    <w:qFormat/>
    <w:rsid w:val="005C1496"/>
    <w:pPr>
      <w:contextualSpacing/>
    </w:pPr>
    <w:rPr>
      <w:b/>
    </w:rPr>
  </w:style>
  <w:style w:type="paragraph" w:styleId="FootnoteText">
    <w:name w:val="footnote text"/>
    <w:basedOn w:val="Normal"/>
    <w:link w:val="FootnoteTextChar"/>
    <w:rsid w:val="00C436EE"/>
    <w:pPr>
      <w:spacing w:after="0"/>
    </w:pPr>
    <w:rPr>
      <w:sz w:val="20"/>
      <w:szCs w:val="20"/>
    </w:rPr>
  </w:style>
  <w:style w:type="character" w:customStyle="1" w:styleId="FootnoteTextChar">
    <w:name w:val="Footnote Text Char"/>
    <w:basedOn w:val="DefaultParagraphFont"/>
    <w:link w:val="FootnoteText"/>
    <w:rsid w:val="00C436EE"/>
    <w:rPr>
      <w:rFonts w:ascii="Arial" w:hAnsi="Arial"/>
      <w:color w:val="000000" w:themeColor="text1"/>
      <w:lang w:eastAsia="en-US"/>
    </w:rPr>
  </w:style>
  <w:style w:type="paragraph" w:styleId="BalloonText">
    <w:name w:val="Balloon Text"/>
    <w:basedOn w:val="Normal"/>
    <w:link w:val="BalloonTextChar"/>
    <w:locked/>
    <w:rsid w:val="00A4199A"/>
    <w:pPr>
      <w:spacing w:after="0"/>
    </w:pPr>
    <w:rPr>
      <w:rFonts w:ascii="Tahoma" w:hAnsi="Tahoma" w:cs="Tahoma"/>
      <w:sz w:val="16"/>
      <w:szCs w:val="16"/>
    </w:rPr>
  </w:style>
  <w:style w:type="character" w:styleId="FootnoteReference">
    <w:name w:val="footnote reference"/>
    <w:basedOn w:val="DefaultParagraphFont"/>
    <w:rsid w:val="00E13C5C"/>
    <w:rPr>
      <w:rFonts w:ascii="Arial" w:hAnsi="Arial"/>
      <w:vertAlign w:val="superscript"/>
    </w:rPr>
  </w:style>
  <w:style w:type="table" w:styleId="TableGrid">
    <w:name w:val="Table Grid"/>
    <w:aliases w:val="Commission"/>
    <w:basedOn w:val="TableNormal"/>
    <w:locked/>
    <w:rsid w:val="00BC07E4"/>
    <w:pPr>
      <w:spacing w:after="0"/>
    </w:pPr>
    <w:rPr>
      <w:rFonts w:ascii="Arial" w:hAnsi="Arial"/>
      <w:color w:val="000000" w:themeColor="text1"/>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wordWrap/>
        <w:jc w:val="center"/>
        <w:outlineLvl w:val="9"/>
      </w:pPr>
      <w:rPr>
        <w:rFonts w:ascii="Arial Bold" w:hAnsi="Arial Bold"/>
        <w:b/>
        <w:color w:val="000000" w:themeColor="text1"/>
        <w:sz w:val="18"/>
      </w:rPr>
      <w:tblPr/>
      <w:tcPr>
        <w:shd w:val="clear" w:color="auto" w:fill="86D3F2" w:themeFill="text2" w:themeFillTint="66"/>
      </w:tcPr>
    </w:tblStylePr>
  </w:style>
  <w:style w:type="character" w:customStyle="1" w:styleId="Underline">
    <w:name w:val="Underline"/>
    <w:basedOn w:val="DefaultParagraphFont"/>
    <w:qFormat/>
    <w:rsid w:val="00E13C5C"/>
    <w:rPr>
      <w:u w:val="single"/>
    </w:rPr>
  </w:style>
  <w:style w:type="character" w:customStyle="1" w:styleId="BalloonTextChar">
    <w:name w:val="Balloon Text Char"/>
    <w:basedOn w:val="DefaultParagraphFont"/>
    <w:link w:val="BalloonText"/>
    <w:rsid w:val="00A4199A"/>
    <w:rPr>
      <w:rFonts w:ascii="Tahoma" w:hAnsi="Tahoma" w:cs="Tahoma"/>
      <w:sz w:val="16"/>
      <w:szCs w:val="16"/>
    </w:rPr>
  </w:style>
  <w:style w:type="paragraph" w:styleId="Header">
    <w:name w:val="header"/>
    <w:basedOn w:val="Normal"/>
    <w:link w:val="HeaderChar"/>
    <w:uiPriority w:val="98"/>
    <w:locked/>
    <w:rsid w:val="009B053D"/>
    <w:pPr>
      <w:tabs>
        <w:tab w:val="center" w:pos="4513"/>
        <w:tab w:val="right" w:pos="9026"/>
      </w:tabs>
      <w:spacing w:after="0"/>
    </w:pPr>
  </w:style>
  <w:style w:type="character" w:styleId="PlaceholderText">
    <w:name w:val="Placeholder Text"/>
    <w:basedOn w:val="DefaultParagraphFont"/>
    <w:uiPriority w:val="98"/>
    <w:semiHidden/>
    <w:locked/>
    <w:rsid w:val="00C51BE7"/>
    <w:rPr>
      <w:color w:val="808080"/>
    </w:rPr>
  </w:style>
  <w:style w:type="character" w:customStyle="1" w:styleId="HeaderChar">
    <w:name w:val="Header Char"/>
    <w:basedOn w:val="DefaultParagraphFont"/>
    <w:link w:val="Header"/>
    <w:uiPriority w:val="98"/>
    <w:rsid w:val="007B04A9"/>
  </w:style>
  <w:style w:type="character" w:styleId="Hyperlink">
    <w:name w:val="Hyperlink"/>
    <w:basedOn w:val="DefaultParagraphFont"/>
    <w:uiPriority w:val="99"/>
    <w:rsid w:val="00B47076"/>
    <w:rPr>
      <w:color w:val="0000FF" w:themeColor="hyperlink"/>
      <w:u w:val="single"/>
    </w:rPr>
  </w:style>
  <w:style w:type="paragraph" w:styleId="Footer">
    <w:name w:val="footer"/>
    <w:basedOn w:val="Normal"/>
    <w:link w:val="FooterChar"/>
    <w:uiPriority w:val="99"/>
    <w:rsid w:val="007635C1"/>
    <w:pPr>
      <w:tabs>
        <w:tab w:val="center" w:pos="4513"/>
        <w:tab w:val="right" w:pos="9026"/>
      </w:tabs>
      <w:spacing w:after="0"/>
    </w:pPr>
    <w:rPr>
      <w:color w:val="404040" w:themeColor="text1" w:themeTint="BF"/>
      <w:sz w:val="20"/>
    </w:rPr>
  </w:style>
  <w:style w:type="character" w:customStyle="1" w:styleId="FooterChar">
    <w:name w:val="Footer Char"/>
    <w:basedOn w:val="DefaultParagraphFont"/>
    <w:link w:val="Footer"/>
    <w:uiPriority w:val="99"/>
    <w:rsid w:val="007B04A9"/>
    <w:rPr>
      <w:color w:val="404040" w:themeColor="text1" w:themeTint="BF"/>
      <w:sz w:val="20"/>
    </w:rPr>
  </w:style>
  <w:style w:type="character" w:styleId="FollowedHyperlink">
    <w:name w:val="FollowedHyperlink"/>
    <w:basedOn w:val="DefaultParagraphFont"/>
    <w:rsid w:val="00F95769"/>
    <w:rPr>
      <w:color w:val="800080" w:themeColor="followedHyperlink"/>
      <w:u w:val="single"/>
    </w:rPr>
  </w:style>
  <w:style w:type="paragraph" w:styleId="TOCHeading">
    <w:name w:val="TOC Heading"/>
    <w:basedOn w:val="Heading1"/>
    <w:next w:val="Normal"/>
    <w:uiPriority w:val="39"/>
    <w:unhideWhenUsed/>
    <w:qFormat/>
    <w:rsid w:val="00255596"/>
    <w:pPr>
      <w:keepLines/>
      <w:spacing w:before="480" w:after="0" w:line="276" w:lineRule="auto"/>
      <w:outlineLvl w:val="9"/>
    </w:pPr>
    <w:rPr>
      <w:rFonts w:asciiTheme="majorHAnsi" w:eastAsiaTheme="majorEastAsia" w:hAnsiTheme="majorHAnsi" w:cstheme="majorBidi"/>
      <w:color w:val="0C5979" w:themeColor="accent1" w:themeShade="BF"/>
      <w:kern w:val="0"/>
      <w:szCs w:val="28"/>
      <w:lang w:val="en-US" w:eastAsia="ja-JP"/>
    </w:rPr>
  </w:style>
  <w:style w:type="paragraph" w:customStyle="1" w:styleId="Captions">
    <w:name w:val="Captions"/>
    <w:basedOn w:val="Normal"/>
    <w:link w:val="CaptionsChar"/>
    <w:qFormat/>
    <w:rsid w:val="00A15082"/>
    <w:pPr>
      <w:spacing w:before="120" w:after="120"/>
    </w:pPr>
    <w:rPr>
      <w:sz w:val="20"/>
      <w:szCs w:val="20"/>
    </w:rPr>
  </w:style>
  <w:style w:type="character" w:customStyle="1" w:styleId="CaptionsChar">
    <w:name w:val="Captions Char"/>
    <w:basedOn w:val="DefaultParagraphFont"/>
    <w:link w:val="Captions"/>
    <w:rsid w:val="00A15082"/>
    <w:rPr>
      <w:rFonts w:ascii="Arial" w:hAnsi="Arial"/>
      <w:color w:val="000000" w:themeColor="text1"/>
      <w:lang w:eastAsia="en-US"/>
    </w:rPr>
  </w:style>
  <w:style w:type="numbering" w:customStyle="1" w:styleId="Listbullets">
    <w:name w:val="List bullets"/>
    <w:uiPriority w:val="99"/>
    <w:rsid w:val="000D017D"/>
    <w:pPr>
      <w:numPr>
        <w:numId w:val="4"/>
      </w:numPr>
    </w:pPr>
  </w:style>
  <w:style w:type="paragraph" w:customStyle="1" w:styleId="Numberedlists">
    <w:name w:val="Numbered lists"/>
    <w:basedOn w:val="Normal"/>
    <w:link w:val="NumberedlistsChar"/>
    <w:qFormat/>
    <w:rsid w:val="00A4199A"/>
    <w:pPr>
      <w:numPr>
        <w:numId w:val="12"/>
      </w:numPr>
      <w:spacing w:before="120"/>
      <w:contextualSpacing/>
    </w:pPr>
  </w:style>
  <w:style w:type="character" w:customStyle="1" w:styleId="NumberedlistsChar">
    <w:name w:val="Numbered lists Char"/>
    <w:basedOn w:val="DefaultParagraphFont"/>
    <w:link w:val="Numberedlists"/>
    <w:rsid w:val="00A4199A"/>
  </w:style>
  <w:style w:type="paragraph" w:customStyle="1" w:styleId="Subheading">
    <w:name w:val="Subheading"/>
    <w:basedOn w:val="Normal"/>
    <w:next w:val="Normal"/>
    <w:qFormat/>
    <w:rsid w:val="000B0274"/>
    <w:pPr>
      <w:spacing w:before="240"/>
    </w:pPr>
    <w:rPr>
      <w:b/>
      <w:color w:val="00A9E5"/>
      <w:sz w:val="36"/>
      <w:szCs w:val="36"/>
    </w:rPr>
  </w:style>
  <w:style w:type="numbering" w:customStyle="1" w:styleId="Bullet">
    <w:name w:val="Bullet"/>
    <w:uiPriority w:val="99"/>
    <w:locked/>
    <w:rsid w:val="000D017D"/>
    <w:pPr>
      <w:numPr>
        <w:numId w:val="7"/>
      </w:numPr>
    </w:pPr>
  </w:style>
  <w:style w:type="numbering" w:customStyle="1" w:styleId="Bullets">
    <w:name w:val="Bullets"/>
    <w:uiPriority w:val="99"/>
    <w:locked/>
    <w:rsid w:val="000D017D"/>
    <w:pPr>
      <w:numPr>
        <w:numId w:val="8"/>
      </w:numPr>
    </w:pPr>
  </w:style>
  <w:style w:type="numbering" w:customStyle="1" w:styleId="BulletsLevel1">
    <w:name w:val="Bullets Level 1"/>
    <w:uiPriority w:val="99"/>
    <w:locked/>
    <w:rsid w:val="000D017D"/>
    <w:pPr>
      <w:numPr>
        <w:numId w:val="9"/>
      </w:numPr>
    </w:pPr>
  </w:style>
  <w:style w:type="paragraph" w:customStyle="1" w:styleId="PublicationDate">
    <w:name w:val="Publication Date"/>
    <w:basedOn w:val="Normal"/>
    <w:link w:val="PublicationDateChar"/>
    <w:qFormat/>
    <w:rsid w:val="00447D31"/>
    <w:pPr>
      <w:spacing w:before="240" w:after="240"/>
    </w:pPr>
    <w:rPr>
      <w:color w:val="0A4A63"/>
      <w:sz w:val="32"/>
      <w:szCs w:val="40"/>
    </w:rPr>
  </w:style>
  <w:style w:type="character" w:customStyle="1" w:styleId="PublicationDateChar">
    <w:name w:val="Publication Date Char"/>
    <w:basedOn w:val="DefaultParagraphFont"/>
    <w:link w:val="PublicationDate"/>
    <w:rsid w:val="00447D31"/>
    <w:rPr>
      <w:rFonts w:ascii="Arial" w:hAnsi="Arial"/>
      <w:color w:val="0A4A63"/>
      <w:sz w:val="32"/>
      <w:szCs w:val="40"/>
      <w:lang w:eastAsia="en-US"/>
    </w:rPr>
  </w:style>
  <w:style w:type="paragraph" w:customStyle="1" w:styleId="Redtext">
    <w:name w:val="Red text"/>
    <w:basedOn w:val="Normal"/>
    <w:qFormat/>
    <w:rsid w:val="00BC07E4"/>
    <w:pPr>
      <w:spacing w:after="80"/>
    </w:pPr>
    <w:rPr>
      <w:color w:val="FF0000"/>
    </w:rPr>
  </w:style>
  <w:style w:type="paragraph" w:customStyle="1" w:styleId="Normal-beforebullets">
    <w:name w:val="Normal - before bullets"/>
    <w:basedOn w:val="Normal"/>
    <w:qFormat/>
    <w:rsid w:val="00020DBD"/>
    <w:pPr>
      <w:spacing w:after="0"/>
    </w:pPr>
  </w:style>
  <w:style w:type="paragraph" w:styleId="TOC4">
    <w:name w:val="toc 4"/>
    <w:basedOn w:val="Normal"/>
    <w:next w:val="Normal"/>
    <w:autoRedefine/>
    <w:uiPriority w:val="39"/>
    <w:locked/>
    <w:rsid w:val="002E6A48"/>
    <w:pPr>
      <w:tabs>
        <w:tab w:val="right" w:pos="9016"/>
      </w:tabs>
      <w:spacing w:before="120" w:after="0"/>
      <w:ind w:left="658"/>
    </w:pPr>
  </w:style>
  <w:style w:type="table" w:customStyle="1" w:styleId="MDBAsimpletable">
    <w:name w:val="MDBA simple table"/>
    <w:basedOn w:val="TableNormal"/>
    <w:uiPriority w:val="99"/>
    <w:rsid w:val="00B904EC"/>
    <w:pPr>
      <w:spacing w:after="0"/>
    </w:pPr>
    <w:rPr>
      <w:rFonts w:ascii="Arial" w:eastAsia="Calibri" w:hAnsi="Arial"/>
      <w:lang w:eastAsia="en-US"/>
    </w:rPr>
    <w:tblPr>
      <w:tblStyleRowBandSize w:val="1"/>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Pr>
    <w:tcPr>
      <w:shd w:val="clear" w:color="auto" w:fill="auto"/>
    </w:tcPr>
    <w:tblStylePr w:type="firstRow">
      <w:pPr>
        <w:wordWrap/>
        <w:spacing w:beforeLines="0" w:before="240" w:beforeAutospacing="0"/>
      </w:pPr>
      <w:rPr>
        <w:rFonts w:ascii="Arial" w:hAnsi="Arial"/>
        <w:b/>
        <w:color w:val="auto"/>
        <w:sz w:val="22"/>
      </w:rPr>
      <w:tblPr/>
      <w:tcPr>
        <w:shd w:val="clear" w:color="auto" w:fill="95B3D7"/>
      </w:tcPr>
    </w:tblStylePr>
    <w:tblStylePr w:type="lastRow">
      <w:tblPr/>
      <w:tcPr>
        <w:shd w:val="clear" w:color="auto" w:fill="BFBFBF"/>
      </w:tcPr>
    </w:tblStylePr>
    <w:tblStylePr w:type="band1Horz">
      <w:tblPr/>
      <w:tcPr>
        <w:shd w:val="clear" w:color="auto" w:fill="ECECEC"/>
      </w:tcPr>
    </w:tblStylePr>
  </w:style>
  <w:style w:type="table" w:customStyle="1" w:styleId="Commission1">
    <w:name w:val="Commission1"/>
    <w:basedOn w:val="TableNormal"/>
    <w:uiPriority w:val="99"/>
    <w:rsid w:val="00865932"/>
    <w:pPr>
      <w:spacing w:after="0"/>
    </w:pPr>
    <w:rPr>
      <w:rFonts w:ascii="Arial Narrow" w:hAnsi="Arial Narrow"/>
      <w:szCs w:val="20"/>
    </w:rPr>
    <w:tblP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rPr>
        <w:rFonts w:ascii="Arial Narrow" w:hAnsi="Arial Narrow"/>
        <w:b/>
        <w:color w:val="FFFFFF"/>
        <w:sz w:val="22"/>
      </w:rPr>
      <w:tblPr/>
      <w:tcPr>
        <w:shd w:val="clear" w:color="auto" w:fill="365F91"/>
      </w:tcPr>
    </w:tblStylePr>
  </w:style>
  <w:style w:type="table" w:customStyle="1" w:styleId="Commission2">
    <w:name w:val="Commission2"/>
    <w:basedOn w:val="TableNormal"/>
    <w:uiPriority w:val="99"/>
    <w:rsid w:val="00865932"/>
    <w:pPr>
      <w:spacing w:after="0"/>
    </w:pPr>
    <w:rPr>
      <w:rFonts w:ascii="Arial Narrow" w:hAnsi="Arial Narrow"/>
      <w:szCs w:val="20"/>
    </w:rPr>
    <w:tblP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rPr>
        <w:rFonts w:ascii="Arial Narrow" w:hAnsi="Arial Narrow"/>
        <w:b/>
        <w:color w:val="FFFFFF"/>
        <w:sz w:val="22"/>
      </w:rPr>
      <w:tblPr/>
      <w:tcPr>
        <w:shd w:val="clear" w:color="auto" w:fill="365F91"/>
      </w:tcPr>
    </w:tblStylePr>
  </w:style>
  <w:style w:type="paragraph" w:customStyle="1" w:styleId="FigureName">
    <w:name w:val="FigureName"/>
    <w:basedOn w:val="Normal"/>
    <w:next w:val="Normal"/>
    <w:rsid w:val="0003162D"/>
    <w:pPr>
      <w:keepNext/>
      <w:keepLines/>
      <w:tabs>
        <w:tab w:val="left" w:pos="1080"/>
      </w:tabs>
      <w:spacing w:before="120" w:after="120"/>
      <w:ind w:left="1077" w:hanging="1077"/>
    </w:pPr>
    <w:rPr>
      <w:rFonts w:ascii="Arial" w:hAnsi="Arial"/>
      <w:b/>
      <w:bCs/>
      <w:color w:val="1178A2" w:themeColor="accent1"/>
      <w:szCs w:val="20"/>
    </w:rPr>
  </w:style>
  <w:style w:type="paragraph" w:customStyle="1" w:styleId="TFAbbrevsSpace">
    <w:name w:val="TFAbbrevs+Space"/>
    <w:basedOn w:val="Normal"/>
    <w:next w:val="Normal"/>
    <w:rsid w:val="0003162D"/>
    <w:pPr>
      <w:keepNext/>
      <w:keepLines/>
      <w:spacing w:after="360"/>
    </w:pPr>
    <w:rPr>
      <w:rFonts w:ascii="Arial" w:hAnsi="Arial"/>
      <w:color w:val="000000"/>
      <w:sz w:val="18"/>
      <w:szCs w:val="18"/>
    </w:rPr>
  </w:style>
  <w:style w:type="paragraph" w:customStyle="1" w:styleId="BoxHeading">
    <w:name w:val="BoxHeading"/>
    <w:basedOn w:val="Normal"/>
    <w:rsid w:val="000B79D3"/>
    <w:pPr>
      <w:keepNext/>
      <w:pBdr>
        <w:top w:val="single" w:sz="4" w:space="4" w:color="0C5979" w:themeColor="accent1" w:themeShade="BF"/>
        <w:left w:val="single" w:sz="4" w:space="4" w:color="0C5979" w:themeColor="accent1" w:themeShade="BF"/>
        <w:bottom w:val="single" w:sz="4" w:space="4" w:color="0C5979" w:themeColor="accent1" w:themeShade="BF"/>
        <w:right w:val="single" w:sz="4" w:space="4" w:color="0C5979" w:themeColor="accent1" w:themeShade="BF"/>
      </w:pBdr>
      <w:spacing w:before="120" w:after="60"/>
    </w:pPr>
    <w:rPr>
      <w:rFonts w:ascii="Arial" w:hAnsi="Arial"/>
      <w:b/>
      <w:bCs/>
      <w:color w:val="1178A2" w:themeColor="accent1"/>
      <w:szCs w:val="20"/>
    </w:rPr>
  </w:style>
  <w:style w:type="paragraph" w:customStyle="1" w:styleId="BoxBullet">
    <w:name w:val="BoxBullet"/>
    <w:basedOn w:val="Normal"/>
    <w:link w:val="BoxBulletChar"/>
    <w:rsid w:val="000B79D3"/>
    <w:pPr>
      <w:numPr>
        <w:numId w:val="25"/>
      </w:numPr>
      <w:pBdr>
        <w:top w:val="single" w:sz="4" w:space="4" w:color="0C5979" w:themeColor="accent1" w:themeShade="BF"/>
        <w:left w:val="single" w:sz="4" w:space="4" w:color="0C5979" w:themeColor="accent1" w:themeShade="BF"/>
        <w:bottom w:val="single" w:sz="4" w:space="4" w:color="0C5979" w:themeColor="accent1" w:themeShade="BF"/>
        <w:right w:val="single" w:sz="4" w:space="4" w:color="0C5979" w:themeColor="accent1" w:themeShade="BF"/>
      </w:pBdr>
      <w:spacing w:after="120"/>
    </w:pPr>
    <w:rPr>
      <w:rFonts w:ascii="Arial" w:hAnsi="Arial"/>
      <w:color w:val="000000"/>
      <w:szCs w:val="20"/>
    </w:rPr>
  </w:style>
  <w:style w:type="character" w:customStyle="1" w:styleId="BoxBulletChar">
    <w:name w:val="BoxBullet Char"/>
    <w:link w:val="BoxBullet"/>
    <w:rsid w:val="000B79D3"/>
    <w:rPr>
      <w:rFonts w:ascii="Arial" w:hAnsi="Arial"/>
      <w:color w:val="000000"/>
      <w:szCs w:val="20"/>
    </w:rPr>
  </w:style>
  <w:style w:type="paragraph" w:customStyle="1" w:styleId="Dash">
    <w:name w:val="Dash"/>
    <w:basedOn w:val="Normal"/>
    <w:rsid w:val="002E195D"/>
    <w:pPr>
      <w:numPr>
        <w:numId w:val="26"/>
      </w:numPr>
      <w:tabs>
        <w:tab w:val="clear" w:pos="216"/>
        <w:tab w:val="left" w:pos="720"/>
      </w:tabs>
      <w:spacing w:after="0"/>
      <w:ind w:left="754" w:hanging="357"/>
    </w:pPr>
    <w:rPr>
      <w:rFonts w:ascii="Arial" w:hAnsi="Arial"/>
      <w:color w:val="000000"/>
      <w:szCs w:val="20"/>
    </w:rPr>
  </w:style>
  <w:style w:type="paragraph" w:customStyle="1" w:styleId="BoxText">
    <w:name w:val="BoxText"/>
    <w:basedOn w:val="Normal"/>
    <w:qFormat/>
    <w:rsid w:val="002E195D"/>
    <w:pPr>
      <w:pBdr>
        <w:top w:val="single" w:sz="4" w:space="4" w:color="0C5979" w:themeColor="accent1" w:themeShade="BF"/>
        <w:left w:val="single" w:sz="4" w:space="4" w:color="0C5979" w:themeColor="accent1" w:themeShade="BF"/>
        <w:bottom w:val="single" w:sz="4" w:space="4" w:color="0C5979" w:themeColor="accent1" w:themeShade="BF"/>
        <w:right w:val="single" w:sz="4" w:space="4" w:color="0C5979" w:themeColor="accent1" w:themeShade="BF"/>
      </w:pBdr>
      <w:spacing w:after="120"/>
    </w:pPr>
    <w:rPr>
      <w:rFonts w:ascii="Arial" w:hAnsi="Arial"/>
      <w:color w:val="000000"/>
      <w:szCs w:val="20"/>
    </w:rPr>
  </w:style>
  <w:style w:type="paragraph" w:customStyle="1" w:styleId="BoxNotes">
    <w:name w:val="BoxNotes"/>
    <w:basedOn w:val="BoxText"/>
    <w:rsid w:val="002E195D"/>
    <w:pPr>
      <w:spacing w:before="120" w:after="60"/>
    </w:pPr>
    <w:rPr>
      <w:sz w:val="18"/>
    </w:rPr>
  </w:style>
  <w:style w:type="paragraph" w:customStyle="1" w:styleId="BoxName">
    <w:name w:val="BoxName"/>
    <w:basedOn w:val="BoxText"/>
    <w:next w:val="BoxText"/>
    <w:rsid w:val="002E195D"/>
    <w:pPr>
      <w:keepNext/>
      <w:spacing w:before="180"/>
      <w:ind w:left="1077" w:hanging="1077"/>
    </w:pPr>
    <w:rPr>
      <w:b/>
      <w:bCs/>
      <w:color w:val="0C5979" w:themeColor="accent1" w:themeShade="BF"/>
      <w:sz w:val="24"/>
    </w:rPr>
  </w:style>
  <w:style w:type="paragraph" w:customStyle="1" w:styleId="BoxDash">
    <w:name w:val="BoxDash"/>
    <w:basedOn w:val="BoxText"/>
    <w:rsid w:val="002E195D"/>
    <w:pPr>
      <w:tabs>
        <w:tab w:val="left" w:pos="357"/>
      </w:tabs>
      <w:ind w:left="720" w:hanging="720"/>
    </w:pPr>
  </w:style>
  <w:style w:type="paragraph" w:customStyle="1" w:styleId="BulletLast">
    <w:name w:val="BulletLast"/>
    <w:qFormat/>
    <w:rsid w:val="00A04882"/>
    <w:pPr>
      <w:spacing w:after="240"/>
    </w:pPr>
    <w:rPr>
      <w:rFonts w:ascii="Arial" w:hAnsi="Arial"/>
      <w:color w:val="000000"/>
    </w:rPr>
  </w:style>
  <w:style w:type="paragraph" w:customStyle="1" w:styleId="NormalBeforeBullet">
    <w:name w:val="NormalBeforeBullet"/>
    <w:basedOn w:val="Normal"/>
    <w:qFormat/>
    <w:rsid w:val="00A04882"/>
    <w:pPr>
      <w:keepNext/>
      <w:spacing w:after="120"/>
    </w:pPr>
    <w:rPr>
      <w:rFonts w:ascii="Arial" w:hAnsi="Arial"/>
      <w:color w:val="000000"/>
      <w:szCs w:val="20"/>
    </w:rPr>
  </w:style>
  <w:style w:type="paragraph" w:customStyle="1" w:styleId="BulletBeforeDash">
    <w:name w:val="BulletBeforeDash"/>
    <w:basedOn w:val="Normal"/>
    <w:rsid w:val="00133873"/>
    <w:pPr>
      <w:spacing w:after="0"/>
    </w:pPr>
    <w:rPr>
      <w:rFonts w:ascii="Arial" w:hAnsi="Arial"/>
      <w:color w:val="000000"/>
      <w:szCs w:val="20"/>
    </w:rPr>
  </w:style>
  <w:style w:type="paragraph" w:styleId="ListParagraph">
    <w:name w:val="List Paragraph"/>
    <w:basedOn w:val="Normal"/>
    <w:uiPriority w:val="34"/>
    <w:qFormat/>
    <w:locked/>
    <w:rsid w:val="00352E26"/>
    <w:pPr>
      <w:ind w:left="720"/>
      <w:contextualSpacing/>
    </w:pPr>
  </w:style>
  <w:style w:type="paragraph" w:customStyle="1" w:styleId="DashLast">
    <w:name w:val="DashLast"/>
    <w:basedOn w:val="Dash"/>
    <w:rsid w:val="00F6076C"/>
    <w:pPr>
      <w:numPr>
        <w:numId w:val="4"/>
      </w:numPr>
      <w:spacing w:after="120"/>
    </w:pPr>
  </w:style>
  <w:style w:type="paragraph" w:styleId="Caption">
    <w:name w:val="caption"/>
    <w:basedOn w:val="Normal"/>
    <w:next w:val="Normal"/>
    <w:uiPriority w:val="98"/>
    <w:semiHidden/>
    <w:unhideWhenUsed/>
    <w:qFormat/>
    <w:locked/>
    <w:rsid w:val="001D39E1"/>
    <w:rPr>
      <w:b/>
      <w:bCs/>
      <w:color w:val="1178A2" w:themeColor="accent1"/>
      <w:sz w:val="18"/>
      <w:szCs w:val="18"/>
    </w:rPr>
  </w:style>
  <w:style w:type="character" w:styleId="CommentReference">
    <w:name w:val="annotation reference"/>
    <w:basedOn w:val="DefaultParagraphFont"/>
    <w:uiPriority w:val="98"/>
    <w:locked/>
    <w:rsid w:val="00E74BFC"/>
    <w:rPr>
      <w:sz w:val="16"/>
      <w:szCs w:val="16"/>
    </w:rPr>
  </w:style>
  <w:style w:type="paragraph" w:styleId="CommentText">
    <w:name w:val="annotation text"/>
    <w:basedOn w:val="Normal"/>
    <w:link w:val="CommentTextChar"/>
    <w:uiPriority w:val="98"/>
    <w:locked/>
    <w:rsid w:val="00E74BFC"/>
    <w:rPr>
      <w:sz w:val="20"/>
      <w:szCs w:val="20"/>
    </w:rPr>
  </w:style>
  <w:style w:type="character" w:customStyle="1" w:styleId="CommentTextChar">
    <w:name w:val="Comment Text Char"/>
    <w:basedOn w:val="DefaultParagraphFont"/>
    <w:link w:val="CommentText"/>
    <w:uiPriority w:val="98"/>
    <w:rsid w:val="00546B4C"/>
    <w:rPr>
      <w:sz w:val="20"/>
      <w:szCs w:val="20"/>
    </w:rPr>
  </w:style>
  <w:style w:type="paragraph" w:styleId="CommentSubject">
    <w:name w:val="annotation subject"/>
    <w:basedOn w:val="CommentText"/>
    <w:next w:val="CommentText"/>
    <w:link w:val="CommentSubjectChar"/>
    <w:uiPriority w:val="98"/>
    <w:locked/>
    <w:rsid w:val="00E74BFC"/>
    <w:rPr>
      <w:b/>
      <w:bCs/>
    </w:rPr>
  </w:style>
  <w:style w:type="character" w:customStyle="1" w:styleId="CommentSubjectChar">
    <w:name w:val="Comment Subject Char"/>
    <w:basedOn w:val="CommentTextChar"/>
    <w:link w:val="CommentSubject"/>
    <w:uiPriority w:val="98"/>
    <w:rsid w:val="00546B4C"/>
    <w:rPr>
      <w:b/>
      <w:bCs/>
      <w:sz w:val="20"/>
      <w:szCs w:val="20"/>
    </w:rPr>
  </w:style>
  <w:style w:type="paragraph" w:styleId="DocumentMap">
    <w:name w:val="Document Map"/>
    <w:basedOn w:val="Normal"/>
    <w:link w:val="DocumentMapChar"/>
    <w:uiPriority w:val="98"/>
    <w:unhideWhenUsed/>
    <w:locked/>
    <w:rsid w:val="00E74BFC"/>
    <w:pPr>
      <w:spacing w:after="0"/>
    </w:pPr>
    <w:rPr>
      <w:rFonts w:ascii="Times New Roman" w:hAnsi="Times New Roman"/>
      <w:sz w:val="24"/>
      <w:szCs w:val="24"/>
    </w:rPr>
  </w:style>
  <w:style w:type="character" w:customStyle="1" w:styleId="DocumentMapChar">
    <w:name w:val="Document Map Char"/>
    <w:basedOn w:val="DefaultParagraphFont"/>
    <w:link w:val="DocumentMap"/>
    <w:uiPriority w:val="98"/>
    <w:rsid w:val="00E74BFC"/>
    <w:rPr>
      <w:rFonts w:ascii="Times New Roman" w:hAnsi="Times New Roman"/>
      <w:sz w:val="24"/>
      <w:szCs w:val="24"/>
    </w:rPr>
  </w:style>
  <w:style w:type="paragraph" w:styleId="Revision">
    <w:name w:val="Revision"/>
    <w:hidden/>
    <w:uiPriority w:val="99"/>
    <w:semiHidden/>
    <w:rsid w:val="00543061"/>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sz w:val="22"/>
        <w:szCs w:val="22"/>
        <w:lang w:val="en-AU" w:eastAsia="en-AU" w:bidi="ar-SA"/>
      </w:rPr>
    </w:rPrDefault>
    <w:pPrDefault>
      <w:pPr>
        <w:spacing w:after="80"/>
      </w:pPr>
    </w:pPrDefault>
  </w:docDefaults>
  <w:latentStyles w:defLockedState="1" w:defUIPriority="98" w:defSemiHidden="0" w:defUnhideWhenUsed="0" w:defQFormat="0" w:count="267">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locked="0" w:uiPriority="0" w:qFormat="1"/>
    <w:lsdException w:name="heading 7" w:semiHidden="1" w:unhideWhenUsed="1" w:qFormat="1"/>
    <w:lsdException w:name="heading 8" w:semiHidden="1" w:unhideWhenUsed="1" w:qFormat="1"/>
    <w:lsdException w:name="heading 9" w:semiHidden="1" w:unhideWhenUsed="1" w:qFormat="1"/>
    <w:lsdException w:name="toc 1" w:locked="0" w:uiPriority="39" w:qFormat="1"/>
    <w:lsdException w:name="toc 2" w:locked="0" w:uiPriority="39" w:qFormat="1"/>
    <w:lsdException w:name="toc 3" w:locked="0" w:uiPriority="39" w:qFormat="1"/>
    <w:lsdException w:name="toc 4" w:uiPriority="39"/>
    <w:lsdException w:name="footnote text" w:locked="0" w:uiPriority="0"/>
    <w:lsdException w:name="footer" w:locked="0" w:uiPriority="99"/>
    <w:lsdException w:name="caption" w:semiHidden="1" w:unhideWhenUsed="1" w:qFormat="1"/>
    <w:lsdException w:name="footnote reference" w:locked="0" w:uiPriority="0"/>
    <w:lsdException w:name="Title" w:locked="0" w:uiPriority="0" w:qFormat="1"/>
    <w:lsdException w:name="Default Paragraph Font" w:locked="0" w:uiPriority="1"/>
    <w:lsdException w:name="Hyperlink" w:locked="0" w:uiPriority="99"/>
    <w:lsdException w:name="FollowedHyperlink" w:locked="0" w:uiPriority="0"/>
    <w:lsdException w:name="Strong" w:locked="0" w:uiPriority="0" w:qFormat="1"/>
    <w:lsdException w:name="Emphasis" w:locked="0" w:uiPriority="0"/>
    <w:lsdException w:name="HTML Top of Form" w:locked="0" w:uiPriority="0"/>
    <w:lsdException w:name="HTML Bottom of Form" w:locked="0" w:uiPriority="0"/>
    <w:lsdException w:name="Normal Table" w:locked="0" w:uiPriority="0"/>
    <w:lsdException w:name="No List" w:locked="0" w:uiPriority="99"/>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locked="0"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uiPriority="0"/>
    <w:lsdException w:name="Table Theme" w:uiPriority="0"/>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locked="0"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uiPriority="32" w:qFormat="1"/>
    <w:lsdException w:name="Bibliography" w:semiHidden="1" w:unhideWhenUsed="1"/>
    <w:lsdException w:name="TOC Heading" w:locked="0" w:semiHidden="1" w:uiPriority="39" w:unhideWhenUsed="1" w:qFormat="1"/>
  </w:latentStyles>
  <w:style w:type="paragraph" w:default="1" w:styleId="Normal">
    <w:name w:val="Normal"/>
    <w:qFormat/>
    <w:rsid w:val="00B328AF"/>
    <w:pPr>
      <w:spacing w:after="200"/>
    </w:pPr>
  </w:style>
  <w:style w:type="paragraph" w:styleId="Heading1">
    <w:name w:val="heading 1"/>
    <w:basedOn w:val="Normal"/>
    <w:next w:val="Normal"/>
    <w:qFormat/>
    <w:rsid w:val="00A15082"/>
    <w:pPr>
      <w:keepNext/>
      <w:spacing w:before="240" w:after="240"/>
      <w:outlineLvl w:val="0"/>
    </w:pPr>
    <w:rPr>
      <w:rFonts w:cs="Arial"/>
      <w:b/>
      <w:bCs/>
      <w:color w:val="1178A2"/>
      <w:kern w:val="28"/>
      <w:sz w:val="40"/>
      <w:szCs w:val="32"/>
    </w:rPr>
  </w:style>
  <w:style w:type="paragraph" w:styleId="Heading2">
    <w:name w:val="heading 2"/>
    <w:basedOn w:val="Heading1"/>
    <w:next w:val="Normal"/>
    <w:qFormat/>
    <w:rsid w:val="00A15082"/>
    <w:pPr>
      <w:outlineLvl w:val="1"/>
    </w:pPr>
    <w:rPr>
      <w:bCs w:val="0"/>
      <w:iCs/>
      <w:sz w:val="32"/>
      <w:szCs w:val="28"/>
    </w:rPr>
  </w:style>
  <w:style w:type="paragraph" w:styleId="Heading3">
    <w:name w:val="heading 3"/>
    <w:basedOn w:val="Heading2"/>
    <w:next w:val="Normal"/>
    <w:qFormat/>
    <w:rsid w:val="00A15082"/>
    <w:pPr>
      <w:outlineLvl w:val="2"/>
    </w:pPr>
    <w:rPr>
      <w:bCs/>
      <w:sz w:val="28"/>
      <w:szCs w:val="26"/>
    </w:rPr>
  </w:style>
  <w:style w:type="paragraph" w:styleId="Heading4">
    <w:name w:val="heading 4"/>
    <w:basedOn w:val="Normal"/>
    <w:next w:val="Normal"/>
    <w:qFormat/>
    <w:rsid w:val="00A15082"/>
    <w:pPr>
      <w:keepNext/>
      <w:spacing w:before="240" w:after="60"/>
      <w:outlineLvl w:val="3"/>
    </w:pPr>
    <w:rPr>
      <w:b/>
      <w:bCs/>
      <w:color w:val="404040" w:themeColor="text1" w:themeTint="BF"/>
      <w:sz w:val="26"/>
      <w:szCs w:val="26"/>
    </w:rPr>
  </w:style>
  <w:style w:type="paragraph" w:styleId="Heading5">
    <w:name w:val="heading 5"/>
    <w:basedOn w:val="Normal"/>
    <w:next w:val="Normal"/>
    <w:qFormat/>
    <w:rsid w:val="00A15082"/>
    <w:pPr>
      <w:keepNext/>
      <w:spacing w:before="240" w:after="60"/>
      <w:outlineLvl w:val="4"/>
    </w:pPr>
    <w:rPr>
      <w:b/>
      <w:bCs/>
      <w:iCs/>
      <w:color w:val="404040" w:themeColor="text1" w:themeTint="BF"/>
      <w:sz w:val="24"/>
    </w:rPr>
  </w:style>
  <w:style w:type="paragraph" w:styleId="Heading6">
    <w:name w:val="heading 6"/>
    <w:basedOn w:val="Normal"/>
    <w:next w:val="Normal"/>
    <w:uiPriority w:val="98"/>
    <w:locked/>
    <w:rsid w:val="00A705AF"/>
    <w:pPr>
      <w:keepNext/>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uiPriority w:val="98"/>
    <w:locked/>
    <w:rsid w:val="00A75B58"/>
    <w:pPr>
      <w:numPr>
        <w:ilvl w:val="1"/>
      </w:numPr>
      <w:ind w:right="397"/>
    </w:pPr>
    <w:rPr>
      <w:rFonts w:ascii="Franklin Gothic Medium" w:eastAsiaTheme="majorEastAsia" w:hAnsi="Franklin Gothic Medium" w:cstheme="majorBidi"/>
      <w:iCs/>
      <w:color w:val="00A9E5"/>
      <w:spacing w:val="15"/>
      <w:sz w:val="52"/>
    </w:rPr>
  </w:style>
  <w:style w:type="character" w:customStyle="1" w:styleId="SubtitleChar">
    <w:name w:val="Subtitle Char"/>
    <w:basedOn w:val="DefaultParagraphFont"/>
    <w:link w:val="Subtitle"/>
    <w:uiPriority w:val="98"/>
    <w:rsid w:val="007B04A9"/>
    <w:rPr>
      <w:rFonts w:ascii="Franklin Gothic Medium" w:eastAsiaTheme="majorEastAsia" w:hAnsi="Franklin Gothic Medium" w:cstheme="majorBidi"/>
      <w:iCs/>
      <w:color w:val="00A9E5"/>
      <w:spacing w:val="15"/>
      <w:sz w:val="52"/>
    </w:rPr>
  </w:style>
  <w:style w:type="paragraph" w:styleId="Title">
    <w:name w:val="Title"/>
    <w:basedOn w:val="Normal"/>
    <w:next w:val="Normal"/>
    <w:link w:val="TitleChar"/>
    <w:qFormat/>
    <w:rsid w:val="000B0274"/>
    <w:pPr>
      <w:spacing w:after="300"/>
      <w:contextualSpacing/>
    </w:pPr>
    <w:rPr>
      <w:rFonts w:ascii="Arial Bold" w:eastAsiaTheme="majorEastAsia" w:hAnsi="Arial Bold" w:cstheme="majorBidi"/>
      <w:b/>
      <w:color w:val="0A4A63"/>
      <w:kern w:val="28"/>
      <w:sz w:val="56"/>
      <w:szCs w:val="56"/>
    </w:rPr>
  </w:style>
  <w:style w:type="character" w:customStyle="1" w:styleId="TitleChar">
    <w:name w:val="Title Char"/>
    <w:basedOn w:val="DefaultParagraphFont"/>
    <w:link w:val="Title"/>
    <w:rsid w:val="000B0274"/>
    <w:rPr>
      <w:rFonts w:ascii="Arial Bold" w:eastAsiaTheme="majorEastAsia" w:hAnsi="Arial Bold" w:cstheme="majorBidi"/>
      <w:b/>
      <w:color w:val="0A4A63"/>
      <w:kern w:val="28"/>
      <w:sz w:val="56"/>
      <w:szCs w:val="56"/>
      <w:lang w:eastAsia="en-US"/>
    </w:rPr>
  </w:style>
  <w:style w:type="paragraph" w:customStyle="1" w:styleId="Bulletlist">
    <w:name w:val="Bullet list"/>
    <w:qFormat/>
    <w:rsid w:val="00544A4E"/>
    <w:pPr>
      <w:numPr>
        <w:numId w:val="14"/>
      </w:numPr>
      <w:spacing w:after="200"/>
      <w:ind w:left="568" w:hanging="284"/>
      <w:contextualSpacing/>
    </w:pPr>
    <w:rPr>
      <w:rFonts w:ascii="Arial" w:hAnsi="Arial"/>
      <w:color w:val="000000" w:themeColor="text1"/>
      <w:szCs w:val="24"/>
      <w:lang w:eastAsia="en-US"/>
    </w:rPr>
  </w:style>
  <w:style w:type="paragraph" w:customStyle="1" w:styleId="Chaptertitle">
    <w:name w:val="Chapter title"/>
    <w:basedOn w:val="Title"/>
    <w:qFormat/>
    <w:rsid w:val="003873C6"/>
    <w:pPr>
      <w:spacing w:before="240" w:after="240"/>
      <w:contextualSpacing w:val="0"/>
    </w:pPr>
    <w:rPr>
      <w:color w:val="125370" w:themeColor="accent3"/>
      <w:sz w:val="48"/>
      <w:szCs w:val="48"/>
    </w:rPr>
  </w:style>
  <w:style w:type="paragraph" w:styleId="TOC1">
    <w:name w:val="toc 1"/>
    <w:basedOn w:val="Normal"/>
    <w:next w:val="Normal"/>
    <w:autoRedefine/>
    <w:uiPriority w:val="39"/>
    <w:qFormat/>
    <w:rsid w:val="005C1496"/>
    <w:pPr>
      <w:spacing w:before="120" w:after="120"/>
    </w:pPr>
    <w:rPr>
      <w:rFonts w:cstheme="minorHAnsi"/>
      <w:b/>
      <w:bCs/>
      <w:color w:val="1178A2" w:themeColor="text2"/>
      <w:sz w:val="24"/>
      <w:szCs w:val="20"/>
    </w:rPr>
  </w:style>
  <w:style w:type="paragraph" w:styleId="Quote">
    <w:name w:val="Quote"/>
    <w:basedOn w:val="Normal"/>
    <w:next w:val="Normal"/>
    <w:link w:val="QuoteChar"/>
    <w:qFormat/>
    <w:rsid w:val="000D017D"/>
    <w:pPr>
      <w:spacing w:before="240" w:after="240"/>
      <w:ind w:left="397"/>
    </w:pPr>
    <w:rPr>
      <w:iCs/>
      <w:sz w:val="20"/>
    </w:rPr>
  </w:style>
  <w:style w:type="character" w:customStyle="1" w:styleId="QuoteChar">
    <w:name w:val="Quote Char"/>
    <w:basedOn w:val="DefaultParagraphFont"/>
    <w:link w:val="Quote"/>
    <w:rsid w:val="007B04A9"/>
    <w:rPr>
      <w:iCs/>
      <w:sz w:val="20"/>
    </w:rPr>
  </w:style>
  <w:style w:type="paragraph" w:styleId="TOC2">
    <w:name w:val="toc 2"/>
    <w:basedOn w:val="Normal"/>
    <w:next w:val="Normal"/>
    <w:autoRedefine/>
    <w:uiPriority w:val="39"/>
    <w:qFormat/>
    <w:rsid w:val="009A263C"/>
    <w:pPr>
      <w:tabs>
        <w:tab w:val="right" w:pos="9016"/>
      </w:tabs>
      <w:spacing w:before="120" w:after="120"/>
      <w:ind w:left="221"/>
    </w:pPr>
    <w:rPr>
      <w:rFonts w:cstheme="minorHAnsi"/>
      <w:szCs w:val="20"/>
    </w:rPr>
  </w:style>
  <w:style w:type="paragraph" w:styleId="TOC3">
    <w:name w:val="toc 3"/>
    <w:basedOn w:val="Normal"/>
    <w:next w:val="Normal"/>
    <w:autoRedefine/>
    <w:uiPriority w:val="39"/>
    <w:qFormat/>
    <w:rsid w:val="002E6A48"/>
    <w:pPr>
      <w:tabs>
        <w:tab w:val="left" w:pos="8902"/>
      </w:tabs>
      <w:spacing w:after="0"/>
      <w:ind w:left="442"/>
    </w:pPr>
    <w:rPr>
      <w:rFonts w:cstheme="minorHAnsi"/>
      <w:iCs/>
      <w:noProof/>
      <w:szCs w:val="20"/>
    </w:rPr>
  </w:style>
  <w:style w:type="paragraph" w:customStyle="1" w:styleId="FigureTitle">
    <w:name w:val="Figure Title"/>
    <w:basedOn w:val="Normal"/>
    <w:qFormat/>
    <w:rsid w:val="005C1496"/>
    <w:pPr>
      <w:contextualSpacing/>
    </w:pPr>
    <w:rPr>
      <w:b/>
    </w:rPr>
  </w:style>
  <w:style w:type="paragraph" w:styleId="FootnoteText">
    <w:name w:val="footnote text"/>
    <w:basedOn w:val="Normal"/>
    <w:link w:val="FootnoteTextChar"/>
    <w:rsid w:val="00C436EE"/>
    <w:pPr>
      <w:spacing w:after="0"/>
    </w:pPr>
    <w:rPr>
      <w:sz w:val="20"/>
      <w:szCs w:val="20"/>
    </w:rPr>
  </w:style>
  <w:style w:type="character" w:customStyle="1" w:styleId="FootnoteTextChar">
    <w:name w:val="Footnote Text Char"/>
    <w:basedOn w:val="DefaultParagraphFont"/>
    <w:link w:val="FootnoteText"/>
    <w:rsid w:val="00C436EE"/>
    <w:rPr>
      <w:rFonts w:ascii="Arial" w:hAnsi="Arial"/>
      <w:color w:val="000000" w:themeColor="text1"/>
      <w:lang w:eastAsia="en-US"/>
    </w:rPr>
  </w:style>
  <w:style w:type="paragraph" w:styleId="BalloonText">
    <w:name w:val="Balloon Text"/>
    <w:basedOn w:val="Normal"/>
    <w:link w:val="BalloonTextChar"/>
    <w:locked/>
    <w:rsid w:val="00A4199A"/>
    <w:pPr>
      <w:spacing w:after="0"/>
    </w:pPr>
    <w:rPr>
      <w:rFonts w:ascii="Tahoma" w:hAnsi="Tahoma" w:cs="Tahoma"/>
      <w:sz w:val="16"/>
      <w:szCs w:val="16"/>
    </w:rPr>
  </w:style>
  <w:style w:type="character" w:styleId="FootnoteReference">
    <w:name w:val="footnote reference"/>
    <w:basedOn w:val="DefaultParagraphFont"/>
    <w:rsid w:val="00E13C5C"/>
    <w:rPr>
      <w:rFonts w:ascii="Arial" w:hAnsi="Arial"/>
      <w:vertAlign w:val="superscript"/>
    </w:rPr>
  </w:style>
  <w:style w:type="table" w:styleId="TableGrid">
    <w:name w:val="Table Grid"/>
    <w:aliases w:val="Commission"/>
    <w:basedOn w:val="TableNormal"/>
    <w:locked/>
    <w:rsid w:val="00BC07E4"/>
    <w:pPr>
      <w:spacing w:after="0"/>
    </w:pPr>
    <w:rPr>
      <w:rFonts w:ascii="Arial" w:hAnsi="Arial"/>
      <w:color w:val="000000" w:themeColor="text1"/>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wordWrap/>
        <w:jc w:val="center"/>
        <w:outlineLvl w:val="9"/>
      </w:pPr>
      <w:rPr>
        <w:rFonts w:ascii="Arial Bold" w:hAnsi="Arial Bold"/>
        <w:b/>
        <w:color w:val="000000" w:themeColor="text1"/>
        <w:sz w:val="18"/>
      </w:rPr>
      <w:tblPr/>
      <w:tcPr>
        <w:shd w:val="clear" w:color="auto" w:fill="86D3F2" w:themeFill="text2" w:themeFillTint="66"/>
      </w:tcPr>
    </w:tblStylePr>
  </w:style>
  <w:style w:type="character" w:customStyle="1" w:styleId="Underline">
    <w:name w:val="Underline"/>
    <w:basedOn w:val="DefaultParagraphFont"/>
    <w:qFormat/>
    <w:rsid w:val="00E13C5C"/>
    <w:rPr>
      <w:u w:val="single"/>
    </w:rPr>
  </w:style>
  <w:style w:type="character" w:customStyle="1" w:styleId="BalloonTextChar">
    <w:name w:val="Balloon Text Char"/>
    <w:basedOn w:val="DefaultParagraphFont"/>
    <w:link w:val="BalloonText"/>
    <w:rsid w:val="00A4199A"/>
    <w:rPr>
      <w:rFonts w:ascii="Tahoma" w:hAnsi="Tahoma" w:cs="Tahoma"/>
      <w:sz w:val="16"/>
      <w:szCs w:val="16"/>
    </w:rPr>
  </w:style>
  <w:style w:type="paragraph" w:styleId="Header">
    <w:name w:val="header"/>
    <w:basedOn w:val="Normal"/>
    <w:link w:val="HeaderChar"/>
    <w:uiPriority w:val="98"/>
    <w:locked/>
    <w:rsid w:val="009B053D"/>
    <w:pPr>
      <w:tabs>
        <w:tab w:val="center" w:pos="4513"/>
        <w:tab w:val="right" w:pos="9026"/>
      </w:tabs>
      <w:spacing w:after="0"/>
    </w:pPr>
  </w:style>
  <w:style w:type="character" w:styleId="PlaceholderText">
    <w:name w:val="Placeholder Text"/>
    <w:basedOn w:val="DefaultParagraphFont"/>
    <w:uiPriority w:val="98"/>
    <w:semiHidden/>
    <w:locked/>
    <w:rsid w:val="00C51BE7"/>
    <w:rPr>
      <w:color w:val="808080"/>
    </w:rPr>
  </w:style>
  <w:style w:type="character" w:customStyle="1" w:styleId="HeaderChar">
    <w:name w:val="Header Char"/>
    <w:basedOn w:val="DefaultParagraphFont"/>
    <w:link w:val="Header"/>
    <w:uiPriority w:val="98"/>
    <w:rsid w:val="007B04A9"/>
  </w:style>
  <w:style w:type="character" w:styleId="Hyperlink">
    <w:name w:val="Hyperlink"/>
    <w:basedOn w:val="DefaultParagraphFont"/>
    <w:uiPriority w:val="99"/>
    <w:rsid w:val="00B47076"/>
    <w:rPr>
      <w:color w:val="0000FF" w:themeColor="hyperlink"/>
      <w:u w:val="single"/>
    </w:rPr>
  </w:style>
  <w:style w:type="paragraph" w:styleId="Footer">
    <w:name w:val="footer"/>
    <w:basedOn w:val="Normal"/>
    <w:link w:val="FooterChar"/>
    <w:uiPriority w:val="99"/>
    <w:rsid w:val="007635C1"/>
    <w:pPr>
      <w:tabs>
        <w:tab w:val="center" w:pos="4513"/>
        <w:tab w:val="right" w:pos="9026"/>
      </w:tabs>
      <w:spacing w:after="0"/>
    </w:pPr>
    <w:rPr>
      <w:color w:val="404040" w:themeColor="text1" w:themeTint="BF"/>
      <w:sz w:val="20"/>
    </w:rPr>
  </w:style>
  <w:style w:type="character" w:customStyle="1" w:styleId="FooterChar">
    <w:name w:val="Footer Char"/>
    <w:basedOn w:val="DefaultParagraphFont"/>
    <w:link w:val="Footer"/>
    <w:uiPriority w:val="99"/>
    <w:rsid w:val="007B04A9"/>
    <w:rPr>
      <w:color w:val="404040" w:themeColor="text1" w:themeTint="BF"/>
      <w:sz w:val="20"/>
    </w:rPr>
  </w:style>
  <w:style w:type="character" w:styleId="FollowedHyperlink">
    <w:name w:val="FollowedHyperlink"/>
    <w:basedOn w:val="DefaultParagraphFont"/>
    <w:rsid w:val="00F95769"/>
    <w:rPr>
      <w:color w:val="800080" w:themeColor="followedHyperlink"/>
      <w:u w:val="single"/>
    </w:rPr>
  </w:style>
  <w:style w:type="paragraph" w:styleId="TOCHeading">
    <w:name w:val="TOC Heading"/>
    <w:basedOn w:val="Heading1"/>
    <w:next w:val="Normal"/>
    <w:uiPriority w:val="39"/>
    <w:unhideWhenUsed/>
    <w:qFormat/>
    <w:rsid w:val="00255596"/>
    <w:pPr>
      <w:keepLines/>
      <w:spacing w:before="480" w:after="0" w:line="276" w:lineRule="auto"/>
      <w:outlineLvl w:val="9"/>
    </w:pPr>
    <w:rPr>
      <w:rFonts w:asciiTheme="majorHAnsi" w:eastAsiaTheme="majorEastAsia" w:hAnsiTheme="majorHAnsi" w:cstheme="majorBidi"/>
      <w:color w:val="0C5979" w:themeColor="accent1" w:themeShade="BF"/>
      <w:kern w:val="0"/>
      <w:szCs w:val="28"/>
      <w:lang w:val="en-US" w:eastAsia="ja-JP"/>
    </w:rPr>
  </w:style>
  <w:style w:type="paragraph" w:customStyle="1" w:styleId="Captions">
    <w:name w:val="Captions"/>
    <w:basedOn w:val="Normal"/>
    <w:link w:val="CaptionsChar"/>
    <w:qFormat/>
    <w:rsid w:val="00A15082"/>
    <w:pPr>
      <w:spacing w:before="120" w:after="120"/>
    </w:pPr>
    <w:rPr>
      <w:sz w:val="20"/>
      <w:szCs w:val="20"/>
    </w:rPr>
  </w:style>
  <w:style w:type="character" w:customStyle="1" w:styleId="CaptionsChar">
    <w:name w:val="Captions Char"/>
    <w:basedOn w:val="DefaultParagraphFont"/>
    <w:link w:val="Captions"/>
    <w:rsid w:val="00A15082"/>
    <w:rPr>
      <w:rFonts w:ascii="Arial" w:hAnsi="Arial"/>
      <w:color w:val="000000" w:themeColor="text1"/>
      <w:lang w:eastAsia="en-US"/>
    </w:rPr>
  </w:style>
  <w:style w:type="numbering" w:customStyle="1" w:styleId="Listbullets">
    <w:name w:val="List bullets"/>
    <w:uiPriority w:val="99"/>
    <w:rsid w:val="000D017D"/>
    <w:pPr>
      <w:numPr>
        <w:numId w:val="4"/>
      </w:numPr>
    </w:pPr>
  </w:style>
  <w:style w:type="paragraph" w:customStyle="1" w:styleId="Numberedlists">
    <w:name w:val="Numbered lists"/>
    <w:basedOn w:val="Normal"/>
    <w:link w:val="NumberedlistsChar"/>
    <w:qFormat/>
    <w:rsid w:val="00A4199A"/>
    <w:pPr>
      <w:numPr>
        <w:numId w:val="12"/>
      </w:numPr>
      <w:spacing w:before="120"/>
      <w:contextualSpacing/>
    </w:pPr>
  </w:style>
  <w:style w:type="character" w:customStyle="1" w:styleId="NumberedlistsChar">
    <w:name w:val="Numbered lists Char"/>
    <w:basedOn w:val="DefaultParagraphFont"/>
    <w:link w:val="Numberedlists"/>
    <w:rsid w:val="00A4199A"/>
  </w:style>
  <w:style w:type="paragraph" w:customStyle="1" w:styleId="Subheading">
    <w:name w:val="Subheading"/>
    <w:basedOn w:val="Normal"/>
    <w:next w:val="Normal"/>
    <w:qFormat/>
    <w:rsid w:val="000B0274"/>
    <w:pPr>
      <w:spacing w:before="240"/>
    </w:pPr>
    <w:rPr>
      <w:b/>
      <w:color w:val="00A9E5"/>
      <w:sz w:val="36"/>
      <w:szCs w:val="36"/>
    </w:rPr>
  </w:style>
  <w:style w:type="numbering" w:customStyle="1" w:styleId="Bullet">
    <w:name w:val="Bullet"/>
    <w:uiPriority w:val="99"/>
    <w:locked/>
    <w:rsid w:val="000D017D"/>
    <w:pPr>
      <w:numPr>
        <w:numId w:val="7"/>
      </w:numPr>
    </w:pPr>
  </w:style>
  <w:style w:type="numbering" w:customStyle="1" w:styleId="Bullets">
    <w:name w:val="Bullets"/>
    <w:uiPriority w:val="99"/>
    <w:locked/>
    <w:rsid w:val="000D017D"/>
    <w:pPr>
      <w:numPr>
        <w:numId w:val="8"/>
      </w:numPr>
    </w:pPr>
  </w:style>
  <w:style w:type="numbering" w:customStyle="1" w:styleId="BulletsLevel1">
    <w:name w:val="Bullets Level 1"/>
    <w:uiPriority w:val="99"/>
    <w:locked/>
    <w:rsid w:val="000D017D"/>
    <w:pPr>
      <w:numPr>
        <w:numId w:val="9"/>
      </w:numPr>
    </w:pPr>
  </w:style>
  <w:style w:type="paragraph" w:customStyle="1" w:styleId="PublicationDate">
    <w:name w:val="Publication Date"/>
    <w:basedOn w:val="Normal"/>
    <w:link w:val="PublicationDateChar"/>
    <w:qFormat/>
    <w:rsid w:val="00447D31"/>
    <w:pPr>
      <w:spacing w:before="240" w:after="240"/>
    </w:pPr>
    <w:rPr>
      <w:color w:val="0A4A63"/>
      <w:sz w:val="32"/>
      <w:szCs w:val="40"/>
    </w:rPr>
  </w:style>
  <w:style w:type="character" w:customStyle="1" w:styleId="PublicationDateChar">
    <w:name w:val="Publication Date Char"/>
    <w:basedOn w:val="DefaultParagraphFont"/>
    <w:link w:val="PublicationDate"/>
    <w:rsid w:val="00447D31"/>
    <w:rPr>
      <w:rFonts w:ascii="Arial" w:hAnsi="Arial"/>
      <w:color w:val="0A4A63"/>
      <w:sz w:val="32"/>
      <w:szCs w:val="40"/>
      <w:lang w:eastAsia="en-US"/>
    </w:rPr>
  </w:style>
  <w:style w:type="paragraph" w:customStyle="1" w:styleId="Redtext">
    <w:name w:val="Red text"/>
    <w:basedOn w:val="Normal"/>
    <w:qFormat/>
    <w:rsid w:val="00BC07E4"/>
    <w:pPr>
      <w:spacing w:after="80"/>
    </w:pPr>
    <w:rPr>
      <w:color w:val="FF0000"/>
    </w:rPr>
  </w:style>
  <w:style w:type="paragraph" w:customStyle="1" w:styleId="Normal-beforebullets">
    <w:name w:val="Normal - before bullets"/>
    <w:basedOn w:val="Normal"/>
    <w:qFormat/>
    <w:rsid w:val="00020DBD"/>
    <w:pPr>
      <w:spacing w:after="0"/>
    </w:pPr>
  </w:style>
  <w:style w:type="paragraph" w:styleId="TOC4">
    <w:name w:val="toc 4"/>
    <w:basedOn w:val="Normal"/>
    <w:next w:val="Normal"/>
    <w:autoRedefine/>
    <w:uiPriority w:val="39"/>
    <w:locked/>
    <w:rsid w:val="002E6A48"/>
    <w:pPr>
      <w:tabs>
        <w:tab w:val="right" w:pos="9016"/>
      </w:tabs>
      <w:spacing w:before="120" w:after="0"/>
      <w:ind w:left="658"/>
    </w:pPr>
  </w:style>
  <w:style w:type="table" w:customStyle="1" w:styleId="MDBAsimpletable">
    <w:name w:val="MDBA simple table"/>
    <w:basedOn w:val="TableNormal"/>
    <w:uiPriority w:val="99"/>
    <w:rsid w:val="00B904EC"/>
    <w:pPr>
      <w:spacing w:after="0"/>
    </w:pPr>
    <w:rPr>
      <w:rFonts w:ascii="Arial" w:eastAsia="Calibri" w:hAnsi="Arial"/>
      <w:lang w:eastAsia="en-US"/>
    </w:rPr>
    <w:tblPr>
      <w:tblStyleRowBandSize w:val="1"/>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Pr>
    <w:tcPr>
      <w:shd w:val="clear" w:color="auto" w:fill="auto"/>
    </w:tcPr>
    <w:tblStylePr w:type="firstRow">
      <w:pPr>
        <w:wordWrap/>
        <w:spacing w:beforeLines="0" w:before="240" w:beforeAutospacing="0"/>
      </w:pPr>
      <w:rPr>
        <w:rFonts w:ascii="Arial" w:hAnsi="Arial"/>
        <w:b/>
        <w:color w:val="auto"/>
        <w:sz w:val="22"/>
      </w:rPr>
      <w:tblPr/>
      <w:tcPr>
        <w:shd w:val="clear" w:color="auto" w:fill="95B3D7"/>
      </w:tcPr>
    </w:tblStylePr>
    <w:tblStylePr w:type="lastRow">
      <w:tblPr/>
      <w:tcPr>
        <w:shd w:val="clear" w:color="auto" w:fill="BFBFBF"/>
      </w:tcPr>
    </w:tblStylePr>
    <w:tblStylePr w:type="band1Horz">
      <w:tblPr/>
      <w:tcPr>
        <w:shd w:val="clear" w:color="auto" w:fill="ECECEC"/>
      </w:tcPr>
    </w:tblStylePr>
  </w:style>
  <w:style w:type="table" w:customStyle="1" w:styleId="Commission1">
    <w:name w:val="Commission1"/>
    <w:basedOn w:val="TableNormal"/>
    <w:uiPriority w:val="99"/>
    <w:rsid w:val="00865932"/>
    <w:pPr>
      <w:spacing w:after="0"/>
    </w:pPr>
    <w:rPr>
      <w:rFonts w:ascii="Arial Narrow" w:hAnsi="Arial Narrow"/>
      <w:szCs w:val="20"/>
    </w:rPr>
    <w:tblP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rPr>
        <w:rFonts w:ascii="Arial Narrow" w:hAnsi="Arial Narrow"/>
        <w:b/>
        <w:color w:val="FFFFFF"/>
        <w:sz w:val="22"/>
      </w:rPr>
      <w:tblPr/>
      <w:tcPr>
        <w:shd w:val="clear" w:color="auto" w:fill="365F91"/>
      </w:tcPr>
    </w:tblStylePr>
  </w:style>
  <w:style w:type="table" w:customStyle="1" w:styleId="Commission2">
    <w:name w:val="Commission2"/>
    <w:basedOn w:val="TableNormal"/>
    <w:uiPriority w:val="99"/>
    <w:rsid w:val="00865932"/>
    <w:pPr>
      <w:spacing w:after="0"/>
    </w:pPr>
    <w:rPr>
      <w:rFonts w:ascii="Arial Narrow" w:hAnsi="Arial Narrow"/>
      <w:szCs w:val="20"/>
    </w:rPr>
    <w:tblP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rPr>
        <w:rFonts w:ascii="Arial Narrow" w:hAnsi="Arial Narrow"/>
        <w:b/>
        <w:color w:val="FFFFFF"/>
        <w:sz w:val="22"/>
      </w:rPr>
      <w:tblPr/>
      <w:tcPr>
        <w:shd w:val="clear" w:color="auto" w:fill="365F91"/>
      </w:tcPr>
    </w:tblStylePr>
  </w:style>
  <w:style w:type="paragraph" w:customStyle="1" w:styleId="FigureName">
    <w:name w:val="FigureName"/>
    <w:basedOn w:val="Normal"/>
    <w:next w:val="Normal"/>
    <w:rsid w:val="0003162D"/>
    <w:pPr>
      <w:keepNext/>
      <w:keepLines/>
      <w:tabs>
        <w:tab w:val="left" w:pos="1080"/>
      </w:tabs>
      <w:spacing w:before="120" w:after="120"/>
      <w:ind w:left="1077" w:hanging="1077"/>
    </w:pPr>
    <w:rPr>
      <w:rFonts w:ascii="Arial" w:hAnsi="Arial"/>
      <w:b/>
      <w:bCs/>
      <w:color w:val="1178A2" w:themeColor="accent1"/>
      <w:szCs w:val="20"/>
    </w:rPr>
  </w:style>
  <w:style w:type="paragraph" w:customStyle="1" w:styleId="TFAbbrevsSpace">
    <w:name w:val="TFAbbrevs+Space"/>
    <w:basedOn w:val="Normal"/>
    <w:next w:val="Normal"/>
    <w:rsid w:val="0003162D"/>
    <w:pPr>
      <w:keepNext/>
      <w:keepLines/>
      <w:spacing w:after="360"/>
    </w:pPr>
    <w:rPr>
      <w:rFonts w:ascii="Arial" w:hAnsi="Arial"/>
      <w:color w:val="000000"/>
      <w:sz w:val="18"/>
      <w:szCs w:val="18"/>
    </w:rPr>
  </w:style>
  <w:style w:type="paragraph" w:customStyle="1" w:styleId="BoxHeading">
    <w:name w:val="BoxHeading"/>
    <w:basedOn w:val="Normal"/>
    <w:rsid w:val="000B79D3"/>
    <w:pPr>
      <w:keepNext/>
      <w:pBdr>
        <w:top w:val="single" w:sz="4" w:space="4" w:color="0C5979" w:themeColor="accent1" w:themeShade="BF"/>
        <w:left w:val="single" w:sz="4" w:space="4" w:color="0C5979" w:themeColor="accent1" w:themeShade="BF"/>
        <w:bottom w:val="single" w:sz="4" w:space="4" w:color="0C5979" w:themeColor="accent1" w:themeShade="BF"/>
        <w:right w:val="single" w:sz="4" w:space="4" w:color="0C5979" w:themeColor="accent1" w:themeShade="BF"/>
      </w:pBdr>
      <w:spacing w:before="120" w:after="60"/>
    </w:pPr>
    <w:rPr>
      <w:rFonts w:ascii="Arial" w:hAnsi="Arial"/>
      <w:b/>
      <w:bCs/>
      <w:color w:val="1178A2" w:themeColor="accent1"/>
      <w:szCs w:val="20"/>
    </w:rPr>
  </w:style>
  <w:style w:type="paragraph" w:customStyle="1" w:styleId="BoxBullet">
    <w:name w:val="BoxBullet"/>
    <w:basedOn w:val="Normal"/>
    <w:link w:val="BoxBulletChar"/>
    <w:rsid w:val="000B79D3"/>
    <w:pPr>
      <w:numPr>
        <w:numId w:val="25"/>
      </w:numPr>
      <w:pBdr>
        <w:top w:val="single" w:sz="4" w:space="4" w:color="0C5979" w:themeColor="accent1" w:themeShade="BF"/>
        <w:left w:val="single" w:sz="4" w:space="4" w:color="0C5979" w:themeColor="accent1" w:themeShade="BF"/>
        <w:bottom w:val="single" w:sz="4" w:space="4" w:color="0C5979" w:themeColor="accent1" w:themeShade="BF"/>
        <w:right w:val="single" w:sz="4" w:space="4" w:color="0C5979" w:themeColor="accent1" w:themeShade="BF"/>
      </w:pBdr>
      <w:spacing w:after="120"/>
    </w:pPr>
    <w:rPr>
      <w:rFonts w:ascii="Arial" w:hAnsi="Arial"/>
      <w:color w:val="000000"/>
      <w:szCs w:val="20"/>
    </w:rPr>
  </w:style>
  <w:style w:type="character" w:customStyle="1" w:styleId="BoxBulletChar">
    <w:name w:val="BoxBullet Char"/>
    <w:link w:val="BoxBullet"/>
    <w:rsid w:val="000B79D3"/>
    <w:rPr>
      <w:rFonts w:ascii="Arial" w:hAnsi="Arial"/>
      <w:color w:val="000000"/>
      <w:szCs w:val="20"/>
    </w:rPr>
  </w:style>
  <w:style w:type="paragraph" w:customStyle="1" w:styleId="Dash">
    <w:name w:val="Dash"/>
    <w:basedOn w:val="Normal"/>
    <w:rsid w:val="002E195D"/>
    <w:pPr>
      <w:numPr>
        <w:numId w:val="26"/>
      </w:numPr>
      <w:tabs>
        <w:tab w:val="clear" w:pos="216"/>
        <w:tab w:val="left" w:pos="720"/>
      </w:tabs>
      <w:spacing w:after="0"/>
      <w:ind w:left="754" w:hanging="357"/>
    </w:pPr>
    <w:rPr>
      <w:rFonts w:ascii="Arial" w:hAnsi="Arial"/>
      <w:color w:val="000000"/>
      <w:szCs w:val="20"/>
    </w:rPr>
  </w:style>
  <w:style w:type="paragraph" w:customStyle="1" w:styleId="BoxText">
    <w:name w:val="BoxText"/>
    <w:basedOn w:val="Normal"/>
    <w:qFormat/>
    <w:rsid w:val="002E195D"/>
    <w:pPr>
      <w:pBdr>
        <w:top w:val="single" w:sz="4" w:space="4" w:color="0C5979" w:themeColor="accent1" w:themeShade="BF"/>
        <w:left w:val="single" w:sz="4" w:space="4" w:color="0C5979" w:themeColor="accent1" w:themeShade="BF"/>
        <w:bottom w:val="single" w:sz="4" w:space="4" w:color="0C5979" w:themeColor="accent1" w:themeShade="BF"/>
        <w:right w:val="single" w:sz="4" w:space="4" w:color="0C5979" w:themeColor="accent1" w:themeShade="BF"/>
      </w:pBdr>
      <w:spacing w:after="120"/>
    </w:pPr>
    <w:rPr>
      <w:rFonts w:ascii="Arial" w:hAnsi="Arial"/>
      <w:color w:val="000000"/>
      <w:szCs w:val="20"/>
    </w:rPr>
  </w:style>
  <w:style w:type="paragraph" w:customStyle="1" w:styleId="BoxNotes">
    <w:name w:val="BoxNotes"/>
    <w:basedOn w:val="BoxText"/>
    <w:rsid w:val="002E195D"/>
    <w:pPr>
      <w:spacing w:before="120" w:after="60"/>
    </w:pPr>
    <w:rPr>
      <w:sz w:val="18"/>
    </w:rPr>
  </w:style>
  <w:style w:type="paragraph" w:customStyle="1" w:styleId="BoxName">
    <w:name w:val="BoxName"/>
    <w:basedOn w:val="BoxText"/>
    <w:next w:val="BoxText"/>
    <w:rsid w:val="002E195D"/>
    <w:pPr>
      <w:keepNext/>
      <w:spacing w:before="180"/>
      <w:ind w:left="1077" w:hanging="1077"/>
    </w:pPr>
    <w:rPr>
      <w:b/>
      <w:bCs/>
      <w:color w:val="0C5979" w:themeColor="accent1" w:themeShade="BF"/>
      <w:sz w:val="24"/>
    </w:rPr>
  </w:style>
  <w:style w:type="paragraph" w:customStyle="1" w:styleId="BoxDash">
    <w:name w:val="BoxDash"/>
    <w:basedOn w:val="BoxText"/>
    <w:rsid w:val="002E195D"/>
    <w:pPr>
      <w:tabs>
        <w:tab w:val="left" w:pos="357"/>
      </w:tabs>
      <w:ind w:left="720" w:hanging="720"/>
    </w:pPr>
  </w:style>
  <w:style w:type="paragraph" w:customStyle="1" w:styleId="BulletLast">
    <w:name w:val="BulletLast"/>
    <w:qFormat/>
    <w:rsid w:val="00A04882"/>
    <w:pPr>
      <w:spacing w:after="240"/>
    </w:pPr>
    <w:rPr>
      <w:rFonts w:ascii="Arial" w:hAnsi="Arial"/>
      <w:color w:val="000000"/>
    </w:rPr>
  </w:style>
  <w:style w:type="paragraph" w:customStyle="1" w:styleId="NormalBeforeBullet">
    <w:name w:val="NormalBeforeBullet"/>
    <w:basedOn w:val="Normal"/>
    <w:qFormat/>
    <w:rsid w:val="00A04882"/>
    <w:pPr>
      <w:keepNext/>
      <w:spacing w:after="120"/>
    </w:pPr>
    <w:rPr>
      <w:rFonts w:ascii="Arial" w:hAnsi="Arial"/>
      <w:color w:val="000000"/>
      <w:szCs w:val="20"/>
    </w:rPr>
  </w:style>
  <w:style w:type="paragraph" w:customStyle="1" w:styleId="BulletBeforeDash">
    <w:name w:val="BulletBeforeDash"/>
    <w:basedOn w:val="Normal"/>
    <w:rsid w:val="00133873"/>
    <w:pPr>
      <w:spacing w:after="0"/>
    </w:pPr>
    <w:rPr>
      <w:rFonts w:ascii="Arial" w:hAnsi="Arial"/>
      <w:color w:val="000000"/>
      <w:szCs w:val="20"/>
    </w:rPr>
  </w:style>
  <w:style w:type="paragraph" w:styleId="ListParagraph">
    <w:name w:val="List Paragraph"/>
    <w:basedOn w:val="Normal"/>
    <w:uiPriority w:val="34"/>
    <w:qFormat/>
    <w:locked/>
    <w:rsid w:val="00352E26"/>
    <w:pPr>
      <w:ind w:left="720"/>
      <w:contextualSpacing/>
    </w:pPr>
  </w:style>
  <w:style w:type="paragraph" w:customStyle="1" w:styleId="DashLast">
    <w:name w:val="DashLast"/>
    <w:basedOn w:val="Dash"/>
    <w:rsid w:val="00F6076C"/>
    <w:pPr>
      <w:numPr>
        <w:numId w:val="4"/>
      </w:numPr>
      <w:spacing w:after="120"/>
    </w:pPr>
  </w:style>
  <w:style w:type="paragraph" w:styleId="Caption">
    <w:name w:val="caption"/>
    <w:basedOn w:val="Normal"/>
    <w:next w:val="Normal"/>
    <w:uiPriority w:val="98"/>
    <w:semiHidden/>
    <w:unhideWhenUsed/>
    <w:qFormat/>
    <w:locked/>
    <w:rsid w:val="001D39E1"/>
    <w:rPr>
      <w:b/>
      <w:bCs/>
      <w:color w:val="1178A2" w:themeColor="accent1"/>
      <w:sz w:val="18"/>
      <w:szCs w:val="18"/>
    </w:rPr>
  </w:style>
  <w:style w:type="character" w:styleId="CommentReference">
    <w:name w:val="annotation reference"/>
    <w:basedOn w:val="DefaultParagraphFont"/>
    <w:uiPriority w:val="98"/>
    <w:locked/>
    <w:rsid w:val="00E74BFC"/>
    <w:rPr>
      <w:sz w:val="16"/>
      <w:szCs w:val="16"/>
    </w:rPr>
  </w:style>
  <w:style w:type="paragraph" w:styleId="CommentText">
    <w:name w:val="annotation text"/>
    <w:basedOn w:val="Normal"/>
    <w:link w:val="CommentTextChar"/>
    <w:uiPriority w:val="98"/>
    <w:locked/>
    <w:rsid w:val="00E74BFC"/>
    <w:rPr>
      <w:sz w:val="20"/>
      <w:szCs w:val="20"/>
    </w:rPr>
  </w:style>
  <w:style w:type="character" w:customStyle="1" w:styleId="CommentTextChar">
    <w:name w:val="Comment Text Char"/>
    <w:basedOn w:val="DefaultParagraphFont"/>
    <w:link w:val="CommentText"/>
    <w:uiPriority w:val="98"/>
    <w:rsid w:val="00546B4C"/>
    <w:rPr>
      <w:sz w:val="20"/>
      <w:szCs w:val="20"/>
    </w:rPr>
  </w:style>
  <w:style w:type="paragraph" w:styleId="CommentSubject">
    <w:name w:val="annotation subject"/>
    <w:basedOn w:val="CommentText"/>
    <w:next w:val="CommentText"/>
    <w:link w:val="CommentSubjectChar"/>
    <w:uiPriority w:val="98"/>
    <w:locked/>
    <w:rsid w:val="00E74BFC"/>
    <w:rPr>
      <w:b/>
      <w:bCs/>
    </w:rPr>
  </w:style>
  <w:style w:type="character" w:customStyle="1" w:styleId="CommentSubjectChar">
    <w:name w:val="Comment Subject Char"/>
    <w:basedOn w:val="CommentTextChar"/>
    <w:link w:val="CommentSubject"/>
    <w:uiPriority w:val="98"/>
    <w:rsid w:val="00546B4C"/>
    <w:rPr>
      <w:b/>
      <w:bCs/>
      <w:sz w:val="20"/>
      <w:szCs w:val="20"/>
    </w:rPr>
  </w:style>
  <w:style w:type="paragraph" w:styleId="DocumentMap">
    <w:name w:val="Document Map"/>
    <w:basedOn w:val="Normal"/>
    <w:link w:val="DocumentMapChar"/>
    <w:uiPriority w:val="98"/>
    <w:unhideWhenUsed/>
    <w:locked/>
    <w:rsid w:val="00E74BFC"/>
    <w:pPr>
      <w:spacing w:after="0"/>
    </w:pPr>
    <w:rPr>
      <w:rFonts w:ascii="Times New Roman" w:hAnsi="Times New Roman"/>
      <w:sz w:val="24"/>
      <w:szCs w:val="24"/>
    </w:rPr>
  </w:style>
  <w:style w:type="character" w:customStyle="1" w:styleId="DocumentMapChar">
    <w:name w:val="Document Map Char"/>
    <w:basedOn w:val="DefaultParagraphFont"/>
    <w:link w:val="DocumentMap"/>
    <w:uiPriority w:val="98"/>
    <w:rsid w:val="00E74BFC"/>
    <w:rPr>
      <w:rFonts w:ascii="Times New Roman" w:hAnsi="Times New Roman"/>
      <w:sz w:val="24"/>
      <w:szCs w:val="24"/>
    </w:rPr>
  </w:style>
  <w:style w:type="paragraph" w:styleId="Revision">
    <w:name w:val="Revision"/>
    <w:hidden/>
    <w:uiPriority w:val="99"/>
    <w:semiHidden/>
    <w:rsid w:val="00543061"/>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48325">
      <w:bodyDiv w:val="1"/>
      <w:marLeft w:val="0"/>
      <w:marRight w:val="0"/>
      <w:marTop w:val="0"/>
      <w:marBottom w:val="0"/>
      <w:divBdr>
        <w:top w:val="none" w:sz="0" w:space="0" w:color="auto"/>
        <w:left w:val="none" w:sz="0" w:space="0" w:color="auto"/>
        <w:bottom w:val="none" w:sz="0" w:space="0" w:color="auto"/>
        <w:right w:val="none" w:sz="0" w:space="0" w:color="auto"/>
      </w:divBdr>
      <w:divsChild>
        <w:div w:id="794181293">
          <w:marLeft w:val="0"/>
          <w:marRight w:val="0"/>
          <w:marTop w:val="0"/>
          <w:marBottom w:val="0"/>
          <w:divBdr>
            <w:top w:val="none" w:sz="0" w:space="0" w:color="auto"/>
            <w:left w:val="none" w:sz="0" w:space="0" w:color="auto"/>
            <w:bottom w:val="none" w:sz="0" w:space="0" w:color="auto"/>
            <w:right w:val="none" w:sz="0" w:space="0" w:color="auto"/>
          </w:divBdr>
        </w:div>
      </w:divsChild>
    </w:div>
    <w:div w:id="1350136222">
      <w:bodyDiv w:val="1"/>
      <w:marLeft w:val="0"/>
      <w:marRight w:val="0"/>
      <w:marTop w:val="0"/>
      <w:marBottom w:val="0"/>
      <w:divBdr>
        <w:top w:val="none" w:sz="0" w:space="0" w:color="auto"/>
        <w:left w:val="none" w:sz="0" w:space="0" w:color="auto"/>
        <w:bottom w:val="none" w:sz="0" w:space="0" w:color="auto"/>
        <w:right w:val="none" w:sz="0" w:space="0" w:color="auto"/>
      </w:divBdr>
    </w:div>
    <w:div w:id="1673139811">
      <w:bodyDiv w:val="1"/>
      <w:marLeft w:val="0"/>
      <w:marRight w:val="0"/>
      <w:marTop w:val="0"/>
      <w:marBottom w:val="0"/>
      <w:divBdr>
        <w:top w:val="none" w:sz="0" w:space="0" w:color="auto"/>
        <w:left w:val="none" w:sz="0" w:space="0" w:color="auto"/>
        <w:bottom w:val="none" w:sz="0" w:space="0" w:color="auto"/>
        <w:right w:val="none" w:sz="0" w:space="0" w:color="auto"/>
      </w:divBdr>
      <w:divsChild>
        <w:div w:id="857963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creativecommons.org/licenses/by-nc-nd/4.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eHealth&amp;MedSafetyAdmin@safetyandquality.gov.au"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hart" Target="charts/chart2.xml"/><Relationship Id="rId10" Type="http://schemas.openxmlformats.org/officeDocument/2006/relationships/header" Target="header1.xml"/><Relationship Id="rId19" Type="http://schemas.openxmlformats.org/officeDocument/2006/relationships/hyperlink" Target="mailto:communications@safetyandquality.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komoda\AppData\Roaming\Hewlett-Packard\HP%20TRIM\Offline%20Records%20(CP)\Handy%20Stuff%20TEMPLATE%20with%20COVER%20for%20Commission%20publications.dotx"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entral.health\dfsuserenv\Users\User_19\downhe\Desktop\Copy%20of%20D17-26446%20%20draft%20overview%20clean.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Users\downhe\AppData\Roaming\Hewlett-Packard\HP%20TRIM\TEMP\HPTRIM.1492\D17-26446%20%20draft%20overview%20clea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41935363186473468"/>
          <c:y val="1.5325667856058017E-2"/>
          <c:w val="0.36104717623863902"/>
          <c:h val="0.82254703980156962"/>
        </c:manualLayout>
      </c:layout>
      <c:barChart>
        <c:barDir val="bar"/>
        <c:grouping val="clustered"/>
        <c:varyColors val="0"/>
        <c:ser>
          <c:idx val="0"/>
          <c:order val="0"/>
          <c:tx>
            <c:strRef>
              <c:f>Sheet2!$B$12</c:f>
              <c:strCache>
                <c:ptCount val="1"/>
                <c:pt idx="0">
                  <c:v>Post-audit</c:v>
                </c:pt>
              </c:strCache>
            </c:strRef>
          </c:tx>
          <c:spPr>
            <a:solidFill>
              <a:srgbClr val="FF0000"/>
            </a:solidFill>
            <a:ln>
              <a:solidFill>
                <a:srgbClr val="FF0000"/>
              </a:solidFill>
            </a:ln>
          </c:spPr>
          <c:invertIfNegative val="0"/>
          <c:cat>
            <c:strRef>
              <c:f>Sheet2!$A$13:$A$20</c:f>
              <c:strCache>
                <c:ptCount val="8"/>
                <c:pt idx="0">
                  <c:v>BGLs in the hypoglycaemic range of &lt;4 mmol/L</c:v>
                </c:pt>
                <c:pt idx="1">
                  <c:v>BGLs in the recommended range of 4-12 mmol/L</c:v>
                </c:pt>
                <c:pt idx="2">
                  <c:v>BGLs in the hyperglycaemic range 12-20 mmol/L</c:v>
                </c:pt>
                <c:pt idx="3">
                  <c:v>BGLs greater than 20 mmol/L</c:v>
                </c:pt>
                <c:pt idx="4">
                  <c:v>BGLs recorded correctly</c:v>
                </c:pt>
                <c:pt idx="5">
                  <c:v>Documentation of Medical Officer notification for hypoglycaemia (% BGLs)</c:v>
                </c:pt>
                <c:pt idx="6">
                  <c:v>Hypoglycaemia treatment documented (% BGLs &lt; 4)</c:v>
                </c:pt>
                <c:pt idx="7">
                  <c:v>BGLs recorded on the same form as insulin is prescribed (% patients</c:v>
                </c:pt>
              </c:strCache>
            </c:strRef>
          </c:cat>
          <c:val>
            <c:numRef>
              <c:f>Sheet2!$B$13:$B$20</c:f>
              <c:numCache>
                <c:formatCode>General</c:formatCode>
                <c:ptCount val="8"/>
                <c:pt idx="0">
                  <c:v>4.0999999999999996</c:v>
                </c:pt>
                <c:pt idx="1">
                  <c:v>75.8</c:v>
                </c:pt>
                <c:pt idx="2">
                  <c:v>18.100000000000001</c:v>
                </c:pt>
                <c:pt idx="3">
                  <c:v>2.1</c:v>
                </c:pt>
                <c:pt idx="4">
                  <c:v>96.7</c:v>
                </c:pt>
                <c:pt idx="5">
                  <c:v>70.599999999999994</c:v>
                </c:pt>
                <c:pt idx="6">
                  <c:v>88.2</c:v>
                </c:pt>
                <c:pt idx="7">
                  <c:v>100</c:v>
                </c:pt>
              </c:numCache>
            </c:numRef>
          </c:val>
        </c:ser>
        <c:ser>
          <c:idx val="1"/>
          <c:order val="1"/>
          <c:tx>
            <c:strRef>
              <c:f>Sheet2!$C$12</c:f>
              <c:strCache>
                <c:ptCount val="1"/>
                <c:pt idx="0">
                  <c:v>Pre-audit</c:v>
                </c:pt>
              </c:strCache>
            </c:strRef>
          </c:tx>
          <c:spPr>
            <a:solidFill>
              <a:schemeClr val="accent1"/>
            </a:solidFill>
          </c:spPr>
          <c:invertIfNegative val="0"/>
          <c:cat>
            <c:strRef>
              <c:f>Sheet2!$A$13:$A$20</c:f>
              <c:strCache>
                <c:ptCount val="8"/>
                <c:pt idx="0">
                  <c:v>BGLs in the hypoglycaemic range of &lt;4 mmol/L</c:v>
                </c:pt>
                <c:pt idx="1">
                  <c:v>BGLs in the recommended range of 4-12 mmol/L</c:v>
                </c:pt>
                <c:pt idx="2">
                  <c:v>BGLs in the hyperglycaemic range 12-20 mmol/L</c:v>
                </c:pt>
                <c:pt idx="3">
                  <c:v>BGLs greater than 20 mmol/L</c:v>
                </c:pt>
                <c:pt idx="4">
                  <c:v>BGLs recorded correctly</c:v>
                </c:pt>
                <c:pt idx="5">
                  <c:v>Documentation of Medical Officer notification for hypoglycaemia (% BGLs)</c:v>
                </c:pt>
                <c:pt idx="6">
                  <c:v>Hypoglycaemia treatment documented (% BGLs &lt; 4)</c:v>
                </c:pt>
                <c:pt idx="7">
                  <c:v>BGLs recorded on the same form as insulin is prescribed (% patients</c:v>
                </c:pt>
              </c:strCache>
            </c:strRef>
          </c:cat>
          <c:val>
            <c:numRef>
              <c:f>Sheet2!$C$13:$C$20</c:f>
              <c:numCache>
                <c:formatCode>General</c:formatCode>
                <c:ptCount val="8"/>
                <c:pt idx="0">
                  <c:v>3.5</c:v>
                </c:pt>
                <c:pt idx="1">
                  <c:v>70.599999999999994</c:v>
                </c:pt>
                <c:pt idx="2">
                  <c:v>24.7</c:v>
                </c:pt>
                <c:pt idx="3">
                  <c:v>1.2</c:v>
                </c:pt>
                <c:pt idx="4">
                  <c:v>92.5</c:v>
                </c:pt>
                <c:pt idx="5">
                  <c:v>24.3</c:v>
                </c:pt>
                <c:pt idx="6">
                  <c:v>75.7</c:v>
                </c:pt>
                <c:pt idx="7">
                  <c:v>0</c:v>
                </c:pt>
              </c:numCache>
            </c:numRef>
          </c:val>
        </c:ser>
        <c:dLbls>
          <c:showLegendKey val="0"/>
          <c:showVal val="0"/>
          <c:showCatName val="0"/>
          <c:showSerName val="0"/>
          <c:showPercent val="0"/>
          <c:showBubbleSize val="0"/>
        </c:dLbls>
        <c:gapWidth val="150"/>
        <c:axId val="501101312"/>
        <c:axId val="502809728"/>
      </c:barChart>
      <c:catAx>
        <c:axId val="501101312"/>
        <c:scaling>
          <c:orientation val="minMax"/>
        </c:scaling>
        <c:delete val="0"/>
        <c:axPos val="l"/>
        <c:majorTickMark val="out"/>
        <c:minorTickMark val="none"/>
        <c:tickLblPos val="nextTo"/>
        <c:crossAx val="502809728"/>
        <c:crosses val="autoZero"/>
        <c:auto val="1"/>
        <c:lblAlgn val="ctr"/>
        <c:lblOffset val="100"/>
        <c:noMultiLvlLbl val="0"/>
      </c:catAx>
      <c:valAx>
        <c:axId val="502809728"/>
        <c:scaling>
          <c:orientation val="minMax"/>
        </c:scaling>
        <c:delete val="0"/>
        <c:axPos val="b"/>
        <c:majorGridlines/>
        <c:numFmt formatCode="General" sourceLinked="1"/>
        <c:majorTickMark val="out"/>
        <c:minorTickMark val="none"/>
        <c:tickLblPos val="nextTo"/>
        <c:crossAx val="501101312"/>
        <c:crosses val="autoZero"/>
        <c:crossBetween val="between"/>
      </c:valAx>
      <c:spPr>
        <a:solidFill>
          <a:sysClr val="window" lastClr="FFFFFF"/>
        </a:solidFill>
      </c:spPr>
    </c:plotArea>
    <c:legend>
      <c:legendPos val="r"/>
      <c:layout>
        <c:manualLayout>
          <c:xMode val="edge"/>
          <c:yMode val="edge"/>
          <c:x val="0.32722347502712229"/>
          <c:y val="0.888471718884843"/>
          <c:w val="0.3880273093465792"/>
          <c:h val="0.10277080948193316"/>
        </c:manualLayout>
      </c:layout>
      <c:overlay val="0"/>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Sheet2!$A$53</c:f>
              <c:strCache>
                <c:ptCount val="1"/>
                <c:pt idx="0">
                  <c:v>Pre-audit</c:v>
                </c:pt>
              </c:strCache>
            </c:strRef>
          </c:tx>
          <c:spPr>
            <a:solidFill>
              <a:srgbClr val="0070C0"/>
            </a:solidFill>
          </c:spPr>
          <c:invertIfNegative val="0"/>
          <c:cat>
            <c:strRef>
              <c:f>Sheet2!$B$52:$D$52</c:f>
              <c:strCache>
                <c:ptCount val="3"/>
                <c:pt idx="0">
                  <c:v>Hospital 1</c:v>
                </c:pt>
                <c:pt idx="1">
                  <c:v>Hospital 2</c:v>
                </c:pt>
                <c:pt idx="2">
                  <c:v>Hospital 3</c:v>
                </c:pt>
              </c:strCache>
            </c:strRef>
          </c:cat>
          <c:val>
            <c:numRef>
              <c:f>Sheet2!$B$53:$D$53</c:f>
              <c:numCache>
                <c:formatCode>0.0</c:formatCode>
                <c:ptCount val="3"/>
                <c:pt idx="0">
                  <c:v>50.641025641025642</c:v>
                </c:pt>
                <c:pt idx="1">
                  <c:v>75.409836065573771</c:v>
                </c:pt>
                <c:pt idx="2">
                  <c:v>71.232876712328704</c:v>
                </c:pt>
              </c:numCache>
            </c:numRef>
          </c:val>
        </c:ser>
        <c:ser>
          <c:idx val="1"/>
          <c:order val="1"/>
          <c:tx>
            <c:strRef>
              <c:f>Sheet2!$A$54</c:f>
              <c:strCache>
                <c:ptCount val="1"/>
                <c:pt idx="0">
                  <c:v>Post-audit</c:v>
                </c:pt>
              </c:strCache>
            </c:strRef>
          </c:tx>
          <c:spPr>
            <a:solidFill>
              <a:srgbClr val="FF0000"/>
            </a:solidFill>
          </c:spPr>
          <c:invertIfNegative val="0"/>
          <c:cat>
            <c:strRef>
              <c:f>Sheet2!$B$52:$D$52</c:f>
              <c:strCache>
                <c:ptCount val="3"/>
                <c:pt idx="0">
                  <c:v>Hospital 1</c:v>
                </c:pt>
                <c:pt idx="1">
                  <c:v>Hospital 2</c:v>
                </c:pt>
                <c:pt idx="2">
                  <c:v>Hospital 3</c:v>
                </c:pt>
              </c:strCache>
            </c:strRef>
          </c:cat>
          <c:val>
            <c:numRef>
              <c:f>Sheet2!$B$54:$D$54</c:f>
              <c:numCache>
                <c:formatCode>0.0</c:formatCode>
                <c:ptCount val="3"/>
                <c:pt idx="0">
                  <c:v>67.661691542288551</c:v>
                </c:pt>
                <c:pt idx="1">
                  <c:v>75.26315789473685</c:v>
                </c:pt>
                <c:pt idx="2">
                  <c:v>83.064516129032285</c:v>
                </c:pt>
              </c:numCache>
            </c:numRef>
          </c:val>
        </c:ser>
        <c:dLbls>
          <c:showLegendKey val="0"/>
          <c:showVal val="0"/>
          <c:showCatName val="0"/>
          <c:showSerName val="0"/>
          <c:showPercent val="0"/>
          <c:showBubbleSize val="0"/>
        </c:dLbls>
        <c:gapWidth val="150"/>
        <c:axId val="508338176"/>
        <c:axId val="508339712"/>
      </c:barChart>
      <c:catAx>
        <c:axId val="508338176"/>
        <c:scaling>
          <c:orientation val="minMax"/>
        </c:scaling>
        <c:delete val="0"/>
        <c:axPos val="b"/>
        <c:numFmt formatCode="General" sourceLinked="0"/>
        <c:majorTickMark val="out"/>
        <c:minorTickMark val="none"/>
        <c:tickLblPos val="nextTo"/>
        <c:crossAx val="508339712"/>
        <c:crosses val="autoZero"/>
        <c:auto val="1"/>
        <c:lblAlgn val="ctr"/>
        <c:lblOffset val="100"/>
        <c:noMultiLvlLbl val="0"/>
      </c:catAx>
      <c:valAx>
        <c:axId val="508339712"/>
        <c:scaling>
          <c:orientation val="minMax"/>
        </c:scaling>
        <c:delete val="0"/>
        <c:axPos val="l"/>
        <c:majorGridlines/>
        <c:title>
          <c:tx>
            <c:rich>
              <a:bodyPr rot="0" vert="horz"/>
              <a:lstStyle/>
              <a:p>
                <a:pPr>
                  <a:defRPr/>
                </a:pPr>
                <a:r>
                  <a:rPr lang="en-US"/>
                  <a:t>Number BGLs in the range 4-12 mmol/L (%BGLs)</a:t>
                </a:r>
              </a:p>
            </c:rich>
          </c:tx>
          <c:overlay val="0"/>
        </c:title>
        <c:numFmt formatCode="0.0" sourceLinked="1"/>
        <c:majorTickMark val="out"/>
        <c:minorTickMark val="none"/>
        <c:tickLblPos val="nextTo"/>
        <c:crossAx val="508338176"/>
        <c:crosses val="autoZero"/>
        <c:crossBetween val="between"/>
      </c:valAx>
    </c:plotArea>
    <c:legend>
      <c:legendPos val="r"/>
      <c:overlay val="0"/>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0.71696</cdr:x>
      <cdr:y>0.04434</cdr:y>
    </cdr:from>
    <cdr:to>
      <cdr:x>0.754</cdr:x>
      <cdr:y>0.09774</cdr:y>
    </cdr:to>
    <cdr:sp macro="" textlink="">
      <cdr:nvSpPr>
        <cdr:cNvPr id="2" name="TextBox 1"/>
        <cdr:cNvSpPr txBox="1"/>
      </cdr:nvSpPr>
      <cdr:spPr>
        <a:xfrm xmlns:a="http://schemas.openxmlformats.org/drawingml/2006/main" flipH="1">
          <a:off x="4005263" y="257176"/>
          <a:ext cx="206909" cy="30981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100"/>
            <a:t>*</a:t>
          </a:r>
        </a:p>
      </cdr:txBody>
    </cdr:sp>
  </cdr:relSizeAnchor>
  <cdr:relSizeAnchor xmlns:cdr="http://schemas.openxmlformats.org/drawingml/2006/chartDrawing">
    <cdr:from>
      <cdr:x>0.63411</cdr:x>
      <cdr:y>0.25352</cdr:y>
    </cdr:from>
    <cdr:to>
      <cdr:x>0.6762</cdr:x>
      <cdr:y>0.29369</cdr:y>
    </cdr:to>
    <cdr:sp macro="" textlink="">
      <cdr:nvSpPr>
        <cdr:cNvPr id="3" name="TextBox 2"/>
        <cdr:cNvSpPr txBox="1"/>
      </cdr:nvSpPr>
      <cdr:spPr>
        <a:xfrm xmlns:a="http://schemas.openxmlformats.org/drawingml/2006/main">
          <a:off x="3542392" y="1470577"/>
          <a:ext cx="235126" cy="23301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100"/>
            <a:t>*</a:t>
          </a:r>
        </a:p>
      </cdr:txBody>
    </cdr:sp>
  </cdr:relSizeAnchor>
  <cdr:relSizeAnchor xmlns:cdr="http://schemas.openxmlformats.org/drawingml/2006/chartDrawing">
    <cdr:from>
      <cdr:x>0.70694</cdr:x>
      <cdr:y>0.35218</cdr:y>
    </cdr:from>
    <cdr:to>
      <cdr:x>0.73811</cdr:x>
      <cdr:y>0.40081</cdr:y>
    </cdr:to>
    <cdr:sp macro="" textlink="">
      <cdr:nvSpPr>
        <cdr:cNvPr id="4" name="TextBox 3"/>
        <cdr:cNvSpPr txBox="1"/>
      </cdr:nvSpPr>
      <cdr:spPr>
        <a:xfrm xmlns:a="http://schemas.openxmlformats.org/drawingml/2006/main">
          <a:off x="3949235" y="2042922"/>
          <a:ext cx="174167" cy="28206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100"/>
            <a:t>*</a:t>
          </a:r>
        </a:p>
      </cdr:txBody>
    </cdr:sp>
  </cdr:relSizeAnchor>
  <cdr:relSizeAnchor xmlns:cdr="http://schemas.openxmlformats.org/drawingml/2006/chartDrawing">
    <cdr:from>
      <cdr:x>0.49001</cdr:x>
      <cdr:y>0.55307</cdr:y>
    </cdr:from>
    <cdr:to>
      <cdr:x>0.5399</cdr:x>
      <cdr:y>0.6017</cdr:y>
    </cdr:to>
    <cdr:sp macro="" textlink="">
      <cdr:nvSpPr>
        <cdr:cNvPr id="5" name="TextBox 4"/>
        <cdr:cNvSpPr txBox="1"/>
      </cdr:nvSpPr>
      <cdr:spPr>
        <a:xfrm xmlns:a="http://schemas.openxmlformats.org/drawingml/2006/main">
          <a:off x="2737414" y="3208214"/>
          <a:ext cx="278668" cy="28206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100"/>
            <a:t>*</a:t>
          </a:r>
        </a:p>
      </cdr:txBody>
    </cdr:sp>
  </cdr:relSizeAnchor>
  <cdr:relSizeAnchor xmlns:cdr="http://schemas.openxmlformats.org/drawingml/2006/chartDrawing">
    <cdr:from>
      <cdr:x>0.62826</cdr:x>
      <cdr:y>0.65291</cdr:y>
    </cdr:from>
    <cdr:to>
      <cdr:x>0.67659</cdr:x>
      <cdr:y>0.70999</cdr:y>
    </cdr:to>
    <cdr:sp macro="" textlink="">
      <cdr:nvSpPr>
        <cdr:cNvPr id="6" name="TextBox 5"/>
        <cdr:cNvSpPr txBox="1"/>
      </cdr:nvSpPr>
      <cdr:spPr>
        <a:xfrm xmlns:a="http://schemas.openxmlformats.org/drawingml/2006/main">
          <a:off x="3509734" y="3787346"/>
          <a:ext cx="269959" cy="33112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100"/>
            <a:t>*</a:t>
          </a:r>
        </a:p>
      </cdr:txBody>
    </cdr:sp>
  </cdr:relSizeAnchor>
  <cdr:relSizeAnchor xmlns:cdr="http://schemas.openxmlformats.org/drawingml/2006/chartDrawing">
    <cdr:from>
      <cdr:x>0.34996</cdr:x>
      <cdr:y>0.0462</cdr:y>
    </cdr:from>
    <cdr:to>
      <cdr:x>0.38806</cdr:x>
      <cdr:y>0.08154</cdr:y>
    </cdr:to>
    <cdr:sp macro="" textlink="">
      <cdr:nvSpPr>
        <cdr:cNvPr id="7" name="Text Box 6"/>
        <cdr:cNvSpPr txBox="1"/>
      </cdr:nvSpPr>
      <cdr:spPr>
        <a:xfrm xmlns:a="http://schemas.openxmlformats.org/drawingml/2006/main">
          <a:off x="1954924" y="268015"/>
          <a:ext cx="212835" cy="20495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0.33726</cdr:x>
      <cdr:y>0.04213</cdr:y>
    </cdr:from>
    <cdr:to>
      <cdr:x>0.37819</cdr:x>
      <cdr:y>0.08561</cdr:y>
    </cdr:to>
    <cdr:sp macro="" textlink="">
      <cdr:nvSpPr>
        <cdr:cNvPr id="8" name="Text Box 7"/>
        <cdr:cNvSpPr txBox="1"/>
      </cdr:nvSpPr>
      <cdr:spPr>
        <a:xfrm xmlns:a="http://schemas.openxmlformats.org/drawingml/2006/main">
          <a:off x="1883979" y="244366"/>
          <a:ext cx="228600" cy="25224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100"/>
            <a:t>)</a:t>
          </a:r>
        </a:p>
      </cdr:txBody>
    </cdr:sp>
  </cdr:relSizeAnchor>
</c:userShapes>
</file>

<file path=word/drawings/drawing2.xml><?xml version="1.0" encoding="utf-8"?>
<c:userShapes xmlns:c="http://schemas.openxmlformats.org/drawingml/2006/chart">
  <cdr:relSizeAnchor xmlns:cdr="http://schemas.openxmlformats.org/drawingml/2006/chartDrawing">
    <cdr:from>
      <cdr:x>0.31849</cdr:x>
      <cdr:y>0.16304</cdr:y>
    </cdr:from>
    <cdr:to>
      <cdr:x>0.3613</cdr:x>
      <cdr:y>0.24457</cdr:y>
    </cdr:to>
    <cdr:sp macro="" textlink="">
      <cdr:nvSpPr>
        <cdr:cNvPr id="3" name="TextBox 2"/>
        <cdr:cNvSpPr txBox="1"/>
      </cdr:nvSpPr>
      <cdr:spPr>
        <a:xfrm xmlns:a="http://schemas.openxmlformats.org/drawingml/2006/main">
          <a:off x="1771650" y="571500"/>
          <a:ext cx="238125"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100"/>
            <a:t>*</a:t>
          </a:r>
        </a:p>
      </cdr:txBody>
    </cdr:sp>
  </cdr:relSizeAnchor>
  <cdr:relSizeAnchor xmlns:cdr="http://schemas.openxmlformats.org/drawingml/2006/chartDrawing">
    <cdr:from>
      <cdr:x>0.7089</cdr:x>
      <cdr:y>0.04076</cdr:y>
    </cdr:from>
    <cdr:to>
      <cdr:x>0.74829</cdr:x>
      <cdr:y>0.10054</cdr:y>
    </cdr:to>
    <cdr:sp macro="" textlink="">
      <cdr:nvSpPr>
        <cdr:cNvPr id="4" name="TextBox 3"/>
        <cdr:cNvSpPr txBox="1"/>
      </cdr:nvSpPr>
      <cdr:spPr>
        <a:xfrm xmlns:a="http://schemas.openxmlformats.org/drawingml/2006/main">
          <a:off x="3943350" y="142875"/>
          <a:ext cx="219075" cy="2095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100"/>
            <a:t>*</a:t>
          </a:r>
        </a:p>
      </cdr:txBody>
    </cdr:sp>
  </cdr:relSizeAnchor>
</c:userShapes>
</file>

<file path=word/theme/theme1.xml><?xml version="1.0" encoding="utf-8"?>
<a:theme xmlns:a="http://schemas.openxmlformats.org/drawingml/2006/main" name="Office Theme">
  <a:themeElements>
    <a:clrScheme name="Commission">
      <a:dk1>
        <a:sysClr val="windowText" lastClr="000000"/>
      </a:dk1>
      <a:lt1>
        <a:sysClr val="window" lastClr="FFFFFF"/>
      </a:lt1>
      <a:dk2>
        <a:srgbClr val="1178A2"/>
      </a:dk2>
      <a:lt2>
        <a:srgbClr val="EEECE1"/>
      </a:lt2>
      <a:accent1>
        <a:srgbClr val="1178A2"/>
      </a:accent1>
      <a:accent2>
        <a:srgbClr val="00A9DD"/>
      </a:accent2>
      <a:accent3>
        <a:srgbClr val="125370"/>
      </a:accent3>
      <a:accent4>
        <a:srgbClr val="119066"/>
      </a:accent4>
      <a:accent5>
        <a:srgbClr val="DC5827"/>
      </a:accent5>
      <a:accent6>
        <a:srgbClr val="8F278B"/>
      </a:accent6>
      <a:hlink>
        <a:srgbClr val="0000FF"/>
      </a:hlink>
      <a:folHlink>
        <a:srgbClr val="800080"/>
      </a:folHlink>
    </a:clrScheme>
    <a:fontScheme name="Commissi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7CBBE-D6EE-433A-AE39-F55C2B5C7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Handy Stuff TEMPLATE with COVER for Commission publications.dotx</Template>
  <TotalTime>0</TotalTime>
  <Pages>13</Pages>
  <Words>2675</Words>
  <Characters>16173</Characters>
  <Application>Microsoft Office Word</Application>
  <DocSecurity>0</DocSecurity>
  <Lines>317</Lines>
  <Paragraphs>159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18689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Komoder Andrew</dc:creator>
  <cp:lastModifiedBy>ROSSI, Vanessa</cp:lastModifiedBy>
  <cp:revision>3</cp:revision>
  <cp:lastPrinted>2017-10-03T01:53:00Z</cp:lastPrinted>
  <dcterms:created xsi:type="dcterms:W3CDTF">2018-01-12T03:51:00Z</dcterms:created>
  <dcterms:modified xsi:type="dcterms:W3CDTF">2018-01-12T03:51:00Z</dcterms:modified>
</cp:coreProperties>
</file>