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F0E" w:rsidRPr="00737BFB" w:rsidRDefault="001E1F0E" w:rsidP="006C336B">
      <w:pPr>
        <w:autoSpaceDE w:val="0"/>
        <w:autoSpaceDN w:val="0"/>
        <w:adjustRightInd w:val="0"/>
        <w:rPr>
          <w:rFonts w:ascii="Tms Rmn" w:hAnsi="Tms Rmn" w:cs="Tms Rmn"/>
          <w:color w:val="000000"/>
          <w:lang w:val="en-AU"/>
        </w:rPr>
      </w:pPr>
      <w:bookmarkStart w:id="0" w:name="_GoBack"/>
      <w:bookmarkEnd w:id="0"/>
    </w:p>
    <w:p w:rsidR="00B160EF" w:rsidRPr="00737BFB" w:rsidRDefault="00FE76B0" w:rsidP="006C336B">
      <w:pPr>
        <w:autoSpaceDE w:val="0"/>
        <w:autoSpaceDN w:val="0"/>
        <w:adjustRightInd w:val="0"/>
        <w:rPr>
          <w:rFonts w:ascii="Tms Rmn" w:hAnsi="Tms Rmn" w:cs="Tms Rmn"/>
          <w:color w:val="000000"/>
          <w:lang w:val="en-AU"/>
        </w:rPr>
      </w:pPr>
      <w:r w:rsidRPr="00737BFB">
        <w:rPr>
          <w:noProof/>
          <w:lang w:val="en-AU" w:eastAsia="en-AU"/>
        </w:rPr>
        <w:drawing>
          <wp:anchor distT="0" distB="0" distL="114300" distR="114300" simplePos="0" relativeHeight="251658240" behindDoc="0" locked="0" layoutInCell="1" allowOverlap="1" wp14:anchorId="45C93426" wp14:editId="52E25D83">
            <wp:simplePos x="0" y="0"/>
            <wp:positionH relativeFrom="page">
              <wp:posOffset>672465</wp:posOffset>
            </wp:positionH>
            <wp:positionV relativeFrom="page">
              <wp:posOffset>557530</wp:posOffset>
            </wp:positionV>
            <wp:extent cx="3705225" cy="523875"/>
            <wp:effectExtent l="0" t="0" r="9525"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523875"/>
                    </a:xfrm>
                    <a:prstGeom prst="rect">
                      <a:avLst/>
                    </a:prstGeom>
                    <a:noFill/>
                  </pic:spPr>
                </pic:pic>
              </a:graphicData>
            </a:graphic>
            <wp14:sizeRelH relativeFrom="page">
              <wp14:pctWidth>0</wp14:pctWidth>
            </wp14:sizeRelH>
            <wp14:sizeRelV relativeFrom="page">
              <wp14:pctHeight>0</wp14:pctHeight>
            </wp14:sizeRelV>
          </wp:anchor>
        </w:drawing>
      </w:r>
      <w:r w:rsidRPr="00737BFB">
        <w:rPr>
          <w:noProof/>
          <w:lang w:val="en-AU" w:eastAsia="en-AU"/>
        </w:rPr>
        <w:drawing>
          <wp:anchor distT="0" distB="0" distL="114300" distR="114300" simplePos="0" relativeHeight="251657216" behindDoc="0" locked="0" layoutInCell="1" allowOverlap="1" wp14:anchorId="512A3DE9" wp14:editId="5C95ECE2">
            <wp:simplePos x="0" y="0"/>
            <wp:positionH relativeFrom="page">
              <wp:posOffset>5981700</wp:posOffset>
            </wp:positionH>
            <wp:positionV relativeFrom="page">
              <wp:posOffset>226695</wp:posOffset>
            </wp:positionV>
            <wp:extent cx="1219200" cy="1219200"/>
            <wp:effectExtent l="0" t="0" r="0" b="0"/>
            <wp:wrapSquare wrapText="bothSides"/>
            <wp:docPr id="12" name="Picture 12" descr="icones_0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ones_013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page">
              <wp14:pctWidth>0</wp14:pctWidth>
            </wp14:sizeRelH>
            <wp14:sizeRelV relativeFrom="page">
              <wp14:pctHeight>0</wp14:pctHeight>
            </wp14:sizeRelV>
          </wp:anchor>
        </w:drawing>
      </w:r>
    </w:p>
    <w:p w:rsidR="00B160EF" w:rsidRPr="00737BFB" w:rsidRDefault="00B160EF" w:rsidP="00B160EF">
      <w:pPr>
        <w:pStyle w:val="Heading1"/>
        <w:ind w:left="720" w:hanging="720"/>
        <w:rPr>
          <w:rFonts w:ascii="Bookman Old Style" w:hAnsi="Bookman Old Style"/>
          <w:sz w:val="48"/>
          <w:szCs w:val="48"/>
          <w:lang w:val="en-AU"/>
        </w:rPr>
      </w:pPr>
      <w:r w:rsidRPr="00737BFB">
        <w:rPr>
          <w:rFonts w:ascii="Bookman Old Style" w:hAnsi="Bookman Old Style"/>
          <w:sz w:val="48"/>
          <w:szCs w:val="48"/>
          <w:lang w:val="en-AU"/>
        </w:rPr>
        <w:t>On the Radar</w:t>
      </w:r>
    </w:p>
    <w:p w:rsidR="00B160EF" w:rsidRPr="00737BFB" w:rsidRDefault="00715F47" w:rsidP="00B160EF">
      <w:pPr>
        <w:rPr>
          <w:color w:val="000000"/>
          <w:lang w:val="en-AU"/>
        </w:rPr>
      </w:pPr>
      <w:r w:rsidRPr="00737BFB">
        <w:rPr>
          <w:color w:val="000000"/>
          <w:lang w:val="en-AU"/>
        </w:rPr>
        <w:t xml:space="preserve">Issue </w:t>
      </w:r>
      <w:r w:rsidR="00ED198B" w:rsidRPr="00737BFB">
        <w:rPr>
          <w:color w:val="000000"/>
          <w:lang w:val="en-AU"/>
        </w:rPr>
        <w:t>1</w:t>
      </w:r>
      <w:r w:rsidR="00221B5E" w:rsidRPr="00737BFB">
        <w:rPr>
          <w:color w:val="000000"/>
          <w:lang w:val="en-AU"/>
        </w:rPr>
        <w:t>69</w:t>
      </w:r>
    </w:p>
    <w:p w:rsidR="000F7901" w:rsidRPr="00737BFB" w:rsidRDefault="00221B5E" w:rsidP="00B160EF">
      <w:pPr>
        <w:rPr>
          <w:lang w:val="en-AU"/>
        </w:rPr>
      </w:pPr>
      <w:r w:rsidRPr="00737BFB">
        <w:rPr>
          <w:lang w:val="en-AU"/>
        </w:rPr>
        <w:t>7 April</w:t>
      </w:r>
      <w:r w:rsidR="000F7901" w:rsidRPr="00737BFB">
        <w:rPr>
          <w:lang w:val="en-AU"/>
        </w:rPr>
        <w:t xml:space="preserve"> 2014</w:t>
      </w:r>
    </w:p>
    <w:p w:rsidR="00566895" w:rsidRPr="00737BFB" w:rsidRDefault="00566895" w:rsidP="00B160EF">
      <w:pPr>
        <w:rPr>
          <w:lang w:val="en-AU"/>
        </w:rPr>
      </w:pPr>
    </w:p>
    <w:p w:rsidR="00B160EF" w:rsidRPr="00737BFB" w:rsidRDefault="00B160EF" w:rsidP="00B160EF">
      <w:pPr>
        <w:rPr>
          <w:lang w:val="en-AU"/>
        </w:rPr>
      </w:pPr>
      <w:r w:rsidRPr="00737BFB">
        <w:rPr>
          <w:i/>
          <w:lang w:val="en-AU"/>
        </w:rPr>
        <w:t>On the Radar</w:t>
      </w:r>
      <w:r w:rsidRPr="00737BFB">
        <w:rPr>
          <w:lang w:val="en-AU"/>
        </w:rPr>
        <w:t xml:space="preserve"> is a summary of some of the recent publications in the areas of safety and quality in health care. Inclusion in this document is not an endorsement or recommendation of any publication or provider.</w:t>
      </w:r>
    </w:p>
    <w:p w:rsidR="00B160EF" w:rsidRPr="00737BFB" w:rsidRDefault="00B160EF" w:rsidP="00B160EF">
      <w:pPr>
        <w:rPr>
          <w:lang w:val="en-AU"/>
        </w:rPr>
      </w:pPr>
    </w:p>
    <w:p w:rsidR="00B160EF" w:rsidRPr="00737BFB" w:rsidRDefault="00B160EF" w:rsidP="00B160EF">
      <w:pPr>
        <w:rPr>
          <w:b/>
          <w:lang w:val="en-AU"/>
        </w:rPr>
      </w:pPr>
      <w:r w:rsidRPr="00737BFB">
        <w:rPr>
          <w:lang w:val="en-AU"/>
        </w:rPr>
        <w:t>Access to particular documents may depend on whether they are Open Access or not, and/or your individual or institutional access to subscription sites/services.</w:t>
      </w:r>
      <w:r w:rsidR="00F460A7" w:rsidRPr="00737BFB">
        <w:rPr>
          <w:lang w:val="en-AU"/>
        </w:rPr>
        <w:t xml:space="preserve"> Material that may require subscription is included as it is considered relevant.</w:t>
      </w:r>
    </w:p>
    <w:p w:rsidR="00B160EF" w:rsidRPr="00737BFB" w:rsidRDefault="00B160EF" w:rsidP="00B160EF">
      <w:pPr>
        <w:rPr>
          <w:lang w:val="en-AU"/>
        </w:rPr>
      </w:pPr>
    </w:p>
    <w:p w:rsidR="00230D83" w:rsidRPr="00737BFB" w:rsidRDefault="00B160EF" w:rsidP="0045757F">
      <w:pPr>
        <w:autoSpaceDE w:val="0"/>
        <w:rPr>
          <w:lang w:val="en-AU"/>
        </w:rPr>
      </w:pPr>
      <w:r w:rsidRPr="00737BFB">
        <w:rPr>
          <w:i/>
          <w:lang w:val="en-AU"/>
        </w:rPr>
        <w:t>On the Radar</w:t>
      </w:r>
      <w:r w:rsidRPr="00737BFB">
        <w:rPr>
          <w:lang w:val="en-AU"/>
        </w:rPr>
        <w:t xml:space="preserve"> is available </w:t>
      </w:r>
      <w:r w:rsidR="003D1E7A" w:rsidRPr="00737BFB">
        <w:rPr>
          <w:lang w:val="en-AU"/>
        </w:rPr>
        <w:t xml:space="preserve">online, </w:t>
      </w:r>
      <w:r w:rsidRPr="00737BFB">
        <w:rPr>
          <w:lang w:val="en-AU"/>
        </w:rPr>
        <w:t xml:space="preserve">via email or as a PDF document from </w:t>
      </w:r>
      <w:hyperlink r:id="rId11" w:history="1">
        <w:r w:rsidR="00230D83" w:rsidRPr="00737BFB">
          <w:rPr>
            <w:rStyle w:val="Hyperlink"/>
            <w:lang w:val="en-AU"/>
          </w:rPr>
          <w:t>http://www.safetyandquality.gov.au/publications-resources/on-the-radar/</w:t>
        </w:r>
      </w:hyperlink>
    </w:p>
    <w:p w:rsidR="0090536C" w:rsidRPr="00737BFB" w:rsidRDefault="0090536C" w:rsidP="0045757F">
      <w:pPr>
        <w:autoSpaceDE w:val="0"/>
        <w:rPr>
          <w:lang w:val="en-AU"/>
        </w:rPr>
      </w:pPr>
    </w:p>
    <w:p w:rsidR="00B160EF" w:rsidRPr="00737BFB" w:rsidRDefault="00B160EF" w:rsidP="0045757F">
      <w:pPr>
        <w:autoSpaceDE w:val="0"/>
        <w:rPr>
          <w:lang w:val="en-AU"/>
        </w:rPr>
      </w:pPr>
      <w:r w:rsidRPr="00737BFB">
        <w:rPr>
          <w:lang w:val="en-AU"/>
        </w:rPr>
        <w:t xml:space="preserve">If you would like to receive </w:t>
      </w:r>
      <w:r w:rsidRPr="00737BFB">
        <w:rPr>
          <w:i/>
          <w:lang w:val="en-AU"/>
        </w:rPr>
        <w:t>On the Radar</w:t>
      </w:r>
      <w:r w:rsidRPr="00737BFB">
        <w:rPr>
          <w:lang w:val="en-AU"/>
        </w:rPr>
        <w:t xml:space="preserve"> via email</w:t>
      </w:r>
      <w:r w:rsidR="003D7B9E" w:rsidRPr="00737BFB">
        <w:rPr>
          <w:lang w:val="en-AU"/>
        </w:rPr>
        <w:t>, you can</w:t>
      </w:r>
      <w:r w:rsidR="00F24F60" w:rsidRPr="00737BFB">
        <w:rPr>
          <w:lang w:val="en-AU"/>
        </w:rPr>
        <w:t xml:space="preserve"> subscribe on our website </w:t>
      </w:r>
      <w:hyperlink r:id="rId12" w:history="1">
        <w:r w:rsidR="00F24F60" w:rsidRPr="00737BFB">
          <w:rPr>
            <w:rStyle w:val="Hyperlink"/>
            <w:lang w:val="en-AU"/>
          </w:rPr>
          <w:t>http://www.safetyandquality.gov.au/</w:t>
        </w:r>
      </w:hyperlink>
      <w:r w:rsidR="003D7B9E" w:rsidRPr="00737BFB">
        <w:rPr>
          <w:lang w:val="en-AU"/>
        </w:rPr>
        <w:t xml:space="preserve"> or by emailing us at </w:t>
      </w:r>
      <w:r w:rsidR="003D7B9E" w:rsidRPr="00737BFB">
        <w:rPr>
          <w:rFonts w:ascii="ZWAdobeF" w:hAnsi="ZWAdobeF" w:cs="ZWAdobeF"/>
          <w:sz w:val="2"/>
          <w:szCs w:val="2"/>
          <w:lang w:val="en-AU"/>
        </w:rPr>
        <w:t>H</w:t>
      </w:r>
      <w:hyperlink r:id="rId13" w:history="1">
        <w:r w:rsidR="003D7B9E" w:rsidRPr="00737BFB">
          <w:rPr>
            <w:rFonts w:ascii="ZWAdobeF" w:hAnsi="ZWAdobeF" w:cs="ZWAdobeF"/>
            <w:sz w:val="2"/>
            <w:szCs w:val="2"/>
            <w:lang w:val="en-AU"/>
          </w:rPr>
          <w:t>U</w:t>
        </w:r>
        <w:r w:rsidR="003D7B9E" w:rsidRPr="00737BFB">
          <w:rPr>
            <w:rStyle w:val="Hyperlink"/>
            <w:lang w:val="en-AU"/>
          </w:rPr>
          <w:t>mail@safetyandquality.gov.au</w:t>
        </w:r>
        <w:r w:rsidR="003D7B9E" w:rsidRPr="00737BFB">
          <w:rPr>
            <w:rStyle w:val="Hyperlink"/>
            <w:rFonts w:ascii="ZWAdobeF" w:hAnsi="ZWAdobeF" w:cs="ZWAdobeF"/>
            <w:color w:val="auto"/>
            <w:sz w:val="2"/>
            <w:szCs w:val="2"/>
            <w:u w:val="none"/>
            <w:lang w:val="en-AU"/>
          </w:rPr>
          <w:t>U</w:t>
        </w:r>
      </w:hyperlink>
      <w:r w:rsidR="003D7B9E" w:rsidRPr="00737BFB">
        <w:rPr>
          <w:lang w:val="en-AU"/>
        </w:rPr>
        <w:t xml:space="preserve">. </w:t>
      </w:r>
      <w:r w:rsidR="00E51D23" w:rsidRPr="00737BFB">
        <w:rPr>
          <w:lang w:val="en-AU"/>
        </w:rPr>
        <w:br/>
      </w:r>
      <w:r w:rsidR="003D7B9E" w:rsidRPr="00737BFB">
        <w:rPr>
          <w:lang w:val="en-AU"/>
        </w:rPr>
        <w:t xml:space="preserve">You can also send feedback and comments to </w:t>
      </w:r>
      <w:r w:rsidR="003D7B9E" w:rsidRPr="00737BFB">
        <w:rPr>
          <w:rFonts w:ascii="ZWAdobeF" w:hAnsi="ZWAdobeF" w:cs="ZWAdobeF"/>
          <w:sz w:val="2"/>
          <w:szCs w:val="2"/>
          <w:lang w:val="en-AU"/>
        </w:rPr>
        <w:t>H</w:t>
      </w:r>
      <w:hyperlink r:id="rId14" w:history="1">
        <w:r w:rsidR="003D7B9E" w:rsidRPr="00737BFB">
          <w:rPr>
            <w:rFonts w:ascii="ZWAdobeF" w:hAnsi="ZWAdobeF" w:cs="ZWAdobeF"/>
            <w:sz w:val="2"/>
            <w:szCs w:val="2"/>
            <w:lang w:val="en-AU"/>
          </w:rPr>
          <w:t>U</w:t>
        </w:r>
        <w:r w:rsidR="003D7B9E" w:rsidRPr="00737BFB">
          <w:rPr>
            <w:rStyle w:val="Hyperlink"/>
            <w:lang w:val="en-AU"/>
          </w:rPr>
          <w:t>mail@safetyandquality.gov.au</w:t>
        </w:r>
        <w:r w:rsidR="003D7B9E" w:rsidRPr="00737BFB">
          <w:rPr>
            <w:rStyle w:val="Hyperlink"/>
            <w:rFonts w:ascii="ZWAdobeF" w:hAnsi="ZWAdobeF" w:cs="ZWAdobeF"/>
            <w:color w:val="auto"/>
            <w:sz w:val="2"/>
            <w:szCs w:val="2"/>
            <w:u w:val="none"/>
            <w:lang w:val="en-AU"/>
          </w:rPr>
          <w:t>U</w:t>
        </w:r>
      </w:hyperlink>
      <w:r w:rsidR="003D7B9E" w:rsidRPr="00737BFB">
        <w:rPr>
          <w:lang w:val="en-AU"/>
        </w:rPr>
        <w:t>.</w:t>
      </w:r>
    </w:p>
    <w:p w:rsidR="00B160EF" w:rsidRPr="00737BFB" w:rsidRDefault="00B160EF" w:rsidP="00837FC4">
      <w:pPr>
        <w:tabs>
          <w:tab w:val="left" w:pos="7773"/>
        </w:tabs>
        <w:rPr>
          <w:lang w:val="en-AU"/>
        </w:rPr>
      </w:pPr>
    </w:p>
    <w:p w:rsidR="00837FC4" w:rsidRPr="00737BFB" w:rsidRDefault="00B160EF" w:rsidP="004554DB">
      <w:pPr>
        <w:autoSpaceDE w:val="0"/>
        <w:rPr>
          <w:lang w:val="en-AU"/>
        </w:rPr>
      </w:pPr>
      <w:bookmarkStart w:id="1" w:name="OLE_LINK1"/>
      <w:r w:rsidRPr="00737BFB">
        <w:rPr>
          <w:lang w:val="en-AU"/>
        </w:rPr>
        <w:t xml:space="preserve">For information about the Commission and its programs and publications, please visit </w:t>
      </w:r>
      <w:hyperlink r:id="rId15" w:history="1">
        <w:r w:rsidR="00837FC4" w:rsidRPr="00737BFB">
          <w:rPr>
            <w:rStyle w:val="Hyperlink"/>
            <w:lang w:val="en-AU"/>
          </w:rPr>
          <w:t>http://www.safetyandquality.gov.au</w:t>
        </w:r>
      </w:hyperlink>
    </w:p>
    <w:p w:rsidR="00210235" w:rsidRPr="00737BFB" w:rsidRDefault="004554DB" w:rsidP="004554DB">
      <w:pPr>
        <w:autoSpaceDE w:val="0"/>
        <w:rPr>
          <w:lang w:val="en-AU"/>
        </w:rPr>
      </w:pPr>
      <w:r w:rsidRPr="00737BFB">
        <w:rPr>
          <w:lang w:val="en-AU"/>
        </w:rPr>
        <w:t>You can also follow us on Twitter @ACSQHC.</w:t>
      </w:r>
    </w:p>
    <w:p w:rsidR="00DD32E9" w:rsidRPr="00737BFB" w:rsidRDefault="00DD32E9" w:rsidP="004554DB">
      <w:pPr>
        <w:autoSpaceDE w:val="0"/>
        <w:rPr>
          <w:lang w:val="en-AU"/>
        </w:rPr>
      </w:pPr>
    </w:p>
    <w:p w:rsidR="00210235" w:rsidRPr="00737BFB" w:rsidRDefault="00210235" w:rsidP="00210235">
      <w:pPr>
        <w:keepNext/>
        <w:pBdr>
          <w:top w:val="single" w:sz="4" w:space="1" w:color="auto"/>
        </w:pBdr>
        <w:rPr>
          <w:b/>
          <w:lang w:val="en-AU"/>
        </w:rPr>
      </w:pPr>
      <w:r w:rsidRPr="00737BFB">
        <w:rPr>
          <w:b/>
          <w:lang w:val="en-AU"/>
        </w:rPr>
        <w:t>On the Radar</w:t>
      </w:r>
    </w:p>
    <w:p w:rsidR="00340157" w:rsidRPr="00737BFB" w:rsidRDefault="00340157" w:rsidP="00210235">
      <w:pPr>
        <w:keepNext/>
        <w:pBdr>
          <w:top w:val="single" w:sz="4" w:space="1" w:color="auto"/>
        </w:pBdr>
        <w:rPr>
          <w:bCs/>
          <w:lang w:val="en-AU"/>
        </w:rPr>
      </w:pPr>
      <w:r w:rsidRPr="00737BFB">
        <w:rPr>
          <w:bCs/>
          <w:lang w:val="en-AU"/>
        </w:rPr>
        <w:t xml:space="preserve">Editor: </w:t>
      </w:r>
      <w:r w:rsidR="00C8085B" w:rsidRPr="00737BFB">
        <w:rPr>
          <w:bCs/>
          <w:lang w:val="en-AU"/>
        </w:rPr>
        <w:t xml:space="preserve">Dr </w:t>
      </w:r>
      <w:r w:rsidRPr="00737BFB">
        <w:rPr>
          <w:bCs/>
          <w:lang w:val="en-AU"/>
        </w:rPr>
        <w:t xml:space="preserve">Niall Johnson </w:t>
      </w:r>
      <w:hyperlink r:id="rId16" w:history="1">
        <w:r w:rsidRPr="00737BFB">
          <w:rPr>
            <w:rStyle w:val="Hyperlink"/>
            <w:bCs/>
            <w:lang w:val="en-AU"/>
          </w:rPr>
          <w:t>niall.johnson@safetyandquality.gov.au</w:t>
        </w:r>
      </w:hyperlink>
    </w:p>
    <w:p w:rsidR="00210235" w:rsidRPr="00737BFB" w:rsidRDefault="00210235" w:rsidP="00210235">
      <w:pPr>
        <w:keepNext/>
        <w:pBdr>
          <w:top w:val="single" w:sz="4" w:space="1" w:color="auto"/>
        </w:pBdr>
        <w:rPr>
          <w:bCs/>
          <w:lang w:val="en-AU"/>
        </w:rPr>
      </w:pPr>
      <w:r w:rsidRPr="00737BFB">
        <w:rPr>
          <w:bCs/>
          <w:lang w:val="en-AU"/>
        </w:rPr>
        <w:t xml:space="preserve">Contributors: </w:t>
      </w:r>
      <w:r w:rsidR="0056339A" w:rsidRPr="00737BFB">
        <w:rPr>
          <w:bCs/>
          <w:lang w:val="en-AU"/>
        </w:rPr>
        <w:t>Niall Johnson</w:t>
      </w:r>
    </w:p>
    <w:bookmarkEnd w:id="1"/>
    <w:p w:rsidR="009A35BE" w:rsidRPr="00737BFB" w:rsidRDefault="009A35BE" w:rsidP="00A60B5B">
      <w:pPr>
        <w:rPr>
          <w:shd w:val="clear" w:color="auto" w:fill="FFFFFF"/>
          <w:lang w:val="en-AU"/>
        </w:rPr>
      </w:pPr>
    </w:p>
    <w:p w:rsidR="00921F29" w:rsidRPr="00737BFB" w:rsidRDefault="00921F29" w:rsidP="00A60B5B">
      <w:pPr>
        <w:rPr>
          <w:shd w:val="clear" w:color="auto" w:fill="FFFFFF"/>
          <w:lang w:val="en-AU"/>
        </w:rPr>
      </w:pPr>
    </w:p>
    <w:p w:rsidR="00A84250" w:rsidRDefault="00A84250" w:rsidP="00396D0A">
      <w:pPr>
        <w:rPr>
          <w:b/>
          <w:lang w:val="en-AU"/>
        </w:rPr>
      </w:pPr>
      <w:r>
        <w:rPr>
          <w:b/>
          <w:lang w:val="en-AU"/>
        </w:rPr>
        <w:t>Draft Clinical Care Standard for Stroke</w:t>
      </w:r>
    </w:p>
    <w:p w:rsidR="005F3F42" w:rsidRDefault="005F3F42" w:rsidP="00396D0A">
      <w:pPr>
        <w:rPr>
          <w:lang w:val="en-AU"/>
        </w:rPr>
      </w:pPr>
    </w:p>
    <w:p w:rsidR="00A84250" w:rsidRDefault="00A84250" w:rsidP="00396D0A">
      <w:pPr>
        <w:rPr>
          <w:lang w:val="en-AU"/>
        </w:rPr>
      </w:pPr>
      <w:r>
        <w:rPr>
          <w:lang w:val="en-AU"/>
        </w:rPr>
        <w:t>I</w:t>
      </w:r>
      <w:r w:rsidRPr="00A84250">
        <w:rPr>
          <w:lang w:val="en-AU"/>
        </w:rPr>
        <w:t>n collaboration with consumers, clinicians, resea</w:t>
      </w:r>
      <w:r>
        <w:rPr>
          <w:lang w:val="en-AU"/>
        </w:rPr>
        <w:t>rchers and health organisations, the Commission has developed t</w:t>
      </w:r>
      <w:r w:rsidRPr="00A84250">
        <w:rPr>
          <w:lang w:val="en-AU"/>
        </w:rPr>
        <w:t xml:space="preserve">he draft </w:t>
      </w:r>
      <w:r w:rsidRPr="005F3F42">
        <w:rPr>
          <w:i/>
          <w:lang w:val="en-AU"/>
        </w:rPr>
        <w:t>Cli</w:t>
      </w:r>
      <w:r w:rsidR="005F3F42" w:rsidRPr="005F3F42">
        <w:rPr>
          <w:i/>
          <w:lang w:val="en-AU"/>
        </w:rPr>
        <w:t>nical Care Standard for Stroke</w:t>
      </w:r>
      <w:r w:rsidR="005F3F42">
        <w:rPr>
          <w:lang w:val="en-AU"/>
        </w:rPr>
        <w:t>.</w:t>
      </w:r>
    </w:p>
    <w:p w:rsidR="00A84250" w:rsidRDefault="00A84250" w:rsidP="00396D0A">
      <w:pPr>
        <w:rPr>
          <w:lang w:val="en-AU"/>
        </w:rPr>
      </w:pPr>
      <w:r>
        <w:rPr>
          <w:lang w:val="en-AU"/>
        </w:rPr>
        <w:t>A Clinical Care Standard provides a small number of quality statements that describe the clinical care that a patient should be offered for a specific condition.</w:t>
      </w:r>
    </w:p>
    <w:p w:rsidR="005F3F42" w:rsidRPr="005F3F42" w:rsidRDefault="005F3F42" w:rsidP="005F3F42">
      <w:pPr>
        <w:rPr>
          <w:lang w:val="en-AU"/>
        </w:rPr>
      </w:pPr>
      <w:r w:rsidRPr="005F3F42">
        <w:rPr>
          <w:lang w:val="en-AU"/>
        </w:rPr>
        <w:t xml:space="preserve">The Commission is currently seeking feedback on the draft </w:t>
      </w:r>
      <w:r w:rsidRPr="005F3F42">
        <w:rPr>
          <w:i/>
          <w:lang w:val="en-AU"/>
        </w:rPr>
        <w:t>Clinical Care Standard for Stroke</w:t>
      </w:r>
      <w:r w:rsidRPr="005F3F42">
        <w:rPr>
          <w:lang w:val="en-AU"/>
        </w:rPr>
        <w:t xml:space="preserve"> from healthcare professionals, peak healthcare and consumer organisations, consumers and any other interested parties.</w:t>
      </w:r>
      <w:r>
        <w:rPr>
          <w:lang w:val="en-AU"/>
        </w:rPr>
        <w:t xml:space="preserve"> </w:t>
      </w:r>
      <w:r w:rsidR="00A84250" w:rsidRPr="00A84250">
        <w:rPr>
          <w:lang w:val="en-AU"/>
        </w:rPr>
        <w:t xml:space="preserve">Public consultation on this draft </w:t>
      </w:r>
      <w:r w:rsidR="00A84250" w:rsidRPr="005F3F42">
        <w:rPr>
          <w:i/>
          <w:lang w:val="en-AU"/>
        </w:rPr>
        <w:t>Clinical Care Standard for Stroke</w:t>
      </w:r>
      <w:r w:rsidR="00A84250">
        <w:rPr>
          <w:lang w:val="en-AU"/>
        </w:rPr>
        <w:t xml:space="preserve"> </w:t>
      </w:r>
      <w:r w:rsidR="00A84250" w:rsidRPr="00A84250">
        <w:rPr>
          <w:lang w:val="en-AU"/>
        </w:rPr>
        <w:t>is open until 23 May 2014.</w:t>
      </w:r>
      <w:r>
        <w:rPr>
          <w:lang w:val="en-AU"/>
        </w:rPr>
        <w:t xml:space="preserve"> </w:t>
      </w:r>
      <w:r w:rsidRPr="005F3F42">
        <w:rPr>
          <w:lang w:val="en-AU"/>
        </w:rPr>
        <w:t>Feedback can be provided in the form of written submissions or via an online survey.</w:t>
      </w:r>
    </w:p>
    <w:p w:rsidR="00A84250" w:rsidRDefault="00A84250" w:rsidP="00396D0A">
      <w:pPr>
        <w:rPr>
          <w:lang w:val="en-AU"/>
        </w:rPr>
      </w:pPr>
      <w:r>
        <w:rPr>
          <w:lang w:val="en-AU"/>
        </w:rPr>
        <w:t xml:space="preserve">Copies of the draft </w:t>
      </w:r>
      <w:r w:rsidRPr="005F3F42">
        <w:rPr>
          <w:i/>
          <w:lang w:val="en-AU"/>
        </w:rPr>
        <w:t>Clinical Care Standard for Stroke</w:t>
      </w:r>
      <w:r>
        <w:rPr>
          <w:lang w:val="en-AU"/>
        </w:rPr>
        <w:t xml:space="preserve">, along with information about its development and the consultation process are available at </w:t>
      </w:r>
      <w:hyperlink r:id="rId17" w:history="1">
        <w:r w:rsidRPr="009D4758">
          <w:rPr>
            <w:rStyle w:val="Hyperlink"/>
            <w:lang w:val="en-AU"/>
          </w:rPr>
          <w:t>http://www.safetyandquality.gov.au/our-work/clinical-care-standards/consultation/</w:t>
        </w:r>
      </w:hyperlink>
    </w:p>
    <w:p w:rsidR="0039316E" w:rsidRDefault="0039316E">
      <w:pPr>
        <w:rPr>
          <w:b/>
          <w:lang w:val="en-AU"/>
        </w:rPr>
      </w:pPr>
      <w:r>
        <w:rPr>
          <w:b/>
          <w:lang w:val="en-AU"/>
        </w:rPr>
        <w:br w:type="page"/>
      </w:r>
    </w:p>
    <w:p w:rsidR="00A30DF9" w:rsidRPr="00737BFB" w:rsidRDefault="00254636" w:rsidP="00396D0A">
      <w:pPr>
        <w:rPr>
          <w:b/>
          <w:lang w:val="en-AU"/>
        </w:rPr>
      </w:pPr>
      <w:r w:rsidRPr="00737BFB">
        <w:rPr>
          <w:b/>
          <w:lang w:val="en-AU"/>
        </w:rPr>
        <w:lastRenderedPageBreak/>
        <w:t>Journal articles</w:t>
      </w:r>
    </w:p>
    <w:p w:rsidR="008B3D8F" w:rsidRPr="00737BFB" w:rsidRDefault="008B3D8F" w:rsidP="008B3D8F">
      <w:pPr>
        <w:keepNext/>
        <w:autoSpaceDE w:val="0"/>
        <w:autoSpaceDN w:val="0"/>
        <w:adjustRightInd w:val="0"/>
        <w:rPr>
          <w:lang w:val="en-AU"/>
        </w:rPr>
      </w:pPr>
    </w:p>
    <w:p w:rsidR="003332C8" w:rsidRPr="006A1E58" w:rsidRDefault="003332C8" w:rsidP="003332C8">
      <w:pPr>
        <w:keepNext/>
        <w:autoSpaceDE w:val="0"/>
        <w:autoSpaceDN w:val="0"/>
        <w:adjustRightInd w:val="0"/>
        <w:rPr>
          <w:i/>
          <w:lang w:val="en-AU"/>
        </w:rPr>
      </w:pPr>
      <w:r w:rsidRPr="006A1E58">
        <w:rPr>
          <w:i/>
          <w:lang w:val="en-AU"/>
        </w:rPr>
        <w:t>Nurse staffing and education and hospital mortality in nine European countries: a retrospective observational study</w:t>
      </w:r>
    </w:p>
    <w:p w:rsidR="003332C8" w:rsidRDefault="003332C8" w:rsidP="003332C8">
      <w:pPr>
        <w:keepNext/>
        <w:autoSpaceDE w:val="0"/>
        <w:autoSpaceDN w:val="0"/>
        <w:adjustRightInd w:val="0"/>
        <w:rPr>
          <w:lang w:val="en-AU"/>
        </w:rPr>
      </w:pPr>
      <w:r w:rsidRPr="006A1E58">
        <w:rPr>
          <w:lang w:val="en-AU"/>
        </w:rPr>
        <w:t xml:space="preserve">Aiken LH, Sloane DM, </w:t>
      </w:r>
      <w:proofErr w:type="spellStart"/>
      <w:r w:rsidRPr="006A1E58">
        <w:rPr>
          <w:lang w:val="en-AU"/>
        </w:rPr>
        <w:t>Bruyneel</w:t>
      </w:r>
      <w:proofErr w:type="spellEnd"/>
      <w:r w:rsidRPr="006A1E58">
        <w:rPr>
          <w:lang w:val="en-AU"/>
        </w:rPr>
        <w:t xml:space="preserve"> L, Van den </w:t>
      </w:r>
      <w:proofErr w:type="spellStart"/>
      <w:r w:rsidRPr="006A1E58">
        <w:rPr>
          <w:lang w:val="en-AU"/>
        </w:rPr>
        <w:t>Heede</w:t>
      </w:r>
      <w:proofErr w:type="spellEnd"/>
      <w:r w:rsidRPr="006A1E58">
        <w:rPr>
          <w:lang w:val="en-AU"/>
        </w:rPr>
        <w:t xml:space="preserve"> </w:t>
      </w:r>
      <w:r>
        <w:rPr>
          <w:lang w:val="en-AU"/>
        </w:rPr>
        <w:t xml:space="preserve">K, Griffiths P, </w:t>
      </w:r>
      <w:proofErr w:type="spellStart"/>
      <w:r>
        <w:rPr>
          <w:lang w:val="en-AU"/>
        </w:rPr>
        <w:t>Busse</w:t>
      </w:r>
      <w:proofErr w:type="spellEnd"/>
      <w:r>
        <w:rPr>
          <w:lang w:val="en-AU"/>
        </w:rPr>
        <w:t xml:space="preserve"> R, et al</w:t>
      </w:r>
    </w:p>
    <w:p w:rsidR="003332C8" w:rsidRPr="00737BFB" w:rsidRDefault="003332C8" w:rsidP="003332C8">
      <w:pPr>
        <w:keepNext/>
        <w:autoSpaceDE w:val="0"/>
        <w:autoSpaceDN w:val="0"/>
        <w:adjustRightInd w:val="0"/>
        <w:rPr>
          <w:lang w:val="en-AU"/>
        </w:rPr>
      </w:pPr>
      <w:proofErr w:type="gramStart"/>
      <w:r w:rsidRPr="006A1E58">
        <w:rPr>
          <w:lang w:val="en-AU"/>
        </w:rPr>
        <w:t>The Lancet 2014</w:t>
      </w:r>
      <w:r>
        <w:rPr>
          <w:lang w:val="en-AU"/>
        </w:rPr>
        <w:t xml:space="preserve"> [epub]</w:t>
      </w:r>
      <w:r w:rsidRPr="006A1E58">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3332C8" w:rsidRPr="00737BFB" w:rsidTr="00E75158">
        <w:tc>
          <w:tcPr>
            <w:tcW w:w="1080" w:type="dxa"/>
            <w:tcBorders>
              <w:top w:val="single" w:sz="4" w:space="0" w:color="auto"/>
              <w:left w:val="single" w:sz="4" w:space="0" w:color="auto"/>
              <w:bottom w:val="single" w:sz="4" w:space="0" w:color="auto"/>
              <w:right w:val="single" w:sz="4" w:space="0" w:color="auto"/>
            </w:tcBorders>
            <w:vAlign w:val="center"/>
          </w:tcPr>
          <w:p w:rsidR="003332C8" w:rsidRPr="00737BFB" w:rsidRDefault="003332C8" w:rsidP="00E75158">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332C8" w:rsidRDefault="003332C8" w:rsidP="00E75158">
            <w:pPr>
              <w:rPr>
                <w:lang w:val="en-AU"/>
              </w:rPr>
            </w:pPr>
            <w:r>
              <w:rPr>
                <w:lang w:val="en-AU"/>
              </w:rPr>
              <w:t xml:space="preserve">This paper reports on a study that sought to determine </w:t>
            </w:r>
            <w:r w:rsidRPr="00A4275C">
              <w:rPr>
                <w:lang w:val="en-AU"/>
              </w:rPr>
              <w:t>whether differences in patient to nurse ratios and nurses' educational qualifications were associated with variation in hospital mortality after common surgical procedures.</w:t>
            </w:r>
            <w:r>
              <w:rPr>
                <w:lang w:val="en-AU"/>
              </w:rPr>
              <w:t xml:space="preserve"> The study examined </w:t>
            </w:r>
            <w:r w:rsidRPr="00A4275C">
              <w:rPr>
                <w:lang w:val="en-AU"/>
              </w:rPr>
              <w:t>discharge data for 422 730 patients aged 50 years or older who underwent common surgeries in 300 hospitals in nine European countries</w:t>
            </w:r>
            <w:r>
              <w:rPr>
                <w:lang w:val="en-AU"/>
              </w:rPr>
              <w:t xml:space="preserve"> and also s</w:t>
            </w:r>
            <w:r w:rsidRPr="00A4275C">
              <w:rPr>
                <w:lang w:val="en-AU"/>
              </w:rPr>
              <w:t>urvey</w:t>
            </w:r>
            <w:r>
              <w:rPr>
                <w:lang w:val="en-AU"/>
              </w:rPr>
              <w:t>ed</w:t>
            </w:r>
            <w:r w:rsidRPr="00A4275C">
              <w:rPr>
                <w:lang w:val="en-AU"/>
              </w:rPr>
              <w:t xml:space="preserve"> 26 516 nurses practising in </w:t>
            </w:r>
            <w:r>
              <w:rPr>
                <w:lang w:val="en-AU"/>
              </w:rPr>
              <w:t xml:space="preserve">the </w:t>
            </w:r>
            <w:r w:rsidRPr="00A4275C">
              <w:rPr>
                <w:lang w:val="en-AU"/>
              </w:rPr>
              <w:t>study hospitals to measure nurse staffing and nurse education.</w:t>
            </w:r>
          </w:p>
          <w:p w:rsidR="003332C8" w:rsidRPr="00737BFB" w:rsidRDefault="003332C8" w:rsidP="00E75158">
            <w:pPr>
              <w:rPr>
                <w:lang w:val="en-AU"/>
              </w:rPr>
            </w:pPr>
            <w:r>
              <w:rPr>
                <w:lang w:val="en-AU"/>
              </w:rPr>
              <w:t>The authors report that from their analyses: “</w:t>
            </w:r>
            <w:r w:rsidRPr="003332C8">
              <w:rPr>
                <w:lang w:val="en-AU"/>
              </w:rPr>
              <w:t xml:space="preserve">An </w:t>
            </w:r>
            <w:r w:rsidRPr="003332C8">
              <w:rPr>
                <w:b/>
                <w:lang w:val="en-AU"/>
              </w:rPr>
              <w:t>increase in a nurses' workload by one patient increased the likelihood of an inpatient dying within 30 days of admission by 7%</w:t>
            </w:r>
            <w:r w:rsidRPr="003332C8">
              <w:rPr>
                <w:lang w:val="en-AU"/>
              </w:rPr>
              <w:t xml:space="preserve"> (odds ratio 1·068, 95% CI 1·031—1·106), and </w:t>
            </w:r>
            <w:r w:rsidRPr="003332C8">
              <w:rPr>
                <w:b/>
                <w:lang w:val="en-AU"/>
              </w:rPr>
              <w:t>every 10% increase in bachelor's degree nurses was associated with a decrease in this likelihood by 7%</w:t>
            </w:r>
            <w:r w:rsidRPr="003332C8">
              <w:rPr>
                <w:lang w:val="en-AU"/>
              </w:rPr>
              <w:t xml:space="preserve"> (0·929, 0·886—0·973). These associations imply that patients in hospitals in which 60% of nurses had bachelor's degrees and nurses cared for an average of six patients would have almost 30% lower mortality than patients in hospitals in which only 30% of nurses had bachelor's degrees and nurses cared for an average of eight patients.</w:t>
            </w:r>
            <w:r>
              <w:rPr>
                <w:lang w:val="en-AU"/>
              </w:rPr>
              <w:t>”</w:t>
            </w:r>
          </w:p>
        </w:tc>
      </w:tr>
      <w:tr w:rsidR="003332C8" w:rsidRPr="00737BFB" w:rsidTr="00E75158">
        <w:tc>
          <w:tcPr>
            <w:tcW w:w="1080" w:type="dxa"/>
            <w:tcBorders>
              <w:top w:val="single" w:sz="4" w:space="0" w:color="auto"/>
              <w:left w:val="single" w:sz="4" w:space="0" w:color="auto"/>
              <w:bottom w:val="single" w:sz="4" w:space="0" w:color="auto"/>
              <w:right w:val="single" w:sz="4" w:space="0" w:color="auto"/>
            </w:tcBorders>
            <w:vAlign w:val="center"/>
          </w:tcPr>
          <w:p w:rsidR="003332C8" w:rsidRPr="00737BFB" w:rsidRDefault="003332C8" w:rsidP="00E75158">
            <w:pPr>
              <w:rPr>
                <w:lang w:val="en-AU"/>
              </w:rPr>
            </w:pPr>
            <w:r w:rsidRPr="00737BFB">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332C8" w:rsidRPr="00737BFB" w:rsidRDefault="009F7547" w:rsidP="00E75158">
            <w:pPr>
              <w:rPr>
                <w:lang w:val="en-AU"/>
              </w:rPr>
            </w:pPr>
            <w:hyperlink r:id="rId18" w:history="1">
              <w:r w:rsidR="003332C8" w:rsidRPr="00A25CCF">
                <w:rPr>
                  <w:rStyle w:val="Hyperlink"/>
                  <w:lang w:val="en-AU"/>
                </w:rPr>
                <w:t>http://dx.doi.org/10.1016/S0140-6736(13)62631-8</w:t>
              </w:r>
            </w:hyperlink>
          </w:p>
        </w:tc>
      </w:tr>
    </w:tbl>
    <w:p w:rsidR="003332C8" w:rsidRPr="00737BFB" w:rsidRDefault="003332C8" w:rsidP="003332C8">
      <w:pPr>
        <w:rPr>
          <w:i/>
          <w:lang w:val="en-AU"/>
        </w:rPr>
      </w:pPr>
    </w:p>
    <w:p w:rsidR="00896ACF" w:rsidRPr="00737BFB" w:rsidRDefault="00896ACF" w:rsidP="00896ACF">
      <w:pPr>
        <w:keepNext/>
        <w:autoSpaceDE w:val="0"/>
        <w:autoSpaceDN w:val="0"/>
        <w:adjustRightInd w:val="0"/>
        <w:rPr>
          <w:i/>
          <w:lang w:val="en-AU"/>
        </w:rPr>
      </w:pPr>
      <w:r w:rsidRPr="00737BFB">
        <w:rPr>
          <w:i/>
          <w:lang w:val="en-AU"/>
        </w:rPr>
        <w:t>Early warnings, weak signals and learning from healthcare disasters</w:t>
      </w:r>
    </w:p>
    <w:p w:rsidR="00896ACF" w:rsidRPr="00737BFB" w:rsidRDefault="00896ACF" w:rsidP="008B3D8F">
      <w:pPr>
        <w:keepNext/>
        <w:autoSpaceDE w:val="0"/>
        <w:autoSpaceDN w:val="0"/>
        <w:adjustRightInd w:val="0"/>
        <w:rPr>
          <w:lang w:val="en-AU"/>
        </w:rPr>
      </w:pPr>
      <w:r w:rsidRPr="00737BFB">
        <w:rPr>
          <w:lang w:val="en-AU"/>
        </w:rPr>
        <w:t>Macrae C</w:t>
      </w:r>
    </w:p>
    <w:p w:rsidR="005D3F16" w:rsidRPr="00737BFB" w:rsidRDefault="00896ACF" w:rsidP="008B3D8F">
      <w:pPr>
        <w:keepNext/>
        <w:autoSpaceDE w:val="0"/>
        <w:autoSpaceDN w:val="0"/>
        <w:adjustRightInd w:val="0"/>
        <w:rPr>
          <w:lang w:val="en-AU"/>
        </w:rPr>
      </w:pPr>
      <w:r w:rsidRPr="00737BFB">
        <w:rPr>
          <w:lang w:val="en-AU"/>
        </w:rPr>
        <w:t>BMJ Quality &amp; Safety 2014 [epub].</w:t>
      </w:r>
    </w:p>
    <w:tbl>
      <w:tblPr>
        <w:tblStyle w:val="TableGrid"/>
        <w:tblW w:w="0" w:type="auto"/>
        <w:tblInd w:w="288" w:type="dxa"/>
        <w:tblLayout w:type="fixed"/>
        <w:tblLook w:val="01E0" w:firstRow="1" w:lastRow="1" w:firstColumn="1" w:lastColumn="1" w:noHBand="0" w:noVBand="0"/>
      </w:tblPr>
      <w:tblGrid>
        <w:gridCol w:w="1080"/>
        <w:gridCol w:w="8280"/>
      </w:tblGrid>
      <w:tr w:rsidR="008B3D8F" w:rsidRPr="00737BFB" w:rsidTr="003550AB">
        <w:tc>
          <w:tcPr>
            <w:tcW w:w="1080" w:type="dxa"/>
            <w:tcBorders>
              <w:top w:val="single" w:sz="4" w:space="0" w:color="auto"/>
              <w:left w:val="single" w:sz="4" w:space="0" w:color="auto"/>
              <w:bottom w:val="single" w:sz="4" w:space="0" w:color="auto"/>
              <w:right w:val="single" w:sz="4" w:space="0" w:color="auto"/>
            </w:tcBorders>
            <w:vAlign w:val="center"/>
          </w:tcPr>
          <w:p w:rsidR="008B3D8F" w:rsidRPr="00737BFB" w:rsidRDefault="008B3D8F" w:rsidP="003550AB">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D1F1C" w:rsidRPr="00737BFB" w:rsidRDefault="00896ACF" w:rsidP="00896ACF">
            <w:pPr>
              <w:rPr>
                <w:lang w:val="en-AU"/>
              </w:rPr>
            </w:pPr>
            <w:r w:rsidRPr="00737BFB">
              <w:rPr>
                <w:lang w:val="en-AU"/>
              </w:rPr>
              <w:t xml:space="preserve">In this piece Carl Macrae observes that </w:t>
            </w:r>
            <w:r w:rsidRPr="00737BFB">
              <w:rPr>
                <w:b/>
                <w:lang w:val="en-AU"/>
              </w:rPr>
              <w:t>disasters</w:t>
            </w:r>
            <w:r w:rsidRPr="00737BFB">
              <w:rPr>
                <w:lang w:val="en-AU"/>
              </w:rPr>
              <w:t xml:space="preserve"> are “</w:t>
            </w:r>
            <w:r w:rsidRPr="00737BFB">
              <w:rPr>
                <w:b/>
                <w:lang w:val="en-AU"/>
              </w:rPr>
              <w:t>essentially organised events</w:t>
            </w:r>
            <w:r w:rsidRPr="00737BFB">
              <w:rPr>
                <w:lang w:val="en-AU"/>
              </w:rPr>
              <w:t>”, and that the conditions that allow for a disaster to occur are rarely spontaneous and that usually there have been “a litany of early warnings and weak signals that were missed, misunderstood or discounted” and that consequently among the most urgent challenges are “</w:t>
            </w:r>
            <w:r w:rsidRPr="00737BFB">
              <w:rPr>
                <w:b/>
                <w:lang w:val="en-AU"/>
              </w:rPr>
              <w:t>how to identify, interpret, integrate and act on the early warnings and weak signals of emerging risks</w:t>
            </w:r>
            <w:r w:rsidRPr="00737BFB">
              <w:rPr>
                <w:lang w:val="en-AU"/>
              </w:rPr>
              <w:t>—before those risks contribute to a disastrous failure of care.”</w:t>
            </w:r>
          </w:p>
          <w:p w:rsidR="004C33AE" w:rsidRPr="00737BFB" w:rsidRDefault="004C33AE" w:rsidP="00896ACF">
            <w:pPr>
              <w:rPr>
                <w:lang w:val="en-AU"/>
              </w:rPr>
            </w:pPr>
            <w:r w:rsidRPr="00737BFB">
              <w:rPr>
                <w:lang w:val="en-AU"/>
              </w:rPr>
              <w:t>Macrae suggests healthcare organisations and regulators should:</w:t>
            </w:r>
          </w:p>
          <w:p w:rsidR="004C33AE" w:rsidRPr="00737BFB" w:rsidRDefault="004C33AE" w:rsidP="004C33AE">
            <w:pPr>
              <w:pStyle w:val="ListParagraph"/>
              <w:numPr>
                <w:ilvl w:val="0"/>
                <w:numId w:val="40"/>
              </w:numPr>
              <w:rPr>
                <w:lang w:val="en-AU"/>
              </w:rPr>
            </w:pPr>
            <w:r w:rsidRPr="00737BFB">
              <w:rPr>
                <w:lang w:val="en-AU"/>
              </w:rPr>
              <w:t>“engage in practices that actively produce and amplify fleeting signs of ignorance”</w:t>
            </w:r>
          </w:p>
          <w:p w:rsidR="004C33AE" w:rsidRPr="00737BFB" w:rsidRDefault="004C33AE" w:rsidP="004C33AE">
            <w:pPr>
              <w:pStyle w:val="ListParagraph"/>
              <w:numPr>
                <w:ilvl w:val="0"/>
                <w:numId w:val="40"/>
              </w:numPr>
              <w:rPr>
                <w:lang w:val="en-AU"/>
              </w:rPr>
            </w:pPr>
            <w:r w:rsidRPr="00737BFB">
              <w:rPr>
                <w:lang w:val="en-AU"/>
              </w:rPr>
              <w:t>“work to continually define and update a set of specific fears of failure”</w:t>
            </w:r>
          </w:p>
          <w:p w:rsidR="004C33AE" w:rsidRPr="00737BFB" w:rsidRDefault="004C33AE" w:rsidP="004C33AE">
            <w:pPr>
              <w:pStyle w:val="ListParagraph"/>
              <w:numPr>
                <w:ilvl w:val="0"/>
                <w:numId w:val="40"/>
              </w:numPr>
              <w:rPr>
                <w:lang w:val="en-AU"/>
              </w:rPr>
            </w:pPr>
            <w:r w:rsidRPr="00737BFB">
              <w:rPr>
                <w:lang w:val="en-AU"/>
              </w:rPr>
              <w:t>“</w:t>
            </w:r>
            <w:proofErr w:type="gramStart"/>
            <w:r w:rsidRPr="00737BFB">
              <w:rPr>
                <w:lang w:val="en-AU"/>
              </w:rPr>
              <w:t>routinely</w:t>
            </w:r>
            <w:proofErr w:type="gramEnd"/>
            <w:r w:rsidRPr="00737BFB">
              <w:rPr>
                <w:lang w:val="en-AU"/>
              </w:rPr>
              <w:t xml:space="preserve"> uncover and publicly circulate knowledge on the sources of systemic risks to patient safety and the improvements required to address them.”</w:t>
            </w:r>
          </w:p>
        </w:tc>
      </w:tr>
      <w:tr w:rsidR="008B3D8F" w:rsidRPr="00737BFB" w:rsidTr="003550AB">
        <w:tc>
          <w:tcPr>
            <w:tcW w:w="1080" w:type="dxa"/>
            <w:tcBorders>
              <w:top w:val="single" w:sz="4" w:space="0" w:color="auto"/>
              <w:left w:val="single" w:sz="4" w:space="0" w:color="auto"/>
              <w:bottom w:val="single" w:sz="4" w:space="0" w:color="auto"/>
              <w:right w:val="single" w:sz="4" w:space="0" w:color="auto"/>
            </w:tcBorders>
            <w:vAlign w:val="center"/>
          </w:tcPr>
          <w:p w:rsidR="008B3D8F" w:rsidRPr="00737BFB" w:rsidRDefault="008B3D8F" w:rsidP="003550AB">
            <w:pPr>
              <w:rPr>
                <w:lang w:val="en-AU"/>
              </w:rPr>
            </w:pPr>
            <w:r w:rsidRPr="00737BFB">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B3D8F" w:rsidRPr="00737BFB" w:rsidRDefault="009F7547" w:rsidP="00896ACF">
            <w:pPr>
              <w:rPr>
                <w:lang w:val="en-AU"/>
              </w:rPr>
            </w:pPr>
            <w:hyperlink r:id="rId19" w:history="1">
              <w:r w:rsidR="00896ACF" w:rsidRPr="00737BFB">
                <w:rPr>
                  <w:rStyle w:val="Hyperlink"/>
                  <w:lang w:val="en-AU"/>
                </w:rPr>
                <w:t>http://dx.doi.org/10.1136/bmjqs-2013-002685</w:t>
              </w:r>
            </w:hyperlink>
          </w:p>
        </w:tc>
      </w:tr>
    </w:tbl>
    <w:p w:rsidR="008B3D8F" w:rsidRPr="00737BFB" w:rsidRDefault="008B3D8F" w:rsidP="008B3D8F">
      <w:pPr>
        <w:rPr>
          <w:i/>
          <w:lang w:val="en-AU"/>
        </w:rPr>
      </w:pPr>
    </w:p>
    <w:p w:rsidR="00FF288E" w:rsidRDefault="00FF288E">
      <w:pPr>
        <w:rPr>
          <w:i/>
          <w:lang w:val="en-AU"/>
        </w:rPr>
      </w:pPr>
      <w:r>
        <w:rPr>
          <w:i/>
          <w:lang w:val="en-AU"/>
        </w:rPr>
        <w:br w:type="page"/>
      </w:r>
    </w:p>
    <w:p w:rsidR="0053580F" w:rsidRPr="00737BFB" w:rsidRDefault="0053580F" w:rsidP="0053580F">
      <w:pPr>
        <w:keepNext/>
        <w:autoSpaceDE w:val="0"/>
        <w:autoSpaceDN w:val="0"/>
        <w:adjustRightInd w:val="0"/>
        <w:rPr>
          <w:i/>
          <w:lang w:val="en-AU"/>
        </w:rPr>
      </w:pPr>
      <w:r w:rsidRPr="00737BFB">
        <w:rPr>
          <w:i/>
          <w:lang w:val="en-AU"/>
        </w:rPr>
        <w:lastRenderedPageBreak/>
        <w:t>Causes and patterns of readmissions in patients with common comorbidities: retrospective cohort study</w:t>
      </w:r>
    </w:p>
    <w:p w:rsidR="00113A62" w:rsidRPr="00737BFB" w:rsidRDefault="00113A62" w:rsidP="00221B5E">
      <w:pPr>
        <w:keepNext/>
        <w:autoSpaceDE w:val="0"/>
        <w:autoSpaceDN w:val="0"/>
        <w:adjustRightInd w:val="0"/>
        <w:rPr>
          <w:lang w:val="en-AU"/>
        </w:rPr>
      </w:pPr>
      <w:r w:rsidRPr="00737BFB">
        <w:rPr>
          <w:lang w:val="en-AU"/>
        </w:rPr>
        <w:t xml:space="preserve">Donzé J, Lipsitz S, Bates DW, Schnipper JL. </w:t>
      </w:r>
    </w:p>
    <w:p w:rsidR="00221B5E" w:rsidRPr="00737BFB" w:rsidRDefault="00113A62" w:rsidP="00221B5E">
      <w:pPr>
        <w:keepNext/>
        <w:autoSpaceDE w:val="0"/>
        <w:autoSpaceDN w:val="0"/>
        <w:adjustRightInd w:val="0"/>
        <w:rPr>
          <w:lang w:val="en-AU"/>
        </w:rPr>
      </w:pPr>
      <w:r w:rsidRPr="00737BFB">
        <w:rPr>
          <w:lang w:val="en-AU"/>
        </w:rPr>
        <w:t>BMJ 2013</w:t>
      </w:r>
      <w:proofErr w:type="gramStart"/>
      <w:r w:rsidRPr="00737BFB">
        <w:rPr>
          <w:lang w:val="en-AU"/>
        </w:rPr>
        <w:t>;347</w:t>
      </w:r>
      <w:proofErr w:type="gramEnd"/>
      <w:r w:rsidRPr="00737BFB">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221B5E" w:rsidRPr="00737BFB" w:rsidTr="00440D36">
        <w:tc>
          <w:tcPr>
            <w:tcW w:w="1080" w:type="dxa"/>
            <w:tcBorders>
              <w:top w:val="single" w:sz="4" w:space="0" w:color="auto"/>
              <w:left w:val="single" w:sz="4" w:space="0" w:color="auto"/>
              <w:bottom w:val="single" w:sz="4" w:space="0" w:color="auto"/>
              <w:right w:val="single" w:sz="4" w:space="0" w:color="auto"/>
            </w:tcBorders>
            <w:vAlign w:val="center"/>
          </w:tcPr>
          <w:p w:rsidR="00221B5E" w:rsidRPr="00737BFB" w:rsidRDefault="00221B5E" w:rsidP="00440D36">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21B5E" w:rsidRPr="00737BFB" w:rsidRDefault="00113A62" w:rsidP="00113A62">
            <w:pPr>
              <w:rPr>
                <w:lang w:val="en-AU"/>
              </w:rPr>
            </w:pPr>
            <w:r w:rsidRPr="00737BFB">
              <w:rPr>
                <w:lang w:val="en-AU"/>
              </w:rPr>
              <w:t>This examination of 10,731 discharges at a US teaching hospital found that 2,398 (</w:t>
            </w:r>
            <w:r w:rsidRPr="00737BFB">
              <w:rPr>
                <w:b/>
                <w:lang w:val="en-AU"/>
              </w:rPr>
              <w:t>22.3%</w:t>
            </w:r>
            <w:r w:rsidRPr="00737BFB">
              <w:rPr>
                <w:lang w:val="en-AU"/>
              </w:rPr>
              <w:t xml:space="preserve">) were followed by a </w:t>
            </w:r>
            <w:r w:rsidRPr="00737BFB">
              <w:rPr>
                <w:b/>
                <w:lang w:val="en-AU"/>
              </w:rPr>
              <w:t>30-day readmission</w:t>
            </w:r>
            <w:r w:rsidRPr="00737BFB">
              <w:rPr>
                <w:lang w:val="en-AU"/>
              </w:rPr>
              <w:t xml:space="preserve">, of which 858 (35.77% of those readmissions) were considered as potentially avoidable. The study sought to </w:t>
            </w:r>
            <w:proofErr w:type="gramStart"/>
            <w:r w:rsidRPr="00737BFB">
              <w:rPr>
                <w:lang w:val="en-AU"/>
              </w:rPr>
              <w:t>understood</w:t>
            </w:r>
            <w:proofErr w:type="gramEnd"/>
            <w:r w:rsidRPr="00737BFB">
              <w:rPr>
                <w:lang w:val="en-AU"/>
              </w:rPr>
              <w:t xml:space="preserve"> the role of patient’s comorbidities in the readmissions. The authors report that </w:t>
            </w:r>
            <w:r w:rsidR="00611B9B" w:rsidRPr="00737BFB">
              <w:rPr>
                <w:lang w:val="en-AU"/>
              </w:rPr>
              <w:t xml:space="preserve">“The five most common primary diagnoses of potentially avoidable readmissions were usually possible complications of an underlying comorbidity. </w:t>
            </w:r>
            <w:r w:rsidR="00611B9B" w:rsidRPr="00737BFB">
              <w:rPr>
                <w:b/>
                <w:lang w:val="en-AU"/>
              </w:rPr>
              <w:t>Post-discharge care should focus attention not just on the primary index admission diagnosis but also on the comorbidities patients have.</w:t>
            </w:r>
            <w:r w:rsidR="00611B9B" w:rsidRPr="00737BFB">
              <w:rPr>
                <w:lang w:val="en-AU"/>
              </w:rPr>
              <w:t>”</w:t>
            </w:r>
          </w:p>
        </w:tc>
      </w:tr>
      <w:tr w:rsidR="00221B5E" w:rsidRPr="00737BFB" w:rsidTr="00440D36">
        <w:tc>
          <w:tcPr>
            <w:tcW w:w="1080" w:type="dxa"/>
            <w:tcBorders>
              <w:top w:val="single" w:sz="4" w:space="0" w:color="auto"/>
              <w:left w:val="single" w:sz="4" w:space="0" w:color="auto"/>
              <w:bottom w:val="single" w:sz="4" w:space="0" w:color="auto"/>
              <w:right w:val="single" w:sz="4" w:space="0" w:color="auto"/>
            </w:tcBorders>
            <w:vAlign w:val="center"/>
          </w:tcPr>
          <w:p w:rsidR="00221B5E" w:rsidRPr="00737BFB" w:rsidRDefault="00221B5E" w:rsidP="00440D36">
            <w:pPr>
              <w:rPr>
                <w:lang w:val="en-AU"/>
              </w:rPr>
            </w:pPr>
            <w:r w:rsidRPr="00737BFB">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21B5E" w:rsidRPr="00737BFB" w:rsidRDefault="009F7547" w:rsidP="00113A62">
            <w:pPr>
              <w:rPr>
                <w:lang w:val="en-AU"/>
              </w:rPr>
            </w:pPr>
            <w:hyperlink r:id="rId20" w:history="1">
              <w:r w:rsidR="00113A62" w:rsidRPr="00737BFB">
                <w:rPr>
                  <w:rStyle w:val="Hyperlink"/>
                  <w:lang w:val="en-AU"/>
                </w:rPr>
                <w:t>http://dx.doi.org/10.1136/bmj.f7171</w:t>
              </w:r>
            </w:hyperlink>
          </w:p>
        </w:tc>
      </w:tr>
    </w:tbl>
    <w:p w:rsidR="00221B5E" w:rsidRPr="00737BFB" w:rsidRDefault="00221B5E" w:rsidP="00221B5E">
      <w:pPr>
        <w:rPr>
          <w:i/>
          <w:lang w:val="en-AU"/>
        </w:rPr>
      </w:pPr>
    </w:p>
    <w:p w:rsidR="000E6AE4" w:rsidRPr="000E6AE4" w:rsidRDefault="000E6AE4" w:rsidP="000E6AE4">
      <w:pPr>
        <w:keepNext/>
        <w:autoSpaceDE w:val="0"/>
        <w:autoSpaceDN w:val="0"/>
        <w:adjustRightInd w:val="0"/>
        <w:rPr>
          <w:i/>
          <w:lang w:val="en-AU"/>
        </w:rPr>
      </w:pPr>
      <w:r w:rsidRPr="000E6AE4">
        <w:rPr>
          <w:i/>
          <w:lang w:val="en-AU"/>
        </w:rPr>
        <w:t>Hospital-based transfusion error tracking from 2005 to 2010: identifying the key errors threatening patient transfusion safety</w:t>
      </w:r>
    </w:p>
    <w:p w:rsidR="000E6AE4" w:rsidRDefault="000E6AE4" w:rsidP="00221B5E">
      <w:pPr>
        <w:keepNext/>
        <w:autoSpaceDE w:val="0"/>
        <w:autoSpaceDN w:val="0"/>
        <w:adjustRightInd w:val="0"/>
        <w:rPr>
          <w:lang w:val="en-AU"/>
        </w:rPr>
      </w:pPr>
      <w:proofErr w:type="spellStart"/>
      <w:proofErr w:type="gramStart"/>
      <w:r w:rsidRPr="000E6AE4">
        <w:rPr>
          <w:lang w:val="en-AU"/>
        </w:rPr>
        <w:t>Maskens</w:t>
      </w:r>
      <w:proofErr w:type="spellEnd"/>
      <w:r w:rsidRPr="000E6AE4">
        <w:rPr>
          <w:lang w:val="en-AU"/>
        </w:rPr>
        <w:t xml:space="preserve"> C, </w:t>
      </w:r>
      <w:proofErr w:type="spellStart"/>
      <w:r w:rsidRPr="000E6AE4">
        <w:rPr>
          <w:lang w:val="en-AU"/>
        </w:rPr>
        <w:t>Downie</w:t>
      </w:r>
      <w:proofErr w:type="spellEnd"/>
      <w:r w:rsidRPr="000E6AE4">
        <w:rPr>
          <w:lang w:val="en-AU"/>
        </w:rPr>
        <w:t xml:space="preserve"> H, Wendt A, Lima A, </w:t>
      </w:r>
      <w:proofErr w:type="spellStart"/>
      <w:r w:rsidRPr="000E6AE4">
        <w:rPr>
          <w:lang w:val="en-AU"/>
        </w:rPr>
        <w:t>Merkley</w:t>
      </w:r>
      <w:proofErr w:type="spellEnd"/>
      <w:r w:rsidRPr="000E6AE4">
        <w:rPr>
          <w:lang w:val="en-AU"/>
        </w:rPr>
        <w:t xml:space="preserve"> L, Lin Y, et al.</w:t>
      </w:r>
      <w:proofErr w:type="gramEnd"/>
      <w:r w:rsidRPr="000E6AE4">
        <w:rPr>
          <w:lang w:val="en-AU"/>
        </w:rPr>
        <w:t xml:space="preserve"> </w:t>
      </w:r>
    </w:p>
    <w:p w:rsidR="00221B5E" w:rsidRPr="00737BFB" w:rsidRDefault="000E6AE4" w:rsidP="00221B5E">
      <w:pPr>
        <w:keepNext/>
        <w:autoSpaceDE w:val="0"/>
        <w:autoSpaceDN w:val="0"/>
        <w:adjustRightInd w:val="0"/>
        <w:rPr>
          <w:lang w:val="en-AU"/>
        </w:rPr>
      </w:pPr>
      <w:r w:rsidRPr="000E6AE4">
        <w:rPr>
          <w:lang w:val="en-AU"/>
        </w:rPr>
        <w:t>Transfusion 2014</w:t>
      </w:r>
      <w:proofErr w:type="gramStart"/>
      <w:r w:rsidRPr="000E6AE4">
        <w:rPr>
          <w:lang w:val="en-AU"/>
        </w:rPr>
        <w:t>;54</w:t>
      </w:r>
      <w:proofErr w:type="gramEnd"/>
      <w:r w:rsidRPr="000E6AE4">
        <w:rPr>
          <w:lang w:val="en-AU"/>
        </w:rPr>
        <w:t>(1):66-73.</w:t>
      </w:r>
    </w:p>
    <w:tbl>
      <w:tblPr>
        <w:tblStyle w:val="TableGrid"/>
        <w:tblW w:w="0" w:type="auto"/>
        <w:tblInd w:w="288" w:type="dxa"/>
        <w:tblLayout w:type="fixed"/>
        <w:tblLook w:val="01E0" w:firstRow="1" w:lastRow="1" w:firstColumn="1" w:lastColumn="1" w:noHBand="0" w:noVBand="0"/>
      </w:tblPr>
      <w:tblGrid>
        <w:gridCol w:w="1080"/>
        <w:gridCol w:w="8280"/>
      </w:tblGrid>
      <w:tr w:rsidR="00221B5E" w:rsidRPr="00737BFB" w:rsidTr="00440D36">
        <w:tc>
          <w:tcPr>
            <w:tcW w:w="1080" w:type="dxa"/>
            <w:tcBorders>
              <w:top w:val="single" w:sz="4" w:space="0" w:color="auto"/>
              <w:left w:val="single" w:sz="4" w:space="0" w:color="auto"/>
              <w:bottom w:val="single" w:sz="4" w:space="0" w:color="auto"/>
              <w:right w:val="single" w:sz="4" w:space="0" w:color="auto"/>
            </w:tcBorders>
            <w:vAlign w:val="center"/>
          </w:tcPr>
          <w:p w:rsidR="00221B5E" w:rsidRPr="00737BFB" w:rsidRDefault="00221B5E" w:rsidP="00440D36">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E6AE4" w:rsidRPr="000E6AE4" w:rsidRDefault="000E6AE4" w:rsidP="000E6AE4">
            <w:pPr>
              <w:rPr>
                <w:lang w:val="en-AU"/>
              </w:rPr>
            </w:pPr>
            <w:r>
              <w:rPr>
                <w:lang w:val="en-AU"/>
              </w:rPr>
              <w:t xml:space="preserve">This study examined 15,134 </w:t>
            </w:r>
            <w:r w:rsidRPr="000E6AE4">
              <w:rPr>
                <w:lang w:val="en-AU"/>
              </w:rPr>
              <w:t xml:space="preserve">transfusion errors occurring </w:t>
            </w:r>
            <w:r>
              <w:rPr>
                <w:lang w:val="en-AU"/>
              </w:rPr>
              <w:t xml:space="preserve">in </w:t>
            </w:r>
            <w:proofErr w:type="spellStart"/>
            <w:r>
              <w:rPr>
                <w:lang w:val="en-AU"/>
              </w:rPr>
              <w:t>te</w:t>
            </w:r>
            <w:proofErr w:type="spellEnd"/>
            <w:r>
              <w:rPr>
                <w:lang w:val="en-AU"/>
              </w:rPr>
              <w:t xml:space="preserve"> period 2005–2010 </w:t>
            </w:r>
            <w:r w:rsidRPr="000E6AE4">
              <w:rPr>
                <w:lang w:val="en-AU"/>
              </w:rPr>
              <w:t xml:space="preserve">at a </w:t>
            </w:r>
            <w:r>
              <w:rPr>
                <w:lang w:val="en-AU"/>
              </w:rPr>
              <w:t xml:space="preserve">US </w:t>
            </w:r>
            <w:r w:rsidRPr="000E6AE4">
              <w:rPr>
                <w:lang w:val="en-AU"/>
              </w:rPr>
              <w:t>teaching hospital</w:t>
            </w:r>
            <w:r>
              <w:rPr>
                <w:lang w:val="en-AU"/>
              </w:rPr>
              <w:t xml:space="preserve">. </w:t>
            </w:r>
            <w:r w:rsidRPr="000E6AE4">
              <w:rPr>
                <w:lang w:val="en-AU"/>
              </w:rPr>
              <w:t>9083 (60%) errors occurred on the transfusion service and 6051 (40%) on the clinical services. 23 errors resulted in patient harm: 21 of these errors occurred on the clinical services and two in the transfusion service. Of the 23 harm events, 21 involved inappropriate use of blood. Errors with no harm were 657 times more common than events that caused harm. The most common high-severity clinical errors were sample labelling (37.5%) and inappropriate ordering of blood (28.8%). The most common high-severity error in the transfusion service was sample accepted despite not meeting acceptance criteria (18.3%).</w:t>
            </w:r>
          </w:p>
          <w:p w:rsidR="000E6AE4" w:rsidRPr="00737BFB" w:rsidRDefault="000E6AE4" w:rsidP="000E6AE4">
            <w:pPr>
              <w:rPr>
                <w:lang w:val="en-AU"/>
              </w:rPr>
            </w:pPr>
            <w:r>
              <w:rPr>
                <w:lang w:val="en-AU"/>
              </w:rPr>
              <w:t>The authors concluded that “</w:t>
            </w:r>
            <w:r w:rsidRPr="000E6AE4">
              <w:rPr>
                <w:b/>
                <w:lang w:val="en-AU"/>
              </w:rPr>
              <w:t>Errors occurred at every point in the transfusion process</w:t>
            </w:r>
            <w:r w:rsidRPr="000E6AE4">
              <w:rPr>
                <w:lang w:val="en-AU"/>
              </w:rPr>
              <w:t xml:space="preserve">, with the </w:t>
            </w:r>
            <w:r w:rsidRPr="000E6AE4">
              <w:rPr>
                <w:b/>
                <w:lang w:val="en-AU"/>
              </w:rPr>
              <w:t>greatest potential risk</w:t>
            </w:r>
            <w:r w:rsidRPr="000E6AE4">
              <w:rPr>
                <w:lang w:val="en-AU"/>
              </w:rPr>
              <w:t xml:space="preserve"> of patient harm resulting from </w:t>
            </w:r>
            <w:r w:rsidRPr="000E6AE4">
              <w:rPr>
                <w:b/>
                <w:lang w:val="en-AU"/>
              </w:rPr>
              <w:t>inappropriate ordering of blood products</w:t>
            </w:r>
            <w:r w:rsidRPr="000E6AE4">
              <w:rPr>
                <w:lang w:val="en-AU"/>
              </w:rPr>
              <w:t xml:space="preserve"> and </w:t>
            </w:r>
            <w:r w:rsidRPr="000E6AE4">
              <w:rPr>
                <w:b/>
                <w:lang w:val="en-AU"/>
              </w:rPr>
              <w:t xml:space="preserve">errors in sample </w:t>
            </w:r>
            <w:proofErr w:type="spellStart"/>
            <w:r w:rsidRPr="000E6AE4">
              <w:rPr>
                <w:b/>
                <w:lang w:val="en-AU"/>
              </w:rPr>
              <w:t>labeling</w:t>
            </w:r>
            <w:proofErr w:type="spellEnd"/>
            <w:r w:rsidRPr="000E6AE4">
              <w:rPr>
                <w:lang w:val="en-AU"/>
              </w:rPr>
              <w:t>.</w:t>
            </w:r>
            <w:r>
              <w:rPr>
                <w:lang w:val="en-AU"/>
              </w:rPr>
              <w:t>”</w:t>
            </w:r>
          </w:p>
        </w:tc>
      </w:tr>
      <w:tr w:rsidR="00221B5E" w:rsidRPr="00737BFB" w:rsidTr="00440D36">
        <w:tc>
          <w:tcPr>
            <w:tcW w:w="1080" w:type="dxa"/>
            <w:tcBorders>
              <w:top w:val="single" w:sz="4" w:space="0" w:color="auto"/>
              <w:left w:val="single" w:sz="4" w:space="0" w:color="auto"/>
              <w:bottom w:val="single" w:sz="4" w:space="0" w:color="auto"/>
              <w:right w:val="single" w:sz="4" w:space="0" w:color="auto"/>
            </w:tcBorders>
            <w:vAlign w:val="center"/>
          </w:tcPr>
          <w:p w:rsidR="00221B5E" w:rsidRPr="00737BFB" w:rsidRDefault="00221B5E" w:rsidP="00440D36">
            <w:pPr>
              <w:rPr>
                <w:lang w:val="en-AU"/>
              </w:rPr>
            </w:pPr>
            <w:r w:rsidRPr="00737BFB">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21B5E" w:rsidRPr="00737BFB" w:rsidRDefault="009F7547" w:rsidP="000E6AE4">
            <w:pPr>
              <w:rPr>
                <w:lang w:val="en-AU"/>
              </w:rPr>
            </w:pPr>
            <w:hyperlink r:id="rId21" w:history="1">
              <w:r w:rsidR="000E6AE4" w:rsidRPr="009D4758">
                <w:rPr>
                  <w:rStyle w:val="Hyperlink"/>
                  <w:lang w:val="en-AU"/>
                </w:rPr>
                <w:t>http://dx.doi.org/10.1111/trf.12240</w:t>
              </w:r>
            </w:hyperlink>
          </w:p>
        </w:tc>
      </w:tr>
    </w:tbl>
    <w:p w:rsidR="00221B5E" w:rsidRPr="00737BFB" w:rsidRDefault="00221B5E" w:rsidP="00221B5E">
      <w:pPr>
        <w:rPr>
          <w:i/>
          <w:lang w:val="en-AU"/>
        </w:rPr>
      </w:pPr>
    </w:p>
    <w:p w:rsidR="000E6AE4" w:rsidRPr="000E6AE4" w:rsidRDefault="000E6AE4" w:rsidP="000E6AE4">
      <w:pPr>
        <w:keepNext/>
        <w:autoSpaceDE w:val="0"/>
        <w:autoSpaceDN w:val="0"/>
        <w:adjustRightInd w:val="0"/>
        <w:rPr>
          <w:i/>
          <w:lang w:val="en-AU"/>
        </w:rPr>
      </w:pPr>
      <w:r w:rsidRPr="000E6AE4">
        <w:rPr>
          <w:i/>
          <w:lang w:val="en-AU"/>
        </w:rPr>
        <w:t xml:space="preserve">National estimates of insulin-related </w:t>
      </w:r>
      <w:proofErr w:type="spellStart"/>
      <w:r w:rsidRPr="000E6AE4">
        <w:rPr>
          <w:i/>
          <w:lang w:val="en-AU"/>
        </w:rPr>
        <w:t>hypoglycemia</w:t>
      </w:r>
      <w:proofErr w:type="spellEnd"/>
      <w:r w:rsidRPr="000E6AE4">
        <w:rPr>
          <w:i/>
          <w:lang w:val="en-AU"/>
        </w:rPr>
        <w:t xml:space="preserve"> and errors leading to emergency department visits and hospitalizations</w:t>
      </w:r>
    </w:p>
    <w:p w:rsidR="000E6AE4" w:rsidRDefault="000E6AE4" w:rsidP="00221B5E">
      <w:pPr>
        <w:keepNext/>
        <w:autoSpaceDE w:val="0"/>
        <w:autoSpaceDN w:val="0"/>
        <w:adjustRightInd w:val="0"/>
        <w:rPr>
          <w:lang w:val="en-AU"/>
        </w:rPr>
      </w:pPr>
      <w:r w:rsidRPr="000E6AE4">
        <w:rPr>
          <w:lang w:val="en-AU"/>
        </w:rPr>
        <w:t xml:space="preserve">Geller AI, </w:t>
      </w:r>
      <w:proofErr w:type="spellStart"/>
      <w:r w:rsidRPr="000E6AE4">
        <w:rPr>
          <w:lang w:val="en-AU"/>
        </w:rPr>
        <w:t>Shehab</w:t>
      </w:r>
      <w:proofErr w:type="spellEnd"/>
      <w:r w:rsidRPr="000E6AE4">
        <w:rPr>
          <w:lang w:val="en-AU"/>
        </w:rPr>
        <w:t xml:space="preserve"> N, </w:t>
      </w:r>
      <w:proofErr w:type="spellStart"/>
      <w:r w:rsidRPr="000E6AE4">
        <w:rPr>
          <w:lang w:val="en-AU"/>
        </w:rPr>
        <w:t>Lovegrove</w:t>
      </w:r>
      <w:proofErr w:type="spellEnd"/>
      <w:r w:rsidRPr="000E6AE4">
        <w:rPr>
          <w:lang w:val="en-AU"/>
        </w:rPr>
        <w:t xml:space="preserve"> MC, </w:t>
      </w:r>
      <w:proofErr w:type="spellStart"/>
      <w:r w:rsidRPr="000E6AE4">
        <w:rPr>
          <w:lang w:val="en-AU"/>
        </w:rPr>
        <w:t>Kegler</w:t>
      </w:r>
      <w:proofErr w:type="spellEnd"/>
      <w:r w:rsidRPr="000E6AE4">
        <w:rPr>
          <w:lang w:val="en-AU"/>
        </w:rPr>
        <w:t xml:space="preserve"> SR, </w:t>
      </w:r>
      <w:proofErr w:type="spellStart"/>
      <w:r w:rsidRPr="000E6AE4">
        <w:rPr>
          <w:lang w:val="en-AU"/>
        </w:rPr>
        <w:t>Weidenbach</w:t>
      </w:r>
      <w:proofErr w:type="spellEnd"/>
      <w:r w:rsidRPr="000E6AE4">
        <w:rPr>
          <w:lang w:val="en-AU"/>
        </w:rPr>
        <w:t xml:space="preserve"> KNR, Gina J, </w:t>
      </w:r>
      <w:proofErr w:type="spellStart"/>
      <w:r w:rsidRPr="000E6AE4">
        <w:rPr>
          <w:lang w:val="en-AU"/>
        </w:rPr>
        <w:t>Budnitz</w:t>
      </w:r>
      <w:proofErr w:type="spellEnd"/>
      <w:r w:rsidRPr="000E6AE4">
        <w:rPr>
          <w:lang w:val="en-AU"/>
        </w:rPr>
        <w:t xml:space="preserve"> DS</w:t>
      </w:r>
    </w:p>
    <w:p w:rsidR="00221B5E" w:rsidRPr="00737BFB" w:rsidRDefault="000E6AE4" w:rsidP="00221B5E">
      <w:pPr>
        <w:keepNext/>
        <w:autoSpaceDE w:val="0"/>
        <w:autoSpaceDN w:val="0"/>
        <w:adjustRightInd w:val="0"/>
        <w:rPr>
          <w:lang w:val="en-AU"/>
        </w:rPr>
      </w:pPr>
      <w:r w:rsidRPr="000E6AE4">
        <w:rPr>
          <w:lang w:val="en-AU"/>
        </w:rPr>
        <w:t>JAMA Internal Medicine 2014</w:t>
      </w:r>
      <w:r>
        <w:rPr>
          <w:lang w:val="en-AU"/>
        </w:rPr>
        <w:t xml:space="preserve"> [epub]</w:t>
      </w:r>
      <w:r w:rsidRPr="000E6AE4">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221B5E" w:rsidRPr="00737BFB" w:rsidTr="00440D36">
        <w:tc>
          <w:tcPr>
            <w:tcW w:w="1080" w:type="dxa"/>
            <w:tcBorders>
              <w:top w:val="single" w:sz="4" w:space="0" w:color="auto"/>
              <w:left w:val="single" w:sz="4" w:space="0" w:color="auto"/>
              <w:bottom w:val="single" w:sz="4" w:space="0" w:color="auto"/>
              <w:right w:val="single" w:sz="4" w:space="0" w:color="auto"/>
            </w:tcBorders>
            <w:vAlign w:val="center"/>
          </w:tcPr>
          <w:p w:rsidR="00221B5E" w:rsidRPr="00737BFB" w:rsidRDefault="00221B5E" w:rsidP="00440D36">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C7833" w:rsidRPr="00737BFB" w:rsidRDefault="000E6AE4" w:rsidP="00FC7833">
            <w:pPr>
              <w:rPr>
                <w:lang w:val="en-AU"/>
              </w:rPr>
            </w:pPr>
            <w:r>
              <w:rPr>
                <w:lang w:val="en-AU"/>
              </w:rPr>
              <w:t xml:space="preserve">Insulin is a widely used drug and with increasing incidence of diabetes this is going to increase. This study estimated </w:t>
            </w:r>
            <w:r w:rsidR="00FC7833" w:rsidRPr="00FC7833">
              <w:rPr>
                <w:lang w:val="en-AU"/>
              </w:rPr>
              <w:t xml:space="preserve">annual numbers and estimated annual rates of </w:t>
            </w:r>
            <w:r w:rsidR="00FC7833">
              <w:rPr>
                <w:lang w:val="en-AU"/>
              </w:rPr>
              <w:t>emergency department (</w:t>
            </w:r>
            <w:r w:rsidR="00FC7833" w:rsidRPr="00FC7833">
              <w:rPr>
                <w:lang w:val="en-AU"/>
              </w:rPr>
              <w:t>ED</w:t>
            </w:r>
            <w:r w:rsidR="00FC7833">
              <w:rPr>
                <w:lang w:val="en-AU"/>
              </w:rPr>
              <w:t>)</w:t>
            </w:r>
            <w:r w:rsidR="00FC7833" w:rsidRPr="00FC7833">
              <w:rPr>
                <w:lang w:val="en-AU"/>
              </w:rPr>
              <w:t xml:space="preserve"> visits and hospitalizations for insulin-related hypoglyc</w:t>
            </w:r>
            <w:r w:rsidR="00FC7833">
              <w:rPr>
                <w:lang w:val="en-AU"/>
              </w:rPr>
              <w:t>a</w:t>
            </w:r>
            <w:r w:rsidR="00FC7833" w:rsidRPr="00FC7833">
              <w:rPr>
                <w:lang w:val="en-AU"/>
              </w:rPr>
              <w:t>emia and errors</w:t>
            </w:r>
            <w:r w:rsidR="00FC7833">
              <w:rPr>
                <w:lang w:val="en-AU"/>
              </w:rPr>
              <w:t xml:space="preserve"> (</w:t>
            </w:r>
            <w:r w:rsidR="00FC7833" w:rsidRPr="00FC7833">
              <w:rPr>
                <w:lang w:val="en-AU"/>
              </w:rPr>
              <w:t>IHEs</w:t>
            </w:r>
            <w:r w:rsidR="00FC7833">
              <w:rPr>
                <w:lang w:val="en-AU"/>
              </w:rPr>
              <w:t>)</w:t>
            </w:r>
            <w:r w:rsidR="00FC7833" w:rsidRPr="00FC7833">
              <w:rPr>
                <w:lang w:val="en-AU"/>
              </w:rPr>
              <w:t xml:space="preserve"> among insulin-treated patients with diabetes mellitus</w:t>
            </w:r>
            <w:r w:rsidR="00FC7833">
              <w:rPr>
                <w:lang w:val="en-AU"/>
              </w:rPr>
              <w:t xml:space="preserve"> in the USA</w:t>
            </w:r>
            <w:r w:rsidR="00FC7833" w:rsidRPr="00FC7833">
              <w:rPr>
                <w:lang w:val="en-AU"/>
              </w:rPr>
              <w:t>.</w:t>
            </w:r>
            <w:r w:rsidR="00FC7833">
              <w:rPr>
                <w:lang w:val="en-AU"/>
              </w:rPr>
              <w:t xml:space="preserve"> The authors suggest nearly </w:t>
            </w:r>
            <w:r w:rsidR="00FC7833" w:rsidRPr="003332C8">
              <w:rPr>
                <w:b/>
                <w:lang w:val="en-AU"/>
              </w:rPr>
              <w:t>100,000 ED visits</w:t>
            </w:r>
            <w:r w:rsidR="00FC7833" w:rsidRPr="00FC7833">
              <w:rPr>
                <w:lang w:val="en-AU"/>
              </w:rPr>
              <w:t xml:space="preserve"> for IHEs occurred annually; </w:t>
            </w:r>
            <w:r w:rsidR="00FC7833">
              <w:rPr>
                <w:lang w:val="en-AU"/>
              </w:rPr>
              <w:t xml:space="preserve">with </w:t>
            </w:r>
            <w:r w:rsidR="00FC7833" w:rsidRPr="00FC7833">
              <w:rPr>
                <w:lang w:val="en-AU"/>
              </w:rPr>
              <w:t xml:space="preserve">almost </w:t>
            </w:r>
            <w:r w:rsidR="00FC7833" w:rsidRPr="003332C8">
              <w:rPr>
                <w:b/>
                <w:lang w:val="en-AU"/>
              </w:rPr>
              <w:t>one-third leading to hospitalisation</w:t>
            </w:r>
            <w:r w:rsidR="00FC7833" w:rsidRPr="00FC7833">
              <w:rPr>
                <w:lang w:val="en-AU"/>
              </w:rPr>
              <w:t xml:space="preserve">. </w:t>
            </w:r>
            <w:r w:rsidR="00FC7833">
              <w:rPr>
                <w:lang w:val="en-AU"/>
              </w:rPr>
              <w:t xml:space="preserve">The </w:t>
            </w:r>
            <w:r w:rsidR="00FC7833" w:rsidRPr="003332C8">
              <w:rPr>
                <w:b/>
                <w:lang w:val="en-AU"/>
              </w:rPr>
              <w:t>highest rates are for those aged over 80</w:t>
            </w:r>
            <w:r w:rsidR="00FC7833">
              <w:rPr>
                <w:lang w:val="en-AU"/>
              </w:rPr>
              <w:t xml:space="preserve">. They also note that the </w:t>
            </w:r>
            <w:r w:rsidR="00FC7833" w:rsidRPr="00FC7833">
              <w:rPr>
                <w:lang w:val="en-AU"/>
              </w:rPr>
              <w:t>most commonly identified precipitants were reduced food intake and administration of the wrong insulin product.</w:t>
            </w:r>
          </w:p>
        </w:tc>
      </w:tr>
      <w:tr w:rsidR="00221B5E" w:rsidRPr="00737BFB" w:rsidTr="00440D36">
        <w:tc>
          <w:tcPr>
            <w:tcW w:w="1080" w:type="dxa"/>
            <w:tcBorders>
              <w:top w:val="single" w:sz="4" w:space="0" w:color="auto"/>
              <w:left w:val="single" w:sz="4" w:space="0" w:color="auto"/>
              <w:bottom w:val="single" w:sz="4" w:space="0" w:color="auto"/>
              <w:right w:val="single" w:sz="4" w:space="0" w:color="auto"/>
            </w:tcBorders>
            <w:vAlign w:val="center"/>
          </w:tcPr>
          <w:p w:rsidR="00221B5E" w:rsidRPr="00737BFB" w:rsidRDefault="00221B5E" w:rsidP="00440D36">
            <w:pPr>
              <w:rPr>
                <w:lang w:val="en-AU"/>
              </w:rPr>
            </w:pPr>
            <w:r w:rsidRPr="00737BFB">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21B5E" w:rsidRPr="00737BFB" w:rsidRDefault="009F7547" w:rsidP="000E6AE4">
            <w:pPr>
              <w:rPr>
                <w:lang w:val="en-AU"/>
              </w:rPr>
            </w:pPr>
            <w:hyperlink r:id="rId22" w:history="1">
              <w:r w:rsidR="000E6AE4" w:rsidRPr="009D4758">
                <w:rPr>
                  <w:rStyle w:val="Hyperlink"/>
                  <w:lang w:val="en-AU"/>
                </w:rPr>
                <w:t>http://dx.doi.org/10.1001/jamainternmed.2014.136</w:t>
              </w:r>
            </w:hyperlink>
          </w:p>
        </w:tc>
      </w:tr>
    </w:tbl>
    <w:p w:rsidR="00221B5E" w:rsidRPr="00737BFB" w:rsidRDefault="00221B5E" w:rsidP="00221B5E">
      <w:pPr>
        <w:rPr>
          <w:i/>
          <w:lang w:val="en-AU"/>
        </w:rPr>
      </w:pPr>
    </w:p>
    <w:p w:rsidR="00FF288E" w:rsidRPr="00737BFB" w:rsidRDefault="00FF288E" w:rsidP="00FF288E">
      <w:pPr>
        <w:keepNext/>
        <w:autoSpaceDE w:val="0"/>
        <w:autoSpaceDN w:val="0"/>
        <w:adjustRightInd w:val="0"/>
        <w:rPr>
          <w:i/>
          <w:lang w:val="en-AU"/>
        </w:rPr>
      </w:pPr>
      <w:r w:rsidRPr="00737BFB">
        <w:rPr>
          <w:i/>
          <w:lang w:val="en-AU"/>
        </w:rPr>
        <w:lastRenderedPageBreak/>
        <w:t>Lessons for the Australian healthcare system from the Berwick report</w:t>
      </w:r>
    </w:p>
    <w:p w:rsidR="00FF288E" w:rsidRPr="00737BFB" w:rsidRDefault="00FF288E" w:rsidP="00FF288E">
      <w:pPr>
        <w:keepNext/>
        <w:autoSpaceDE w:val="0"/>
        <w:autoSpaceDN w:val="0"/>
        <w:adjustRightInd w:val="0"/>
        <w:rPr>
          <w:lang w:val="en-AU"/>
        </w:rPr>
      </w:pPr>
      <w:r w:rsidRPr="00737BFB">
        <w:rPr>
          <w:lang w:val="en-AU"/>
        </w:rPr>
        <w:t xml:space="preserve">Russell L, </w:t>
      </w:r>
      <w:proofErr w:type="spellStart"/>
      <w:r w:rsidRPr="00737BFB">
        <w:rPr>
          <w:lang w:val="en-AU"/>
        </w:rPr>
        <w:t>Dawda</w:t>
      </w:r>
      <w:proofErr w:type="spellEnd"/>
      <w:r w:rsidRPr="00737BFB">
        <w:rPr>
          <w:lang w:val="en-AU"/>
        </w:rPr>
        <w:t xml:space="preserve"> P</w:t>
      </w:r>
    </w:p>
    <w:p w:rsidR="00FF288E" w:rsidRPr="00737BFB" w:rsidRDefault="00FF288E" w:rsidP="00FF288E">
      <w:pPr>
        <w:keepNext/>
        <w:autoSpaceDE w:val="0"/>
        <w:autoSpaceDN w:val="0"/>
        <w:adjustRightInd w:val="0"/>
        <w:rPr>
          <w:lang w:val="en-AU"/>
        </w:rPr>
      </w:pPr>
      <w:r w:rsidRPr="00737BFB">
        <w:rPr>
          <w:lang w:val="en-AU"/>
        </w:rPr>
        <w:t>Australian Health Review 2014</w:t>
      </w:r>
      <w:proofErr w:type="gramStart"/>
      <w:r w:rsidRPr="00737BFB">
        <w:rPr>
          <w:lang w:val="en-AU"/>
        </w:rPr>
        <w:t>;38</w:t>
      </w:r>
      <w:proofErr w:type="gramEnd"/>
      <w:r w:rsidRPr="00737BFB">
        <w:rPr>
          <w:lang w:val="en-AU"/>
        </w:rPr>
        <w:t>(1):106-108.</w:t>
      </w:r>
    </w:p>
    <w:tbl>
      <w:tblPr>
        <w:tblStyle w:val="TableGrid"/>
        <w:tblW w:w="0" w:type="auto"/>
        <w:tblInd w:w="288" w:type="dxa"/>
        <w:tblLayout w:type="fixed"/>
        <w:tblLook w:val="01E0" w:firstRow="1" w:lastRow="1" w:firstColumn="1" w:lastColumn="1" w:noHBand="0" w:noVBand="0"/>
      </w:tblPr>
      <w:tblGrid>
        <w:gridCol w:w="1080"/>
        <w:gridCol w:w="8280"/>
      </w:tblGrid>
      <w:tr w:rsidR="00FF288E" w:rsidRPr="00737BFB" w:rsidTr="004665CC">
        <w:tc>
          <w:tcPr>
            <w:tcW w:w="1080" w:type="dxa"/>
            <w:tcBorders>
              <w:top w:val="single" w:sz="4" w:space="0" w:color="auto"/>
              <w:left w:val="single" w:sz="4" w:space="0" w:color="auto"/>
              <w:bottom w:val="single" w:sz="4" w:space="0" w:color="auto"/>
              <w:right w:val="single" w:sz="4" w:space="0" w:color="auto"/>
            </w:tcBorders>
            <w:vAlign w:val="center"/>
          </w:tcPr>
          <w:p w:rsidR="00FF288E" w:rsidRPr="00737BFB" w:rsidRDefault="00FF288E" w:rsidP="004665CC">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F288E" w:rsidRPr="00737BFB" w:rsidRDefault="00FF288E" w:rsidP="004665CC">
            <w:pPr>
              <w:rPr>
                <w:lang w:val="en-AU"/>
              </w:rPr>
            </w:pPr>
            <w:r w:rsidRPr="00737BFB">
              <w:rPr>
                <w:lang w:val="en-AU"/>
              </w:rPr>
              <w:t xml:space="preserve">In this short reflection on the latest on a series of reports from inquiries in hospital quality and safety issues, Russell and </w:t>
            </w:r>
            <w:proofErr w:type="spellStart"/>
            <w:r w:rsidRPr="00737BFB">
              <w:rPr>
                <w:lang w:val="en-AU"/>
              </w:rPr>
              <w:t>Dawda</w:t>
            </w:r>
            <w:proofErr w:type="spellEnd"/>
            <w:r w:rsidRPr="00737BFB">
              <w:rPr>
                <w:lang w:val="en-AU"/>
              </w:rPr>
              <w:t xml:space="preserve"> suggest that what is needed is a “a change in culture to drive </w:t>
            </w:r>
            <w:r w:rsidRPr="00737BFB">
              <w:rPr>
                <w:b/>
                <w:lang w:val="en-AU"/>
              </w:rPr>
              <w:t>a system of care that is open to learning, capable of identifying and admitting its problems and acting to correct them, and where the patient’s voice is always heard</w:t>
            </w:r>
            <w:r w:rsidRPr="00737BFB">
              <w:rPr>
                <w:lang w:val="en-AU"/>
              </w:rPr>
              <w:t>.”</w:t>
            </w:r>
          </w:p>
        </w:tc>
      </w:tr>
      <w:tr w:rsidR="00FF288E" w:rsidRPr="00737BFB" w:rsidTr="004665CC">
        <w:tc>
          <w:tcPr>
            <w:tcW w:w="1080" w:type="dxa"/>
            <w:tcBorders>
              <w:top w:val="single" w:sz="4" w:space="0" w:color="auto"/>
              <w:left w:val="single" w:sz="4" w:space="0" w:color="auto"/>
              <w:bottom w:val="single" w:sz="4" w:space="0" w:color="auto"/>
              <w:right w:val="single" w:sz="4" w:space="0" w:color="auto"/>
            </w:tcBorders>
            <w:vAlign w:val="center"/>
          </w:tcPr>
          <w:p w:rsidR="00FF288E" w:rsidRPr="00737BFB" w:rsidRDefault="00FF288E" w:rsidP="004665CC">
            <w:pPr>
              <w:rPr>
                <w:lang w:val="en-AU"/>
              </w:rPr>
            </w:pPr>
            <w:r w:rsidRPr="00737BFB">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F288E" w:rsidRPr="00737BFB" w:rsidRDefault="00FF288E" w:rsidP="004665CC">
            <w:pPr>
              <w:rPr>
                <w:lang w:val="en-AU"/>
              </w:rPr>
            </w:pPr>
            <w:hyperlink r:id="rId23" w:history="1">
              <w:r w:rsidRPr="00737BFB">
                <w:rPr>
                  <w:rStyle w:val="Hyperlink"/>
                  <w:lang w:val="en-AU"/>
                </w:rPr>
                <w:t>http://dx.doi.org/10.1071/AH13185</w:t>
              </w:r>
            </w:hyperlink>
          </w:p>
        </w:tc>
      </w:tr>
    </w:tbl>
    <w:p w:rsidR="00FF288E" w:rsidRPr="00737BFB" w:rsidRDefault="00FF288E" w:rsidP="00FF288E">
      <w:pPr>
        <w:rPr>
          <w:i/>
          <w:lang w:val="en-AU"/>
        </w:rPr>
      </w:pPr>
    </w:p>
    <w:p w:rsidR="00221B5E" w:rsidRPr="00737BFB" w:rsidRDefault="00221B5E" w:rsidP="00221B5E">
      <w:pPr>
        <w:keepNext/>
        <w:rPr>
          <w:lang w:val="en-AU"/>
        </w:rPr>
      </w:pPr>
      <w:r w:rsidRPr="00737BFB">
        <w:rPr>
          <w:i/>
          <w:lang w:val="en-AU"/>
        </w:rPr>
        <w:t xml:space="preserve">BMJ Quality and Safety </w:t>
      </w:r>
      <w:r w:rsidRPr="00737BFB">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221B5E" w:rsidRPr="00737BFB" w:rsidTr="00440D36">
        <w:tc>
          <w:tcPr>
            <w:tcW w:w="1080" w:type="dxa"/>
            <w:tcBorders>
              <w:top w:val="single" w:sz="4" w:space="0" w:color="auto"/>
              <w:left w:val="single" w:sz="4" w:space="0" w:color="auto"/>
              <w:bottom w:val="single" w:sz="4" w:space="0" w:color="auto"/>
              <w:right w:val="single" w:sz="4" w:space="0" w:color="auto"/>
            </w:tcBorders>
            <w:vAlign w:val="center"/>
          </w:tcPr>
          <w:p w:rsidR="00221B5E" w:rsidRPr="00737BFB" w:rsidRDefault="00221B5E" w:rsidP="00440D36">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21B5E" w:rsidRPr="00737BFB" w:rsidRDefault="00221B5E" w:rsidP="00440D36">
            <w:pPr>
              <w:rPr>
                <w:lang w:val="en-AU"/>
              </w:rPr>
            </w:pPr>
            <w:r w:rsidRPr="00737BFB">
              <w:rPr>
                <w:i/>
                <w:lang w:val="en-AU"/>
              </w:rPr>
              <w:t>BMJ Quality and Safety</w:t>
            </w:r>
            <w:r w:rsidRPr="00737BFB">
              <w:rPr>
                <w:lang w:val="en-AU"/>
              </w:rPr>
              <w:t xml:space="preserve"> has published a number of ‘online first’ articles, including:</w:t>
            </w:r>
          </w:p>
          <w:p w:rsidR="00D82F33" w:rsidRPr="00737BFB" w:rsidRDefault="00D82F33" w:rsidP="00D82F33">
            <w:pPr>
              <w:pStyle w:val="ListParagraph"/>
              <w:numPr>
                <w:ilvl w:val="0"/>
                <w:numId w:val="24"/>
              </w:numPr>
              <w:rPr>
                <w:lang w:val="en-AU"/>
              </w:rPr>
            </w:pPr>
            <w:r w:rsidRPr="00D82F33">
              <w:rPr>
                <w:lang w:val="en-AU"/>
              </w:rPr>
              <w:t xml:space="preserve">The </w:t>
            </w:r>
            <w:r w:rsidRPr="00D82F33">
              <w:rPr>
                <w:b/>
                <w:lang w:val="en-AU"/>
              </w:rPr>
              <w:t>limits of</w:t>
            </w:r>
            <w:r w:rsidRPr="00D82F33">
              <w:rPr>
                <w:lang w:val="en-AU"/>
              </w:rPr>
              <w:t xml:space="preserve"> </w:t>
            </w:r>
            <w:r w:rsidRPr="00D82F33">
              <w:rPr>
                <w:b/>
                <w:lang w:val="en-AU"/>
              </w:rPr>
              <w:t>checklists</w:t>
            </w:r>
            <w:r w:rsidRPr="00D82F33">
              <w:rPr>
                <w:lang w:val="en-AU"/>
              </w:rPr>
              <w:t xml:space="preserve">: handoff and narrative thinking </w:t>
            </w:r>
            <w:r>
              <w:rPr>
                <w:lang w:val="en-AU"/>
              </w:rPr>
              <w:t>(</w:t>
            </w:r>
            <w:r w:rsidRPr="00D82F33">
              <w:rPr>
                <w:lang w:val="en-AU"/>
              </w:rPr>
              <w:t xml:space="preserve">Brian </w:t>
            </w:r>
            <w:proofErr w:type="spellStart"/>
            <w:r w:rsidRPr="00D82F33">
              <w:rPr>
                <w:lang w:val="en-AU"/>
              </w:rPr>
              <w:t>Hilligoss</w:t>
            </w:r>
            <w:proofErr w:type="spellEnd"/>
            <w:r w:rsidRPr="00D82F33">
              <w:rPr>
                <w:lang w:val="en-AU"/>
              </w:rPr>
              <w:t>, Susan D Moffatt-Bruce</w:t>
            </w:r>
            <w:r>
              <w:rPr>
                <w:lang w:val="en-AU"/>
              </w:rPr>
              <w:t>)</w:t>
            </w:r>
          </w:p>
        </w:tc>
      </w:tr>
      <w:tr w:rsidR="00221B5E" w:rsidRPr="00737BFB" w:rsidTr="00440D36">
        <w:tc>
          <w:tcPr>
            <w:tcW w:w="1080" w:type="dxa"/>
            <w:tcBorders>
              <w:top w:val="single" w:sz="4" w:space="0" w:color="auto"/>
              <w:left w:val="single" w:sz="4" w:space="0" w:color="auto"/>
              <w:bottom w:val="single" w:sz="4" w:space="0" w:color="auto"/>
              <w:right w:val="single" w:sz="4" w:space="0" w:color="auto"/>
            </w:tcBorders>
            <w:vAlign w:val="center"/>
          </w:tcPr>
          <w:p w:rsidR="00221B5E" w:rsidRPr="00737BFB" w:rsidRDefault="00221B5E" w:rsidP="00440D36">
            <w:pPr>
              <w:rPr>
                <w:lang w:val="en-AU"/>
              </w:rPr>
            </w:pPr>
            <w:r w:rsidRPr="00737BFB">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21B5E" w:rsidRPr="00737BFB" w:rsidRDefault="009F7547" w:rsidP="00440D36">
            <w:pPr>
              <w:rPr>
                <w:lang w:val="en-AU"/>
              </w:rPr>
            </w:pPr>
            <w:hyperlink r:id="rId24" w:history="1">
              <w:r w:rsidR="00221B5E" w:rsidRPr="00737BFB">
                <w:rPr>
                  <w:rStyle w:val="Hyperlink"/>
                  <w:lang w:val="en-AU"/>
                </w:rPr>
                <w:t>http://qualitysafety.bmj.com/content/early/recent</w:t>
              </w:r>
            </w:hyperlink>
          </w:p>
        </w:tc>
      </w:tr>
    </w:tbl>
    <w:p w:rsidR="008B3D8F" w:rsidRPr="00737BFB" w:rsidRDefault="008B3D8F" w:rsidP="008B3D8F">
      <w:pPr>
        <w:rPr>
          <w:i/>
          <w:lang w:val="en-AU"/>
        </w:rPr>
      </w:pPr>
    </w:p>
    <w:p w:rsidR="00E75495" w:rsidRPr="00737BFB" w:rsidRDefault="00E75495" w:rsidP="00E75495">
      <w:pPr>
        <w:keepNext/>
        <w:autoSpaceDE w:val="0"/>
        <w:autoSpaceDN w:val="0"/>
        <w:adjustRightInd w:val="0"/>
        <w:rPr>
          <w:lang w:val="en-AU"/>
        </w:rPr>
      </w:pPr>
      <w:r w:rsidRPr="00737BFB">
        <w:rPr>
          <w:i/>
          <w:lang w:val="en-AU"/>
        </w:rPr>
        <w:t>International Journal for Quality in Health Care</w:t>
      </w:r>
      <w:r w:rsidRPr="00737BFB">
        <w:rPr>
          <w:lang w:val="en-AU"/>
        </w:rPr>
        <w:t xml:space="preserve"> 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E75495" w:rsidRPr="00737BFB" w:rsidTr="003550AB">
        <w:tc>
          <w:tcPr>
            <w:tcW w:w="1080" w:type="dxa"/>
            <w:tcBorders>
              <w:top w:val="single" w:sz="4" w:space="0" w:color="auto"/>
              <w:left w:val="single" w:sz="4" w:space="0" w:color="auto"/>
              <w:bottom w:val="single" w:sz="4" w:space="0" w:color="auto"/>
              <w:right w:val="single" w:sz="4" w:space="0" w:color="auto"/>
            </w:tcBorders>
            <w:vAlign w:val="center"/>
          </w:tcPr>
          <w:p w:rsidR="00E75495" w:rsidRPr="00737BFB" w:rsidRDefault="00E75495" w:rsidP="003550AB">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D3F16" w:rsidRPr="00737BFB" w:rsidRDefault="00E75495" w:rsidP="005D3F16">
            <w:pPr>
              <w:rPr>
                <w:lang w:val="en-AU"/>
              </w:rPr>
            </w:pPr>
            <w:r w:rsidRPr="00737BFB">
              <w:rPr>
                <w:i/>
                <w:lang w:val="en-AU"/>
              </w:rPr>
              <w:t>International Journal for Quality in Health Care</w:t>
            </w:r>
            <w:r w:rsidRPr="00737BFB">
              <w:rPr>
                <w:lang w:val="en-AU"/>
              </w:rPr>
              <w:t xml:space="preserve"> has published a number of ‘online first’ articles, including:</w:t>
            </w:r>
          </w:p>
          <w:p w:rsidR="00CD747C" w:rsidRPr="00460A32" w:rsidRDefault="00CD747C" w:rsidP="00CD747C">
            <w:pPr>
              <w:pStyle w:val="ListParagraph"/>
              <w:numPr>
                <w:ilvl w:val="0"/>
                <w:numId w:val="34"/>
              </w:numPr>
              <w:rPr>
                <w:lang w:val="en-AU"/>
              </w:rPr>
            </w:pPr>
            <w:r w:rsidRPr="00460A32">
              <w:rPr>
                <w:b/>
                <w:lang w:val="en-AU"/>
              </w:rPr>
              <w:t>Patient safety in the operating theatre</w:t>
            </w:r>
            <w:r w:rsidRPr="00460A32">
              <w:rPr>
                <w:lang w:val="en-AU"/>
              </w:rPr>
              <w:t>: how A3 thinking can help reduce door movement</w:t>
            </w:r>
            <w:r w:rsidRPr="00460A32">
              <w:rPr>
                <w:lang w:val="en-AU"/>
              </w:rPr>
              <w:t xml:space="preserve"> (</w:t>
            </w:r>
            <w:r w:rsidRPr="00460A32">
              <w:rPr>
                <w:lang w:val="en-AU"/>
              </w:rPr>
              <w:t xml:space="preserve">Frederique Elisabeth Simons, </w:t>
            </w:r>
            <w:proofErr w:type="spellStart"/>
            <w:r w:rsidRPr="00460A32">
              <w:rPr>
                <w:lang w:val="en-AU"/>
              </w:rPr>
              <w:t>Kjeld</w:t>
            </w:r>
            <w:proofErr w:type="spellEnd"/>
            <w:r w:rsidRPr="00460A32">
              <w:rPr>
                <w:lang w:val="en-AU"/>
              </w:rPr>
              <w:t xml:space="preserve"> </w:t>
            </w:r>
            <w:proofErr w:type="spellStart"/>
            <w:r w:rsidRPr="00460A32">
              <w:rPr>
                <w:lang w:val="en-AU"/>
              </w:rPr>
              <w:t>Harald</w:t>
            </w:r>
            <w:proofErr w:type="spellEnd"/>
            <w:r w:rsidRPr="00460A32">
              <w:rPr>
                <w:lang w:val="en-AU"/>
              </w:rPr>
              <w:t xml:space="preserve"> </w:t>
            </w:r>
            <w:proofErr w:type="spellStart"/>
            <w:r w:rsidRPr="00460A32">
              <w:rPr>
                <w:lang w:val="en-AU"/>
              </w:rPr>
              <w:t>Aij</w:t>
            </w:r>
            <w:proofErr w:type="spellEnd"/>
            <w:r w:rsidRPr="00460A32">
              <w:rPr>
                <w:lang w:val="en-AU"/>
              </w:rPr>
              <w:t xml:space="preserve">, Guy A.M. </w:t>
            </w:r>
            <w:proofErr w:type="spellStart"/>
            <w:r w:rsidRPr="00460A32">
              <w:rPr>
                <w:lang w:val="en-AU"/>
              </w:rPr>
              <w:t>Widdershoven</w:t>
            </w:r>
            <w:proofErr w:type="spellEnd"/>
            <w:r w:rsidRPr="00460A32">
              <w:rPr>
                <w:lang w:val="en-AU"/>
              </w:rPr>
              <w:t xml:space="preserve">, and </w:t>
            </w:r>
            <w:proofErr w:type="spellStart"/>
            <w:r w:rsidRPr="00460A32">
              <w:rPr>
                <w:lang w:val="en-AU"/>
              </w:rPr>
              <w:t>Merel</w:t>
            </w:r>
            <w:proofErr w:type="spellEnd"/>
            <w:r w:rsidRPr="00460A32">
              <w:rPr>
                <w:lang w:val="en-AU"/>
              </w:rPr>
              <w:t xml:space="preserve"> </w:t>
            </w:r>
            <w:proofErr w:type="spellStart"/>
            <w:r w:rsidRPr="00460A32">
              <w:rPr>
                <w:lang w:val="en-AU"/>
              </w:rPr>
              <w:t>Visse</w:t>
            </w:r>
            <w:proofErr w:type="spellEnd"/>
            <w:r w:rsidRPr="00460A32">
              <w:rPr>
                <w:lang w:val="en-AU"/>
              </w:rPr>
              <w:t>)</w:t>
            </w:r>
          </w:p>
          <w:p w:rsidR="00CD747C" w:rsidRPr="00CD747C" w:rsidRDefault="00CD747C" w:rsidP="00CD747C">
            <w:pPr>
              <w:pStyle w:val="ListParagraph"/>
              <w:numPr>
                <w:ilvl w:val="0"/>
                <w:numId w:val="34"/>
              </w:numPr>
              <w:rPr>
                <w:lang w:val="en-AU"/>
              </w:rPr>
            </w:pPr>
            <w:r w:rsidRPr="00CD747C">
              <w:rPr>
                <w:lang w:val="en-AU"/>
              </w:rPr>
              <w:t xml:space="preserve">Is the </w:t>
            </w:r>
            <w:r w:rsidRPr="00CD747C">
              <w:rPr>
                <w:b/>
                <w:lang w:val="en-AU"/>
              </w:rPr>
              <w:t>implementation of quality improvement methods</w:t>
            </w:r>
            <w:r w:rsidRPr="00CD747C">
              <w:rPr>
                <w:lang w:val="en-AU"/>
              </w:rPr>
              <w:t xml:space="preserve"> in hospitals subject</w:t>
            </w:r>
            <w:r w:rsidRPr="00CD747C">
              <w:rPr>
                <w:lang w:val="en-AU"/>
              </w:rPr>
              <w:t xml:space="preserve"> </w:t>
            </w:r>
            <w:r w:rsidRPr="00CD747C">
              <w:rPr>
                <w:lang w:val="en-AU"/>
              </w:rPr>
              <w:t>to the neighbourhood effect?</w:t>
            </w:r>
            <w:r w:rsidRPr="00CD747C">
              <w:rPr>
                <w:lang w:val="en-AU"/>
              </w:rPr>
              <w:t xml:space="preserve"> (</w:t>
            </w:r>
            <w:proofErr w:type="spellStart"/>
            <w:r w:rsidRPr="00CD747C">
              <w:rPr>
                <w:lang w:val="en-AU"/>
              </w:rPr>
              <w:t>Tsung-Hsien</w:t>
            </w:r>
            <w:proofErr w:type="spellEnd"/>
            <w:r w:rsidRPr="00CD747C">
              <w:rPr>
                <w:lang w:val="en-AU"/>
              </w:rPr>
              <w:t xml:space="preserve"> Yu and </w:t>
            </w:r>
            <w:proofErr w:type="spellStart"/>
            <w:r w:rsidRPr="00CD747C">
              <w:rPr>
                <w:lang w:val="en-AU"/>
              </w:rPr>
              <w:t>Kuo-Piao</w:t>
            </w:r>
            <w:proofErr w:type="spellEnd"/>
            <w:r w:rsidRPr="00CD747C">
              <w:rPr>
                <w:lang w:val="en-AU"/>
              </w:rPr>
              <w:t xml:space="preserve"> Chung</w:t>
            </w:r>
            <w:r>
              <w:rPr>
                <w:lang w:val="en-AU"/>
              </w:rPr>
              <w:t>)</w:t>
            </w:r>
          </w:p>
          <w:p w:rsidR="00E75495" w:rsidRPr="00737BFB" w:rsidRDefault="00CD747C" w:rsidP="00CD747C">
            <w:pPr>
              <w:pStyle w:val="ListParagraph"/>
              <w:numPr>
                <w:ilvl w:val="0"/>
                <w:numId w:val="34"/>
              </w:numPr>
              <w:rPr>
                <w:lang w:val="en-AU"/>
              </w:rPr>
            </w:pPr>
            <w:r w:rsidRPr="00CD747C">
              <w:rPr>
                <w:lang w:val="en-AU"/>
              </w:rPr>
              <w:t xml:space="preserve">Evaluating </w:t>
            </w:r>
            <w:r w:rsidRPr="00CD747C">
              <w:rPr>
                <w:b/>
                <w:lang w:val="en-AU"/>
              </w:rPr>
              <w:t>quality indicators</w:t>
            </w:r>
            <w:r w:rsidRPr="00CD747C">
              <w:rPr>
                <w:lang w:val="en-AU"/>
              </w:rPr>
              <w:t xml:space="preserve"> for </w:t>
            </w:r>
            <w:r w:rsidRPr="00CD747C">
              <w:rPr>
                <w:b/>
                <w:lang w:val="en-AU"/>
              </w:rPr>
              <w:t>physical therapy</w:t>
            </w:r>
            <w:r w:rsidRPr="00CD747C">
              <w:rPr>
                <w:lang w:val="en-AU"/>
              </w:rPr>
              <w:t xml:space="preserve"> in primary care</w:t>
            </w:r>
            <w:r w:rsidRPr="00CD747C">
              <w:rPr>
                <w:lang w:val="en-AU"/>
              </w:rPr>
              <w:t xml:space="preserve"> (</w:t>
            </w:r>
            <w:proofErr w:type="spellStart"/>
            <w:r w:rsidRPr="00CD747C">
              <w:rPr>
                <w:lang w:val="en-AU"/>
              </w:rPr>
              <w:t>Marijn</w:t>
            </w:r>
            <w:proofErr w:type="spellEnd"/>
            <w:r w:rsidRPr="00CD747C">
              <w:rPr>
                <w:lang w:val="en-AU"/>
              </w:rPr>
              <w:t xml:space="preserve"> </w:t>
            </w:r>
            <w:proofErr w:type="spellStart"/>
            <w:r w:rsidRPr="00CD747C">
              <w:rPr>
                <w:lang w:val="en-AU"/>
              </w:rPr>
              <w:t>Scholte</w:t>
            </w:r>
            <w:proofErr w:type="spellEnd"/>
            <w:r w:rsidRPr="00CD747C">
              <w:rPr>
                <w:lang w:val="en-AU"/>
              </w:rPr>
              <w:t xml:space="preserve">, Catharina W.M. </w:t>
            </w:r>
            <w:proofErr w:type="spellStart"/>
            <w:r w:rsidRPr="00CD747C">
              <w:rPr>
                <w:lang w:val="en-AU"/>
              </w:rPr>
              <w:t>Neeleman</w:t>
            </w:r>
            <w:proofErr w:type="spellEnd"/>
            <w:r w:rsidRPr="00CD747C">
              <w:rPr>
                <w:lang w:val="en-AU"/>
              </w:rPr>
              <w:t xml:space="preserve">-van der Steen, Erik J.M. </w:t>
            </w:r>
            <w:proofErr w:type="spellStart"/>
            <w:r w:rsidRPr="00CD747C">
              <w:rPr>
                <w:lang w:val="en-AU"/>
              </w:rPr>
              <w:t>Hendriks</w:t>
            </w:r>
            <w:proofErr w:type="spellEnd"/>
            <w:r w:rsidRPr="00CD747C">
              <w:rPr>
                <w:lang w:val="en-AU"/>
              </w:rPr>
              <w:t xml:space="preserve">, Maria W.G. </w:t>
            </w:r>
            <w:proofErr w:type="spellStart"/>
            <w:r w:rsidRPr="00CD747C">
              <w:rPr>
                <w:lang w:val="en-AU"/>
              </w:rPr>
              <w:t>Nijhuis</w:t>
            </w:r>
            <w:proofErr w:type="spellEnd"/>
            <w:r w:rsidRPr="00CD747C">
              <w:rPr>
                <w:lang w:val="en-AU"/>
              </w:rPr>
              <w:t xml:space="preserve">-van der Sanden, and </w:t>
            </w:r>
            <w:proofErr w:type="spellStart"/>
            <w:r w:rsidRPr="00CD747C">
              <w:rPr>
                <w:lang w:val="en-AU"/>
              </w:rPr>
              <w:t>Jozé</w:t>
            </w:r>
            <w:proofErr w:type="spellEnd"/>
            <w:r w:rsidRPr="00CD747C">
              <w:rPr>
                <w:lang w:val="en-AU"/>
              </w:rPr>
              <w:t xml:space="preserve"> </w:t>
            </w:r>
            <w:proofErr w:type="spellStart"/>
            <w:r w:rsidRPr="00CD747C">
              <w:rPr>
                <w:lang w:val="en-AU"/>
              </w:rPr>
              <w:t>Braspenning</w:t>
            </w:r>
            <w:proofErr w:type="spellEnd"/>
            <w:r>
              <w:rPr>
                <w:lang w:val="en-AU"/>
              </w:rPr>
              <w:t>)</w:t>
            </w:r>
          </w:p>
        </w:tc>
      </w:tr>
      <w:tr w:rsidR="00E75495" w:rsidRPr="00737BFB" w:rsidTr="003550AB">
        <w:tc>
          <w:tcPr>
            <w:tcW w:w="1080" w:type="dxa"/>
            <w:tcBorders>
              <w:top w:val="single" w:sz="4" w:space="0" w:color="auto"/>
              <w:left w:val="single" w:sz="4" w:space="0" w:color="auto"/>
              <w:bottom w:val="single" w:sz="4" w:space="0" w:color="auto"/>
              <w:right w:val="single" w:sz="4" w:space="0" w:color="auto"/>
            </w:tcBorders>
            <w:vAlign w:val="center"/>
          </w:tcPr>
          <w:p w:rsidR="00E75495" w:rsidRPr="00737BFB" w:rsidRDefault="00E75495" w:rsidP="003550AB">
            <w:pPr>
              <w:rPr>
                <w:lang w:val="en-AU"/>
              </w:rPr>
            </w:pPr>
            <w:r w:rsidRPr="00737BFB">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75495" w:rsidRPr="00737BFB" w:rsidRDefault="009F7547" w:rsidP="003550AB">
            <w:pPr>
              <w:rPr>
                <w:lang w:val="en-AU"/>
              </w:rPr>
            </w:pPr>
            <w:hyperlink r:id="rId25" w:history="1">
              <w:r w:rsidR="00E75495" w:rsidRPr="00737BFB">
                <w:rPr>
                  <w:rStyle w:val="Hyperlink"/>
                  <w:lang w:val="en-AU"/>
                </w:rPr>
                <w:t>http://intqhc.oxfordjournals.org/content/early/recent?papetoc</w:t>
              </w:r>
            </w:hyperlink>
          </w:p>
        </w:tc>
      </w:tr>
    </w:tbl>
    <w:p w:rsidR="00E75495" w:rsidRPr="00737BFB" w:rsidRDefault="00E75495" w:rsidP="00E75495">
      <w:pPr>
        <w:rPr>
          <w:i/>
          <w:lang w:val="en-AU"/>
        </w:rPr>
      </w:pPr>
    </w:p>
    <w:p w:rsidR="008B3D8F" w:rsidRPr="00737BFB" w:rsidRDefault="008B3D8F">
      <w:pPr>
        <w:rPr>
          <w:b/>
          <w:lang w:val="en-AU"/>
        </w:rPr>
      </w:pPr>
    </w:p>
    <w:p w:rsidR="00BC7980" w:rsidRPr="00737BFB" w:rsidRDefault="00BC7980" w:rsidP="000E66C3">
      <w:pPr>
        <w:rPr>
          <w:b/>
          <w:lang w:val="en-AU"/>
        </w:rPr>
      </w:pPr>
      <w:r w:rsidRPr="00737BFB">
        <w:rPr>
          <w:b/>
          <w:lang w:val="en-AU"/>
        </w:rPr>
        <w:t>Online resources</w:t>
      </w:r>
    </w:p>
    <w:p w:rsidR="00BC7980" w:rsidRDefault="00BC7980" w:rsidP="000E66C3">
      <w:pPr>
        <w:rPr>
          <w:lang w:val="en-AU"/>
        </w:rPr>
      </w:pPr>
    </w:p>
    <w:p w:rsidR="00FC627B" w:rsidRPr="00FC627B" w:rsidRDefault="00FC627B" w:rsidP="000E66C3">
      <w:pPr>
        <w:rPr>
          <w:i/>
          <w:lang w:val="en-AU"/>
        </w:rPr>
      </w:pPr>
      <w:r w:rsidRPr="00FC627B">
        <w:rPr>
          <w:i/>
          <w:lang w:val="en-AU"/>
        </w:rPr>
        <w:t>Queensland Stay On Your Feet®</w:t>
      </w:r>
    </w:p>
    <w:p w:rsidR="00FC627B" w:rsidRDefault="009F7547" w:rsidP="000E66C3">
      <w:pPr>
        <w:rPr>
          <w:lang w:val="en-AU"/>
        </w:rPr>
      </w:pPr>
      <w:hyperlink r:id="rId26" w:history="1">
        <w:r w:rsidR="00FC627B" w:rsidRPr="001A2568">
          <w:rPr>
            <w:rStyle w:val="Hyperlink"/>
            <w:lang w:val="en-AU"/>
          </w:rPr>
          <w:t>http://www.health.qld.gov.au/stayonyourfeet/</w:t>
        </w:r>
      </w:hyperlink>
    </w:p>
    <w:p w:rsidR="00FC627B" w:rsidRDefault="00FC627B" w:rsidP="000E66C3">
      <w:pPr>
        <w:rPr>
          <w:lang w:val="en-AU"/>
        </w:rPr>
      </w:pPr>
      <w:r>
        <w:rPr>
          <w:lang w:val="en-AU"/>
        </w:rPr>
        <w:t>This website offers information and resources for consumers and health workers “</w:t>
      </w:r>
      <w:r w:rsidRPr="00FC627B">
        <w:rPr>
          <w:lang w:val="en-AU"/>
        </w:rPr>
        <w:t>to help Queenslanders stay healthy, active, independent and on their feet. This site is for seniors and anyone who works with seniors, including individuals, organisations, health professionals in hospitals and the community, aged care facilities, local councils, government departments, and the fitness industry.</w:t>
      </w:r>
      <w:r>
        <w:rPr>
          <w:lang w:val="en-AU"/>
        </w:rPr>
        <w:t>”</w:t>
      </w:r>
    </w:p>
    <w:p w:rsidR="00FC627B" w:rsidRDefault="00FC627B" w:rsidP="000E66C3">
      <w:pPr>
        <w:rPr>
          <w:lang w:val="en-AU"/>
        </w:rPr>
      </w:pPr>
      <w:r>
        <w:rPr>
          <w:lang w:val="en-AU"/>
        </w:rPr>
        <w:t>The site is part of the April No Falls campaign. The campaign is running across various social media, including:</w:t>
      </w:r>
    </w:p>
    <w:p w:rsidR="00FC627B" w:rsidRPr="00FC627B" w:rsidRDefault="00FC627B" w:rsidP="00FC627B">
      <w:pPr>
        <w:pStyle w:val="ListParagraph"/>
        <w:numPr>
          <w:ilvl w:val="0"/>
          <w:numId w:val="34"/>
        </w:numPr>
        <w:rPr>
          <w:lang w:val="en-AU"/>
        </w:rPr>
      </w:pPr>
      <w:proofErr w:type="spellStart"/>
      <w:r w:rsidRPr="00FC627B">
        <w:rPr>
          <w:lang w:val="en-AU"/>
        </w:rPr>
        <w:t>Youtube</w:t>
      </w:r>
      <w:proofErr w:type="spellEnd"/>
      <w:r w:rsidRPr="00FC627B">
        <w:rPr>
          <w:lang w:val="en-AU"/>
        </w:rPr>
        <w:t xml:space="preserve"> </w:t>
      </w:r>
      <w:hyperlink r:id="rId27" w:history="1">
        <w:r w:rsidRPr="00FC627B">
          <w:rPr>
            <w:rStyle w:val="Hyperlink"/>
            <w:lang w:val="en-AU"/>
          </w:rPr>
          <w:t>http://www.youtube.com/watch?v=niKRi3jEWEE</w:t>
        </w:r>
      </w:hyperlink>
    </w:p>
    <w:p w:rsidR="00FC627B" w:rsidRPr="00FC627B" w:rsidRDefault="00FC627B" w:rsidP="00FC627B">
      <w:pPr>
        <w:pStyle w:val="ListParagraph"/>
        <w:numPr>
          <w:ilvl w:val="0"/>
          <w:numId w:val="34"/>
        </w:numPr>
        <w:rPr>
          <w:lang w:val="en-AU"/>
        </w:rPr>
      </w:pPr>
      <w:r w:rsidRPr="00FC627B">
        <w:rPr>
          <w:lang w:val="en-AU"/>
        </w:rPr>
        <w:t xml:space="preserve">Twitter – use #falls prevention - </w:t>
      </w:r>
      <w:hyperlink r:id="rId28" w:history="1">
        <w:r w:rsidRPr="00FC627B">
          <w:rPr>
            <w:rStyle w:val="Hyperlink"/>
            <w:lang w:val="en-AU"/>
          </w:rPr>
          <w:t>https://twitter.com/qldhealthnews?original_referer=http%3A%2F%2Fwww.health.qld.gov.au%2F&amp;profile_id=35997368&amp;tw_i=450740681469083648&amp;tw_p=embeddedtimeline&amp;tw_w=384587622825205761</w:t>
        </w:r>
      </w:hyperlink>
    </w:p>
    <w:p w:rsidR="00FC627B" w:rsidRPr="00FC627B" w:rsidRDefault="00FC627B" w:rsidP="00FC627B">
      <w:pPr>
        <w:pStyle w:val="ListParagraph"/>
        <w:numPr>
          <w:ilvl w:val="0"/>
          <w:numId w:val="34"/>
        </w:numPr>
        <w:rPr>
          <w:lang w:val="en-AU"/>
        </w:rPr>
      </w:pPr>
      <w:r w:rsidRPr="00FC627B">
        <w:rPr>
          <w:lang w:val="en-AU"/>
        </w:rPr>
        <w:t xml:space="preserve">Facebook - </w:t>
      </w:r>
      <w:hyperlink r:id="rId29" w:history="1">
        <w:r w:rsidRPr="00FC627B">
          <w:rPr>
            <w:rStyle w:val="Hyperlink"/>
            <w:lang w:val="en-AU"/>
          </w:rPr>
          <w:t>https://www.facebook.com/QLDHealth</w:t>
        </w:r>
      </w:hyperlink>
      <w:r w:rsidRPr="00FC627B">
        <w:rPr>
          <w:lang w:val="en-AU"/>
        </w:rPr>
        <w:t xml:space="preserve"> </w:t>
      </w:r>
    </w:p>
    <w:p w:rsidR="00FC627B" w:rsidRPr="00737BFB" w:rsidRDefault="00FC627B" w:rsidP="000E66C3">
      <w:pPr>
        <w:rPr>
          <w:lang w:val="en-AU"/>
        </w:rPr>
      </w:pPr>
    </w:p>
    <w:p w:rsidR="008219F0" w:rsidRPr="00737BFB" w:rsidRDefault="008219F0" w:rsidP="00FF288E">
      <w:pPr>
        <w:keepNext/>
        <w:rPr>
          <w:i/>
          <w:lang w:val="en-AU"/>
        </w:rPr>
      </w:pPr>
      <w:r w:rsidRPr="00737BFB">
        <w:rPr>
          <w:i/>
          <w:lang w:val="en-AU"/>
        </w:rPr>
        <w:lastRenderedPageBreak/>
        <w:t>[UK] Managing medicines in care homes</w:t>
      </w:r>
    </w:p>
    <w:p w:rsidR="008219F0" w:rsidRPr="00737BFB" w:rsidRDefault="009F7547" w:rsidP="000E66C3">
      <w:pPr>
        <w:rPr>
          <w:lang w:val="en-AU"/>
        </w:rPr>
      </w:pPr>
      <w:hyperlink r:id="rId30" w:history="1">
        <w:r w:rsidR="008219F0" w:rsidRPr="00737BFB">
          <w:rPr>
            <w:rStyle w:val="Hyperlink"/>
            <w:lang w:val="en-AU"/>
          </w:rPr>
          <w:t>http://www.nice.org.uk/guidance/sc/SC1.jsp</w:t>
        </w:r>
      </w:hyperlink>
      <w:r w:rsidR="008219F0" w:rsidRPr="00737BFB">
        <w:rPr>
          <w:lang w:val="en-AU"/>
        </w:rPr>
        <w:t xml:space="preserve"> </w:t>
      </w:r>
    </w:p>
    <w:p w:rsidR="008219F0" w:rsidRPr="00737BFB" w:rsidRDefault="008219F0" w:rsidP="008219F0">
      <w:pPr>
        <w:rPr>
          <w:lang w:val="en-AU"/>
        </w:rPr>
      </w:pPr>
      <w:r w:rsidRPr="00737BFB">
        <w:rPr>
          <w:lang w:val="en-AU"/>
        </w:rPr>
        <w:t>The UK National Institute for Health and Care Excellence (NICE) has released this guidance on managing medicines in care homes and recommends that all care home providers have a care home medicines policy. The guidance examines the prescribing, handling and administering medicines to residents living in care homes and the provision of care or services relating to medicines in care homes.</w:t>
      </w:r>
    </w:p>
    <w:p w:rsidR="008219F0" w:rsidRPr="00737BFB" w:rsidRDefault="008219F0" w:rsidP="006401D7">
      <w:pPr>
        <w:rPr>
          <w:lang w:val="en-AU"/>
        </w:rPr>
      </w:pPr>
    </w:p>
    <w:p w:rsidR="00B160EF" w:rsidRPr="00737BFB" w:rsidRDefault="00B160EF" w:rsidP="00B160EF">
      <w:pPr>
        <w:keepNext/>
        <w:pBdr>
          <w:top w:val="single" w:sz="4" w:space="1" w:color="auto"/>
        </w:pBdr>
        <w:rPr>
          <w:b/>
          <w:lang w:val="en-AU"/>
        </w:rPr>
      </w:pPr>
      <w:r w:rsidRPr="00737BFB">
        <w:rPr>
          <w:b/>
          <w:lang w:val="en-AU"/>
        </w:rPr>
        <w:t>Disclaimer</w:t>
      </w:r>
    </w:p>
    <w:p w:rsidR="00E41D2F" w:rsidRPr="00737BFB" w:rsidRDefault="00B160EF" w:rsidP="00B160EF">
      <w:pPr>
        <w:rPr>
          <w:lang w:val="en-AU"/>
        </w:rPr>
      </w:pPr>
      <w:r w:rsidRPr="00737BFB">
        <w:rPr>
          <w:i/>
          <w:lang w:val="en-AU"/>
        </w:rPr>
        <w:t xml:space="preserve">On the </w:t>
      </w:r>
      <w:r w:rsidR="001A66F9" w:rsidRPr="00737BFB">
        <w:rPr>
          <w:i/>
          <w:lang w:val="en-AU"/>
        </w:rPr>
        <w:t>R</w:t>
      </w:r>
      <w:r w:rsidRPr="00737BFB">
        <w:rPr>
          <w:i/>
          <w:lang w:val="en-AU"/>
        </w:rPr>
        <w:t>adar</w:t>
      </w:r>
      <w:r w:rsidRPr="00737BFB">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737BFB" w:rsidSect="005C5ABC">
      <w:footerReference w:type="even" r:id="rId31"/>
      <w:footerReference w:type="default" r:id="rId3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547" w:rsidRDefault="009F7547">
      <w:r>
        <w:separator/>
      </w:r>
    </w:p>
  </w:endnote>
  <w:endnote w:type="continuationSeparator" w:id="0">
    <w:p w:rsidR="009F7547" w:rsidRDefault="009F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altName w:val="Times New Roman"/>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46" w:rsidRDefault="00E2394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60A32">
      <w:rPr>
        <w:rStyle w:val="PageNumber"/>
        <w:noProof/>
      </w:rPr>
      <w:t>2</w:t>
    </w:r>
    <w:r>
      <w:rPr>
        <w:rStyle w:val="PageNumber"/>
      </w:rPr>
      <w:fldChar w:fldCharType="end"/>
    </w:r>
  </w:p>
  <w:p w:rsidR="00E23946" w:rsidRDefault="00E23946" w:rsidP="00F1532A">
    <w:pPr>
      <w:pStyle w:val="Footer"/>
      <w:tabs>
        <w:tab w:val="clear" w:pos="8306"/>
        <w:tab w:val="right" w:pos="9540"/>
      </w:tabs>
      <w:ind w:right="360"/>
    </w:pPr>
    <w:r>
      <w:tab/>
    </w:r>
    <w:r>
      <w:tab/>
    </w:r>
    <w:r w:rsidRPr="00942E61">
      <w:rPr>
        <w:i/>
      </w:rPr>
      <w:t>On the Radar</w:t>
    </w:r>
    <w:r w:rsidR="00C63588">
      <w:t xml:space="preserve"> Issue 16</w:t>
    </w:r>
    <w:r w:rsidR="00221B5E">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46" w:rsidRDefault="00E23946"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0A32">
      <w:rPr>
        <w:rStyle w:val="PageNumber"/>
        <w:noProof/>
      </w:rPr>
      <w:t>1</w:t>
    </w:r>
    <w:r>
      <w:rPr>
        <w:rStyle w:val="PageNumber"/>
      </w:rPr>
      <w:fldChar w:fldCharType="end"/>
    </w:r>
  </w:p>
  <w:p w:rsidR="00E23946" w:rsidRDefault="00E23946" w:rsidP="00EC5F6F">
    <w:pPr>
      <w:pStyle w:val="Footer"/>
      <w:tabs>
        <w:tab w:val="clear" w:pos="4153"/>
        <w:tab w:val="clear" w:pos="8306"/>
        <w:tab w:val="left" w:pos="2950"/>
      </w:tabs>
      <w:ind w:right="360"/>
    </w:pPr>
    <w:r w:rsidRPr="00942E61">
      <w:rPr>
        <w:i/>
      </w:rPr>
      <w:t>On the Radar</w:t>
    </w:r>
    <w:r w:rsidR="00221B5E">
      <w:t xml:space="preserve"> Issue 169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547" w:rsidRDefault="009F7547">
      <w:r>
        <w:separator/>
      </w:r>
    </w:p>
  </w:footnote>
  <w:footnote w:type="continuationSeparator" w:id="0">
    <w:p w:rsidR="009F7547" w:rsidRDefault="009F7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50A1C"/>
    <w:multiLevelType w:val="hybridMultilevel"/>
    <w:tmpl w:val="E500D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565FDA"/>
    <w:multiLevelType w:val="hybridMultilevel"/>
    <w:tmpl w:val="03A0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7905FF5"/>
    <w:multiLevelType w:val="hybridMultilevel"/>
    <w:tmpl w:val="16144C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E297319"/>
    <w:multiLevelType w:val="hybridMultilevel"/>
    <w:tmpl w:val="C1CC3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8E66406"/>
    <w:multiLevelType w:val="hybridMultilevel"/>
    <w:tmpl w:val="1390C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C3D095F"/>
    <w:multiLevelType w:val="hybridMultilevel"/>
    <w:tmpl w:val="3FB09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EC941D5"/>
    <w:multiLevelType w:val="hybridMultilevel"/>
    <w:tmpl w:val="BA0E1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CAD267C"/>
    <w:multiLevelType w:val="hybridMultilevel"/>
    <w:tmpl w:val="B13CE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0C81473"/>
    <w:multiLevelType w:val="hybridMultilevel"/>
    <w:tmpl w:val="708C0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894581E"/>
    <w:multiLevelType w:val="hybridMultilevel"/>
    <w:tmpl w:val="6D4A5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BF63F5"/>
    <w:multiLevelType w:val="hybridMultilevel"/>
    <w:tmpl w:val="F4BED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6B6E0B"/>
    <w:multiLevelType w:val="hybridMultilevel"/>
    <w:tmpl w:val="D9807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5FA57C5"/>
    <w:multiLevelType w:val="hybridMultilevel"/>
    <w:tmpl w:val="EB1E8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7F83E13"/>
    <w:multiLevelType w:val="hybridMultilevel"/>
    <w:tmpl w:val="3FAAD8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EFB4691"/>
    <w:multiLevelType w:val="hybridMultilevel"/>
    <w:tmpl w:val="ED8E0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871625"/>
    <w:multiLevelType w:val="hybridMultilevel"/>
    <w:tmpl w:val="5802CE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83521BC"/>
    <w:multiLevelType w:val="hybridMultilevel"/>
    <w:tmpl w:val="AAB43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B8251FA"/>
    <w:multiLevelType w:val="hybridMultilevel"/>
    <w:tmpl w:val="4A66B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D50206C"/>
    <w:multiLevelType w:val="hybridMultilevel"/>
    <w:tmpl w:val="06987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B5D1563"/>
    <w:multiLevelType w:val="hybridMultilevel"/>
    <w:tmpl w:val="3A342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E5637CB"/>
    <w:multiLevelType w:val="hybridMultilevel"/>
    <w:tmpl w:val="4A1ED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5BE5845"/>
    <w:multiLevelType w:val="hybridMultilevel"/>
    <w:tmpl w:val="38D46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6834FFF"/>
    <w:multiLevelType w:val="hybridMultilevel"/>
    <w:tmpl w:val="6F162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ADE6C1A"/>
    <w:multiLevelType w:val="hybridMultilevel"/>
    <w:tmpl w:val="52342D88"/>
    <w:lvl w:ilvl="0" w:tplc="C590A42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E3E6E8E"/>
    <w:multiLevelType w:val="hybridMultilevel"/>
    <w:tmpl w:val="85DCAF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E642761"/>
    <w:multiLevelType w:val="hybridMultilevel"/>
    <w:tmpl w:val="DE563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7"/>
  </w:num>
  <w:num w:numId="14">
    <w:abstractNumId w:val="17"/>
  </w:num>
  <w:num w:numId="15">
    <w:abstractNumId w:val="31"/>
  </w:num>
  <w:num w:numId="16">
    <w:abstractNumId w:val="29"/>
  </w:num>
  <w:num w:numId="17">
    <w:abstractNumId w:val="14"/>
  </w:num>
  <w:num w:numId="18">
    <w:abstractNumId w:val="39"/>
  </w:num>
  <w:num w:numId="19">
    <w:abstractNumId w:val="30"/>
  </w:num>
  <w:num w:numId="20">
    <w:abstractNumId w:val="19"/>
  </w:num>
  <w:num w:numId="21">
    <w:abstractNumId w:val="16"/>
  </w:num>
  <w:num w:numId="22">
    <w:abstractNumId w:val="24"/>
  </w:num>
  <w:num w:numId="23">
    <w:abstractNumId w:val="37"/>
  </w:num>
  <w:num w:numId="24">
    <w:abstractNumId w:val="21"/>
  </w:num>
  <w:num w:numId="25">
    <w:abstractNumId w:val="12"/>
  </w:num>
  <w:num w:numId="26">
    <w:abstractNumId w:val="10"/>
  </w:num>
  <w:num w:numId="27">
    <w:abstractNumId w:val="22"/>
  </w:num>
  <w:num w:numId="28">
    <w:abstractNumId w:val="25"/>
  </w:num>
  <w:num w:numId="29">
    <w:abstractNumId w:val="33"/>
  </w:num>
  <w:num w:numId="30">
    <w:abstractNumId w:val="11"/>
  </w:num>
  <w:num w:numId="31">
    <w:abstractNumId w:val="23"/>
  </w:num>
  <w:num w:numId="32">
    <w:abstractNumId w:val="26"/>
  </w:num>
  <w:num w:numId="33">
    <w:abstractNumId w:val="18"/>
  </w:num>
  <w:num w:numId="34">
    <w:abstractNumId w:val="38"/>
  </w:num>
  <w:num w:numId="35">
    <w:abstractNumId w:val="32"/>
  </w:num>
  <w:num w:numId="36">
    <w:abstractNumId w:val="15"/>
  </w:num>
  <w:num w:numId="37">
    <w:abstractNumId w:val="28"/>
  </w:num>
  <w:num w:numId="38">
    <w:abstractNumId w:val="35"/>
  </w:num>
  <w:num w:numId="39">
    <w:abstractNumId w:val="13"/>
  </w:num>
  <w:num w:numId="40">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PA 5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aster Library October 2009.enl&lt;/item&gt;&lt;/Libraries&gt;&lt;/ENLibraries&gt;"/>
  </w:docVars>
  <w:rsids>
    <w:rsidRoot w:val="008611C4"/>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6048"/>
    <w:rsid w:val="00006743"/>
    <w:rsid w:val="000068F5"/>
    <w:rsid w:val="0000691B"/>
    <w:rsid w:val="00006AB3"/>
    <w:rsid w:val="00006CE7"/>
    <w:rsid w:val="00006FFB"/>
    <w:rsid w:val="000070BA"/>
    <w:rsid w:val="00007389"/>
    <w:rsid w:val="0000741E"/>
    <w:rsid w:val="0000750C"/>
    <w:rsid w:val="00007BC7"/>
    <w:rsid w:val="000100A5"/>
    <w:rsid w:val="00010281"/>
    <w:rsid w:val="00010367"/>
    <w:rsid w:val="00010607"/>
    <w:rsid w:val="0001062E"/>
    <w:rsid w:val="0001071C"/>
    <w:rsid w:val="00010AAB"/>
    <w:rsid w:val="00011449"/>
    <w:rsid w:val="00011B6A"/>
    <w:rsid w:val="00011BF3"/>
    <w:rsid w:val="00012904"/>
    <w:rsid w:val="00012B53"/>
    <w:rsid w:val="000132E1"/>
    <w:rsid w:val="00013DCD"/>
    <w:rsid w:val="0001474B"/>
    <w:rsid w:val="000148C3"/>
    <w:rsid w:val="00014C9E"/>
    <w:rsid w:val="00014DE5"/>
    <w:rsid w:val="00014DF2"/>
    <w:rsid w:val="0001515E"/>
    <w:rsid w:val="000159EF"/>
    <w:rsid w:val="000164FD"/>
    <w:rsid w:val="0001676F"/>
    <w:rsid w:val="00017028"/>
    <w:rsid w:val="000172EF"/>
    <w:rsid w:val="0001743C"/>
    <w:rsid w:val="00017477"/>
    <w:rsid w:val="0001769D"/>
    <w:rsid w:val="00017F06"/>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55F6"/>
    <w:rsid w:val="00025D95"/>
    <w:rsid w:val="000267F1"/>
    <w:rsid w:val="00026E16"/>
    <w:rsid w:val="00027059"/>
    <w:rsid w:val="000274F9"/>
    <w:rsid w:val="00030ADC"/>
    <w:rsid w:val="00030D35"/>
    <w:rsid w:val="00030F00"/>
    <w:rsid w:val="00030FA5"/>
    <w:rsid w:val="000313B2"/>
    <w:rsid w:val="00031421"/>
    <w:rsid w:val="0003155F"/>
    <w:rsid w:val="00032B41"/>
    <w:rsid w:val="00032BD7"/>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97"/>
    <w:rsid w:val="00036D9D"/>
    <w:rsid w:val="00036E68"/>
    <w:rsid w:val="000376F5"/>
    <w:rsid w:val="0003783E"/>
    <w:rsid w:val="00040068"/>
    <w:rsid w:val="000404B7"/>
    <w:rsid w:val="00040784"/>
    <w:rsid w:val="00040824"/>
    <w:rsid w:val="000415BB"/>
    <w:rsid w:val="00041D6C"/>
    <w:rsid w:val="00041DCB"/>
    <w:rsid w:val="0004277C"/>
    <w:rsid w:val="00042E73"/>
    <w:rsid w:val="000430F1"/>
    <w:rsid w:val="000432D4"/>
    <w:rsid w:val="000437BB"/>
    <w:rsid w:val="00043CBB"/>
    <w:rsid w:val="00043D2A"/>
    <w:rsid w:val="00044222"/>
    <w:rsid w:val="00044D42"/>
    <w:rsid w:val="0004538C"/>
    <w:rsid w:val="00045745"/>
    <w:rsid w:val="00045CA8"/>
    <w:rsid w:val="00045EBF"/>
    <w:rsid w:val="00046930"/>
    <w:rsid w:val="00047705"/>
    <w:rsid w:val="00047900"/>
    <w:rsid w:val="00047C44"/>
    <w:rsid w:val="00047D8A"/>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47A"/>
    <w:rsid w:val="000564BE"/>
    <w:rsid w:val="00056562"/>
    <w:rsid w:val="00056FAD"/>
    <w:rsid w:val="00057DD4"/>
    <w:rsid w:val="000606EF"/>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1527"/>
    <w:rsid w:val="00071CD2"/>
    <w:rsid w:val="00071E75"/>
    <w:rsid w:val="000720E2"/>
    <w:rsid w:val="00072770"/>
    <w:rsid w:val="0007305B"/>
    <w:rsid w:val="000730D7"/>
    <w:rsid w:val="000736CD"/>
    <w:rsid w:val="00073707"/>
    <w:rsid w:val="000739A3"/>
    <w:rsid w:val="00073F1E"/>
    <w:rsid w:val="00073FA4"/>
    <w:rsid w:val="000740F2"/>
    <w:rsid w:val="00074383"/>
    <w:rsid w:val="00074A03"/>
    <w:rsid w:val="00074A91"/>
    <w:rsid w:val="00074F8C"/>
    <w:rsid w:val="00075459"/>
    <w:rsid w:val="00075569"/>
    <w:rsid w:val="000756A5"/>
    <w:rsid w:val="000757ED"/>
    <w:rsid w:val="00075AF0"/>
    <w:rsid w:val="00075FA9"/>
    <w:rsid w:val="00076252"/>
    <w:rsid w:val="00076630"/>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C4C"/>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F3D"/>
    <w:rsid w:val="0009310B"/>
    <w:rsid w:val="000947FE"/>
    <w:rsid w:val="00094CF1"/>
    <w:rsid w:val="00094E9A"/>
    <w:rsid w:val="000956C8"/>
    <w:rsid w:val="0009698D"/>
    <w:rsid w:val="00096C3A"/>
    <w:rsid w:val="000977FD"/>
    <w:rsid w:val="00097A70"/>
    <w:rsid w:val="000A0137"/>
    <w:rsid w:val="000A024B"/>
    <w:rsid w:val="000A084F"/>
    <w:rsid w:val="000A0CE6"/>
    <w:rsid w:val="000A1146"/>
    <w:rsid w:val="000A12DF"/>
    <w:rsid w:val="000A155F"/>
    <w:rsid w:val="000A18E5"/>
    <w:rsid w:val="000A1D5F"/>
    <w:rsid w:val="000A2A52"/>
    <w:rsid w:val="000A3099"/>
    <w:rsid w:val="000A3222"/>
    <w:rsid w:val="000A3DC3"/>
    <w:rsid w:val="000A43BB"/>
    <w:rsid w:val="000A45B3"/>
    <w:rsid w:val="000A463D"/>
    <w:rsid w:val="000A48E4"/>
    <w:rsid w:val="000A4A45"/>
    <w:rsid w:val="000A4A54"/>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9B1"/>
    <w:rsid w:val="000B3AAB"/>
    <w:rsid w:val="000B3E98"/>
    <w:rsid w:val="000B41A3"/>
    <w:rsid w:val="000B424F"/>
    <w:rsid w:val="000B42C1"/>
    <w:rsid w:val="000B47B8"/>
    <w:rsid w:val="000B4CD7"/>
    <w:rsid w:val="000B5CEA"/>
    <w:rsid w:val="000B5D1E"/>
    <w:rsid w:val="000B5E9E"/>
    <w:rsid w:val="000B62F7"/>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918"/>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A18"/>
    <w:rsid w:val="000C7298"/>
    <w:rsid w:val="000C7336"/>
    <w:rsid w:val="000C78AB"/>
    <w:rsid w:val="000C7ED8"/>
    <w:rsid w:val="000C7F8E"/>
    <w:rsid w:val="000D04A6"/>
    <w:rsid w:val="000D04F2"/>
    <w:rsid w:val="000D085D"/>
    <w:rsid w:val="000D147F"/>
    <w:rsid w:val="000D14E5"/>
    <w:rsid w:val="000D16CC"/>
    <w:rsid w:val="000D17A6"/>
    <w:rsid w:val="000D1ED2"/>
    <w:rsid w:val="000D28B7"/>
    <w:rsid w:val="000D2E6F"/>
    <w:rsid w:val="000D31A9"/>
    <w:rsid w:val="000D3616"/>
    <w:rsid w:val="000D39B4"/>
    <w:rsid w:val="000D414E"/>
    <w:rsid w:val="000D42D0"/>
    <w:rsid w:val="000D46DE"/>
    <w:rsid w:val="000D4710"/>
    <w:rsid w:val="000D475F"/>
    <w:rsid w:val="000D4995"/>
    <w:rsid w:val="000D569F"/>
    <w:rsid w:val="000D5C93"/>
    <w:rsid w:val="000D6C61"/>
    <w:rsid w:val="000D763C"/>
    <w:rsid w:val="000D7CF5"/>
    <w:rsid w:val="000D7D35"/>
    <w:rsid w:val="000E0A1B"/>
    <w:rsid w:val="000E0AE5"/>
    <w:rsid w:val="000E0BA0"/>
    <w:rsid w:val="000E10EF"/>
    <w:rsid w:val="000E1B8B"/>
    <w:rsid w:val="000E1E11"/>
    <w:rsid w:val="000E2188"/>
    <w:rsid w:val="000E2750"/>
    <w:rsid w:val="000E2770"/>
    <w:rsid w:val="000E333D"/>
    <w:rsid w:val="000E3648"/>
    <w:rsid w:val="000E3F2F"/>
    <w:rsid w:val="000E42FD"/>
    <w:rsid w:val="000E4702"/>
    <w:rsid w:val="000E4927"/>
    <w:rsid w:val="000E49E9"/>
    <w:rsid w:val="000E4AFD"/>
    <w:rsid w:val="000E542F"/>
    <w:rsid w:val="000E66C3"/>
    <w:rsid w:val="000E6AE4"/>
    <w:rsid w:val="000E6AED"/>
    <w:rsid w:val="000E6CE1"/>
    <w:rsid w:val="000E6CF8"/>
    <w:rsid w:val="000E6F10"/>
    <w:rsid w:val="000E70D8"/>
    <w:rsid w:val="000E7677"/>
    <w:rsid w:val="000E7C75"/>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3E9"/>
    <w:rsid w:val="001014AB"/>
    <w:rsid w:val="00101846"/>
    <w:rsid w:val="0010184A"/>
    <w:rsid w:val="001018A7"/>
    <w:rsid w:val="00101957"/>
    <w:rsid w:val="00101B22"/>
    <w:rsid w:val="00101B44"/>
    <w:rsid w:val="001021A1"/>
    <w:rsid w:val="00102DEA"/>
    <w:rsid w:val="00103067"/>
    <w:rsid w:val="0010311D"/>
    <w:rsid w:val="0010314D"/>
    <w:rsid w:val="00103AA7"/>
    <w:rsid w:val="0010424A"/>
    <w:rsid w:val="00104425"/>
    <w:rsid w:val="00104626"/>
    <w:rsid w:val="00104745"/>
    <w:rsid w:val="00104746"/>
    <w:rsid w:val="0010546C"/>
    <w:rsid w:val="001057FA"/>
    <w:rsid w:val="0010599B"/>
    <w:rsid w:val="00105BF3"/>
    <w:rsid w:val="00106291"/>
    <w:rsid w:val="00106390"/>
    <w:rsid w:val="0010694F"/>
    <w:rsid w:val="00106B7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59"/>
    <w:rsid w:val="00112C7D"/>
    <w:rsid w:val="00112FB9"/>
    <w:rsid w:val="00113289"/>
    <w:rsid w:val="001134C0"/>
    <w:rsid w:val="001134D1"/>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20069"/>
    <w:rsid w:val="001204A4"/>
    <w:rsid w:val="001208D1"/>
    <w:rsid w:val="00121F28"/>
    <w:rsid w:val="00121F32"/>
    <w:rsid w:val="00122231"/>
    <w:rsid w:val="00122726"/>
    <w:rsid w:val="001228ED"/>
    <w:rsid w:val="0012377C"/>
    <w:rsid w:val="0012392C"/>
    <w:rsid w:val="00123D0F"/>
    <w:rsid w:val="00123E9F"/>
    <w:rsid w:val="001247E3"/>
    <w:rsid w:val="00124ABB"/>
    <w:rsid w:val="00125657"/>
    <w:rsid w:val="00125AC9"/>
    <w:rsid w:val="00125B39"/>
    <w:rsid w:val="00125FB5"/>
    <w:rsid w:val="00126FD4"/>
    <w:rsid w:val="00127226"/>
    <w:rsid w:val="001273B5"/>
    <w:rsid w:val="0012775E"/>
    <w:rsid w:val="00127795"/>
    <w:rsid w:val="00127D2C"/>
    <w:rsid w:val="00131221"/>
    <w:rsid w:val="00131BB6"/>
    <w:rsid w:val="00132070"/>
    <w:rsid w:val="00132A3B"/>
    <w:rsid w:val="00132EF5"/>
    <w:rsid w:val="00132F90"/>
    <w:rsid w:val="00133C54"/>
    <w:rsid w:val="00133F98"/>
    <w:rsid w:val="00134B2C"/>
    <w:rsid w:val="0013508C"/>
    <w:rsid w:val="001350D7"/>
    <w:rsid w:val="001350FD"/>
    <w:rsid w:val="00135862"/>
    <w:rsid w:val="00135E62"/>
    <w:rsid w:val="00136065"/>
    <w:rsid w:val="00136382"/>
    <w:rsid w:val="00136524"/>
    <w:rsid w:val="001368D7"/>
    <w:rsid w:val="00136F91"/>
    <w:rsid w:val="00137189"/>
    <w:rsid w:val="0013763E"/>
    <w:rsid w:val="001402DB"/>
    <w:rsid w:val="001404BE"/>
    <w:rsid w:val="00140686"/>
    <w:rsid w:val="00141F8A"/>
    <w:rsid w:val="001420B4"/>
    <w:rsid w:val="001421C3"/>
    <w:rsid w:val="0014225E"/>
    <w:rsid w:val="0014273B"/>
    <w:rsid w:val="00142754"/>
    <w:rsid w:val="00142D0A"/>
    <w:rsid w:val="00142DF4"/>
    <w:rsid w:val="00143872"/>
    <w:rsid w:val="001444E1"/>
    <w:rsid w:val="00144745"/>
    <w:rsid w:val="00144FB0"/>
    <w:rsid w:val="0014513D"/>
    <w:rsid w:val="001452C2"/>
    <w:rsid w:val="001459ED"/>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C78"/>
    <w:rsid w:val="00153287"/>
    <w:rsid w:val="00153446"/>
    <w:rsid w:val="0015356C"/>
    <w:rsid w:val="0015363C"/>
    <w:rsid w:val="0015394C"/>
    <w:rsid w:val="001547F2"/>
    <w:rsid w:val="00154AD3"/>
    <w:rsid w:val="00154AF1"/>
    <w:rsid w:val="00154BAF"/>
    <w:rsid w:val="001551D2"/>
    <w:rsid w:val="001552D2"/>
    <w:rsid w:val="00155B68"/>
    <w:rsid w:val="00156804"/>
    <w:rsid w:val="00157067"/>
    <w:rsid w:val="00157079"/>
    <w:rsid w:val="0015796D"/>
    <w:rsid w:val="00157C50"/>
    <w:rsid w:val="00157F4A"/>
    <w:rsid w:val="00160219"/>
    <w:rsid w:val="00160989"/>
    <w:rsid w:val="00160A49"/>
    <w:rsid w:val="00161362"/>
    <w:rsid w:val="001615D4"/>
    <w:rsid w:val="001617AA"/>
    <w:rsid w:val="00161DA3"/>
    <w:rsid w:val="00162096"/>
    <w:rsid w:val="001621E5"/>
    <w:rsid w:val="001628F2"/>
    <w:rsid w:val="00162D65"/>
    <w:rsid w:val="00162E4A"/>
    <w:rsid w:val="00162FBA"/>
    <w:rsid w:val="0016304D"/>
    <w:rsid w:val="001636A8"/>
    <w:rsid w:val="00163879"/>
    <w:rsid w:val="00163A52"/>
    <w:rsid w:val="00163C15"/>
    <w:rsid w:val="00163C30"/>
    <w:rsid w:val="001644E3"/>
    <w:rsid w:val="00164614"/>
    <w:rsid w:val="00164705"/>
    <w:rsid w:val="00164B25"/>
    <w:rsid w:val="00164BC6"/>
    <w:rsid w:val="00164FB2"/>
    <w:rsid w:val="00165647"/>
    <w:rsid w:val="0016570E"/>
    <w:rsid w:val="001657FA"/>
    <w:rsid w:val="00165934"/>
    <w:rsid w:val="00166073"/>
    <w:rsid w:val="001666BB"/>
    <w:rsid w:val="00166CB7"/>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ED"/>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DF"/>
    <w:rsid w:val="0019756A"/>
    <w:rsid w:val="001977C7"/>
    <w:rsid w:val="00197B04"/>
    <w:rsid w:val="00197CE1"/>
    <w:rsid w:val="001A06A3"/>
    <w:rsid w:val="001A0E21"/>
    <w:rsid w:val="001A0F20"/>
    <w:rsid w:val="001A1347"/>
    <w:rsid w:val="001A1515"/>
    <w:rsid w:val="001A1617"/>
    <w:rsid w:val="001A1633"/>
    <w:rsid w:val="001A19D7"/>
    <w:rsid w:val="001A1DA0"/>
    <w:rsid w:val="001A1FC1"/>
    <w:rsid w:val="001A2543"/>
    <w:rsid w:val="001A2BE7"/>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B0B21"/>
    <w:rsid w:val="001B0CDD"/>
    <w:rsid w:val="001B1900"/>
    <w:rsid w:val="001B1E1E"/>
    <w:rsid w:val="001B1E8E"/>
    <w:rsid w:val="001B214E"/>
    <w:rsid w:val="001B2236"/>
    <w:rsid w:val="001B2FF5"/>
    <w:rsid w:val="001B3177"/>
    <w:rsid w:val="001B3455"/>
    <w:rsid w:val="001B3CDF"/>
    <w:rsid w:val="001B3DE3"/>
    <w:rsid w:val="001B3F64"/>
    <w:rsid w:val="001B49B3"/>
    <w:rsid w:val="001B4C12"/>
    <w:rsid w:val="001B627B"/>
    <w:rsid w:val="001B66FE"/>
    <w:rsid w:val="001B6C89"/>
    <w:rsid w:val="001B7058"/>
    <w:rsid w:val="001B720C"/>
    <w:rsid w:val="001B7525"/>
    <w:rsid w:val="001B7528"/>
    <w:rsid w:val="001B7BE1"/>
    <w:rsid w:val="001B7E03"/>
    <w:rsid w:val="001B7E41"/>
    <w:rsid w:val="001C05D8"/>
    <w:rsid w:val="001C0972"/>
    <w:rsid w:val="001C0B47"/>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614B"/>
    <w:rsid w:val="001C6394"/>
    <w:rsid w:val="001C6573"/>
    <w:rsid w:val="001C6625"/>
    <w:rsid w:val="001C6C8D"/>
    <w:rsid w:val="001C6E79"/>
    <w:rsid w:val="001C7180"/>
    <w:rsid w:val="001C72D1"/>
    <w:rsid w:val="001C72EF"/>
    <w:rsid w:val="001C780E"/>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938"/>
    <w:rsid w:val="001D2BA2"/>
    <w:rsid w:val="001D36D3"/>
    <w:rsid w:val="001D3E9B"/>
    <w:rsid w:val="001D4846"/>
    <w:rsid w:val="001D5299"/>
    <w:rsid w:val="001D55DF"/>
    <w:rsid w:val="001D5789"/>
    <w:rsid w:val="001D5978"/>
    <w:rsid w:val="001D5A47"/>
    <w:rsid w:val="001D6223"/>
    <w:rsid w:val="001D6426"/>
    <w:rsid w:val="001D6861"/>
    <w:rsid w:val="001D6B57"/>
    <w:rsid w:val="001D7192"/>
    <w:rsid w:val="001D7200"/>
    <w:rsid w:val="001D7487"/>
    <w:rsid w:val="001D7840"/>
    <w:rsid w:val="001D7A3C"/>
    <w:rsid w:val="001D7BFF"/>
    <w:rsid w:val="001D7C0C"/>
    <w:rsid w:val="001D7DA7"/>
    <w:rsid w:val="001D7F9C"/>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DA2"/>
    <w:rsid w:val="001E6076"/>
    <w:rsid w:val="001E693B"/>
    <w:rsid w:val="001E70CC"/>
    <w:rsid w:val="001E74BF"/>
    <w:rsid w:val="001E75AC"/>
    <w:rsid w:val="001E76FD"/>
    <w:rsid w:val="001E786A"/>
    <w:rsid w:val="001E7EAC"/>
    <w:rsid w:val="001F01DE"/>
    <w:rsid w:val="001F01DF"/>
    <w:rsid w:val="001F04A1"/>
    <w:rsid w:val="001F06F3"/>
    <w:rsid w:val="001F0748"/>
    <w:rsid w:val="001F0887"/>
    <w:rsid w:val="001F1470"/>
    <w:rsid w:val="001F1557"/>
    <w:rsid w:val="001F1722"/>
    <w:rsid w:val="001F24A1"/>
    <w:rsid w:val="001F25DC"/>
    <w:rsid w:val="001F28EF"/>
    <w:rsid w:val="001F29FD"/>
    <w:rsid w:val="001F2F86"/>
    <w:rsid w:val="001F3344"/>
    <w:rsid w:val="001F34C7"/>
    <w:rsid w:val="001F3A2A"/>
    <w:rsid w:val="001F3A99"/>
    <w:rsid w:val="001F403C"/>
    <w:rsid w:val="001F43FB"/>
    <w:rsid w:val="001F441F"/>
    <w:rsid w:val="001F5083"/>
    <w:rsid w:val="001F50ED"/>
    <w:rsid w:val="001F5303"/>
    <w:rsid w:val="001F5B07"/>
    <w:rsid w:val="001F5C2A"/>
    <w:rsid w:val="001F5E3B"/>
    <w:rsid w:val="001F5F5B"/>
    <w:rsid w:val="001F676E"/>
    <w:rsid w:val="001F6A24"/>
    <w:rsid w:val="001F6FC8"/>
    <w:rsid w:val="001F75B5"/>
    <w:rsid w:val="00200623"/>
    <w:rsid w:val="002007F0"/>
    <w:rsid w:val="00200BE8"/>
    <w:rsid w:val="0020137B"/>
    <w:rsid w:val="002018E2"/>
    <w:rsid w:val="00201E79"/>
    <w:rsid w:val="00201F86"/>
    <w:rsid w:val="002021CA"/>
    <w:rsid w:val="002024BC"/>
    <w:rsid w:val="0020263D"/>
    <w:rsid w:val="00202AA9"/>
    <w:rsid w:val="0020303C"/>
    <w:rsid w:val="00203B69"/>
    <w:rsid w:val="00203FE9"/>
    <w:rsid w:val="0020448E"/>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9FD"/>
    <w:rsid w:val="002150EA"/>
    <w:rsid w:val="002159C3"/>
    <w:rsid w:val="00216510"/>
    <w:rsid w:val="00216C46"/>
    <w:rsid w:val="00216EFD"/>
    <w:rsid w:val="00217022"/>
    <w:rsid w:val="00217522"/>
    <w:rsid w:val="00217980"/>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455"/>
    <w:rsid w:val="002315BC"/>
    <w:rsid w:val="00231632"/>
    <w:rsid w:val="00231639"/>
    <w:rsid w:val="002316FF"/>
    <w:rsid w:val="00231954"/>
    <w:rsid w:val="00231AA5"/>
    <w:rsid w:val="00232176"/>
    <w:rsid w:val="002322F9"/>
    <w:rsid w:val="00232350"/>
    <w:rsid w:val="00232D77"/>
    <w:rsid w:val="00232FA8"/>
    <w:rsid w:val="00233756"/>
    <w:rsid w:val="0023406B"/>
    <w:rsid w:val="00234624"/>
    <w:rsid w:val="0023484E"/>
    <w:rsid w:val="00234BCB"/>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A26"/>
    <w:rsid w:val="00243A2D"/>
    <w:rsid w:val="00243C14"/>
    <w:rsid w:val="00243C3C"/>
    <w:rsid w:val="00243E2B"/>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968"/>
    <w:rsid w:val="00250100"/>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FBC"/>
    <w:rsid w:val="0026155C"/>
    <w:rsid w:val="002625FB"/>
    <w:rsid w:val="00262A5A"/>
    <w:rsid w:val="002631CE"/>
    <w:rsid w:val="0026337E"/>
    <w:rsid w:val="00263426"/>
    <w:rsid w:val="00263733"/>
    <w:rsid w:val="00263833"/>
    <w:rsid w:val="0026430B"/>
    <w:rsid w:val="002645F9"/>
    <w:rsid w:val="002648D3"/>
    <w:rsid w:val="00264BB2"/>
    <w:rsid w:val="002650D0"/>
    <w:rsid w:val="00265185"/>
    <w:rsid w:val="0026560E"/>
    <w:rsid w:val="00266001"/>
    <w:rsid w:val="0026612B"/>
    <w:rsid w:val="002663E6"/>
    <w:rsid w:val="002665C1"/>
    <w:rsid w:val="0026669C"/>
    <w:rsid w:val="002667D4"/>
    <w:rsid w:val="0026684C"/>
    <w:rsid w:val="002673FC"/>
    <w:rsid w:val="002675D4"/>
    <w:rsid w:val="00267698"/>
    <w:rsid w:val="002676B3"/>
    <w:rsid w:val="002678F2"/>
    <w:rsid w:val="00267EE0"/>
    <w:rsid w:val="00267EF1"/>
    <w:rsid w:val="002705D0"/>
    <w:rsid w:val="002710DB"/>
    <w:rsid w:val="00271D2F"/>
    <w:rsid w:val="002724D2"/>
    <w:rsid w:val="002729CB"/>
    <w:rsid w:val="00272C2B"/>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A75"/>
    <w:rsid w:val="00280E58"/>
    <w:rsid w:val="00281611"/>
    <w:rsid w:val="002819C5"/>
    <w:rsid w:val="0028281C"/>
    <w:rsid w:val="00282BDA"/>
    <w:rsid w:val="00283601"/>
    <w:rsid w:val="002836FD"/>
    <w:rsid w:val="002838B0"/>
    <w:rsid w:val="00283AC3"/>
    <w:rsid w:val="00283BEB"/>
    <w:rsid w:val="00283F53"/>
    <w:rsid w:val="00283FAF"/>
    <w:rsid w:val="00284652"/>
    <w:rsid w:val="00284788"/>
    <w:rsid w:val="002847A3"/>
    <w:rsid w:val="00284D12"/>
    <w:rsid w:val="00284D79"/>
    <w:rsid w:val="0028546A"/>
    <w:rsid w:val="0028549C"/>
    <w:rsid w:val="0028592D"/>
    <w:rsid w:val="00285A20"/>
    <w:rsid w:val="00285A82"/>
    <w:rsid w:val="00285E4D"/>
    <w:rsid w:val="0028640E"/>
    <w:rsid w:val="002868A2"/>
    <w:rsid w:val="002870CE"/>
    <w:rsid w:val="00287182"/>
    <w:rsid w:val="0029055E"/>
    <w:rsid w:val="00291A55"/>
    <w:rsid w:val="00291BE9"/>
    <w:rsid w:val="00291E68"/>
    <w:rsid w:val="00292205"/>
    <w:rsid w:val="00292ADC"/>
    <w:rsid w:val="00292DA0"/>
    <w:rsid w:val="00293084"/>
    <w:rsid w:val="0029390F"/>
    <w:rsid w:val="00293964"/>
    <w:rsid w:val="0029445D"/>
    <w:rsid w:val="0029449D"/>
    <w:rsid w:val="0029458D"/>
    <w:rsid w:val="0029464A"/>
    <w:rsid w:val="002949B8"/>
    <w:rsid w:val="00294C9F"/>
    <w:rsid w:val="00295481"/>
    <w:rsid w:val="00295AA7"/>
    <w:rsid w:val="00295C64"/>
    <w:rsid w:val="00295CE7"/>
    <w:rsid w:val="00296186"/>
    <w:rsid w:val="002965BF"/>
    <w:rsid w:val="002968A0"/>
    <w:rsid w:val="002968FF"/>
    <w:rsid w:val="00296951"/>
    <w:rsid w:val="00296B5A"/>
    <w:rsid w:val="002974FD"/>
    <w:rsid w:val="00297913"/>
    <w:rsid w:val="00297BF0"/>
    <w:rsid w:val="002A016F"/>
    <w:rsid w:val="002A02F4"/>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61CD"/>
    <w:rsid w:val="002A62AF"/>
    <w:rsid w:val="002A69FB"/>
    <w:rsid w:val="002A6A6B"/>
    <w:rsid w:val="002A6D49"/>
    <w:rsid w:val="002A70CD"/>
    <w:rsid w:val="002A7332"/>
    <w:rsid w:val="002A76D3"/>
    <w:rsid w:val="002A7C12"/>
    <w:rsid w:val="002B03BF"/>
    <w:rsid w:val="002B06DC"/>
    <w:rsid w:val="002B09F2"/>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7"/>
    <w:rsid w:val="002B5799"/>
    <w:rsid w:val="002B5E4B"/>
    <w:rsid w:val="002B65E1"/>
    <w:rsid w:val="002B6C14"/>
    <w:rsid w:val="002B6D21"/>
    <w:rsid w:val="002B730B"/>
    <w:rsid w:val="002B7F8F"/>
    <w:rsid w:val="002C02AF"/>
    <w:rsid w:val="002C061A"/>
    <w:rsid w:val="002C1202"/>
    <w:rsid w:val="002C1817"/>
    <w:rsid w:val="002C1931"/>
    <w:rsid w:val="002C251A"/>
    <w:rsid w:val="002C252E"/>
    <w:rsid w:val="002C32D0"/>
    <w:rsid w:val="002C32DD"/>
    <w:rsid w:val="002C3EBD"/>
    <w:rsid w:val="002C41CC"/>
    <w:rsid w:val="002C41D2"/>
    <w:rsid w:val="002C4962"/>
    <w:rsid w:val="002C4C45"/>
    <w:rsid w:val="002C504C"/>
    <w:rsid w:val="002C58C3"/>
    <w:rsid w:val="002C5D38"/>
    <w:rsid w:val="002C69C0"/>
    <w:rsid w:val="002C6F2C"/>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C04"/>
    <w:rsid w:val="002D4714"/>
    <w:rsid w:val="002D4744"/>
    <w:rsid w:val="002D48A3"/>
    <w:rsid w:val="002D4C6B"/>
    <w:rsid w:val="002D5C89"/>
    <w:rsid w:val="002D611E"/>
    <w:rsid w:val="002D6249"/>
    <w:rsid w:val="002D6324"/>
    <w:rsid w:val="002D699D"/>
    <w:rsid w:val="002D6BE8"/>
    <w:rsid w:val="002D7AF9"/>
    <w:rsid w:val="002D7B1D"/>
    <w:rsid w:val="002D7B6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AB5"/>
    <w:rsid w:val="002E5DDD"/>
    <w:rsid w:val="002E6368"/>
    <w:rsid w:val="002E648B"/>
    <w:rsid w:val="002E64B3"/>
    <w:rsid w:val="002E662C"/>
    <w:rsid w:val="002E678F"/>
    <w:rsid w:val="002E6D96"/>
    <w:rsid w:val="002E709C"/>
    <w:rsid w:val="002E797D"/>
    <w:rsid w:val="002E7C93"/>
    <w:rsid w:val="002E7E57"/>
    <w:rsid w:val="002F04E5"/>
    <w:rsid w:val="002F0823"/>
    <w:rsid w:val="002F0F9D"/>
    <w:rsid w:val="002F11CA"/>
    <w:rsid w:val="002F1DB2"/>
    <w:rsid w:val="002F2190"/>
    <w:rsid w:val="002F2C12"/>
    <w:rsid w:val="002F3356"/>
    <w:rsid w:val="002F3497"/>
    <w:rsid w:val="002F364F"/>
    <w:rsid w:val="002F3D21"/>
    <w:rsid w:val="002F3EF2"/>
    <w:rsid w:val="002F3EFC"/>
    <w:rsid w:val="002F45E3"/>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1416"/>
    <w:rsid w:val="00311441"/>
    <w:rsid w:val="00312194"/>
    <w:rsid w:val="003125D7"/>
    <w:rsid w:val="00312842"/>
    <w:rsid w:val="0031289B"/>
    <w:rsid w:val="0031331B"/>
    <w:rsid w:val="00313534"/>
    <w:rsid w:val="00313DF7"/>
    <w:rsid w:val="0031406B"/>
    <w:rsid w:val="0031450E"/>
    <w:rsid w:val="003145C5"/>
    <w:rsid w:val="003148D1"/>
    <w:rsid w:val="00315229"/>
    <w:rsid w:val="00315B49"/>
    <w:rsid w:val="00315F18"/>
    <w:rsid w:val="00316878"/>
    <w:rsid w:val="00317017"/>
    <w:rsid w:val="00317070"/>
    <w:rsid w:val="0031757B"/>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196"/>
    <w:rsid w:val="00325245"/>
    <w:rsid w:val="003252E4"/>
    <w:rsid w:val="003253FB"/>
    <w:rsid w:val="00325540"/>
    <w:rsid w:val="003256AB"/>
    <w:rsid w:val="003256DC"/>
    <w:rsid w:val="00325730"/>
    <w:rsid w:val="00325BBE"/>
    <w:rsid w:val="003265CD"/>
    <w:rsid w:val="00326806"/>
    <w:rsid w:val="003269E9"/>
    <w:rsid w:val="00326A0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9B6"/>
    <w:rsid w:val="00334EBF"/>
    <w:rsid w:val="00335339"/>
    <w:rsid w:val="003356F0"/>
    <w:rsid w:val="00335B7A"/>
    <w:rsid w:val="00335D2C"/>
    <w:rsid w:val="00335D3E"/>
    <w:rsid w:val="00335D85"/>
    <w:rsid w:val="00335DCD"/>
    <w:rsid w:val="003366DF"/>
    <w:rsid w:val="00337718"/>
    <w:rsid w:val="00337DF2"/>
    <w:rsid w:val="00337FAA"/>
    <w:rsid w:val="00340157"/>
    <w:rsid w:val="00340EFC"/>
    <w:rsid w:val="00341B19"/>
    <w:rsid w:val="00341DE3"/>
    <w:rsid w:val="00341E94"/>
    <w:rsid w:val="003425D8"/>
    <w:rsid w:val="00342A01"/>
    <w:rsid w:val="00343098"/>
    <w:rsid w:val="0034384C"/>
    <w:rsid w:val="003438B5"/>
    <w:rsid w:val="00343B0D"/>
    <w:rsid w:val="00343B17"/>
    <w:rsid w:val="00343B7E"/>
    <w:rsid w:val="00344FA1"/>
    <w:rsid w:val="0034513D"/>
    <w:rsid w:val="00345481"/>
    <w:rsid w:val="003458E9"/>
    <w:rsid w:val="003459B2"/>
    <w:rsid w:val="00345E3E"/>
    <w:rsid w:val="003460BE"/>
    <w:rsid w:val="003464C2"/>
    <w:rsid w:val="003469CB"/>
    <w:rsid w:val="00346A51"/>
    <w:rsid w:val="00346BA4"/>
    <w:rsid w:val="00346CA2"/>
    <w:rsid w:val="00346E24"/>
    <w:rsid w:val="0034773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EC5"/>
    <w:rsid w:val="003556CB"/>
    <w:rsid w:val="0035581F"/>
    <w:rsid w:val="0035584A"/>
    <w:rsid w:val="00355EB4"/>
    <w:rsid w:val="00355FC2"/>
    <w:rsid w:val="00356059"/>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2406"/>
    <w:rsid w:val="00362564"/>
    <w:rsid w:val="00362597"/>
    <w:rsid w:val="00362938"/>
    <w:rsid w:val="00363029"/>
    <w:rsid w:val="0036304A"/>
    <w:rsid w:val="00363E2B"/>
    <w:rsid w:val="00363FAF"/>
    <w:rsid w:val="003640D9"/>
    <w:rsid w:val="00364BF9"/>
    <w:rsid w:val="00364FA3"/>
    <w:rsid w:val="00365333"/>
    <w:rsid w:val="00365376"/>
    <w:rsid w:val="003655C4"/>
    <w:rsid w:val="0036562F"/>
    <w:rsid w:val="00365DBD"/>
    <w:rsid w:val="00365DC4"/>
    <w:rsid w:val="00366329"/>
    <w:rsid w:val="0036687A"/>
    <w:rsid w:val="00366AB5"/>
    <w:rsid w:val="00366C8A"/>
    <w:rsid w:val="00367786"/>
    <w:rsid w:val="00367A4C"/>
    <w:rsid w:val="00367C9F"/>
    <w:rsid w:val="00370114"/>
    <w:rsid w:val="003706FD"/>
    <w:rsid w:val="003708E5"/>
    <w:rsid w:val="003712C0"/>
    <w:rsid w:val="003716A5"/>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724"/>
    <w:rsid w:val="00377748"/>
    <w:rsid w:val="00377D6C"/>
    <w:rsid w:val="00377F26"/>
    <w:rsid w:val="00380435"/>
    <w:rsid w:val="0038051C"/>
    <w:rsid w:val="0038062A"/>
    <w:rsid w:val="003806B2"/>
    <w:rsid w:val="00380722"/>
    <w:rsid w:val="003807BA"/>
    <w:rsid w:val="00380877"/>
    <w:rsid w:val="00380BD1"/>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B7F"/>
    <w:rsid w:val="00384AF8"/>
    <w:rsid w:val="003850CE"/>
    <w:rsid w:val="0038543F"/>
    <w:rsid w:val="00385E33"/>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9BA"/>
    <w:rsid w:val="00392BA3"/>
    <w:rsid w:val="00392BC1"/>
    <w:rsid w:val="00392BEF"/>
    <w:rsid w:val="00392C56"/>
    <w:rsid w:val="00392DCB"/>
    <w:rsid w:val="0039316E"/>
    <w:rsid w:val="0039393E"/>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295"/>
    <w:rsid w:val="003A66A3"/>
    <w:rsid w:val="003A6B23"/>
    <w:rsid w:val="003A737A"/>
    <w:rsid w:val="003B0336"/>
    <w:rsid w:val="003B03E4"/>
    <w:rsid w:val="003B1B0D"/>
    <w:rsid w:val="003B1EB5"/>
    <w:rsid w:val="003B21DC"/>
    <w:rsid w:val="003B2606"/>
    <w:rsid w:val="003B363F"/>
    <w:rsid w:val="003B3788"/>
    <w:rsid w:val="003B391A"/>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96B"/>
    <w:rsid w:val="003C29F3"/>
    <w:rsid w:val="003C32D6"/>
    <w:rsid w:val="003C3CA0"/>
    <w:rsid w:val="003C3DDA"/>
    <w:rsid w:val="003C462E"/>
    <w:rsid w:val="003C46B0"/>
    <w:rsid w:val="003C470B"/>
    <w:rsid w:val="003C479E"/>
    <w:rsid w:val="003C4F9E"/>
    <w:rsid w:val="003C5377"/>
    <w:rsid w:val="003C5712"/>
    <w:rsid w:val="003C57B9"/>
    <w:rsid w:val="003C59FD"/>
    <w:rsid w:val="003C5CB6"/>
    <w:rsid w:val="003C6DC0"/>
    <w:rsid w:val="003C7040"/>
    <w:rsid w:val="003C705F"/>
    <w:rsid w:val="003C7404"/>
    <w:rsid w:val="003D0065"/>
    <w:rsid w:val="003D0141"/>
    <w:rsid w:val="003D04AA"/>
    <w:rsid w:val="003D06DC"/>
    <w:rsid w:val="003D0DE5"/>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51C0"/>
    <w:rsid w:val="003D583F"/>
    <w:rsid w:val="003D5F68"/>
    <w:rsid w:val="003D6D09"/>
    <w:rsid w:val="003D7461"/>
    <w:rsid w:val="003D7B9E"/>
    <w:rsid w:val="003E0026"/>
    <w:rsid w:val="003E0BD9"/>
    <w:rsid w:val="003E0E7B"/>
    <w:rsid w:val="003E10D3"/>
    <w:rsid w:val="003E1313"/>
    <w:rsid w:val="003E16B6"/>
    <w:rsid w:val="003E1B1C"/>
    <w:rsid w:val="003E1E2F"/>
    <w:rsid w:val="003E20A6"/>
    <w:rsid w:val="003E2966"/>
    <w:rsid w:val="003E316D"/>
    <w:rsid w:val="003E3214"/>
    <w:rsid w:val="003E322E"/>
    <w:rsid w:val="003E37BD"/>
    <w:rsid w:val="003E3FAC"/>
    <w:rsid w:val="003E425A"/>
    <w:rsid w:val="003E48FE"/>
    <w:rsid w:val="003E4CAC"/>
    <w:rsid w:val="003E54CA"/>
    <w:rsid w:val="003E5A44"/>
    <w:rsid w:val="003E5DB7"/>
    <w:rsid w:val="003E6B7F"/>
    <w:rsid w:val="003E723E"/>
    <w:rsid w:val="003E7674"/>
    <w:rsid w:val="003E7685"/>
    <w:rsid w:val="003E7902"/>
    <w:rsid w:val="003E7AB5"/>
    <w:rsid w:val="003E7B37"/>
    <w:rsid w:val="003F08AC"/>
    <w:rsid w:val="003F08EC"/>
    <w:rsid w:val="003F0F94"/>
    <w:rsid w:val="003F12E1"/>
    <w:rsid w:val="003F135E"/>
    <w:rsid w:val="003F1B20"/>
    <w:rsid w:val="003F1B3F"/>
    <w:rsid w:val="003F1C58"/>
    <w:rsid w:val="003F23B1"/>
    <w:rsid w:val="003F23FD"/>
    <w:rsid w:val="003F2824"/>
    <w:rsid w:val="003F2A65"/>
    <w:rsid w:val="003F2DD2"/>
    <w:rsid w:val="003F2DE4"/>
    <w:rsid w:val="003F2E1F"/>
    <w:rsid w:val="003F31CB"/>
    <w:rsid w:val="003F3635"/>
    <w:rsid w:val="003F40F5"/>
    <w:rsid w:val="003F4118"/>
    <w:rsid w:val="003F44A6"/>
    <w:rsid w:val="003F46F5"/>
    <w:rsid w:val="003F4920"/>
    <w:rsid w:val="003F4A3F"/>
    <w:rsid w:val="003F61B2"/>
    <w:rsid w:val="003F62E7"/>
    <w:rsid w:val="003F63F4"/>
    <w:rsid w:val="003F6926"/>
    <w:rsid w:val="003F6FDF"/>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F89"/>
    <w:rsid w:val="0040322B"/>
    <w:rsid w:val="0040360A"/>
    <w:rsid w:val="00403AB3"/>
    <w:rsid w:val="00403C92"/>
    <w:rsid w:val="00404241"/>
    <w:rsid w:val="00404653"/>
    <w:rsid w:val="00404AD0"/>
    <w:rsid w:val="00404F14"/>
    <w:rsid w:val="004052DF"/>
    <w:rsid w:val="004054A4"/>
    <w:rsid w:val="004059EA"/>
    <w:rsid w:val="00405A3B"/>
    <w:rsid w:val="00405DED"/>
    <w:rsid w:val="00406075"/>
    <w:rsid w:val="004060F4"/>
    <w:rsid w:val="0040633F"/>
    <w:rsid w:val="00406B3A"/>
    <w:rsid w:val="00407DC7"/>
    <w:rsid w:val="004104E0"/>
    <w:rsid w:val="004119DC"/>
    <w:rsid w:val="00411A6F"/>
    <w:rsid w:val="00411AFD"/>
    <w:rsid w:val="00411B70"/>
    <w:rsid w:val="004123D5"/>
    <w:rsid w:val="004124D2"/>
    <w:rsid w:val="004129AD"/>
    <w:rsid w:val="00412A60"/>
    <w:rsid w:val="00412AF7"/>
    <w:rsid w:val="00412CCB"/>
    <w:rsid w:val="00412F59"/>
    <w:rsid w:val="00412FEC"/>
    <w:rsid w:val="00413F80"/>
    <w:rsid w:val="004141B4"/>
    <w:rsid w:val="004143A2"/>
    <w:rsid w:val="00415B1F"/>
    <w:rsid w:val="00416045"/>
    <w:rsid w:val="0041657F"/>
    <w:rsid w:val="00417097"/>
    <w:rsid w:val="00417893"/>
    <w:rsid w:val="004178C8"/>
    <w:rsid w:val="004179CD"/>
    <w:rsid w:val="00417EFB"/>
    <w:rsid w:val="00420137"/>
    <w:rsid w:val="00420286"/>
    <w:rsid w:val="00420891"/>
    <w:rsid w:val="00420C54"/>
    <w:rsid w:val="0042141D"/>
    <w:rsid w:val="004216B4"/>
    <w:rsid w:val="00421F2E"/>
    <w:rsid w:val="00422B61"/>
    <w:rsid w:val="004230C2"/>
    <w:rsid w:val="00423178"/>
    <w:rsid w:val="004233FA"/>
    <w:rsid w:val="00423409"/>
    <w:rsid w:val="004234B6"/>
    <w:rsid w:val="00423619"/>
    <w:rsid w:val="00423D2C"/>
    <w:rsid w:val="00423E82"/>
    <w:rsid w:val="00425001"/>
    <w:rsid w:val="00425022"/>
    <w:rsid w:val="00425474"/>
    <w:rsid w:val="0042560A"/>
    <w:rsid w:val="004256C1"/>
    <w:rsid w:val="004259CD"/>
    <w:rsid w:val="00425A30"/>
    <w:rsid w:val="00425BEF"/>
    <w:rsid w:val="00425BF3"/>
    <w:rsid w:val="00425E81"/>
    <w:rsid w:val="004260FA"/>
    <w:rsid w:val="00427393"/>
    <w:rsid w:val="00427778"/>
    <w:rsid w:val="00430015"/>
    <w:rsid w:val="00430D53"/>
    <w:rsid w:val="00430DC7"/>
    <w:rsid w:val="00431409"/>
    <w:rsid w:val="00431767"/>
    <w:rsid w:val="00431B8C"/>
    <w:rsid w:val="00431CB4"/>
    <w:rsid w:val="00431F34"/>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4F8"/>
    <w:rsid w:val="00437792"/>
    <w:rsid w:val="00437CB6"/>
    <w:rsid w:val="00437EEB"/>
    <w:rsid w:val="00440AAA"/>
    <w:rsid w:val="00440D18"/>
    <w:rsid w:val="00440FEE"/>
    <w:rsid w:val="0044128F"/>
    <w:rsid w:val="004414F5"/>
    <w:rsid w:val="0044194B"/>
    <w:rsid w:val="004421F5"/>
    <w:rsid w:val="00442726"/>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81A"/>
    <w:rsid w:val="004554DB"/>
    <w:rsid w:val="004557FF"/>
    <w:rsid w:val="0045710D"/>
    <w:rsid w:val="00457215"/>
    <w:rsid w:val="0045757F"/>
    <w:rsid w:val="0045779A"/>
    <w:rsid w:val="004577B3"/>
    <w:rsid w:val="00457855"/>
    <w:rsid w:val="00457CFA"/>
    <w:rsid w:val="00457D2D"/>
    <w:rsid w:val="00457EF0"/>
    <w:rsid w:val="00460085"/>
    <w:rsid w:val="00460264"/>
    <w:rsid w:val="004604CE"/>
    <w:rsid w:val="004604FE"/>
    <w:rsid w:val="00460A32"/>
    <w:rsid w:val="00461BFD"/>
    <w:rsid w:val="00461CF7"/>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348"/>
    <w:rsid w:val="00471DA8"/>
    <w:rsid w:val="00472105"/>
    <w:rsid w:val="00472165"/>
    <w:rsid w:val="004721D0"/>
    <w:rsid w:val="00472352"/>
    <w:rsid w:val="0047244C"/>
    <w:rsid w:val="00472BB1"/>
    <w:rsid w:val="00472C4F"/>
    <w:rsid w:val="00472DE3"/>
    <w:rsid w:val="00472F4E"/>
    <w:rsid w:val="0047353C"/>
    <w:rsid w:val="004736CA"/>
    <w:rsid w:val="00473752"/>
    <w:rsid w:val="00473841"/>
    <w:rsid w:val="00473D20"/>
    <w:rsid w:val="00473DF1"/>
    <w:rsid w:val="00474160"/>
    <w:rsid w:val="0047478C"/>
    <w:rsid w:val="0047560D"/>
    <w:rsid w:val="0047606C"/>
    <w:rsid w:val="0047663A"/>
    <w:rsid w:val="00477900"/>
    <w:rsid w:val="00477C6C"/>
    <w:rsid w:val="00480137"/>
    <w:rsid w:val="004804DC"/>
    <w:rsid w:val="0048081E"/>
    <w:rsid w:val="00480D73"/>
    <w:rsid w:val="00480D9D"/>
    <w:rsid w:val="00481791"/>
    <w:rsid w:val="004818A6"/>
    <w:rsid w:val="00481D45"/>
    <w:rsid w:val="0048271D"/>
    <w:rsid w:val="0048308B"/>
    <w:rsid w:val="00483153"/>
    <w:rsid w:val="004838DE"/>
    <w:rsid w:val="00483A8B"/>
    <w:rsid w:val="00483DC3"/>
    <w:rsid w:val="004840AB"/>
    <w:rsid w:val="004842F0"/>
    <w:rsid w:val="00484308"/>
    <w:rsid w:val="00484F68"/>
    <w:rsid w:val="00485402"/>
    <w:rsid w:val="004859B4"/>
    <w:rsid w:val="00485BE5"/>
    <w:rsid w:val="00485CA4"/>
    <w:rsid w:val="00486899"/>
    <w:rsid w:val="00486C40"/>
    <w:rsid w:val="00486F30"/>
    <w:rsid w:val="00487BEF"/>
    <w:rsid w:val="00487D8E"/>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498"/>
    <w:rsid w:val="004934EE"/>
    <w:rsid w:val="0049379E"/>
    <w:rsid w:val="004945E4"/>
    <w:rsid w:val="0049465C"/>
    <w:rsid w:val="00494862"/>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A0022"/>
    <w:rsid w:val="004A0648"/>
    <w:rsid w:val="004A0E95"/>
    <w:rsid w:val="004A1534"/>
    <w:rsid w:val="004A23F0"/>
    <w:rsid w:val="004A2DD7"/>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579"/>
    <w:rsid w:val="004B05A3"/>
    <w:rsid w:val="004B06F4"/>
    <w:rsid w:val="004B0742"/>
    <w:rsid w:val="004B0825"/>
    <w:rsid w:val="004B0A48"/>
    <w:rsid w:val="004B0BE0"/>
    <w:rsid w:val="004B16E8"/>
    <w:rsid w:val="004B1881"/>
    <w:rsid w:val="004B1CEA"/>
    <w:rsid w:val="004B1D19"/>
    <w:rsid w:val="004B1DCA"/>
    <w:rsid w:val="004B20EC"/>
    <w:rsid w:val="004B2240"/>
    <w:rsid w:val="004B22E4"/>
    <w:rsid w:val="004B2ACD"/>
    <w:rsid w:val="004B3128"/>
    <w:rsid w:val="004B3B65"/>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BF1"/>
    <w:rsid w:val="004C0413"/>
    <w:rsid w:val="004C051A"/>
    <w:rsid w:val="004C07C1"/>
    <w:rsid w:val="004C0C90"/>
    <w:rsid w:val="004C0E6C"/>
    <w:rsid w:val="004C157F"/>
    <w:rsid w:val="004C1809"/>
    <w:rsid w:val="004C1999"/>
    <w:rsid w:val="004C1E4B"/>
    <w:rsid w:val="004C1EE4"/>
    <w:rsid w:val="004C20C0"/>
    <w:rsid w:val="004C2534"/>
    <w:rsid w:val="004C323D"/>
    <w:rsid w:val="004C33AE"/>
    <w:rsid w:val="004C40B0"/>
    <w:rsid w:val="004C453D"/>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67F"/>
    <w:rsid w:val="004D28FC"/>
    <w:rsid w:val="004D2CDD"/>
    <w:rsid w:val="004D2E7A"/>
    <w:rsid w:val="004D414D"/>
    <w:rsid w:val="004D508A"/>
    <w:rsid w:val="004D52F4"/>
    <w:rsid w:val="004D5676"/>
    <w:rsid w:val="004D6E39"/>
    <w:rsid w:val="004D6FA5"/>
    <w:rsid w:val="004D7EFC"/>
    <w:rsid w:val="004E01B6"/>
    <w:rsid w:val="004E0244"/>
    <w:rsid w:val="004E03AB"/>
    <w:rsid w:val="004E077D"/>
    <w:rsid w:val="004E07A8"/>
    <w:rsid w:val="004E09EF"/>
    <w:rsid w:val="004E135C"/>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F9D"/>
    <w:rsid w:val="005013E6"/>
    <w:rsid w:val="005018D5"/>
    <w:rsid w:val="00501BA6"/>
    <w:rsid w:val="00501CD6"/>
    <w:rsid w:val="00502196"/>
    <w:rsid w:val="00502564"/>
    <w:rsid w:val="00502760"/>
    <w:rsid w:val="00502A24"/>
    <w:rsid w:val="00502B44"/>
    <w:rsid w:val="00502D5A"/>
    <w:rsid w:val="005031DD"/>
    <w:rsid w:val="00503824"/>
    <w:rsid w:val="00503AAD"/>
    <w:rsid w:val="00503CF4"/>
    <w:rsid w:val="00503DA0"/>
    <w:rsid w:val="005047F1"/>
    <w:rsid w:val="0050490F"/>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8A"/>
    <w:rsid w:val="0051269A"/>
    <w:rsid w:val="005128B9"/>
    <w:rsid w:val="00512E9F"/>
    <w:rsid w:val="0051300A"/>
    <w:rsid w:val="00513827"/>
    <w:rsid w:val="00513BDD"/>
    <w:rsid w:val="00513CB6"/>
    <w:rsid w:val="00513ED2"/>
    <w:rsid w:val="00514157"/>
    <w:rsid w:val="0051465B"/>
    <w:rsid w:val="00514780"/>
    <w:rsid w:val="00514792"/>
    <w:rsid w:val="005157B1"/>
    <w:rsid w:val="00516547"/>
    <w:rsid w:val="0051667C"/>
    <w:rsid w:val="00516D39"/>
    <w:rsid w:val="00516D71"/>
    <w:rsid w:val="00516E60"/>
    <w:rsid w:val="005170D2"/>
    <w:rsid w:val="00517355"/>
    <w:rsid w:val="00517495"/>
    <w:rsid w:val="005178C8"/>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4C3"/>
    <w:rsid w:val="005234F2"/>
    <w:rsid w:val="005243D6"/>
    <w:rsid w:val="005243DB"/>
    <w:rsid w:val="0052449F"/>
    <w:rsid w:val="00524855"/>
    <w:rsid w:val="00524BE4"/>
    <w:rsid w:val="00525279"/>
    <w:rsid w:val="005256A6"/>
    <w:rsid w:val="00525A3C"/>
    <w:rsid w:val="00525BDD"/>
    <w:rsid w:val="00525C18"/>
    <w:rsid w:val="00525D0C"/>
    <w:rsid w:val="00525DB0"/>
    <w:rsid w:val="00525FC4"/>
    <w:rsid w:val="00526FEA"/>
    <w:rsid w:val="005271CF"/>
    <w:rsid w:val="0052762E"/>
    <w:rsid w:val="005302E8"/>
    <w:rsid w:val="0053078B"/>
    <w:rsid w:val="00530795"/>
    <w:rsid w:val="005308F4"/>
    <w:rsid w:val="005309E4"/>
    <w:rsid w:val="00530ADC"/>
    <w:rsid w:val="00530D74"/>
    <w:rsid w:val="00530E4E"/>
    <w:rsid w:val="0053123E"/>
    <w:rsid w:val="005312D6"/>
    <w:rsid w:val="00531E4B"/>
    <w:rsid w:val="00531E59"/>
    <w:rsid w:val="00531EB6"/>
    <w:rsid w:val="00531ECB"/>
    <w:rsid w:val="00532422"/>
    <w:rsid w:val="005331D5"/>
    <w:rsid w:val="00533556"/>
    <w:rsid w:val="00533A2F"/>
    <w:rsid w:val="00533CE3"/>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E7"/>
    <w:rsid w:val="0054411F"/>
    <w:rsid w:val="00544823"/>
    <w:rsid w:val="0054485D"/>
    <w:rsid w:val="00544C53"/>
    <w:rsid w:val="00544C6D"/>
    <w:rsid w:val="00545355"/>
    <w:rsid w:val="0054557C"/>
    <w:rsid w:val="00545CE9"/>
    <w:rsid w:val="0054654F"/>
    <w:rsid w:val="00546616"/>
    <w:rsid w:val="005469CA"/>
    <w:rsid w:val="00547555"/>
    <w:rsid w:val="0055012F"/>
    <w:rsid w:val="005503CE"/>
    <w:rsid w:val="005504E8"/>
    <w:rsid w:val="005504EF"/>
    <w:rsid w:val="00550561"/>
    <w:rsid w:val="00550655"/>
    <w:rsid w:val="0055070A"/>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748"/>
    <w:rsid w:val="0055480C"/>
    <w:rsid w:val="00554A7F"/>
    <w:rsid w:val="00554AA1"/>
    <w:rsid w:val="00554B3D"/>
    <w:rsid w:val="00554B51"/>
    <w:rsid w:val="00554EB3"/>
    <w:rsid w:val="00554F4D"/>
    <w:rsid w:val="00554F89"/>
    <w:rsid w:val="00555A57"/>
    <w:rsid w:val="00556309"/>
    <w:rsid w:val="0055646E"/>
    <w:rsid w:val="00556B2D"/>
    <w:rsid w:val="00557210"/>
    <w:rsid w:val="0055738A"/>
    <w:rsid w:val="00557590"/>
    <w:rsid w:val="0055769F"/>
    <w:rsid w:val="005577BE"/>
    <w:rsid w:val="005578A4"/>
    <w:rsid w:val="005579FD"/>
    <w:rsid w:val="00557CAA"/>
    <w:rsid w:val="005604F3"/>
    <w:rsid w:val="00561062"/>
    <w:rsid w:val="0056110A"/>
    <w:rsid w:val="00561338"/>
    <w:rsid w:val="00561395"/>
    <w:rsid w:val="005614E9"/>
    <w:rsid w:val="00561D5F"/>
    <w:rsid w:val="005623FF"/>
    <w:rsid w:val="00562528"/>
    <w:rsid w:val="00562AC2"/>
    <w:rsid w:val="00562D16"/>
    <w:rsid w:val="0056339A"/>
    <w:rsid w:val="00563767"/>
    <w:rsid w:val="005638E8"/>
    <w:rsid w:val="0056406C"/>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C57"/>
    <w:rsid w:val="00572E92"/>
    <w:rsid w:val="00572FCE"/>
    <w:rsid w:val="00573725"/>
    <w:rsid w:val="00573A56"/>
    <w:rsid w:val="00573D4A"/>
    <w:rsid w:val="00574395"/>
    <w:rsid w:val="005749D3"/>
    <w:rsid w:val="005749D9"/>
    <w:rsid w:val="00576022"/>
    <w:rsid w:val="005763BF"/>
    <w:rsid w:val="00576EB9"/>
    <w:rsid w:val="00577B2C"/>
    <w:rsid w:val="00580B17"/>
    <w:rsid w:val="00580D09"/>
    <w:rsid w:val="00580E03"/>
    <w:rsid w:val="005814DF"/>
    <w:rsid w:val="00581A15"/>
    <w:rsid w:val="00581DE9"/>
    <w:rsid w:val="0058216A"/>
    <w:rsid w:val="00582589"/>
    <w:rsid w:val="00582A91"/>
    <w:rsid w:val="00582ED8"/>
    <w:rsid w:val="00583283"/>
    <w:rsid w:val="005835A1"/>
    <w:rsid w:val="0058364B"/>
    <w:rsid w:val="00583BAB"/>
    <w:rsid w:val="00583EE1"/>
    <w:rsid w:val="005848A3"/>
    <w:rsid w:val="0058491C"/>
    <w:rsid w:val="00584A41"/>
    <w:rsid w:val="00584CE5"/>
    <w:rsid w:val="00585316"/>
    <w:rsid w:val="00585685"/>
    <w:rsid w:val="00585732"/>
    <w:rsid w:val="00585780"/>
    <w:rsid w:val="00585B0D"/>
    <w:rsid w:val="00585FDB"/>
    <w:rsid w:val="0058628C"/>
    <w:rsid w:val="00586460"/>
    <w:rsid w:val="00586619"/>
    <w:rsid w:val="00586880"/>
    <w:rsid w:val="00586EC9"/>
    <w:rsid w:val="00587215"/>
    <w:rsid w:val="005874BF"/>
    <w:rsid w:val="00587A41"/>
    <w:rsid w:val="00587AF1"/>
    <w:rsid w:val="00587D9D"/>
    <w:rsid w:val="0059001F"/>
    <w:rsid w:val="00590468"/>
    <w:rsid w:val="005904C1"/>
    <w:rsid w:val="00590756"/>
    <w:rsid w:val="00590803"/>
    <w:rsid w:val="005909B7"/>
    <w:rsid w:val="00590C6A"/>
    <w:rsid w:val="00590F46"/>
    <w:rsid w:val="00591422"/>
    <w:rsid w:val="00591B21"/>
    <w:rsid w:val="00591F44"/>
    <w:rsid w:val="005925D0"/>
    <w:rsid w:val="00592CCB"/>
    <w:rsid w:val="00592D35"/>
    <w:rsid w:val="00593227"/>
    <w:rsid w:val="005934A2"/>
    <w:rsid w:val="00594A7A"/>
    <w:rsid w:val="00594C79"/>
    <w:rsid w:val="00594E0C"/>
    <w:rsid w:val="00595702"/>
    <w:rsid w:val="00595C0E"/>
    <w:rsid w:val="00595D31"/>
    <w:rsid w:val="0059611D"/>
    <w:rsid w:val="00596449"/>
    <w:rsid w:val="0059657C"/>
    <w:rsid w:val="00596843"/>
    <w:rsid w:val="00596AE4"/>
    <w:rsid w:val="00597A27"/>
    <w:rsid w:val="00597C33"/>
    <w:rsid w:val="005A0212"/>
    <w:rsid w:val="005A046B"/>
    <w:rsid w:val="005A057E"/>
    <w:rsid w:val="005A07D3"/>
    <w:rsid w:val="005A0C47"/>
    <w:rsid w:val="005A0CE0"/>
    <w:rsid w:val="005A0D24"/>
    <w:rsid w:val="005A0FA0"/>
    <w:rsid w:val="005A1B6A"/>
    <w:rsid w:val="005A2727"/>
    <w:rsid w:val="005A2A6B"/>
    <w:rsid w:val="005A2A99"/>
    <w:rsid w:val="005A2E9C"/>
    <w:rsid w:val="005A33FE"/>
    <w:rsid w:val="005A3EDA"/>
    <w:rsid w:val="005A438B"/>
    <w:rsid w:val="005A45DB"/>
    <w:rsid w:val="005A486E"/>
    <w:rsid w:val="005A4D0F"/>
    <w:rsid w:val="005A4E48"/>
    <w:rsid w:val="005A4FDD"/>
    <w:rsid w:val="005A56FB"/>
    <w:rsid w:val="005A5888"/>
    <w:rsid w:val="005A6093"/>
    <w:rsid w:val="005A67D6"/>
    <w:rsid w:val="005A68D5"/>
    <w:rsid w:val="005A6F0D"/>
    <w:rsid w:val="005A6FA8"/>
    <w:rsid w:val="005A706A"/>
    <w:rsid w:val="005A71F0"/>
    <w:rsid w:val="005A72BA"/>
    <w:rsid w:val="005A7426"/>
    <w:rsid w:val="005A78FA"/>
    <w:rsid w:val="005A7F94"/>
    <w:rsid w:val="005B0886"/>
    <w:rsid w:val="005B0ADB"/>
    <w:rsid w:val="005B0C4A"/>
    <w:rsid w:val="005B0CB1"/>
    <w:rsid w:val="005B0E0D"/>
    <w:rsid w:val="005B12C7"/>
    <w:rsid w:val="005B16F7"/>
    <w:rsid w:val="005B17E8"/>
    <w:rsid w:val="005B1886"/>
    <w:rsid w:val="005B1A2F"/>
    <w:rsid w:val="005B1B6B"/>
    <w:rsid w:val="005B2103"/>
    <w:rsid w:val="005B2671"/>
    <w:rsid w:val="005B2CA0"/>
    <w:rsid w:val="005B3728"/>
    <w:rsid w:val="005B3A94"/>
    <w:rsid w:val="005B3D2A"/>
    <w:rsid w:val="005B3D4C"/>
    <w:rsid w:val="005B3DFF"/>
    <w:rsid w:val="005B4BBB"/>
    <w:rsid w:val="005B4C59"/>
    <w:rsid w:val="005B4D3E"/>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72E"/>
    <w:rsid w:val="005C1A95"/>
    <w:rsid w:val="005C2655"/>
    <w:rsid w:val="005C26AF"/>
    <w:rsid w:val="005C2878"/>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88B"/>
    <w:rsid w:val="005D1E08"/>
    <w:rsid w:val="005D1E4C"/>
    <w:rsid w:val="005D22AD"/>
    <w:rsid w:val="005D25AF"/>
    <w:rsid w:val="005D28C9"/>
    <w:rsid w:val="005D2957"/>
    <w:rsid w:val="005D2AF3"/>
    <w:rsid w:val="005D2CC6"/>
    <w:rsid w:val="005D303A"/>
    <w:rsid w:val="005D32CE"/>
    <w:rsid w:val="005D349E"/>
    <w:rsid w:val="005D34BB"/>
    <w:rsid w:val="005D3E1A"/>
    <w:rsid w:val="005D3F16"/>
    <w:rsid w:val="005D413A"/>
    <w:rsid w:val="005D48E9"/>
    <w:rsid w:val="005D4F00"/>
    <w:rsid w:val="005D54B1"/>
    <w:rsid w:val="005D5E64"/>
    <w:rsid w:val="005D5F65"/>
    <w:rsid w:val="005D6244"/>
    <w:rsid w:val="005D6308"/>
    <w:rsid w:val="005D6647"/>
    <w:rsid w:val="005D6B61"/>
    <w:rsid w:val="005D7506"/>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A22"/>
    <w:rsid w:val="005F0077"/>
    <w:rsid w:val="005F0351"/>
    <w:rsid w:val="005F07B3"/>
    <w:rsid w:val="005F1A19"/>
    <w:rsid w:val="005F1B23"/>
    <w:rsid w:val="005F20D2"/>
    <w:rsid w:val="005F2366"/>
    <w:rsid w:val="005F2369"/>
    <w:rsid w:val="005F2802"/>
    <w:rsid w:val="005F2B8F"/>
    <w:rsid w:val="005F353B"/>
    <w:rsid w:val="005F3845"/>
    <w:rsid w:val="005F3F42"/>
    <w:rsid w:val="005F424F"/>
    <w:rsid w:val="005F4339"/>
    <w:rsid w:val="005F437B"/>
    <w:rsid w:val="005F4F0D"/>
    <w:rsid w:val="005F5299"/>
    <w:rsid w:val="005F5344"/>
    <w:rsid w:val="005F5397"/>
    <w:rsid w:val="005F53B3"/>
    <w:rsid w:val="005F5DA5"/>
    <w:rsid w:val="005F5F5D"/>
    <w:rsid w:val="005F60F6"/>
    <w:rsid w:val="005F635E"/>
    <w:rsid w:val="005F7381"/>
    <w:rsid w:val="005F75D0"/>
    <w:rsid w:val="005F7D61"/>
    <w:rsid w:val="005F7F56"/>
    <w:rsid w:val="006005E8"/>
    <w:rsid w:val="00600ECA"/>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53C1"/>
    <w:rsid w:val="00605420"/>
    <w:rsid w:val="0060556F"/>
    <w:rsid w:val="00605801"/>
    <w:rsid w:val="006060D3"/>
    <w:rsid w:val="00606383"/>
    <w:rsid w:val="00606BCF"/>
    <w:rsid w:val="00606E9D"/>
    <w:rsid w:val="00607175"/>
    <w:rsid w:val="00607191"/>
    <w:rsid w:val="00607371"/>
    <w:rsid w:val="0060784C"/>
    <w:rsid w:val="00607C8C"/>
    <w:rsid w:val="006102B2"/>
    <w:rsid w:val="00610501"/>
    <w:rsid w:val="00610A02"/>
    <w:rsid w:val="00610F0D"/>
    <w:rsid w:val="00610FBE"/>
    <w:rsid w:val="006112A4"/>
    <w:rsid w:val="00611425"/>
    <w:rsid w:val="006114F2"/>
    <w:rsid w:val="00611815"/>
    <w:rsid w:val="00611B9B"/>
    <w:rsid w:val="00611C02"/>
    <w:rsid w:val="00611C49"/>
    <w:rsid w:val="00612207"/>
    <w:rsid w:val="00612344"/>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6656"/>
    <w:rsid w:val="0061665C"/>
    <w:rsid w:val="00616FE0"/>
    <w:rsid w:val="00617995"/>
    <w:rsid w:val="00617B18"/>
    <w:rsid w:val="00617B92"/>
    <w:rsid w:val="00620C7C"/>
    <w:rsid w:val="00621029"/>
    <w:rsid w:val="00621B0C"/>
    <w:rsid w:val="00622658"/>
    <w:rsid w:val="00622738"/>
    <w:rsid w:val="0062305F"/>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F50"/>
    <w:rsid w:val="006270A5"/>
    <w:rsid w:val="00627448"/>
    <w:rsid w:val="00627655"/>
    <w:rsid w:val="00627D9A"/>
    <w:rsid w:val="00627FD1"/>
    <w:rsid w:val="00630033"/>
    <w:rsid w:val="00630136"/>
    <w:rsid w:val="006301E8"/>
    <w:rsid w:val="006304D1"/>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4312"/>
    <w:rsid w:val="00635186"/>
    <w:rsid w:val="006358C8"/>
    <w:rsid w:val="00635FA9"/>
    <w:rsid w:val="006364DC"/>
    <w:rsid w:val="006368ED"/>
    <w:rsid w:val="006369A6"/>
    <w:rsid w:val="00636C88"/>
    <w:rsid w:val="00637784"/>
    <w:rsid w:val="00637814"/>
    <w:rsid w:val="0063796C"/>
    <w:rsid w:val="006379E9"/>
    <w:rsid w:val="006401D7"/>
    <w:rsid w:val="00640914"/>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FD4"/>
    <w:rsid w:val="00644E60"/>
    <w:rsid w:val="006450A9"/>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E9C"/>
    <w:rsid w:val="00652DFB"/>
    <w:rsid w:val="00653191"/>
    <w:rsid w:val="0065335C"/>
    <w:rsid w:val="00654101"/>
    <w:rsid w:val="0065451F"/>
    <w:rsid w:val="00655073"/>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4520"/>
    <w:rsid w:val="00664541"/>
    <w:rsid w:val="00665D8A"/>
    <w:rsid w:val="0066628E"/>
    <w:rsid w:val="0066678E"/>
    <w:rsid w:val="00666AE4"/>
    <w:rsid w:val="00666B0B"/>
    <w:rsid w:val="006672B7"/>
    <w:rsid w:val="00667926"/>
    <w:rsid w:val="00667B00"/>
    <w:rsid w:val="00670A47"/>
    <w:rsid w:val="0067101B"/>
    <w:rsid w:val="0067103C"/>
    <w:rsid w:val="00671598"/>
    <w:rsid w:val="006717B9"/>
    <w:rsid w:val="00672BB4"/>
    <w:rsid w:val="00672D88"/>
    <w:rsid w:val="00673009"/>
    <w:rsid w:val="006734C4"/>
    <w:rsid w:val="00673E55"/>
    <w:rsid w:val="00673F69"/>
    <w:rsid w:val="0067482B"/>
    <w:rsid w:val="006748C3"/>
    <w:rsid w:val="00674DDB"/>
    <w:rsid w:val="00674F1C"/>
    <w:rsid w:val="00674F32"/>
    <w:rsid w:val="006759DF"/>
    <w:rsid w:val="00675D65"/>
    <w:rsid w:val="006760AD"/>
    <w:rsid w:val="0067616A"/>
    <w:rsid w:val="006767A4"/>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997"/>
    <w:rsid w:val="0068399F"/>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AE9"/>
    <w:rsid w:val="00695CA6"/>
    <w:rsid w:val="00696565"/>
    <w:rsid w:val="00696949"/>
    <w:rsid w:val="006971E0"/>
    <w:rsid w:val="00697461"/>
    <w:rsid w:val="00697F93"/>
    <w:rsid w:val="00697FD1"/>
    <w:rsid w:val="006A0147"/>
    <w:rsid w:val="006A01F7"/>
    <w:rsid w:val="006A06A8"/>
    <w:rsid w:val="006A0747"/>
    <w:rsid w:val="006A0748"/>
    <w:rsid w:val="006A0755"/>
    <w:rsid w:val="006A09CB"/>
    <w:rsid w:val="006A0DD3"/>
    <w:rsid w:val="006A158A"/>
    <w:rsid w:val="006A1915"/>
    <w:rsid w:val="006A1B12"/>
    <w:rsid w:val="006A1B8C"/>
    <w:rsid w:val="006A1E58"/>
    <w:rsid w:val="006A1F22"/>
    <w:rsid w:val="006A27BD"/>
    <w:rsid w:val="006A2A18"/>
    <w:rsid w:val="006A300B"/>
    <w:rsid w:val="006A3038"/>
    <w:rsid w:val="006A366F"/>
    <w:rsid w:val="006A3849"/>
    <w:rsid w:val="006A3973"/>
    <w:rsid w:val="006A3D9F"/>
    <w:rsid w:val="006A5E03"/>
    <w:rsid w:val="006A644E"/>
    <w:rsid w:val="006A6469"/>
    <w:rsid w:val="006A68C3"/>
    <w:rsid w:val="006A6DC0"/>
    <w:rsid w:val="006A6E27"/>
    <w:rsid w:val="006A7DA1"/>
    <w:rsid w:val="006A7F8A"/>
    <w:rsid w:val="006B03DB"/>
    <w:rsid w:val="006B0D83"/>
    <w:rsid w:val="006B2144"/>
    <w:rsid w:val="006B2652"/>
    <w:rsid w:val="006B279D"/>
    <w:rsid w:val="006B28A2"/>
    <w:rsid w:val="006B28B6"/>
    <w:rsid w:val="006B29C7"/>
    <w:rsid w:val="006B2D09"/>
    <w:rsid w:val="006B2E55"/>
    <w:rsid w:val="006B34CE"/>
    <w:rsid w:val="006B3545"/>
    <w:rsid w:val="006B3639"/>
    <w:rsid w:val="006B3D6D"/>
    <w:rsid w:val="006B41EF"/>
    <w:rsid w:val="006B46BB"/>
    <w:rsid w:val="006B4A97"/>
    <w:rsid w:val="006B4B2C"/>
    <w:rsid w:val="006B5270"/>
    <w:rsid w:val="006B5A5E"/>
    <w:rsid w:val="006B5DBB"/>
    <w:rsid w:val="006B6023"/>
    <w:rsid w:val="006B6498"/>
    <w:rsid w:val="006B7365"/>
    <w:rsid w:val="006B7376"/>
    <w:rsid w:val="006B775B"/>
    <w:rsid w:val="006C00D3"/>
    <w:rsid w:val="006C074C"/>
    <w:rsid w:val="006C0D20"/>
    <w:rsid w:val="006C10E8"/>
    <w:rsid w:val="006C16B5"/>
    <w:rsid w:val="006C184B"/>
    <w:rsid w:val="006C2F17"/>
    <w:rsid w:val="006C336B"/>
    <w:rsid w:val="006C3A71"/>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603"/>
    <w:rsid w:val="006D2929"/>
    <w:rsid w:val="006D2A93"/>
    <w:rsid w:val="006D2DE8"/>
    <w:rsid w:val="006D2E6E"/>
    <w:rsid w:val="006D303E"/>
    <w:rsid w:val="006D30F8"/>
    <w:rsid w:val="006D3141"/>
    <w:rsid w:val="006D3EAC"/>
    <w:rsid w:val="006D40DD"/>
    <w:rsid w:val="006D4255"/>
    <w:rsid w:val="006D444C"/>
    <w:rsid w:val="006D4589"/>
    <w:rsid w:val="006D49FB"/>
    <w:rsid w:val="006D5220"/>
    <w:rsid w:val="006D5D72"/>
    <w:rsid w:val="006D5EDF"/>
    <w:rsid w:val="006D6333"/>
    <w:rsid w:val="006D6C20"/>
    <w:rsid w:val="006D73BF"/>
    <w:rsid w:val="006D7506"/>
    <w:rsid w:val="006D76C8"/>
    <w:rsid w:val="006D7936"/>
    <w:rsid w:val="006E00DD"/>
    <w:rsid w:val="006E014E"/>
    <w:rsid w:val="006E02F5"/>
    <w:rsid w:val="006E048D"/>
    <w:rsid w:val="006E0A92"/>
    <w:rsid w:val="006E0DF3"/>
    <w:rsid w:val="006E18E9"/>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D53"/>
    <w:rsid w:val="006E6DE9"/>
    <w:rsid w:val="006E76CB"/>
    <w:rsid w:val="006E787A"/>
    <w:rsid w:val="006E7A6D"/>
    <w:rsid w:val="006E7AF8"/>
    <w:rsid w:val="006F016B"/>
    <w:rsid w:val="006F02A7"/>
    <w:rsid w:val="006F059E"/>
    <w:rsid w:val="006F0D25"/>
    <w:rsid w:val="006F0E07"/>
    <w:rsid w:val="006F1792"/>
    <w:rsid w:val="006F17B3"/>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AD0"/>
    <w:rsid w:val="006F7799"/>
    <w:rsid w:val="006F7B46"/>
    <w:rsid w:val="00700060"/>
    <w:rsid w:val="0070055D"/>
    <w:rsid w:val="0070162B"/>
    <w:rsid w:val="007019F7"/>
    <w:rsid w:val="00701DEC"/>
    <w:rsid w:val="0070233A"/>
    <w:rsid w:val="00702844"/>
    <w:rsid w:val="00702C84"/>
    <w:rsid w:val="00703176"/>
    <w:rsid w:val="00704388"/>
    <w:rsid w:val="00704460"/>
    <w:rsid w:val="00704921"/>
    <w:rsid w:val="00705176"/>
    <w:rsid w:val="00705330"/>
    <w:rsid w:val="0070576B"/>
    <w:rsid w:val="00705785"/>
    <w:rsid w:val="00705B62"/>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AC5"/>
    <w:rsid w:val="00716B22"/>
    <w:rsid w:val="007209DD"/>
    <w:rsid w:val="00720C2A"/>
    <w:rsid w:val="00720E20"/>
    <w:rsid w:val="00720E3B"/>
    <w:rsid w:val="00721078"/>
    <w:rsid w:val="00721C33"/>
    <w:rsid w:val="00721CBF"/>
    <w:rsid w:val="00721EA8"/>
    <w:rsid w:val="007220E4"/>
    <w:rsid w:val="0072230D"/>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73CC"/>
    <w:rsid w:val="007279BE"/>
    <w:rsid w:val="00727D44"/>
    <w:rsid w:val="00727EE0"/>
    <w:rsid w:val="007300A8"/>
    <w:rsid w:val="00730C09"/>
    <w:rsid w:val="00730D21"/>
    <w:rsid w:val="00731427"/>
    <w:rsid w:val="0073184C"/>
    <w:rsid w:val="00731B6E"/>
    <w:rsid w:val="007326A0"/>
    <w:rsid w:val="0073301B"/>
    <w:rsid w:val="00733778"/>
    <w:rsid w:val="00733CAB"/>
    <w:rsid w:val="00733D6E"/>
    <w:rsid w:val="00734860"/>
    <w:rsid w:val="007348F7"/>
    <w:rsid w:val="00734D4A"/>
    <w:rsid w:val="00734F05"/>
    <w:rsid w:val="00735095"/>
    <w:rsid w:val="00735398"/>
    <w:rsid w:val="00735747"/>
    <w:rsid w:val="00735C16"/>
    <w:rsid w:val="00735F23"/>
    <w:rsid w:val="00736978"/>
    <w:rsid w:val="007369EA"/>
    <w:rsid w:val="00736F0D"/>
    <w:rsid w:val="0073747E"/>
    <w:rsid w:val="007377AA"/>
    <w:rsid w:val="007377B5"/>
    <w:rsid w:val="00737BFB"/>
    <w:rsid w:val="00737D9B"/>
    <w:rsid w:val="007403CC"/>
    <w:rsid w:val="00740746"/>
    <w:rsid w:val="00740794"/>
    <w:rsid w:val="0074095B"/>
    <w:rsid w:val="0074096A"/>
    <w:rsid w:val="00740B8D"/>
    <w:rsid w:val="0074154D"/>
    <w:rsid w:val="00741A5F"/>
    <w:rsid w:val="007425FF"/>
    <w:rsid w:val="007427AA"/>
    <w:rsid w:val="00742D5A"/>
    <w:rsid w:val="0074369F"/>
    <w:rsid w:val="00743AF2"/>
    <w:rsid w:val="007444B0"/>
    <w:rsid w:val="00744DC5"/>
    <w:rsid w:val="00744F53"/>
    <w:rsid w:val="00745044"/>
    <w:rsid w:val="00745FB4"/>
    <w:rsid w:val="007461EF"/>
    <w:rsid w:val="007464A6"/>
    <w:rsid w:val="00746946"/>
    <w:rsid w:val="007469BC"/>
    <w:rsid w:val="007469F2"/>
    <w:rsid w:val="00746DE9"/>
    <w:rsid w:val="0074720A"/>
    <w:rsid w:val="007474D1"/>
    <w:rsid w:val="00747531"/>
    <w:rsid w:val="0074769F"/>
    <w:rsid w:val="007506FE"/>
    <w:rsid w:val="0075078D"/>
    <w:rsid w:val="00750CDB"/>
    <w:rsid w:val="00750F64"/>
    <w:rsid w:val="007513AD"/>
    <w:rsid w:val="00751CA2"/>
    <w:rsid w:val="0075219F"/>
    <w:rsid w:val="00752461"/>
    <w:rsid w:val="007530CF"/>
    <w:rsid w:val="007530F7"/>
    <w:rsid w:val="007534F4"/>
    <w:rsid w:val="00754324"/>
    <w:rsid w:val="00754475"/>
    <w:rsid w:val="00754530"/>
    <w:rsid w:val="00754DC0"/>
    <w:rsid w:val="0075503A"/>
    <w:rsid w:val="007554F3"/>
    <w:rsid w:val="00755DD7"/>
    <w:rsid w:val="00755E4A"/>
    <w:rsid w:val="00755EA6"/>
    <w:rsid w:val="00756314"/>
    <w:rsid w:val="007563D2"/>
    <w:rsid w:val="00756CA2"/>
    <w:rsid w:val="007572E6"/>
    <w:rsid w:val="00757648"/>
    <w:rsid w:val="00757BBA"/>
    <w:rsid w:val="00760464"/>
    <w:rsid w:val="007604CD"/>
    <w:rsid w:val="00760552"/>
    <w:rsid w:val="007607F5"/>
    <w:rsid w:val="007608F0"/>
    <w:rsid w:val="00760961"/>
    <w:rsid w:val="00760990"/>
    <w:rsid w:val="00760C1B"/>
    <w:rsid w:val="00760C32"/>
    <w:rsid w:val="007613B6"/>
    <w:rsid w:val="00761680"/>
    <w:rsid w:val="007619C6"/>
    <w:rsid w:val="00761DC3"/>
    <w:rsid w:val="00761EFC"/>
    <w:rsid w:val="00761F3E"/>
    <w:rsid w:val="00763055"/>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DBD"/>
    <w:rsid w:val="00770EB4"/>
    <w:rsid w:val="00771013"/>
    <w:rsid w:val="00772159"/>
    <w:rsid w:val="00772248"/>
    <w:rsid w:val="007725B2"/>
    <w:rsid w:val="00772730"/>
    <w:rsid w:val="0077297E"/>
    <w:rsid w:val="00772B5E"/>
    <w:rsid w:val="00772E09"/>
    <w:rsid w:val="00773035"/>
    <w:rsid w:val="007735AB"/>
    <w:rsid w:val="0077388D"/>
    <w:rsid w:val="00773AB3"/>
    <w:rsid w:val="00773FCC"/>
    <w:rsid w:val="0077424C"/>
    <w:rsid w:val="007742C5"/>
    <w:rsid w:val="00774C87"/>
    <w:rsid w:val="00774F87"/>
    <w:rsid w:val="00775300"/>
    <w:rsid w:val="00775530"/>
    <w:rsid w:val="00775BB8"/>
    <w:rsid w:val="00775FBF"/>
    <w:rsid w:val="0077615F"/>
    <w:rsid w:val="0077618A"/>
    <w:rsid w:val="0077637E"/>
    <w:rsid w:val="00776DCC"/>
    <w:rsid w:val="0077737C"/>
    <w:rsid w:val="00777439"/>
    <w:rsid w:val="00777904"/>
    <w:rsid w:val="00777D93"/>
    <w:rsid w:val="00777FD5"/>
    <w:rsid w:val="00780E6A"/>
    <w:rsid w:val="00780F4C"/>
    <w:rsid w:val="00781131"/>
    <w:rsid w:val="00781552"/>
    <w:rsid w:val="00781D73"/>
    <w:rsid w:val="00781FA0"/>
    <w:rsid w:val="00783209"/>
    <w:rsid w:val="00783699"/>
    <w:rsid w:val="007843BF"/>
    <w:rsid w:val="007848DF"/>
    <w:rsid w:val="00784CB2"/>
    <w:rsid w:val="00784D6F"/>
    <w:rsid w:val="0078504B"/>
    <w:rsid w:val="00785291"/>
    <w:rsid w:val="0078594B"/>
    <w:rsid w:val="00785D9A"/>
    <w:rsid w:val="00786150"/>
    <w:rsid w:val="0078659A"/>
    <w:rsid w:val="00786B0F"/>
    <w:rsid w:val="00786C83"/>
    <w:rsid w:val="007872B7"/>
    <w:rsid w:val="00790174"/>
    <w:rsid w:val="007901B0"/>
    <w:rsid w:val="007902FB"/>
    <w:rsid w:val="00790946"/>
    <w:rsid w:val="00790CF0"/>
    <w:rsid w:val="00790E8E"/>
    <w:rsid w:val="00790F0C"/>
    <w:rsid w:val="00790F29"/>
    <w:rsid w:val="0079120E"/>
    <w:rsid w:val="00791C05"/>
    <w:rsid w:val="007935FD"/>
    <w:rsid w:val="00793670"/>
    <w:rsid w:val="00793D8C"/>
    <w:rsid w:val="00793E16"/>
    <w:rsid w:val="00794043"/>
    <w:rsid w:val="00794100"/>
    <w:rsid w:val="007945F2"/>
    <w:rsid w:val="007947A5"/>
    <w:rsid w:val="00794BF7"/>
    <w:rsid w:val="007954D1"/>
    <w:rsid w:val="00796163"/>
    <w:rsid w:val="00796385"/>
    <w:rsid w:val="00796514"/>
    <w:rsid w:val="007970BD"/>
    <w:rsid w:val="00797EA8"/>
    <w:rsid w:val="007A0276"/>
    <w:rsid w:val="007A02FB"/>
    <w:rsid w:val="007A15BC"/>
    <w:rsid w:val="007A15FF"/>
    <w:rsid w:val="007A19C8"/>
    <w:rsid w:val="007A2480"/>
    <w:rsid w:val="007A2EE1"/>
    <w:rsid w:val="007A31E4"/>
    <w:rsid w:val="007A3B62"/>
    <w:rsid w:val="007A3C44"/>
    <w:rsid w:val="007A4103"/>
    <w:rsid w:val="007A425F"/>
    <w:rsid w:val="007A50BF"/>
    <w:rsid w:val="007A5133"/>
    <w:rsid w:val="007A5180"/>
    <w:rsid w:val="007A5BA4"/>
    <w:rsid w:val="007A61DB"/>
    <w:rsid w:val="007A622F"/>
    <w:rsid w:val="007A67AD"/>
    <w:rsid w:val="007A68BB"/>
    <w:rsid w:val="007A6C01"/>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4EA"/>
    <w:rsid w:val="007B4B57"/>
    <w:rsid w:val="007B4CC3"/>
    <w:rsid w:val="007B5217"/>
    <w:rsid w:val="007B5FC7"/>
    <w:rsid w:val="007B6120"/>
    <w:rsid w:val="007B6128"/>
    <w:rsid w:val="007B62B9"/>
    <w:rsid w:val="007B64EB"/>
    <w:rsid w:val="007B6C0D"/>
    <w:rsid w:val="007B6DFF"/>
    <w:rsid w:val="007B6E36"/>
    <w:rsid w:val="007B7249"/>
    <w:rsid w:val="007B7808"/>
    <w:rsid w:val="007B79C1"/>
    <w:rsid w:val="007C07C5"/>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E02"/>
    <w:rsid w:val="007D0F16"/>
    <w:rsid w:val="007D13EC"/>
    <w:rsid w:val="007D1446"/>
    <w:rsid w:val="007D1509"/>
    <w:rsid w:val="007D2648"/>
    <w:rsid w:val="007D29FA"/>
    <w:rsid w:val="007D30B3"/>
    <w:rsid w:val="007D34BB"/>
    <w:rsid w:val="007D3949"/>
    <w:rsid w:val="007D3C7F"/>
    <w:rsid w:val="007D4D8F"/>
    <w:rsid w:val="007D529B"/>
    <w:rsid w:val="007D540C"/>
    <w:rsid w:val="007D5EB3"/>
    <w:rsid w:val="007D61BD"/>
    <w:rsid w:val="007D66D5"/>
    <w:rsid w:val="007D6B22"/>
    <w:rsid w:val="007D70AC"/>
    <w:rsid w:val="007D726D"/>
    <w:rsid w:val="007D7F08"/>
    <w:rsid w:val="007E022E"/>
    <w:rsid w:val="007E0A55"/>
    <w:rsid w:val="007E0BE2"/>
    <w:rsid w:val="007E10D9"/>
    <w:rsid w:val="007E1878"/>
    <w:rsid w:val="007E1D9A"/>
    <w:rsid w:val="007E22A2"/>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A30"/>
    <w:rsid w:val="007E61A9"/>
    <w:rsid w:val="007E62B8"/>
    <w:rsid w:val="007E6DBB"/>
    <w:rsid w:val="007E74E2"/>
    <w:rsid w:val="007F010C"/>
    <w:rsid w:val="007F0D66"/>
    <w:rsid w:val="007F0D6D"/>
    <w:rsid w:val="007F1E37"/>
    <w:rsid w:val="007F1E75"/>
    <w:rsid w:val="007F295A"/>
    <w:rsid w:val="007F2B8A"/>
    <w:rsid w:val="007F353F"/>
    <w:rsid w:val="007F3BFD"/>
    <w:rsid w:val="007F3CE3"/>
    <w:rsid w:val="007F43EE"/>
    <w:rsid w:val="007F54F6"/>
    <w:rsid w:val="007F5611"/>
    <w:rsid w:val="007F5820"/>
    <w:rsid w:val="007F5E07"/>
    <w:rsid w:val="007F63D0"/>
    <w:rsid w:val="007F6556"/>
    <w:rsid w:val="007F68BE"/>
    <w:rsid w:val="007F6AD9"/>
    <w:rsid w:val="007F6C2A"/>
    <w:rsid w:val="007F6F84"/>
    <w:rsid w:val="007F799B"/>
    <w:rsid w:val="007F79E5"/>
    <w:rsid w:val="0080071E"/>
    <w:rsid w:val="0080095E"/>
    <w:rsid w:val="008012AB"/>
    <w:rsid w:val="00801658"/>
    <w:rsid w:val="00802AFE"/>
    <w:rsid w:val="00802C32"/>
    <w:rsid w:val="00803A1B"/>
    <w:rsid w:val="00803BF6"/>
    <w:rsid w:val="008041DE"/>
    <w:rsid w:val="008042C5"/>
    <w:rsid w:val="0080478C"/>
    <w:rsid w:val="00804B8C"/>
    <w:rsid w:val="00804CBD"/>
    <w:rsid w:val="00804D39"/>
    <w:rsid w:val="00804DEE"/>
    <w:rsid w:val="00804E03"/>
    <w:rsid w:val="008050BD"/>
    <w:rsid w:val="00805266"/>
    <w:rsid w:val="008054EC"/>
    <w:rsid w:val="00805CE9"/>
    <w:rsid w:val="00805E59"/>
    <w:rsid w:val="00805E95"/>
    <w:rsid w:val="008061AA"/>
    <w:rsid w:val="0080639C"/>
    <w:rsid w:val="00806DD8"/>
    <w:rsid w:val="00807534"/>
    <w:rsid w:val="0080782D"/>
    <w:rsid w:val="00807973"/>
    <w:rsid w:val="00807D16"/>
    <w:rsid w:val="00807E6B"/>
    <w:rsid w:val="00810B86"/>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D69"/>
    <w:rsid w:val="00817322"/>
    <w:rsid w:val="00817933"/>
    <w:rsid w:val="008179D7"/>
    <w:rsid w:val="00817A00"/>
    <w:rsid w:val="00817C66"/>
    <w:rsid w:val="008204F0"/>
    <w:rsid w:val="00820B59"/>
    <w:rsid w:val="00821197"/>
    <w:rsid w:val="008215E6"/>
    <w:rsid w:val="00821958"/>
    <w:rsid w:val="008219F0"/>
    <w:rsid w:val="00821BEE"/>
    <w:rsid w:val="00821D46"/>
    <w:rsid w:val="0082250F"/>
    <w:rsid w:val="0082259D"/>
    <w:rsid w:val="0082262B"/>
    <w:rsid w:val="00822937"/>
    <w:rsid w:val="00822F30"/>
    <w:rsid w:val="0082307B"/>
    <w:rsid w:val="0082402C"/>
    <w:rsid w:val="00824035"/>
    <w:rsid w:val="00824564"/>
    <w:rsid w:val="00825A32"/>
    <w:rsid w:val="00825CD1"/>
    <w:rsid w:val="0082628B"/>
    <w:rsid w:val="0082700D"/>
    <w:rsid w:val="0082710C"/>
    <w:rsid w:val="00827565"/>
    <w:rsid w:val="00827E54"/>
    <w:rsid w:val="00827E88"/>
    <w:rsid w:val="00830069"/>
    <w:rsid w:val="0083017E"/>
    <w:rsid w:val="008306B4"/>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5937"/>
    <w:rsid w:val="00835A83"/>
    <w:rsid w:val="00836095"/>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50148"/>
    <w:rsid w:val="008501B6"/>
    <w:rsid w:val="0085051E"/>
    <w:rsid w:val="008506BD"/>
    <w:rsid w:val="00850C56"/>
    <w:rsid w:val="00850FAC"/>
    <w:rsid w:val="008510A1"/>
    <w:rsid w:val="008510A9"/>
    <w:rsid w:val="008515A3"/>
    <w:rsid w:val="00851CB2"/>
    <w:rsid w:val="00852241"/>
    <w:rsid w:val="008522A1"/>
    <w:rsid w:val="00853204"/>
    <w:rsid w:val="00853503"/>
    <w:rsid w:val="008536C5"/>
    <w:rsid w:val="008540F0"/>
    <w:rsid w:val="00854B0C"/>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B4"/>
    <w:rsid w:val="008762E7"/>
    <w:rsid w:val="00876B7A"/>
    <w:rsid w:val="00876B80"/>
    <w:rsid w:val="00876D9E"/>
    <w:rsid w:val="00876E5C"/>
    <w:rsid w:val="008770E8"/>
    <w:rsid w:val="008772D8"/>
    <w:rsid w:val="00877A05"/>
    <w:rsid w:val="00877A20"/>
    <w:rsid w:val="00877F05"/>
    <w:rsid w:val="00880962"/>
    <w:rsid w:val="008810CF"/>
    <w:rsid w:val="0088143E"/>
    <w:rsid w:val="00881548"/>
    <w:rsid w:val="00882186"/>
    <w:rsid w:val="00882370"/>
    <w:rsid w:val="008824C9"/>
    <w:rsid w:val="00882506"/>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7CF9"/>
    <w:rsid w:val="008902A1"/>
    <w:rsid w:val="008907F3"/>
    <w:rsid w:val="00891518"/>
    <w:rsid w:val="00891CEF"/>
    <w:rsid w:val="00891DE9"/>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A33"/>
    <w:rsid w:val="008A3361"/>
    <w:rsid w:val="008A3ABD"/>
    <w:rsid w:val="008A3F86"/>
    <w:rsid w:val="008A44E1"/>
    <w:rsid w:val="008A4984"/>
    <w:rsid w:val="008A4EBD"/>
    <w:rsid w:val="008A5B37"/>
    <w:rsid w:val="008A5D43"/>
    <w:rsid w:val="008A607F"/>
    <w:rsid w:val="008A69F2"/>
    <w:rsid w:val="008A726C"/>
    <w:rsid w:val="008A76E0"/>
    <w:rsid w:val="008A7910"/>
    <w:rsid w:val="008A7F70"/>
    <w:rsid w:val="008A7FAF"/>
    <w:rsid w:val="008B0588"/>
    <w:rsid w:val="008B1513"/>
    <w:rsid w:val="008B16E6"/>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302"/>
    <w:rsid w:val="008B736A"/>
    <w:rsid w:val="008B7452"/>
    <w:rsid w:val="008B7A09"/>
    <w:rsid w:val="008B7BFF"/>
    <w:rsid w:val="008B7D4A"/>
    <w:rsid w:val="008C0208"/>
    <w:rsid w:val="008C0263"/>
    <w:rsid w:val="008C05FF"/>
    <w:rsid w:val="008C093D"/>
    <w:rsid w:val="008C10F7"/>
    <w:rsid w:val="008C2260"/>
    <w:rsid w:val="008C2AAA"/>
    <w:rsid w:val="008C2BA6"/>
    <w:rsid w:val="008C3CB2"/>
    <w:rsid w:val="008C42CE"/>
    <w:rsid w:val="008C4D0F"/>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D86"/>
    <w:rsid w:val="008E3EF6"/>
    <w:rsid w:val="008E4F7E"/>
    <w:rsid w:val="008E559D"/>
    <w:rsid w:val="008E5CF3"/>
    <w:rsid w:val="008E65D9"/>
    <w:rsid w:val="008E6864"/>
    <w:rsid w:val="008E6BD0"/>
    <w:rsid w:val="008E6E91"/>
    <w:rsid w:val="008E7AB5"/>
    <w:rsid w:val="008E7FCE"/>
    <w:rsid w:val="008F088E"/>
    <w:rsid w:val="008F0892"/>
    <w:rsid w:val="008F10F0"/>
    <w:rsid w:val="008F13D7"/>
    <w:rsid w:val="008F1462"/>
    <w:rsid w:val="008F1874"/>
    <w:rsid w:val="008F1F16"/>
    <w:rsid w:val="008F258D"/>
    <w:rsid w:val="008F3243"/>
    <w:rsid w:val="008F362C"/>
    <w:rsid w:val="008F39DD"/>
    <w:rsid w:val="008F3E38"/>
    <w:rsid w:val="008F41F8"/>
    <w:rsid w:val="008F4297"/>
    <w:rsid w:val="008F43D9"/>
    <w:rsid w:val="008F4730"/>
    <w:rsid w:val="008F47AC"/>
    <w:rsid w:val="008F5014"/>
    <w:rsid w:val="008F5054"/>
    <w:rsid w:val="008F5176"/>
    <w:rsid w:val="008F535D"/>
    <w:rsid w:val="008F5CB9"/>
    <w:rsid w:val="008F5E22"/>
    <w:rsid w:val="008F6173"/>
    <w:rsid w:val="008F66F1"/>
    <w:rsid w:val="00901BBB"/>
    <w:rsid w:val="00901CE3"/>
    <w:rsid w:val="009021FE"/>
    <w:rsid w:val="00902514"/>
    <w:rsid w:val="00902804"/>
    <w:rsid w:val="00902C7D"/>
    <w:rsid w:val="009031CB"/>
    <w:rsid w:val="00903488"/>
    <w:rsid w:val="00903C55"/>
    <w:rsid w:val="00904247"/>
    <w:rsid w:val="00904A40"/>
    <w:rsid w:val="00904F8D"/>
    <w:rsid w:val="0090536C"/>
    <w:rsid w:val="00905966"/>
    <w:rsid w:val="00905A06"/>
    <w:rsid w:val="00905A0A"/>
    <w:rsid w:val="00905A70"/>
    <w:rsid w:val="00905A83"/>
    <w:rsid w:val="00906F50"/>
    <w:rsid w:val="009075B5"/>
    <w:rsid w:val="00907665"/>
    <w:rsid w:val="00907979"/>
    <w:rsid w:val="00907EE0"/>
    <w:rsid w:val="00910163"/>
    <w:rsid w:val="00910737"/>
    <w:rsid w:val="0091125C"/>
    <w:rsid w:val="0091138B"/>
    <w:rsid w:val="00911430"/>
    <w:rsid w:val="00911777"/>
    <w:rsid w:val="0091289A"/>
    <w:rsid w:val="00912B86"/>
    <w:rsid w:val="00913DFC"/>
    <w:rsid w:val="00913F53"/>
    <w:rsid w:val="009144CC"/>
    <w:rsid w:val="00914705"/>
    <w:rsid w:val="009149B9"/>
    <w:rsid w:val="00915013"/>
    <w:rsid w:val="009153FA"/>
    <w:rsid w:val="009156A8"/>
    <w:rsid w:val="00915B36"/>
    <w:rsid w:val="00915BDF"/>
    <w:rsid w:val="009161F5"/>
    <w:rsid w:val="009163B9"/>
    <w:rsid w:val="00916510"/>
    <w:rsid w:val="0091668F"/>
    <w:rsid w:val="0091677C"/>
    <w:rsid w:val="00916812"/>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7416"/>
    <w:rsid w:val="00927CCB"/>
    <w:rsid w:val="00927D19"/>
    <w:rsid w:val="00930111"/>
    <w:rsid w:val="0093049D"/>
    <w:rsid w:val="0093060A"/>
    <w:rsid w:val="00930F9B"/>
    <w:rsid w:val="00931509"/>
    <w:rsid w:val="0093156A"/>
    <w:rsid w:val="009316F1"/>
    <w:rsid w:val="00931A1F"/>
    <w:rsid w:val="00931B7E"/>
    <w:rsid w:val="00932B43"/>
    <w:rsid w:val="00932DB8"/>
    <w:rsid w:val="009330B1"/>
    <w:rsid w:val="00933273"/>
    <w:rsid w:val="00933786"/>
    <w:rsid w:val="009347BC"/>
    <w:rsid w:val="00934D16"/>
    <w:rsid w:val="00934F99"/>
    <w:rsid w:val="00935317"/>
    <w:rsid w:val="00935577"/>
    <w:rsid w:val="00935969"/>
    <w:rsid w:val="00935CAD"/>
    <w:rsid w:val="00935F3D"/>
    <w:rsid w:val="00936354"/>
    <w:rsid w:val="009369E7"/>
    <w:rsid w:val="00936AEA"/>
    <w:rsid w:val="00936B9C"/>
    <w:rsid w:val="00936E7C"/>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81A"/>
    <w:rsid w:val="00947DE3"/>
    <w:rsid w:val="00947FC6"/>
    <w:rsid w:val="00950426"/>
    <w:rsid w:val="0095079A"/>
    <w:rsid w:val="009507B1"/>
    <w:rsid w:val="0095086C"/>
    <w:rsid w:val="00950CF3"/>
    <w:rsid w:val="00950ED0"/>
    <w:rsid w:val="00951428"/>
    <w:rsid w:val="00951856"/>
    <w:rsid w:val="009528DA"/>
    <w:rsid w:val="0095297A"/>
    <w:rsid w:val="009529B3"/>
    <w:rsid w:val="00953373"/>
    <w:rsid w:val="009535BD"/>
    <w:rsid w:val="00953A87"/>
    <w:rsid w:val="00953E39"/>
    <w:rsid w:val="0095420F"/>
    <w:rsid w:val="00954DD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322"/>
    <w:rsid w:val="0096088B"/>
    <w:rsid w:val="00960A46"/>
    <w:rsid w:val="0096150A"/>
    <w:rsid w:val="0096180C"/>
    <w:rsid w:val="00961B88"/>
    <w:rsid w:val="0096269E"/>
    <w:rsid w:val="00962B36"/>
    <w:rsid w:val="00962B7F"/>
    <w:rsid w:val="00962CE3"/>
    <w:rsid w:val="00962DED"/>
    <w:rsid w:val="0096341F"/>
    <w:rsid w:val="00963430"/>
    <w:rsid w:val="00963497"/>
    <w:rsid w:val="00963A70"/>
    <w:rsid w:val="00963E69"/>
    <w:rsid w:val="009642A8"/>
    <w:rsid w:val="00964948"/>
    <w:rsid w:val="009653E3"/>
    <w:rsid w:val="0096555E"/>
    <w:rsid w:val="009656E0"/>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55F"/>
    <w:rsid w:val="00971A0E"/>
    <w:rsid w:val="00972280"/>
    <w:rsid w:val="00972874"/>
    <w:rsid w:val="00973111"/>
    <w:rsid w:val="00973134"/>
    <w:rsid w:val="00973396"/>
    <w:rsid w:val="0097436A"/>
    <w:rsid w:val="009746BA"/>
    <w:rsid w:val="009747A9"/>
    <w:rsid w:val="00975D36"/>
    <w:rsid w:val="0097611D"/>
    <w:rsid w:val="00976605"/>
    <w:rsid w:val="00976692"/>
    <w:rsid w:val="00976975"/>
    <w:rsid w:val="00976E19"/>
    <w:rsid w:val="00977573"/>
    <w:rsid w:val="0097760C"/>
    <w:rsid w:val="00977828"/>
    <w:rsid w:val="00977CDB"/>
    <w:rsid w:val="00980196"/>
    <w:rsid w:val="00981082"/>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A5A"/>
    <w:rsid w:val="00994766"/>
    <w:rsid w:val="00994A73"/>
    <w:rsid w:val="00994B9B"/>
    <w:rsid w:val="00994BE2"/>
    <w:rsid w:val="00994D61"/>
    <w:rsid w:val="0099515C"/>
    <w:rsid w:val="009952CD"/>
    <w:rsid w:val="00995C84"/>
    <w:rsid w:val="009961F3"/>
    <w:rsid w:val="00996CB9"/>
    <w:rsid w:val="00997363"/>
    <w:rsid w:val="0099758C"/>
    <w:rsid w:val="009976BE"/>
    <w:rsid w:val="00997711"/>
    <w:rsid w:val="00997C96"/>
    <w:rsid w:val="009A0073"/>
    <w:rsid w:val="009A07C2"/>
    <w:rsid w:val="009A0830"/>
    <w:rsid w:val="009A0FCE"/>
    <w:rsid w:val="009A1184"/>
    <w:rsid w:val="009A2271"/>
    <w:rsid w:val="009A22E3"/>
    <w:rsid w:val="009A2955"/>
    <w:rsid w:val="009A2C42"/>
    <w:rsid w:val="009A2C7A"/>
    <w:rsid w:val="009A2C9A"/>
    <w:rsid w:val="009A2D89"/>
    <w:rsid w:val="009A311B"/>
    <w:rsid w:val="009A3506"/>
    <w:rsid w:val="009A35BE"/>
    <w:rsid w:val="009A3609"/>
    <w:rsid w:val="009A4DFD"/>
    <w:rsid w:val="009A53FF"/>
    <w:rsid w:val="009A54E8"/>
    <w:rsid w:val="009A5739"/>
    <w:rsid w:val="009A584B"/>
    <w:rsid w:val="009A5931"/>
    <w:rsid w:val="009A5B45"/>
    <w:rsid w:val="009A5B7A"/>
    <w:rsid w:val="009A5DDB"/>
    <w:rsid w:val="009A6BCC"/>
    <w:rsid w:val="009A7408"/>
    <w:rsid w:val="009A7B13"/>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1B1D"/>
    <w:rsid w:val="009C1D8A"/>
    <w:rsid w:val="009C2169"/>
    <w:rsid w:val="009C21B1"/>
    <w:rsid w:val="009C2A51"/>
    <w:rsid w:val="009C2D21"/>
    <w:rsid w:val="009C3538"/>
    <w:rsid w:val="009C369A"/>
    <w:rsid w:val="009C3C20"/>
    <w:rsid w:val="009C48F7"/>
    <w:rsid w:val="009C4A94"/>
    <w:rsid w:val="009C4ED9"/>
    <w:rsid w:val="009C5266"/>
    <w:rsid w:val="009C5633"/>
    <w:rsid w:val="009C5701"/>
    <w:rsid w:val="009C5C4B"/>
    <w:rsid w:val="009C5E04"/>
    <w:rsid w:val="009C62C3"/>
    <w:rsid w:val="009C65B9"/>
    <w:rsid w:val="009C6A88"/>
    <w:rsid w:val="009C78BC"/>
    <w:rsid w:val="009C7CC2"/>
    <w:rsid w:val="009D0194"/>
    <w:rsid w:val="009D042F"/>
    <w:rsid w:val="009D05DF"/>
    <w:rsid w:val="009D079B"/>
    <w:rsid w:val="009D08C2"/>
    <w:rsid w:val="009D1099"/>
    <w:rsid w:val="009D196D"/>
    <w:rsid w:val="009D24D1"/>
    <w:rsid w:val="009D2D29"/>
    <w:rsid w:val="009D34E4"/>
    <w:rsid w:val="009D3C85"/>
    <w:rsid w:val="009D3CCD"/>
    <w:rsid w:val="009D3EA0"/>
    <w:rsid w:val="009D434C"/>
    <w:rsid w:val="009D440F"/>
    <w:rsid w:val="009D46E0"/>
    <w:rsid w:val="009D54D4"/>
    <w:rsid w:val="009D55E6"/>
    <w:rsid w:val="009D57B1"/>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DE7"/>
    <w:rsid w:val="009E71E9"/>
    <w:rsid w:val="009E74DA"/>
    <w:rsid w:val="009E7875"/>
    <w:rsid w:val="009E7B20"/>
    <w:rsid w:val="009E7B39"/>
    <w:rsid w:val="009F03AD"/>
    <w:rsid w:val="009F055F"/>
    <w:rsid w:val="009F0984"/>
    <w:rsid w:val="009F0A17"/>
    <w:rsid w:val="009F0A27"/>
    <w:rsid w:val="009F0B92"/>
    <w:rsid w:val="009F1565"/>
    <w:rsid w:val="009F184E"/>
    <w:rsid w:val="009F19D5"/>
    <w:rsid w:val="009F28C3"/>
    <w:rsid w:val="009F29BD"/>
    <w:rsid w:val="009F3974"/>
    <w:rsid w:val="009F4238"/>
    <w:rsid w:val="009F446E"/>
    <w:rsid w:val="009F4654"/>
    <w:rsid w:val="009F48B7"/>
    <w:rsid w:val="009F4AEC"/>
    <w:rsid w:val="009F505C"/>
    <w:rsid w:val="009F5249"/>
    <w:rsid w:val="009F52CE"/>
    <w:rsid w:val="009F5D43"/>
    <w:rsid w:val="009F608E"/>
    <w:rsid w:val="009F6504"/>
    <w:rsid w:val="009F70D6"/>
    <w:rsid w:val="009F70E1"/>
    <w:rsid w:val="009F7547"/>
    <w:rsid w:val="009F783C"/>
    <w:rsid w:val="009F7933"/>
    <w:rsid w:val="009F79C1"/>
    <w:rsid w:val="009F7E29"/>
    <w:rsid w:val="00A0019D"/>
    <w:rsid w:val="00A00474"/>
    <w:rsid w:val="00A00522"/>
    <w:rsid w:val="00A00B66"/>
    <w:rsid w:val="00A012C4"/>
    <w:rsid w:val="00A01490"/>
    <w:rsid w:val="00A014A9"/>
    <w:rsid w:val="00A014C8"/>
    <w:rsid w:val="00A020DD"/>
    <w:rsid w:val="00A027FD"/>
    <w:rsid w:val="00A02BDF"/>
    <w:rsid w:val="00A02F37"/>
    <w:rsid w:val="00A02F4C"/>
    <w:rsid w:val="00A034A7"/>
    <w:rsid w:val="00A03686"/>
    <w:rsid w:val="00A03CE8"/>
    <w:rsid w:val="00A0424A"/>
    <w:rsid w:val="00A04551"/>
    <w:rsid w:val="00A04581"/>
    <w:rsid w:val="00A0463B"/>
    <w:rsid w:val="00A048B6"/>
    <w:rsid w:val="00A04CAD"/>
    <w:rsid w:val="00A054CA"/>
    <w:rsid w:val="00A056EF"/>
    <w:rsid w:val="00A062F2"/>
    <w:rsid w:val="00A064DE"/>
    <w:rsid w:val="00A06711"/>
    <w:rsid w:val="00A06914"/>
    <w:rsid w:val="00A06E2F"/>
    <w:rsid w:val="00A07297"/>
    <w:rsid w:val="00A07432"/>
    <w:rsid w:val="00A076E4"/>
    <w:rsid w:val="00A07859"/>
    <w:rsid w:val="00A07C5F"/>
    <w:rsid w:val="00A07D3B"/>
    <w:rsid w:val="00A07F83"/>
    <w:rsid w:val="00A1055C"/>
    <w:rsid w:val="00A108C9"/>
    <w:rsid w:val="00A10FB7"/>
    <w:rsid w:val="00A1122B"/>
    <w:rsid w:val="00A116D1"/>
    <w:rsid w:val="00A11D44"/>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77C"/>
    <w:rsid w:val="00A1588D"/>
    <w:rsid w:val="00A160A4"/>
    <w:rsid w:val="00A1657B"/>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8C9"/>
    <w:rsid w:val="00A25A83"/>
    <w:rsid w:val="00A25B02"/>
    <w:rsid w:val="00A25C92"/>
    <w:rsid w:val="00A25E97"/>
    <w:rsid w:val="00A25FE3"/>
    <w:rsid w:val="00A26133"/>
    <w:rsid w:val="00A261D8"/>
    <w:rsid w:val="00A2653E"/>
    <w:rsid w:val="00A26C2C"/>
    <w:rsid w:val="00A27B1E"/>
    <w:rsid w:val="00A30AB4"/>
    <w:rsid w:val="00A30DF9"/>
    <w:rsid w:val="00A30FCE"/>
    <w:rsid w:val="00A31632"/>
    <w:rsid w:val="00A318EA"/>
    <w:rsid w:val="00A31D03"/>
    <w:rsid w:val="00A32C35"/>
    <w:rsid w:val="00A32C86"/>
    <w:rsid w:val="00A32DEB"/>
    <w:rsid w:val="00A332C2"/>
    <w:rsid w:val="00A33E2B"/>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1BA"/>
    <w:rsid w:val="00A42412"/>
    <w:rsid w:val="00A4246D"/>
    <w:rsid w:val="00A4249E"/>
    <w:rsid w:val="00A4275C"/>
    <w:rsid w:val="00A42962"/>
    <w:rsid w:val="00A42A06"/>
    <w:rsid w:val="00A43033"/>
    <w:rsid w:val="00A43815"/>
    <w:rsid w:val="00A43CAF"/>
    <w:rsid w:val="00A43EE4"/>
    <w:rsid w:val="00A441A6"/>
    <w:rsid w:val="00A444E6"/>
    <w:rsid w:val="00A4456F"/>
    <w:rsid w:val="00A448E6"/>
    <w:rsid w:val="00A44B87"/>
    <w:rsid w:val="00A455DD"/>
    <w:rsid w:val="00A45657"/>
    <w:rsid w:val="00A457BC"/>
    <w:rsid w:val="00A45B0A"/>
    <w:rsid w:val="00A45B84"/>
    <w:rsid w:val="00A46403"/>
    <w:rsid w:val="00A46AD3"/>
    <w:rsid w:val="00A4769E"/>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FC"/>
    <w:rsid w:val="00A543AF"/>
    <w:rsid w:val="00A54698"/>
    <w:rsid w:val="00A54C65"/>
    <w:rsid w:val="00A54CB0"/>
    <w:rsid w:val="00A54EB4"/>
    <w:rsid w:val="00A550C0"/>
    <w:rsid w:val="00A552D8"/>
    <w:rsid w:val="00A55C99"/>
    <w:rsid w:val="00A568A1"/>
    <w:rsid w:val="00A56BE0"/>
    <w:rsid w:val="00A570DA"/>
    <w:rsid w:val="00A5721A"/>
    <w:rsid w:val="00A57550"/>
    <w:rsid w:val="00A57D8B"/>
    <w:rsid w:val="00A57DF8"/>
    <w:rsid w:val="00A57F1A"/>
    <w:rsid w:val="00A600DD"/>
    <w:rsid w:val="00A6026E"/>
    <w:rsid w:val="00A605F4"/>
    <w:rsid w:val="00A60B5B"/>
    <w:rsid w:val="00A61383"/>
    <w:rsid w:val="00A61935"/>
    <w:rsid w:val="00A61CFA"/>
    <w:rsid w:val="00A61EBD"/>
    <w:rsid w:val="00A62AB4"/>
    <w:rsid w:val="00A62C7B"/>
    <w:rsid w:val="00A62D63"/>
    <w:rsid w:val="00A637EC"/>
    <w:rsid w:val="00A645E7"/>
    <w:rsid w:val="00A647A5"/>
    <w:rsid w:val="00A64DCB"/>
    <w:rsid w:val="00A64EC1"/>
    <w:rsid w:val="00A64FC3"/>
    <w:rsid w:val="00A6513D"/>
    <w:rsid w:val="00A65206"/>
    <w:rsid w:val="00A655A4"/>
    <w:rsid w:val="00A6571D"/>
    <w:rsid w:val="00A65DE5"/>
    <w:rsid w:val="00A6631E"/>
    <w:rsid w:val="00A6633B"/>
    <w:rsid w:val="00A663EE"/>
    <w:rsid w:val="00A66B64"/>
    <w:rsid w:val="00A66D4B"/>
    <w:rsid w:val="00A66E9B"/>
    <w:rsid w:val="00A67245"/>
    <w:rsid w:val="00A674CF"/>
    <w:rsid w:val="00A675F4"/>
    <w:rsid w:val="00A67EC9"/>
    <w:rsid w:val="00A67FBC"/>
    <w:rsid w:val="00A70584"/>
    <w:rsid w:val="00A70897"/>
    <w:rsid w:val="00A70BCB"/>
    <w:rsid w:val="00A70BFA"/>
    <w:rsid w:val="00A7164B"/>
    <w:rsid w:val="00A71C25"/>
    <w:rsid w:val="00A71DA9"/>
    <w:rsid w:val="00A722BE"/>
    <w:rsid w:val="00A72485"/>
    <w:rsid w:val="00A72684"/>
    <w:rsid w:val="00A72B1F"/>
    <w:rsid w:val="00A72B74"/>
    <w:rsid w:val="00A72D37"/>
    <w:rsid w:val="00A7329B"/>
    <w:rsid w:val="00A73A3C"/>
    <w:rsid w:val="00A73EDC"/>
    <w:rsid w:val="00A7426E"/>
    <w:rsid w:val="00A74B76"/>
    <w:rsid w:val="00A74CFE"/>
    <w:rsid w:val="00A75087"/>
    <w:rsid w:val="00A750CC"/>
    <w:rsid w:val="00A75139"/>
    <w:rsid w:val="00A754E2"/>
    <w:rsid w:val="00A75548"/>
    <w:rsid w:val="00A75D81"/>
    <w:rsid w:val="00A761DB"/>
    <w:rsid w:val="00A76ACD"/>
    <w:rsid w:val="00A76B8A"/>
    <w:rsid w:val="00A76BD3"/>
    <w:rsid w:val="00A76CD2"/>
    <w:rsid w:val="00A76CF4"/>
    <w:rsid w:val="00A76FA6"/>
    <w:rsid w:val="00A76FEA"/>
    <w:rsid w:val="00A77247"/>
    <w:rsid w:val="00A77C30"/>
    <w:rsid w:val="00A80C6A"/>
    <w:rsid w:val="00A80D5E"/>
    <w:rsid w:val="00A811E4"/>
    <w:rsid w:val="00A812C3"/>
    <w:rsid w:val="00A81422"/>
    <w:rsid w:val="00A81A8D"/>
    <w:rsid w:val="00A81C96"/>
    <w:rsid w:val="00A81EAD"/>
    <w:rsid w:val="00A81EEE"/>
    <w:rsid w:val="00A81FB5"/>
    <w:rsid w:val="00A8220F"/>
    <w:rsid w:val="00A828CF"/>
    <w:rsid w:val="00A82C96"/>
    <w:rsid w:val="00A834EB"/>
    <w:rsid w:val="00A83604"/>
    <w:rsid w:val="00A83E18"/>
    <w:rsid w:val="00A83F08"/>
    <w:rsid w:val="00A8405E"/>
    <w:rsid w:val="00A84250"/>
    <w:rsid w:val="00A85446"/>
    <w:rsid w:val="00A8569F"/>
    <w:rsid w:val="00A85FB5"/>
    <w:rsid w:val="00A8615C"/>
    <w:rsid w:val="00A86EBE"/>
    <w:rsid w:val="00A8759A"/>
    <w:rsid w:val="00A8793D"/>
    <w:rsid w:val="00A87C7C"/>
    <w:rsid w:val="00A90602"/>
    <w:rsid w:val="00A9069B"/>
    <w:rsid w:val="00A909BA"/>
    <w:rsid w:val="00A909F9"/>
    <w:rsid w:val="00A90A50"/>
    <w:rsid w:val="00A90D32"/>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646E"/>
    <w:rsid w:val="00A965A0"/>
    <w:rsid w:val="00A966DD"/>
    <w:rsid w:val="00A96C31"/>
    <w:rsid w:val="00A96DDA"/>
    <w:rsid w:val="00A97522"/>
    <w:rsid w:val="00A97B9D"/>
    <w:rsid w:val="00A97C56"/>
    <w:rsid w:val="00A97C86"/>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37"/>
    <w:rsid w:val="00AA4A17"/>
    <w:rsid w:val="00AA51A3"/>
    <w:rsid w:val="00AA5B02"/>
    <w:rsid w:val="00AA61A3"/>
    <w:rsid w:val="00AA6251"/>
    <w:rsid w:val="00AA653F"/>
    <w:rsid w:val="00AA65B9"/>
    <w:rsid w:val="00AA6BE8"/>
    <w:rsid w:val="00AA6FC8"/>
    <w:rsid w:val="00AA74CD"/>
    <w:rsid w:val="00AA7994"/>
    <w:rsid w:val="00AA7D6E"/>
    <w:rsid w:val="00AB0230"/>
    <w:rsid w:val="00AB0841"/>
    <w:rsid w:val="00AB16D3"/>
    <w:rsid w:val="00AB1EFA"/>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4D"/>
    <w:rsid w:val="00AB57BB"/>
    <w:rsid w:val="00AB5854"/>
    <w:rsid w:val="00AB5C02"/>
    <w:rsid w:val="00AB6902"/>
    <w:rsid w:val="00AB6ACE"/>
    <w:rsid w:val="00AB76E9"/>
    <w:rsid w:val="00AB77A4"/>
    <w:rsid w:val="00AB7DFD"/>
    <w:rsid w:val="00AC0084"/>
    <w:rsid w:val="00AC045C"/>
    <w:rsid w:val="00AC0C25"/>
    <w:rsid w:val="00AC1362"/>
    <w:rsid w:val="00AC1403"/>
    <w:rsid w:val="00AC16B3"/>
    <w:rsid w:val="00AC1A53"/>
    <w:rsid w:val="00AC246C"/>
    <w:rsid w:val="00AC30F1"/>
    <w:rsid w:val="00AC33DB"/>
    <w:rsid w:val="00AC3442"/>
    <w:rsid w:val="00AC3C84"/>
    <w:rsid w:val="00AC3E90"/>
    <w:rsid w:val="00AC3F37"/>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B42"/>
    <w:rsid w:val="00AD5076"/>
    <w:rsid w:val="00AD53EA"/>
    <w:rsid w:val="00AD5AF0"/>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95"/>
    <w:rsid w:val="00AE626B"/>
    <w:rsid w:val="00AE70FF"/>
    <w:rsid w:val="00AE735D"/>
    <w:rsid w:val="00AE78A8"/>
    <w:rsid w:val="00AE7C44"/>
    <w:rsid w:val="00AE7CC4"/>
    <w:rsid w:val="00AF0782"/>
    <w:rsid w:val="00AF0866"/>
    <w:rsid w:val="00AF0B81"/>
    <w:rsid w:val="00AF0C1F"/>
    <w:rsid w:val="00AF0E8D"/>
    <w:rsid w:val="00AF0F66"/>
    <w:rsid w:val="00AF0FCC"/>
    <w:rsid w:val="00AF1E10"/>
    <w:rsid w:val="00AF28E4"/>
    <w:rsid w:val="00AF3677"/>
    <w:rsid w:val="00AF3BF5"/>
    <w:rsid w:val="00AF3E31"/>
    <w:rsid w:val="00AF409B"/>
    <w:rsid w:val="00AF42EC"/>
    <w:rsid w:val="00AF43C6"/>
    <w:rsid w:val="00AF4923"/>
    <w:rsid w:val="00AF5077"/>
    <w:rsid w:val="00AF56E1"/>
    <w:rsid w:val="00AF60A5"/>
    <w:rsid w:val="00AF6251"/>
    <w:rsid w:val="00AF642B"/>
    <w:rsid w:val="00AF6566"/>
    <w:rsid w:val="00AF7077"/>
    <w:rsid w:val="00AF7330"/>
    <w:rsid w:val="00AF7A6E"/>
    <w:rsid w:val="00B0000D"/>
    <w:rsid w:val="00B007A4"/>
    <w:rsid w:val="00B00D1F"/>
    <w:rsid w:val="00B01885"/>
    <w:rsid w:val="00B020A7"/>
    <w:rsid w:val="00B02359"/>
    <w:rsid w:val="00B024E7"/>
    <w:rsid w:val="00B0282A"/>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E7A"/>
    <w:rsid w:val="00B05E91"/>
    <w:rsid w:val="00B066EF"/>
    <w:rsid w:val="00B07652"/>
    <w:rsid w:val="00B0778B"/>
    <w:rsid w:val="00B079DA"/>
    <w:rsid w:val="00B07A83"/>
    <w:rsid w:val="00B07D04"/>
    <w:rsid w:val="00B07EFB"/>
    <w:rsid w:val="00B100DB"/>
    <w:rsid w:val="00B1029B"/>
    <w:rsid w:val="00B10950"/>
    <w:rsid w:val="00B10A6F"/>
    <w:rsid w:val="00B10D33"/>
    <w:rsid w:val="00B10F4A"/>
    <w:rsid w:val="00B116A3"/>
    <w:rsid w:val="00B11800"/>
    <w:rsid w:val="00B1192F"/>
    <w:rsid w:val="00B11E53"/>
    <w:rsid w:val="00B12B15"/>
    <w:rsid w:val="00B12BE4"/>
    <w:rsid w:val="00B132CD"/>
    <w:rsid w:val="00B13687"/>
    <w:rsid w:val="00B13BFB"/>
    <w:rsid w:val="00B13D32"/>
    <w:rsid w:val="00B146EA"/>
    <w:rsid w:val="00B154F7"/>
    <w:rsid w:val="00B1605D"/>
    <w:rsid w:val="00B160EF"/>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E76"/>
    <w:rsid w:val="00B241F2"/>
    <w:rsid w:val="00B251B4"/>
    <w:rsid w:val="00B2532F"/>
    <w:rsid w:val="00B25663"/>
    <w:rsid w:val="00B259A6"/>
    <w:rsid w:val="00B26110"/>
    <w:rsid w:val="00B261D4"/>
    <w:rsid w:val="00B26A21"/>
    <w:rsid w:val="00B26D2A"/>
    <w:rsid w:val="00B26D65"/>
    <w:rsid w:val="00B272FF"/>
    <w:rsid w:val="00B2747B"/>
    <w:rsid w:val="00B27FB8"/>
    <w:rsid w:val="00B3043A"/>
    <w:rsid w:val="00B307FA"/>
    <w:rsid w:val="00B30B2B"/>
    <w:rsid w:val="00B30D03"/>
    <w:rsid w:val="00B31573"/>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803"/>
    <w:rsid w:val="00B41BC0"/>
    <w:rsid w:val="00B41DB9"/>
    <w:rsid w:val="00B41F24"/>
    <w:rsid w:val="00B42C7B"/>
    <w:rsid w:val="00B42CED"/>
    <w:rsid w:val="00B42D00"/>
    <w:rsid w:val="00B42E3F"/>
    <w:rsid w:val="00B4302B"/>
    <w:rsid w:val="00B430E3"/>
    <w:rsid w:val="00B43121"/>
    <w:rsid w:val="00B432DD"/>
    <w:rsid w:val="00B4381C"/>
    <w:rsid w:val="00B43876"/>
    <w:rsid w:val="00B44195"/>
    <w:rsid w:val="00B44851"/>
    <w:rsid w:val="00B44ACE"/>
    <w:rsid w:val="00B453EE"/>
    <w:rsid w:val="00B45716"/>
    <w:rsid w:val="00B45901"/>
    <w:rsid w:val="00B460DF"/>
    <w:rsid w:val="00B46A50"/>
    <w:rsid w:val="00B46FDF"/>
    <w:rsid w:val="00B47032"/>
    <w:rsid w:val="00B470FF"/>
    <w:rsid w:val="00B47215"/>
    <w:rsid w:val="00B47332"/>
    <w:rsid w:val="00B4745B"/>
    <w:rsid w:val="00B47C7C"/>
    <w:rsid w:val="00B47E94"/>
    <w:rsid w:val="00B47F9C"/>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D23"/>
    <w:rsid w:val="00B54E41"/>
    <w:rsid w:val="00B54F81"/>
    <w:rsid w:val="00B55754"/>
    <w:rsid w:val="00B55DFB"/>
    <w:rsid w:val="00B567B2"/>
    <w:rsid w:val="00B56824"/>
    <w:rsid w:val="00B569EB"/>
    <w:rsid w:val="00B56A3E"/>
    <w:rsid w:val="00B56BE0"/>
    <w:rsid w:val="00B5745E"/>
    <w:rsid w:val="00B57511"/>
    <w:rsid w:val="00B606E2"/>
    <w:rsid w:val="00B60737"/>
    <w:rsid w:val="00B607AD"/>
    <w:rsid w:val="00B60B42"/>
    <w:rsid w:val="00B60D97"/>
    <w:rsid w:val="00B619E5"/>
    <w:rsid w:val="00B61B90"/>
    <w:rsid w:val="00B61E01"/>
    <w:rsid w:val="00B62517"/>
    <w:rsid w:val="00B62593"/>
    <w:rsid w:val="00B6289C"/>
    <w:rsid w:val="00B62B1F"/>
    <w:rsid w:val="00B62ED8"/>
    <w:rsid w:val="00B63004"/>
    <w:rsid w:val="00B63531"/>
    <w:rsid w:val="00B63623"/>
    <w:rsid w:val="00B63CAD"/>
    <w:rsid w:val="00B64A95"/>
    <w:rsid w:val="00B6522D"/>
    <w:rsid w:val="00B65373"/>
    <w:rsid w:val="00B658AB"/>
    <w:rsid w:val="00B659FF"/>
    <w:rsid w:val="00B65C76"/>
    <w:rsid w:val="00B65D25"/>
    <w:rsid w:val="00B662D6"/>
    <w:rsid w:val="00B664E1"/>
    <w:rsid w:val="00B667AC"/>
    <w:rsid w:val="00B667B0"/>
    <w:rsid w:val="00B669E3"/>
    <w:rsid w:val="00B67071"/>
    <w:rsid w:val="00B6763B"/>
    <w:rsid w:val="00B67734"/>
    <w:rsid w:val="00B67750"/>
    <w:rsid w:val="00B67AC8"/>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614"/>
    <w:rsid w:val="00B85452"/>
    <w:rsid w:val="00B85842"/>
    <w:rsid w:val="00B85C6A"/>
    <w:rsid w:val="00B85FAB"/>
    <w:rsid w:val="00B86C24"/>
    <w:rsid w:val="00B871D7"/>
    <w:rsid w:val="00B872A4"/>
    <w:rsid w:val="00B873F7"/>
    <w:rsid w:val="00B87513"/>
    <w:rsid w:val="00B87693"/>
    <w:rsid w:val="00B878FA"/>
    <w:rsid w:val="00B87A74"/>
    <w:rsid w:val="00B87B5A"/>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99"/>
    <w:rsid w:val="00BA1198"/>
    <w:rsid w:val="00BA141F"/>
    <w:rsid w:val="00BA17DC"/>
    <w:rsid w:val="00BA1AC6"/>
    <w:rsid w:val="00BA1B77"/>
    <w:rsid w:val="00BA1B98"/>
    <w:rsid w:val="00BA263C"/>
    <w:rsid w:val="00BA2808"/>
    <w:rsid w:val="00BA2B17"/>
    <w:rsid w:val="00BA2C58"/>
    <w:rsid w:val="00BA2F92"/>
    <w:rsid w:val="00BA3067"/>
    <w:rsid w:val="00BA37C4"/>
    <w:rsid w:val="00BA3D04"/>
    <w:rsid w:val="00BA3D42"/>
    <w:rsid w:val="00BA4398"/>
    <w:rsid w:val="00BA4591"/>
    <w:rsid w:val="00BA4860"/>
    <w:rsid w:val="00BA515E"/>
    <w:rsid w:val="00BA535F"/>
    <w:rsid w:val="00BA55ED"/>
    <w:rsid w:val="00BA574F"/>
    <w:rsid w:val="00BA6520"/>
    <w:rsid w:val="00BA689D"/>
    <w:rsid w:val="00BA6B20"/>
    <w:rsid w:val="00BA70B2"/>
    <w:rsid w:val="00BA762C"/>
    <w:rsid w:val="00BA7C19"/>
    <w:rsid w:val="00BA7FC7"/>
    <w:rsid w:val="00BB03BE"/>
    <w:rsid w:val="00BB0A1F"/>
    <w:rsid w:val="00BB0CD0"/>
    <w:rsid w:val="00BB0D36"/>
    <w:rsid w:val="00BB1130"/>
    <w:rsid w:val="00BB17B8"/>
    <w:rsid w:val="00BB1972"/>
    <w:rsid w:val="00BB1B89"/>
    <w:rsid w:val="00BB22CA"/>
    <w:rsid w:val="00BB2397"/>
    <w:rsid w:val="00BB2CEF"/>
    <w:rsid w:val="00BB3285"/>
    <w:rsid w:val="00BB352A"/>
    <w:rsid w:val="00BB3799"/>
    <w:rsid w:val="00BB39DF"/>
    <w:rsid w:val="00BB3CF2"/>
    <w:rsid w:val="00BB463A"/>
    <w:rsid w:val="00BB46BA"/>
    <w:rsid w:val="00BB4DC6"/>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C043D"/>
    <w:rsid w:val="00BC06BB"/>
    <w:rsid w:val="00BC1B5F"/>
    <w:rsid w:val="00BC24A8"/>
    <w:rsid w:val="00BC27CD"/>
    <w:rsid w:val="00BC2859"/>
    <w:rsid w:val="00BC2B20"/>
    <w:rsid w:val="00BC2CBA"/>
    <w:rsid w:val="00BC3476"/>
    <w:rsid w:val="00BC3526"/>
    <w:rsid w:val="00BC388C"/>
    <w:rsid w:val="00BC3F46"/>
    <w:rsid w:val="00BC4E01"/>
    <w:rsid w:val="00BC5742"/>
    <w:rsid w:val="00BC6406"/>
    <w:rsid w:val="00BC6D5B"/>
    <w:rsid w:val="00BC6EFE"/>
    <w:rsid w:val="00BC71BC"/>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332A"/>
    <w:rsid w:val="00BD358F"/>
    <w:rsid w:val="00BD3881"/>
    <w:rsid w:val="00BD3FE4"/>
    <w:rsid w:val="00BD413D"/>
    <w:rsid w:val="00BD4D96"/>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D43"/>
    <w:rsid w:val="00BE2097"/>
    <w:rsid w:val="00BE2844"/>
    <w:rsid w:val="00BE2EDD"/>
    <w:rsid w:val="00BE36F4"/>
    <w:rsid w:val="00BE37AB"/>
    <w:rsid w:val="00BE3ACC"/>
    <w:rsid w:val="00BE4092"/>
    <w:rsid w:val="00BE4213"/>
    <w:rsid w:val="00BE45DD"/>
    <w:rsid w:val="00BE52F6"/>
    <w:rsid w:val="00BE550A"/>
    <w:rsid w:val="00BE56A8"/>
    <w:rsid w:val="00BE60DC"/>
    <w:rsid w:val="00BE622D"/>
    <w:rsid w:val="00BE62B7"/>
    <w:rsid w:val="00BE6309"/>
    <w:rsid w:val="00BE6687"/>
    <w:rsid w:val="00BE69E6"/>
    <w:rsid w:val="00BE6C91"/>
    <w:rsid w:val="00BE711C"/>
    <w:rsid w:val="00BE739D"/>
    <w:rsid w:val="00BE75CE"/>
    <w:rsid w:val="00BF0265"/>
    <w:rsid w:val="00BF06DC"/>
    <w:rsid w:val="00BF06E6"/>
    <w:rsid w:val="00BF0761"/>
    <w:rsid w:val="00BF09BF"/>
    <w:rsid w:val="00BF1059"/>
    <w:rsid w:val="00BF1665"/>
    <w:rsid w:val="00BF1DCE"/>
    <w:rsid w:val="00BF22D3"/>
    <w:rsid w:val="00BF2541"/>
    <w:rsid w:val="00BF2C0F"/>
    <w:rsid w:val="00BF2C45"/>
    <w:rsid w:val="00BF3CCC"/>
    <w:rsid w:val="00BF3D49"/>
    <w:rsid w:val="00BF3D7B"/>
    <w:rsid w:val="00BF3DCD"/>
    <w:rsid w:val="00BF3F20"/>
    <w:rsid w:val="00BF48FF"/>
    <w:rsid w:val="00BF55C7"/>
    <w:rsid w:val="00BF58E9"/>
    <w:rsid w:val="00BF5AF6"/>
    <w:rsid w:val="00BF6121"/>
    <w:rsid w:val="00BF6A4F"/>
    <w:rsid w:val="00BF6DCF"/>
    <w:rsid w:val="00BF7553"/>
    <w:rsid w:val="00BF75FB"/>
    <w:rsid w:val="00BF79DA"/>
    <w:rsid w:val="00C0040B"/>
    <w:rsid w:val="00C00F87"/>
    <w:rsid w:val="00C01081"/>
    <w:rsid w:val="00C011B9"/>
    <w:rsid w:val="00C0132D"/>
    <w:rsid w:val="00C02272"/>
    <w:rsid w:val="00C02C36"/>
    <w:rsid w:val="00C03482"/>
    <w:rsid w:val="00C034CA"/>
    <w:rsid w:val="00C041FB"/>
    <w:rsid w:val="00C0442B"/>
    <w:rsid w:val="00C04D0C"/>
    <w:rsid w:val="00C04FB0"/>
    <w:rsid w:val="00C04FC6"/>
    <w:rsid w:val="00C05992"/>
    <w:rsid w:val="00C05D9B"/>
    <w:rsid w:val="00C060C5"/>
    <w:rsid w:val="00C0650F"/>
    <w:rsid w:val="00C0713D"/>
    <w:rsid w:val="00C07AF7"/>
    <w:rsid w:val="00C07DBC"/>
    <w:rsid w:val="00C10821"/>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2682"/>
    <w:rsid w:val="00C226F6"/>
    <w:rsid w:val="00C237B7"/>
    <w:rsid w:val="00C24EBA"/>
    <w:rsid w:val="00C25EF8"/>
    <w:rsid w:val="00C26420"/>
    <w:rsid w:val="00C26D27"/>
    <w:rsid w:val="00C26E94"/>
    <w:rsid w:val="00C27020"/>
    <w:rsid w:val="00C27039"/>
    <w:rsid w:val="00C27749"/>
    <w:rsid w:val="00C27851"/>
    <w:rsid w:val="00C278BF"/>
    <w:rsid w:val="00C27C4A"/>
    <w:rsid w:val="00C27CB8"/>
    <w:rsid w:val="00C3000E"/>
    <w:rsid w:val="00C30571"/>
    <w:rsid w:val="00C305AB"/>
    <w:rsid w:val="00C31E22"/>
    <w:rsid w:val="00C3233D"/>
    <w:rsid w:val="00C32CF1"/>
    <w:rsid w:val="00C337A8"/>
    <w:rsid w:val="00C33AAE"/>
    <w:rsid w:val="00C346B7"/>
    <w:rsid w:val="00C353F5"/>
    <w:rsid w:val="00C354A0"/>
    <w:rsid w:val="00C35C58"/>
    <w:rsid w:val="00C35E60"/>
    <w:rsid w:val="00C35FB9"/>
    <w:rsid w:val="00C3602D"/>
    <w:rsid w:val="00C36243"/>
    <w:rsid w:val="00C3651D"/>
    <w:rsid w:val="00C36621"/>
    <w:rsid w:val="00C36677"/>
    <w:rsid w:val="00C36B42"/>
    <w:rsid w:val="00C36FD3"/>
    <w:rsid w:val="00C373D8"/>
    <w:rsid w:val="00C373E0"/>
    <w:rsid w:val="00C37458"/>
    <w:rsid w:val="00C3780D"/>
    <w:rsid w:val="00C40100"/>
    <w:rsid w:val="00C405E7"/>
    <w:rsid w:val="00C40BB1"/>
    <w:rsid w:val="00C4145B"/>
    <w:rsid w:val="00C414F4"/>
    <w:rsid w:val="00C415F6"/>
    <w:rsid w:val="00C41616"/>
    <w:rsid w:val="00C41ADF"/>
    <w:rsid w:val="00C41CFB"/>
    <w:rsid w:val="00C421EE"/>
    <w:rsid w:val="00C4250C"/>
    <w:rsid w:val="00C42516"/>
    <w:rsid w:val="00C42855"/>
    <w:rsid w:val="00C43739"/>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D1F"/>
    <w:rsid w:val="00C51F1F"/>
    <w:rsid w:val="00C521CB"/>
    <w:rsid w:val="00C5281C"/>
    <w:rsid w:val="00C52E27"/>
    <w:rsid w:val="00C52F22"/>
    <w:rsid w:val="00C5364C"/>
    <w:rsid w:val="00C53AE6"/>
    <w:rsid w:val="00C53D3A"/>
    <w:rsid w:val="00C5415E"/>
    <w:rsid w:val="00C545DA"/>
    <w:rsid w:val="00C54970"/>
    <w:rsid w:val="00C551D1"/>
    <w:rsid w:val="00C557E0"/>
    <w:rsid w:val="00C5588C"/>
    <w:rsid w:val="00C56182"/>
    <w:rsid w:val="00C561DB"/>
    <w:rsid w:val="00C56E21"/>
    <w:rsid w:val="00C56E71"/>
    <w:rsid w:val="00C579A5"/>
    <w:rsid w:val="00C579BD"/>
    <w:rsid w:val="00C6059C"/>
    <w:rsid w:val="00C60675"/>
    <w:rsid w:val="00C60699"/>
    <w:rsid w:val="00C6085D"/>
    <w:rsid w:val="00C6091D"/>
    <w:rsid w:val="00C61065"/>
    <w:rsid w:val="00C61151"/>
    <w:rsid w:val="00C61155"/>
    <w:rsid w:val="00C61491"/>
    <w:rsid w:val="00C6156F"/>
    <w:rsid w:val="00C61668"/>
    <w:rsid w:val="00C61AC3"/>
    <w:rsid w:val="00C620E0"/>
    <w:rsid w:val="00C623EE"/>
    <w:rsid w:val="00C6292E"/>
    <w:rsid w:val="00C62E65"/>
    <w:rsid w:val="00C63563"/>
    <w:rsid w:val="00C63588"/>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5F"/>
    <w:rsid w:val="00C73EEC"/>
    <w:rsid w:val="00C7417F"/>
    <w:rsid w:val="00C741DC"/>
    <w:rsid w:val="00C74427"/>
    <w:rsid w:val="00C746F9"/>
    <w:rsid w:val="00C74DA0"/>
    <w:rsid w:val="00C74E9A"/>
    <w:rsid w:val="00C74EB0"/>
    <w:rsid w:val="00C755FE"/>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5339"/>
    <w:rsid w:val="00C8561D"/>
    <w:rsid w:val="00C863DE"/>
    <w:rsid w:val="00C86F8E"/>
    <w:rsid w:val="00C874E8"/>
    <w:rsid w:val="00C87590"/>
    <w:rsid w:val="00C87DDE"/>
    <w:rsid w:val="00C9020E"/>
    <w:rsid w:val="00C90B03"/>
    <w:rsid w:val="00C90D19"/>
    <w:rsid w:val="00C90D9B"/>
    <w:rsid w:val="00C9190B"/>
    <w:rsid w:val="00C922E3"/>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E31"/>
    <w:rsid w:val="00C97EEB"/>
    <w:rsid w:val="00CA03CF"/>
    <w:rsid w:val="00CA03F6"/>
    <w:rsid w:val="00CA0B76"/>
    <w:rsid w:val="00CA0D25"/>
    <w:rsid w:val="00CA0EC4"/>
    <w:rsid w:val="00CA11A9"/>
    <w:rsid w:val="00CA1873"/>
    <w:rsid w:val="00CA187D"/>
    <w:rsid w:val="00CA1C84"/>
    <w:rsid w:val="00CA1CA6"/>
    <w:rsid w:val="00CA1CFF"/>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681"/>
    <w:rsid w:val="00CA78C2"/>
    <w:rsid w:val="00CA7A07"/>
    <w:rsid w:val="00CA7A7C"/>
    <w:rsid w:val="00CB049D"/>
    <w:rsid w:val="00CB0880"/>
    <w:rsid w:val="00CB0D61"/>
    <w:rsid w:val="00CB0EB8"/>
    <w:rsid w:val="00CB0F0C"/>
    <w:rsid w:val="00CB18B6"/>
    <w:rsid w:val="00CB1F70"/>
    <w:rsid w:val="00CB2656"/>
    <w:rsid w:val="00CB2ED0"/>
    <w:rsid w:val="00CB3081"/>
    <w:rsid w:val="00CB3214"/>
    <w:rsid w:val="00CB432B"/>
    <w:rsid w:val="00CB4765"/>
    <w:rsid w:val="00CB4CD1"/>
    <w:rsid w:val="00CB5760"/>
    <w:rsid w:val="00CB66FD"/>
    <w:rsid w:val="00CB6B38"/>
    <w:rsid w:val="00CB6B58"/>
    <w:rsid w:val="00CB6DC3"/>
    <w:rsid w:val="00CB6E58"/>
    <w:rsid w:val="00CC0782"/>
    <w:rsid w:val="00CC0AB1"/>
    <w:rsid w:val="00CC0AD5"/>
    <w:rsid w:val="00CC0BDC"/>
    <w:rsid w:val="00CC0C40"/>
    <w:rsid w:val="00CC0CF3"/>
    <w:rsid w:val="00CC0F5A"/>
    <w:rsid w:val="00CC217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5C4"/>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75F"/>
    <w:rsid w:val="00CD5A45"/>
    <w:rsid w:val="00CD6461"/>
    <w:rsid w:val="00CD6C71"/>
    <w:rsid w:val="00CD747C"/>
    <w:rsid w:val="00CD74AE"/>
    <w:rsid w:val="00CE0099"/>
    <w:rsid w:val="00CE064A"/>
    <w:rsid w:val="00CE0899"/>
    <w:rsid w:val="00CE09F3"/>
    <w:rsid w:val="00CE1044"/>
    <w:rsid w:val="00CE295D"/>
    <w:rsid w:val="00CE29BB"/>
    <w:rsid w:val="00CE2BB2"/>
    <w:rsid w:val="00CE2C08"/>
    <w:rsid w:val="00CE2C3E"/>
    <w:rsid w:val="00CE2D5B"/>
    <w:rsid w:val="00CE307E"/>
    <w:rsid w:val="00CE35DA"/>
    <w:rsid w:val="00CE4047"/>
    <w:rsid w:val="00CE4164"/>
    <w:rsid w:val="00CE43A4"/>
    <w:rsid w:val="00CE4518"/>
    <w:rsid w:val="00CE4C64"/>
    <w:rsid w:val="00CE4F41"/>
    <w:rsid w:val="00CE5501"/>
    <w:rsid w:val="00CE5547"/>
    <w:rsid w:val="00CE5CAE"/>
    <w:rsid w:val="00CE61DE"/>
    <w:rsid w:val="00CE65CE"/>
    <w:rsid w:val="00CE7118"/>
    <w:rsid w:val="00CE7DBE"/>
    <w:rsid w:val="00CE7F0F"/>
    <w:rsid w:val="00CF02E1"/>
    <w:rsid w:val="00CF0586"/>
    <w:rsid w:val="00CF0A9D"/>
    <w:rsid w:val="00CF0D14"/>
    <w:rsid w:val="00CF0D78"/>
    <w:rsid w:val="00CF14EB"/>
    <w:rsid w:val="00CF1A0E"/>
    <w:rsid w:val="00CF1B42"/>
    <w:rsid w:val="00CF1CB2"/>
    <w:rsid w:val="00CF1DA5"/>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DB"/>
    <w:rsid w:val="00CF644A"/>
    <w:rsid w:val="00CF6BB6"/>
    <w:rsid w:val="00CF701C"/>
    <w:rsid w:val="00D00061"/>
    <w:rsid w:val="00D0033F"/>
    <w:rsid w:val="00D003CC"/>
    <w:rsid w:val="00D00BD0"/>
    <w:rsid w:val="00D0133A"/>
    <w:rsid w:val="00D01686"/>
    <w:rsid w:val="00D01CBF"/>
    <w:rsid w:val="00D027F8"/>
    <w:rsid w:val="00D02953"/>
    <w:rsid w:val="00D02D40"/>
    <w:rsid w:val="00D02DC0"/>
    <w:rsid w:val="00D035FE"/>
    <w:rsid w:val="00D03665"/>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C33"/>
    <w:rsid w:val="00D07FDD"/>
    <w:rsid w:val="00D103F6"/>
    <w:rsid w:val="00D10ADF"/>
    <w:rsid w:val="00D10CBA"/>
    <w:rsid w:val="00D110CF"/>
    <w:rsid w:val="00D111E1"/>
    <w:rsid w:val="00D11317"/>
    <w:rsid w:val="00D11748"/>
    <w:rsid w:val="00D122CF"/>
    <w:rsid w:val="00D12943"/>
    <w:rsid w:val="00D1296D"/>
    <w:rsid w:val="00D12BEC"/>
    <w:rsid w:val="00D13EA5"/>
    <w:rsid w:val="00D14197"/>
    <w:rsid w:val="00D146B6"/>
    <w:rsid w:val="00D14CC8"/>
    <w:rsid w:val="00D15EEA"/>
    <w:rsid w:val="00D1602E"/>
    <w:rsid w:val="00D16155"/>
    <w:rsid w:val="00D168E9"/>
    <w:rsid w:val="00D16ADC"/>
    <w:rsid w:val="00D16B3E"/>
    <w:rsid w:val="00D171CC"/>
    <w:rsid w:val="00D17769"/>
    <w:rsid w:val="00D17EF8"/>
    <w:rsid w:val="00D2101C"/>
    <w:rsid w:val="00D21AC0"/>
    <w:rsid w:val="00D2206A"/>
    <w:rsid w:val="00D22EFE"/>
    <w:rsid w:val="00D23556"/>
    <w:rsid w:val="00D236EB"/>
    <w:rsid w:val="00D2372E"/>
    <w:rsid w:val="00D23F30"/>
    <w:rsid w:val="00D2404A"/>
    <w:rsid w:val="00D2464F"/>
    <w:rsid w:val="00D24A7F"/>
    <w:rsid w:val="00D24AAA"/>
    <w:rsid w:val="00D251FE"/>
    <w:rsid w:val="00D25920"/>
    <w:rsid w:val="00D25CCD"/>
    <w:rsid w:val="00D25D73"/>
    <w:rsid w:val="00D268EC"/>
    <w:rsid w:val="00D272F3"/>
    <w:rsid w:val="00D27719"/>
    <w:rsid w:val="00D27D85"/>
    <w:rsid w:val="00D303B6"/>
    <w:rsid w:val="00D30548"/>
    <w:rsid w:val="00D30776"/>
    <w:rsid w:val="00D312D4"/>
    <w:rsid w:val="00D314EF"/>
    <w:rsid w:val="00D31841"/>
    <w:rsid w:val="00D32257"/>
    <w:rsid w:val="00D324AE"/>
    <w:rsid w:val="00D32B20"/>
    <w:rsid w:val="00D32D07"/>
    <w:rsid w:val="00D33321"/>
    <w:rsid w:val="00D33526"/>
    <w:rsid w:val="00D33AC4"/>
    <w:rsid w:val="00D33CAB"/>
    <w:rsid w:val="00D33D43"/>
    <w:rsid w:val="00D34567"/>
    <w:rsid w:val="00D346D4"/>
    <w:rsid w:val="00D348FE"/>
    <w:rsid w:val="00D34934"/>
    <w:rsid w:val="00D34F5B"/>
    <w:rsid w:val="00D3554C"/>
    <w:rsid w:val="00D36258"/>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3194"/>
    <w:rsid w:val="00D43301"/>
    <w:rsid w:val="00D4353E"/>
    <w:rsid w:val="00D43BE3"/>
    <w:rsid w:val="00D43C81"/>
    <w:rsid w:val="00D43D5F"/>
    <w:rsid w:val="00D43DC0"/>
    <w:rsid w:val="00D43FA3"/>
    <w:rsid w:val="00D440FE"/>
    <w:rsid w:val="00D44265"/>
    <w:rsid w:val="00D44A05"/>
    <w:rsid w:val="00D44B11"/>
    <w:rsid w:val="00D44F20"/>
    <w:rsid w:val="00D457A6"/>
    <w:rsid w:val="00D45806"/>
    <w:rsid w:val="00D4645F"/>
    <w:rsid w:val="00D467AE"/>
    <w:rsid w:val="00D467FD"/>
    <w:rsid w:val="00D468C9"/>
    <w:rsid w:val="00D469AD"/>
    <w:rsid w:val="00D46C3E"/>
    <w:rsid w:val="00D4707B"/>
    <w:rsid w:val="00D47254"/>
    <w:rsid w:val="00D47409"/>
    <w:rsid w:val="00D47D0C"/>
    <w:rsid w:val="00D506B9"/>
    <w:rsid w:val="00D50EF4"/>
    <w:rsid w:val="00D50F16"/>
    <w:rsid w:val="00D51233"/>
    <w:rsid w:val="00D528E9"/>
    <w:rsid w:val="00D536AD"/>
    <w:rsid w:val="00D53B5C"/>
    <w:rsid w:val="00D54735"/>
    <w:rsid w:val="00D54C0B"/>
    <w:rsid w:val="00D54DC6"/>
    <w:rsid w:val="00D553FB"/>
    <w:rsid w:val="00D55905"/>
    <w:rsid w:val="00D566A3"/>
    <w:rsid w:val="00D56A75"/>
    <w:rsid w:val="00D57592"/>
    <w:rsid w:val="00D60CBA"/>
    <w:rsid w:val="00D613EA"/>
    <w:rsid w:val="00D61DCD"/>
    <w:rsid w:val="00D6226C"/>
    <w:rsid w:val="00D62454"/>
    <w:rsid w:val="00D6249C"/>
    <w:rsid w:val="00D6299D"/>
    <w:rsid w:val="00D62A26"/>
    <w:rsid w:val="00D62C3A"/>
    <w:rsid w:val="00D63CCB"/>
    <w:rsid w:val="00D6453B"/>
    <w:rsid w:val="00D64608"/>
    <w:rsid w:val="00D666B2"/>
    <w:rsid w:val="00D66BBB"/>
    <w:rsid w:val="00D67CFC"/>
    <w:rsid w:val="00D67D03"/>
    <w:rsid w:val="00D70264"/>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B32"/>
    <w:rsid w:val="00D75C66"/>
    <w:rsid w:val="00D75E3B"/>
    <w:rsid w:val="00D761EA"/>
    <w:rsid w:val="00D76421"/>
    <w:rsid w:val="00D772D0"/>
    <w:rsid w:val="00D7737B"/>
    <w:rsid w:val="00D7754F"/>
    <w:rsid w:val="00D77639"/>
    <w:rsid w:val="00D77BBE"/>
    <w:rsid w:val="00D77C63"/>
    <w:rsid w:val="00D80618"/>
    <w:rsid w:val="00D80782"/>
    <w:rsid w:val="00D80EC3"/>
    <w:rsid w:val="00D8144F"/>
    <w:rsid w:val="00D815D6"/>
    <w:rsid w:val="00D81EF1"/>
    <w:rsid w:val="00D82403"/>
    <w:rsid w:val="00D82B81"/>
    <w:rsid w:val="00D82C82"/>
    <w:rsid w:val="00D82D8A"/>
    <w:rsid w:val="00D82EC8"/>
    <w:rsid w:val="00D82EE6"/>
    <w:rsid w:val="00D82F33"/>
    <w:rsid w:val="00D83550"/>
    <w:rsid w:val="00D83717"/>
    <w:rsid w:val="00D849D7"/>
    <w:rsid w:val="00D84D10"/>
    <w:rsid w:val="00D85089"/>
    <w:rsid w:val="00D85F9B"/>
    <w:rsid w:val="00D8652F"/>
    <w:rsid w:val="00D866A6"/>
    <w:rsid w:val="00D86777"/>
    <w:rsid w:val="00D86CFE"/>
    <w:rsid w:val="00D879BC"/>
    <w:rsid w:val="00D87AA6"/>
    <w:rsid w:val="00D90851"/>
    <w:rsid w:val="00D90D32"/>
    <w:rsid w:val="00D90E19"/>
    <w:rsid w:val="00D913F3"/>
    <w:rsid w:val="00D917F0"/>
    <w:rsid w:val="00D91B21"/>
    <w:rsid w:val="00D91D01"/>
    <w:rsid w:val="00D92152"/>
    <w:rsid w:val="00D92B5A"/>
    <w:rsid w:val="00D92FE8"/>
    <w:rsid w:val="00D933B3"/>
    <w:rsid w:val="00D93594"/>
    <w:rsid w:val="00D93601"/>
    <w:rsid w:val="00D936A5"/>
    <w:rsid w:val="00D937B4"/>
    <w:rsid w:val="00D9399E"/>
    <w:rsid w:val="00D93D3E"/>
    <w:rsid w:val="00D94183"/>
    <w:rsid w:val="00D945B1"/>
    <w:rsid w:val="00D94847"/>
    <w:rsid w:val="00D94EDF"/>
    <w:rsid w:val="00D9505B"/>
    <w:rsid w:val="00D957B3"/>
    <w:rsid w:val="00D9623F"/>
    <w:rsid w:val="00D962DC"/>
    <w:rsid w:val="00D96E13"/>
    <w:rsid w:val="00D9785E"/>
    <w:rsid w:val="00D9786C"/>
    <w:rsid w:val="00D97C4E"/>
    <w:rsid w:val="00D97C57"/>
    <w:rsid w:val="00D97D8B"/>
    <w:rsid w:val="00DA05A0"/>
    <w:rsid w:val="00DA0705"/>
    <w:rsid w:val="00DA0C6E"/>
    <w:rsid w:val="00DA0EBA"/>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B58"/>
    <w:rsid w:val="00DA5EF3"/>
    <w:rsid w:val="00DA72CB"/>
    <w:rsid w:val="00DA7AD4"/>
    <w:rsid w:val="00DB0097"/>
    <w:rsid w:val="00DB0611"/>
    <w:rsid w:val="00DB0716"/>
    <w:rsid w:val="00DB0E22"/>
    <w:rsid w:val="00DB1AC1"/>
    <w:rsid w:val="00DB20E3"/>
    <w:rsid w:val="00DB25E3"/>
    <w:rsid w:val="00DB2716"/>
    <w:rsid w:val="00DB2B1C"/>
    <w:rsid w:val="00DB2B72"/>
    <w:rsid w:val="00DB2D14"/>
    <w:rsid w:val="00DB31C8"/>
    <w:rsid w:val="00DB32BE"/>
    <w:rsid w:val="00DB35D9"/>
    <w:rsid w:val="00DB3E03"/>
    <w:rsid w:val="00DB3FB9"/>
    <w:rsid w:val="00DB45BE"/>
    <w:rsid w:val="00DB4B9C"/>
    <w:rsid w:val="00DB4FE3"/>
    <w:rsid w:val="00DB5226"/>
    <w:rsid w:val="00DB6315"/>
    <w:rsid w:val="00DB7040"/>
    <w:rsid w:val="00DB73C9"/>
    <w:rsid w:val="00DB74E4"/>
    <w:rsid w:val="00DB7551"/>
    <w:rsid w:val="00DB78EB"/>
    <w:rsid w:val="00DC004A"/>
    <w:rsid w:val="00DC0BEA"/>
    <w:rsid w:val="00DC0CC4"/>
    <w:rsid w:val="00DC0F42"/>
    <w:rsid w:val="00DC1348"/>
    <w:rsid w:val="00DC1356"/>
    <w:rsid w:val="00DC1359"/>
    <w:rsid w:val="00DC2EB7"/>
    <w:rsid w:val="00DC2EC5"/>
    <w:rsid w:val="00DC2F77"/>
    <w:rsid w:val="00DC33C7"/>
    <w:rsid w:val="00DC3A4A"/>
    <w:rsid w:val="00DC4C3C"/>
    <w:rsid w:val="00DC574B"/>
    <w:rsid w:val="00DC5AD0"/>
    <w:rsid w:val="00DC5CED"/>
    <w:rsid w:val="00DC5F00"/>
    <w:rsid w:val="00DC624E"/>
    <w:rsid w:val="00DC694C"/>
    <w:rsid w:val="00DC69B9"/>
    <w:rsid w:val="00DC6EE1"/>
    <w:rsid w:val="00DC70FC"/>
    <w:rsid w:val="00DC7116"/>
    <w:rsid w:val="00DC712C"/>
    <w:rsid w:val="00DC7B82"/>
    <w:rsid w:val="00DC7CCC"/>
    <w:rsid w:val="00DD00B1"/>
    <w:rsid w:val="00DD0159"/>
    <w:rsid w:val="00DD0808"/>
    <w:rsid w:val="00DD0EF7"/>
    <w:rsid w:val="00DD1012"/>
    <w:rsid w:val="00DD1259"/>
    <w:rsid w:val="00DD1D4B"/>
    <w:rsid w:val="00DD1E7E"/>
    <w:rsid w:val="00DD203C"/>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188"/>
    <w:rsid w:val="00DE1395"/>
    <w:rsid w:val="00DE1B36"/>
    <w:rsid w:val="00DE261D"/>
    <w:rsid w:val="00DE31B6"/>
    <w:rsid w:val="00DE35C8"/>
    <w:rsid w:val="00DE3925"/>
    <w:rsid w:val="00DE3BD1"/>
    <w:rsid w:val="00DE3C3E"/>
    <w:rsid w:val="00DE3DC8"/>
    <w:rsid w:val="00DE4A7B"/>
    <w:rsid w:val="00DE4C9D"/>
    <w:rsid w:val="00DE53AA"/>
    <w:rsid w:val="00DE557E"/>
    <w:rsid w:val="00DE5942"/>
    <w:rsid w:val="00DE5D4F"/>
    <w:rsid w:val="00DE6449"/>
    <w:rsid w:val="00DE653A"/>
    <w:rsid w:val="00DE70DE"/>
    <w:rsid w:val="00DE7538"/>
    <w:rsid w:val="00DE7936"/>
    <w:rsid w:val="00DE7A29"/>
    <w:rsid w:val="00DE7DB8"/>
    <w:rsid w:val="00DE7FAD"/>
    <w:rsid w:val="00DF0710"/>
    <w:rsid w:val="00DF08B0"/>
    <w:rsid w:val="00DF0D88"/>
    <w:rsid w:val="00DF1339"/>
    <w:rsid w:val="00DF26D9"/>
    <w:rsid w:val="00DF326B"/>
    <w:rsid w:val="00DF39CD"/>
    <w:rsid w:val="00DF408B"/>
    <w:rsid w:val="00DF4524"/>
    <w:rsid w:val="00DF49E4"/>
    <w:rsid w:val="00DF4FE4"/>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CB3"/>
    <w:rsid w:val="00E12F02"/>
    <w:rsid w:val="00E1322A"/>
    <w:rsid w:val="00E132BA"/>
    <w:rsid w:val="00E136B2"/>
    <w:rsid w:val="00E1381C"/>
    <w:rsid w:val="00E13A8E"/>
    <w:rsid w:val="00E13EED"/>
    <w:rsid w:val="00E140EA"/>
    <w:rsid w:val="00E14758"/>
    <w:rsid w:val="00E14D42"/>
    <w:rsid w:val="00E150D0"/>
    <w:rsid w:val="00E151AE"/>
    <w:rsid w:val="00E15E79"/>
    <w:rsid w:val="00E164FC"/>
    <w:rsid w:val="00E17CE3"/>
    <w:rsid w:val="00E17D42"/>
    <w:rsid w:val="00E17DC5"/>
    <w:rsid w:val="00E20289"/>
    <w:rsid w:val="00E202EC"/>
    <w:rsid w:val="00E20581"/>
    <w:rsid w:val="00E20B49"/>
    <w:rsid w:val="00E2132F"/>
    <w:rsid w:val="00E2135D"/>
    <w:rsid w:val="00E216CC"/>
    <w:rsid w:val="00E2173C"/>
    <w:rsid w:val="00E22B53"/>
    <w:rsid w:val="00E23946"/>
    <w:rsid w:val="00E24AED"/>
    <w:rsid w:val="00E24E76"/>
    <w:rsid w:val="00E255A4"/>
    <w:rsid w:val="00E258D9"/>
    <w:rsid w:val="00E2592D"/>
    <w:rsid w:val="00E25D97"/>
    <w:rsid w:val="00E26882"/>
    <w:rsid w:val="00E26945"/>
    <w:rsid w:val="00E26A89"/>
    <w:rsid w:val="00E27475"/>
    <w:rsid w:val="00E27686"/>
    <w:rsid w:val="00E27A45"/>
    <w:rsid w:val="00E27CEE"/>
    <w:rsid w:val="00E3010F"/>
    <w:rsid w:val="00E308A0"/>
    <w:rsid w:val="00E30A40"/>
    <w:rsid w:val="00E3120B"/>
    <w:rsid w:val="00E315B5"/>
    <w:rsid w:val="00E31D67"/>
    <w:rsid w:val="00E33054"/>
    <w:rsid w:val="00E3316C"/>
    <w:rsid w:val="00E33584"/>
    <w:rsid w:val="00E33B4D"/>
    <w:rsid w:val="00E33EE8"/>
    <w:rsid w:val="00E349E2"/>
    <w:rsid w:val="00E34C93"/>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4394"/>
    <w:rsid w:val="00E444BA"/>
    <w:rsid w:val="00E44B85"/>
    <w:rsid w:val="00E44BBF"/>
    <w:rsid w:val="00E451CE"/>
    <w:rsid w:val="00E455D4"/>
    <w:rsid w:val="00E455E8"/>
    <w:rsid w:val="00E45C6A"/>
    <w:rsid w:val="00E467B1"/>
    <w:rsid w:val="00E46A5C"/>
    <w:rsid w:val="00E46D35"/>
    <w:rsid w:val="00E47577"/>
    <w:rsid w:val="00E47C05"/>
    <w:rsid w:val="00E47E6C"/>
    <w:rsid w:val="00E50A86"/>
    <w:rsid w:val="00E50E62"/>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BA5"/>
    <w:rsid w:val="00E571D6"/>
    <w:rsid w:val="00E5794C"/>
    <w:rsid w:val="00E57A5A"/>
    <w:rsid w:val="00E57BD1"/>
    <w:rsid w:val="00E60836"/>
    <w:rsid w:val="00E61719"/>
    <w:rsid w:val="00E61A11"/>
    <w:rsid w:val="00E61A67"/>
    <w:rsid w:val="00E61BD0"/>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273"/>
    <w:rsid w:val="00E70327"/>
    <w:rsid w:val="00E70570"/>
    <w:rsid w:val="00E71209"/>
    <w:rsid w:val="00E7147F"/>
    <w:rsid w:val="00E71909"/>
    <w:rsid w:val="00E71CB5"/>
    <w:rsid w:val="00E72489"/>
    <w:rsid w:val="00E7256F"/>
    <w:rsid w:val="00E7267D"/>
    <w:rsid w:val="00E72C7C"/>
    <w:rsid w:val="00E72E8B"/>
    <w:rsid w:val="00E7308D"/>
    <w:rsid w:val="00E73196"/>
    <w:rsid w:val="00E73468"/>
    <w:rsid w:val="00E73643"/>
    <w:rsid w:val="00E745A6"/>
    <w:rsid w:val="00E74D3F"/>
    <w:rsid w:val="00E74FE6"/>
    <w:rsid w:val="00E75495"/>
    <w:rsid w:val="00E756BB"/>
    <w:rsid w:val="00E7592E"/>
    <w:rsid w:val="00E76840"/>
    <w:rsid w:val="00E76C92"/>
    <w:rsid w:val="00E77847"/>
    <w:rsid w:val="00E77B20"/>
    <w:rsid w:val="00E77D08"/>
    <w:rsid w:val="00E77DEA"/>
    <w:rsid w:val="00E804B2"/>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5231"/>
    <w:rsid w:val="00E85812"/>
    <w:rsid w:val="00E85897"/>
    <w:rsid w:val="00E85B88"/>
    <w:rsid w:val="00E861B5"/>
    <w:rsid w:val="00E86D44"/>
    <w:rsid w:val="00E86FBF"/>
    <w:rsid w:val="00E877DC"/>
    <w:rsid w:val="00E87A24"/>
    <w:rsid w:val="00E87F11"/>
    <w:rsid w:val="00E906B0"/>
    <w:rsid w:val="00E912C1"/>
    <w:rsid w:val="00E915A8"/>
    <w:rsid w:val="00E91D5E"/>
    <w:rsid w:val="00E91FFD"/>
    <w:rsid w:val="00E92119"/>
    <w:rsid w:val="00E92640"/>
    <w:rsid w:val="00E926DE"/>
    <w:rsid w:val="00E92859"/>
    <w:rsid w:val="00E929EE"/>
    <w:rsid w:val="00E92BAC"/>
    <w:rsid w:val="00E92C00"/>
    <w:rsid w:val="00E92CFF"/>
    <w:rsid w:val="00E94411"/>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A0BFF"/>
    <w:rsid w:val="00EA0E6B"/>
    <w:rsid w:val="00EA185E"/>
    <w:rsid w:val="00EA18A1"/>
    <w:rsid w:val="00EA19F1"/>
    <w:rsid w:val="00EA1DEA"/>
    <w:rsid w:val="00EA2149"/>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D40"/>
    <w:rsid w:val="00EA6FA3"/>
    <w:rsid w:val="00EA71C7"/>
    <w:rsid w:val="00EA7B4B"/>
    <w:rsid w:val="00EA7D89"/>
    <w:rsid w:val="00EB0023"/>
    <w:rsid w:val="00EB023D"/>
    <w:rsid w:val="00EB0458"/>
    <w:rsid w:val="00EB0594"/>
    <w:rsid w:val="00EB05AA"/>
    <w:rsid w:val="00EB05B9"/>
    <w:rsid w:val="00EB116D"/>
    <w:rsid w:val="00EB2D7A"/>
    <w:rsid w:val="00EB3348"/>
    <w:rsid w:val="00EB3756"/>
    <w:rsid w:val="00EB3803"/>
    <w:rsid w:val="00EB3B0E"/>
    <w:rsid w:val="00EB428F"/>
    <w:rsid w:val="00EB43E8"/>
    <w:rsid w:val="00EB46A9"/>
    <w:rsid w:val="00EB480A"/>
    <w:rsid w:val="00EB485A"/>
    <w:rsid w:val="00EB4A1D"/>
    <w:rsid w:val="00EB4C48"/>
    <w:rsid w:val="00EB4EEF"/>
    <w:rsid w:val="00EB538F"/>
    <w:rsid w:val="00EB5B54"/>
    <w:rsid w:val="00EB6266"/>
    <w:rsid w:val="00EB6497"/>
    <w:rsid w:val="00EB6F85"/>
    <w:rsid w:val="00EB75E4"/>
    <w:rsid w:val="00EB7604"/>
    <w:rsid w:val="00EB778D"/>
    <w:rsid w:val="00EC0128"/>
    <w:rsid w:val="00EC05AF"/>
    <w:rsid w:val="00EC069E"/>
    <w:rsid w:val="00EC0A9C"/>
    <w:rsid w:val="00EC12A0"/>
    <w:rsid w:val="00EC1418"/>
    <w:rsid w:val="00EC16BE"/>
    <w:rsid w:val="00EC1807"/>
    <w:rsid w:val="00EC204A"/>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88D"/>
    <w:rsid w:val="00EC6956"/>
    <w:rsid w:val="00EC6A58"/>
    <w:rsid w:val="00EC7173"/>
    <w:rsid w:val="00EC7260"/>
    <w:rsid w:val="00EC7C2A"/>
    <w:rsid w:val="00EC7D16"/>
    <w:rsid w:val="00EC7DB0"/>
    <w:rsid w:val="00EC7F1A"/>
    <w:rsid w:val="00ED0211"/>
    <w:rsid w:val="00ED047E"/>
    <w:rsid w:val="00ED0754"/>
    <w:rsid w:val="00ED07A2"/>
    <w:rsid w:val="00ED1518"/>
    <w:rsid w:val="00ED198B"/>
    <w:rsid w:val="00ED19E4"/>
    <w:rsid w:val="00ED288D"/>
    <w:rsid w:val="00ED2C2F"/>
    <w:rsid w:val="00ED2D23"/>
    <w:rsid w:val="00ED351B"/>
    <w:rsid w:val="00ED3841"/>
    <w:rsid w:val="00ED3E43"/>
    <w:rsid w:val="00ED4058"/>
    <w:rsid w:val="00ED5020"/>
    <w:rsid w:val="00ED543D"/>
    <w:rsid w:val="00ED5D02"/>
    <w:rsid w:val="00ED68D4"/>
    <w:rsid w:val="00ED6F22"/>
    <w:rsid w:val="00ED70F8"/>
    <w:rsid w:val="00ED79B0"/>
    <w:rsid w:val="00ED7BC5"/>
    <w:rsid w:val="00EE037B"/>
    <w:rsid w:val="00EE03CB"/>
    <w:rsid w:val="00EE06A5"/>
    <w:rsid w:val="00EE140C"/>
    <w:rsid w:val="00EE192D"/>
    <w:rsid w:val="00EE1BC3"/>
    <w:rsid w:val="00EE1E1D"/>
    <w:rsid w:val="00EE28CC"/>
    <w:rsid w:val="00EE2DF2"/>
    <w:rsid w:val="00EE2E7D"/>
    <w:rsid w:val="00EE2ECE"/>
    <w:rsid w:val="00EE3176"/>
    <w:rsid w:val="00EE36F2"/>
    <w:rsid w:val="00EE3EA9"/>
    <w:rsid w:val="00EE3FFC"/>
    <w:rsid w:val="00EE4372"/>
    <w:rsid w:val="00EE43EB"/>
    <w:rsid w:val="00EE44DA"/>
    <w:rsid w:val="00EE454A"/>
    <w:rsid w:val="00EE45D3"/>
    <w:rsid w:val="00EE49EF"/>
    <w:rsid w:val="00EE4CE1"/>
    <w:rsid w:val="00EE4FE9"/>
    <w:rsid w:val="00EE5C2C"/>
    <w:rsid w:val="00EE6945"/>
    <w:rsid w:val="00EE696A"/>
    <w:rsid w:val="00EE6E7F"/>
    <w:rsid w:val="00EE70E2"/>
    <w:rsid w:val="00EE71CA"/>
    <w:rsid w:val="00EE73DE"/>
    <w:rsid w:val="00EE78FA"/>
    <w:rsid w:val="00EE797F"/>
    <w:rsid w:val="00EF0610"/>
    <w:rsid w:val="00EF0FF2"/>
    <w:rsid w:val="00EF117C"/>
    <w:rsid w:val="00EF1648"/>
    <w:rsid w:val="00EF18CA"/>
    <w:rsid w:val="00EF2337"/>
    <w:rsid w:val="00EF25AF"/>
    <w:rsid w:val="00EF3096"/>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F2E"/>
    <w:rsid w:val="00F00F88"/>
    <w:rsid w:val="00F01E68"/>
    <w:rsid w:val="00F023FA"/>
    <w:rsid w:val="00F025ED"/>
    <w:rsid w:val="00F02755"/>
    <w:rsid w:val="00F0293B"/>
    <w:rsid w:val="00F02AEF"/>
    <w:rsid w:val="00F02CA2"/>
    <w:rsid w:val="00F02EFA"/>
    <w:rsid w:val="00F033F9"/>
    <w:rsid w:val="00F03702"/>
    <w:rsid w:val="00F0370D"/>
    <w:rsid w:val="00F03B0D"/>
    <w:rsid w:val="00F03C06"/>
    <w:rsid w:val="00F03C6B"/>
    <w:rsid w:val="00F0458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4A5"/>
    <w:rsid w:val="00F11BCE"/>
    <w:rsid w:val="00F12DD1"/>
    <w:rsid w:val="00F12F1F"/>
    <w:rsid w:val="00F131DF"/>
    <w:rsid w:val="00F134ED"/>
    <w:rsid w:val="00F135E5"/>
    <w:rsid w:val="00F13AFA"/>
    <w:rsid w:val="00F13C53"/>
    <w:rsid w:val="00F14BC1"/>
    <w:rsid w:val="00F14C67"/>
    <w:rsid w:val="00F14DE1"/>
    <w:rsid w:val="00F14FBF"/>
    <w:rsid w:val="00F14FE9"/>
    <w:rsid w:val="00F1532A"/>
    <w:rsid w:val="00F15951"/>
    <w:rsid w:val="00F16B9E"/>
    <w:rsid w:val="00F16ED6"/>
    <w:rsid w:val="00F16FA1"/>
    <w:rsid w:val="00F17850"/>
    <w:rsid w:val="00F17CCE"/>
    <w:rsid w:val="00F20458"/>
    <w:rsid w:val="00F20F59"/>
    <w:rsid w:val="00F2160D"/>
    <w:rsid w:val="00F22C87"/>
    <w:rsid w:val="00F232A1"/>
    <w:rsid w:val="00F234EF"/>
    <w:rsid w:val="00F23742"/>
    <w:rsid w:val="00F237D2"/>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7F6"/>
    <w:rsid w:val="00F32C23"/>
    <w:rsid w:val="00F3387C"/>
    <w:rsid w:val="00F33AF3"/>
    <w:rsid w:val="00F33FB2"/>
    <w:rsid w:val="00F34131"/>
    <w:rsid w:val="00F34314"/>
    <w:rsid w:val="00F34AE1"/>
    <w:rsid w:val="00F35009"/>
    <w:rsid w:val="00F350C0"/>
    <w:rsid w:val="00F35313"/>
    <w:rsid w:val="00F356F8"/>
    <w:rsid w:val="00F35799"/>
    <w:rsid w:val="00F36D01"/>
    <w:rsid w:val="00F36DF7"/>
    <w:rsid w:val="00F37074"/>
    <w:rsid w:val="00F37597"/>
    <w:rsid w:val="00F37C74"/>
    <w:rsid w:val="00F4021C"/>
    <w:rsid w:val="00F4058E"/>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C76"/>
    <w:rsid w:val="00F45F49"/>
    <w:rsid w:val="00F460A7"/>
    <w:rsid w:val="00F4635C"/>
    <w:rsid w:val="00F4652F"/>
    <w:rsid w:val="00F46A78"/>
    <w:rsid w:val="00F46F65"/>
    <w:rsid w:val="00F47BD0"/>
    <w:rsid w:val="00F501D9"/>
    <w:rsid w:val="00F501EF"/>
    <w:rsid w:val="00F50F39"/>
    <w:rsid w:val="00F50FBB"/>
    <w:rsid w:val="00F51079"/>
    <w:rsid w:val="00F5152D"/>
    <w:rsid w:val="00F515B3"/>
    <w:rsid w:val="00F52B32"/>
    <w:rsid w:val="00F52E0B"/>
    <w:rsid w:val="00F5302D"/>
    <w:rsid w:val="00F53305"/>
    <w:rsid w:val="00F53C8F"/>
    <w:rsid w:val="00F53F96"/>
    <w:rsid w:val="00F53F9C"/>
    <w:rsid w:val="00F54B01"/>
    <w:rsid w:val="00F553EA"/>
    <w:rsid w:val="00F559BE"/>
    <w:rsid w:val="00F55D9E"/>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871"/>
    <w:rsid w:val="00F64DD6"/>
    <w:rsid w:val="00F65142"/>
    <w:rsid w:val="00F653A5"/>
    <w:rsid w:val="00F6565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C74"/>
    <w:rsid w:val="00F722C8"/>
    <w:rsid w:val="00F72371"/>
    <w:rsid w:val="00F72BAE"/>
    <w:rsid w:val="00F72E99"/>
    <w:rsid w:val="00F735CD"/>
    <w:rsid w:val="00F73A36"/>
    <w:rsid w:val="00F73D68"/>
    <w:rsid w:val="00F73F12"/>
    <w:rsid w:val="00F743DC"/>
    <w:rsid w:val="00F74645"/>
    <w:rsid w:val="00F74B50"/>
    <w:rsid w:val="00F75079"/>
    <w:rsid w:val="00F75505"/>
    <w:rsid w:val="00F75551"/>
    <w:rsid w:val="00F759A2"/>
    <w:rsid w:val="00F75B24"/>
    <w:rsid w:val="00F75D45"/>
    <w:rsid w:val="00F76C94"/>
    <w:rsid w:val="00F7737B"/>
    <w:rsid w:val="00F7757D"/>
    <w:rsid w:val="00F808DB"/>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AD5"/>
    <w:rsid w:val="00F85E64"/>
    <w:rsid w:val="00F87030"/>
    <w:rsid w:val="00F87174"/>
    <w:rsid w:val="00F876EA"/>
    <w:rsid w:val="00F8779F"/>
    <w:rsid w:val="00F90105"/>
    <w:rsid w:val="00F905D5"/>
    <w:rsid w:val="00F906C7"/>
    <w:rsid w:val="00F91D40"/>
    <w:rsid w:val="00F92D36"/>
    <w:rsid w:val="00F92DD0"/>
    <w:rsid w:val="00F931FE"/>
    <w:rsid w:val="00F937D4"/>
    <w:rsid w:val="00F93C80"/>
    <w:rsid w:val="00F93D88"/>
    <w:rsid w:val="00F93DDF"/>
    <w:rsid w:val="00F9408D"/>
    <w:rsid w:val="00F940FF"/>
    <w:rsid w:val="00F9439F"/>
    <w:rsid w:val="00F945EC"/>
    <w:rsid w:val="00F94698"/>
    <w:rsid w:val="00F94DB3"/>
    <w:rsid w:val="00F94DCF"/>
    <w:rsid w:val="00F951F2"/>
    <w:rsid w:val="00F95FBF"/>
    <w:rsid w:val="00F9691C"/>
    <w:rsid w:val="00F96EFD"/>
    <w:rsid w:val="00F97235"/>
    <w:rsid w:val="00F976AD"/>
    <w:rsid w:val="00F97C5F"/>
    <w:rsid w:val="00F97D70"/>
    <w:rsid w:val="00FA0CB1"/>
    <w:rsid w:val="00FA10BC"/>
    <w:rsid w:val="00FA19D3"/>
    <w:rsid w:val="00FA2576"/>
    <w:rsid w:val="00FA275C"/>
    <w:rsid w:val="00FA27F4"/>
    <w:rsid w:val="00FA2B34"/>
    <w:rsid w:val="00FA2D45"/>
    <w:rsid w:val="00FA31E4"/>
    <w:rsid w:val="00FA362B"/>
    <w:rsid w:val="00FA3EF0"/>
    <w:rsid w:val="00FA3EFC"/>
    <w:rsid w:val="00FA40C7"/>
    <w:rsid w:val="00FA43B5"/>
    <w:rsid w:val="00FA46F0"/>
    <w:rsid w:val="00FA4D35"/>
    <w:rsid w:val="00FA53E0"/>
    <w:rsid w:val="00FA56E1"/>
    <w:rsid w:val="00FA5B0D"/>
    <w:rsid w:val="00FA62E9"/>
    <w:rsid w:val="00FA6F8F"/>
    <w:rsid w:val="00FA6FB6"/>
    <w:rsid w:val="00FB008B"/>
    <w:rsid w:val="00FB00B4"/>
    <w:rsid w:val="00FB00D9"/>
    <w:rsid w:val="00FB097F"/>
    <w:rsid w:val="00FB0AD7"/>
    <w:rsid w:val="00FB1086"/>
    <w:rsid w:val="00FB1BD5"/>
    <w:rsid w:val="00FB1E1E"/>
    <w:rsid w:val="00FB2090"/>
    <w:rsid w:val="00FB2222"/>
    <w:rsid w:val="00FB247B"/>
    <w:rsid w:val="00FB2595"/>
    <w:rsid w:val="00FB259A"/>
    <w:rsid w:val="00FB353F"/>
    <w:rsid w:val="00FB35EB"/>
    <w:rsid w:val="00FB375C"/>
    <w:rsid w:val="00FB3BD7"/>
    <w:rsid w:val="00FB3D92"/>
    <w:rsid w:val="00FB3F38"/>
    <w:rsid w:val="00FB4280"/>
    <w:rsid w:val="00FB4993"/>
    <w:rsid w:val="00FB4B40"/>
    <w:rsid w:val="00FB4D7D"/>
    <w:rsid w:val="00FB5107"/>
    <w:rsid w:val="00FB5636"/>
    <w:rsid w:val="00FB5CC8"/>
    <w:rsid w:val="00FB6045"/>
    <w:rsid w:val="00FB6989"/>
    <w:rsid w:val="00FB69C0"/>
    <w:rsid w:val="00FB6B90"/>
    <w:rsid w:val="00FB6C9B"/>
    <w:rsid w:val="00FB6E4B"/>
    <w:rsid w:val="00FB78AD"/>
    <w:rsid w:val="00FB7A0A"/>
    <w:rsid w:val="00FC0137"/>
    <w:rsid w:val="00FC073E"/>
    <w:rsid w:val="00FC0A2D"/>
    <w:rsid w:val="00FC1075"/>
    <w:rsid w:val="00FC1328"/>
    <w:rsid w:val="00FC1426"/>
    <w:rsid w:val="00FC19BF"/>
    <w:rsid w:val="00FC1B4F"/>
    <w:rsid w:val="00FC247E"/>
    <w:rsid w:val="00FC2C95"/>
    <w:rsid w:val="00FC2F66"/>
    <w:rsid w:val="00FC382C"/>
    <w:rsid w:val="00FC4010"/>
    <w:rsid w:val="00FC41E7"/>
    <w:rsid w:val="00FC420B"/>
    <w:rsid w:val="00FC4F00"/>
    <w:rsid w:val="00FC5148"/>
    <w:rsid w:val="00FC5F49"/>
    <w:rsid w:val="00FC60E1"/>
    <w:rsid w:val="00FC6103"/>
    <w:rsid w:val="00FC627B"/>
    <w:rsid w:val="00FC6295"/>
    <w:rsid w:val="00FC6567"/>
    <w:rsid w:val="00FC65D5"/>
    <w:rsid w:val="00FC727C"/>
    <w:rsid w:val="00FC72C4"/>
    <w:rsid w:val="00FC74C8"/>
    <w:rsid w:val="00FC7833"/>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4BF4"/>
    <w:rsid w:val="00FD4FCB"/>
    <w:rsid w:val="00FD55C6"/>
    <w:rsid w:val="00FD6180"/>
    <w:rsid w:val="00FD66A8"/>
    <w:rsid w:val="00FD6978"/>
    <w:rsid w:val="00FD7612"/>
    <w:rsid w:val="00FD7D16"/>
    <w:rsid w:val="00FE0207"/>
    <w:rsid w:val="00FE045C"/>
    <w:rsid w:val="00FE04B1"/>
    <w:rsid w:val="00FE06D4"/>
    <w:rsid w:val="00FE0CF2"/>
    <w:rsid w:val="00FE12D8"/>
    <w:rsid w:val="00FE1630"/>
    <w:rsid w:val="00FE242A"/>
    <w:rsid w:val="00FE29C2"/>
    <w:rsid w:val="00FE2B09"/>
    <w:rsid w:val="00FE2C0F"/>
    <w:rsid w:val="00FE2D27"/>
    <w:rsid w:val="00FE2D2F"/>
    <w:rsid w:val="00FE3B90"/>
    <w:rsid w:val="00FE3FAC"/>
    <w:rsid w:val="00FE539D"/>
    <w:rsid w:val="00FE5630"/>
    <w:rsid w:val="00FE566C"/>
    <w:rsid w:val="00FE5936"/>
    <w:rsid w:val="00FE5AE9"/>
    <w:rsid w:val="00FE60A2"/>
    <w:rsid w:val="00FE6212"/>
    <w:rsid w:val="00FE67DC"/>
    <w:rsid w:val="00FE68D2"/>
    <w:rsid w:val="00FE6D97"/>
    <w:rsid w:val="00FE71EA"/>
    <w:rsid w:val="00FE722C"/>
    <w:rsid w:val="00FE76B0"/>
    <w:rsid w:val="00FE7785"/>
    <w:rsid w:val="00FE7C1E"/>
    <w:rsid w:val="00FE7D64"/>
    <w:rsid w:val="00FF01C8"/>
    <w:rsid w:val="00FF0789"/>
    <w:rsid w:val="00FF0EC0"/>
    <w:rsid w:val="00FF17D8"/>
    <w:rsid w:val="00FF1891"/>
    <w:rsid w:val="00FF2852"/>
    <w:rsid w:val="00FF288E"/>
    <w:rsid w:val="00FF28C5"/>
    <w:rsid w:val="00FF31A9"/>
    <w:rsid w:val="00FF474A"/>
    <w:rsid w:val="00FF5609"/>
    <w:rsid w:val="00FF5A19"/>
    <w:rsid w:val="00FF67C9"/>
    <w:rsid w:val="00FF68B2"/>
    <w:rsid w:val="00FF6950"/>
    <w:rsid w:val="00FF6E25"/>
    <w:rsid w:val="00FF6E50"/>
    <w:rsid w:val="00FF7083"/>
    <w:rsid w:val="00FF7B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016/S0140-6736(13)62631-8" TargetMode="External"/><Relationship Id="rId26" Type="http://schemas.openxmlformats.org/officeDocument/2006/relationships/hyperlink" Target="http://www.health.qld.gov.au/stayonyourfeet/" TargetMode="External"/><Relationship Id="rId3" Type="http://schemas.openxmlformats.org/officeDocument/2006/relationships/styles" Target="styles.xml"/><Relationship Id="rId21" Type="http://schemas.openxmlformats.org/officeDocument/2006/relationships/hyperlink" Target="http://dx.doi.org/10.1111/trf.12240"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afetyandquality.gov.au/" TargetMode="External"/><Relationship Id="rId17" Type="http://schemas.openxmlformats.org/officeDocument/2006/relationships/hyperlink" Target="http://www.safetyandquality.gov.au/our-work/clinical-care-standards/consultation/" TargetMode="External"/><Relationship Id="rId25" Type="http://schemas.openxmlformats.org/officeDocument/2006/relationships/hyperlink" Target="http://intqhc.oxfordjournals.org/content/early/recent?papeto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iall.johnson@safetyandquality.gov.au" TargetMode="External"/><Relationship Id="rId20" Type="http://schemas.openxmlformats.org/officeDocument/2006/relationships/hyperlink" Target="http://dx.doi.org/10.1136/bmj.f7171" TargetMode="External"/><Relationship Id="rId29" Type="http://schemas.openxmlformats.org/officeDocument/2006/relationships/hyperlink" Target="https://www.facebook.com/QLDHealt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publications-resources/on-the-radar/" TargetMode="External"/><Relationship Id="rId24" Type="http://schemas.openxmlformats.org/officeDocument/2006/relationships/hyperlink" Target="http://qualitysafety.bmj.com/content/early/recent"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safetyandquality.gov.au" TargetMode="External"/><Relationship Id="rId23" Type="http://schemas.openxmlformats.org/officeDocument/2006/relationships/hyperlink" Target="http://dx.doi.org/10.1071/AH13185" TargetMode="External"/><Relationship Id="rId28" Type="http://schemas.openxmlformats.org/officeDocument/2006/relationships/hyperlink" Target="https://twitter.com/qldhealthnews?original_referer=http%3A%2F%2Fwww.health.qld.gov.au%2F&amp;profile_id=35997368&amp;tw_i=450740681469083648&amp;tw_p=embeddedtimeline&amp;tw_w=384587622825205761" TargetMode="External"/><Relationship Id="rId10" Type="http://schemas.openxmlformats.org/officeDocument/2006/relationships/image" Target="media/image2.png"/><Relationship Id="rId19" Type="http://schemas.openxmlformats.org/officeDocument/2006/relationships/hyperlink" Target="http://dx.doi.org/10.1136/bmjqs-2013-002685"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il@safetyandquality.gov.au" TargetMode="External"/><Relationship Id="rId22" Type="http://schemas.openxmlformats.org/officeDocument/2006/relationships/hyperlink" Target="http://dx.doi.org/10.1001/jamainternmed.2014.136" TargetMode="External"/><Relationship Id="rId27" Type="http://schemas.openxmlformats.org/officeDocument/2006/relationships/hyperlink" Target="http://www.youtube.com/watch?v=niKRi3jEWEE" TargetMode="External"/><Relationship Id="rId30" Type="http://schemas.openxmlformats.org/officeDocument/2006/relationships/hyperlink" Target="http://www.nice.org.uk/guidance/sc/SC1.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FDC82-CA02-428F-92C8-1C0E0BAA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5</Pages>
  <Words>1878</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12560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19</cp:revision>
  <cp:lastPrinted>2013-06-06T03:47:00Z</cp:lastPrinted>
  <dcterms:created xsi:type="dcterms:W3CDTF">2014-03-30T22:46:00Z</dcterms:created>
  <dcterms:modified xsi:type="dcterms:W3CDTF">2014-04-05T22:54:00Z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