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F0E" w:rsidRPr="00737BFB" w:rsidRDefault="001E1F0E" w:rsidP="006C336B">
      <w:pPr>
        <w:autoSpaceDE w:val="0"/>
        <w:autoSpaceDN w:val="0"/>
        <w:adjustRightInd w:val="0"/>
        <w:rPr>
          <w:rFonts w:ascii="Tms Rmn" w:hAnsi="Tms Rmn" w:cs="Tms Rmn"/>
          <w:color w:val="000000"/>
          <w:lang w:val="en-AU"/>
        </w:rPr>
      </w:pPr>
    </w:p>
    <w:p w:rsidR="00B160EF" w:rsidRPr="00737BFB" w:rsidRDefault="00FE76B0" w:rsidP="006C336B">
      <w:pPr>
        <w:autoSpaceDE w:val="0"/>
        <w:autoSpaceDN w:val="0"/>
        <w:adjustRightInd w:val="0"/>
        <w:rPr>
          <w:rFonts w:ascii="Tms Rmn" w:hAnsi="Tms Rmn" w:cs="Tms Rmn"/>
          <w:color w:val="000000"/>
          <w:lang w:val="en-AU"/>
        </w:rPr>
      </w:pPr>
      <w:r w:rsidRPr="00737BFB">
        <w:rPr>
          <w:noProof/>
          <w:lang w:val="en-AU" w:eastAsia="en-AU"/>
        </w:rPr>
        <w:drawing>
          <wp:anchor distT="0" distB="0" distL="114300" distR="114300" simplePos="0" relativeHeight="251658240" behindDoc="0" locked="0" layoutInCell="1" allowOverlap="1" wp14:anchorId="45C93426" wp14:editId="52E25D83">
            <wp:simplePos x="0" y="0"/>
            <wp:positionH relativeFrom="page">
              <wp:posOffset>672465</wp:posOffset>
            </wp:positionH>
            <wp:positionV relativeFrom="page">
              <wp:posOffset>557530</wp:posOffset>
            </wp:positionV>
            <wp:extent cx="3705225" cy="523875"/>
            <wp:effectExtent l="0" t="0" r="952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523875"/>
                    </a:xfrm>
                    <a:prstGeom prst="rect">
                      <a:avLst/>
                    </a:prstGeom>
                    <a:noFill/>
                  </pic:spPr>
                </pic:pic>
              </a:graphicData>
            </a:graphic>
            <wp14:sizeRelH relativeFrom="page">
              <wp14:pctWidth>0</wp14:pctWidth>
            </wp14:sizeRelH>
            <wp14:sizeRelV relativeFrom="page">
              <wp14:pctHeight>0</wp14:pctHeight>
            </wp14:sizeRelV>
          </wp:anchor>
        </w:drawing>
      </w:r>
      <w:r w:rsidRPr="00737BFB">
        <w:rPr>
          <w:noProof/>
          <w:lang w:val="en-AU" w:eastAsia="en-AU"/>
        </w:rPr>
        <w:drawing>
          <wp:anchor distT="0" distB="0" distL="114300" distR="114300" simplePos="0" relativeHeight="251657216" behindDoc="0" locked="0" layoutInCell="1" allowOverlap="1" wp14:anchorId="512A3DE9" wp14:editId="5C95ECE2">
            <wp:simplePos x="0" y="0"/>
            <wp:positionH relativeFrom="page">
              <wp:posOffset>5981700</wp:posOffset>
            </wp:positionH>
            <wp:positionV relativeFrom="page">
              <wp:posOffset>226695</wp:posOffset>
            </wp:positionV>
            <wp:extent cx="1219200" cy="1219200"/>
            <wp:effectExtent l="0" t="0" r="0" b="0"/>
            <wp:wrapSquare wrapText="bothSides"/>
            <wp:docPr id="12" name="Picture 12" descr="icones_0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ones_013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p>
    <w:p w:rsidR="00B160EF" w:rsidRPr="00737BFB" w:rsidRDefault="00B160EF" w:rsidP="00B160EF">
      <w:pPr>
        <w:pStyle w:val="Heading1"/>
        <w:ind w:left="720" w:hanging="720"/>
        <w:rPr>
          <w:rFonts w:ascii="Bookman Old Style" w:hAnsi="Bookman Old Style"/>
          <w:sz w:val="48"/>
          <w:szCs w:val="48"/>
          <w:lang w:val="en-AU"/>
        </w:rPr>
      </w:pPr>
      <w:r w:rsidRPr="00737BFB">
        <w:rPr>
          <w:rFonts w:ascii="Bookman Old Style" w:hAnsi="Bookman Old Style"/>
          <w:sz w:val="48"/>
          <w:szCs w:val="48"/>
          <w:lang w:val="en-AU"/>
        </w:rPr>
        <w:t>On the Radar</w:t>
      </w:r>
    </w:p>
    <w:p w:rsidR="00B160EF" w:rsidRPr="00737BFB" w:rsidRDefault="00715F47" w:rsidP="00B160EF">
      <w:pPr>
        <w:rPr>
          <w:color w:val="000000"/>
          <w:lang w:val="en-AU"/>
        </w:rPr>
      </w:pPr>
      <w:r w:rsidRPr="00737BFB">
        <w:rPr>
          <w:color w:val="000000"/>
          <w:lang w:val="en-AU"/>
        </w:rPr>
        <w:t xml:space="preserve">Issue </w:t>
      </w:r>
      <w:r w:rsidR="00ED198B" w:rsidRPr="00737BFB">
        <w:rPr>
          <w:color w:val="000000"/>
          <w:lang w:val="en-AU"/>
        </w:rPr>
        <w:t>1</w:t>
      </w:r>
      <w:r w:rsidR="00A7178D">
        <w:rPr>
          <w:color w:val="000000"/>
          <w:lang w:val="en-AU"/>
        </w:rPr>
        <w:t>70</w:t>
      </w:r>
    </w:p>
    <w:p w:rsidR="000F7901" w:rsidRPr="00737BFB" w:rsidRDefault="00A7178D" w:rsidP="00B160EF">
      <w:pPr>
        <w:rPr>
          <w:lang w:val="en-AU"/>
        </w:rPr>
      </w:pPr>
      <w:r>
        <w:rPr>
          <w:lang w:val="en-AU"/>
        </w:rPr>
        <w:t>14</w:t>
      </w:r>
      <w:r w:rsidR="00221B5E" w:rsidRPr="00737BFB">
        <w:rPr>
          <w:lang w:val="en-AU"/>
        </w:rPr>
        <w:t xml:space="preserve"> April</w:t>
      </w:r>
      <w:r w:rsidR="000F7901" w:rsidRPr="00737BFB">
        <w:rPr>
          <w:lang w:val="en-AU"/>
        </w:rPr>
        <w:t xml:space="preserve"> 2014</w:t>
      </w:r>
    </w:p>
    <w:p w:rsidR="00566895" w:rsidRPr="00737BFB" w:rsidRDefault="00566895" w:rsidP="00B160EF">
      <w:pPr>
        <w:rPr>
          <w:lang w:val="en-AU"/>
        </w:rPr>
      </w:pPr>
    </w:p>
    <w:p w:rsidR="00B160EF" w:rsidRPr="00737BFB" w:rsidRDefault="00B160EF" w:rsidP="00B160EF">
      <w:pPr>
        <w:rPr>
          <w:lang w:val="en-AU"/>
        </w:rPr>
      </w:pPr>
      <w:r w:rsidRPr="00737BFB">
        <w:rPr>
          <w:i/>
          <w:lang w:val="en-AU"/>
        </w:rPr>
        <w:t>On the Radar</w:t>
      </w:r>
      <w:r w:rsidRPr="00737BFB">
        <w:rPr>
          <w:lang w:val="en-AU"/>
        </w:rPr>
        <w:t xml:space="preserve"> is a summary of some of the recent publications in the areas of safety and quality in health care. Inclusion in this document is not an endorsement or recommendation of any publication or provider.</w:t>
      </w:r>
    </w:p>
    <w:p w:rsidR="00B160EF" w:rsidRPr="00737BFB" w:rsidRDefault="00B160EF" w:rsidP="00B160EF">
      <w:pPr>
        <w:rPr>
          <w:lang w:val="en-AU"/>
        </w:rPr>
      </w:pPr>
    </w:p>
    <w:p w:rsidR="00B160EF" w:rsidRPr="00737BFB" w:rsidRDefault="00B160EF" w:rsidP="00B160EF">
      <w:pPr>
        <w:rPr>
          <w:b/>
          <w:lang w:val="en-AU"/>
        </w:rPr>
      </w:pPr>
      <w:r w:rsidRPr="00737BFB">
        <w:rPr>
          <w:lang w:val="en-AU"/>
        </w:rPr>
        <w:t>Access to particular documents may depend on whether they are Open Access or not, and/or your individual or institutional access to subscription sites/services.</w:t>
      </w:r>
      <w:r w:rsidR="00F460A7" w:rsidRPr="00737BFB">
        <w:rPr>
          <w:lang w:val="en-AU"/>
        </w:rPr>
        <w:t xml:space="preserve"> Material that may require subscription is included as it is considered relevant.</w:t>
      </w:r>
    </w:p>
    <w:p w:rsidR="00B160EF" w:rsidRPr="00737BFB" w:rsidRDefault="00B160EF" w:rsidP="00B160EF">
      <w:pPr>
        <w:rPr>
          <w:lang w:val="en-AU"/>
        </w:rPr>
      </w:pPr>
    </w:p>
    <w:p w:rsidR="00230D83" w:rsidRPr="00737BFB" w:rsidRDefault="00B160EF" w:rsidP="0045757F">
      <w:pPr>
        <w:autoSpaceDE w:val="0"/>
        <w:rPr>
          <w:lang w:val="en-AU"/>
        </w:rPr>
      </w:pPr>
      <w:r w:rsidRPr="00737BFB">
        <w:rPr>
          <w:i/>
          <w:lang w:val="en-AU"/>
        </w:rPr>
        <w:t>On the Radar</w:t>
      </w:r>
      <w:r w:rsidRPr="00737BFB">
        <w:rPr>
          <w:lang w:val="en-AU"/>
        </w:rPr>
        <w:t xml:space="preserve"> is available </w:t>
      </w:r>
      <w:r w:rsidR="003D1E7A" w:rsidRPr="00737BFB">
        <w:rPr>
          <w:lang w:val="en-AU"/>
        </w:rPr>
        <w:t xml:space="preserve">online, </w:t>
      </w:r>
      <w:r w:rsidRPr="00737BFB">
        <w:rPr>
          <w:lang w:val="en-AU"/>
        </w:rPr>
        <w:t xml:space="preserve">via email or as a PDF document from </w:t>
      </w:r>
      <w:hyperlink r:id="rId11" w:history="1">
        <w:r w:rsidR="00230D83" w:rsidRPr="00737BFB">
          <w:rPr>
            <w:rStyle w:val="Hyperlink"/>
            <w:lang w:val="en-AU"/>
          </w:rPr>
          <w:t>http://www.safetyandquality.gov.au/publications-resources/on-the-radar/</w:t>
        </w:r>
      </w:hyperlink>
    </w:p>
    <w:p w:rsidR="0090536C" w:rsidRPr="00737BFB" w:rsidRDefault="0090536C" w:rsidP="0045757F">
      <w:pPr>
        <w:autoSpaceDE w:val="0"/>
        <w:rPr>
          <w:lang w:val="en-AU"/>
        </w:rPr>
      </w:pPr>
    </w:p>
    <w:p w:rsidR="00B160EF" w:rsidRPr="00737BFB" w:rsidRDefault="00B160EF" w:rsidP="0045757F">
      <w:pPr>
        <w:autoSpaceDE w:val="0"/>
        <w:rPr>
          <w:lang w:val="en-AU"/>
        </w:rPr>
      </w:pPr>
      <w:r w:rsidRPr="00737BFB">
        <w:rPr>
          <w:lang w:val="en-AU"/>
        </w:rPr>
        <w:t xml:space="preserve">If you would like to receive </w:t>
      </w:r>
      <w:r w:rsidRPr="00737BFB">
        <w:rPr>
          <w:i/>
          <w:lang w:val="en-AU"/>
        </w:rPr>
        <w:t>On the Radar</w:t>
      </w:r>
      <w:r w:rsidRPr="00737BFB">
        <w:rPr>
          <w:lang w:val="en-AU"/>
        </w:rPr>
        <w:t xml:space="preserve"> via email</w:t>
      </w:r>
      <w:r w:rsidR="003D7B9E" w:rsidRPr="00737BFB">
        <w:rPr>
          <w:lang w:val="en-AU"/>
        </w:rPr>
        <w:t>, you can</w:t>
      </w:r>
      <w:r w:rsidR="00F24F60" w:rsidRPr="00737BFB">
        <w:rPr>
          <w:lang w:val="en-AU"/>
        </w:rPr>
        <w:t xml:space="preserve"> subscribe on our website </w:t>
      </w:r>
      <w:hyperlink r:id="rId12" w:history="1">
        <w:r w:rsidR="00F24F60" w:rsidRPr="00737BFB">
          <w:rPr>
            <w:rStyle w:val="Hyperlink"/>
            <w:lang w:val="en-AU"/>
          </w:rPr>
          <w:t>http://www.safetyandquality.gov.au/</w:t>
        </w:r>
      </w:hyperlink>
      <w:r w:rsidR="003D7B9E" w:rsidRPr="00737BFB">
        <w:rPr>
          <w:lang w:val="en-AU"/>
        </w:rPr>
        <w:t xml:space="preserve"> or by emailing us at </w:t>
      </w:r>
      <w:r w:rsidR="003D7B9E" w:rsidRPr="00737BFB">
        <w:rPr>
          <w:rFonts w:ascii="ZWAdobeF" w:hAnsi="ZWAdobeF" w:cs="ZWAdobeF"/>
          <w:sz w:val="2"/>
          <w:szCs w:val="2"/>
          <w:lang w:val="en-AU"/>
        </w:rPr>
        <w:t>H</w:t>
      </w:r>
      <w:hyperlink r:id="rId13" w:history="1">
        <w:r w:rsidR="003D7B9E" w:rsidRPr="00737BFB">
          <w:rPr>
            <w:rFonts w:ascii="ZWAdobeF" w:hAnsi="ZWAdobeF" w:cs="ZWAdobeF"/>
            <w:sz w:val="2"/>
            <w:szCs w:val="2"/>
            <w:lang w:val="en-AU"/>
          </w:rPr>
          <w:t>U</w:t>
        </w:r>
        <w:r w:rsidR="003D7B9E" w:rsidRPr="00737BFB">
          <w:rPr>
            <w:rStyle w:val="Hyperlink"/>
            <w:lang w:val="en-AU"/>
          </w:rPr>
          <w:t>mail@safetyandquality.gov.au</w:t>
        </w:r>
        <w:r w:rsidR="003D7B9E" w:rsidRPr="00737BFB">
          <w:rPr>
            <w:rStyle w:val="Hyperlink"/>
            <w:rFonts w:ascii="ZWAdobeF" w:hAnsi="ZWAdobeF" w:cs="ZWAdobeF"/>
            <w:color w:val="auto"/>
            <w:sz w:val="2"/>
            <w:szCs w:val="2"/>
            <w:u w:val="none"/>
            <w:lang w:val="en-AU"/>
          </w:rPr>
          <w:t>U</w:t>
        </w:r>
      </w:hyperlink>
      <w:r w:rsidR="003D7B9E" w:rsidRPr="00737BFB">
        <w:rPr>
          <w:lang w:val="en-AU"/>
        </w:rPr>
        <w:t xml:space="preserve">. </w:t>
      </w:r>
      <w:r w:rsidR="00E51D23" w:rsidRPr="00737BFB">
        <w:rPr>
          <w:lang w:val="en-AU"/>
        </w:rPr>
        <w:br/>
      </w:r>
      <w:r w:rsidR="003D7B9E" w:rsidRPr="00737BFB">
        <w:rPr>
          <w:lang w:val="en-AU"/>
        </w:rPr>
        <w:t xml:space="preserve">You can also send feedback and comments to </w:t>
      </w:r>
      <w:r w:rsidR="003D7B9E" w:rsidRPr="00737BFB">
        <w:rPr>
          <w:rFonts w:ascii="ZWAdobeF" w:hAnsi="ZWAdobeF" w:cs="ZWAdobeF"/>
          <w:sz w:val="2"/>
          <w:szCs w:val="2"/>
          <w:lang w:val="en-AU"/>
        </w:rPr>
        <w:t>H</w:t>
      </w:r>
      <w:hyperlink r:id="rId14" w:history="1">
        <w:r w:rsidR="003D7B9E" w:rsidRPr="00737BFB">
          <w:rPr>
            <w:rFonts w:ascii="ZWAdobeF" w:hAnsi="ZWAdobeF" w:cs="ZWAdobeF"/>
            <w:sz w:val="2"/>
            <w:szCs w:val="2"/>
            <w:lang w:val="en-AU"/>
          </w:rPr>
          <w:t>U</w:t>
        </w:r>
        <w:r w:rsidR="003D7B9E" w:rsidRPr="00737BFB">
          <w:rPr>
            <w:rStyle w:val="Hyperlink"/>
            <w:lang w:val="en-AU"/>
          </w:rPr>
          <w:t>mail@safetyandquality.gov.au</w:t>
        </w:r>
        <w:r w:rsidR="003D7B9E" w:rsidRPr="00737BFB">
          <w:rPr>
            <w:rStyle w:val="Hyperlink"/>
            <w:rFonts w:ascii="ZWAdobeF" w:hAnsi="ZWAdobeF" w:cs="ZWAdobeF"/>
            <w:color w:val="auto"/>
            <w:sz w:val="2"/>
            <w:szCs w:val="2"/>
            <w:u w:val="none"/>
            <w:lang w:val="en-AU"/>
          </w:rPr>
          <w:t>U</w:t>
        </w:r>
      </w:hyperlink>
      <w:r w:rsidR="003D7B9E" w:rsidRPr="00737BFB">
        <w:rPr>
          <w:lang w:val="en-AU"/>
        </w:rPr>
        <w:t>.</w:t>
      </w:r>
    </w:p>
    <w:p w:rsidR="00B160EF" w:rsidRPr="00737BFB" w:rsidRDefault="00B160EF" w:rsidP="00837FC4">
      <w:pPr>
        <w:tabs>
          <w:tab w:val="left" w:pos="7773"/>
        </w:tabs>
        <w:rPr>
          <w:lang w:val="en-AU"/>
        </w:rPr>
      </w:pPr>
    </w:p>
    <w:p w:rsidR="00837FC4" w:rsidRPr="00737BFB" w:rsidRDefault="00B160EF" w:rsidP="004554DB">
      <w:pPr>
        <w:autoSpaceDE w:val="0"/>
        <w:rPr>
          <w:lang w:val="en-AU"/>
        </w:rPr>
      </w:pPr>
      <w:bookmarkStart w:id="0" w:name="OLE_LINK1"/>
      <w:r w:rsidRPr="00737BFB">
        <w:rPr>
          <w:lang w:val="en-AU"/>
        </w:rPr>
        <w:t xml:space="preserve">For information about the Commission and its programs and publications, please visit </w:t>
      </w:r>
      <w:hyperlink r:id="rId15" w:history="1">
        <w:r w:rsidR="00837FC4" w:rsidRPr="00737BFB">
          <w:rPr>
            <w:rStyle w:val="Hyperlink"/>
            <w:lang w:val="en-AU"/>
          </w:rPr>
          <w:t>http://www.safetyandquality.gov.au</w:t>
        </w:r>
      </w:hyperlink>
    </w:p>
    <w:p w:rsidR="00210235" w:rsidRPr="00737BFB" w:rsidRDefault="004554DB" w:rsidP="004554DB">
      <w:pPr>
        <w:autoSpaceDE w:val="0"/>
        <w:rPr>
          <w:lang w:val="en-AU"/>
        </w:rPr>
      </w:pPr>
      <w:r w:rsidRPr="00737BFB">
        <w:rPr>
          <w:lang w:val="en-AU"/>
        </w:rPr>
        <w:t>You can also follow us on Twitter @ACSQHC.</w:t>
      </w:r>
    </w:p>
    <w:p w:rsidR="00DD32E9" w:rsidRPr="00737BFB" w:rsidRDefault="00DD32E9" w:rsidP="004554DB">
      <w:pPr>
        <w:autoSpaceDE w:val="0"/>
        <w:rPr>
          <w:lang w:val="en-AU"/>
        </w:rPr>
      </w:pPr>
    </w:p>
    <w:p w:rsidR="00210235" w:rsidRPr="00737BFB" w:rsidRDefault="00210235" w:rsidP="00210235">
      <w:pPr>
        <w:keepNext/>
        <w:pBdr>
          <w:top w:val="single" w:sz="4" w:space="1" w:color="auto"/>
        </w:pBdr>
        <w:rPr>
          <w:b/>
          <w:lang w:val="en-AU"/>
        </w:rPr>
      </w:pPr>
      <w:r w:rsidRPr="00737BFB">
        <w:rPr>
          <w:b/>
          <w:lang w:val="en-AU"/>
        </w:rPr>
        <w:t>On the Radar</w:t>
      </w:r>
    </w:p>
    <w:p w:rsidR="00340157" w:rsidRPr="00737BFB" w:rsidRDefault="00340157" w:rsidP="00210235">
      <w:pPr>
        <w:keepNext/>
        <w:pBdr>
          <w:top w:val="single" w:sz="4" w:space="1" w:color="auto"/>
        </w:pBdr>
        <w:rPr>
          <w:bCs/>
          <w:lang w:val="en-AU"/>
        </w:rPr>
      </w:pPr>
      <w:r w:rsidRPr="00737BFB">
        <w:rPr>
          <w:bCs/>
          <w:lang w:val="en-AU"/>
        </w:rPr>
        <w:t xml:space="preserve">Editor: </w:t>
      </w:r>
      <w:r w:rsidR="00C8085B" w:rsidRPr="00737BFB">
        <w:rPr>
          <w:bCs/>
          <w:lang w:val="en-AU"/>
        </w:rPr>
        <w:t xml:space="preserve">Dr </w:t>
      </w:r>
      <w:r w:rsidRPr="00737BFB">
        <w:rPr>
          <w:bCs/>
          <w:lang w:val="en-AU"/>
        </w:rPr>
        <w:t xml:space="preserve">Niall Johnson </w:t>
      </w:r>
      <w:hyperlink r:id="rId16" w:history="1">
        <w:r w:rsidRPr="00737BFB">
          <w:rPr>
            <w:rStyle w:val="Hyperlink"/>
            <w:bCs/>
            <w:lang w:val="en-AU"/>
          </w:rPr>
          <w:t>niall.johnson@safetyandquality.gov.au</w:t>
        </w:r>
      </w:hyperlink>
    </w:p>
    <w:p w:rsidR="00210235" w:rsidRPr="00737BFB" w:rsidRDefault="00210235" w:rsidP="00210235">
      <w:pPr>
        <w:keepNext/>
        <w:pBdr>
          <w:top w:val="single" w:sz="4" w:space="1" w:color="auto"/>
        </w:pBdr>
        <w:rPr>
          <w:bCs/>
          <w:lang w:val="en-AU"/>
        </w:rPr>
      </w:pPr>
      <w:r w:rsidRPr="00737BFB">
        <w:rPr>
          <w:bCs/>
          <w:lang w:val="en-AU"/>
        </w:rPr>
        <w:t xml:space="preserve">Contributors: </w:t>
      </w:r>
      <w:r w:rsidR="0056339A" w:rsidRPr="00737BFB">
        <w:rPr>
          <w:bCs/>
          <w:lang w:val="en-AU"/>
        </w:rPr>
        <w:t>Niall Johnson</w:t>
      </w:r>
    </w:p>
    <w:bookmarkEnd w:id="0"/>
    <w:p w:rsidR="009A35BE" w:rsidRPr="00737BFB" w:rsidRDefault="009A35BE" w:rsidP="00A60B5B">
      <w:pPr>
        <w:rPr>
          <w:shd w:val="clear" w:color="auto" w:fill="FFFFFF"/>
          <w:lang w:val="en-AU"/>
        </w:rPr>
      </w:pPr>
    </w:p>
    <w:p w:rsidR="00921F29" w:rsidRPr="00737BFB" w:rsidRDefault="00921F29" w:rsidP="00A60B5B">
      <w:pPr>
        <w:rPr>
          <w:shd w:val="clear" w:color="auto" w:fill="FFFFFF"/>
          <w:lang w:val="en-AU"/>
        </w:rPr>
      </w:pPr>
    </w:p>
    <w:p w:rsidR="00A84250" w:rsidRDefault="00A84250" w:rsidP="00396D0A">
      <w:pPr>
        <w:rPr>
          <w:b/>
          <w:lang w:val="en-AU"/>
        </w:rPr>
      </w:pPr>
      <w:r>
        <w:rPr>
          <w:b/>
          <w:lang w:val="en-AU"/>
        </w:rPr>
        <w:t>Draft Clinical Care Standard for Stroke</w:t>
      </w:r>
    </w:p>
    <w:p w:rsidR="005F3F42" w:rsidRDefault="005F3F42" w:rsidP="00396D0A">
      <w:pPr>
        <w:rPr>
          <w:lang w:val="en-AU"/>
        </w:rPr>
      </w:pPr>
    </w:p>
    <w:p w:rsidR="00A84250" w:rsidRDefault="00A84250" w:rsidP="00396D0A">
      <w:pPr>
        <w:rPr>
          <w:lang w:val="en-AU"/>
        </w:rPr>
      </w:pPr>
      <w:r>
        <w:rPr>
          <w:lang w:val="en-AU"/>
        </w:rPr>
        <w:t>I</w:t>
      </w:r>
      <w:r w:rsidRPr="00A84250">
        <w:rPr>
          <w:lang w:val="en-AU"/>
        </w:rPr>
        <w:t>n collaboration with consumers, clinicians, resea</w:t>
      </w:r>
      <w:r>
        <w:rPr>
          <w:lang w:val="en-AU"/>
        </w:rPr>
        <w:t>rchers and health organisations, the Commission has developed t</w:t>
      </w:r>
      <w:r w:rsidRPr="00A84250">
        <w:rPr>
          <w:lang w:val="en-AU"/>
        </w:rPr>
        <w:t xml:space="preserve">he draft </w:t>
      </w:r>
      <w:r w:rsidRPr="005F3F42">
        <w:rPr>
          <w:i/>
          <w:lang w:val="en-AU"/>
        </w:rPr>
        <w:t>Cli</w:t>
      </w:r>
      <w:r w:rsidR="005F3F42" w:rsidRPr="005F3F42">
        <w:rPr>
          <w:i/>
          <w:lang w:val="en-AU"/>
        </w:rPr>
        <w:t>nical Care Standard for Stroke</w:t>
      </w:r>
      <w:r w:rsidR="005F3F42">
        <w:rPr>
          <w:lang w:val="en-AU"/>
        </w:rPr>
        <w:t>.</w:t>
      </w:r>
    </w:p>
    <w:p w:rsidR="00A84250" w:rsidRDefault="00A84250" w:rsidP="00396D0A">
      <w:pPr>
        <w:rPr>
          <w:lang w:val="en-AU"/>
        </w:rPr>
      </w:pPr>
      <w:r>
        <w:rPr>
          <w:lang w:val="en-AU"/>
        </w:rPr>
        <w:t>A Clinical Care Standard provides a small number of quality statements that describe the clinical care that a patient should be offered for a specific condition.</w:t>
      </w:r>
    </w:p>
    <w:p w:rsidR="005F3F42" w:rsidRPr="005F3F42" w:rsidRDefault="005F3F42" w:rsidP="005F3F42">
      <w:pPr>
        <w:rPr>
          <w:lang w:val="en-AU"/>
        </w:rPr>
      </w:pPr>
      <w:r w:rsidRPr="005F3F42">
        <w:rPr>
          <w:lang w:val="en-AU"/>
        </w:rPr>
        <w:t xml:space="preserve">The Commission is currently seeking feedback on the draft </w:t>
      </w:r>
      <w:r w:rsidRPr="005F3F42">
        <w:rPr>
          <w:i/>
          <w:lang w:val="en-AU"/>
        </w:rPr>
        <w:t>Clinical Care Standard for Stroke</w:t>
      </w:r>
      <w:r w:rsidRPr="005F3F42">
        <w:rPr>
          <w:lang w:val="en-AU"/>
        </w:rPr>
        <w:t xml:space="preserve"> from healthcare professionals, peak healthcare and consumer organisations, consumers and any other interested parties.</w:t>
      </w:r>
      <w:r>
        <w:rPr>
          <w:lang w:val="en-AU"/>
        </w:rPr>
        <w:t xml:space="preserve"> </w:t>
      </w:r>
      <w:r w:rsidR="00A84250" w:rsidRPr="00A84250">
        <w:rPr>
          <w:lang w:val="en-AU"/>
        </w:rPr>
        <w:t xml:space="preserve">Public consultation on this draft </w:t>
      </w:r>
      <w:r w:rsidR="00A84250" w:rsidRPr="005F3F42">
        <w:rPr>
          <w:i/>
          <w:lang w:val="en-AU"/>
        </w:rPr>
        <w:t>Clinical Care Standard for Stroke</w:t>
      </w:r>
      <w:r w:rsidR="00A84250">
        <w:rPr>
          <w:lang w:val="en-AU"/>
        </w:rPr>
        <w:t xml:space="preserve"> </w:t>
      </w:r>
      <w:r w:rsidR="00A84250" w:rsidRPr="00A84250">
        <w:rPr>
          <w:lang w:val="en-AU"/>
        </w:rPr>
        <w:t>is open until 23 May 2014.</w:t>
      </w:r>
      <w:r>
        <w:rPr>
          <w:lang w:val="en-AU"/>
        </w:rPr>
        <w:t xml:space="preserve"> </w:t>
      </w:r>
      <w:r w:rsidRPr="005F3F42">
        <w:rPr>
          <w:lang w:val="en-AU"/>
        </w:rPr>
        <w:t>Feedback can be provided in the form of written submissions or via an online survey.</w:t>
      </w:r>
    </w:p>
    <w:p w:rsidR="00A84250" w:rsidRDefault="00A84250" w:rsidP="00396D0A">
      <w:pPr>
        <w:rPr>
          <w:lang w:val="en-AU"/>
        </w:rPr>
      </w:pPr>
      <w:r>
        <w:rPr>
          <w:lang w:val="en-AU"/>
        </w:rPr>
        <w:t xml:space="preserve">Copies of the draft </w:t>
      </w:r>
      <w:r w:rsidRPr="005F3F42">
        <w:rPr>
          <w:i/>
          <w:lang w:val="en-AU"/>
        </w:rPr>
        <w:t>Clinical Care Standard for Stroke</w:t>
      </w:r>
      <w:r>
        <w:rPr>
          <w:lang w:val="en-AU"/>
        </w:rPr>
        <w:t xml:space="preserve">, along with information about its development and the consultation process are available at </w:t>
      </w:r>
      <w:hyperlink r:id="rId17" w:history="1">
        <w:r w:rsidRPr="009D4758">
          <w:rPr>
            <w:rStyle w:val="Hyperlink"/>
            <w:lang w:val="en-AU"/>
          </w:rPr>
          <w:t>http://www.safetyandquality.gov.au/our-work/clinical-care-standards/consultation/</w:t>
        </w:r>
      </w:hyperlink>
    </w:p>
    <w:p w:rsidR="00A84250" w:rsidRPr="005F3F42" w:rsidRDefault="00A84250" w:rsidP="00396D0A">
      <w:pPr>
        <w:rPr>
          <w:lang w:val="en-AU"/>
        </w:rPr>
      </w:pPr>
    </w:p>
    <w:p w:rsidR="005F3F42" w:rsidRPr="005F3F42" w:rsidRDefault="005F3F42" w:rsidP="00396D0A">
      <w:pPr>
        <w:rPr>
          <w:lang w:val="en-AU"/>
        </w:rPr>
      </w:pPr>
    </w:p>
    <w:p w:rsidR="00FD3F55" w:rsidRDefault="00FD3F55">
      <w:pPr>
        <w:rPr>
          <w:b/>
          <w:lang w:val="en-AU"/>
        </w:rPr>
      </w:pPr>
      <w:r>
        <w:rPr>
          <w:b/>
          <w:lang w:val="en-AU"/>
        </w:rPr>
        <w:br w:type="page"/>
      </w:r>
    </w:p>
    <w:p w:rsidR="00EC6A58" w:rsidRPr="00737BFB" w:rsidRDefault="00EC6A58" w:rsidP="00396D0A">
      <w:pPr>
        <w:rPr>
          <w:b/>
          <w:lang w:val="en-AU"/>
        </w:rPr>
      </w:pPr>
      <w:r w:rsidRPr="00737BFB">
        <w:rPr>
          <w:b/>
          <w:lang w:val="en-AU"/>
        </w:rPr>
        <w:lastRenderedPageBreak/>
        <w:t>Reports</w:t>
      </w:r>
      <w:bookmarkStart w:id="1" w:name="_GoBack"/>
      <w:bookmarkEnd w:id="1"/>
    </w:p>
    <w:p w:rsidR="00EC6A58" w:rsidRPr="00737BFB" w:rsidRDefault="00EC6A58" w:rsidP="00396D0A">
      <w:pPr>
        <w:rPr>
          <w:b/>
          <w:lang w:val="en-AU"/>
        </w:rPr>
      </w:pPr>
    </w:p>
    <w:p w:rsidR="003E7134" w:rsidRPr="003E7134" w:rsidRDefault="003E7134" w:rsidP="003E7134">
      <w:pPr>
        <w:keepNext/>
        <w:autoSpaceDE w:val="0"/>
        <w:autoSpaceDN w:val="0"/>
        <w:adjustRightInd w:val="0"/>
        <w:rPr>
          <w:i/>
          <w:lang w:val="en-AU"/>
        </w:rPr>
      </w:pPr>
      <w:r w:rsidRPr="003E7134">
        <w:rPr>
          <w:i/>
          <w:lang w:val="en-AU"/>
        </w:rPr>
        <w:t>Perspectives on context</w:t>
      </w:r>
    </w:p>
    <w:p w:rsidR="003E7134" w:rsidRDefault="003E7134" w:rsidP="0084047A">
      <w:pPr>
        <w:keepNext/>
        <w:autoSpaceDE w:val="0"/>
        <w:autoSpaceDN w:val="0"/>
        <w:adjustRightInd w:val="0"/>
        <w:rPr>
          <w:lang w:val="en-AU"/>
        </w:rPr>
      </w:pPr>
      <w:r w:rsidRPr="003E7134">
        <w:rPr>
          <w:lang w:val="en-AU"/>
        </w:rPr>
        <w:t>The Health Foundation</w:t>
      </w:r>
    </w:p>
    <w:p w:rsidR="003E7134" w:rsidRDefault="003E7134" w:rsidP="0084047A">
      <w:pPr>
        <w:keepNext/>
        <w:autoSpaceDE w:val="0"/>
        <w:autoSpaceDN w:val="0"/>
        <w:adjustRightInd w:val="0"/>
        <w:rPr>
          <w:lang w:val="en-AU"/>
        </w:rPr>
      </w:pPr>
      <w:r w:rsidRPr="003E7134">
        <w:rPr>
          <w:lang w:val="en-AU"/>
        </w:rPr>
        <w:t>London: The Health Foundation, 2014.</w:t>
      </w:r>
    </w:p>
    <w:tbl>
      <w:tblPr>
        <w:tblStyle w:val="TableGrid"/>
        <w:tblW w:w="0" w:type="auto"/>
        <w:tblInd w:w="288" w:type="dxa"/>
        <w:tblLayout w:type="fixed"/>
        <w:tblLook w:val="01E0" w:firstRow="1" w:lastRow="1" w:firstColumn="1" w:lastColumn="1" w:noHBand="0" w:noVBand="0"/>
      </w:tblPr>
      <w:tblGrid>
        <w:gridCol w:w="1080"/>
        <w:gridCol w:w="8280"/>
      </w:tblGrid>
      <w:tr w:rsidR="009F0A17" w:rsidRPr="00737BFB" w:rsidTr="00E73AA8">
        <w:tc>
          <w:tcPr>
            <w:tcW w:w="1080" w:type="dxa"/>
            <w:tcBorders>
              <w:top w:val="single" w:sz="4" w:space="0" w:color="auto"/>
              <w:left w:val="single" w:sz="4" w:space="0" w:color="auto"/>
              <w:bottom w:val="single" w:sz="4" w:space="0" w:color="auto"/>
              <w:right w:val="single" w:sz="4" w:space="0" w:color="auto"/>
            </w:tcBorders>
            <w:vAlign w:val="center"/>
          </w:tcPr>
          <w:p w:rsidR="009F0A17" w:rsidRPr="00737BFB" w:rsidRDefault="009F0A17" w:rsidP="00E73AA8">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060C5" w:rsidRDefault="0057234B" w:rsidP="0057234B">
            <w:pPr>
              <w:rPr>
                <w:lang w:val="en-AU"/>
              </w:rPr>
            </w:pPr>
            <w:r>
              <w:rPr>
                <w:lang w:val="en-AU"/>
              </w:rPr>
              <w:t xml:space="preserve">Over the various issues of </w:t>
            </w:r>
            <w:r w:rsidRPr="0057234B">
              <w:rPr>
                <w:i/>
                <w:lang w:val="en-AU"/>
              </w:rPr>
              <w:t>On the Radar</w:t>
            </w:r>
            <w:r>
              <w:rPr>
                <w:lang w:val="en-AU"/>
              </w:rPr>
              <w:t xml:space="preserve"> the issue—and importance—of context has been something of a recurring theme. The Health Foundation in this </w:t>
            </w:r>
            <w:r w:rsidR="0016247E">
              <w:rPr>
                <w:lang w:val="en-AU"/>
              </w:rPr>
              <w:t xml:space="preserve">collection of essays </w:t>
            </w:r>
            <w:r>
              <w:rPr>
                <w:lang w:val="en-AU"/>
              </w:rPr>
              <w:t>has also identified context as a significant factor.</w:t>
            </w:r>
          </w:p>
          <w:p w:rsidR="0016247E" w:rsidRPr="0016247E" w:rsidRDefault="0016247E" w:rsidP="0016247E">
            <w:pPr>
              <w:rPr>
                <w:lang w:val="en-AU"/>
              </w:rPr>
            </w:pPr>
            <w:r w:rsidRPr="0016247E">
              <w:rPr>
                <w:lang w:val="en-AU"/>
              </w:rPr>
              <w:t xml:space="preserve">The Health Foundation </w:t>
            </w:r>
            <w:r>
              <w:rPr>
                <w:lang w:val="en-AU"/>
              </w:rPr>
              <w:t xml:space="preserve">ask </w:t>
            </w:r>
            <w:r w:rsidRPr="0016247E">
              <w:rPr>
                <w:lang w:val="en-AU"/>
              </w:rPr>
              <w:t>leading academics in the field to discuss the following questions:</w:t>
            </w:r>
          </w:p>
          <w:p w:rsidR="0016247E" w:rsidRPr="0016247E" w:rsidRDefault="0016247E" w:rsidP="0016247E">
            <w:pPr>
              <w:rPr>
                <w:lang w:val="en-AU"/>
              </w:rPr>
            </w:pPr>
            <w:r w:rsidRPr="0016247E">
              <w:rPr>
                <w:lang w:val="en-AU"/>
              </w:rPr>
              <w:t>How do you define and frame context?</w:t>
            </w:r>
          </w:p>
          <w:p w:rsidR="0016247E" w:rsidRPr="0016247E" w:rsidRDefault="0016247E" w:rsidP="0016247E">
            <w:pPr>
              <w:rPr>
                <w:lang w:val="en-AU"/>
              </w:rPr>
            </w:pPr>
            <w:r w:rsidRPr="0016247E">
              <w:rPr>
                <w:lang w:val="en-AU"/>
              </w:rPr>
              <w:t>What do you see as the key conceptual and empirical literature in the field?</w:t>
            </w:r>
          </w:p>
          <w:p w:rsidR="0016247E" w:rsidRPr="0016247E" w:rsidRDefault="0016247E" w:rsidP="0016247E">
            <w:pPr>
              <w:rPr>
                <w:lang w:val="en-AU"/>
              </w:rPr>
            </w:pPr>
            <w:r w:rsidRPr="0016247E">
              <w:rPr>
                <w:lang w:val="en-AU"/>
              </w:rPr>
              <w:t>How would you identify the main unanswered questions about context and improvement?</w:t>
            </w:r>
          </w:p>
          <w:p w:rsidR="0016247E" w:rsidRPr="0016247E" w:rsidRDefault="0016247E" w:rsidP="0016247E">
            <w:pPr>
              <w:rPr>
                <w:lang w:val="en-AU"/>
              </w:rPr>
            </w:pPr>
            <w:r w:rsidRPr="0016247E">
              <w:rPr>
                <w:lang w:val="en-AU"/>
              </w:rPr>
              <w:t>The essays provide a fascinating range of insights into the importance – and challenges – of context.</w:t>
            </w:r>
            <w:r>
              <w:rPr>
                <w:lang w:val="en-AU"/>
              </w:rPr>
              <w:t xml:space="preserve"> The essays include</w:t>
            </w:r>
          </w:p>
          <w:p w:rsidR="0016247E" w:rsidRPr="0016247E" w:rsidRDefault="0016247E" w:rsidP="0016247E">
            <w:pPr>
              <w:rPr>
                <w:lang w:val="en-AU"/>
              </w:rPr>
            </w:pPr>
            <w:r w:rsidRPr="0016247E">
              <w:rPr>
                <w:b/>
                <w:lang w:val="en-AU"/>
              </w:rPr>
              <w:t>Context is everything</w:t>
            </w:r>
            <w:r w:rsidRPr="0016247E">
              <w:rPr>
                <w:lang w:val="en-AU"/>
              </w:rPr>
              <w:t xml:space="preserve"> </w:t>
            </w:r>
            <w:r>
              <w:rPr>
                <w:lang w:val="en-AU"/>
              </w:rPr>
              <w:t>(</w:t>
            </w:r>
            <w:r w:rsidRPr="0016247E">
              <w:rPr>
                <w:lang w:val="en-AU"/>
              </w:rPr>
              <w:t>Paul Bate</w:t>
            </w:r>
            <w:r>
              <w:rPr>
                <w:lang w:val="en-AU"/>
              </w:rPr>
              <w:t>)</w:t>
            </w:r>
          </w:p>
          <w:p w:rsidR="0016247E" w:rsidRPr="0016247E" w:rsidRDefault="0016247E" w:rsidP="0016247E">
            <w:pPr>
              <w:rPr>
                <w:lang w:val="en-AU"/>
              </w:rPr>
            </w:pPr>
            <w:r w:rsidRPr="0016247E">
              <w:rPr>
                <w:b/>
                <w:lang w:val="en-AU"/>
              </w:rPr>
              <w:t>The role of context in successful improvement</w:t>
            </w:r>
            <w:r w:rsidRPr="0016247E">
              <w:rPr>
                <w:lang w:val="en-AU"/>
              </w:rPr>
              <w:t xml:space="preserve"> </w:t>
            </w:r>
            <w:r>
              <w:rPr>
                <w:lang w:val="en-AU"/>
              </w:rPr>
              <w:t>(</w:t>
            </w:r>
            <w:r w:rsidRPr="0016247E">
              <w:rPr>
                <w:lang w:val="en-AU"/>
              </w:rPr>
              <w:t>Glenn Robert and Naomi Fulop</w:t>
            </w:r>
            <w:r>
              <w:rPr>
                <w:lang w:val="en-AU"/>
              </w:rPr>
              <w:t>)</w:t>
            </w:r>
          </w:p>
          <w:p w:rsidR="0016247E" w:rsidRPr="0016247E" w:rsidRDefault="0016247E" w:rsidP="0016247E">
            <w:pPr>
              <w:rPr>
                <w:lang w:val="en-AU"/>
              </w:rPr>
            </w:pPr>
            <w:r w:rsidRPr="0016247E">
              <w:rPr>
                <w:b/>
                <w:lang w:val="en-AU"/>
              </w:rPr>
              <w:t>How does context affect quality improvement?</w:t>
            </w:r>
            <w:r w:rsidRPr="0016247E">
              <w:rPr>
                <w:lang w:val="en-AU"/>
              </w:rPr>
              <w:t xml:space="preserve"> (John Øvretveit</w:t>
            </w:r>
            <w:r>
              <w:rPr>
                <w:lang w:val="en-AU"/>
              </w:rPr>
              <w:t>)</w:t>
            </w:r>
          </w:p>
          <w:p w:rsidR="00CA71BA" w:rsidRPr="00737BFB" w:rsidRDefault="0016247E" w:rsidP="0016247E">
            <w:pPr>
              <w:rPr>
                <w:lang w:val="en-AU"/>
              </w:rPr>
            </w:pPr>
            <w:r w:rsidRPr="0016247E">
              <w:rPr>
                <w:b/>
                <w:lang w:val="en-AU"/>
              </w:rPr>
              <w:t>The problem of context in quality improvement</w:t>
            </w:r>
            <w:r w:rsidRPr="0016247E">
              <w:rPr>
                <w:lang w:val="en-AU"/>
              </w:rPr>
              <w:t xml:space="preserve"> </w:t>
            </w:r>
            <w:r>
              <w:rPr>
                <w:lang w:val="en-AU"/>
              </w:rPr>
              <w:t>(</w:t>
            </w:r>
            <w:r w:rsidRPr="0016247E">
              <w:rPr>
                <w:lang w:val="en-AU"/>
              </w:rPr>
              <w:t>Mary Dixon-Woods</w:t>
            </w:r>
            <w:r>
              <w:rPr>
                <w:lang w:val="en-AU"/>
              </w:rPr>
              <w:t>)</w:t>
            </w:r>
          </w:p>
        </w:tc>
      </w:tr>
      <w:tr w:rsidR="009F0A17" w:rsidRPr="00737BFB" w:rsidTr="00E73AA8">
        <w:tc>
          <w:tcPr>
            <w:tcW w:w="1080" w:type="dxa"/>
            <w:tcBorders>
              <w:top w:val="single" w:sz="4" w:space="0" w:color="auto"/>
              <w:left w:val="single" w:sz="4" w:space="0" w:color="auto"/>
              <w:bottom w:val="single" w:sz="4" w:space="0" w:color="auto"/>
              <w:right w:val="single" w:sz="4" w:space="0" w:color="auto"/>
            </w:tcBorders>
            <w:vAlign w:val="center"/>
          </w:tcPr>
          <w:p w:rsidR="009F0A17" w:rsidRPr="00737BFB" w:rsidRDefault="009F0A17" w:rsidP="00E73AA8">
            <w:pPr>
              <w:rPr>
                <w:lang w:val="en-AU"/>
              </w:rPr>
            </w:pPr>
            <w:r w:rsidRPr="00737BFB">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060C5" w:rsidRPr="00737BFB" w:rsidRDefault="000208FC" w:rsidP="0057234B">
            <w:pPr>
              <w:rPr>
                <w:lang w:val="en-AU"/>
              </w:rPr>
            </w:pPr>
            <w:hyperlink r:id="rId18" w:history="1">
              <w:r w:rsidR="0057234B" w:rsidRPr="00FE0D0C">
                <w:rPr>
                  <w:rStyle w:val="Hyperlink"/>
                  <w:lang w:val="en-AU"/>
                </w:rPr>
                <w:t>http://www.health.org.uk/publications/perspectives-on-context/</w:t>
              </w:r>
            </w:hyperlink>
          </w:p>
        </w:tc>
      </w:tr>
      <w:tr w:rsidR="00C060C5" w:rsidRPr="00737BFB" w:rsidTr="00E73AA8">
        <w:tc>
          <w:tcPr>
            <w:tcW w:w="1080" w:type="dxa"/>
            <w:tcBorders>
              <w:top w:val="single" w:sz="4" w:space="0" w:color="auto"/>
              <w:left w:val="single" w:sz="4" w:space="0" w:color="auto"/>
              <w:bottom w:val="single" w:sz="4" w:space="0" w:color="auto"/>
              <w:right w:val="single" w:sz="4" w:space="0" w:color="auto"/>
            </w:tcBorders>
            <w:vAlign w:val="center"/>
          </w:tcPr>
          <w:p w:rsidR="00C060C5" w:rsidRPr="00737BFB" w:rsidRDefault="00C060C5" w:rsidP="00E73AA8">
            <w:pPr>
              <w:rPr>
                <w:lang w:val="en-AU"/>
              </w:rPr>
            </w:pPr>
            <w:r w:rsidRPr="00737BFB">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C060C5" w:rsidRPr="00737BFB" w:rsidRDefault="00B05AEF" w:rsidP="00FF7083">
            <w:pPr>
              <w:rPr>
                <w:lang w:val="en-AU"/>
              </w:rPr>
            </w:pPr>
            <w:r w:rsidRPr="00B05AEF">
              <w:rPr>
                <w:lang w:val="en-AU"/>
              </w:rPr>
              <w:t>TRIM D14-13895</w:t>
            </w:r>
          </w:p>
        </w:tc>
      </w:tr>
    </w:tbl>
    <w:p w:rsidR="008A607F" w:rsidRPr="00737BFB" w:rsidRDefault="008A607F" w:rsidP="008A607F">
      <w:pPr>
        <w:rPr>
          <w:lang w:val="en-AU"/>
        </w:rPr>
      </w:pPr>
    </w:p>
    <w:p w:rsidR="00A30DF9" w:rsidRPr="00737BFB" w:rsidRDefault="00254636" w:rsidP="00396D0A">
      <w:pPr>
        <w:rPr>
          <w:b/>
          <w:lang w:val="en-AU"/>
        </w:rPr>
      </w:pPr>
      <w:r w:rsidRPr="00737BFB">
        <w:rPr>
          <w:b/>
          <w:lang w:val="en-AU"/>
        </w:rPr>
        <w:t>Journal articles</w:t>
      </w:r>
    </w:p>
    <w:p w:rsidR="008B3D8F" w:rsidRDefault="008B3D8F" w:rsidP="008B3D8F">
      <w:pPr>
        <w:keepNext/>
        <w:autoSpaceDE w:val="0"/>
        <w:autoSpaceDN w:val="0"/>
        <w:adjustRightInd w:val="0"/>
        <w:rPr>
          <w:lang w:val="en-AU"/>
        </w:rPr>
      </w:pPr>
    </w:p>
    <w:p w:rsidR="00FD3F55" w:rsidRPr="00A9511F" w:rsidRDefault="00FD3F55" w:rsidP="00FD3F55">
      <w:pPr>
        <w:keepNext/>
        <w:keepLines/>
        <w:autoSpaceDE w:val="0"/>
        <w:autoSpaceDN w:val="0"/>
        <w:adjustRightInd w:val="0"/>
        <w:rPr>
          <w:i/>
          <w:lang w:val="en-AU"/>
        </w:rPr>
      </w:pPr>
      <w:r w:rsidRPr="00A9511F">
        <w:rPr>
          <w:i/>
          <w:lang w:val="en-AU"/>
        </w:rPr>
        <w:t xml:space="preserve">The Relationship </w:t>
      </w:r>
      <w:proofErr w:type="gramStart"/>
      <w:r w:rsidRPr="00A9511F">
        <w:rPr>
          <w:i/>
          <w:lang w:val="en-AU"/>
        </w:rPr>
        <w:t>Between</w:t>
      </w:r>
      <w:proofErr w:type="gramEnd"/>
      <w:r w:rsidRPr="00A9511F">
        <w:rPr>
          <w:i/>
          <w:lang w:val="en-AU"/>
        </w:rPr>
        <w:t xml:space="preserve"> Patient Safety Culture and Patient Outcomes: A Systematic Review</w:t>
      </w:r>
    </w:p>
    <w:p w:rsidR="00FD3F55" w:rsidRDefault="00FD3F55" w:rsidP="00FD3F55">
      <w:pPr>
        <w:keepNext/>
        <w:keepLines/>
        <w:autoSpaceDE w:val="0"/>
        <w:autoSpaceDN w:val="0"/>
        <w:adjustRightInd w:val="0"/>
        <w:rPr>
          <w:lang w:val="en-AU"/>
        </w:rPr>
      </w:pPr>
      <w:proofErr w:type="spellStart"/>
      <w:r w:rsidRPr="00A9511F">
        <w:rPr>
          <w:lang w:val="en-AU"/>
        </w:rPr>
        <w:t>Dicuccio</w:t>
      </w:r>
      <w:proofErr w:type="spellEnd"/>
      <w:r w:rsidRPr="00A9511F">
        <w:rPr>
          <w:lang w:val="en-AU"/>
        </w:rPr>
        <w:t xml:space="preserve"> MH</w:t>
      </w:r>
    </w:p>
    <w:p w:rsidR="00FD3F55" w:rsidRPr="00737BFB" w:rsidRDefault="00FD3F55" w:rsidP="00FD3F55">
      <w:pPr>
        <w:keepNext/>
        <w:keepLines/>
        <w:autoSpaceDE w:val="0"/>
        <w:autoSpaceDN w:val="0"/>
        <w:adjustRightInd w:val="0"/>
        <w:rPr>
          <w:lang w:val="en-AU"/>
        </w:rPr>
      </w:pPr>
      <w:proofErr w:type="gramStart"/>
      <w:r w:rsidRPr="00A9511F">
        <w:rPr>
          <w:lang w:val="en-AU"/>
        </w:rPr>
        <w:t>Journal of Patient Safety 2014.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D3F55" w:rsidRPr="00737BFB" w:rsidTr="00E55A18">
        <w:tc>
          <w:tcPr>
            <w:tcW w:w="1080" w:type="dxa"/>
            <w:tcBorders>
              <w:top w:val="single" w:sz="4" w:space="0" w:color="auto"/>
              <w:left w:val="single" w:sz="4" w:space="0" w:color="auto"/>
              <w:bottom w:val="single" w:sz="4" w:space="0" w:color="auto"/>
              <w:right w:val="single" w:sz="4" w:space="0" w:color="auto"/>
            </w:tcBorders>
            <w:vAlign w:val="center"/>
          </w:tcPr>
          <w:p w:rsidR="00FD3F55" w:rsidRPr="00737BFB" w:rsidRDefault="00FD3F55" w:rsidP="00E55A18">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D3F55" w:rsidRDefault="00FD3F55" w:rsidP="00E55A18">
            <w:pPr>
              <w:keepLines/>
              <w:rPr>
                <w:lang w:val="en-AU"/>
              </w:rPr>
            </w:pPr>
            <w:r>
              <w:rPr>
                <w:lang w:val="en-AU"/>
              </w:rPr>
              <w:t xml:space="preserve">This article reports on a </w:t>
            </w:r>
            <w:r w:rsidRPr="00166D23">
              <w:rPr>
                <w:lang w:val="en-AU"/>
              </w:rPr>
              <w:t xml:space="preserve">systematic review </w:t>
            </w:r>
            <w:r>
              <w:rPr>
                <w:lang w:val="en-AU"/>
              </w:rPr>
              <w:t xml:space="preserve">that sought examine </w:t>
            </w:r>
            <w:r w:rsidRPr="00166D23">
              <w:rPr>
                <w:lang w:val="en-AU"/>
              </w:rPr>
              <w:t xml:space="preserve">the evidence linking safety culture and </w:t>
            </w:r>
            <w:r>
              <w:rPr>
                <w:lang w:val="en-AU"/>
              </w:rPr>
              <w:t xml:space="preserve">“nurse-sensitive </w:t>
            </w:r>
            <w:r w:rsidRPr="00166D23">
              <w:rPr>
                <w:lang w:val="en-AU"/>
              </w:rPr>
              <w:t>patient outcomes</w:t>
            </w:r>
            <w:r>
              <w:rPr>
                <w:lang w:val="en-AU"/>
              </w:rPr>
              <w:t>”</w:t>
            </w:r>
            <w:r w:rsidRPr="00166D23">
              <w:rPr>
                <w:lang w:val="en-AU"/>
              </w:rPr>
              <w:t xml:space="preserve">, including </w:t>
            </w:r>
            <w:r>
              <w:rPr>
                <w:lang w:val="en-AU"/>
              </w:rPr>
              <w:t xml:space="preserve">patient </w:t>
            </w:r>
            <w:r w:rsidRPr="00166D23">
              <w:rPr>
                <w:lang w:val="en-AU"/>
              </w:rPr>
              <w:t>satisfaction, falls, readmission rates, medication errors, and mortality</w:t>
            </w:r>
            <w:r>
              <w:rPr>
                <w:lang w:val="en-AU"/>
              </w:rPr>
              <w:t xml:space="preserve">. The study only considered English language research articles and also required that the articles </w:t>
            </w:r>
            <w:r w:rsidRPr="00166D23">
              <w:rPr>
                <w:lang w:val="en-AU"/>
              </w:rPr>
              <w:t>directly measured patient outcomes in relationship to patient safety culture in hospitals involving registered nurses as a participant</w:t>
            </w:r>
            <w:r>
              <w:rPr>
                <w:lang w:val="en-AU"/>
              </w:rPr>
              <w:t>.</w:t>
            </w:r>
          </w:p>
          <w:p w:rsidR="00FD3F55" w:rsidRPr="00737BFB" w:rsidRDefault="00FD3F55" w:rsidP="00E55A18">
            <w:pPr>
              <w:rPr>
                <w:lang w:val="en-AU"/>
              </w:rPr>
            </w:pPr>
            <w:r>
              <w:rPr>
                <w:lang w:val="en-AU"/>
              </w:rPr>
              <w:t>The authors report that “</w:t>
            </w:r>
            <w:r w:rsidRPr="00166D23">
              <w:rPr>
                <w:lang w:val="en-AU"/>
              </w:rPr>
              <w:t xml:space="preserve">Evidence of </w:t>
            </w:r>
            <w:r w:rsidRPr="00166D23">
              <w:rPr>
                <w:b/>
                <w:lang w:val="en-AU"/>
              </w:rPr>
              <w:t>relationships between patient safety culture and patient outcomes exist</w:t>
            </w:r>
            <w:r w:rsidRPr="00166D23">
              <w:rPr>
                <w:lang w:val="en-AU"/>
              </w:rPr>
              <w:t xml:space="preserve"> at the hospital and nursing unit level of analysis</w:t>
            </w:r>
            <w:r>
              <w:rPr>
                <w:lang w:val="en-AU"/>
              </w:rPr>
              <w:t>”.</w:t>
            </w:r>
          </w:p>
        </w:tc>
      </w:tr>
      <w:tr w:rsidR="00FD3F55" w:rsidRPr="00737BFB" w:rsidTr="00E55A18">
        <w:tc>
          <w:tcPr>
            <w:tcW w:w="1080" w:type="dxa"/>
            <w:tcBorders>
              <w:top w:val="single" w:sz="4" w:space="0" w:color="auto"/>
              <w:left w:val="single" w:sz="4" w:space="0" w:color="auto"/>
              <w:bottom w:val="single" w:sz="4" w:space="0" w:color="auto"/>
              <w:right w:val="single" w:sz="4" w:space="0" w:color="auto"/>
            </w:tcBorders>
            <w:vAlign w:val="center"/>
          </w:tcPr>
          <w:p w:rsidR="00FD3F55" w:rsidRPr="00737BFB" w:rsidRDefault="00FD3F55" w:rsidP="00E55A18">
            <w:pPr>
              <w:rPr>
                <w:lang w:val="en-AU"/>
              </w:rPr>
            </w:pPr>
            <w:r w:rsidRPr="00737BF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D3F55" w:rsidRPr="00737BFB" w:rsidRDefault="000208FC" w:rsidP="00E55A18">
            <w:pPr>
              <w:rPr>
                <w:lang w:val="en-AU"/>
              </w:rPr>
            </w:pPr>
            <w:hyperlink r:id="rId19" w:history="1">
              <w:r w:rsidR="00FD3F55" w:rsidRPr="000342EF">
                <w:rPr>
                  <w:rStyle w:val="Hyperlink"/>
                  <w:lang w:val="en-AU"/>
                </w:rPr>
                <w:t>http://dx.doi.org/10.1097/PTS.0000000000000058</w:t>
              </w:r>
            </w:hyperlink>
          </w:p>
        </w:tc>
      </w:tr>
    </w:tbl>
    <w:p w:rsidR="00FD3F55" w:rsidRPr="00737BFB" w:rsidRDefault="00FD3F55" w:rsidP="008B3D8F">
      <w:pPr>
        <w:keepNext/>
        <w:autoSpaceDE w:val="0"/>
        <w:autoSpaceDN w:val="0"/>
        <w:adjustRightInd w:val="0"/>
        <w:rPr>
          <w:lang w:val="en-AU"/>
        </w:rPr>
      </w:pPr>
    </w:p>
    <w:p w:rsidR="00FD3F55" w:rsidRPr="00D43612" w:rsidRDefault="00FD3F55" w:rsidP="00FD3F55">
      <w:pPr>
        <w:keepNext/>
        <w:autoSpaceDE w:val="0"/>
        <w:autoSpaceDN w:val="0"/>
        <w:adjustRightInd w:val="0"/>
        <w:rPr>
          <w:i/>
          <w:lang w:val="en-AU"/>
        </w:rPr>
      </w:pPr>
      <w:r w:rsidRPr="00D43612">
        <w:rPr>
          <w:i/>
          <w:lang w:val="en-AU"/>
        </w:rPr>
        <w:t>Rapid learning of adverse medical event disclosure and apology</w:t>
      </w:r>
    </w:p>
    <w:p w:rsidR="00FD3F55" w:rsidRDefault="00FD3F55" w:rsidP="00FD3F55">
      <w:pPr>
        <w:keepNext/>
        <w:autoSpaceDE w:val="0"/>
        <w:autoSpaceDN w:val="0"/>
        <w:adjustRightInd w:val="0"/>
        <w:rPr>
          <w:lang w:val="en-AU"/>
        </w:rPr>
      </w:pPr>
      <w:proofErr w:type="spellStart"/>
      <w:r w:rsidRPr="00FB6FA6">
        <w:rPr>
          <w:lang w:val="en-AU"/>
        </w:rPr>
        <w:t>Raemer</w:t>
      </w:r>
      <w:proofErr w:type="spellEnd"/>
      <w:r w:rsidRPr="00FB6FA6">
        <w:rPr>
          <w:lang w:val="en-AU"/>
        </w:rPr>
        <w:t xml:space="preserve"> DB, Locke S, </w:t>
      </w:r>
      <w:proofErr w:type="spellStart"/>
      <w:r w:rsidRPr="00FB6FA6">
        <w:rPr>
          <w:lang w:val="en-AU"/>
        </w:rPr>
        <w:t>Walzer</w:t>
      </w:r>
      <w:proofErr w:type="spellEnd"/>
      <w:r w:rsidRPr="00FB6FA6">
        <w:rPr>
          <w:lang w:val="en-AU"/>
        </w:rPr>
        <w:t xml:space="preserve"> TB, Gardner R, Baer L, Simon R</w:t>
      </w:r>
    </w:p>
    <w:p w:rsidR="00FD3F55" w:rsidRPr="00737BFB" w:rsidRDefault="00FD3F55" w:rsidP="00FD3F55">
      <w:pPr>
        <w:keepNext/>
        <w:autoSpaceDE w:val="0"/>
        <w:autoSpaceDN w:val="0"/>
        <w:adjustRightInd w:val="0"/>
        <w:rPr>
          <w:lang w:val="en-AU"/>
        </w:rPr>
      </w:pPr>
      <w:proofErr w:type="gramStart"/>
      <w:r w:rsidRPr="00FB6FA6">
        <w:rPr>
          <w:lang w:val="en-AU"/>
        </w:rPr>
        <w:t>Journal of Patient Safety 2014</w:t>
      </w:r>
      <w:r>
        <w:rPr>
          <w:lang w:val="en-AU"/>
        </w:rPr>
        <w:t xml:space="preserve"> [epub]</w:t>
      </w:r>
      <w:r w:rsidRPr="00FB6FA6">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D3F55" w:rsidRPr="00737BFB" w:rsidTr="00E55A18">
        <w:tc>
          <w:tcPr>
            <w:tcW w:w="1080" w:type="dxa"/>
            <w:tcBorders>
              <w:top w:val="single" w:sz="4" w:space="0" w:color="auto"/>
              <w:left w:val="single" w:sz="4" w:space="0" w:color="auto"/>
              <w:bottom w:val="single" w:sz="4" w:space="0" w:color="auto"/>
              <w:right w:val="single" w:sz="4" w:space="0" w:color="auto"/>
            </w:tcBorders>
            <w:vAlign w:val="center"/>
          </w:tcPr>
          <w:p w:rsidR="00FD3F55" w:rsidRPr="00737BFB" w:rsidRDefault="00FD3F55" w:rsidP="00E55A18">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D3F55" w:rsidRPr="00737BFB" w:rsidRDefault="00FD3F55" w:rsidP="00E55A18">
            <w:pPr>
              <w:rPr>
                <w:lang w:val="en-AU"/>
              </w:rPr>
            </w:pPr>
            <w:r>
              <w:rPr>
                <w:lang w:val="en-AU"/>
              </w:rPr>
              <w:t>This paper reports on the impact of a program in which o</w:t>
            </w:r>
            <w:r w:rsidRPr="00FB6FA6">
              <w:rPr>
                <w:lang w:val="en-AU"/>
              </w:rPr>
              <w:t>bstetricians and labo</w:t>
            </w:r>
            <w:r>
              <w:rPr>
                <w:lang w:val="en-AU"/>
              </w:rPr>
              <w:t>u</w:t>
            </w:r>
            <w:r w:rsidRPr="00FB6FA6">
              <w:rPr>
                <w:lang w:val="en-AU"/>
              </w:rPr>
              <w:t xml:space="preserve">r nurses were </w:t>
            </w:r>
            <w:r>
              <w:rPr>
                <w:lang w:val="en-AU"/>
              </w:rPr>
              <w:t xml:space="preserve">provided with </w:t>
            </w:r>
            <w:r w:rsidRPr="00FB6FA6">
              <w:rPr>
                <w:lang w:val="en-AU"/>
              </w:rPr>
              <w:t>a best practices guideline</w:t>
            </w:r>
            <w:r>
              <w:rPr>
                <w:lang w:val="en-AU"/>
              </w:rPr>
              <w:t xml:space="preserve">. They then displayed </w:t>
            </w:r>
            <w:r w:rsidRPr="00FB6FA6">
              <w:rPr>
                <w:lang w:val="en-AU"/>
              </w:rPr>
              <w:t xml:space="preserve">better </w:t>
            </w:r>
            <w:r>
              <w:rPr>
                <w:lang w:val="en-AU"/>
              </w:rPr>
              <w:t>performance in a standardis</w:t>
            </w:r>
            <w:r w:rsidRPr="00FB6FA6">
              <w:rPr>
                <w:lang w:val="en-AU"/>
              </w:rPr>
              <w:t xml:space="preserve">ed disclosure-and-apology discussion simulation than </w:t>
            </w:r>
            <w:r>
              <w:rPr>
                <w:lang w:val="en-AU"/>
              </w:rPr>
              <w:t xml:space="preserve">other </w:t>
            </w:r>
            <w:r w:rsidRPr="00FB6FA6">
              <w:rPr>
                <w:lang w:val="en-AU"/>
              </w:rPr>
              <w:t>colleagues.</w:t>
            </w:r>
            <w:r>
              <w:rPr>
                <w:lang w:val="en-AU"/>
              </w:rPr>
              <w:t xml:space="preserve"> Such guides or ‘cognitive aids’ can assist clinicians in working through what can be difficult and important conversations.</w:t>
            </w:r>
          </w:p>
        </w:tc>
      </w:tr>
      <w:tr w:rsidR="00FD3F55" w:rsidRPr="00737BFB" w:rsidTr="00E55A18">
        <w:tc>
          <w:tcPr>
            <w:tcW w:w="1080" w:type="dxa"/>
            <w:tcBorders>
              <w:top w:val="single" w:sz="4" w:space="0" w:color="auto"/>
              <w:left w:val="single" w:sz="4" w:space="0" w:color="auto"/>
              <w:bottom w:val="single" w:sz="4" w:space="0" w:color="auto"/>
              <w:right w:val="single" w:sz="4" w:space="0" w:color="auto"/>
            </w:tcBorders>
            <w:vAlign w:val="center"/>
          </w:tcPr>
          <w:p w:rsidR="00FD3F55" w:rsidRPr="00737BFB" w:rsidRDefault="00FD3F55" w:rsidP="00E55A18">
            <w:pPr>
              <w:rPr>
                <w:lang w:val="en-AU"/>
              </w:rPr>
            </w:pPr>
            <w:r w:rsidRPr="00737BF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D3F55" w:rsidRPr="00737BFB" w:rsidRDefault="000208FC" w:rsidP="00E55A18">
            <w:pPr>
              <w:rPr>
                <w:lang w:val="en-AU"/>
              </w:rPr>
            </w:pPr>
            <w:hyperlink r:id="rId20" w:history="1">
              <w:r w:rsidR="00FD3F55" w:rsidRPr="0078651D">
                <w:rPr>
                  <w:rStyle w:val="Hyperlink"/>
                  <w:lang w:val="en-AU"/>
                </w:rPr>
                <w:t>http://dx.doi.org/10.1097/PTS.0000000000000080</w:t>
              </w:r>
            </w:hyperlink>
          </w:p>
        </w:tc>
      </w:tr>
    </w:tbl>
    <w:p w:rsidR="00FD3F55" w:rsidRPr="00737BFB" w:rsidRDefault="00FD3F55" w:rsidP="00FD3F55">
      <w:pPr>
        <w:rPr>
          <w:i/>
          <w:lang w:val="en-AU"/>
        </w:rPr>
      </w:pPr>
    </w:p>
    <w:p w:rsidR="00FD3F55" w:rsidRDefault="00FD3F55" w:rsidP="00FD3F55">
      <w:pPr>
        <w:keepNext/>
        <w:autoSpaceDE w:val="0"/>
        <w:autoSpaceDN w:val="0"/>
        <w:adjustRightInd w:val="0"/>
        <w:rPr>
          <w:lang w:val="en-AU"/>
        </w:rPr>
      </w:pPr>
      <w:r>
        <w:rPr>
          <w:lang w:val="en-AU"/>
        </w:rPr>
        <w:lastRenderedPageBreak/>
        <w:t xml:space="preserve">For information about the Commission’s work on open disclosure, including the </w:t>
      </w:r>
      <w:r w:rsidRPr="00FB6FA6">
        <w:rPr>
          <w:i/>
          <w:lang w:val="en-AU"/>
        </w:rPr>
        <w:t>Australian Open Disclosure Framework</w:t>
      </w:r>
      <w:r>
        <w:rPr>
          <w:lang w:val="en-AU"/>
        </w:rPr>
        <w:t xml:space="preserve">, see </w:t>
      </w:r>
      <w:hyperlink r:id="rId21" w:history="1">
        <w:r w:rsidRPr="00F90AA5">
          <w:rPr>
            <w:rStyle w:val="Hyperlink"/>
            <w:lang w:val="en-AU"/>
          </w:rPr>
          <w:t>http://www.safetyandquality.gov.au/our-work/open-disclosure/</w:t>
        </w:r>
      </w:hyperlink>
    </w:p>
    <w:p w:rsidR="00FD3F55" w:rsidRDefault="00FD3F55" w:rsidP="00A65137">
      <w:pPr>
        <w:keepNext/>
        <w:autoSpaceDE w:val="0"/>
        <w:autoSpaceDN w:val="0"/>
        <w:adjustRightInd w:val="0"/>
        <w:rPr>
          <w:i/>
          <w:lang w:val="en-AU"/>
        </w:rPr>
      </w:pPr>
    </w:p>
    <w:p w:rsidR="0096031C" w:rsidRPr="0096031C" w:rsidRDefault="0096031C" w:rsidP="0096031C">
      <w:pPr>
        <w:keepNext/>
        <w:autoSpaceDE w:val="0"/>
        <w:autoSpaceDN w:val="0"/>
        <w:adjustRightInd w:val="0"/>
        <w:rPr>
          <w:i/>
          <w:lang w:val="en-AU"/>
        </w:rPr>
      </w:pPr>
      <w:r w:rsidRPr="0096031C">
        <w:rPr>
          <w:i/>
          <w:lang w:val="en-AU"/>
        </w:rPr>
        <w:t>Multistate Point-Prevalence Survey of Health Care–Associated Infections</w:t>
      </w:r>
    </w:p>
    <w:p w:rsidR="0096031C" w:rsidRDefault="0096031C" w:rsidP="00A7178D">
      <w:pPr>
        <w:keepNext/>
        <w:autoSpaceDE w:val="0"/>
        <w:autoSpaceDN w:val="0"/>
        <w:adjustRightInd w:val="0"/>
        <w:rPr>
          <w:lang w:val="en-AU"/>
        </w:rPr>
      </w:pPr>
      <w:r w:rsidRPr="0096031C">
        <w:rPr>
          <w:lang w:val="en-AU"/>
        </w:rPr>
        <w:t xml:space="preserve">Magill SS, Edwards JR, Bamberg W, Beldavs ZG, Dumyati G, Kainer MA, et al. </w:t>
      </w:r>
    </w:p>
    <w:p w:rsidR="00A7178D" w:rsidRPr="00737BFB" w:rsidRDefault="0096031C" w:rsidP="00A7178D">
      <w:pPr>
        <w:keepNext/>
        <w:autoSpaceDE w:val="0"/>
        <w:autoSpaceDN w:val="0"/>
        <w:adjustRightInd w:val="0"/>
        <w:rPr>
          <w:lang w:val="en-AU"/>
        </w:rPr>
      </w:pPr>
      <w:r w:rsidRPr="0096031C">
        <w:rPr>
          <w:lang w:val="en-AU"/>
        </w:rPr>
        <w:t>New England Journal of Medicine 2014</w:t>
      </w:r>
      <w:proofErr w:type="gramStart"/>
      <w:r w:rsidRPr="0096031C">
        <w:rPr>
          <w:lang w:val="en-AU"/>
        </w:rPr>
        <w:t>;370</w:t>
      </w:r>
      <w:proofErr w:type="gramEnd"/>
      <w:r w:rsidRPr="0096031C">
        <w:rPr>
          <w:lang w:val="en-AU"/>
        </w:rPr>
        <w:t>(13):1198-1208.</w:t>
      </w:r>
    </w:p>
    <w:tbl>
      <w:tblPr>
        <w:tblStyle w:val="TableGrid"/>
        <w:tblW w:w="0" w:type="auto"/>
        <w:tblInd w:w="288" w:type="dxa"/>
        <w:tblLayout w:type="fixed"/>
        <w:tblLook w:val="01E0" w:firstRow="1" w:lastRow="1" w:firstColumn="1" w:lastColumn="1" w:noHBand="0" w:noVBand="0"/>
      </w:tblPr>
      <w:tblGrid>
        <w:gridCol w:w="1080"/>
        <w:gridCol w:w="8280"/>
      </w:tblGrid>
      <w:tr w:rsidR="00A7178D" w:rsidRPr="00737BFB" w:rsidTr="007A5796">
        <w:tc>
          <w:tcPr>
            <w:tcW w:w="1080" w:type="dxa"/>
            <w:tcBorders>
              <w:top w:val="single" w:sz="4" w:space="0" w:color="auto"/>
              <w:left w:val="single" w:sz="4" w:space="0" w:color="auto"/>
              <w:bottom w:val="single" w:sz="4" w:space="0" w:color="auto"/>
              <w:right w:val="single" w:sz="4" w:space="0" w:color="auto"/>
            </w:tcBorders>
            <w:vAlign w:val="center"/>
          </w:tcPr>
          <w:p w:rsidR="00A7178D" w:rsidRPr="00737BFB" w:rsidRDefault="00A7178D" w:rsidP="007A5796">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7178D" w:rsidRDefault="0096031C" w:rsidP="0096031C">
            <w:pPr>
              <w:rPr>
                <w:lang w:val="en-AU"/>
              </w:rPr>
            </w:pPr>
            <w:r>
              <w:rPr>
                <w:lang w:val="en-AU"/>
              </w:rPr>
              <w:t xml:space="preserve">In the absence of a national surveillance system for healthcare associated infections, this point prevalence study was undertaken </w:t>
            </w:r>
            <w:r w:rsidRPr="0096031C">
              <w:rPr>
                <w:lang w:val="en-AU"/>
              </w:rPr>
              <w:t xml:space="preserve">in 10 geographically diverse </w:t>
            </w:r>
            <w:r>
              <w:rPr>
                <w:lang w:val="en-AU"/>
              </w:rPr>
              <w:t xml:space="preserve">US </w:t>
            </w:r>
            <w:r w:rsidRPr="0096031C">
              <w:rPr>
                <w:lang w:val="en-AU"/>
              </w:rPr>
              <w:t>states to det</w:t>
            </w:r>
            <w:r>
              <w:rPr>
                <w:lang w:val="en-AU"/>
              </w:rPr>
              <w:t>ermine the prevalence of health</w:t>
            </w:r>
            <w:r w:rsidRPr="0096031C">
              <w:rPr>
                <w:lang w:val="en-AU"/>
              </w:rPr>
              <w:t>care</w:t>
            </w:r>
            <w:r>
              <w:rPr>
                <w:lang w:val="en-AU"/>
              </w:rPr>
              <w:t xml:space="preserve"> </w:t>
            </w:r>
            <w:r w:rsidRPr="0096031C">
              <w:rPr>
                <w:lang w:val="en-AU"/>
              </w:rPr>
              <w:t>associated infections in acute care hospitals and generate updated estimates of the national burden of such infections.</w:t>
            </w:r>
          </w:p>
          <w:p w:rsidR="0096031C" w:rsidRDefault="0096031C" w:rsidP="0096031C">
            <w:pPr>
              <w:rPr>
                <w:lang w:val="en-AU"/>
              </w:rPr>
            </w:pPr>
            <w:r w:rsidRPr="0096031C">
              <w:rPr>
                <w:lang w:val="en-AU"/>
              </w:rPr>
              <w:t>Surveys were conducted in 183 hospitals</w:t>
            </w:r>
            <w:r>
              <w:rPr>
                <w:lang w:val="en-AU"/>
              </w:rPr>
              <w:t xml:space="preserve"> across the 10 state. </w:t>
            </w:r>
            <w:r w:rsidRPr="0096031C">
              <w:rPr>
                <w:lang w:val="en-AU"/>
              </w:rPr>
              <w:t xml:space="preserve">Of 11,282 patients, 452 </w:t>
            </w:r>
            <w:r>
              <w:rPr>
                <w:lang w:val="en-AU"/>
              </w:rPr>
              <w:t>(</w:t>
            </w:r>
            <w:r w:rsidRPr="0096031C">
              <w:rPr>
                <w:b/>
                <w:lang w:val="en-AU"/>
              </w:rPr>
              <w:t>4.0%</w:t>
            </w:r>
            <w:r>
              <w:rPr>
                <w:lang w:val="en-AU"/>
              </w:rPr>
              <w:t xml:space="preserve">) </w:t>
            </w:r>
            <w:r>
              <w:rPr>
                <w:b/>
                <w:lang w:val="en-AU"/>
              </w:rPr>
              <w:t>had 1 or more health</w:t>
            </w:r>
            <w:r w:rsidRPr="0096031C">
              <w:rPr>
                <w:b/>
                <w:lang w:val="en-AU"/>
              </w:rPr>
              <w:t>care</w:t>
            </w:r>
            <w:r>
              <w:rPr>
                <w:b/>
                <w:lang w:val="en-AU"/>
              </w:rPr>
              <w:t xml:space="preserve"> </w:t>
            </w:r>
            <w:r w:rsidRPr="0096031C">
              <w:rPr>
                <w:b/>
                <w:lang w:val="en-AU"/>
              </w:rPr>
              <w:t>associated infections</w:t>
            </w:r>
            <w:r w:rsidRPr="0096031C">
              <w:rPr>
                <w:lang w:val="en-AU"/>
              </w:rPr>
              <w:t xml:space="preserve">. Of 504 such infections, the </w:t>
            </w:r>
            <w:r w:rsidRPr="0096031C">
              <w:rPr>
                <w:b/>
                <w:lang w:val="en-AU"/>
              </w:rPr>
              <w:t>most common types</w:t>
            </w:r>
            <w:r w:rsidRPr="0096031C">
              <w:rPr>
                <w:lang w:val="en-AU"/>
              </w:rPr>
              <w:t xml:space="preserve"> were </w:t>
            </w:r>
            <w:r w:rsidRPr="0096031C">
              <w:rPr>
                <w:b/>
                <w:lang w:val="en-AU"/>
              </w:rPr>
              <w:t>pneumonia</w:t>
            </w:r>
            <w:r w:rsidRPr="0096031C">
              <w:rPr>
                <w:lang w:val="en-AU"/>
              </w:rPr>
              <w:t xml:space="preserve"> (21.8%), </w:t>
            </w:r>
            <w:r w:rsidRPr="0096031C">
              <w:rPr>
                <w:b/>
                <w:lang w:val="en-AU"/>
              </w:rPr>
              <w:t>surgical-site infections</w:t>
            </w:r>
            <w:r w:rsidRPr="0096031C">
              <w:rPr>
                <w:lang w:val="en-AU"/>
              </w:rPr>
              <w:t xml:space="preserve"> (21.8%), and </w:t>
            </w:r>
            <w:r w:rsidRPr="0096031C">
              <w:rPr>
                <w:b/>
                <w:lang w:val="en-AU"/>
              </w:rPr>
              <w:t>gastrointestinal</w:t>
            </w:r>
            <w:r w:rsidRPr="0096031C">
              <w:rPr>
                <w:lang w:val="en-AU"/>
              </w:rPr>
              <w:t xml:space="preserve"> infections (17.1%). </w:t>
            </w:r>
            <w:r w:rsidRPr="0096031C">
              <w:rPr>
                <w:b/>
                <w:i/>
                <w:lang w:val="en-AU"/>
              </w:rPr>
              <w:t>Clostridium difficile</w:t>
            </w:r>
            <w:r w:rsidRPr="0096031C">
              <w:rPr>
                <w:lang w:val="en-AU"/>
              </w:rPr>
              <w:t xml:space="preserve"> was the most commonly reported pathogen (causing 12.1% of health care–associated infections). Device-associated infections (i.e., central-catheter–associated bloodstream infection, catheter-associated urinary tract infection, and ventilator-associated pneumonia)</w:t>
            </w:r>
            <w:r>
              <w:rPr>
                <w:lang w:val="en-AU"/>
              </w:rPr>
              <w:t xml:space="preserve"> </w:t>
            </w:r>
            <w:r w:rsidRPr="0096031C">
              <w:rPr>
                <w:lang w:val="en-AU"/>
              </w:rPr>
              <w:t xml:space="preserve">accounted for 25.6% of such infections. </w:t>
            </w:r>
          </w:p>
          <w:p w:rsidR="0096031C" w:rsidRPr="00737BFB" w:rsidRDefault="0096031C" w:rsidP="0096031C">
            <w:pPr>
              <w:rPr>
                <w:lang w:val="en-AU"/>
              </w:rPr>
            </w:pPr>
            <w:r>
              <w:rPr>
                <w:lang w:val="en-AU"/>
              </w:rPr>
              <w:t>The authors estimated</w:t>
            </w:r>
            <w:r w:rsidRPr="0096031C">
              <w:rPr>
                <w:lang w:val="en-AU"/>
              </w:rPr>
              <w:t xml:space="preserve"> that there were </w:t>
            </w:r>
            <w:r w:rsidRPr="00FB5116">
              <w:rPr>
                <w:lang w:val="en-AU"/>
              </w:rPr>
              <w:t>648,000 patients</w:t>
            </w:r>
            <w:r w:rsidRPr="0096031C">
              <w:rPr>
                <w:lang w:val="en-AU"/>
              </w:rPr>
              <w:t xml:space="preserve"> with 721,800 health care</w:t>
            </w:r>
            <w:r>
              <w:rPr>
                <w:lang w:val="en-AU"/>
              </w:rPr>
              <w:t xml:space="preserve"> </w:t>
            </w:r>
            <w:r w:rsidRPr="0096031C">
              <w:rPr>
                <w:lang w:val="en-AU"/>
              </w:rPr>
              <w:t>associated infections in U.S. acute care hospitals in 2011</w:t>
            </w:r>
            <w:r w:rsidR="00FB5116">
              <w:rPr>
                <w:lang w:val="en-AU"/>
              </w:rPr>
              <w:t>.</w:t>
            </w:r>
          </w:p>
        </w:tc>
      </w:tr>
      <w:tr w:rsidR="00A7178D" w:rsidRPr="00737BFB" w:rsidTr="007A5796">
        <w:tc>
          <w:tcPr>
            <w:tcW w:w="1080" w:type="dxa"/>
            <w:tcBorders>
              <w:top w:val="single" w:sz="4" w:space="0" w:color="auto"/>
              <w:left w:val="single" w:sz="4" w:space="0" w:color="auto"/>
              <w:bottom w:val="single" w:sz="4" w:space="0" w:color="auto"/>
              <w:right w:val="single" w:sz="4" w:space="0" w:color="auto"/>
            </w:tcBorders>
            <w:vAlign w:val="center"/>
          </w:tcPr>
          <w:p w:rsidR="00A7178D" w:rsidRPr="00737BFB" w:rsidRDefault="00A7178D" w:rsidP="007A5796">
            <w:pPr>
              <w:rPr>
                <w:lang w:val="en-AU"/>
              </w:rPr>
            </w:pPr>
            <w:r w:rsidRPr="00737BF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7178D" w:rsidRPr="00737BFB" w:rsidRDefault="000208FC" w:rsidP="0096031C">
            <w:pPr>
              <w:rPr>
                <w:lang w:val="en-AU"/>
              </w:rPr>
            </w:pPr>
            <w:hyperlink r:id="rId22" w:history="1">
              <w:r w:rsidR="0096031C" w:rsidRPr="0078651D">
                <w:rPr>
                  <w:rStyle w:val="Hyperlink"/>
                  <w:lang w:val="en-AU"/>
                </w:rPr>
                <w:t>http://dx.doi.org/10.1056/NEJMoa1306801</w:t>
              </w:r>
            </w:hyperlink>
          </w:p>
        </w:tc>
      </w:tr>
    </w:tbl>
    <w:p w:rsidR="00A7178D" w:rsidRDefault="00A7178D" w:rsidP="00A7178D">
      <w:pPr>
        <w:rPr>
          <w:i/>
          <w:lang w:val="en-AU"/>
        </w:rPr>
      </w:pPr>
    </w:p>
    <w:p w:rsidR="00FB6FA6" w:rsidRDefault="00FB6FA6" w:rsidP="00A7178D">
      <w:pPr>
        <w:rPr>
          <w:i/>
          <w:lang w:val="en-AU"/>
        </w:rPr>
      </w:pPr>
      <w:r>
        <w:rPr>
          <w:lang w:val="en-AU"/>
        </w:rPr>
        <w:t xml:space="preserve">For information about the Commission’s work on healthcare associated infection, see </w:t>
      </w:r>
      <w:hyperlink r:id="rId23" w:history="1">
        <w:r w:rsidRPr="00F90AA5">
          <w:rPr>
            <w:rStyle w:val="Hyperlink"/>
            <w:lang w:val="en-AU"/>
          </w:rPr>
          <w:t>http://www.safetyandquality.gov.au/our-work/healthcare-associated-infection/</w:t>
        </w:r>
      </w:hyperlink>
    </w:p>
    <w:p w:rsidR="00FB6FA6" w:rsidRPr="00737BFB" w:rsidRDefault="00FB6FA6" w:rsidP="00A7178D">
      <w:pPr>
        <w:rPr>
          <w:i/>
          <w:lang w:val="en-AU"/>
        </w:rPr>
      </w:pPr>
    </w:p>
    <w:p w:rsidR="00A7178D" w:rsidRPr="00D43612" w:rsidRDefault="00755DC4" w:rsidP="00A7178D">
      <w:pPr>
        <w:keepNext/>
        <w:autoSpaceDE w:val="0"/>
        <w:autoSpaceDN w:val="0"/>
        <w:adjustRightInd w:val="0"/>
        <w:rPr>
          <w:i/>
          <w:lang w:val="en-AU"/>
        </w:rPr>
      </w:pPr>
      <w:r w:rsidRPr="00D43612">
        <w:rPr>
          <w:i/>
          <w:lang w:val="en-AU"/>
        </w:rPr>
        <w:t>Characterization of Adverse Events Detected in a Large Health Care Delivery System Using an Enhanced Global Trigger Tool over a Five-Year Interval</w:t>
      </w:r>
    </w:p>
    <w:p w:rsidR="00142AFF" w:rsidRDefault="00142AFF" w:rsidP="00A7178D">
      <w:pPr>
        <w:keepNext/>
        <w:autoSpaceDE w:val="0"/>
        <w:autoSpaceDN w:val="0"/>
        <w:adjustRightInd w:val="0"/>
        <w:rPr>
          <w:lang w:val="en-AU"/>
        </w:rPr>
      </w:pPr>
      <w:r w:rsidRPr="00142AFF">
        <w:rPr>
          <w:lang w:val="en-AU"/>
        </w:rPr>
        <w:t>Kennerly DA, Kudyakov R, da Graca B, Saldaña M, Compton J, Nicewander D, et al.</w:t>
      </w:r>
    </w:p>
    <w:p w:rsidR="00755DC4" w:rsidRPr="00737BFB" w:rsidRDefault="00142AFF" w:rsidP="00A7178D">
      <w:pPr>
        <w:keepNext/>
        <w:autoSpaceDE w:val="0"/>
        <w:autoSpaceDN w:val="0"/>
        <w:adjustRightInd w:val="0"/>
        <w:rPr>
          <w:lang w:val="en-AU"/>
        </w:rPr>
      </w:pPr>
      <w:r w:rsidRPr="00142AFF">
        <w:rPr>
          <w:lang w:val="en-AU"/>
        </w:rPr>
        <w:t>Health Services Research 2014</w:t>
      </w:r>
      <w:r>
        <w:rPr>
          <w:lang w:val="en-AU"/>
        </w:rPr>
        <w:t xml:space="preserve"> [epub]</w:t>
      </w:r>
      <w:r w:rsidRPr="00142AFF">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A7178D" w:rsidRPr="00737BFB" w:rsidTr="007A5796">
        <w:tc>
          <w:tcPr>
            <w:tcW w:w="1080" w:type="dxa"/>
            <w:tcBorders>
              <w:top w:val="single" w:sz="4" w:space="0" w:color="auto"/>
              <w:left w:val="single" w:sz="4" w:space="0" w:color="auto"/>
              <w:bottom w:val="single" w:sz="4" w:space="0" w:color="auto"/>
              <w:right w:val="single" w:sz="4" w:space="0" w:color="auto"/>
            </w:tcBorders>
            <w:vAlign w:val="center"/>
          </w:tcPr>
          <w:p w:rsidR="00A7178D" w:rsidRPr="00737BFB" w:rsidRDefault="00A7178D" w:rsidP="007A5796">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40B20" w:rsidRDefault="00142AFF" w:rsidP="00755DC4">
            <w:pPr>
              <w:rPr>
                <w:lang w:val="en-AU"/>
              </w:rPr>
            </w:pPr>
            <w:r>
              <w:rPr>
                <w:lang w:val="en-AU"/>
              </w:rPr>
              <w:t>This paper reports on the use of the Global Trigger Tool (GTT) in a large US health care organisation where the GTT was applied to 9,017 randomly selected patient records from 8 eight acute hospitals over five years where the patients had stays of 3 or more days to identify adverse events (AEs).</w:t>
            </w:r>
          </w:p>
          <w:p w:rsidR="00142AFF" w:rsidRDefault="00142AFF" w:rsidP="00755DC4">
            <w:pPr>
              <w:rPr>
                <w:lang w:val="en-AU"/>
              </w:rPr>
            </w:pPr>
            <w:r>
              <w:rPr>
                <w:lang w:val="en-AU"/>
              </w:rPr>
              <w:t>From this analysis the authors report that they found AE rates of</w:t>
            </w:r>
            <w:r w:rsidRPr="00142AFF">
              <w:rPr>
                <w:lang w:val="en-AU"/>
              </w:rPr>
              <w:t xml:space="preserve">: 61.4 AEs/1,000 patient-days, 38.1 AEs/100 discharges, and </w:t>
            </w:r>
            <w:r w:rsidRPr="00142AFF">
              <w:rPr>
                <w:b/>
                <w:lang w:val="en-AU"/>
              </w:rPr>
              <w:t>32.1 percent of patients with ≥1 AE</w:t>
            </w:r>
            <w:r w:rsidRPr="00142AFF">
              <w:rPr>
                <w:lang w:val="en-AU"/>
              </w:rPr>
              <w:t xml:space="preserve">. </w:t>
            </w:r>
            <w:r>
              <w:rPr>
                <w:lang w:val="en-AU"/>
              </w:rPr>
              <w:t xml:space="preserve">Many of these AEs were deemed </w:t>
            </w:r>
            <w:r w:rsidRPr="00142AFF">
              <w:rPr>
                <w:b/>
                <w:lang w:val="en-AU"/>
              </w:rPr>
              <w:t>preventable or possibly preventable</w:t>
            </w:r>
            <w:r>
              <w:rPr>
                <w:lang w:val="en-AU"/>
              </w:rPr>
              <w:t xml:space="preserve">: </w:t>
            </w:r>
            <w:r w:rsidRPr="00142AFF">
              <w:rPr>
                <w:b/>
                <w:lang w:val="en-AU"/>
              </w:rPr>
              <w:t xml:space="preserve">87.6% </w:t>
            </w:r>
            <w:r>
              <w:rPr>
                <w:lang w:val="en-AU"/>
              </w:rPr>
              <w:t xml:space="preserve">of those </w:t>
            </w:r>
            <w:r w:rsidRPr="00142AFF">
              <w:rPr>
                <w:b/>
                <w:lang w:val="en-AU"/>
              </w:rPr>
              <w:t>present on admission</w:t>
            </w:r>
            <w:r>
              <w:rPr>
                <w:lang w:val="en-AU"/>
              </w:rPr>
              <w:t xml:space="preserve"> and </w:t>
            </w:r>
            <w:r w:rsidRPr="00142AFF">
              <w:rPr>
                <w:b/>
                <w:lang w:val="en-AU"/>
              </w:rPr>
              <w:t>70.8</w:t>
            </w:r>
            <w:r>
              <w:rPr>
                <w:b/>
                <w:lang w:val="en-AU"/>
              </w:rPr>
              <w:t>%</w:t>
            </w:r>
            <w:r>
              <w:rPr>
                <w:lang w:val="en-AU"/>
              </w:rPr>
              <w:t xml:space="preserve"> of those </w:t>
            </w:r>
            <w:r w:rsidRPr="00142AFF">
              <w:rPr>
                <w:b/>
                <w:lang w:val="en-AU"/>
              </w:rPr>
              <w:t>hospital acquired</w:t>
            </w:r>
            <w:r>
              <w:rPr>
                <w:lang w:val="en-AU"/>
              </w:rPr>
              <w:t>.</w:t>
            </w:r>
          </w:p>
          <w:p w:rsidR="00142AFF" w:rsidRDefault="00142AFF" w:rsidP="00755DC4">
            <w:pPr>
              <w:rPr>
                <w:lang w:val="en-AU"/>
              </w:rPr>
            </w:pPr>
            <w:r>
              <w:rPr>
                <w:lang w:val="en-AU"/>
              </w:rPr>
              <w:t>They also noted that v</w:t>
            </w:r>
            <w:r w:rsidRPr="00142AFF">
              <w:rPr>
                <w:lang w:val="en-AU"/>
              </w:rPr>
              <w:t>oluntary reports and PSIs captured &lt;5 percent of encounters with hospital-acquired AEs.</w:t>
            </w:r>
          </w:p>
          <w:p w:rsidR="00640B20" w:rsidRPr="00737BFB" w:rsidRDefault="00755DC4" w:rsidP="00142AFF">
            <w:pPr>
              <w:rPr>
                <w:lang w:val="en-AU"/>
              </w:rPr>
            </w:pPr>
            <w:r>
              <w:rPr>
                <w:lang w:val="en-AU"/>
              </w:rPr>
              <w:t>The GTT has previously been shown to markedly increase the estimated incidence of events</w:t>
            </w:r>
            <w:r w:rsidR="00142AFF">
              <w:rPr>
                <w:lang w:val="en-AU"/>
              </w:rPr>
              <w:t>. For example, Classen et al wrote “</w:t>
            </w:r>
            <w:r w:rsidR="00142AFF" w:rsidRPr="00142AFF">
              <w:rPr>
                <w:lang w:val="en-AU"/>
              </w:rPr>
              <w:t>‘Global Trigger Tool’ Shows That Adverse Events In Hospitals May Be Ten Times Greater Than Previously Measured</w:t>
            </w:r>
            <w:r w:rsidR="00142AFF">
              <w:rPr>
                <w:lang w:val="en-AU"/>
              </w:rPr>
              <w:t>”.</w:t>
            </w:r>
          </w:p>
        </w:tc>
      </w:tr>
      <w:tr w:rsidR="00A7178D" w:rsidRPr="00737BFB" w:rsidTr="007A5796">
        <w:tc>
          <w:tcPr>
            <w:tcW w:w="1080" w:type="dxa"/>
            <w:tcBorders>
              <w:top w:val="single" w:sz="4" w:space="0" w:color="auto"/>
              <w:left w:val="single" w:sz="4" w:space="0" w:color="auto"/>
              <w:bottom w:val="single" w:sz="4" w:space="0" w:color="auto"/>
              <w:right w:val="single" w:sz="4" w:space="0" w:color="auto"/>
            </w:tcBorders>
            <w:vAlign w:val="center"/>
          </w:tcPr>
          <w:p w:rsidR="00A7178D" w:rsidRPr="00737BFB" w:rsidRDefault="00A7178D" w:rsidP="007A5796">
            <w:pPr>
              <w:rPr>
                <w:lang w:val="en-AU"/>
              </w:rPr>
            </w:pPr>
            <w:r w:rsidRPr="00737BF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7178D" w:rsidRDefault="00142AFF" w:rsidP="00755DC4">
            <w:pPr>
              <w:rPr>
                <w:rStyle w:val="Hyperlink"/>
                <w:lang w:val="en-AU"/>
              </w:rPr>
            </w:pPr>
            <w:r>
              <w:t xml:space="preserve">Kennerly et al </w:t>
            </w:r>
            <w:hyperlink r:id="rId24" w:history="1">
              <w:r w:rsidR="00755DC4" w:rsidRPr="0078651D">
                <w:rPr>
                  <w:rStyle w:val="Hyperlink"/>
                  <w:lang w:val="en-AU"/>
                </w:rPr>
                <w:t>http://dx.doi.org/10.1111/1475-6773.12163</w:t>
              </w:r>
            </w:hyperlink>
          </w:p>
          <w:p w:rsidR="00142AFF" w:rsidRPr="00737BFB" w:rsidRDefault="00142AFF" w:rsidP="00755DC4">
            <w:pPr>
              <w:rPr>
                <w:lang w:val="en-AU"/>
              </w:rPr>
            </w:pPr>
            <w:r w:rsidRPr="00142AFF">
              <w:rPr>
                <w:rStyle w:val="Hyperlink"/>
                <w:color w:val="0D0D0D" w:themeColor="text1" w:themeTint="F2"/>
              </w:rPr>
              <w:t>Classen et al</w:t>
            </w:r>
            <w:r>
              <w:rPr>
                <w:rStyle w:val="Hyperlink"/>
                <w:color w:val="0D0D0D" w:themeColor="text1" w:themeTint="F2"/>
              </w:rPr>
              <w:t xml:space="preserve"> </w:t>
            </w:r>
            <w:hyperlink r:id="rId25" w:history="1">
              <w:r w:rsidRPr="00F90AA5">
                <w:rPr>
                  <w:rStyle w:val="Hyperlink"/>
                  <w14:textFill>
                    <w14:solidFill>
                      <w14:srgbClr w14:val="0000FF">
                        <w14:lumMod w14:val="95000"/>
                        <w14:lumOff w14:val="5000"/>
                      </w14:srgbClr>
                    </w14:solidFill>
                  </w14:textFill>
                </w:rPr>
                <w:t>http://dx.doi.org/10.1377/hlthaff.2011.0190</w:t>
              </w:r>
            </w:hyperlink>
            <w:r>
              <w:rPr>
                <w:rStyle w:val="Hyperlink"/>
                <w:color w:val="0D0D0D" w:themeColor="text1" w:themeTint="F2"/>
              </w:rPr>
              <w:t xml:space="preserve"> </w:t>
            </w:r>
          </w:p>
        </w:tc>
      </w:tr>
    </w:tbl>
    <w:p w:rsidR="00A7178D" w:rsidRPr="00737BFB" w:rsidRDefault="00A7178D" w:rsidP="00A7178D">
      <w:pPr>
        <w:rPr>
          <w:i/>
          <w:lang w:val="en-AU"/>
        </w:rPr>
      </w:pPr>
    </w:p>
    <w:p w:rsidR="00FD3F55" w:rsidRPr="0088369B" w:rsidRDefault="00FD3F55" w:rsidP="00FD3F55">
      <w:pPr>
        <w:keepNext/>
        <w:autoSpaceDE w:val="0"/>
        <w:autoSpaceDN w:val="0"/>
        <w:adjustRightInd w:val="0"/>
        <w:rPr>
          <w:i/>
          <w:lang w:val="en-AU"/>
        </w:rPr>
      </w:pPr>
      <w:r w:rsidRPr="0088369B">
        <w:rPr>
          <w:i/>
          <w:lang w:val="en-AU"/>
        </w:rPr>
        <w:lastRenderedPageBreak/>
        <w:t>Using triggers in primary care patient records to flag increased adverse event risk and measure patient safety at clinic level</w:t>
      </w:r>
    </w:p>
    <w:p w:rsidR="00FD3F55" w:rsidRDefault="00FD3F55" w:rsidP="00FD3F55">
      <w:pPr>
        <w:keepNext/>
        <w:autoSpaceDE w:val="0"/>
        <w:autoSpaceDN w:val="0"/>
        <w:adjustRightInd w:val="0"/>
        <w:rPr>
          <w:lang w:val="en-AU"/>
        </w:rPr>
      </w:pPr>
      <w:proofErr w:type="spellStart"/>
      <w:r w:rsidRPr="0088369B">
        <w:rPr>
          <w:lang w:val="en-AU"/>
        </w:rPr>
        <w:t>Eggleton</w:t>
      </w:r>
      <w:proofErr w:type="spellEnd"/>
      <w:r w:rsidRPr="0088369B">
        <w:rPr>
          <w:lang w:val="en-AU"/>
        </w:rPr>
        <w:t xml:space="preserve"> KS, </w:t>
      </w:r>
      <w:proofErr w:type="spellStart"/>
      <w:r w:rsidRPr="0088369B">
        <w:rPr>
          <w:lang w:val="en-AU"/>
        </w:rPr>
        <w:t>Dovey</w:t>
      </w:r>
      <w:proofErr w:type="spellEnd"/>
      <w:r w:rsidRPr="0088369B">
        <w:rPr>
          <w:lang w:val="en-AU"/>
        </w:rPr>
        <w:t xml:space="preserve"> SM</w:t>
      </w:r>
    </w:p>
    <w:p w:rsidR="00FD3F55" w:rsidRPr="00737BFB" w:rsidRDefault="00FD3F55" w:rsidP="00FD3F55">
      <w:pPr>
        <w:keepNext/>
        <w:autoSpaceDE w:val="0"/>
        <w:autoSpaceDN w:val="0"/>
        <w:adjustRightInd w:val="0"/>
        <w:rPr>
          <w:lang w:val="en-AU"/>
        </w:rPr>
      </w:pPr>
      <w:r w:rsidRPr="0088369B">
        <w:rPr>
          <w:lang w:val="en-AU"/>
        </w:rPr>
        <w:t>New Zealand Medical Journal 2014</w:t>
      </w:r>
      <w:proofErr w:type="gramStart"/>
      <w:r w:rsidRPr="0088369B">
        <w:rPr>
          <w:lang w:val="en-AU"/>
        </w:rPr>
        <w:t>;127</w:t>
      </w:r>
      <w:proofErr w:type="gramEnd"/>
      <w:r w:rsidRPr="0088369B">
        <w:rPr>
          <w:lang w:val="en-AU"/>
        </w:rPr>
        <w:t>(1390):45-52.</w:t>
      </w:r>
    </w:p>
    <w:tbl>
      <w:tblPr>
        <w:tblStyle w:val="TableGrid"/>
        <w:tblW w:w="0" w:type="auto"/>
        <w:tblInd w:w="288" w:type="dxa"/>
        <w:tblLayout w:type="fixed"/>
        <w:tblLook w:val="01E0" w:firstRow="1" w:lastRow="1" w:firstColumn="1" w:lastColumn="1" w:noHBand="0" w:noVBand="0"/>
      </w:tblPr>
      <w:tblGrid>
        <w:gridCol w:w="1080"/>
        <w:gridCol w:w="8280"/>
      </w:tblGrid>
      <w:tr w:rsidR="00FD3F55" w:rsidRPr="00737BFB" w:rsidTr="00E55A18">
        <w:tc>
          <w:tcPr>
            <w:tcW w:w="1080" w:type="dxa"/>
            <w:tcBorders>
              <w:top w:val="single" w:sz="4" w:space="0" w:color="auto"/>
              <w:left w:val="single" w:sz="4" w:space="0" w:color="auto"/>
              <w:bottom w:val="single" w:sz="4" w:space="0" w:color="auto"/>
              <w:right w:val="single" w:sz="4" w:space="0" w:color="auto"/>
            </w:tcBorders>
            <w:vAlign w:val="center"/>
          </w:tcPr>
          <w:p w:rsidR="00FD3F55" w:rsidRPr="00737BFB" w:rsidRDefault="00FD3F55" w:rsidP="00E55A18">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D3F55" w:rsidRDefault="00FD3F55" w:rsidP="00E55A18">
            <w:pPr>
              <w:rPr>
                <w:lang w:val="en-AU"/>
              </w:rPr>
            </w:pPr>
            <w:r>
              <w:rPr>
                <w:lang w:val="en-AU"/>
              </w:rPr>
              <w:t>The use of trigger tools is quite widespread in acute care. This New Zealand study examined such tools in the primary care setting to identify adverse events and gain some insight into the patient safety in primary care.</w:t>
            </w:r>
          </w:p>
          <w:p w:rsidR="00FD3F55" w:rsidRDefault="00FD3F55" w:rsidP="00E55A18">
            <w:pPr>
              <w:rPr>
                <w:lang w:val="en-AU"/>
              </w:rPr>
            </w:pPr>
            <w:r>
              <w:rPr>
                <w:lang w:val="en-AU"/>
              </w:rPr>
              <w:t xml:space="preserve">The study examined 36 triggers that had been identified in the literature. Using 109.6 years of records for 170 patients the study identified </w:t>
            </w:r>
            <w:r w:rsidRPr="005824D6">
              <w:rPr>
                <w:b/>
                <w:lang w:val="en-AU"/>
              </w:rPr>
              <w:t>harm in the records of</w:t>
            </w:r>
            <w:r>
              <w:rPr>
                <w:lang w:val="en-AU"/>
              </w:rPr>
              <w:t xml:space="preserve"> 46 patients (</w:t>
            </w:r>
            <w:r w:rsidRPr="005824D6">
              <w:rPr>
                <w:b/>
                <w:lang w:val="en-AU"/>
              </w:rPr>
              <w:t>27.1%</w:t>
            </w:r>
            <w:r>
              <w:rPr>
                <w:lang w:val="en-AU"/>
              </w:rPr>
              <w:t xml:space="preserve">). They noted </w:t>
            </w:r>
            <w:r w:rsidRPr="005824D6">
              <w:rPr>
                <w:b/>
                <w:lang w:val="en-AU"/>
              </w:rPr>
              <w:t>7 occurrences of harm per 100 consultations</w:t>
            </w:r>
            <w:r>
              <w:rPr>
                <w:lang w:val="en-AU"/>
              </w:rPr>
              <w:t xml:space="preserve"> (a harm rate per consultation of 0.07) and </w:t>
            </w:r>
            <w:r w:rsidRPr="005824D6">
              <w:rPr>
                <w:b/>
                <w:lang w:val="en-AU"/>
              </w:rPr>
              <w:t>41 occurrences per 100 consulting patient years</w:t>
            </w:r>
            <w:r>
              <w:rPr>
                <w:lang w:val="en-AU"/>
              </w:rPr>
              <w:t xml:space="preserve">. </w:t>
            </w:r>
            <w:r w:rsidRPr="005824D6">
              <w:rPr>
                <w:b/>
                <w:lang w:val="en-AU"/>
              </w:rPr>
              <w:t>All</w:t>
            </w:r>
            <w:r>
              <w:rPr>
                <w:lang w:val="en-AU"/>
              </w:rPr>
              <w:t xml:space="preserve"> the harms identified were </w:t>
            </w:r>
            <w:r w:rsidRPr="00B05AEF">
              <w:rPr>
                <w:b/>
                <w:lang w:val="en-AU"/>
              </w:rPr>
              <w:t>related to</w:t>
            </w:r>
            <w:r>
              <w:rPr>
                <w:lang w:val="en-AU"/>
              </w:rPr>
              <w:t xml:space="preserve"> </w:t>
            </w:r>
            <w:r w:rsidRPr="005824D6">
              <w:rPr>
                <w:b/>
                <w:lang w:val="en-AU"/>
              </w:rPr>
              <w:t>medication use</w:t>
            </w:r>
            <w:r>
              <w:rPr>
                <w:lang w:val="en-AU"/>
              </w:rPr>
              <w:t>.</w:t>
            </w:r>
          </w:p>
          <w:p w:rsidR="00FD3F55" w:rsidRDefault="00FD3F55" w:rsidP="00E55A18">
            <w:pPr>
              <w:rPr>
                <w:lang w:val="en-AU"/>
              </w:rPr>
            </w:pPr>
            <w:r>
              <w:rPr>
                <w:lang w:val="en-AU"/>
              </w:rPr>
              <w:t>Of the 36 triggers, all were sensitive but many had low specificity. The authors suggest that their final 8 triggers offer a “useful way of measuring progress towards safer care…in primary care.”</w:t>
            </w:r>
          </w:p>
          <w:p w:rsidR="00FD3F55" w:rsidRPr="00737BFB" w:rsidRDefault="00FD3F55" w:rsidP="00E55A18">
            <w:pPr>
              <w:rPr>
                <w:lang w:val="en-AU"/>
              </w:rPr>
            </w:pPr>
            <w:r>
              <w:rPr>
                <w:lang w:val="en-AU"/>
              </w:rPr>
              <w:t xml:space="preserve">The final 8 triggers in their “refined primary care trigger tool’ were </w:t>
            </w:r>
            <w:r w:rsidRPr="005824D6">
              <w:rPr>
                <w:lang w:val="en-AU"/>
              </w:rPr>
              <w:t xml:space="preserve">adverse drug reaction documented in the record, ≥2 consultations with a GP in the same practice in a week, cessation of medication, reduction in medication dose, ≥6 medications prescribed, attending the emergency department or an </w:t>
            </w:r>
            <w:proofErr w:type="spellStart"/>
            <w:r w:rsidRPr="005824D6">
              <w:rPr>
                <w:lang w:val="en-AU"/>
              </w:rPr>
              <w:t>after hours</w:t>
            </w:r>
            <w:proofErr w:type="spellEnd"/>
            <w:r w:rsidRPr="005824D6">
              <w:rPr>
                <w:lang w:val="en-AU"/>
              </w:rPr>
              <w:t xml:space="preserve"> provider within 2 weeks of having seen a GP, </w:t>
            </w:r>
            <w:r>
              <w:rPr>
                <w:lang w:val="en-AU"/>
              </w:rPr>
              <w:t>e</w:t>
            </w:r>
            <w:r w:rsidRPr="005824D6">
              <w:rPr>
                <w:lang w:val="en-AU"/>
              </w:rPr>
              <w:t>stimated glomerular filtration rate</w:t>
            </w:r>
            <w:r>
              <w:rPr>
                <w:lang w:val="en-AU"/>
              </w:rPr>
              <w:t xml:space="preserve"> (</w:t>
            </w:r>
            <w:proofErr w:type="spellStart"/>
            <w:r w:rsidRPr="005824D6">
              <w:rPr>
                <w:lang w:val="en-AU"/>
              </w:rPr>
              <w:t>eGFR</w:t>
            </w:r>
            <w:proofErr w:type="spellEnd"/>
            <w:proofErr w:type="gramStart"/>
            <w:r>
              <w:rPr>
                <w:lang w:val="en-AU"/>
              </w:rPr>
              <w:t xml:space="preserve">) </w:t>
            </w:r>
            <w:r w:rsidRPr="005824D6">
              <w:rPr>
                <w:lang w:val="en-AU"/>
              </w:rPr>
              <w:t xml:space="preserve"> &lt;</w:t>
            </w:r>
            <w:proofErr w:type="gramEnd"/>
            <w:r w:rsidRPr="005824D6">
              <w:rPr>
                <w:lang w:val="en-AU"/>
              </w:rPr>
              <w:t>35, and death</w:t>
            </w:r>
            <w:r>
              <w:rPr>
                <w:lang w:val="en-AU"/>
              </w:rPr>
              <w:t>.</w:t>
            </w:r>
          </w:p>
        </w:tc>
      </w:tr>
      <w:tr w:rsidR="00FD3F55" w:rsidRPr="00737BFB" w:rsidTr="00E55A18">
        <w:tc>
          <w:tcPr>
            <w:tcW w:w="1080" w:type="dxa"/>
            <w:tcBorders>
              <w:top w:val="single" w:sz="4" w:space="0" w:color="auto"/>
              <w:left w:val="single" w:sz="4" w:space="0" w:color="auto"/>
              <w:bottom w:val="single" w:sz="4" w:space="0" w:color="auto"/>
              <w:right w:val="single" w:sz="4" w:space="0" w:color="auto"/>
            </w:tcBorders>
            <w:vAlign w:val="center"/>
          </w:tcPr>
          <w:p w:rsidR="00FD3F55" w:rsidRPr="00737BFB" w:rsidRDefault="00FD3F55" w:rsidP="00E55A18">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D3F55" w:rsidRPr="00737BFB" w:rsidRDefault="000208FC" w:rsidP="00E55A18">
            <w:pPr>
              <w:rPr>
                <w:lang w:val="en-AU"/>
              </w:rPr>
            </w:pPr>
            <w:hyperlink r:id="rId26" w:history="1">
              <w:r w:rsidR="00FD3F55" w:rsidRPr="00BA6ABC">
                <w:rPr>
                  <w:rStyle w:val="Hyperlink"/>
                  <w:lang w:val="en-AU"/>
                </w:rPr>
                <w:t>http://journal.nzma.org.nz/journal/127-1390/6014/</w:t>
              </w:r>
            </w:hyperlink>
          </w:p>
        </w:tc>
      </w:tr>
    </w:tbl>
    <w:p w:rsidR="00FD3F55" w:rsidRPr="00737BFB" w:rsidRDefault="00FD3F55" w:rsidP="00FD3F55">
      <w:pPr>
        <w:rPr>
          <w:i/>
          <w:lang w:val="en-AU"/>
        </w:rPr>
      </w:pPr>
    </w:p>
    <w:p w:rsidR="00FD3F55" w:rsidRPr="00A65137" w:rsidRDefault="00FD3F55" w:rsidP="00FD3F55">
      <w:pPr>
        <w:keepNext/>
        <w:autoSpaceDE w:val="0"/>
        <w:autoSpaceDN w:val="0"/>
        <w:adjustRightInd w:val="0"/>
        <w:rPr>
          <w:i/>
          <w:lang w:val="en-AU"/>
        </w:rPr>
      </w:pPr>
      <w:r w:rsidRPr="00A65137">
        <w:rPr>
          <w:i/>
          <w:lang w:val="en-AU"/>
        </w:rPr>
        <w:t>The 10 Building Blocks of High-Performing Primary Care</w:t>
      </w:r>
    </w:p>
    <w:p w:rsidR="00FD3F55" w:rsidRDefault="00FD3F55" w:rsidP="00FD3F55">
      <w:pPr>
        <w:keepNext/>
        <w:autoSpaceDE w:val="0"/>
        <w:autoSpaceDN w:val="0"/>
        <w:adjustRightInd w:val="0"/>
        <w:rPr>
          <w:lang w:val="en-AU"/>
        </w:rPr>
      </w:pPr>
      <w:proofErr w:type="spellStart"/>
      <w:r w:rsidRPr="00A65137">
        <w:rPr>
          <w:lang w:val="en-AU"/>
        </w:rPr>
        <w:t>Bodenheimer</w:t>
      </w:r>
      <w:proofErr w:type="spellEnd"/>
      <w:r w:rsidRPr="00A65137">
        <w:rPr>
          <w:lang w:val="en-AU"/>
        </w:rPr>
        <w:t xml:space="preserve"> T, </w:t>
      </w:r>
      <w:proofErr w:type="spellStart"/>
      <w:r w:rsidRPr="00A65137">
        <w:rPr>
          <w:lang w:val="en-AU"/>
        </w:rPr>
        <w:t>Ghorob</w:t>
      </w:r>
      <w:proofErr w:type="spellEnd"/>
      <w:r w:rsidRPr="00A65137">
        <w:rPr>
          <w:lang w:val="en-AU"/>
        </w:rPr>
        <w:t xml:space="preserve"> A, Willard-Grace R, </w:t>
      </w:r>
      <w:proofErr w:type="spellStart"/>
      <w:r w:rsidRPr="00A65137">
        <w:rPr>
          <w:lang w:val="en-AU"/>
        </w:rPr>
        <w:t>Grumbach</w:t>
      </w:r>
      <w:proofErr w:type="spellEnd"/>
      <w:r w:rsidRPr="00A65137">
        <w:rPr>
          <w:lang w:val="en-AU"/>
        </w:rPr>
        <w:t xml:space="preserve"> K</w:t>
      </w:r>
    </w:p>
    <w:p w:rsidR="00FD3F55" w:rsidRPr="00737BFB" w:rsidRDefault="00FD3F55" w:rsidP="00FD3F55">
      <w:pPr>
        <w:keepNext/>
        <w:autoSpaceDE w:val="0"/>
        <w:autoSpaceDN w:val="0"/>
        <w:adjustRightInd w:val="0"/>
        <w:rPr>
          <w:lang w:val="en-AU"/>
        </w:rPr>
      </w:pPr>
      <w:r w:rsidRPr="00A65137">
        <w:rPr>
          <w:lang w:val="en-AU"/>
        </w:rPr>
        <w:t>The Annals of Family Medicine 2014</w:t>
      </w:r>
      <w:proofErr w:type="gramStart"/>
      <w:r w:rsidRPr="00A65137">
        <w:rPr>
          <w:lang w:val="en-AU"/>
        </w:rPr>
        <w:t>;12</w:t>
      </w:r>
      <w:proofErr w:type="gramEnd"/>
      <w:r w:rsidRPr="00A65137">
        <w:rPr>
          <w:lang w:val="en-AU"/>
        </w:rPr>
        <w:t>(2):166-171.</w:t>
      </w:r>
    </w:p>
    <w:tbl>
      <w:tblPr>
        <w:tblStyle w:val="TableGrid"/>
        <w:tblW w:w="0" w:type="auto"/>
        <w:tblInd w:w="288" w:type="dxa"/>
        <w:tblLayout w:type="fixed"/>
        <w:tblLook w:val="01E0" w:firstRow="1" w:lastRow="1" w:firstColumn="1" w:lastColumn="1" w:noHBand="0" w:noVBand="0"/>
      </w:tblPr>
      <w:tblGrid>
        <w:gridCol w:w="1080"/>
        <w:gridCol w:w="8280"/>
      </w:tblGrid>
      <w:tr w:rsidR="00FD3F55" w:rsidRPr="00737BFB" w:rsidTr="00E55A18">
        <w:tc>
          <w:tcPr>
            <w:tcW w:w="1080" w:type="dxa"/>
            <w:tcBorders>
              <w:top w:val="single" w:sz="4" w:space="0" w:color="auto"/>
              <w:left w:val="single" w:sz="4" w:space="0" w:color="auto"/>
              <w:bottom w:val="single" w:sz="4" w:space="0" w:color="auto"/>
              <w:right w:val="single" w:sz="4" w:space="0" w:color="auto"/>
            </w:tcBorders>
            <w:vAlign w:val="center"/>
          </w:tcPr>
          <w:p w:rsidR="00FD3F55" w:rsidRPr="00737BFB" w:rsidRDefault="00FD3F55" w:rsidP="00E55A18">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D3F55" w:rsidRDefault="00FD3F55" w:rsidP="00E55A18">
            <w:pPr>
              <w:rPr>
                <w:lang w:val="en-AU"/>
              </w:rPr>
            </w:pPr>
            <w:r>
              <w:rPr>
                <w:lang w:val="en-AU"/>
              </w:rPr>
              <w:t xml:space="preserve">This US paper describes what its authors suggest are the key components for high performing primary health care. The authors discern </w:t>
            </w:r>
            <w:r w:rsidRPr="005F2BB5">
              <w:rPr>
                <w:lang w:val="en-AU"/>
              </w:rPr>
              <w:t>four foundational elements</w:t>
            </w:r>
            <w:r>
              <w:rPr>
                <w:lang w:val="en-AU"/>
              </w:rPr>
              <w:t xml:space="preserve">: </w:t>
            </w:r>
            <w:r w:rsidRPr="005F2BB5">
              <w:rPr>
                <w:b/>
                <w:lang w:val="en-AU"/>
              </w:rPr>
              <w:t>engaged leadership</w:t>
            </w:r>
            <w:r w:rsidRPr="005F2BB5">
              <w:rPr>
                <w:lang w:val="en-AU"/>
              </w:rPr>
              <w:t xml:space="preserve">, </w:t>
            </w:r>
            <w:r w:rsidRPr="005F2BB5">
              <w:rPr>
                <w:b/>
                <w:lang w:val="en-AU"/>
              </w:rPr>
              <w:t>data-driven improvement</w:t>
            </w:r>
            <w:r w:rsidRPr="005F2BB5">
              <w:rPr>
                <w:lang w:val="en-AU"/>
              </w:rPr>
              <w:t xml:space="preserve">, </w:t>
            </w:r>
            <w:r w:rsidRPr="005F2BB5">
              <w:rPr>
                <w:b/>
                <w:lang w:val="en-AU"/>
              </w:rPr>
              <w:t>empanelment</w:t>
            </w:r>
            <w:r w:rsidRPr="005F2BB5">
              <w:rPr>
                <w:lang w:val="en-AU"/>
              </w:rPr>
              <w:t xml:space="preserve">, and </w:t>
            </w:r>
            <w:r w:rsidRPr="005F2BB5">
              <w:rPr>
                <w:b/>
                <w:lang w:val="en-AU"/>
              </w:rPr>
              <w:t>team-based care</w:t>
            </w:r>
            <w:r w:rsidRPr="005F2BB5">
              <w:rPr>
                <w:lang w:val="en-AU"/>
              </w:rPr>
              <w:t xml:space="preserve">. These </w:t>
            </w:r>
            <w:r>
              <w:rPr>
                <w:lang w:val="en-AU"/>
              </w:rPr>
              <w:t xml:space="preserve">enable </w:t>
            </w:r>
            <w:r w:rsidRPr="005F2BB5">
              <w:rPr>
                <w:lang w:val="en-AU"/>
              </w:rPr>
              <w:t xml:space="preserve">the implementation of the </w:t>
            </w:r>
            <w:r>
              <w:rPr>
                <w:lang w:val="en-AU"/>
              </w:rPr>
              <w:t xml:space="preserve">remaining </w:t>
            </w:r>
            <w:r w:rsidRPr="005F2BB5">
              <w:rPr>
                <w:lang w:val="en-AU"/>
              </w:rPr>
              <w:t>building blocks</w:t>
            </w:r>
            <w:r>
              <w:rPr>
                <w:lang w:val="en-AU"/>
              </w:rPr>
              <w:t xml:space="preserve">: </w:t>
            </w:r>
            <w:r w:rsidRPr="005F2BB5">
              <w:rPr>
                <w:b/>
                <w:lang w:val="en-AU"/>
              </w:rPr>
              <w:t>patient-team partnership</w:t>
            </w:r>
            <w:r w:rsidRPr="005F2BB5">
              <w:rPr>
                <w:lang w:val="en-AU"/>
              </w:rPr>
              <w:t xml:space="preserve">, </w:t>
            </w:r>
            <w:r w:rsidRPr="005F2BB5">
              <w:rPr>
                <w:b/>
                <w:lang w:val="en-AU"/>
              </w:rPr>
              <w:t>population management</w:t>
            </w:r>
            <w:r w:rsidRPr="005F2BB5">
              <w:rPr>
                <w:lang w:val="en-AU"/>
              </w:rPr>
              <w:t xml:space="preserve">, </w:t>
            </w:r>
            <w:r w:rsidRPr="005F2BB5">
              <w:rPr>
                <w:b/>
                <w:lang w:val="en-AU"/>
              </w:rPr>
              <w:t>continuity of care</w:t>
            </w:r>
            <w:r w:rsidRPr="005F2BB5">
              <w:rPr>
                <w:lang w:val="en-AU"/>
              </w:rPr>
              <w:t xml:space="preserve">, prompt </w:t>
            </w:r>
            <w:r w:rsidRPr="005F2BB5">
              <w:rPr>
                <w:b/>
                <w:lang w:val="en-AU"/>
              </w:rPr>
              <w:t xml:space="preserve">access </w:t>
            </w:r>
            <w:r w:rsidRPr="005D31D2">
              <w:rPr>
                <w:lang w:val="en-AU"/>
              </w:rPr>
              <w:t>to care</w:t>
            </w:r>
            <w:r w:rsidRPr="005F2BB5">
              <w:rPr>
                <w:lang w:val="en-AU"/>
              </w:rPr>
              <w:t xml:space="preserve">, </w:t>
            </w:r>
            <w:r w:rsidRPr="005F2BB5">
              <w:rPr>
                <w:b/>
                <w:lang w:val="en-AU"/>
              </w:rPr>
              <w:t>comprehensiveness</w:t>
            </w:r>
            <w:r w:rsidRPr="005F2BB5">
              <w:rPr>
                <w:lang w:val="en-AU"/>
              </w:rPr>
              <w:t xml:space="preserve"> and </w:t>
            </w:r>
            <w:r w:rsidRPr="005F2BB5">
              <w:rPr>
                <w:b/>
                <w:lang w:val="en-AU"/>
              </w:rPr>
              <w:t>care coordination</w:t>
            </w:r>
            <w:r w:rsidRPr="005F2BB5">
              <w:rPr>
                <w:lang w:val="en-AU"/>
              </w:rPr>
              <w:t xml:space="preserve">, and a </w:t>
            </w:r>
            <w:r w:rsidRPr="005D31D2">
              <w:rPr>
                <w:b/>
                <w:lang w:val="en-AU"/>
              </w:rPr>
              <w:t>template of the future</w:t>
            </w:r>
            <w:r w:rsidRPr="005F2BB5">
              <w:rPr>
                <w:lang w:val="en-AU"/>
              </w:rPr>
              <w:t>.</w:t>
            </w:r>
          </w:p>
          <w:p w:rsidR="00FD3F55" w:rsidRDefault="00FD3F55" w:rsidP="00E55A18">
            <w:pPr>
              <w:rPr>
                <w:lang w:val="en-AU"/>
              </w:rPr>
            </w:pPr>
          </w:p>
          <w:p w:rsidR="00FD3F55" w:rsidRPr="00737BFB" w:rsidRDefault="00FD3F55" w:rsidP="00E55A18">
            <w:pPr>
              <w:jc w:val="center"/>
              <w:rPr>
                <w:lang w:val="en-AU"/>
              </w:rPr>
            </w:pPr>
            <w:r>
              <w:rPr>
                <w:noProof/>
                <w:lang w:val="en-AU" w:eastAsia="en-AU"/>
              </w:rPr>
              <w:drawing>
                <wp:inline distT="0" distB="0" distL="0" distR="0" wp14:anchorId="7BBCB4AD" wp14:editId="116C4D75">
                  <wp:extent cx="2910668" cy="289743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15477" cy="2902223"/>
                          </a:xfrm>
                          <a:prstGeom prst="rect">
                            <a:avLst/>
                          </a:prstGeom>
                        </pic:spPr>
                      </pic:pic>
                    </a:graphicData>
                  </a:graphic>
                </wp:inline>
              </w:drawing>
            </w:r>
          </w:p>
        </w:tc>
      </w:tr>
      <w:tr w:rsidR="00FD3F55" w:rsidRPr="00737BFB" w:rsidTr="00E55A18">
        <w:tc>
          <w:tcPr>
            <w:tcW w:w="1080" w:type="dxa"/>
            <w:tcBorders>
              <w:top w:val="single" w:sz="4" w:space="0" w:color="auto"/>
              <w:left w:val="single" w:sz="4" w:space="0" w:color="auto"/>
              <w:bottom w:val="single" w:sz="4" w:space="0" w:color="auto"/>
              <w:right w:val="single" w:sz="4" w:space="0" w:color="auto"/>
            </w:tcBorders>
            <w:vAlign w:val="center"/>
          </w:tcPr>
          <w:p w:rsidR="00FD3F55" w:rsidRPr="00737BFB" w:rsidRDefault="00FD3F55" w:rsidP="00E55A18">
            <w:pPr>
              <w:rPr>
                <w:lang w:val="en-AU"/>
              </w:rPr>
            </w:pPr>
            <w:r w:rsidRPr="00737BF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D3F55" w:rsidRPr="00737BFB" w:rsidRDefault="000208FC" w:rsidP="00E55A18">
            <w:pPr>
              <w:rPr>
                <w:lang w:val="en-AU"/>
              </w:rPr>
            </w:pPr>
            <w:hyperlink r:id="rId28" w:history="1">
              <w:r w:rsidR="00FD3F55" w:rsidRPr="00FE0D0C">
                <w:rPr>
                  <w:rStyle w:val="Hyperlink"/>
                  <w:lang w:val="en-AU"/>
                </w:rPr>
                <w:t>http://dx.doi.org/10.1370/afm.1616</w:t>
              </w:r>
            </w:hyperlink>
          </w:p>
        </w:tc>
      </w:tr>
    </w:tbl>
    <w:p w:rsidR="00B502E2" w:rsidRPr="00737BFB" w:rsidRDefault="00B502E2" w:rsidP="00221B5E">
      <w:pPr>
        <w:rPr>
          <w:i/>
          <w:lang w:val="en-AU"/>
        </w:rPr>
      </w:pPr>
      <w:r w:rsidRPr="00737BFB">
        <w:rPr>
          <w:i/>
          <w:lang w:val="en-AU"/>
        </w:rPr>
        <w:lastRenderedPageBreak/>
        <w:t>International Journal for Quality in Health Care</w:t>
      </w:r>
    </w:p>
    <w:p w:rsidR="00B502E2" w:rsidRPr="00B502E2" w:rsidRDefault="00B502E2" w:rsidP="00B502E2">
      <w:pPr>
        <w:keepNext/>
        <w:autoSpaceDE w:val="0"/>
        <w:autoSpaceDN w:val="0"/>
        <w:adjustRightInd w:val="0"/>
        <w:rPr>
          <w:lang w:val="en-AU"/>
        </w:rPr>
      </w:pPr>
      <w:r w:rsidRPr="00B502E2">
        <w:rPr>
          <w:lang w:val="en-AU"/>
        </w:rPr>
        <w:t>Vol. 26, No. 2</w:t>
      </w:r>
    </w:p>
    <w:p w:rsidR="00B502E2" w:rsidRPr="00737BFB" w:rsidRDefault="00B502E2" w:rsidP="00B502E2">
      <w:pPr>
        <w:keepNext/>
        <w:autoSpaceDE w:val="0"/>
        <w:autoSpaceDN w:val="0"/>
        <w:adjustRightInd w:val="0"/>
        <w:rPr>
          <w:lang w:val="en-AU"/>
        </w:rPr>
      </w:pPr>
      <w:r>
        <w:rPr>
          <w:lang w:val="en-AU"/>
        </w:rPr>
        <w:t>April 2014</w:t>
      </w:r>
    </w:p>
    <w:tbl>
      <w:tblPr>
        <w:tblStyle w:val="TableGrid"/>
        <w:tblW w:w="0" w:type="auto"/>
        <w:tblInd w:w="288" w:type="dxa"/>
        <w:tblLayout w:type="fixed"/>
        <w:tblLook w:val="01E0" w:firstRow="1" w:lastRow="1" w:firstColumn="1" w:lastColumn="1" w:noHBand="0" w:noVBand="0"/>
      </w:tblPr>
      <w:tblGrid>
        <w:gridCol w:w="1080"/>
        <w:gridCol w:w="8280"/>
      </w:tblGrid>
      <w:tr w:rsidR="00B502E2" w:rsidRPr="00737BFB" w:rsidTr="002F2BF6">
        <w:tc>
          <w:tcPr>
            <w:tcW w:w="1080" w:type="dxa"/>
            <w:tcBorders>
              <w:top w:val="single" w:sz="4" w:space="0" w:color="auto"/>
              <w:left w:val="single" w:sz="4" w:space="0" w:color="auto"/>
              <w:bottom w:val="single" w:sz="4" w:space="0" w:color="auto"/>
              <w:right w:val="single" w:sz="4" w:space="0" w:color="auto"/>
            </w:tcBorders>
            <w:vAlign w:val="center"/>
          </w:tcPr>
          <w:p w:rsidR="00B502E2" w:rsidRPr="00737BFB" w:rsidRDefault="00B502E2" w:rsidP="002F2BF6">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502E2" w:rsidRDefault="00B502E2" w:rsidP="00B502E2">
            <w:pPr>
              <w:rPr>
                <w:lang w:val="en-AU"/>
              </w:rPr>
            </w:pPr>
            <w:r>
              <w:rPr>
                <w:lang w:val="en-AU"/>
              </w:rPr>
              <w:t xml:space="preserve">A new issue of </w:t>
            </w:r>
            <w:r w:rsidRPr="00737BFB">
              <w:rPr>
                <w:i/>
                <w:lang w:val="en-AU"/>
              </w:rPr>
              <w:t>International Journal for Quality in Health Care</w:t>
            </w:r>
            <w:r>
              <w:rPr>
                <w:i/>
                <w:lang w:val="en-AU"/>
              </w:rPr>
              <w:t xml:space="preserve"> has </w:t>
            </w:r>
            <w:r>
              <w:rPr>
                <w:lang w:val="en-AU"/>
              </w:rPr>
              <w:t xml:space="preserve">been published. Many of the papers in this issue have been referred to in previous editions of On the Radar (when they released online). Articles in this issue of </w:t>
            </w:r>
            <w:r w:rsidRPr="00737BFB">
              <w:rPr>
                <w:i/>
                <w:lang w:val="en-AU"/>
              </w:rPr>
              <w:t>International Journal for Quality in Health Care</w:t>
            </w:r>
            <w:r>
              <w:rPr>
                <w:lang w:val="en-AU"/>
              </w:rPr>
              <w:t xml:space="preserve"> include:</w:t>
            </w:r>
          </w:p>
          <w:p w:rsidR="00B502E2" w:rsidRPr="00B502E2" w:rsidRDefault="00B502E2" w:rsidP="00B502E2">
            <w:pPr>
              <w:pStyle w:val="ListParagraph"/>
              <w:numPr>
                <w:ilvl w:val="0"/>
                <w:numId w:val="41"/>
              </w:numPr>
              <w:rPr>
                <w:lang w:val="en-AU"/>
              </w:rPr>
            </w:pPr>
            <w:r w:rsidRPr="00B502E2">
              <w:rPr>
                <w:b/>
                <w:lang w:val="en-AU"/>
              </w:rPr>
              <w:t>Standardization in patient safety</w:t>
            </w:r>
            <w:r w:rsidRPr="00B502E2">
              <w:rPr>
                <w:lang w:val="en-AU"/>
              </w:rPr>
              <w:t>: the WHO High 5s project (Agnès Leotsakos, Hao Zheng, Rick Croteau, Jerod M. Loeb, Heather Sherman,</w:t>
            </w:r>
            <w:r>
              <w:rPr>
                <w:lang w:val="en-AU"/>
              </w:rPr>
              <w:t xml:space="preserve"> </w:t>
            </w:r>
            <w:r w:rsidRPr="00B502E2">
              <w:rPr>
                <w:lang w:val="en-AU"/>
              </w:rPr>
              <w:t>Carolyn Hoffman, Louise Morganstein, Dennis O'Leary, C Bruneau, P Lee, M Duguid, C Thomeczek, E van der Schrieck-De Loos, and B Munier</w:t>
            </w:r>
            <w:r>
              <w:rPr>
                <w:lang w:val="en-AU"/>
              </w:rPr>
              <w:t>)</w:t>
            </w:r>
          </w:p>
          <w:p w:rsidR="00B502E2" w:rsidRPr="00B502E2" w:rsidRDefault="00B502E2" w:rsidP="00B502E2">
            <w:pPr>
              <w:pStyle w:val="ListParagraph"/>
              <w:numPr>
                <w:ilvl w:val="0"/>
                <w:numId w:val="41"/>
              </w:numPr>
              <w:rPr>
                <w:lang w:val="en-AU"/>
              </w:rPr>
            </w:pPr>
            <w:r w:rsidRPr="00B502E2">
              <w:rPr>
                <w:lang w:val="en-AU"/>
              </w:rPr>
              <w:t xml:space="preserve">The use of </w:t>
            </w:r>
            <w:r w:rsidRPr="00B502E2">
              <w:rPr>
                <w:b/>
                <w:lang w:val="en-AU"/>
              </w:rPr>
              <w:t>modern quality improvement approaches</w:t>
            </w:r>
            <w:r w:rsidRPr="00B502E2">
              <w:rPr>
                <w:lang w:val="en-AU"/>
              </w:rPr>
              <w:t xml:space="preserve"> to strengthen African health systems: a 5-year agenda (</w:t>
            </w:r>
            <w:r>
              <w:rPr>
                <w:lang w:val="en-AU"/>
              </w:rPr>
              <w:t>J</w:t>
            </w:r>
            <w:r w:rsidRPr="00B502E2">
              <w:rPr>
                <w:lang w:val="en-AU"/>
              </w:rPr>
              <w:t>ames Heiby</w:t>
            </w:r>
            <w:r>
              <w:rPr>
                <w:lang w:val="en-AU"/>
              </w:rPr>
              <w:t>)</w:t>
            </w:r>
          </w:p>
          <w:p w:rsidR="00B502E2" w:rsidRPr="00B502E2" w:rsidRDefault="00B502E2" w:rsidP="00B502E2">
            <w:pPr>
              <w:pStyle w:val="ListParagraph"/>
              <w:numPr>
                <w:ilvl w:val="0"/>
                <w:numId w:val="41"/>
              </w:numPr>
              <w:rPr>
                <w:lang w:val="en-AU"/>
              </w:rPr>
            </w:pPr>
            <w:r w:rsidRPr="00B502E2">
              <w:rPr>
                <w:lang w:val="en-AU"/>
              </w:rPr>
              <w:t xml:space="preserve">Is it worth engaging in </w:t>
            </w:r>
            <w:r w:rsidRPr="00B502E2">
              <w:rPr>
                <w:b/>
                <w:lang w:val="en-AU"/>
              </w:rPr>
              <w:t>multi-stakeholder health services research collaborations</w:t>
            </w:r>
            <w:r w:rsidRPr="00B502E2">
              <w:rPr>
                <w:lang w:val="en-AU"/>
              </w:rPr>
              <w:t>? Reflections on key benefits, challenges and enabling mechanisms</w:t>
            </w:r>
            <w:r>
              <w:rPr>
                <w:lang w:val="en-AU"/>
              </w:rPr>
              <w:t xml:space="preserve"> (</w:t>
            </w:r>
            <w:r w:rsidRPr="00B502E2">
              <w:rPr>
                <w:lang w:val="en-AU"/>
              </w:rPr>
              <w:t>Reece Hinchcliff, David Greenfield, and Jeffrey Braithwaite</w:t>
            </w:r>
            <w:r>
              <w:rPr>
                <w:lang w:val="en-AU"/>
              </w:rPr>
              <w:t>)</w:t>
            </w:r>
          </w:p>
          <w:p w:rsidR="00B502E2" w:rsidRPr="00B502E2" w:rsidRDefault="00B502E2" w:rsidP="00BE3C51">
            <w:pPr>
              <w:pStyle w:val="ListParagraph"/>
              <w:numPr>
                <w:ilvl w:val="0"/>
                <w:numId w:val="41"/>
              </w:numPr>
              <w:rPr>
                <w:lang w:val="en-AU"/>
              </w:rPr>
            </w:pPr>
            <w:r w:rsidRPr="00BE3C51">
              <w:rPr>
                <w:lang w:val="en-AU"/>
              </w:rPr>
              <w:t xml:space="preserve">Editor's choice: The </w:t>
            </w:r>
            <w:r w:rsidRPr="00BE3C51">
              <w:rPr>
                <w:b/>
                <w:lang w:val="en-AU"/>
              </w:rPr>
              <w:t>association of hospital quality ratings with adverse</w:t>
            </w:r>
            <w:r w:rsidR="00BE3C51" w:rsidRPr="00BE3C51">
              <w:rPr>
                <w:b/>
                <w:lang w:val="en-AU"/>
              </w:rPr>
              <w:t xml:space="preserve"> </w:t>
            </w:r>
            <w:r w:rsidRPr="00BE3C51">
              <w:rPr>
                <w:b/>
                <w:lang w:val="en-AU"/>
              </w:rPr>
              <w:t>events</w:t>
            </w:r>
            <w:r w:rsidR="00BE3C51" w:rsidRPr="00BE3C51">
              <w:rPr>
                <w:b/>
                <w:lang w:val="en-AU"/>
              </w:rPr>
              <w:t xml:space="preserve"> </w:t>
            </w:r>
            <w:r w:rsidR="00BE3C51" w:rsidRPr="00BE3C51">
              <w:rPr>
                <w:lang w:val="en-AU"/>
              </w:rPr>
              <w:t>(</w:t>
            </w:r>
            <w:r w:rsidRPr="00BE3C51">
              <w:rPr>
                <w:lang w:val="en-AU"/>
              </w:rPr>
              <w:t xml:space="preserve">Joel S Weissman, Lenny López, Eric C Schneider, Arnold M Epstein, Stu </w:t>
            </w:r>
            <w:r w:rsidRPr="00B502E2">
              <w:rPr>
                <w:lang w:val="en-AU"/>
              </w:rPr>
              <w:t>Lipsitz, and Saul N Weingart</w:t>
            </w:r>
            <w:r w:rsidR="00BE3C51">
              <w:rPr>
                <w:lang w:val="en-AU"/>
              </w:rPr>
              <w:t>)</w:t>
            </w:r>
          </w:p>
          <w:p w:rsidR="00B502E2" w:rsidRPr="00B502E2" w:rsidRDefault="00B502E2" w:rsidP="00BE3C51">
            <w:pPr>
              <w:pStyle w:val="ListParagraph"/>
              <w:numPr>
                <w:ilvl w:val="0"/>
                <w:numId w:val="41"/>
              </w:numPr>
              <w:rPr>
                <w:lang w:val="en-AU"/>
              </w:rPr>
            </w:pPr>
            <w:r w:rsidRPr="00B502E2">
              <w:rPr>
                <w:lang w:val="en-AU"/>
              </w:rPr>
              <w:t xml:space="preserve">Identification of serious and reportable </w:t>
            </w:r>
            <w:r w:rsidRPr="00BE3C51">
              <w:rPr>
                <w:b/>
                <w:lang w:val="en-AU"/>
              </w:rPr>
              <w:t>events in home care</w:t>
            </w:r>
            <w:r w:rsidRPr="00B502E2">
              <w:rPr>
                <w:lang w:val="en-AU"/>
              </w:rPr>
              <w:t>: a Delphi survey to develop consensus</w:t>
            </w:r>
            <w:r w:rsidR="00BE3C51">
              <w:rPr>
                <w:lang w:val="en-AU"/>
              </w:rPr>
              <w:t xml:space="preserve"> (</w:t>
            </w:r>
            <w:r w:rsidRPr="00B502E2">
              <w:rPr>
                <w:lang w:val="en-AU"/>
              </w:rPr>
              <w:t>Diane M Doran, G Ross Baker, Cathy Szabo, Julie Mcshane, and Jennifer Carryer</w:t>
            </w:r>
            <w:r w:rsidR="00BE3C51">
              <w:rPr>
                <w:lang w:val="en-AU"/>
              </w:rPr>
              <w:t>)</w:t>
            </w:r>
          </w:p>
          <w:p w:rsidR="00B502E2" w:rsidRPr="00B502E2" w:rsidRDefault="00B502E2" w:rsidP="00BE3C51">
            <w:pPr>
              <w:pStyle w:val="ListParagraph"/>
              <w:numPr>
                <w:ilvl w:val="0"/>
                <w:numId w:val="41"/>
              </w:numPr>
              <w:rPr>
                <w:lang w:val="en-AU"/>
              </w:rPr>
            </w:pPr>
            <w:r w:rsidRPr="00BE3C51">
              <w:rPr>
                <w:lang w:val="en-AU"/>
              </w:rPr>
              <w:t xml:space="preserve">Using simulation to improve </w:t>
            </w:r>
            <w:r w:rsidRPr="00BE3C51">
              <w:rPr>
                <w:b/>
                <w:lang w:val="en-AU"/>
              </w:rPr>
              <w:t>root cause analysis</w:t>
            </w:r>
            <w:r w:rsidRPr="00BE3C51">
              <w:rPr>
                <w:lang w:val="en-AU"/>
              </w:rPr>
              <w:t xml:space="preserve"> of adverse surgical outcomes</w:t>
            </w:r>
            <w:r w:rsidR="00BE3C51" w:rsidRPr="00BE3C51">
              <w:rPr>
                <w:lang w:val="en-AU"/>
              </w:rPr>
              <w:t xml:space="preserve"> (</w:t>
            </w:r>
            <w:r w:rsidRPr="00BE3C51">
              <w:rPr>
                <w:lang w:val="en-AU"/>
              </w:rPr>
              <w:t>Douglas P Slakey, Eric R Simms, Kelly V Rennie, Meghan E Garstka, and</w:t>
            </w:r>
            <w:r w:rsidR="00BE3C51">
              <w:rPr>
                <w:lang w:val="en-AU"/>
              </w:rPr>
              <w:t xml:space="preserve"> </w:t>
            </w:r>
            <w:r w:rsidRPr="00B502E2">
              <w:rPr>
                <w:lang w:val="en-AU"/>
              </w:rPr>
              <w:t>James R Korndorffer, Jr</w:t>
            </w:r>
            <w:r w:rsidR="00BE3C51">
              <w:rPr>
                <w:lang w:val="en-AU"/>
              </w:rPr>
              <w:t>)</w:t>
            </w:r>
          </w:p>
          <w:p w:rsidR="00B502E2" w:rsidRPr="00B502E2" w:rsidRDefault="00B502E2" w:rsidP="00BE3C51">
            <w:pPr>
              <w:pStyle w:val="ListParagraph"/>
              <w:numPr>
                <w:ilvl w:val="0"/>
                <w:numId w:val="41"/>
              </w:numPr>
              <w:rPr>
                <w:lang w:val="en-AU"/>
              </w:rPr>
            </w:pPr>
            <w:r w:rsidRPr="00B502E2">
              <w:rPr>
                <w:lang w:val="en-AU"/>
              </w:rPr>
              <w:t xml:space="preserve">The </w:t>
            </w:r>
            <w:r w:rsidRPr="00BE3C51">
              <w:rPr>
                <w:b/>
                <w:lang w:val="en-AU"/>
              </w:rPr>
              <w:t>Warwick Patient Experiences Framework</w:t>
            </w:r>
            <w:r w:rsidRPr="00B502E2">
              <w:rPr>
                <w:lang w:val="en-AU"/>
              </w:rPr>
              <w:t>: patient-based evidence in clinical guidelines</w:t>
            </w:r>
            <w:r w:rsidR="00BE3C51">
              <w:rPr>
                <w:lang w:val="en-AU"/>
              </w:rPr>
              <w:t xml:space="preserve"> (</w:t>
            </w:r>
            <w:r w:rsidRPr="00B502E2">
              <w:rPr>
                <w:lang w:val="en-AU"/>
              </w:rPr>
              <w:t xml:space="preserve">Sophie Staniszewska, Felicity Boardman, L Gunn, J Roberts, D </w:t>
            </w:r>
            <w:r w:rsidR="00BE3C51">
              <w:rPr>
                <w:lang w:val="en-AU"/>
              </w:rPr>
              <w:t>Clay, K Seers, J</w:t>
            </w:r>
            <w:r w:rsidRPr="00B502E2">
              <w:rPr>
                <w:lang w:val="en-AU"/>
              </w:rPr>
              <w:t xml:space="preserve"> Brett, L Avital, I Bullock, and N O’ Flynn</w:t>
            </w:r>
            <w:r w:rsidR="00BE3C51">
              <w:rPr>
                <w:lang w:val="en-AU"/>
              </w:rPr>
              <w:t>)</w:t>
            </w:r>
          </w:p>
          <w:p w:rsidR="00B502E2" w:rsidRPr="00BE3C51" w:rsidRDefault="00B502E2" w:rsidP="00B502E2">
            <w:pPr>
              <w:pStyle w:val="ListParagraph"/>
              <w:numPr>
                <w:ilvl w:val="0"/>
                <w:numId w:val="41"/>
              </w:numPr>
              <w:rPr>
                <w:lang w:val="en-AU"/>
              </w:rPr>
            </w:pPr>
            <w:r w:rsidRPr="00BE3C51">
              <w:rPr>
                <w:lang w:val="en-AU"/>
              </w:rPr>
              <w:t xml:space="preserve">Factors associated with </w:t>
            </w:r>
            <w:r w:rsidRPr="00BE3C51">
              <w:rPr>
                <w:b/>
                <w:lang w:val="en-AU"/>
              </w:rPr>
              <w:t>healthcare professionals' intent to stay in hospital</w:t>
            </w:r>
            <w:r w:rsidRPr="00BE3C51">
              <w:rPr>
                <w:lang w:val="en-AU"/>
              </w:rPr>
              <w:t>: a comparison across five occupational categories</w:t>
            </w:r>
            <w:r w:rsidR="00BE3C51" w:rsidRPr="00BE3C51">
              <w:rPr>
                <w:lang w:val="en-AU"/>
              </w:rPr>
              <w:t xml:space="preserve"> (</w:t>
            </w:r>
            <w:r w:rsidRPr="00BE3C51">
              <w:rPr>
                <w:lang w:val="en-AU"/>
              </w:rPr>
              <w:t>Ingrid Gilles, Bernard Burnand, and Isabelle Peytremann-Bridevaux</w:t>
            </w:r>
            <w:r w:rsidR="00BE3C51">
              <w:rPr>
                <w:lang w:val="en-AU"/>
              </w:rPr>
              <w:t>)</w:t>
            </w:r>
          </w:p>
          <w:p w:rsidR="00B502E2" w:rsidRPr="00BE3C51" w:rsidRDefault="00B502E2" w:rsidP="00B502E2">
            <w:pPr>
              <w:pStyle w:val="ListParagraph"/>
              <w:numPr>
                <w:ilvl w:val="0"/>
                <w:numId w:val="41"/>
              </w:numPr>
              <w:rPr>
                <w:lang w:val="en-AU"/>
              </w:rPr>
            </w:pPr>
            <w:r w:rsidRPr="00BE3C51">
              <w:rPr>
                <w:lang w:val="en-AU"/>
              </w:rPr>
              <w:t xml:space="preserve">Building a composite score of </w:t>
            </w:r>
            <w:r w:rsidRPr="00BE3C51">
              <w:rPr>
                <w:b/>
                <w:lang w:val="en-AU"/>
              </w:rPr>
              <w:t>general practitioners' intrinsic motivation</w:t>
            </w:r>
            <w:r w:rsidRPr="00BE3C51">
              <w:rPr>
                <w:lang w:val="en-AU"/>
              </w:rPr>
              <w:t>: a comparison of methods</w:t>
            </w:r>
            <w:r w:rsidR="00BE3C51" w:rsidRPr="00BE3C51">
              <w:rPr>
                <w:lang w:val="en-AU"/>
              </w:rPr>
              <w:t xml:space="preserve"> (</w:t>
            </w:r>
            <w:r w:rsidRPr="00BE3C51">
              <w:rPr>
                <w:lang w:val="en-AU"/>
              </w:rPr>
              <w:t>Jonathan Sicsic, Marc Le Vaillant, and C Franc</w:t>
            </w:r>
            <w:r w:rsidR="00BE3C51">
              <w:rPr>
                <w:lang w:val="en-AU"/>
              </w:rPr>
              <w:t>)</w:t>
            </w:r>
          </w:p>
          <w:p w:rsidR="00B502E2" w:rsidRPr="00B502E2" w:rsidRDefault="00B502E2" w:rsidP="00BE3C51">
            <w:pPr>
              <w:pStyle w:val="ListParagraph"/>
              <w:numPr>
                <w:ilvl w:val="0"/>
                <w:numId w:val="41"/>
              </w:numPr>
              <w:rPr>
                <w:lang w:val="en-AU"/>
              </w:rPr>
            </w:pPr>
            <w:r w:rsidRPr="00BE3C51">
              <w:rPr>
                <w:lang w:val="en-AU"/>
              </w:rPr>
              <w:t xml:space="preserve">Training and nutritional components of PMTCT programmes associated with </w:t>
            </w:r>
            <w:r w:rsidRPr="00BE3C51">
              <w:rPr>
                <w:b/>
                <w:lang w:val="en-AU"/>
              </w:rPr>
              <w:t>improved intrapartum quality of care</w:t>
            </w:r>
            <w:r w:rsidRPr="00BE3C51">
              <w:rPr>
                <w:lang w:val="en-AU"/>
              </w:rPr>
              <w:t xml:space="preserve"> in Mali and Senegal</w:t>
            </w:r>
            <w:r w:rsidR="00BE3C51" w:rsidRPr="00BE3C51">
              <w:rPr>
                <w:lang w:val="en-AU"/>
              </w:rPr>
              <w:t xml:space="preserve"> (</w:t>
            </w:r>
            <w:r w:rsidRPr="00BE3C51">
              <w:rPr>
                <w:lang w:val="en-AU"/>
              </w:rPr>
              <w:t xml:space="preserve">Catherine Mclean Pirkle, A Dumont, M Traoré, and </w:t>
            </w:r>
            <w:r w:rsidRPr="00B502E2">
              <w:rPr>
                <w:lang w:val="en-AU"/>
              </w:rPr>
              <w:t>M-V Zunzunegui</w:t>
            </w:r>
            <w:r w:rsidR="00BE3C51">
              <w:rPr>
                <w:lang w:val="en-AU"/>
              </w:rPr>
              <w:t>)</w:t>
            </w:r>
          </w:p>
          <w:p w:rsidR="00B502E2" w:rsidRPr="00BE3C51" w:rsidRDefault="00B502E2" w:rsidP="00B502E2">
            <w:pPr>
              <w:pStyle w:val="ListParagraph"/>
              <w:numPr>
                <w:ilvl w:val="0"/>
                <w:numId w:val="41"/>
              </w:numPr>
              <w:rPr>
                <w:lang w:val="en-AU"/>
              </w:rPr>
            </w:pPr>
            <w:r w:rsidRPr="00BE3C51">
              <w:rPr>
                <w:lang w:val="en-AU"/>
              </w:rPr>
              <w:t xml:space="preserve">Development of an instrument to evaluate </w:t>
            </w:r>
            <w:r w:rsidRPr="00BE3C51">
              <w:rPr>
                <w:b/>
                <w:lang w:val="en-AU"/>
              </w:rPr>
              <w:t>intrapartum care quality</w:t>
            </w:r>
            <w:r w:rsidRPr="00BE3C51">
              <w:rPr>
                <w:lang w:val="en-AU"/>
              </w:rPr>
              <w:t xml:space="preserve"> in Senegal: evaluation quality care</w:t>
            </w:r>
            <w:r w:rsidR="00BE3C51" w:rsidRPr="00BE3C51">
              <w:rPr>
                <w:lang w:val="en-AU"/>
              </w:rPr>
              <w:t xml:space="preserve"> (</w:t>
            </w:r>
            <w:r w:rsidRPr="00BE3C51">
              <w:rPr>
                <w:lang w:val="en-AU"/>
              </w:rPr>
              <w:t>Adama Faye, Alexandre Dumont, Papa Ndiaye, and Pierre Fournier</w:t>
            </w:r>
            <w:r w:rsidR="00BE3C51">
              <w:rPr>
                <w:lang w:val="en-AU"/>
              </w:rPr>
              <w:t>)</w:t>
            </w:r>
          </w:p>
          <w:p w:rsidR="00B502E2" w:rsidRPr="00BE3C51" w:rsidRDefault="00B502E2" w:rsidP="00B502E2">
            <w:pPr>
              <w:pStyle w:val="ListParagraph"/>
              <w:numPr>
                <w:ilvl w:val="0"/>
                <w:numId w:val="41"/>
              </w:numPr>
              <w:rPr>
                <w:lang w:val="en-AU"/>
              </w:rPr>
            </w:pPr>
            <w:r w:rsidRPr="00BE3C51">
              <w:rPr>
                <w:b/>
                <w:lang w:val="en-AU"/>
              </w:rPr>
              <w:t>Physician communication behaviors</w:t>
            </w:r>
            <w:r w:rsidRPr="00BE3C51">
              <w:rPr>
                <w:lang w:val="en-AU"/>
              </w:rPr>
              <w:t xml:space="preserve"> from the perspective of adult HIV patients in Kenya</w:t>
            </w:r>
            <w:r w:rsidR="00BE3C51" w:rsidRPr="00BE3C51">
              <w:rPr>
                <w:lang w:val="en-AU"/>
              </w:rPr>
              <w:t xml:space="preserve"> (</w:t>
            </w:r>
            <w:r w:rsidRPr="00BE3C51">
              <w:rPr>
                <w:lang w:val="en-AU"/>
              </w:rPr>
              <w:t>Juddy Wachira, Susan Middlestadt, Michael Reece, Chao-Ying Joanne Peng, and Paula Braitstein</w:t>
            </w:r>
            <w:r w:rsidR="00BE3C51">
              <w:rPr>
                <w:lang w:val="en-AU"/>
              </w:rPr>
              <w:t>)</w:t>
            </w:r>
          </w:p>
          <w:p w:rsidR="00B502E2" w:rsidRPr="00BE3C51" w:rsidRDefault="00B502E2" w:rsidP="00B502E2">
            <w:pPr>
              <w:pStyle w:val="ListParagraph"/>
              <w:numPr>
                <w:ilvl w:val="0"/>
                <w:numId w:val="41"/>
              </w:numPr>
              <w:rPr>
                <w:lang w:val="en-AU"/>
              </w:rPr>
            </w:pPr>
            <w:r w:rsidRPr="00BE3C51">
              <w:rPr>
                <w:b/>
                <w:lang w:val="en-AU"/>
              </w:rPr>
              <w:t>Improving mental health outcomes</w:t>
            </w:r>
            <w:r w:rsidRPr="00BE3C51">
              <w:rPr>
                <w:lang w:val="en-AU"/>
              </w:rPr>
              <w:t xml:space="preserve">: achieving equity through quality </w:t>
            </w:r>
            <w:r w:rsidR="00BE3C51" w:rsidRPr="00BE3C51">
              <w:rPr>
                <w:lang w:val="en-AU"/>
              </w:rPr>
              <w:t xml:space="preserve"> </w:t>
            </w:r>
            <w:r w:rsidRPr="00BE3C51">
              <w:rPr>
                <w:lang w:val="en-AU"/>
              </w:rPr>
              <w:t>improvement</w:t>
            </w:r>
            <w:r w:rsidR="00BE3C51" w:rsidRPr="00BE3C51">
              <w:rPr>
                <w:lang w:val="en-AU"/>
              </w:rPr>
              <w:t xml:space="preserve"> (</w:t>
            </w:r>
            <w:r w:rsidRPr="00BE3C51">
              <w:rPr>
                <w:lang w:val="en-AU"/>
              </w:rPr>
              <w:t>Alan J. Poots, Stuart A. Green, Emmi Honeybourne, John Green, Thomas Woodcock, Ruth Barnes, and Derek Bell</w:t>
            </w:r>
            <w:r w:rsidR="00BE3C51">
              <w:rPr>
                <w:lang w:val="en-AU"/>
              </w:rPr>
              <w:t>)</w:t>
            </w:r>
          </w:p>
          <w:p w:rsidR="00B502E2" w:rsidRPr="00BE3C51" w:rsidRDefault="00B502E2" w:rsidP="00BE3C51">
            <w:pPr>
              <w:pStyle w:val="ListParagraph"/>
              <w:numPr>
                <w:ilvl w:val="0"/>
                <w:numId w:val="41"/>
              </w:numPr>
              <w:rPr>
                <w:lang w:val="en-AU"/>
              </w:rPr>
            </w:pPr>
            <w:r w:rsidRPr="00BE3C51">
              <w:rPr>
                <w:lang w:val="en-AU"/>
              </w:rPr>
              <w:t xml:space="preserve">Feasibility of a </w:t>
            </w:r>
            <w:r w:rsidRPr="00BE3C51">
              <w:rPr>
                <w:b/>
                <w:lang w:val="en-AU"/>
              </w:rPr>
              <w:t>virtual learning collaborative</w:t>
            </w:r>
            <w:r w:rsidRPr="00BE3C51">
              <w:rPr>
                <w:lang w:val="en-AU"/>
              </w:rPr>
              <w:t xml:space="preserve"> to implement an obesity QI project in 29 pediatric practices</w:t>
            </w:r>
            <w:r w:rsidR="00BE3C51" w:rsidRPr="00BE3C51">
              <w:rPr>
                <w:lang w:val="en-AU"/>
              </w:rPr>
              <w:t xml:space="preserve"> (</w:t>
            </w:r>
            <w:r w:rsidRPr="00BE3C51">
              <w:rPr>
                <w:lang w:val="en-AU"/>
              </w:rPr>
              <w:t>Tamara John, Michaela Morton, Mark Weissman, Ellen O'Brien, E Hamburger, Y Hancock, and R Y Moon</w:t>
            </w:r>
            <w:r w:rsidR="00BE3C51">
              <w:rPr>
                <w:lang w:val="en-AU"/>
              </w:rPr>
              <w:t>)</w:t>
            </w:r>
          </w:p>
        </w:tc>
      </w:tr>
      <w:tr w:rsidR="00B502E2" w:rsidRPr="00737BFB" w:rsidTr="002F2BF6">
        <w:tc>
          <w:tcPr>
            <w:tcW w:w="1080" w:type="dxa"/>
            <w:tcBorders>
              <w:top w:val="single" w:sz="4" w:space="0" w:color="auto"/>
              <w:left w:val="single" w:sz="4" w:space="0" w:color="auto"/>
              <w:bottom w:val="single" w:sz="4" w:space="0" w:color="auto"/>
              <w:right w:val="single" w:sz="4" w:space="0" w:color="auto"/>
            </w:tcBorders>
            <w:vAlign w:val="center"/>
          </w:tcPr>
          <w:p w:rsidR="00B502E2" w:rsidRPr="00737BFB" w:rsidRDefault="00B502E2" w:rsidP="002F2BF6">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502E2" w:rsidRPr="00737BFB" w:rsidRDefault="000208FC" w:rsidP="00B502E2">
            <w:pPr>
              <w:rPr>
                <w:lang w:val="en-AU"/>
              </w:rPr>
            </w:pPr>
            <w:hyperlink r:id="rId29" w:history="1">
              <w:r w:rsidR="00B502E2" w:rsidRPr="00C0745E">
                <w:rPr>
                  <w:rStyle w:val="Hyperlink"/>
                  <w:lang w:val="en-AU"/>
                </w:rPr>
                <w:t>http://intqhc.oxfordjournals.org/content/26/2?etoc</w:t>
              </w:r>
            </w:hyperlink>
          </w:p>
        </w:tc>
      </w:tr>
    </w:tbl>
    <w:p w:rsidR="00B502E2" w:rsidRPr="00737BFB" w:rsidRDefault="00B502E2" w:rsidP="00221B5E">
      <w:pPr>
        <w:rPr>
          <w:i/>
          <w:lang w:val="en-AU"/>
        </w:rPr>
      </w:pPr>
    </w:p>
    <w:p w:rsidR="00221B5E" w:rsidRPr="00737BFB" w:rsidRDefault="00221B5E" w:rsidP="00221B5E">
      <w:pPr>
        <w:keepNext/>
        <w:rPr>
          <w:lang w:val="en-AU"/>
        </w:rPr>
      </w:pPr>
      <w:r w:rsidRPr="00737BFB">
        <w:rPr>
          <w:i/>
          <w:lang w:val="en-AU"/>
        </w:rPr>
        <w:lastRenderedPageBreak/>
        <w:t xml:space="preserve">BMJ Quality and Safety </w:t>
      </w:r>
      <w:r w:rsidRPr="00737BFB">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221B5E" w:rsidRPr="00737BFB" w:rsidTr="00440D36">
        <w:tc>
          <w:tcPr>
            <w:tcW w:w="1080" w:type="dxa"/>
            <w:tcBorders>
              <w:top w:val="single" w:sz="4" w:space="0" w:color="auto"/>
              <w:left w:val="single" w:sz="4" w:space="0" w:color="auto"/>
              <w:bottom w:val="single" w:sz="4" w:space="0" w:color="auto"/>
              <w:right w:val="single" w:sz="4" w:space="0" w:color="auto"/>
            </w:tcBorders>
            <w:vAlign w:val="center"/>
          </w:tcPr>
          <w:p w:rsidR="00221B5E" w:rsidRPr="00737BFB" w:rsidRDefault="00221B5E" w:rsidP="00440D36">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21B5E" w:rsidRPr="00737BFB" w:rsidRDefault="00221B5E" w:rsidP="00440D36">
            <w:pPr>
              <w:rPr>
                <w:lang w:val="en-AU"/>
              </w:rPr>
            </w:pPr>
            <w:r w:rsidRPr="00737BFB">
              <w:rPr>
                <w:i/>
                <w:lang w:val="en-AU"/>
              </w:rPr>
              <w:t>BMJ Quality and Safety</w:t>
            </w:r>
            <w:r w:rsidRPr="00737BFB">
              <w:rPr>
                <w:lang w:val="en-AU"/>
              </w:rPr>
              <w:t xml:space="preserve"> has published a number of ‘online first’ articles, including:</w:t>
            </w:r>
          </w:p>
          <w:p w:rsidR="007E5989" w:rsidRPr="007E5989" w:rsidRDefault="007E5989" w:rsidP="007E5989">
            <w:pPr>
              <w:pStyle w:val="ListParagraph"/>
              <w:numPr>
                <w:ilvl w:val="0"/>
                <w:numId w:val="24"/>
              </w:numPr>
              <w:rPr>
                <w:lang w:val="en-AU"/>
              </w:rPr>
            </w:pPr>
            <w:r w:rsidRPr="007E5989">
              <w:rPr>
                <w:lang w:val="en-AU"/>
              </w:rPr>
              <w:t xml:space="preserve">Computerised provider order entry combined with clinical decision support systems to improve </w:t>
            </w:r>
            <w:r w:rsidRPr="007E5989">
              <w:rPr>
                <w:b/>
                <w:lang w:val="en-AU"/>
              </w:rPr>
              <w:t>medication safety</w:t>
            </w:r>
            <w:r w:rsidRPr="007E5989">
              <w:rPr>
                <w:lang w:val="en-AU"/>
              </w:rPr>
              <w:t xml:space="preserve">: a narrative review </w:t>
            </w:r>
            <w:r w:rsidRPr="007E5989">
              <w:rPr>
                <w:lang w:val="en-AU"/>
              </w:rPr>
              <w:t>(</w:t>
            </w:r>
            <w:proofErr w:type="spellStart"/>
            <w:r w:rsidRPr="007E5989">
              <w:rPr>
                <w:lang w:val="en-AU"/>
              </w:rPr>
              <w:t>Sumant</w:t>
            </w:r>
            <w:proofErr w:type="spellEnd"/>
            <w:r w:rsidRPr="007E5989">
              <w:rPr>
                <w:lang w:val="en-AU"/>
              </w:rPr>
              <w:t xml:space="preserve"> R </w:t>
            </w:r>
            <w:proofErr w:type="spellStart"/>
            <w:r w:rsidRPr="007E5989">
              <w:rPr>
                <w:lang w:val="en-AU"/>
              </w:rPr>
              <w:t>Ranji</w:t>
            </w:r>
            <w:proofErr w:type="spellEnd"/>
            <w:r w:rsidRPr="007E5989">
              <w:rPr>
                <w:lang w:val="en-AU"/>
              </w:rPr>
              <w:t xml:space="preserve">, Stephanie </w:t>
            </w:r>
            <w:proofErr w:type="spellStart"/>
            <w:r w:rsidRPr="007E5989">
              <w:rPr>
                <w:lang w:val="en-AU"/>
              </w:rPr>
              <w:t>Rennke</w:t>
            </w:r>
            <w:proofErr w:type="spellEnd"/>
            <w:r w:rsidRPr="007E5989">
              <w:rPr>
                <w:lang w:val="en-AU"/>
              </w:rPr>
              <w:t>, Robert M Wachter</w:t>
            </w:r>
            <w:r>
              <w:rPr>
                <w:lang w:val="en-AU"/>
              </w:rPr>
              <w:t>)</w:t>
            </w:r>
          </w:p>
          <w:p w:rsidR="00D82F33" w:rsidRPr="00737BFB" w:rsidRDefault="007E5989" w:rsidP="00F816C2">
            <w:pPr>
              <w:pStyle w:val="ListParagraph"/>
              <w:numPr>
                <w:ilvl w:val="0"/>
                <w:numId w:val="24"/>
              </w:numPr>
              <w:rPr>
                <w:lang w:val="en-AU"/>
              </w:rPr>
            </w:pPr>
            <w:r w:rsidRPr="007E5989">
              <w:rPr>
                <w:lang w:val="en-AU"/>
              </w:rPr>
              <w:t xml:space="preserve">An observational study: associations between nurse-reported </w:t>
            </w:r>
            <w:r w:rsidRPr="00F816C2">
              <w:rPr>
                <w:b/>
                <w:lang w:val="en-AU"/>
              </w:rPr>
              <w:t>hospital characteristics and estimated 30-day survival</w:t>
            </w:r>
            <w:r w:rsidRPr="007E5989">
              <w:rPr>
                <w:lang w:val="en-AU"/>
              </w:rPr>
              <w:t xml:space="preserve"> probabilities </w:t>
            </w:r>
            <w:r>
              <w:rPr>
                <w:lang w:val="en-AU"/>
              </w:rPr>
              <w:t>(</w:t>
            </w:r>
            <w:r w:rsidRPr="007E5989">
              <w:rPr>
                <w:lang w:val="en-AU"/>
              </w:rPr>
              <w:t xml:space="preserve">Christine </w:t>
            </w:r>
            <w:proofErr w:type="spellStart"/>
            <w:r w:rsidRPr="007E5989">
              <w:rPr>
                <w:lang w:val="en-AU"/>
              </w:rPr>
              <w:t>Tvedt</w:t>
            </w:r>
            <w:proofErr w:type="spellEnd"/>
            <w:r w:rsidRPr="007E5989">
              <w:rPr>
                <w:lang w:val="en-AU"/>
              </w:rPr>
              <w:t xml:space="preserve">, </w:t>
            </w:r>
            <w:proofErr w:type="spellStart"/>
            <w:r w:rsidRPr="007E5989">
              <w:rPr>
                <w:lang w:val="en-AU"/>
              </w:rPr>
              <w:t>Ingeborg</w:t>
            </w:r>
            <w:proofErr w:type="spellEnd"/>
            <w:r w:rsidRPr="007E5989">
              <w:rPr>
                <w:lang w:val="en-AU"/>
              </w:rPr>
              <w:t xml:space="preserve"> </w:t>
            </w:r>
            <w:proofErr w:type="spellStart"/>
            <w:r w:rsidRPr="007E5989">
              <w:rPr>
                <w:lang w:val="en-AU"/>
              </w:rPr>
              <w:t>Strømseng</w:t>
            </w:r>
            <w:proofErr w:type="spellEnd"/>
            <w:r w:rsidRPr="007E5989">
              <w:rPr>
                <w:lang w:val="en-AU"/>
              </w:rPr>
              <w:t xml:space="preserve"> </w:t>
            </w:r>
            <w:proofErr w:type="spellStart"/>
            <w:r w:rsidRPr="007E5989">
              <w:rPr>
                <w:lang w:val="en-AU"/>
              </w:rPr>
              <w:t>Sjetne</w:t>
            </w:r>
            <w:proofErr w:type="spellEnd"/>
            <w:r w:rsidRPr="007E5989">
              <w:rPr>
                <w:lang w:val="en-AU"/>
              </w:rPr>
              <w:t xml:space="preserve">, Jon </w:t>
            </w:r>
            <w:proofErr w:type="spellStart"/>
            <w:r w:rsidRPr="007E5989">
              <w:rPr>
                <w:lang w:val="en-AU"/>
              </w:rPr>
              <w:t>Helgeland</w:t>
            </w:r>
            <w:proofErr w:type="spellEnd"/>
            <w:r w:rsidRPr="007E5989">
              <w:rPr>
                <w:lang w:val="en-AU"/>
              </w:rPr>
              <w:t xml:space="preserve">, </w:t>
            </w:r>
            <w:proofErr w:type="spellStart"/>
            <w:r w:rsidRPr="007E5989">
              <w:rPr>
                <w:lang w:val="en-AU"/>
              </w:rPr>
              <w:t>Geir</w:t>
            </w:r>
            <w:proofErr w:type="spellEnd"/>
            <w:r w:rsidRPr="007E5989">
              <w:rPr>
                <w:lang w:val="en-AU"/>
              </w:rPr>
              <w:t xml:space="preserve"> </w:t>
            </w:r>
            <w:proofErr w:type="spellStart"/>
            <w:r w:rsidRPr="007E5989">
              <w:rPr>
                <w:lang w:val="en-AU"/>
              </w:rPr>
              <w:t>Bukholm</w:t>
            </w:r>
            <w:proofErr w:type="spellEnd"/>
            <w:r>
              <w:rPr>
                <w:lang w:val="en-AU"/>
              </w:rPr>
              <w:t>)</w:t>
            </w:r>
          </w:p>
        </w:tc>
      </w:tr>
      <w:tr w:rsidR="00221B5E" w:rsidRPr="00737BFB" w:rsidTr="00440D36">
        <w:tc>
          <w:tcPr>
            <w:tcW w:w="1080" w:type="dxa"/>
            <w:tcBorders>
              <w:top w:val="single" w:sz="4" w:space="0" w:color="auto"/>
              <w:left w:val="single" w:sz="4" w:space="0" w:color="auto"/>
              <w:bottom w:val="single" w:sz="4" w:space="0" w:color="auto"/>
              <w:right w:val="single" w:sz="4" w:space="0" w:color="auto"/>
            </w:tcBorders>
            <w:vAlign w:val="center"/>
          </w:tcPr>
          <w:p w:rsidR="00221B5E" w:rsidRPr="00737BFB" w:rsidRDefault="00221B5E" w:rsidP="00440D36">
            <w:pPr>
              <w:rPr>
                <w:lang w:val="en-AU"/>
              </w:rPr>
            </w:pPr>
            <w:r w:rsidRPr="00737BFB">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21B5E" w:rsidRPr="00737BFB" w:rsidRDefault="000208FC" w:rsidP="00440D36">
            <w:pPr>
              <w:rPr>
                <w:lang w:val="en-AU"/>
              </w:rPr>
            </w:pPr>
            <w:hyperlink r:id="rId30" w:history="1">
              <w:r w:rsidR="00221B5E" w:rsidRPr="00737BFB">
                <w:rPr>
                  <w:rStyle w:val="Hyperlink"/>
                  <w:lang w:val="en-AU"/>
                </w:rPr>
                <w:t>http://qualitysafety.bmj.com/content/early/recent</w:t>
              </w:r>
            </w:hyperlink>
          </w:p>
        </w:tc>
      </w:tr>
    </w:tbl>
    <w:p w:rsidR="008B3D8F" w:rsidRDefault="008B3D8F" w:rsidP="008B3D8F">
      <w:pPr>
        <w:rPr>
          <w:i/>
          <w:lang w:val="en-AU"/>
        </w:rPr>
      </w:pPr>
    </w:p>
    <w:p w:rsidR="007E5989" w:rsidRPr="00737BFB" w:rsidRDefault="007E5989" w:rsidP="008B3D8F">
      <w:pPr>
        <w:rPr>
          <w:i/>
          <w:lang w:val="en-AU"/>
        </w:rPr>
      </w:pPr>
    </w:p>
    <w:p w:rsidR="00BC7980" w:rsidRPr="00737BFB" w:rsidRDefault="00BC7980" w:rsidP="000E66C3">
      <w:pPr>
        <w:rPr>
          <w:b/>
          <w:lang w:val="en-AU"/>
        </w:rPr>
      </w:pPr>
      <w:r w:rsidRPr="00737BFB">
        <w:rPr>
          <w:b/>
          <w:lang w:val="en-AU"/>
        </w:rPr>
        <w:t>Online resources</w:t>
      </w:r>
    </w:p>
    <w:p w:rsidR="00BC7980" w:rsidRDefault="00BC7980" w:rsidP="000E66C3">
      <w:pPr>
        <w:rPr>
          <w:lang w:val="en-AU"/>
        </w:rPr>
      </w:pPr>
    </w:p>
    <w:p w:rsidR="00BD318B" w:rsidRDefault="00BD318B" w:rsidP="000E66C3">
      <w:pPr>
        <w:rPr>
          <w:i/>
          <w:lang w:val="en-AU"/>
        </w:rPr>
      </w:pPr>
      <w:r w:rsidRPr="00BD318B">
        <w:rPr>
          <w:i/>
          <w:lang w:val="en-AU"/>
        </w:rPr>
        <w:t>Ethical Considerations in Quality Assurance and Evaluation Activities</w:t>
      </w:r>
    </w:p>
    <w:p w:rsidR="00BD318B" w:rsidRDefault="000208FC" w:rsidP="000E66C3">
      <w:pPr>
        <w:rPr>
          <w:lang w:val="en-AU"/>
        </w:rPr>
      </w:pPr>
      <w:hyperlink r:id="rId31" w:history="1">
        <w:r w:rsidR="00BD318B" w:rsidRPr="00FE0D0C">
          <w:rPr>
            <w:rStyle w:val="Hyperlink"/>
            <w:lang w:val="en-AU"/>
          </w:rPr>
          <w:t>http://www.nhmrc.gov.au/guidelines/publications/e111</w:t>
        </w:r>
      </w:hyperlink>
    </w:p>
    <w:p w:rsidR="00BD318B" w:rsidRDefault="00BD318B" w:rsidP="000E66C3">
      <w:pPr>
        <w:rPr>
          <w:lang w:val="en-AU"/>
        </w:rPr>
      </w:pPr>
      <w:r>
        <w:rPr>
          <w:lang w:val="en-AU"/>
        </w:rPr>
        <w:t xml:space="preserve">The NHMRC has released two items that can be relevant to those undertaking work in the safety and quality areas. </w:t>
      </w:r>
    </w:p>
    <w:p w:rsidR="00A7178D" w:rsidRDefault="00BD318B" w:rsidP="000E66C3">
      <w:pPr>
        <w:rPr>
          <w:lang w:val="en-AU"/>
        </w:rPr>
      </w:pPr>
      <w:r>
        <w:rPr>
          <w:lang w:val="en-AU"/>
        </w:rPr>
        <w:t xml:space="preserve">The </w:t>
      </w:r>
      <w:r w:rsidRPr="00BD318B">
        <w:rPr>
          <w:i/>
          <w:lang w:val="en-AU"/>
        </w:rPr>
        <w:t>Ethical Considerations in Quality Assurance and Evaluation Activities</w:t>
      </w:r>
      <w:r w:rsidRPr="00BD318B">
        <w:rPr>
          <w:lang w:val="en-AU"/>
        </w:rPr>
        <w:t xml:space="preserve"> </w:t>
      </w:r>
      <w:r>
        <w:rPr>
          <w:lang w:val="en-AU"/>
        </w:rPr>
        <w:t xml:space="preserve">is a short document (6 pages) intended </w:t>
      </w:r>
      <w:r w:rsidRPr="00BD318B">
        <w:rPr>
          <w:lang w:val="en-AU"/>
        </w:rPr>
        <w:t xml:space="preserve">to assist in </w:t>
      </w:r>
      <w:r>
        <w:rPr>
          <w:lang w:val="en-AU"/>
        </w:rPr>
        <w:t xml:space="preserve">determining </w:t>
      </w:r>
      <w:r w:rsidRPr="00BD318B">
        <w:rPr>
          <w:lang w:val="en-AU"/>
        </w:rPr>
        <w:t>the appropriate level of oversight for quality assurance (QA) and evaluation. It provides guidance for the consideration of ethical issues and assists in identifying triggers for the consideration of ethical review. This guidance does not impose any additional restrictions to the conduct of QA/evaluation activities.</w:t>
      </w:r>
    </w:p>
    <w:p w:rsidR="00BD318B" w:rsidRDefault="00BD318B" w:rsidP="000E66C3">
      <w:pPr>
        <w:rPr>
          <w:lang w:val="en-AU"/>
        </w:rPr>
      </w:pPr>
    </w:p>
    <w:p w:rsidR="00BD318B" w:rsidRPr="00BD318B" w:rsidRDefault="00BD318B" w:rsidP="00BD318B">
      <w:pPr>
        <w:rPr>
          <w:i/>
          <w:lang w:val="en-AU"/>
        </w:rPr>
      </w:pPr>
      <w:r w:rsidRPr="00BD318B">
        <w:rPr>
          <w:i/>
          <w:lang w:val="en-AU"/>
        </w:rPr>
        <w:t>Inclusion of advice on an opt-out approach, in the National Statement on Ethical Conduct in Human Research, 2007 (Chapter 2.3)</w:t>
      </w:r>
    </w:p>
    <w:p w:rsidR="00BD318B" w:rsidRPr="00BD318B" w:rsidRDefault="000208FC" w:rsidP="00BD318B">
      <w:pPr>
        <w:rPr>
          <w:lang w:val="en-AU"/>
        </w:rPr>
      </w:pPr>
      <w:hyperlink r:id="rId32" w:history="1">
        <w:r w:rsidR="00BD318B" w:rsidRPr="00FE0D0C">
          <w:rPr>
            <w:rStyle w:val="Hyperlink"/>
            <w:lang w:val="en-AU"/>
          </w:rPr>
          <w:t>http://www.nhmrc.gov.au/health-ethics/human-research-ethics/inclusion-advice-opt-out-approach-national-statement-ethical-con</w:t>
        </w:r>
      </w:hyperlink>
    </w:p>
    <w:p w:rsidR="00BD318B" w:rsidRDefault="00BD318B" w:rsidP="000E66C3">
      <w:pPr>
        <w:rPr>
          <w:lang w:val="en-AU"/>
        </w:rPr>
      </w:pPr>
      <w:r>
        <w:rPr>
          <w:lang w:val="en-AU"/>
        </w:rPr>
        <w:t xml:space="preserve">The issue of opt-out consent for a range of safety and quality activities, for example clinical quality registries, has been an area of continuing discussion. The NHRMC has updated </w:t>
      </w:r>
      <w:r w:rsidRPr="00BD318B">
        <w:rPr>
          <w:lang w:val="en-AU"/>
        </w:rPr>
        <w:t xml:space="preserve">Chapter 2.3 </w:t>
      </w:r>
      <w:r>
        <w:rPr>
          <w:lang w:val="en-AU"/>
        </w:rPr>
        <w:t xml:space="preserve">of the </w:t>
      </w:r>
      <w:r w:rsidRPr="00BD318B">
        <w:rPr>
          <w:i/>
          <w:lang w:val="en-AU"/>
        </w:rPr>
        <w:t xml:space="preserve">National Statement on Ethical Conduct in Human Research, 2007 </w:t>
      </w:r>
      <w:r w:rsidRPr="00BD318B">
        <w:rPr>
          <w:lang w:val="en-AU"/>
        </w:rPr>
        <w:t>to provide guidance for the use of the opt-out approach</w:t>
      </w:r>
      <w:r>
        <w:rPr>
          <w:lang w:val="en-AU"/>
        </w:rPr>
        <w:t xml:space="preserve">. </w:t>
      </w:r>
      <w:r w:rsidRPr="00BD318B">
        <w:rPr>
          <w:lang w:val="en-AU"/>
        </w:rPr>
        <w:t>The guidance has been positioned in Chapter 2.3 before guidance on waiver of consent to encourage researchers and HRECs to consider employing an opt-out approach in preference to waiver in circumstances where participants may be able to be contacted so as to afford them an opportunity to decline to participate in the proposed research.</w:t>
      </w:r>
    </w:p>
    <w:p w:rsidR="008219F0" w:rsidRDefault="008219F0" w:rsidP="006401D7">
      <w:pPr>
        <w:rPr>
          <w:lang w:val="en-AU"/>
        </w:rPr>
      </w:pPr>
    </w:p>
    <w:p w:rsidR="0008346E" w:rsidRPr="00165CCD" w:rsidRDefault="0008346E" w:rsidP="006401D7">
      <w:pPr>
        <w:rPr>
          <w:i/>
          <w:lang w:val="en-AU"/>
        </w:rPr>
      </w:pPr>
      <w:r w:rsidRPr="00165CCD">
        <w:rPr>
          <w:i/>
          <w:lang w:val="en-AU"/>
        </w:rPr>
        <w:t>[Canada] Choosing Wisely Canada</w:t>
      </w:r>
    </w:p>
    <w:p w:rsidR="0008346E" w:rsidRDefault="000208FC" w:rsidP="006401D7">
      <w:pPr>
        <w:rPr>
          <w:lang w:val="en-AU"/>
        </w:rPr>
      </w:pPr>
      <w:hyperlink r:id="rId33" w:history="1">
        <w:r w:rsidR="0008346E" w:rsidRPr="00F14E48">
          <w:rPr>
            <w:rStyle w:val="Hyperlink"/>
            <w:lang w:val="en-AU"/>
          </w:rPr>
          <w:t>http://www.choosingwiselycanada.org/</w:t>
        </w:r>
      </w:hyperlink>
    </w:p>
    <w:p w:rsidR="0008346E" w:rsidRDefault="0008346E" w:rsidP="006401D7">
      <w:pPr>
        <w:rPr>
          <w:lang w:val="en-AU"/>
        </w:rPr>
      </w:pPr>
      <w:r>
        <w:rPr>
          <w:lang w:val="en-AU"/>
        </w:rPr>
        <w:t>Following the lead of the US Choosing Wisely program (</w:t>
      </w:r>
      <w:hyperlink r:id="rId34" w:history="1">
        <w:r w:rsidRPr="00F14E48">
          <w:rPr>
            <w:rStyle w:val="Hyperlink"/>
            <w:lang w:val="en-AU"/>
          </w:rPr>
          <w:t>www.choosingwisely.org</w:t>
        </w:r>
      </w:hyperlink>
      <w:r>
        <w:rPr>
          <w:lang w:val="en-AU"/>
        </w:rPr>
        <w:t xml:space="preserve">), the Canadian Medical Association and other partners have launched the Choosing Wisely Canada initiative: “A </w:t>
      </w:r>
      <w:r w:rsidRPr="0008346E">
        <w:rPr>
          <w:lang w:val="en-AU"/>
        </w:rPr>
        <w:t>campaign to help physicians and patients engage in conversations about unnecessary tests, treatments and procedures</w:t>
      </w:r>
      <w:r>
        <w:rPr>
          <w:lang w:val="en-AU"/>
        </w:rPr>
        <w:t xml:space="preserve">”. Nine Canadian </w:t>
      </w:r>
      <w:r w:rsidRPr="0008346E">
        <w:rPr>
          <w:lang w:val="en-AU"/>
        </w:rPr>
        <w:t>medical organi</w:t>
      </w:r>
      <w:r>
        <w:rPr>
          <w:lang w:val="en-AU"/>
        </w:rPr>
        <w:t>s</w:t>
      </w:r>
      <w:r w:rsidRPr="0008346E">
        <w:rPr>
          <w:lang w:val="en-AU"/>
        </w:rPr>
        <w:t xml:space="preserve">ations released lists of </w:t>
      </w:r>
      <w:r>
        <w:rPr>
          <w:lang w:val="en-AU"/>
        </w:rPr>
        <w:t xml:space="preserve">a total of </w:t>
      </w:r>
      <w:r w:rsidRPr="0008346E">
        <w:rPr>
          <w:lang w:val="en-AU"/>
        </w:rPr>
        <w:t>40 tests, treatments and procedures that patients do not need in all circumstances</w:t>
      </w:r>
      <w:r>
        <w:rPr>
          <w:lang w:val="en-AU"/>
        </w:rPr>
        <w:t>.</w:t>
      </w:r>
    </w:p>
    <w:p w:rsidR="0008346E" w:rsidRDefault="0008346E" w:rsidP="006401D7">
      <w:pPr>
        <w:rPr>
          <w:lang w:val="en-AU"/>
        </w:rPr>
      </w:pPr>
    </w:p>
    <w:p w:rsidR="0029518F" w:rsidRPr="0029518F" w:rsidRDefault="0029518F" w:rsidP="006401D7">
      <w:pPr>
        <w:rPr>
          <w:i/>
          <w:lang w:val="en-AU"/>
        </w:rPr>
      </w:pPr>
      <w:r w:rsidRPr="0029518F">
        <w:rPr>
          <w:i/>
          <w:lang w:val="en-AU"/>
        </w:rPr>
        <w:t>[USA] We are all part of the patient experience</w:t>
      </w:r>
    </w:p>
    <w:p w:rsidR="0029518F" w:rsidRPr="0029518F" w:rsidRDefault="000208FC" w:rsidP="0029518F">
      <w:pPr>
        <w:rPr>
          <w:lang w:val="en-AU"/>
        </w:rPr>
      </w:pPr>
      <w:hyperlink r:id="rId35" w:history="1">
        <w:r w:rsidR="0029518F" w:rsidRPr="0078651D">
          <w:rPr>
            <w:rStyle w:val="Hyperlink"/>
            <w:lang w:val="en-AU"/>
          </w:rPr>
          <w:t>https://www.youtube.com/watch?v=iBLQnThJ6w0&amp;feature=youtu.be</w:t>
        </w:r>
      </w:hyperlink>
    </w:p>
    <w:p w:rsidR="0029518F" w:rsidRPr="0029518F" w:rsidRDefault="0029518F" w:rsidP="0029518F">
      <w:pPr>
        <w:rPr>
          <w:lang w:val="en-AU"/>
        </w:rPr>
      </w:pPr>
      <w:r>
        <w:rPr>
          <w:lang w:val="en-AU"/>
        </w:rPr>
        <w:t xml:space="preserve">A conference opening video </w:t>
      </w:r>
      <w:r w:rsidRPr="0029518F">
        <w:rPr>
          <w:lang w:val="en-AU"/>
        </w:rPr>
        <w:t>reminding us that everyone in a health organisation is contributing to (or detracting from) the patient experience</w:t>
      </w:r>
      <w:r>
        <w:rPr>
          <w:lang w:val="en-AU"/>
        </w:rPr>
        <w:t>.</w:t>
      </w:r>
    </w:p>
    <w:p w:rsidR="0029518F" w:rsidRDefault="0029518F" w:rsidP="0029518F">
      <w:pPr>
        <w:rPr>
          <w:lang w:val="en-AU"/>
        </w:rPr>
      </w:pPr>
      <w:r>
        <w:rPr>
          <w:lang w:val="en-AU"/>
        </w:rPr>
        <w:t>I</w:t>
      </w:r>
      <w:r w:rsidRPr="0029518F">
        <w:rPr>
          <w:lang w:val="en-AU"/>
        </w:rPr>
        <w:t>t is true. The inept administration of a patient that leads to a breakdown in communication or care co-ordination can be as significant in a poor patient experience as a clinician who makes a clinical error</w:t>
      </w:r>
      <w:r>
        <w:rPr>
          <w:lang w:val="en-AU"/>
        </w:rPr>
        <w:t>.</w:t>
      </w:r>
    </w:p>
    <w:p w:rsidR="0029518F" w:rsidRDefault="0029518F" w:rsidP="006401D7">
      <w:pPr>
        <w:rPr>
          <w:lang w:val="en-AU"/>
        </w:rPr>
      </w:pPr>
    </w:p>
    <w:p w:rsidR="0029518F" w:rsidRPr="0029518F" w:rsidRDefault="0029518F" w:rsidP="006401D7">
      <w:pPr>
        <w:rPr>
          <w:i/>
          <w:lang w:val="en-AU"/>
        </w:rPr>
      </w:pPr>
      <w:r w:rsidRPr="0029518F">
        <w:rPr>
          <w:i/>
          <w:lang w:val="en-AU"/>
        </w:rPr>
        <w:lastRenderedPageBreak/>
        <w:t>[UK] An alternative guide to the urgent and emergency care system in England</w:t>
      </w:r>
    </w:p>
    <w:p w:rsidR="0029518F" w:rsidRPr="0029518F" w:rsidRDefault="000208FC" w:rsidP="0029518F">
      <w:pPr>
        <w:rPr>
          <w:lang w:val="en-AU"/>
        </w:rPr>
      </w:pPr>
      <w:hyperlink r:id="rId36" w:history="1">
        <w:r w:rsidR="0029518F" w:rsidRPr="0078651D">
          <w:rPr>
            <w:rStyle w:val="Hyperlink"/>
            <w:lang w:val="en-AU"/>
          </w:rPr>
          <w:t>http://www.kingsfund.org.uk/projects/urgent-emergency-care/alternative-guide-urgent-and-emergency-care-system-england</w:t>
        </w:r>
      </w:hyperlink>
    </w:p>
    <w:p w:rsidR="00BD318B" w:rsidRDefault="0029518F" w:rsidP="0029518F">
      <w:pPr>
        <w:rPr>
          <w:lang w:val="en-AU"/>
        </w:rPr>
      </w:pPr>
      <w:r w:rsidRPr="0029518F">
        <w:rPr>
          <w:lang w:val="en-AU"/>
        </w:rPr>
        <w:t>A brief animation that explains some of options and intricacies of A&amp;E</w:t>
      </w:r>
      <w:r>
        <w:rPr>
          <w:lang w:val="en-AU"/>
        </w:rPr>
        <w:t xml:space="preserve">. Possibly </w:t>
      </w:r>
      <w:r w:rsidRPr="0029518F">
        <w:rPr>
          <w:lang w:val="en-AU"/>
        </w:rPr>
        <w:t xml:space="preserve">useful for those of us </w:t>
      </w:r>
      <w:r>
        <w:rPr>
          <w:lang w:val="en-AU"/>
        </w:rPr>
        <w:t>in different settings to reflec</w:t>
      </w:r>
      <w:r w:rsidRPr="0029518F">
        <w:rPr>
          <w:lang w:val="en-AU"/>
        </w:rPr>
        <w:t>t</w:t>
      </w:r>
      <w:r>
        <w:rPr>
          <w:lang w:val="en-AU"/>
        </w:rPr>
        <w:t xml:space="preserve"> </w:t>
      </w:r>
      <w:r w:rsidRPr="0029518F">
        <w:rPr>
          <w:lang w:val="en-AU"/>
        </w:rPr>
        <w:t>on to see how different our own systems may and could be</w:t>
      </w:r>
      <w:r>
        <w:rPr>
          <w:lang w:val="en-AU"/>
        </w:rPr>
        <w:t>.</w:t>
      </w:r>
    </w:p>
    <w:p w:rsidR="0029518F" w:rsidRDefault="0029518F" w:rsidP="0029518F">
      <w:pPr>
        <w:rPr>
          <w:lang w:val="en-AU"/>
        </w:rPr>
      </w:pPr>
    </w:p>
    <w:p w:rsidR="00850E94" w:rsidRPr="00850E94" w:rsidRDefault="00850E94" w:rsidP="00850E94">
      <w:pPr>
        <w:rPr>
          <w:i/>
          <w:lang w:val="en-AU"/>
        </w:rPr>
      </w:pPr>
      <w:r w:rsidRPr="00850E94">
        <w:rPr>
          <w:i/>
          <w:lang w:val="en-AU"/>
        </w:rPr>
        <w:t>GS1 Recallnet Healthcare</w:t>
      </w:r>
    </w:p>
    <w:p w:rsidR="00850E94" w:rsidRPr="00850E94" w:rsidRDefault="000208FC" w:rsidP="00850E94">
      <w:pPr>
        <w:rPr>
          <w:lang w:val="en-AU"/>
        </w:rPr>
      </w:pPr>
      <w:hyperlink r:id="rId37" w:history="1">
        <w:r w:rsidR="00850E94" w:rsidRPr="0078651D">
          <w:rPr>
            <w:rStyle w:val="Hyperlink"/>
            <w:lang w:val="en-AU"/>
          </w:rPr>
          <w:t>http://www.gs1au.org/services/recallnet/recallnet-healthcare.asp</w:t>
        </w:r>
      </w:hyperlink>
      <w:r w:rsidR="00850E94">
        <w:rPr>
          <w:lang w:val="en-AU"/>
        </w:rPr>
        <w:t xml:space="preserve"> </w:t>
      </w:r>
    </w:p>
    <w:p w:rsidR="00850E94" w:rsidRDefault="00850E94" w:rsidP="00850E94">
      <w:pPr>
        <w:rPr>
          <w:lang w:val="en-AU"/>
        </w:rPr>
      </w:pPr>
      <w:r w:rsidRPr="00850E94">
        <w:rPr>
          <w:lang w:val="en-AU"/>
        </w:rPr>
        <w:t>GS1 Recallnet Healthcare – an electronic product recall notification management system went live on 1st April 2014.</w:t>
      </w:r>
    </w:p>
    <w:p w:rsidR="00850E94" w:rsidRPr="00850E94" w:rsidRDefault="00850E94" w:rsidP="00850E94">
      <w:pPr>
        <w:rPr>
          <w:lang w:val="en-AU"/>
        </w:rPr>
      </w:pPr>
      <w:r w:rsidRPr="00850E94">
        <w:rPr>
          <w:lang w:val="en-AU"/>
        </w:rPr>
        <w:t>GS1 Recallnet Healthcare has been developed over 4 years by GS1 Australia in association with the National E-Health Transition Authority (NEHTA), the Therapeutic Goods Administration (TGA), state and territory health departments and a number of medical device and pharmaceutical suppliers.</w:t>
      </w:r>
    </w:p>
    <w:p w:rsidR="00850E94" w:rsidRDefault="00850E94" w:rsidP="00850E94">
      <w:pPr>
        <w:rPr>
          <w:lang w:val="en-AU"/>
        </w:rPr>
      </w:pPr>
      <w:r w:rsidRPr="00850E94">
        <w:rPr>
          <w:lang w:val="en-AU"/>
        </w:rPr>
        <w:t>The system allows healthcare suppliers to create recall and non-recall notifications following the requirements of the uniform recall procedure for therapeutic goods, submit the recall notification and supporting documentation to the TGA for review, and issue the recall notification to all affected trading partners.</w:t>
      </w:r>
    </w:p>
    <w:p w:rsidR="00850E94" w:rsidRDefault="00850E94" w:rsidP="0029518F">
      <w:pPr>
        <w:rPr>
          <w:lang w:val="en-AU"/>
        </w:rPr>
      </w:pPr>
    </w:p>
    <w:p w:rsidR="00850E94" w:rsidRPr="00737BFB" w:rsidRDefault="00850E94" w:rsidP="0029518F">
      <w:pPr>
        <w:rPr>
          <w:lang w:val="en-AU"/>
        </w:rPr>
      </w:pPr>
    </w:p>
    <w:p w:rsidR="00B160EF" w:rsidRPr="00737BFB" w:rsidRDefault="00B160EF" w:rsidP="00B160EF">
      <w:pPr>
        <w:keepNext/>
        <w:pBdr>
          <w:top w:val="single" w:sz="4" w:space="1" w:color="auto"/>
        </w:pBdr>
        <w:rPr>
          <w:b/>
          <w:lang w:val="en-AU"/>
        </w:rPr>
      </w:pPr>
      <w:r w:rsidRPr="00737BFB">
        <w:rPr>
          <w:b/>
          <w:lang w:val="en-AU"/>
        </w:rPr>
        <w:t>Disclaimer</w:t>
      </w:r>
    </w:p>
    <w:p w:rsidR="00E41D2F" w:rsidRPr="00737BFB" w:rsidRDefault="00B160EF" w:rsidP="00B160EF">
      <w:pPr>
        <w:rPr>
          <w:lang w:val="en-AU"/>
        </w:rPr>
      </w:pPr>
      <w:r w:rsidRPr="00737BFB">
        <w:rPr>
          <w:i/>
          <w:lang w:val="en-AU"/>
        </w:rPr>
        <w:t xml:space="preserve">On the </w:t>
      </w:r>
      <w:r w:rsidR="001A66F9" w:rsidRPr="00737BFB">
        <w:rPr>
          <w:i/>
          <w:lang w:val="en-AU"/>
        </w:rPr>
        <w:t>R</w:t>
      </w:r>
      <w:r w:rsidRPr="00737BFB">
        <w:rPr>
          <w:i/>
          <w:lang w:val="en-AU"/>
        </w:rPr>
        <w:t>adar</w:t>
      </w:r>
      <w:r w:rsidRPr="00737BFB">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737BFB" w:rsidSect="005C5ABC">
      <w:footerReference w:type="even" r:id="rId38"/>
      <w:footerReference w:type="default" r:id="rId3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8FC" w:rsidRDefault="000208FC">
      <w:r>
        <w:separator/>
      </w:r>
    </w:p>
  </w:endnote>
  <w:endnote w:type="continuationSeparator" w:id="0">
    <w:p w:rsidR="000208FC" w:rsidRDefault="0002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816C2">
      <w:rPr>
        <w:rStyle w:val="PageNumber"/>
        <w:noProof/>
      </w:rPr>
      <w:t>2</w:t>
    </w:r>
    <w:r>
      <w:rPr>
        <w:rStyle w:val="PageNumber"/>
      </w:rPr>
      <w:fldChar w:fldCharType="end"/>
    </w:r>
  </w:p>
  <w:p w:rsidR="00E23946" w:rsidRDefault="00E23946" w:rsidP="00F1532A">
    <w:pPr>
      <w:pStyle w:val="Footer"/>
      <w:tabs>
        <w:tab w:val="clear" w:pos="8306"/>
        <w:tab w:val="right" w:pos="9540"/>
      </w:tabs>
      <w:ind w:right="360"/>
    </w:pPr>
    <w:r>
      <w:tab/>
    </w:r>
    <w:r>
      <w:tab/>
    </w:r>
    <w:r w:rsidRPr="00942E61">
      <w:rPr>
        <w:i/>
      </w:rPr>
      <w:t>On the Radar</w:t>
    </w:r>
    <w:r w:rsidR="00A7178D">
      <w:t xml:space="preserve"> Issue 170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16C2">
      <w:rPr>
        <w:rStyle w:val="PageNumber"/>
        <w:noProof/>
      </w:rPr>
      <w:t>3</w:t>
    </w:r>
    <w:r>
      <w:rPr>
        <w:rStyle w:val="PageNumber"/>
      </w:rPr>
      <w:fldChar w:fldCharType="end"/>
    </w:r>
  </w:p>
  <w:p w:rsidR="00E23946" w:rsidRDefault="00E23946" w:rsidP="00EC5F6F">
    <w:pPr>
      <w:pStyle w:val="Footer"/>
      <w:tabs>
        <w:tab w:val="clear" w:pos="4153"/>
        <w:tab w:val="clear" w:pos="8306"/>
        <w:tab w:val="left" w:pos="2950"/>
      </w:tabs>
      <w:ind w:right="360"/>
    </w:pPr>
    <w:r w:rsidRPr="00942E61">
      <w:rPr>
        <w:i/>
      </w:rPr>
      <w:t>On the Radar</w:t>
    </w:r>
    <w:r w:rsidR="00221B5E">
      <w:t xml:space="preserve"> Issue 1</w:t>
    </w:r>
    <w:r w:rsidR="00A7178D">
      <w:t>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8FC" w:rsidRDefault="000208FC">
      <w:r>
        <w:separator/>
      </w:r>
    </w:p>
  </w:footnote>
  <w:footnote w:type="continuationSeparator" w:id="0">
    <w:p w:rsidR="000208FC" w:rsidRDefault="000208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50A1C"/>
    <w:multiLevelType w:val="hybridMultilevel"/>
    <w:tmpl w:val="E500D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5565FDA"/>
    <w:multiLevelType w:val="hybridMultilevel"/>
    <w:tmpl w:val="03A0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7905FF5"/>
    <w:multiLevelType w:val="hybridMultilevel"/>
    <w:tmpl w:val="16144C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E297319"/>
    <w:multiLevelType w:val="hybridMultilevel"/>
    <w:tmpl w:val="C1CC3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8E66406"/>
    <w:multiLevelType w:val="hybridMultilevel"/>
    <w:tmpl w:val="1390C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C3D095F"/>
    <w:multiLevelType w:val="hybridMultilevel"/>
    <w:tmpl w:val="3FB09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EC941D5"/>
    <w:multiLevelType w:val="hybridMultilevel"/>
    <w:tmpl w:val="BA0E1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CAD267C"/>
    <w:multiLevelType w:val="hybridMultilevel"/>
    <w:tmpl w:val="B13CE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0C81473"/>
    <w:multiLevelType w:val="hybridMultilevel"/>
    <w:tmpl w:val="708C0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94581E"/>
    <w:multiLevelType w:val="hybridMultilevel"/>
    <w:tmpl w:val="6D4A5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6B6E0B"/>
    <w:multiLevelType w:val="hybridMultilevel"/>
    <w:tmpl w:val="D9807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5FA57C5"/>
    <w:multiLevelType w:val="hybridMultilevel"/>
    <w:tmpl w:val="EB1E8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7F83E13"/>
    <w:multiLevelType w:val="hybridMultilevel"/>
    <w:tmpl w:val="3FAAD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EFB4691"/>
    <w:multiLevelType w:val="hybridMultilevel"/>
    <w:tmpl w:val="ED8E0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7871625"/>
    <w:multiLevelType w:val="hybridMultilevel"/>
    <w:tmpl w:val="5802CE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83521BC"/>
    <w:multiLevelType w:val="hybridMultilevel"/>
    <w:tmpl w:val="AAB43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B8251FA"/>
    <w:multiLevelType w:val="hybridMultilevel"/>
    <w:tmpl w:val="4A66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50206C"/>
    <w:multiLevelType w:val="hybridMultilevel"/>
    <w:tmpl w:val="06987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B5D1563"/>
    <w:multiLevelType w:val="hybridMultilevel"/>
    <w:tmpl w:val="3A342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E5637CB"/>
    <w:multiLevelType w:val="hybridMultilevel"/>
    <w:tmpl w:val="4A1ED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5BE5845"/>
    <w:multiLevelType w:val="hybridMultilevel"/>
    <w:tmpl w:val="38D46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6834FFF"/>
    <w:multiLevelType w:val="hybridMultilevel"/>
    <w:tmpl w:val="6F162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ADE6C1A"/>
    <w:multiLevelType w:val="hybridMultilevel"/>
    <w:tmpl w:val="52342D88"/>
    <w:lvl w:ilvl="0" w:tplc="C590A42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E3E6E8E"/>
    <w:multiLevelType w:val="hybridMultilevel"/>
    <w:tmpl w:val="85DCAF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E642761"/>
    <w:multiLevelType w:val="hybridMultilevel"/>
    <w:tmpl w:val="DE563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18"/>
  </w:num>
  <w:num w:numId="15">
    <w:abstractNumId w:val="32"/>
  </w:num>
  <w:num w:numId="16">
    <w:abstractNumId w:val="30"/>
  </w:num>
  <w:num w:numId="17">
    <w:abstractNumId w:val="15"/>
  </w:num>
  <w:num w:numId="18">
    <w:abstractNumId w:val="40"/>
  </w:num>
  <w:num w:numId="19">
    <w:abstractNumId w:val="31"/>
  </w:num>
  <w:num w:numId="20">
    <w:abstractNumId w:val="20"/>
  </w:num>
  <w:num w:numId="21">
    <w:abstractNumId w:val="17"/>
  </w:num>
  <w:num w:numId="22">
    <w:abstractNumId w:val="25"/>
  </w:num>
  <w:num w:numId="23">
    <w:abstractNumId w:val="38"/>
  </w:num>
  <w:num w:numId="24">
    <w:abstractNumId w:val="22"/>
  </w:num>
  <w:num w:numId="25">
    <w:abstractNumId w:val="13"/>
  </w:num>
  <w:num w:numId="26">
    <w:abstractNumId w:val="10"/>
  </w:num>
  <w:num w:numId="27">
    <w:abstractNumId w:val="23"/>
  </w:num>
  <w:num w:numId="28">
    <w:abstractNumId w:val="26"/>
  </w:num>
  <w:num w:numId="29">
    <w:abstractNumId w:val="34"/>
  </w:num>
  <w:num w:numId="30">
    <w:abstractNumId w:val="12"/>
  </w:num>
  <w:num w:numId="31">
    <w:abstractNumId w:val="24"/>
  </w:num>
  <w:num w:numId="32">
    <w:abstractNumId w:val="27"/>
  </w:num>
  <w:num w:numId="33">
    <w:abstractNumId w:val="19"/>
  </w:num>
  <w:num w:numId="34">
    <w:abstractNumId w:val="39"/>
  </w:num>
  <w:num w:numId="35">
    <w:abstractNumId w:val="33"/>
  </w:num>
  <w:num w:numId="36">
    <w:abstractNumId w:val="16"/>
  </w:num>
  <w:num w:numId="37">
    <w:abstractNumId w:val="29"/>
  </w:num>
  <w:num w:numId="38">
    <w:abstractNumId w:val="36"/>
  </w:num>
  <w:num w:numId="39">
    <w:abstractNumId w:val="14"/>
  </w:num>
  <w:num w:numId="40">
    <w:abstractNumId w:val="37"/>
  </w:num>
  <w:num w:numId="4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ter Library October 2009.enl&lt;/item&gt;&lt;/Libraries&gt;&lt;/EN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6048"/>
    <w:rsid w:val="00006743"/>
    <w:rsid w:val="000068F5"/>
    <w:rsid w:val="0000691B"/>
    <w:rsid w:val="00006AB3"/>
    <w:rsid w:val="00006CE7"/>
    <w:rsid w:val="00006FFB"/>
    <w:rsid w:val="000070BA"/>
    <w:rsid w:val="00007389"/>
    <w:rsid w:val="0000741E"/>
    <w:rsid w:val="0000750C"/>
    <w:rsid w:val="00007BC7"/>
    <w:rsid w:val="000100A5"/>
    <w:rsid w:val="00010281"/>
    <w:rsid w:val="00010367"/>
    <w:rsid w:val="00010607"/>
    <w:rsid w:val="0001062E"/>
    <w:rsid w:val="0001071C"/>
    <w:rsid w:val="00010AAB"/>
    <w:rsid w:val="00011449"/>
    <w:rsid w:val="00011B6A"/>
    <w:rsid w:val="00011BF3"/>
    <w:rsid w:val="00012904"/>
    <w:rsid w:val="00012B53"/>
    <w:rsid w:val="000132E1"/>
    <w:rsid w:val="00013DCD"/>
    <w:rsid w:val="0001474B"/>
    <w:rsid w:val="000148C3"/>
    <w:rsid w:val="00014C9E"/>
    <w:rsid w:val="00014DE5"/>
    <w:rsid w:val="00014DF2"/>
    <w:rsid w:val="0001515E"/>
    <w:rsid w:val="000159EF"/>
    <w:rsid w:val="000164FD"/>
    <w:rsid w:val="0001676F"/>
    <w:rsid w:val="00017028"/>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D95"/>
    <w:rsid w:val="000267F1"/>
    <w:rsid w:val="00026E16"/>
    <w:rsid w:val="00027059"/>
    <w:rsid w:val="000274F9"/>
    <w:rsid w:val="00030ADC"/>
    <w:rsid w:val="00030D35"/>
    <w:rsid w:val="00030F00"/>
    <w:rsid w:val="00030FA5"/>
    <w:rsid w:val="000313B2"/>
    <w:rsid w:val="00031421"/>
    <w:rsid w:val="0003155F"/>
    <w:rsid w:val="00032B41"/>
    <w:rsid w:val="00032BD7"/>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97"/>
    <w:rsid w:val="00036D9D"/>
    <w:rsid w:val="00036E68"/>
    <w:rsid w:val="000376F5"/>
    <w:rsid w:val="0003783E"/>
    <w:rsid w:val="00040068"/>
    <w:rsid w:val="000404B7"/>
    <w:rsid w:val="00040784"/>
    <w:rsid w:val="00040824"/>
    <w:rsid w:val="000415BB"/>
    <w:rsid w:val="00041D6C"/>
    <w:rsid w:val="00041DCB"/>
    <w:rsid w:val="0004277C"/>
    <w:rsid w:val="00042E73"/>
    <w:rsid w:val="000430F1"/>
    <w:rsid w:val="000432D4"/>
    <w:rsid w:val="000437BB"/>
    <w:rsid w:val="00043CBB"/>
    <w:rsid w:val="00043D2A"/>
    <w:rsid w:val="00044222"/>
    <w:rsid w:val="00044D42"/>
    <w:rsid w:val="0004538C"/>
    <w:rsid w:val="00045745"/>
    <w:rsid w:val="00045CA8"/>
    <w:rsid w:val="00045EBF"/>
    <w:rsid w:val="00046930"/>
    <w:rsid w:val="00047705"/>
    <w:rsid w:val="00047900"/>
    <w:rsid w:val="00047C44"/>
    <w:rsid w:val="00047D8A"/>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47A"/>
    <w:rsid w:val="000564BE"/>
    <w:rsid w:val="00056562"/>
    <w:rsid w:val="00056FAD"/>
    <w:rsid w:val="00057DD4"/>
    <w:rsid w:val="000606EF"/>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1527"/>
    <w:rsid w:val="00071CD2"/>
    <w:rsid w:val="00071E75"/>
    <w:rsid w:val="000720E2"/>
    <w:rsid w:val="00072770"/>
    <w:rsid w:val="0007305B"/>
    <w:rsid w:val="000730D7"/>
    <w:rsid w:val="000736CD"/>
    <w:rsid w:val="00073707"/>
    <w:rsid w:val="000739A3"/>
    <w:rsid w:val="00073F1E"/>
    <w:rsid w:val="00073FA4"/>
    <w:rsid w:val="000740F2"/>
    <w:rsid w:val="00074383"/>
    <w:rsid w:val="00074A03"/>
    <w:rsid w:val="00074A91"/>
    <w:rsid w:val="00074F8C"/>
    <w:rsid w:val="00075459"/>
    <w:rsid w:val="00075569"/>
    <w:rsid w:val="000756A5"/>
    <w:rsid w:val="000757ED"/>
    <w:rsid w:val="00075AF0"/>
    <w:rsid w:val="00075FA9"/>
    <w:rsid w:val="00076252"/>
    <w:rsid w:val="00076630"/>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F3D"/>
    <w:rsid w:val="0009310B"/>
    <w:rsid w:val="000947FE"/>
    <w:rsid w:val="00094CF1"/>
    <w:rsid w:val="00094E9A"/>
    <w:rsid w:val="000956C8"/>
    <w:rsid w:val="0009698D"/>
    <w:rsid w:val="00096C3A"/>
    <w:rsid w:val="000977FD"/>
    <w:rsid w:val="00097A70"/>
    <w:rsid w:val="000A0137"/>
    <w:rsid w:val="000A024B"/>
    <w:rsid w:val="000A084F"/>
    <w:rsid w:val="000A0CE6"/>
    <w:rsid w:val="000A1146"/>
    <w:rsid w:val="000A12DF"/>
    <w:rsid w:val="000A155F"/>
    <w:rsid w:val="000A18E5"/>
    <w:rsid w:val="000A1D5F"/>
    <w:rsid w:val="000A2A52"/>
    <w:rsid w:val="000A3099"/>
    <w:rsid w:val="000A3222"/>
    <w:rsid w:val="000A3DC3"/>
    <w:rsid w:val="000A43BB"/>
    <w:rsid w:val="000A45B3"/>
    <w:rsid w:val="000A463D"/>
    <w:rsid w:val="000A48E4"/>
    <w:rsid w:val="000A4A45"/>
    <w:rsid w:val="000A4A54"/>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5E9E"/>
    <w:rsid w:val="000B62F7"/>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918"/>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A18"/>
    <w:rsid w:val="000C7298"/>
    <w:rsid w:val="000C7336"/>
    <w:rsid w:val="000C78AB"/>
    <w:rsid w:val="000C7ED8"/>
    <w:rsid w:val="000C7F8E"/>
    <w:rsid w:val="000D04A6"/>
    <w:rsid w:val="000D04F2"/>
    <w:rsid w:val="000D085D"/>
    <w:rsid w:val="000D147F"/>
    <w:rsid w:val="000D14E5"/>
    <w:rsid w:val="000D16CC"/>
    <w:rsid w:val="000D17A6"/>
    <w:rsid w:val="000D1ED2"/>
    <w:rsid w:val="000D28B7"/>
    <w:rsid w:val="000D2E6F"/>
    <w:rsid w:val="000D31A9"/>
    <w:rsid w:val="000D3616"/>
    <w:rsid w:val="000D39B4"/>
    <w:rsid w:val="000D414E"/>
    <w:rsid w:val="000D42D0"/>
    <w:rsid w:val="000D46DE"/>
    <w:rsid w:val="000D4710"/>
    <w:rsid w:val="000D475F"/>
    <w:rsid w:val="000D4995"/>
    <w:rsid w:val="000D569F"/>
    <w:rsid w:val="000D5C93"/>
    <w:rsid w:val="000D6C61"/>
    <w:rsid w:val="000D763C"/>
    <w:rsid w:val="000D7CF5"/>
    <w:rsid w:val="000D7D35"/>
    <w:rsid w:val="000E0A1B"/>
    <w:rsid w:val="000E0AE5"/>
    <w:rsid w:val="000E0BA0"/>
    <w:rsid w:val="000E10EF"/>
    <w:rsid w:val="000E1B8B"/>
    <w:rsid w:val="000E1E11"/>
    <w:rsid w:val="000E2188"/>
    <w:rsid w:val="000E2750"/>
    <w:rsid w:val="000E2770"/>
    <w:rsid w:val="000E333D"/>
    <w:rsid w:val="000E3648"/>
    <w:rsid w:val="000E3F2F"/>
    <w:rsid w:val="000E42FD"/>
    <w:rsid w:val="000E4702"/>
    <w:rsid w:val="000E4927"/>
    <w:rsid w:val="000E49E9"/>
    <w:rsid w:val="000E4AFD"/>
    <w:rsid w:val="000E542F"/>
    <w:rsid w:val="000E66C3"/>
    <w:rsid w:val="000E6AE4"/>
    <w:rsid w:val="000E6AED"/>
    <w:rsid w:val="000E6CE1"/>
    <w:rsid w:val="000E6CF8"/>
    <w:rsid w:val="000E6F10"/>
    <w:rsid w:val="000E70D8"/>
    <w:rsid w:val="000E7677"/>
    <w:rsid w:val="000E7C75"/>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846"/>
    <w:rsid w:val="0010184A"/>
    <w:rsid w:val="001018A7"/>
    <w:rsid w:val="00101957"/>
    <w:rsid w:val="00101B22"/>
    <w:rsid w:val="00101B44"/>
    <w:rsid w:val="001021A1"/>
    <w:rsid w:val="00102DEA"/>
    <w:rsid w:val="00103067"/>
    <w:rsid w:val="0010311D"/>
    <w:rsid w:val="0010314D"/>
    <w:rsid w:val="00103AA7"/>
    <w:rsid w:val="0010424A"/>
    <w:rsid w:val="00104425"/>
    <w:rsid w:val="00104626"/>
    <w:rsid w:val="00104745"/>
    <w:rsid w:val="00104746"/>
    <w:rsid w:val="0010546C"/>
    <w:rsid w:val="001057FA"/>
    <w:rsid w:val="0010599B"/>
    <w:rsid w:val="00105BF3"/>
    <w:rsid w:val="00106291"/>
    <w:rsid w:val="00106390"/>
    <w:rsid w:val="0010694F"/>
    <w:rsid w:val="00106B7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59"/>
    <w:rsid w:val="00112C7D"/>
    <w:rsid w:val="00112FB9"/>
    <w:rsid w:val="00113289"/>
    <w:rsid w:val="001134C0"/>
    <w:rsid w:val="001134D1"/>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20069"/>
    <w:rsid w:val="001204A4"/>
    <w:rsid w:val="001208D1"/>
    <w:rsid w:val="00121F28"/>
    <w:rsid w:val="00121F32"/>
    <w:rsid w:val="00122231"/>
    <w:rsid w:val="00122726"/>
    <w:rsid w:val="001228ED"/>
    <w:rsid w:val="0012377C"/>
    <w:rsid w:val="0012392C"/>
    <w:rsid w:val="00123D0F"/>
    <w:rsid w:val="00123E9F"/>
    <w:rsid w:val="001247E3"/>
    <w:rsid w:val="00124ABB"/>
    <w:rsid w:val="00125657"/>
    <w:rsid w:val="00125AC9"/>
    <w:rsid w:val="00125B39"/>
    <w:rsid w:val="00125FB5"/>
    <w:rsid w:val="00126FD4"/>
    <w:rsid w:val="00127226"/>
    <w:rsid w:val="001273B5"/>
    <w:rsid w:val="0012775E"/>
    <w:rsid w:val="00127795"/>
    <w:rsid w:val="00127D2C"/>
    <w:rsid w:val="00131221"/>
    <w:rsid w:val="00131BB6"/>
    <w:rsid w:val="00132070"/>
    <w:rsid w:val="00132A3B"/>
    <w:rsid w:val="00132EF5"/>
    <w:rsid w:val="00132F90"/>
    <w:rsid w:val="00133C54"/>
    <w:rsid w:val="00133F98"/>
    <w:rsid w:val="00134B2C"/>
    <w:rsid w:val="0013508C"/>
    <w:rsid w:val="001350D7"/>
    <w:rsid w:val="001350FD"/>
    <w:rsid w:val="00135862"/>
    <w:rsid w:val="00135E62"/>
    <w:rsid w:val="00136065"/>
    <w:rsid w:val="00136382"/>
    <w:rsid w:val="00136524"/>
    <w:rsid w:val="001368D7"/>
    <w:rsid w:val="00136F91"/>
    <w:rsid w:val="00137189"/>
    <w:rsid w:val="0013763E"/>
    <w:rsid w:val="001402DB"/>
    <w:rsid w:val="001404BE"/>
    <w:rsid w:val="00140686"/>
    <w:rsid w:val="00141F8A"/>
    <w:rsid w:val="001420B4"/>
    <w:rsid w:val="001421C3"/>
    <w:rsid w:val="0014225E"/>
    <w:rsid w:val="0014273B"/>
    <w:rsid w:val="00142754"/>
    <w:rsid w:val="00142AFF"/>
    <w:rsid w:val="00142D0A"/>
    <w:rsid w:val="00142DF4"/>
    <w:rsid w:val="00143872"/>
    <w:rsid w:val="001444E1"/>
    <w:rsid w:val="00144745"/>
    <w:rsid w:val="00144FB0"/>
    <w:rsid w:val="0014513D"/>
    <w:rsid w:val="001452C2"/>
    <w:rsid w:val="001459ED"/>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C78"/>
    <w:rsid w:val="00153287"/>
    <w:rsid w:val="00153446"/>
    <w:rsid w:val="0015356C"/>
    <w:rsid w:val="0015363C"/>
    <w:rsid w:val="0015394C"/>
    <w:rsid w:val="001547F2"/>
    <w:rsid w:val="00154AD3"/>
    <w:rsid w:val="00154AF1"/>
    <w:rsid w:val="00154BAF"/>
    <w:rsid w:val="001551D2"/>
    <w:rsid w:val="001552D2"/>
    <w:rsid w:val="00155B68"/>
    <w:rsid w:val="00156804"/>
    <w:rsid w:val="00157067"/>
    <w:rsid w:val="00157079"/>
    <w:rsid w:val="0015796D"/>
    <w:rsid w:val="00157C50"/>
    <w:rsid w:val="00157F4A"/>
    <w:rsid w:val="00160219"/>
    <w:rsid w:val="00160989"/>
    <w:rsid w:val="00160A49"/>
    <w:rsid w:val="00161362"/>
    <w:rsid w:val="001615D4"/>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4E3"/>
    <w:rsid w:val="00164614"/>
    <w:rsid w:val="00164705"/>
    <w:rsid w:val="00164B25"/>
    <w:rsid w:val="00164BC6"/>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9D7"/>
    <w:rsid w:val="001A1DA0"/>
    <w:rsid w:val="001A1FC1"/>
    <w:rsid w:val="001A2543"/>
    <w:rsid w:val="001A2BE7"/>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B0B21"/>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FE"/>
    <w:rsid w:val="001B6C89"/>
    <w:rsid w:val="001B7058"/>
    <w:rsid w:val="001B720C"/>
    <w:rsid w:val="001B7525"/>
    <w:rsid w:val="001B7528"/>
    <w:rsid w:val="001B7BE1"/>
    <w:rsid w:val="001B7E03"/>
    <w:rsid w:val="001B7E41"/>
    <w:rsid w:val="001C05D8"/>
    <w:rsid w:val="001C0972"/>
    <w:rsid w:val="001C0B47"/>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614B"/>
    <w:rsid w:val="001C6394"/>
    <w:rsid w:val="001C6573"/>
    <w:rsid w:val="001C6625"/>
    <w:rsid w:val="001C6C8D"/>
    <w:rsid w:val="001C6E79"/>
    <w:rsid w:val="001C7180"/>
    <w:rsid w:val="001C72D1"/>
    <w:rsid w:val="001C72EF"/>
    <w:rsid w:val="001C780E"/>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938"/>
    <w:rsid w:val="001D2BA2"/>
    <w:rsid w:val="001D36D3"/>
    <w:rsid w:val="001D3E9B"/>
    <w:rsid w:val="001D4846"/>
    <w:rsid w:val="001D5299"/>
    <w:rsid w:val="001D55DF"/>
    <w:rsid w:val="001D5789"/>
    <w:rsid w:val="001D5978"/>
    <w:rsid w:val="001D5A47"/>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93B"/>
    <w:rsid w:val="001E70CC"/>
    <w:rsid w:val="001E74BF"/>
    <w:rsid w:val="001E75AC"/>
    <w:rsid w:val="001E76FD"/>
    <w:rsid w:val="001E786A"/>
    <w:rsid w:val="001E7EAC"/>
    <w:rsid w:val="001F01DE"/>
    <w:rsid w:val="001F01DF"/>
    <w:rsid w:val="001F04A1"/>
    <w:rsid w:val="001F06F3"/>
    <w:rsid w:val="001F0748"/>
    <w:rsid w:val="001F0887"/>
    <w:rsid w:val="001F1470"/>
    <w:rsid w:val="001F1557"/>
    <w:rsid w:val="001F1722"/>
    <w:rsid w:val="001F24A1"/>
    <w:rsid w:val="001F25DC"/>
    <w:rsid w:val="001F28EF"/>
    <w:rsid w:val="001F29FD"/>
    <w:rsid w:val="001F2F86"/>
    <w:rsid w:val="001F3344"/>
    <w:rsid w:val="001F34C7"/>
    <w:rsid w:val="001F3A2A"/>
    <w:rsid w:val="001F3A99"/>
    <w:rsid w:val="001F403C"/>
    <w:rsid w:val="001F43FB"/>
    <w:rsid w:val="001F441F"/>
    <w:rsid w:val="001F5083"/>
    <w:rsid w:val="001F50ED"/>
    <w:rsid w:val="001F5303"/>
    <w:rsid w:val="001F5B07"/>
    <w:rsid w:val="001F5C2A"/>
    <w:rsid w:val="001F5E3B"/>
    <w:rsid w:val="001F5F5B"/>
    <w:rsid w:val="001F676E"/>
    <w:rsid w:val="001F6A24"/>
    <w:rsid w:val="001F6FC8"/>
    <w:rsid w:val="001F75B5"/>
    <w:rsid w:val="00200623"/>
    <w:rsid w:val="002007F0"/>
    <w:rsid w:val="00200BE8"/>
    <w:rsid w:val="0020137B"/>
    <w:rsid w:val="002018E2"/>
    <w:rsid w:val="00201E79"/>
    <w:rsid w:val="00201F86"/>
    <w:rsid w:val="002021CA"/>
    <w:rsid w:val="002024BC"/>
    <w:rsid w:val="0020263D"/>
    <w:rsid w:val="00202AA9"/>
    <w:rsid w:val="0020303C"/>
    <w:rsid w:val="00203B69"/>
    <w:rsid w:val="00203FE9"/>
    <w:rsid w:val="0020448E"/>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9FD"/>
    <w:rsid w:val="002150EA"/>
    <w:rsid w:val="002159C3"/>
    <w:rsid w:val="00216510"/>
    <w:rsid w:val="00216C46"/>
    <w:rsid w:val="00216EFD"/>
    <w:rsid w:val="00217022"/>
    <w:rsid w:val="00217522"/>
    <w:rsid w:val="00217980"/>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455"/>
    <w:rsid w:val="002315BC"/>
    <w:rsid w:val="00231632"/>
    <w:rsid w:val="00231639"/>
    <w:rsid w:val="002316FF"/>
    <w:rsid w:val="00231954"/>
    <w:rsid w:val="00231AA5"/>
    <w:rsid w:val="00232176"/>
    <w:rsid w:val="002322F9"/>
    <w:rsid w:val="00232350"/>
    <w:rsid w:val="00232D77"/>
    <w:rsid w:val="00232FA8"/>
    <w:rsid w:val="00233756"/>
    <w:rsid w:val="0023406B"/>
    <w:rsid w:val="00234624"/>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A26"/>
    <w:rsid w:val="00243A2D"/>
    <w:rsid w:val="00243C14"/>
    <w:rsid w:val="00243C3C"/>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968"/>
    <w:rsid w:val="00250100"/>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FBC"/>
    <w:rsid w:val="0026155C"/>
    <w:rsid w:val="002625FB"/>
    <w:rsid w:val="00262A5A"/>
    <w:rsid w:val="002631CE"/>
    <w:rsid w:val="0026337E"/>
    <w:rsid w:val="00263426"/>
    <w:rsid w:val="00263733"/>
    <w:rsid w:val="00263833"/>
    <w:rsid w:val="0026430B"/>
    <w:rsid w:val="002645F9"/>
    <w:rsid w:val="002648D3"/>
    <w:rsid w:val="00264BB2"/>
    <w:rsid w:val="002650D0"/>
    <w:rsid w:val="00265185"/>
    <w:rsid w:val="0026560E"/>
    <w:rsid w:val="00266001"/>
    <w:rsid w:val="0026612B"/>
    <w:rsid w:val="002663E6"/>
    <w:rsid w:val="002665C1"/>
    <w:rsid w:val="0026669C"/>
    <w:rsid w:val="002667D4"/>
    <w:rsid w:val="0026684C"/>
    <w:rsid w:val="002673FC"/>
    <w:rsid w:val="002675D4"/>
    <w:rsid w:val="00267698"/>
    <w:rsid w:val="002676B3"/>
    <w:rsid w:val="002678F2"/>
    <w:rsid w:val="00267EE0"/>
    <w:rsid w:val="00267EF1"/>
    <w:rsid w:val="002705D0"/>
    <w:rsid w:val="002710DB"/>
    <w:rsid w:val="00271D2F"/>
    <w:rsid w:val="002724D2"/>
    <w:rsid w:val="002729CB"/>
    <w:rsid w:val="00272C2B"/>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A75"/>
    <w:rsid w:val="00280E58"/>
    <w:rsid w:val="00281611"/>
    <w:rsid w:val="002819C5"/>
    <w:rsid w:val="0028281C"/>
    <w:rsid w:val="00282BDA"/>
    <w:rsid w:val="00283601"/>
    <w:rsid w:val="002836FD"/>
    <w:rsid w:val="002838B0"/>
    <w:rsid w:val="00283AC3"/>
    <w:rsid w:val="00283BEB"/>
    <w:rsid w:val="00283F53"/>
    <w:rsid w:val="00283FAF"/>
    <w:rsid w:val="00284652"/>
    <w:rsid w:val="00284788"/>
    <w:rsid w:val="002847A3"/>
    <w:rsid w:val="00284D12"/>
    <w:rsid w:val="00284D79"/>
    <w:rsid w:val="0028546A"/>
    <w:rsid w:val="0028549C"/>
    <w:rsid w:val="0028592D"/>
    <w:rsid w:val="00285A20"/>
    <w:rsid w:val="00285A82"/>
    <w:rsid w:val="00285E4D"/>
    <w:rsid w:val="0028640E"/>
    <w:rsid w:val="002868A2"/>
    <w:rsid w:val="002870CE"/>
    <w:rsid w:val="00287182"/>
    <w:rsid w:val="0029055E"/>
    <w:rsid w:val="00291A55"/>
    <w:rsid w:val="00291BE9"/>
    <w:rsid w:val="00291E68"/>
    <w:rsid w:val="00292205"/>
    <w:rsid w:val="00292ADC"/>
    <w:rsid w:val="00292DA0"/>
    <w:rsid w:val="00293084"/>
    <w:rsid w:val="0029390F"/>
    <w:rsid w:val="00293964"/>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B5A"/>
    <w:rsid w:val="002974FD"/>
    <w:rsid w:val="00297913"/>
    <w:rsid w:val="00297BF0"/>
    <w:rsid w:val="002A016F"/>
    <w:rsid w:val="002A02F4"/>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61CD"/>
    <w:rsid w:val="002A62AF"/>
    <w:rsid w:val="002A69FB"/>
    <w:rsid w:val="002A6A6B"/>
    <w:rsid w:val="002A6D49"/>
    <w:rsid w:val="002A70CD"/>
    <w:rsid w:val="002A7332"/>
    <w:rsid w:val="002A76D3"/>
    <w:rsid w:val="002A7C12"/>
    <w:rsid w:val="002B03BF"/>
    <w:rsid w:val="002B06DC"/>
    <w:rsid w:val="002B09F2"/>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7"/>
    <w:rsid w:val="002B5799"/>
    <w:rsid w:val="002B5E4B"/>
    <w:rsid w:val="002B65E1"/>
    <w:rsid w:val="002B6C14"/>
    <w:rsid w:val="002B6D21"/>
    <w:rsid w:val="002B730B"/>
    <w:rsid w:val="002B7F8F"/>
    <w:rsid w:val="002C02AF"/>
    <w:rsid w:val="002C061A"/>
    <w:rsid w:val="002C1202"/>
    <w:rsid w:val="002C1817"/>
    <w:rsid w:val="002C1931"/>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C04"/>
    <w:rsid w:val="002D4714"/>
    <w:rsid w:val="002D4744"/>
    <w:rsid w:val="002D48A3"/>
    <w:rsid w:val="002D4C6B"/>
    <w:rsid w:val="002D5C89"/>
    <w:rsid w:val="002D611E"/>
    <w:rsid w:val="002D6249"/>
    <w:rsid w:val="002D6324"/>
    <w:rsid w:val="002D699D"/>
    <w:rsid w:val="002D6BE8"/>
    <w:rsid w:val="002D7AF9"/>
    <w:rsid w:val="002D7B1D"/>
    <w:rsid w:val="002D7B6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AB5"/>
    <w:rsid w:val="002E5DDD"/>
    <w:rsid w:val="002E6368"/>
    <w:rsid w:val="002E648B"/>
    <w:rsid w:val="002E64B3"/>
    <w:rsid w:val="002E662C"/>
    <w:rsid w:val="002E678F"/>
    <w:rsid w:val="002E6D96"/>
    <w:rsid w:val="002E709C"/>
    <w:rsid w:val="002E797D"/>
    <w:rsid w:val="002E7C93"/>
    <w:rsid w:val="002E7E57"/>
    <w:rsid w:val="002F04E5"/>
    <w:rsid w:val="002F0823"/>
    <w:rsid w:val="002F0F9D"/>
    <w:rsid w:val="002F11CA"/>
    <w:rsid w:val="002F1DB2"/>
    <w:rsid w:val="002F2190"/>
    <w:rsid w:val="002F2C12"/>
    <w:rsid w:val="002F3356"/>
    <w:rsid w:val="002F3497"/>
    <w:rsid w:val="002F364F"/>
    <w:rsid w:val="002F3D21"/>
    <w:rsid w:val="002F3EF2"/>
    <w:rsid w:val="002F3EFC"/>
    <w:rsid w:val="002F45E3"/>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1416"/>
    <w:rsid w:val="00311441"/>
    <w:rsid w:val="00312194"/>
    <w:rsid w:val="003125D7"/>
    <w:rsid w:val="00312842"/>
    <w:rsid w:val="0031289B"/>
    <w:rsid w:val="0031331B"/>
    <w:rsid w:val="00313534"/>
    <w:rsid w:val="00313DF7"/>
    <w:rsid w:val="0031406B"/>
    <w:rsid w:val="0031450E"/>
    <w:rsid w:val="003145C5"/>
    <w:rsid w:val="003148D1"/>
    <w:rsid w:val="00315229"/>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196"/>
    <w:rsid w:val="00325245"/>
    <w:rsid w:val="003252E4"/>
    <w:rsid w:val="003253FB"/>
    <w:rsid w:val="00325540"/>
    <w:rsid w:val="003256AB"/>
    <w:rsid w:val="003256DC"/>
    <w:rsid w:val="00325730"/>
    <w:rsid w:val="00325BBE"/>
    <w:rsid w:val="003265CD"/>
    <w:rsid w:val="00326806"/>
    <w:rsid w:val="003269E9"/>
    <w:rsid w:val="00326A0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9B6"/>
    <w:rsid w:val="00334EBF"/>
    <w:rsid w:val="00335339"/>
    <w:rsid w:val="003356F0"/>
    <w:rsid w:val="00335B7A"/>
    <w:rsid w:val="00335D2C"/>
    <w:rsid w:val="00335D3E"/>
    <w:rsid w:val="00335D85"/>
    <w:rsid w:val="00335DCD"/>
    <w:rsid w:val="003366DF"/>
    <w:rsid w:val="00337718"/>
    <w:rsid w:val="00337DF2"/>
    <w:rsid w:val="00337FAA"/>
    <w:rsid w:val="00340157"/>
    <w:rsid w:val="00340EFC"/>
    <w:rsid w:val="00341B19"/>
    <w:rsid w:val="00341DE3"/>
    <w:rsid w:val="00341E94"/>
    <w:rsid w:val="003425D8"/>
    <w:rsid w:val="00342A01"/>
    <w:rsid w:val="00343098"/>
    <w:rsid w:val="0034384C"/>
    <w:rsid w:val="003438B5"/>
    <w:rsid w:val="00343B0D"/>
    <w:rsid w:val="00343B17"/>
    <w:rsid w:val="00343B7E"/>
    <w:rsid w:val="00344FA1"/>
    <w:rsid w:val="0034513D"/>
    <w:rsid w:val="00345481"/>
    <w:rsid w:val="003458E9"/>
    <w:rsid w:val="003459B2"/>
    <w:rsid w:val="00345E3E"/>
    <w:rsid w:val="003460BE"/>
    <w:rsid w:val="003464C2"/>
    <w:rsid w:val="003469CB"/>
    <w:rsid w:val="00346A51"/>
    <w:rsid w:val="00346BA4"/>
    <w:rsid w:val="00346CA2"/>
    <w:rsid w:val="00346E24"/>
    <w:rsid w:val="0034773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2406"/>
    <w:rsid w:val="00362564"/>
    <w:rsid w:val="00362597"/>
    <w:rsid w:val="00362938"/>
    <w:rsid w:val="00363029"/>
    <w:rsid w:val="0036304A"/>
    <w:rsid w:val="00363E2B"/>
    <w:rsid w:val="00363FAF"/>
    <w:rsid w:val="003640D9"/>
    <w:rsid w:val="00364BF9"/>
    <w:rsid w:val="00364FA3"/>
    <w:rsid w:val="00365333"/>
    <w:rsid w:val="00365376"/>
    <w:rsid w:val="003655C4"/>
    <w:rsid w:val="0036562F"/>
    <w:rsid w:val="00365DBD"/>
    <w:rsid w:val="00365DC4"/>
    <w:rsid w:val="00366329"/>
    <w:rsid w:val="0036687A"/>
    <w:rsid w:val="00366AB5"/>
    <w:rsid w:val="00366C8A"/>
    <w:rsid w:val="00367786"/>
    <w:rsid w:val="00367A4C"/>
    <w:rsid w:val="00367C9F"/>
    <w:rsid w:val="00370114"/>
    <w:rsid w:val="003706FD"/>
    <w:rsid w:val="003708E5"/>
    <w:rsid w:val="003712C0"/>
    <w:rsid w:val="003716A5"/>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724"/>
    <w:rsid w:val="00377748"/>
    <w:rsid w:val="00377D6C"/>
    <w:rsid w:val="00377F26"/>
    <w:rsid w:val="00380435"/>
    <w:rsid w:val="0038051C"/>
    <w:rsid w:val="0038062A"/>
    <w:rsid w:val="003806B2"/>
    <w:rsid w:val="00380722"/>
    <w:rsid w:val="003807BA"/>
    <w:rsid w:val="00380877"/>
    <w:rsid w:val="00380BD1"/>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B7F"/>
    <w:rsid w:val="00384AF8"/>
    <w:rsid w:val="003850CE"/>
    <w:rsid w:val="0038543F"/>
    <w:rsid w:val="00385E33"/>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9BA"/>
    <w:rsid w:val="00392BA3"/>
    <w:rsid w:val="00392BC1"/>
    <w:rsid w:val="00392BEF"/>
    <w:rsid w:val="00392C56"/>
    <w:rsid w:val="00392DCB"/>
    <w:rsid w:val="0039393E"/>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295"/>
    <w:rsid w:val="003A66A3"/>
    <w:rsid w:val="003A6B23"/>
    <w:rsid w:val="003A737A"/>
    <w:rsid w:val="003B0336"/>
    <w:rsid w:val="003B03E4"/>
    <w:rsid w:val="003B1B0D"/>
    <w:rsid w:val="003B1EB5"/>
    <w:rsid w:val="003B21DC"/>
    <w:rsid w:val="003B2606"/>
    <w:rsid w:val="003B363F"/>
    <w:rsid w:val="003B3788"/>
    <w:rsid w:val="003B391A"/>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96B"/>
    <w:rsid w:val="003C29F3"/>
    <w:rsid w:val="003C32D6"/>
    <w:rsid w:val="003C3CA0"/>
    <w:rsid w:val="003C3DDA"/>
    <w:rsid w:val="003C462E"/>
    <w:rsid w:val="003C46B0"/>
    <w:rsid w:val="003C470B"/>
    <w:rsid w:val="003C479E"/>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51C0"/>
    <w:rsid w:val="003D583F"/>
    <w:rsid w:val="003D5F68"/>
    <w:rsid w:val="003D6D09"/>
    <w:rsid w:val="003D7461"/>
    <w:rsid w:val="003D7B9E"/>
    <w:rsid w:val="003E0026"/>
    <w:rsid w:val="003E0BD9"/>
    <w:rsid w:val="003E0E7B"/>
    <w:rsid w:val="003E10D3"/>
    <w:rsid w:val="003E1313"/>
    <w:rsid w:val="003E16B6"/>
    <w:rsid w:val="003E1B1C"/>
    <w:rsid w:val="003E1E2F"/>
    <w:rsid w:val="003E20A6"/>
    <w:rsid w:val="003E2966"/>
    <w:rsid w:val="003E316D"/>
    <w:rsid w:val="003E3214"/>
    <w:rsid w:val="003E322E"/>
    <w:rsid w:val="003E37BD"/>
    <w:rsid w:val="003E3FAC"/>
    <w:rsid w:val="003E425A"/>
    <w:rsid w:val="003E48FE"/>
    <w:rsid w:val="003E4CAC"/>
    <w:rsid w:val="003E54CA"/>
    <w:rsid w:val="003E5A44"/>
    <w:rsid w:val="003E5DB7"/>
    <w:rsid w:val="003E6B7F"/>
    <w:rsid w:val="003E7134"/>
    <w:rsid w:val="003E723E"/>
    <w:rsid w:val="003E7674"/>
    <w:rsid w:val="003E7685"/>
    <w:rsid w:val="003E7902"/>
    <w:rsid w:val="003E7AB5"/>
    <w:rsid w:val="003E7B37"/>
    <w:rsid w:val="003F08AC"/>
    <w:rsid w:val="003F08EC"/>
    <w:rsid w:val="003F0F94"/>
    <w:rsid w:val="003F12E1"/>
    <w:rsid w:val="003F135E"/>
    <w:rsid w:val="003F1B20"/>
    <w:rsid w:val="003F1B3F"/>
    <w:rsid w:val="003F1C58"/>
    <w:rsid w:val="003F23B1"/>
    <w:rsid w:val="003F23FD"/>
    <w:rsid w:val="003F2824"/>
    <w:rsid w:val="003F2A65"/>
    <w:rsid w:val="003F2DD2"/>
    <w:rsid w:val="003F2DE4"/>
    <w:rsid w:val="003F2E1F"/>
    <w:rsid w:val="003F31CB"/>
    <w:rsid w:val="003F3635"/>
    <w:rsid w:val="003F40F5"/>
    <w:rsid w:val="003F4118"/>
    <w:rsid w:val="003F44A6"/>
    <w:rsid w:val="003F46F5"/>
    <w:rsid w:val="003F4920"/>
    <w:rsid w:val="003F4A3F"/>
    <w:rsid w:val="003F61B2"/>
    <w:rsid w:val="003F62E7"/>
    <w:rsid w:val="003F63F4"/>
    <w:rsid w:val="003F6926"/>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F89"/>
    <w:rsid w:val="0040322B"/>
    <w:rsid w:val="0040360A"/>
    <w:rsid w:val="00403AB3"/>
    <w:rsid w:val="00403C92"/>
    <w:rsid w:val="00404241"/>
    <w:rsid w:val="00404653"/>
    <w:rsid w:val="00404AD0"/>
    <w:rsid w:val="00404F14"/>
    <w:rsid w:val="004052DF"/>
    <w:rsid w:val="004054A4"/>
    <w:rsid w:val="004059EA"/>
    <w:rsid w:val="00405A3B"/>
    <w:rsid w:val="00405DED"/>
    <w:rsid w:val="00406075"/>
    <w:rsid w:val="004060F4"/>
    <w:rsid w:val="0040633F"/>
    <w:rsid w:val="00406B3A"/>
    <w:rsid w:val="00407DC7"/>
    <w:rsid w:val="004104E0"/>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B1F"/>
    <w:rsid w:val="00416045"/>
    <w:rsid w:val="0041657F"/>
    <w:rsid w:val="00417097"/>
    <w:rsid w:val="00417893"/>
    <w:rsid w:val="004178C8"/>
    <w:rsid w:val="004179CD"/>
    <w:rsid w:val="00417EFB"/>
    <w:rsid w:val="00420137"/>
    <w:rsid w:val="00420286"/>
    <w:rsid w:val="00420891"/>
    <w:rsid w:val="00420C54"/>
    <w:rsid w:val="0042141D"/>
    <w:rsid w:val="004216B4"/>
    <w:rsid w:val="00421F2E"/>
    <w:rsid w:val="00422B61"/>
    <w:rsid w:val="004230C2"/>
    <w:rsid w:val="00423178"/>
    <w:rsid w:val="004233FA"/>
    <w:rsid w:val="00423409"/>
    <w:rsid w:val="004234B6"/>
    <w:rsid w:val="00423619"/>
    <w:rsid w:val="00423D2C"/>
    <w:rsid w:val="00423E82"/>
    <w:rsid w:val="00425001"/>
    <w:rsid w:val="00425022"/>
    <w:rsid w:val="00425474"/>
    <w:rsid w:val="0042560A"/>
    <w:rsid w:val="004256C1"/>
    <w:rsid w:val="004259CD"/>
    <w:rsid w:val="00425A30"/>
    <w:rsid w:val="00425BEF"/>
    <w:rsid w:val="00425BF3"/>
    <w:rsid w:val="00425E81"/>
    <w:rsid w:val="004260FA"/>
    <w:rsid w:val="00427393"/>
    <w:rsid w:val="00427778"/>
    <w:rsid w:val="00430015"/>
    <w:rsid w:val="00430D53"/>
    <w:rsid w:val="00430DC7"/>
    <w:rsid w:val="00431409"/>
    <w:rsid w:val="00431767"/>
    <w:rsid w:val="00431B8C"/>
    <w:rsid w:val="00431CB4"/>
    <w:rsid w:val="00431F34"/>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81A"/>
    <w:rsid w:val="004554DB"/>
    <w:rsid w:val="004557FF"/>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348"/>
    <w:rsid w:val="00471DA8"/>
    <w:rsid w:val="00472105"/>
    <w:rsid w:val="00472165"/>
    <w:rsid w:val="004721D0"/>
    <w:rsid w:val="00472352"/>
    <w:rsid w:val="0047244C"/>
    <w:rsid w:val="00472BB1"/>
    <w:rsid w:val="00472C4F"/>
    <w:rsid w:val="00472DE3"/>
    <w:rsid w:val="00472F4E"/>
    <w:rsid w:val="0047353C"/>
    <w:rsid w:val="004736CA"/>
    <w:rsid w:val="00473752"/>
    <w:rsid w:val="00473841"/>
    <w:rsid w:val="00473D20"/>
    <w:rsid w:val="00473DF1"/>
    <w:rsid w:val="00474160"/>
    <w:rsid w:val="0047478C"/>
    <w:rsid w:val="0047560D"/>
    <w:rsid w:val="0047606C"/>
    <w:rsid w:val="0047663A"/>
    <w:rsid w:val="00477900"/>
    <w:rsid w:val="00477C6C"/>
    <w:rsid w:val="00480137"/>
    <w:rsid w:val="004804DC"/>
    <w:rsid w:val="0048081E"/>
    <w:rsid w:val="00480D73"/>
    <w:rsid w:val="00480D9D"/>
    <w:rsid w:val="00481791"/>
    <w:rsid w:val="004818A6"/>
    <w:rsid w:val="00481D45"/>
    <w:rsid w:val="0048271D"/>
    <w:rsid w:val="0048308B"/>
    <w:rsid w:val="00483153"/>
    <w:rsid w:val="004838DE"/>
    <w:rsid w:val="00483A8B"/>
    <w:rsid w:val="00483DC3"/>
    <w:rsid w:val="004840AB"/>
    <w:rsid w:val="004842F0"/>
    <w:rsid w:val="00484308"/>
    <w:rsid w:val="00484F68"/>
    <w:rsid w:val="00485402"/>
    <w:rsid w:val="004859B4"/>
    <w:rsid w:val="00485BE5"/>
    <w:rsid w:val="00485CA4"/>
    <w:rsid w:val="00486899"/>
    <w:rsid w:val="00486C40"/>
    <w:rsid w:val="00486F30"/>
    <w:rsid w:val="00487BEF"/>
    <w:rsid w:val="00487D8E"/>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A0022"/>
    <w:rsid w:val="004A0648"/>
    <w:rsid w:val="004A0E95"/>
    <w:rsid w:val="004A1534"/>
    <w:rsid w:val="004A23F0"/>
    <w:rsid w:val="004A2DD7"/>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579"/>
    <w:rsid w:val="004B05A3"/>
    <w:rsid w:val="004B06F4"/>
    <w:rsid w:val="004B0742"/>
    <w:rsid w:val="004B0825"/>
    <w:rsid w:val="004B0A48"/>
    <w:rsid w:val="004B0BE0"/>
    <w:rsid w:val="004B16E8"/>
    <w:rsid w:val="004B1881"/>
    <w:rsid w:val="004B1CEA"/>
    <w:rsid w:val="004B1D19"/>
    <w:rsid w:val="004B1DCA"/>
    <w:rsid w:val="004B20EC"/>
    <w:rsid w:val="004B2240"/>
    <w:rsid w:val="004B22E4"/>
    <w:rsid w:val="004B2ACD"/>
    <w:rsid w:val="004B312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33AE"/>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67F"/>
    <w:rsid w:val="004D28FC"/>
    <w:rsid w:val="004D2CDD"/>
    <w:rsid w:val="004D2E7A"/>
    <w:rsid w:val="004D414D"/>
    <w:rsid w:val="004D508A"/>
    <w:rsid w:val="004D52F4"/>
    <w:rsid w:val="004D5676"/>
    <w:rsid w:val="004D6E39"/>
    <w:rsid w:val="004D6FA5"/>
    <w:rsid w:val="004D7EFC"/>
    <w:rsid w:val="004E01B6"/>
    <w:rsid w:val="004E0244"/>
    <w:rsid w:val="004E03AB"/>
    <w:rsid w:val="004E077D"/>
    <w:rsid w:val="004E07A8"/>
    <w:rsid w:val="004E09EF"/>
    <w:rsid w:val="004E135C"/>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F9D"/>
    <w:rsid w:val="005013E6"/>
    <w:rsid w:val="005018D5"/>
    <w:rsid w:val="00501BA6"/>
    <w:rsid w:val="00501CD6"/>
    <w:rsid w:val="00502196"/>
    <w:rsid w:val="00502564"/>
    <w:rsid w:val="00502760"/>
    <w:rsid w:val="00502A24"/>
    <w:rsid w:val="00502B44"/>
    <w:rsid w:val="00502D5A"/>
    <w:rsid w:val="005031DD"/>
    <w:rsid w:val="00503824"/>
    <w:rsid w:val="00503AAD"/>
    <w:rsid w:val="00503CF4"/>
    <w:rsid w:val="00503DA0"/>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BDD"/>
    <w:rsid w:val="00513CB6"/>
    <w:rsid w:val="00513ED2"/>
    <w:rsid w:val="00514157"/>
    <w:rsid w:val="0051465B"/>
    <w:rsid w:val="00514780"/>
    <w:rsid w:val="00514792"/>
    <w:rsid w:val="005157B1"/>
    <w:rsid w:val="00516547"/>
    <w:rsid w:val="0051667C"/>
    <w:rsid w:val="00516D39"/>
    <w:rsid w:val="00516D71"/>
    <w:rsid w:val="00516E60"/>
    <w:rsid w:val="005170D2"/>
    <w:rsid w:val="00517355"/>
    <w:rsid w:val="00517495"/>
    <w:rsid w:val="005178C8"/>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5279"/>
    <w:rsid w:val="005256A6"/>
    <w:rsid w:val="00525A3C"/>
    <w:rsid w:val="00525BDD"/>
    <w:rsid w:val="00525C18"/>
    <w:rsid w:val="00525D0C"/>
    <w:rsid w:val="00525DB0"/>
    <w:rsid w:val="00525FC4"/>
    <w:rsid w:val="00526FEA"/>
    <w:rsid w:val="005271CF"/>
    <w:rsid w:val="0052762E"/>
    <w:rsid w:val="005302E8"/>
    <w:rsid w:val="0053078B"/>
    <w:rsid w:val="00530795"/>
    <w:rsid w:val="005308F4"/>
    <w:rsid w:val="005309E4"/>
    <w:rsid w:val="00530ADC"/>
    <w:rsid w:val="00530D74"/>
    <w:rsid w:val="00530E4E"/>
    <w:rsid w:val="0053123E"/>
    <w:rsid w:val="005312D6"/>
    <w:rsid w:val="00531E4B"/>
    <w:rsid w:val="00531E59"/>
    <w:rsid w:val="00531EB6"/>
    <w:rsid w:val="00531ECB"/>
    <w:rsid w:val="00532422"/>
    <w:rsid w:val="005331D5"/>
    <w:rsid w:val="00533556"/>
    <w:rsid w:val="00533A2F"/>
    <w:rsid w:val="00533CE3"/>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E7"/>
    <w:rsid w:val="0054411F"/>
    <w:rsid w:val="00544823"/>
    <w:rsid w:val="0054485D"/>
    <w:rsid w:val="00544C53"/>
    <w:rsid w:val="00544C6D"/>
    <w:rsid w:val="00545355"/>
    <w:rsid w:val="0054557C"/>
    <w:rsid w:val="00545CE9"/>
    <w:rsid w:val="0054654F"/>
    <w:rsid w:val="00546616"/>
    <w:rsid w:val="005469CA"/>
    <w:rsid w:val="00547555"/>
    <w:rsid w:val="0055012F"/>
    <w:rsid w:val="005503CE"/>
    <w:rsid w:val="005504E8"/>
    <w:rsid w:val="005504EF"/>
    <w:rsid w:val="00550561"/>
    <w:rsid w:val="00550655"/>
    <w:rsid w:val="0055070A"/>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748"/>
    <w:rsid w:val="0055480C"/>
    <w:rsid w:val="00554A7F"/>
    <w:rsid w:val="00554AA1"/>
    <w:rsid w:val="00554B3D"/>
    <w:rsid w:val="00554B51"/>
    <w:rsid w:val="00554EB3"/>
    <w:rsid w:val="00554F4D"/>
    <w:rsid w:val="00554F89"/>
    <w:rsid w:val="00555A57"/>
    <w:rsid w:val="00556309"/>
    <w:rsid w:val="0055646E"/>
    <w:rsid w:val="00556B2D"/>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D5F"/>
    <w:rsid w:val="005623FF"/>
    <w:rsid w:val="00562528"/>
    <w:rsid w:val="00562AC2"/>
    <w:rsid w:val="00562D16"/>
    <w:rsid w:val="0056339A"/>
    <w:rsid w:val="00563767"/>
    <w:rsid w:val="005638E8"/>
    <w:rsid w:val="0056406C"/>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C57"/>
    <w:rsid w:val="0057234B"/>
    <w:rsid w:val="00572E92"/>
    <w:rsid w:val="00572FCE"/>
    <w:rsid w:val="00573725"/>
    <w:rsid w:val="00573A56"/>
    <w:rsid w:val="00573D4A"/>
    <w:rsid w:val="00574395"/>
    <w:rsid w:val="005749D3"/>
    <w:rsid w:val="005749D9"/>
    <w:rsid w:val="00576022"/>
    <w:rsid w:val="005763BF"/>
    <w:rsid w:val="00576AFC"/>
    <w:rsid w:val="00576EB9"/>
    <w:rsid w:val="00577B2C"/>
    <w:rsid w:val="00580B17"/>
    <w:rsid w:val="00580D09"/>
    <w:rsid w:val="00580E03"/>
    <w:rsid w:val="005814DF"/>
    <w:rsid w:val="00581A15"/>
    <w:rsid w:val="00581DE9"/>
    <w:rsid w:val="0058216A"/>
    <w:rsid w:val="005824D6"/>
    <w:rsid w:val="00582589"/>
    <w:rsid w:val="00582A91"/>
    <w:rsid w:val="00582ED8"/>
    <w:rsid w:val="00583283"/>
    <w:rsid w:val="005835A1"/>
    <w:rsid w:val="0058364B"/>
    <w:rsid w:val="00583BAB"/>
    <w:rsid w:val="00583EE1"/>
    <w:rsid w:val="005848A3"/>
    <w:rsid w:val="0058491C"/>
    <w:rsid w:val="00584A41"/>
    <w:rsid w:val="00584CE5"/>
    <w:rsid w:val="00585316"/>
    <w:rsid w:val="00585685"/>
    <w:rsid w:val="00585732"/>
    <w:rsid w:val="00585780"/>
    <w:rsid w:val="00585B0D"/>
    <w:rsid w:val="00585FDB"/>
    <w:rsid w:val="0058628C"/>
    <w:rsid w:val="00586460"/>
    <w:rsid w:val="00586619"/>
    <w:rsid w:val="00586880"/>
    <w:rsid w:val="00586EC9"/>
    <w:rsid w:val="00587215"/>
    <w:rsid w:val="005874BF"/>
    <w:rsid w:val="00587A41"/>
    <w:rsid w:val="00587AF1"/>
    <w:rsid w:val="00587D9D"/>
    <w:rsid w:val="0059001F"/>
    <w:rsid w:val="00590468"/>
    <w:rsid w:val="005904C1"/>
    <w:rsid w:val="00590756"/>
    <w:rsid w:val="00590803"/>
    <w:rsid w:val="005909B7"/>
    <w:rsid w:val="00590C6A"/>
    <w:rsid w:val="00590F46"/>
    <w:rsid w:val="00591422"/>
    <w:rsid w:val="00591B21"/>
    <w:rsid w:val="00591F44"/>
    <w:rsid w:val="005925D0"/>
    <w:rsid w:val="00592CCB"/>
    <w:rsid w:val="00592D35"/>
    <w:rsid w:val="00593227"/>
    <w:rsid w:val="005934A2"/>
    <w:rsid w:val="00594A7A"/>
    <w:rsid w:val="00594C79"/>
    <w:rsid w:val="00594E0C"/>
    <w:rsid w:val="00595702"/>
    <w:rsid w:val="00595C0E"/>
    <w:rsid w:val="00595D31"/>
    <w:rsid w:val="0059611D"/>
    <w:rsid w:val="00596449"/>
    <w:rsid w:val="0059657C"/>
    <w:rsid w:val="00596843"/>
    <w:rsid w:val="00596AE4"/>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FE"/>
    <w:rsid w:val="005A3EDA"/>
    <w:rsid w:val="005A438B"/>
    <w:rsid w:val="005A45DB"/>
    <w:rsid w:val="005A486E"/>
    <w:rsid w:val="005A4D0F"/>
    <w:rsid w:val="005A4E48"/>
    <w:rsid w:val="005A4FDD"/>
    <w:rsid w:val="005A56FB"/>
    <w:rsid w:val="005A5888"/>
    <w:rsid w:val="005A6093"/>
    <w:rsid w:val="005A67D6"/>
    <w:rsid w:val="005A68D5"/>
    <w:rsid w:val="005A6F0D"/>
    <w:rsid w:val="005A6FA8"/>
    <w:rsid w:val="005A706A"/>
    <w:rsid w:val="005A71F0"/>
    <w:rsid w:val="005A72BA"/>
    <w:rsid w:val="005A7426"/>
    <w:rsid w:val="005A78FA"/>
    <w:rsid w:val="005A7F94"/>
    <w:rsid w:val="005B0886"/>
    <w:rsid w:val="005B0ADB"/>
    <w:rsid w:val="005B0C4A"/>
    <w:rsid w:val="005B0CB1"/>
    <w:rsid w:val="005B0E0D"/>
    <w:rsid w:val="005B12C7"/>
    <w:rsid w:val="005B16F7"/>
    <w:rsid w:val="005B17E8"/>
    <w:rsid w:val="005B1886"/>
    <w:rsid w:val="005B1A2F"/>
    <w:rsid w:val="005B1B6B"/>
    <w:rsid w:val="005B2103"/>
    <w:rsid w:val="005B2671"/>
    <w:rsid w:val="005B2CA0"/>
    <w:rsid w:val="005B3728"/>
    <w:rsid w:val="005B3A94"/>
    <w:rsid w:val="005B3D2A"/>
    <w:rsid w:val="005B3D4C"/>
    <w:rsid w:val="005B3DFF"/>
    <w:rsid w:val="005B4BBB"/>
    <w:rsid w:val="005B4C59"/>
    <w:rsid w:val="005B4D3E"/>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72E"/>
    <w:rsid w:val="005C1A95"/>
    <w:rsid w:val="005C2655"/>
    <w:rsid w:val="005C26AF"/>
    <w:rsid w:val="005C2878"/>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88B"/>
    <w:rsid w:val="005D1E08"/>
    <w:rsid w:val="005D1E4C"/>
    <w:rsid w:val="005D22AD"/>
    <w:rsid w:val="005D25AF"/>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54B1"/>
    <w:rsid w:val="005D5E64"/>
    <w:rsid w:val="005D5F65"/>
    <w:rsid w:val="005D6244"/>
    <w:rsid w:val="005D6308"/>
    <w:rsid w:val="005D6647"/>
    <w:rsid w:val="005D6B61"/>
    <w:rsid w:val="005D7506"/>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A22"/>
    <w:rsid w:val="005F0077"/>
    <w:rsid w:val="005F0351"/>
    <w:rsid w:val="005F07B3"/>
    <w:rsid w:val="005F1A19"/>
    <w:rsid w:val="005F1B23"/>
    <w:rsid w:val="005F20D2"/>
    <w:rsid w:val="005F2366"/>
    <w:rsid w:val="005F2369"/>
    <w:rsid w:val="005F2802"/>
    <w:rsid w:val="005F2B8F"/>
    <w:rsid w:val="005F2BB5"/>
    <w:rsid w:val="005F353B"/>
    <w:rsid w:val="005F3845"/>
    <w:rsid w:val="005F3F42"/>
    <w:rsid w:val="005F424F"/>
    <w:rsid w:val="005F4339"/>
    <w:rsid w:val="005F437B"/>
    <w:rsid w:val="005F4F0D"/>
    <w:rsid w:val="005F5299"/>
    <w:rsid w:val="005F5344"/>
    <w:rsid w:val="005F5397"/>
    <w:rsid w:val="005F53B3"/>
    <w:rsid w:val="005F5DA5"/>
    <w:rsid w:val="005F5F5D"/>
    <w:rsid w:val="005F60F6"/>
    <w:rsid w:val="005F635E"/>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53C1"/>
    <w:rsid w:val="00605420"/>
    <w:rsid w:val="0060556F"/>
    <w:rsid w:val="00605801"/>
    <w:rsid w:val="006060D3"/>
    <w:rsid w:val="00606383"/>
    <w:rsid w:val="00606BCF"/>
    <w:rsid w:val="00606E9D"/>
    <w:rsid w:val="00607175"/>
    <w:rsid w:val="00607191"/>
    <w:rsid w:val="00607371"/>
    <w:rsid w:val="0060784C"/>
    <w:rsid w:val="00607C8C"/>
    <w:rsid w:val="006102B2"/>
    <w:rsid w:val="00610501"/>
    <w:rsid w:val="00610A02"/>
    <w:rsid w:val="00610F0D"/>
    <w:rsid w:val="00610FBE"/>
    <w:rsid w:val="006112A4"/>
    <w:rsid w:val="00611425"/>
    <w:rsid w:val="006114F2"/>
    <w:rsid w:val="00611815"/>
    <w:rsid w:val="00611B9B"/>
    <w:rsid w:val="00611C02"/>
    <w:rsid w:val="00611C49"/>
    <w:rsid w:val="00612207"/>
    <w:rsid w:val="00612344"/>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6656"/>
    <w:rsid w:val="0061665C"/>
    <w:rsid w:val="00616FE0"/>
    <w:rsid w:val="00617995"/>
    <w:rsid w:val="00617B18"/>
    <w:rsid w:val="00617B92"/>
    <w:rsid w:val="00620C7C"/>
    <w:rsid w:val="00621029"/>
    <w:rsid w:val="00621B0C"/>
    <w:rsid w:val="00622658"/>
    <w:rsid w:val="00622738"/>
    <w:rsid w:val="0062305F"/>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4312"/>
    <w:rsid w:val="00635186"/>
    <w:rsid w:val="006358C8"/>
    <w:rsid w:val="00635FA9"/>
    <w:rsid w:val="006364DC"/>
    <w:rsid w:val="006368ED"/>
    <w:rsid w:val="006369A6"/>
    <w:rsid w:val="00636C88"/>
    <w:rsid w:val="00637784"/>
    <w:rsid w:val="00637814"/>
    <w:rsid w:val="0063796C"/>
    <w:rsid w:val="006379E9"/>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FD4"/>
    <w:rsid w:val="00644E60"/>
    <w:rsid w:val="006450A9"/>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E9C"/>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4520"/>
    <w:rsid w:val="00664541"/>
    <w:rsid w:val="00665D8A"/>
    <w:rsid w:val="0066628E"/>
    <w:rsid w:val="0066678E"/>
    <w:rsid w:val="00666AE4"/>
    <w:rsid w:val="00666B0B"/>
    <w:rsid w:val="006672B7"/>
    <w:rsid w:val="00667926"/>
    <w:rsid w:val="00667B00"/>
    <w:rsid w:val="00670A47"/>
    <w:rsid w:val="0067101B"/>
    <w:rsid w:val="0067103C"/>
    <w:rsid w:val="00671598"/>
    <w:rsid w:val="006717B9"/>
    <w:rsid w:val="00672BB4"/>
    <w:rsid w:val="00672D88"/>
    <w:rsid w:val="00673009"/>
    <w:rsid w:val="006734C4"/>
    <w:rsid w:val="00673E55"/>
    <w:rsid w:val="00673F69"/>
    <w:rsid w:val="0067482B"/>
    <w:rsid w:val="006748C3"/>
    <w:rsid w:val="00674DDB"/>
    <w:rsid w:val="00674F1C"/>
    <w:rsid w:val="00674F32"/>
    <w:rsid w:val="006759DF"/>
    <w:rsid w:val="00675D65"/>
    <w:rsid w:val="006760AD"/>
    <w:rsid w:val="0067616A"/>
    <w:rsid w:val="006767A4"/>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AE9"/>
    <w:rsid w:val="00695CA6"/>
    <w:rsid w:val="00696565"/>
    <w:rsid w:val="00696949"/>
    <w:rsid w:val="006971E0"/>
    <w:rsid w:val="00697461"/>
    <w:rsid w:val="00697F93"/>
    <w:rsid w:val="00697FD1"/>
    <w:rsid w:val="006A0147"/>
    <w:rsid w:val="006A01F7"/>
    <w:rsid w:val="006A06A8"/>
    <w:rsid w:val="006A0747"/>
    <w:rsid w:val="006A0748"/>
    <w:rsid w:val="006A0755"/>
    <w:rsid w:val="006A09CB"/>
    <w:rsid w:val="006A0DD3"/>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DA1"/>
    <w:rsid w:val="006A7F8A"/>
    <w:rsid w:val="006B03DB"/>
    <w:rsid w:val="006B0D83"/>
    <w:rsid w:val="006B18B8"/>
    <w:rsid w:val="006B2144"/>
    <w:rsid w:val="006B2652"/>
    <w:rsid w:val="006B279D"/>
    <w:rsid w:val="006B28A2"/>
    <w:rsid w:val="006B28B6"/>
    <w:rsid w:val="006B29C7"/>
    <w:rsid w:val="006B2D09"/>
    <w:rsid w:val="006B2E55"/>
    <w:rsid w:val="006B34CE"/>
    <w:rsid w:val="006B3545"/>
    <w:rsid w:val="006B3639"/>
    <w:rsid w:val="006B3D6D"/>
    <w:rsid w:val="006B41EF"/>
    <w:rsid w:val="006B46BB"/>
    <w:rsid w:val="006B4A97"/>
    <w:rsid w:val="006B4B2C"/>
    <w:rsid w:val="006B5270"/>
    <w:rsid w:val="006B5A5E"/>
    <w:rsid w:val="006B5DBB"/>
    <w:rsid w:val="006B6023"/>
    <w:rsid w:val="006B6498"/>
    <w:rsid w:val="006B7365"/>
    <w:rsid w:val="006B7376"/>
    <w:rsid w:val="006B775B"/>
    <w:rsid w:val="006C00D3"/>
    <w:rsid w:val="006C074C"/>
    <w:rsid w:val="006C0D20"/>
    <w:rsid w:val="006C10E8"/>
    <w:rsid w:val="006C16B5"/>
    <w:rsid w:val="006C184B"/>
    <w:rsid w:val="006C2F17"/>
    <w:rsid w:val="006C336B"/>
    <w:rsid w:val="006C3A71"/>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603"/>
    <w:rsid w:val="006D2929"/>
    <w:rsid w:val="006D2A93"/>
    <w:rsid w:val="006D2DE8"/>
    <w:rsid w:val="006D2E6E"/>
    <w:rsid w:val="006D303E"/>
    <w:rsid w:val="006D30F8"/>
    <w:rsid w:val="006D3141"/>
    <w:rsid w:val="006D3EAC"/>
    <w:rsid w:val="006D40DD"/>
    <w:rsid w:val="006D4255"/>
    <w:rsid w:val="006D444C"/>
    <w:rsid w:val="006D4589"/>
    <w:rsid w:val="006D49FB"/>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D53"/>
    <w:rsid w:val="006E6DE9"/>
    <w:rsid w:val="006E76CB"/>
    <w:rsid w:val="006E787A"/>
    <w:rsid w:val="006E7A6D"/>
    <w:rsid w:val="006E7AF8"/>
    <w:rsid w:val="006F016B"/>
    <w:rsid w:val="006F02A7"/>
    <w:rsid w:val="006F059E"/>
    <w:rsid w:val="006F0D25"/>
    <w:rsid w:val="006F0E07"/>
    <w:rsid w:val="006F1792"/>
    <w:rsid w:val="006F17B3"/>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AD0"/>
    <w:rsid w:val="006F7799"/>
    <w:rsid w:val="006F7B46"/>
    <w:rsid w:val="00700060"/>
    <w:rsid w:val="0070055D"/>
    <w:rsid w:val="0070162B"/>
    <w:rsid w:val="007019F7"/>
    <w:rsid w:val="00701DEC"/>
    <w:rsid w:val="0070233A"/>
    <w:rsid w:val="00702844"/>
    <w:rsid w:val="00702C84"/>
    <w:rsid w:val="00703176"/>
    <w:rsid w:val="00704388"/>
    <w:rsid w:val="00704460"/>
    <w:rsid w:val="00704921"/>
    <w:rsid w:val="00705176"/>
    <w:rsid w:val="00705330"/>
    <w:rsid w:val="0070576B"/>
    <w:rsid w:val="00705785"/>
    <w:rsid w:val="00705B62"/>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AC5"/>
    <w:rsid w:val="00716B22"/>
    <w:rsid w:val="007209DD"/>
    <w:rsid w:val="00720C2A"/>
    <w:rsid w:val="00720E20"/>
    <w:rsid w:val="00720E3B"/>
    <w:rsid w:val="00721078"/>
    <w:rsid w:val="00721C33"/>
    <w:rsid w:val="00721CBF"/>
    <w:rsid w:val="00721EA8"/>
    <w:rsid w:val="007220E4"/>
    <w:rsid w:val="0072230D"/>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73CC"/>
    <w:rsid w:val="007279BE"/>
    <w:rsid w:val="00727D44"/>
    <w:rsid w:val="00727EE0"/>
    <w:rsid w:val="007300A8"/>
    <w:rsid w:val="00730C09"/>
    <w:rsid w:val="00730D21"/>
    <w:rsid w:val="00731427"/>
    <w:rsid w:val="0073184C"/>
    <w:rsid w:val="00731B6E"/>
    <w:rsid w:val="007326A0"/>
    <w:rsid w:val="0073301B"/>
    <w:rsid w:val="00733778"/>
    <w:rsid w:val="00733CAB"/>
    <w:rsid w:val="00733D6E"/>
    <w:rsid w:val="00734860"/>
    <w:rsid w:val="007348F7"/>
    <w:rsid w:val="00734D4A"/>
    <w:rsid w:val="00734F05"/>
    <w:rsid w:val="00735095"/>
    <w:rsid w:val="00735398"/>
    <w:rsid w:val="00735747"/>
    <w:rsid w:val="00735C16"/>
    <w:rsid w:val="00735F23"/>
    <w:rsid w:val="00736978"/>
    <w:rsid w:val="007369EA"/>
    <w:rsid w:val="00736F0D"/>
    <w:rsid w:val="0073747E"/>
    <w:rsid w:val="007377AA"/>
    <w:rsid w:val="007377B5"/>
    <w:rsid w:val="00737BFB"/>
    <w:rsid w:val="00737D9B"/>
    <w:rsid w:val="007403CC"/>
    <w:rsid w:val="00740746"/>
    <w:rsid w:val="00740794"/>
    <w:rsid w:val="0074095B"/>
    <w:rsid w:val="0074096A"/>
    <w:rsid w:val="00740B8D"/>
    <w:rsid w:val="0074154D"/>
    <w:rsid w:val="00741A5F"/>
    <w:rsid w:val="007425FF"/>
    <w:rsid w:val="007427AA"/>
    <w:rsid w:val="00742D5A"/>
    <w:rsid w:val="0074369F"/>
    <w:rsid w:val="00743AF2"/>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6FE"/>
    <w:rsid w:val="0075078D"/>
    <w:rsid w:val="00750CDB"/>
    <w:rsid w:val="00750F64"/>
    <w:rsid w:val="007513AD"/>
    <w:rsid w:val="00751CA2"/>
    <w:rsid w:val="0075219F"/>
    <w:rsid w:val="00752461"/>
    <w:rsid w:val="007530CF"/>
    <w:rsid w:val="007530F7"/>
    <w:rsid w:val="007534F4"/>
    <w:rsid w:val="00754324"/>
    <w:rsid w:val="00754475"/>
    <w:rsid w:val="00754530"/>
    <w:rsid w:val="00754DC0"/>
    <w:rsid w:val="0075503A"/>
    <w:rsid w:val="007554F3"/>
    <w:rsid w:val="00755DC4"/>
    <w:rsid w:val="00755DD7"/>
    <w:rsid w:val="00755E4A"/>
    <w:rsid w:val="00755EA6"/>
    <w:rsid w:val="00756314"/>
    <w:rsid w:val="007563D2"/>
    <w:rsid w:val="00756CA2"/>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3055"/>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DBD"/>
    <w:rsid w:val="00770EB4"/>
    <w:rsid w:val="00771013"/>
    <w:rsid w:val="00772159"/>
    <w:rsid w:val="00772248"/>
    <w:rsid w:val="007725B2"/>
    <w:rsid w:val="00772730"/>
    <w:rsid w:val="0077297E"/>
    <w:rsid w:val="00772B5E"/>
    <w:rsid w:val="00772E09"/>
    <w:rsid w:val="00773035"/>
    <w:rsid w:val="007735AB"/>
    <w:rsid w:val="0077388D"/>
    <w:rsid w:val="00773AB3"/>
    <w:rsid w:val="00773FCC"/>
    <w:rsid w:val="0077424C"/>
    <w:rsid w:val="007742C5"/>
    <w:rsid w:val="00774C87"/>
    <w:rsid w:val="00774F87"/>
    <w:rsid w:val="00775300"/>
    <w:rsid w:val="00775530"/>
    <w:rsid w:val="00775BB8"/>
    <w:rsid w:val="00775FBF"/>
    <w:rsid w:val="0077615F"/>
    <w:rsid w:val="0077618A"/>
    <w:rsid w:val="0077637E"/>
    <w:rsid w:val="00776DCC"/>
    <w:rsid w:val="0077737C"/>
    <w:rsid w:val="00777439"/>
    <w:rsid w:val="00777904"/>
    <w:rsid w:val="00777D93"/>
    <w:rsid w:val="00777FD5"/>
    <w:rsid w:val="00780E6A"/>
    <w:rsid w:val="00780F4C"/>
    <w:rsid w:val="00781131"/>
    <w:rsid w:val="00781552"/>
    <w:rsid w:val="00781D73"/>
    <w:rsid w:val="00781FA0"/>
    <w:rsid w:val="00783209"/>
    <w:rsid w:val="00783699"/>
    <w:rsid w:val="007843BF"/>
    <w:rsid w:val="007848DF"/>
    <w:rsid w:val="00784CB2"/>
    <w:rsid w:val="00784D6F"/>
    <w:rsid w:val="0078504B"/>
    <w:rsid w:val="00785291"/>
    <w:rsid w:val="0078594B"/>
    <w:rsid w:val="00785D9A"/>
    <w:rsid w:val="00786150"/>
    <w:rsid w:val="0078659A"/>
    <w:rsid w:val="00786B0F"/>
    <w:rsid w:val="00786C83"/>
    <w:rsid w:val="007872B7"/>
    <w:rsid w:val="00790174"/>
    <w:rsid w:val="007901B0"/>
    <w:rsid w:val="007902FB"/>
    <w:rsid w:val="00790946"/>
    <w:rsid w:val="00790CF0"/>
    <w:rsid w:val="00790E8E"/>
    <w:rsid w:val="00790F0C"/>
    <w:rsid w:val="00790F29"/>
    <w:rsid w:val="0079120E"/>
    <w:rsid w:val="00791C05"/>
    <w:rsid w:val="007935FD"/>
    <w:rsid w:val="00793670"/>
    <w:rsid w:val="00793D8C"/>
    <w:rsid w:val="00793E16"/>
    <w:rsid w:val="00794043"/>
    <w:rsid w:val="00794100"/>
    <w:rsid w:val="007945F2"/>
    <w:rsid w:val="007947A5"/>
    <w:rsid w:val="00794BF7"/>
    <w:rsid w:val="007954D1"/>
    <w:rsid w:val="00796163"/>
    <w:rsid w:val="00796385"/>
    <w:rsid w:val="00796514"/>
    <w:rsid w:val="007970BD"/>
    <w:rsid w:val="00797EA8"/>
    <w:rsid w:val="007A0276"/>
    <w:rsid w:val="007A02FB"/>
    <w:rsid w:val="007A15BC"/>
    <w:rsid w:val="007A15FF"/>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4EA"/>
    <w:rsid w:val="007B4B57"/>
    <w:rsid w:val="007B4CC3"/>
    <w:rsid w:val="007B5217"/>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3EC"/>
    <w:rsid w:val="007D1446"/>
    <w:rsid w:val="007D1509"/>
    <w:rsid w:val="007D2648"/>
    <w:rsid w:val="007D29FA"/>
    <w:rsid w:val="007D30B3"/>
    <w:rsid w:val="007D34BB"/>
    <w:rsid w:val="007D3949"/>
    <w:rsid w:val="007D3C7F"/>
    <w:rsid w:val="007D4D8F"/>
    <w:rsid w:val="007D529B"/>
    <w:rsid w:val="007D540C"/>
    <w:rsid w:val="007D5EB3"/>
    <w:rsid w:val="007D61BD"/>
    <w:rsid w:val="007D66D5"/>
    <w:rsid w:val="007D6B22"/>
    <w:rsid w:val="007D70AC"/>
    <w:rsid w:val="007D726D"/>
    <w:rsid w:val="007D7F08"/>
    <w:rsid w:val="007E022E"/>
    <w:rsid w:val="007E0A55"/>
    <w:rsid w:val="007E0BE2"/>
    <w:rsid w:val="007E10D9"/>
    <w:rsid w:val="007E1878"/>
    <w:rsid w:val="007E1D9A"/>
    <w:rsid w:val="007E22A2"/>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D66"/>
    <w:rsid w:val="007F0D6D"/>
    <w:rsid w:val="007F1E37"/>
    <w:rsid w:val="007F1E75"/>
    <w:rsid w:val="007F295A"/>
    <w:rsid w:val="007F2B8A"/>
    <w:rsid w:val="007F353F"/>
    <w:rsid w:val="007F3BFD"/>
    <w:rsid w:val="007F3CE3"/>
    <w:rsid w:val="007F43EE"/>
    <w:rsid w:val="007F54F6"/>
    <w:rsid w:val="007F5611"/>
    <w:rsid w:val="007F5820"/>
    <w:rsid w:val="007F5E07"/>
    <w:rsid w:val="007F63D0"/>
    <w:rsid w:val="007F6556"/>
    <w:rsid w:val="007F68BE"/>
    <w:rsid w:val="007F6AD9"/>
    <w:rsid w:val="007F6C2A"/>
    <w:rsid w:val="007F6F84"/>
    <w:rsid w:val="007F799B"/>
    <w:rsid w:val="007F79E5"/>
    <w:rsid w:val="0080071E"/>
    <w:rsid w:val="0080095E"/>
    <w:rsid w:val="008012AB"/>
    <w:rsid w:val="00801658"/>
    <w:rsid w:val="00802AFE"/>
    <w:rsid w:val="00802C32"/>
    <w:rsid w:val="00803A1B"/>
    <w:rsid w:val="00803BF6"/>
    <w:rsid w:val="008041DE"/>
    <w:rsid w:val="008042C5"/>
    <w:rsid w:val="0080478C"/>
    <w:rsid w:val="00804B8C"/>
    <w:rsid w:val="00804CBD"/>
    <w:rsid w:val="00804D39"/>
    <w:rsid w:val="00804DEE"/>
    <w:rsid w:val="00804E03"/>
    <w:rsid w:val="008050BD"/>
    <w:rsid w:val="00805266"/>
    <w:rsid w:val="008054EC"/>
    <w:rsid w:val="00805CE9"/>
    <w:rsid w:val="00805E59"/>
    <w:rsid w:val="00805E95"/>
    <w:rsid w:val="008061AA"/>
    <w:rsid w:val="0080639C"/>
    <w:rsid w:val="00806DD8"/>
    <w:rsid w:val="00807534"/>
    <w:rsid w:val="0080782D"/>
    <w:rsid w:val="00807973"/>
    <w:rsid w:val="00807D16"/>
    <w:rsid w:val="00807E6B"/>
    <w:rsid w:val="00810B86"/>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D69"/>
    <w:rsid w:val="00817322"/>
    <w:rsid w:val="00817933"/>
    <w:rsid w:val="008179D7"/>
    <w:rsid w:val="00817A00"/>
    <w:rsid w:val="00817C66"/>
    <w:rsid w:val="008204F0"/>
    <w:rsid w:val="00820B59"/>
    <w:rsid w:val="00821197"/>
    <w:rsid w:val="008215E6"/>
    <w:rsid w:val="00821958"/>
    <w:rsid w:val="008219F0"/>
    <w:rsid w:val="00821BEE"/>
    <w:rsid w:val="00821D46"/>
    <w:rsid w:val="0082250F"/>
    <w:rsid w:val="0082259D"/>
    <w:rsid w:val="0082262B"/>
    <w:rsid w:val="00822937"/>
    <w:rsid w:val="00822F30"/>
    <w:rsid w:val="0082307B"/>
    <w:rsid w:val="0082402C"/>
    <w:rsid w:val="00824035"/>
    <w:rsid w:val="00824564"/>
    <w:rsid w:val="00825A32"/>
    <w:rsid w:val="00825CD1"/>
    <w:rsid w:val="0082628B"/>
    <w:rsid w:val="0082700D"/>
    <w:rsid w:val="0082710C"/>
    <w:rsid w:val="00827565"/>
    <w:rsid w:val="00827E54"/>
    <w:rsid w:val="00827E88"/>
    <w:rsid w:val="00830069"/>
    <w:rsid w:val="0083017E"/>
    <w:rsid w:val="008306B4"/>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5937"/>
    <w:rsid w:val="00835A83"/>
    <w:rsid w:val="00836095"/>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50148"/>
    <w:rsid w:val="008501B6"/>
    <w:rsid w:val="0085051E"/>
    <w:rsid w:val="008506BD"/>
    <w:rsid w:val="00850C56"/>
    <w:rsid w:val="00850E94"/>
    <w:rsid w:val="00850FAC"/>
    <w:rsid w:val="008510A1"/>
    <w:rsid w:val="008510A9"/>
    <w:rsid w:val="008515A3"/>
    <w:rsid w:val="00851CB2"/>
    <w:rsid w:val="00852241"/>
    <w:rsid w:val="008522A1"/>
    <w:rsid w:val="00853204"/>
    <w:rsid w:val="00853503"/>
    <w:rsid w:val="008536C5"/>
    <w:rsid w:val="008540F0"/>
    <w:rsid w:val="00854B0C"/>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B4"/>
    <w:rsid w:val="008762E7"/>
    <w:rsid w:val="00876B7A"/>
    <w:rsid w:val="00876B80"/>
    <w:rsid w:val="00876D9E"/>
    <w:rsid w:val="00876E5C"/>
    <w:rsid w:val="008770E8"/>
    <w:rsid w:val="008772D8"/>
    <w:rsid w:val="00877A05"/>
    <w:rsid w:val="00877A20"/>
    <w:rsid w:val="00877F05"/>
    <w:rsid w:val="00880962"/>
    <w:rsid w:val="008810CF"/>
    <w:rsid w:val="0088143E"/>
    <w:rsid w:val="00881548"/>
    <w:rsid w:val="00882186"/>
    <w:rsid w:val="00882370"/>
    <w:rsid w:val="008824C9"/>
    <w:rsid w:val="00882506"/>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7CF9"/>
    <w:rsid w:val="008902A1"/>
    <w:rsid w:val="008907F3"/>
    <w:rsid w:val="00891518"/>
    <w:rsid w:val="00891CEF"/>
    <w:rsid w:val="00891DE9"/>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A33"/>
    <w:rsid w:val="008A3361"/>
    <w:rsid w:val="008A3ABD"/>
    <w:rsid w:val="008A3F86"/>
    <w:rsid w:val="008A44E1"/>
    <w:rsid w:val="008A4984"/>
    <w:rsid w:val="008A4EBD"/>
    <w:rsid w:val="008A5B37"/>
    <w:rsid w:val="008A5D43"/>
    <w:rsid w:val="008A607F"/>
    <w:rsid w:val="008A69F2"/>
    <w:rsid w:val="008A726C"/>
    <w:rsid w:val="008A76E0"/>
    <w:rsid w:val="008A7910"/>
    <w:rsid w:val="008A7F70"/>
    <w:rsid w:val="008A7FAF"/>
    <w:rsid w:val="008B0588"/>
    <w:rsid w:val="008B1513"/>
    <w:rsid w:val="008B16E6"/>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302"/>
    <w:rsid w:val="008B736A"/>
    <w:rsid w:val="008B7452"/>
    <w:rsid w:val="008B7A09"/>
    <w:rsid w:val="008B7BFF"/>
    <w:rsid w:val="008B7D4A"/>
    <w:rsid w:val="008C0208"/>
    <w:rsid w:val="008C0263"/>
    <w:rsid w:val="008C05FF"/>
    <w:rsid w:val="008C093D"/>
    <w:rsid w:val="008C10F7"/>
    <w:rsid w:val="008C2260"/>
    <w:rsid w:val="008C2AAA"/>
    <w:rsid w:val="008C2BA6"/>
    <w:rsid w:val="008C3CB2"/>
    <w:rsid w:val="008C42CE"/>
    <w:rsid w:val="008C4D0F"/>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D86"/>
    <w:rsid w:val="008E3EF6"/>
    <w:rsid w:val="008E4F7E"/>
    <w:rsid w:val="008E559D"/>
    <w:rsid w:val="008E5CF3"/>
    <w:rsid w:val="008E65D9"/>
    <w:rsid w:val="008E6864"/>
    <w:rsid w:val="008E6BD0"/>
    <w:rsid w:val="008E6E91"/>
    <w:rsid w:val="008E7AB5"/>
    <w:rsid w:val="008E7FCE"/>
    <w:rsid w:val="008F0447"/>
    <w:rsid w:val="008F088E"/>
    <w:rsid w:val="008F0892"/>
    <w:rsid w:val="008F10F0"/>
    <w:rsid w:val="008F13D7"/>
    <w:rsid w:val="008F1462"/>
    <w:rsid w:val="008F1874"/>
    <w:rsid w:val="008F1F16"/>
    <w:rsid w:val="008F258D"/>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901BBB"/>
    <w:rsid w:val="00901CE3"/>
    <w:rsid w:val="009021FE"/>
    <w:rsid w:val="00902514"/>
    <w:rsid w:val="00902804"/>
    <w:rsid w:val="00902C7D"/>
    <w:rsid w:val="009031CB"/>
    <w:rsid w:val="00903488"/>
    <w:rsid w:val="00903C55"/>
    <w:rsid w:val="00904247"/>
    <w:rsid w:val="00904A40"/>
    <w:rsid w:val="00904F8D"/>
    <w:rsid w:val="0090536C"/>
    <w:rsid w:val="00905966"/>
    <w:rsid w:val="00905A06"/>
    <w:rsid w:val="00905A0A"/>
    <w:rsid w:val="00905A70"/>
    <w:rsid w:val="00905A83"/>
    <w:rsid w:val="00906F50"/>
    <w:rsid w:val="009075B5"/>
    <w:rsid w:val="00907665"/>
    <w:rsid w:val="00907979"/>
    <w:rsid w:val="00907EE0"/>
    <w:rsid w:val="00910163"/>
    <w:rsid w:val="00910737"/>
    <w:rsid w:val="0091125C"/>
    <w:rsid w:val="0091138B"/>
    <w:rsid w:val="00911430"/>
    <w:rsid w:val="00911777"/>
    <w:rsid w:val="0091289A"/>
    <w:rsid w:val="00912B86"/>
    <w:rsid w:val="00913DFC"/>
    <w:rsid w:val="00913F53"/>
    <w:rsid w:val="009144CC"/>
    <w:rsid w:val="00914705"/>
    <w:rsid w:val="009149B9"/>
    <w:rsid w:val="00915013"/>
    <w:rsid w:val="009153FA"/>
    <w:rsid w:val="009156A8"/>
    <w:rsid w:val="00915B36"/>
    <w:rsid w:val="00915BDF"/>
    <w:rsid w:val="009161F5"/>
    <w:rsid w:val="009163B9"/>
    <w:rsid w:val="00916510"/>
    <w:rsid w:val="0091668F"/>
    <w:rsid w:val="0091677C"/>
    <w:rsid w:val="00916812"/>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7416"/>
    <w:rsid w:val="00927CCB"/>
    <w:rsid w:val="00927D19"/>
    <w:rsid w:val="00930111"/>
    <w:rsid w:val="0093049D"/>
    <w:rsid w:val="0093060A"/>
    <w:rsid w:val="00930F9B"/>
    <w:rsid w:val="00931509"/>
    <w:rsid w:val="0093156A"/>
    <w:rsid w:val="009316F1"/>
    <w:rsid w:val="00931A1F"/>
    <w:rsid w:val="00931B7E"/>
    <w:rsid w:val="00932B43"/>
    <w:rsid w:val="00932DB8"/>
    <w:rsid w:val="009330B1"/>
    <w:rsid w:val="00933273"/>
    <w:rsid w:val="00933786"/>
    <w:rsid w:val="009347BC"/>
    <w:rsid w:val="00934D16"/>
    <w:rsid w:val="00934F99"/>
    <w:rsid w:val="00935317"/>
    <w:rsid w:val="00935577"/>
    <w:rsid w:val="00935969"/>
    <w:rsid w:val="00935CAD"/>
    <w:rsid w:val="00935F3D"/>
    <w:rsid w:val="00936354"/>
    <w:rsid w:val="009369E7"/>
    <w:rsid w:val="00936AEA"/>
    <w:rsid w:val="00936B9C"/>
    <w:rsid w:val="00936E7C"/>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81A"/>
    <w:rsid w:val="00947DE3"/>
    <w:rsid w:val="00947FC6"/>
    <w:rsid w:val="00950426"/>
    <w:rsid w:val="0095079A"/>
    <w:rsid w:val="009507B1"/>
    <w:rsid w:val="0095086C"/>
    <w:rsid w:val="00950CF3"/>
    <w:rsid w:val="00950ED0"/>
    <w:rsid w:val="00951428"/>
    <w:rsid w:val="00951856"/>
    <w:rsid w:val="009528DA"/>
    <w:rsid w:val="0095297A"/>
    <w:rsid w:val="009529B3"/>
    <w:rsid w:val="00953373"/>
    <w:rsid w:val="009535BD"/>
    <w:rsid w:val="00953A87"/>
    <w:rsid w:val="00953E39"/>
    <w:rsid w:val="0095420F"/>
    <w:rsid w:val="00954DD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31C"/>
    <w:rsid w:val="00960322"/>
    <w:rsid w:val="0096088B"/>
    <w:rsid w:val="00960A46"/>
    <w:rsid w:val="0096150A"/>
    <w:rsid w:val="0096180C"/>
    <w:rsid w:val="00961B88"/>
    <w:rsid w:val="0096269E"/>
    <w:rsid w:val="00962B36"/>
    <w:rsid w:val="00962B7F"/>
    <w:rsid w:val="00962CE3"/>
    <w:rsid w:val="00962DED"/>
    <w:rsid w:val="0096341F"/>
    <w:rsid w:val="00963430"/>
    <w:rsid w:val="00963497"/>
    <w:rsid w:val="00963A70"/>
    <w:rsid w:val="00963E69"/>
    <w:rsid w:val="009642A8"/>
    <w:rsid w:val="00964948"/>
    <w:rsid w:val="009653E3"/>
    <w:rsid w:val="0096555E"/>
    <w:rsid w:val="009656E0"/>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2280"/>
    <w:rsid w:val="00972874"/>
    <w:rsid w:val="00973111"/>
    <w:rsid w:val="00973134"/>
    <w:rsid w:val="00973396"/>
    <w:rsid w:val="0097436A"/>
    <w:rsid w:val="009746BA"/>
    <w:rsid w:val="009747A9"/>
    <w:rsid w:val="00975D36"/>
    <w:rsid w:val="0097611D"/>
    <w:rsid w:val="00976605"/>
    <w:rsid w:val="00976692"/>
    <w:rsid w:val="00976975"/>
    <w:rsid w:val="00976E19"/>
    <w:rsid w:val="00977573"/>
    <w:rsid w:val="0097760C"/>
    <w:rsid w:val="00977828"/>
    <w:rsid w:val="00977CDB"/>
    <w:rsid w:val="00980196"/>
    <w:rsid w:val="00981082"/>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766"/>
    <w:rsid w:val="00994A73"/>
    <w:rsid w:val="00994B9B"/>
    <w:rsid w:val="00994BE2"/>
    <w:rsid w:val="00994D61"/>
    <w:rsid w:val="0099515C"/>
    <w:rsid w:val="009952CD"/>
    <w:rsid w:val="00995C84"/>
    <w:rsid w:val="009961F3"/>
    <w:rsid w:val="00996CB9"/>
    <w:rsid w:val="00997363"/>
    <w:rsid w:val="0099758C"/>
    <w:rsid w:val="009976BE"/>
    <w:rsid w:val="00997711"/>
    <w:rsid w:val="00997C96"/>
    <w:rsid w:val="009A0073"/>
    <w:rsid w:val="009A07C2"/>
    <w:rsid w:val="009A0830"/>
    <w:rsid w:val="009A0FCE"/>
    <w:rsid w:val="009A1184"/>
    <w:rsid w:val="009A2271"/>
    <w:rsid w:val="009A22E3"/>
    <w:rsid w:val="009A2955"/>
    <w:rsid w:val="009A2C42"/>
    <w:rsid w:val="009A2C7A"/>
    <w:rsid w:val="009A2C9A"/>
    <w:rsid w:val="009A2D89"/>
    <w:rsid w:val="009A311B"/>
    <w:rsid w:val="009A3506"/>
    <w:rsid w:val="009A35BE"/>
    <w:rsid w:val="009A3609"/>
    <w:rsid w:val="009A4DFD"/>
    <w:rsid w:val="009A53FF"/>
    <w:rsid w:val="009A54E8"/>
    <w:rsid w:val="009A5739"/>
    <w:rsid w:val="009A584B"/>
    <w:rsid w:val="009A5931"/>
    <w:rsid w:val="009A5B45"/>
    <w:rsid w:val="009A5B7A"/>
    <w:rsid w:val="009A5DDB"/>
    <w:rsid w:val="009A6BCC"/>
    <w:rsid w:val="009A7408"/>
    <w:rsid w:val="009A7B13"/>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1B1D"/>
    <w:rsid w:val="009C1D8A"/>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8BC"/>
    <w:rsid w:val="009C7CC2"/>
    <w:rsid w:val="009D0194"/>
    <w:rsid w:val="009D042F"/>
    <w:rsid w:val="009D05DF"/>
    <w:rsid w:val="009D079B"/>
    <w:rsid w:val="009D08C2"/>
    <w:rsid w:val="009D1099"/>
    <w:rsid w:val="009D196D"/>
    <w:rsid w:val="009D24D1"/>
    <w:rsid w:val="009D2D29"/>
    <w:rsid w:val="009D34E4"/>
    <w:rsid w:val="009D3C85"/>
    <w:rsid w:val="009D3CCD"/>
    <w:rsid w:val="009D3EA0"/>
    <w:rsid w:val="009D434C"/>
    <w:rsid w:val="009D440F"/>
    <w:rsid w:val="009D46E0"/>
    <w:rsid w:val="009D54D4"/>
    <w:rsid w:val="009D55E6"/>
    <w:rsid w:val="009D57B1"/>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DE7"/>
    <w:rsid w:val="009E71E9"/>
    <w:rsid w:val="009E74DA"/>
    <w:rsid w:val="009E7875"/>
    <w:rsid w:val="009E7B20"/>
    <w:rsid w:val="009E7B39"/>
    <w:rsid w:val="009F03AD"/>
    <w:rsid w:val="009F055F"/>
    <w:rsid w:val="009F0984"/>
    <w:rsid w:val="009F0A17"/>
    <w:rsid w:val="009F0A27"/>
    <w:rsid w:val="009F0B92"/>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20DD"/>
    <w:rsid w:val="00A027FD"/>
    <w:rsid w:val="00A02BDF"/>
    <w:rsid w:val="00A02F37"/>
    <w:rsid w:val="00A02F4C"/>
    <w:rsid w:val="00A034A7"/>
    <w:rsid w:val="00A03686"/>
    <w:rsid w:val="00A03CE8"/>
    <w:rsid w:val="00A0424A"/>
    <w:rsid w:val="00A04551"/>
    <w:rsid w:val="00A04581"/>
    <w:rsid w:val="00A0463B"/>
    <w:rsid w:val="00A048B6"/>
    <w:rsid w:val="00A04CAD"/>
    <w:rsid w:val="00A054CA"/>
    <w:rsid w:val="00A056EF"/>
    <w:rsid w:val="00A062F2"/>
    <w:rsid w:val="00A064DE"/>
    <w:rsid w:val="00A06711"/>
    <w:rsid w:val="00A06914"/>
    <w:rsid w:val="00A06E2F"/>
    <w:rsid w:val="00A07297"/>
    <w:rsid w:val="00A07432"/>
    <w:rsid w:val="00A076E4"/>
    <w:rsid w:val="00A07859"/>
    <w:rsid w:val="00A07C5F"/>
    <w:rsid w:val="00A07D3B"/>
    <w:rsid w:val="00A07F83"/>
    <w:rsid w:val="00A1055C"/>
    <w:rsid w:val="00A108C9"/>
    <w:rsid w:val="00A10FB7"/>
    <w:rsid w:val="00A1122B"/>
    <w:rsid w:val="00A116D1"/>
    <w:rsid w:val="00A11D44"/>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8C9"/>
    <w:rsid w:val="00A25A83"/>
    <w:rsid w:val="00A25B02"/>
    <w:rsid w:val="00A25C92"/>
    <w:rsid w:val="00A25E97"/>
    <w:rsid w:val="00A25FE3"/>
    <w:rsid w:val="00A26133"/>
    <w:rsid w:val="00A261D8"/>
    <w:rsid w:val="00A2653E"/>
    <w:rsid w:val="00A26C2C"/>
    <w:rsid w:val="00A27B1E"/>
    <w:rsid w:val="00A30AB4"/>
    <w:rsid w:val="00A30DF9"/>
    <w:rsid w:val="00A30FCE"/>
    <w:rsid w:val="00A31632"/>
    <w:rsid w:val="00A318EA"/>
    <w:rsid w:val="00A31D03"/>
    <w:rsid w:val="00A32C35"/>
    <w:rsid w:val="00A32C86"/>
    <w:rsid w:val="00A32DEB"/>
    <w:rsid w:val="00A332C2"/>
    <w:rsid w:val="00A33E2B"/>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1BA"/>
    <w:rsid w:val="00A42412"/>
    <w:rsid w:val="00A4246D"/>
    <w:rsid w:val="00A4249E"/>
    <w:rsid w:val="00A4275C"/>
    <w:rsid w:val="00A42962"/>
    <w:rsid w:val="00A42A06"/>
    <w:rsid w:val="00A43033"/>
    <w:rsid w:val="00A43815"/>
    <w:rsid w:val="00A43CAF"/>
    <w:rsid w:val="00A43EE4"/>
    <w:rsid w:val="00A441A6"/>
    <w:rsid w:val="00A444E6"/>
    <w:rsid w:val="00A4456F"/>
    <w:rsid w:val="00A448E6"/>
    <w:rsid w:val="00A44B87"/>
    <w:rsid w:val="00A455DD"/>
    <w:rsid w:val="00A45657"/>
    <w:rsid w:val="00A457BC"/>
    <w:rsid w:val="00A45B0A"/>
    <w:rsid w:val="00A45B84"/>
    <w:rsid w:val="00A46403"/>
    <w:rsid w:val="00A46AD3"/>
    <w:rsid w:val="00A4769E"/>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FC"/>
    <w:rsid w:val="00A543AF"/>
    <w:rsid w:val="00A54698"/>
    <w:rsid w:val="00A54C65"/>
    <w:rsid w:val="00A54CB0"/>
    <w:rsid w:val="00A54EB4"/>
    <w:rsid w:val="00A550C0"/>
    <w:rsid w:val="00A552D8"/>
    <w:rsid w:val="00A55C99"/>
    <w:rsid w:val="00A568A1"/>
    <w:rsid w:val="00A56BE0"/>
    <w:rsid w:val="00A570DA"/>
    <w:rsid w:val="00A5721A"/>
    <w:rsid w:val="00A57550"/>
    <w:rsid w:val="00A57D8B"/>
    <w:rsid w:val="00A57DF8"/>
    <w:rsid w:val="00A57F1A"/>
    <w:rsid w:val="00A600DD"/>
    <w:rsid w:val="00A6026E"/>
    <w:rsid w:val="00A605F4"/>
    <w:rsid w:val="00A60B5B"/>
    <w:rsid w:val="00A61383"/>
    <w:rsid w:val="00A61935"/>
    <w:rsid w:val="00A61CFA"/>
    <w:rsid w:val="00A61EBD"/>
    <w:rsid w:val="00A62AB4"/>
    <w:rsid w:val="00A62C7B"/>
    <w:rsid w:val="00A62D63"/>
    <w:rsid w:val="00A637EC"/>
    <w:rsid w:val="00A645E7"/>
    <w:rsid w:val="00A647A5"/>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7245"/>
    <w:rsid w:val="00A674CF"/>
    <w:rsid w:val="00A675F4"/>
    <w:rsid w:val="00A67EC9"/>
    <w:rsid w:val="00A67FBC"/>
    <w:rsid w:val="00A70584"/>
    <w:rsid w:val="00A70897"/>
    <w:rsid w:val="00A70BCB"/>
    <w:rsid w:val="00A70BFA"/>
    <w:rsid w:val="00A7164B"/>
    <w:rsid w:val="00A7178D"/>
    <w:rsid w:val="00A71C25"/>
    <w:rsid w:val="00A71DA9"/>
    <w:rsid w:val="00A722BE"/>
    <w:rsid w:val="00A72485"/>
    <w:rsid w:val="00A72684"/>
    <w:rsid w:val="00A72B1F"/>
    <w:rsid w:val="00A72B74"/>
    <w:rsid w:val="00A72D37"/>
    <w:rsid w:val="00A7329B"/>
    <w:rsid w:val="00A73A3C"/>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C6A"/>
    <w:rsid w:val="00A80D5E"/>
    <w:rsid w:val="00A811E4"/>
    <w:rsid w:val="00A812C3"/>
    <w:rsid w:val="00A81422"/>
    <w:rsid w:val="00A81A8D"/>
    <w:rsid w:val="00A81C96"/>
    <w:rsid w:val="00A81EAD"/>
    <w:rsid w:val="00A81EEE"/>
    <w:rsid w:val="00A81FB5"/>
    <w:rsid w:val="00A8220F"/>
    <w:rsid w:val="00A828CF"/>
    <w:rsid w:val="00A82C96"/>
    <w:rsid w:val="00A834EB"/>
    <w:rsid w:val="00A83604"/>
    <w:rsid w:val="00A83E18"/>
    <w:rsid w:val="00A83F08"/>
    <w:rsid w:val="00A8405E"/>
    <w:rsid w:val="00A84250"/>
    <w:rsid w:val="00A85446"/>
    <w:rsid w:val="00A8569F"/>
    <w:rsid w:val="00A85FB5"/>
    <w:rsid w:val="00A8615C"/>
    <w:rsid w:val="00A86EBE"/>
    <w:rsid w:val="00A8759A"/>
    <w:rsid w:val="00A8793D"/>
    <w:rsid w:val="00A87C7C"/>
    <w:rsid w:val="00A90602"/>
    <w:rsid w:val="00A9069B"/>
    <w:rsid w:val="00A909BA"/>
    <w:rsid w:val="00A909F9"/>
    <w:rsid w:val="00A90A50"/>
    <w:rsid w:val="00A90D32"/>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C56"/>
    <w:rsid w:val="00A97C86"/>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37"/>
    <w:rsid w:val="00AA4A17"/>
    <w:rsid w:val="00AA51A3"/>
    <w:rsid w:val="00AA5B02"/>
    <w:rsid w:val="00AA61A3"/>
    <w:rsid w:val="00AA6251"/>
    <w:rsid w:val="00AA653F"/>
    <w:rsid w:val="00AA65B9"/>
    <w:rsid w:val="00AA6BE8"/>
    <w:rsid w:val="00AA6FC8"/>
    <w:rsid w:val="00AA74CD"/>
    <w:rsid w:val="00AA7994"/>
    <w:rsid w:val="00AA7D6E"/>
    <w:rsid w:val="00AB0230"/>
    <w:rsid w:val="00AB0841"/>
    <w:rsid w:val="00AB16D3"/>
    <w:rsid w:val="00AB1EFA"/>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4D"/>
    <w:rsid w:val="00AB57BB"/>
    <w:rsid w:val="00AB5854"/>
    <w:rsid w:val="00AB5C02"/>
    <w:rsid w:val="00AB6902"/>
    <w:rsid w:val="00AB6ACE"/>
    <w:rsid w:val="00AB76E9"/>
    <w:rsid w:val="00AB77A4"/>
    <w:rsid w:val="00AB7DFD"/>
    <w:rsid w:val="00AC0084"/>
    <w:rsid w:val="00AC045C"/>
    <w:rsid w:val="00AC0C25"/>
    <w:rsid w:val="00AC1362"/>
    <w:rsid w:val="00AC1403"/>
    <w:rsid w:val="00AC16B3"/>
    <w:rsid w:val="00AC1A53"/>
    <w:rsid w:val="00AC246C"/>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B42"/>
    <w:rsid w:val="00AD5076"/>
    <w:rsid w:val="00AD53EA"/>
    <w:rsid w:val="00AD5AF0"/>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3677"/>
    <w:rsid w:val="00AF3BF5"/>
    <w:rsid w:val="00AF3E31"/>
    <w:rsid w:val="00AF409B"/>
    <w:rsid w:val="00AF42EC"/>
    <w:rsid w:val="00AF43C6"/>
    <w:rsid w:val="00AF4923"/>
    <w:rsid w:val="00AF5077"/>
    <w:rsid w:val="00AF56E1"/>
    <w:rsid w:val="00AF60A5"/>
    <w:rsid w:val="00AF6251"/>
    <w:rsid w:val="00AF642B"/>
    <w:rsid w:val="00AF6566"/>
    <w:rsid w:val="00AF7077"/>
    <w:rsid w:val="00AF7330"/>
    <w:rsid w:val="00AF7A6E"/>
    <w:rsid w:val="00B0000D"/>
    <w:rsid w:val="00B007A4"/>
    <w:rsid w:val="00B00D1F"/>
    <w:rsid w:val="00B01885"/>
    <w:rsid w:val="00B020A7"/>
    <w:rsid w:val="00B02359"/>
    <w:rsid w:val="00B024E7"/>
    <w:rsid w:val="00B0282A"/>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6EF"/>
    <w:rsid w:val="00B07652"/>
    <w:rsid w:val="00B0778B"/>
    <w:rsid w:val="00B079DA"/>
    <w:rsid w:val="00B07A83"/>
    <w:rsid w:val="00B07D04"/>
    <w:rsid w:val="00B07EFB"/>
    <w:rsid w:val="00B100DB"/>
    <w:rsid w:val="00B1029B"/>
    <w:rsid w:val="00B10950"/>
    <w:rsid w:val="00B10A6F"/>
    <w:rsid w:val="00B10D33"/>
    <w:rsid w:val="00B10F4A"/>
    <w:rsid w:val="00B116A3"/>
    <w:rsid w:val="00B11800"/>
    <w:rsid w:val="00B1192F"/>
    <w:rsid w:val="00B11E53"/>
    <w:rsid w:val="00B12B15"/>
    <w:rsid w:val="00B12BE4"/>
    <w:rsid w:val="00B132CD"/>
    <w:rsid w:val="00B13687"/>
    <w:rsid w:val="00B13BFB"/>
    <w:rsid w:val="00B13D32"/>
    <w:rsid w:val="00B146EA"/>
    <w:rsid w:val="00B154F7"/>
    <w:rsid w:val="00B1605D"/>
    <w:rsid w:val="00B160EF"/>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E76"/>
    <w:rsid w:val="00B241F2"/>
    <w:rsid w:val="00B251B4"/>
    <w:rsid w:val="00B2532F"/>
    <w:rsid w:val="00B25663"/>
    <w:rsid w:val="00B259A6"/>
    <w:rsid w:val="00B26110"/>
    <w:rsid w:val="00B261D4"/>
    <w:rsid w:val="00B26A21"/>
    <w:rsid w:val="00B26D2A"/>
    <w:rsid w:val="00B26D65"/>
    <w:rsid w:val="00B272FF"/>
    <w:rsid w:val="00B2747B"/>
    <w:rsid w:val="00B27FB8"/>
    <w:rsid w:val="00B3043A"/>
    <w:rsid w:val="00B307FA"/>
    <w:rsid w:val="00B30B2B"/>
    <w:rsid w:val="00B30D03"/>
    <w:rsid w:val="00B31573"/>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803"/>
    <w:rsid w:val="00B41BC0"/>
    <w:rsid w:val="00B41DB9"/>
    <w:rsid w:val="00B41F24"/>
    <w:rsid w:val="00B42C7B"/>
    <w:rsid w:val="00B42CED"/>
    <w:rsid w:val="00B42D00"/>
    <w:rsid w:val="00B42E3F"/>
    <w:rsid w:val="00B4302B"/>
    <w:rsid w:val="00B430E3"/>
    <w:rsid w:val="00B43121"/>
    <w:rsid w:val="00B432DD"/>
    <w:rsid w:val="00B4381C"/>
    <w:rsid w:val="00B43876"/>
    <w:rsid w:val="00B44195"/>
    <w:rsid w:val="00B44851"/>
    <w:rsid w:val="00B44ACE"/>
    <w:rsid w:val="00B453EE"/>
    <w:rsid w:val="00B45716"/>
    <w:rsid w:val="00B45901"/>
    <w:rsid w:val="00B460DF"/>
    <w:rsid w:val="00B46A50"/>
    <w:rsid w:val="00B46FDF"/>
    <w:rsid w:val="00B47032"/>
    <w:rsid w:val="00B470FF"/>
    <w:rsid w:val="00B47215"/>
    <w:rsid w:val="00B47332"/>
    <w:rsid w:val="00B4745B"/>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D23"/>
    <w:rsid w:val="00B54E41"/>
    <w:rsid w:val="00B54F81"/>
    <w:rsid w:val="00B55754"/>
    <w:rsid w:val="00B55DFB"/>
    <w:rsid w:val="00B567B2"/>
    <w:rsid w:val="00B56824"/>
    <w:rsid w:val="00B569EB"/>
    <w:rsid w:val="00B56A3E"/>
    <w:rsid w:val="00B56BE0"/>
    <w:rsid w:val="00B5745E"/>
    <w:rsid w:val="00B57511"/>
    <w:rsid w:val="00B606E2"/>
    <w:rsid w:val="00B60737"/>
    <w:rsid w:val="00B607AD"/>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522D"/>
    <w:rsid w:val="00B65373"/>
    <w:rsid w:val="00B658AB"/>
    <w:rsid w:val="00B659FF"/>
    <w:rsid w:val="00B65C76"/>
    <w:rsid w:val="00B65D25"/>
    <w:rsid w:val="00B662D6"/>
    <w:rsid w:val="00B664E1"/>
    <w:rsid w:val="00B667AC"/>
    <w:rsid w:val="00B667B0"/>
    <w:rsid w:val="00B669E3"/>
    <w:rsid w:val="00B67071"/>
    <w:rsid w:val="00B6763B"/>
    <w:rsid w:val="00B67734"/>
    <w:rsid w:val="00B67750"/>
    <w:rsid w:val="00B67AC8"/>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99"/>
    <w:rsid w:val="00BA1198"/>
    <w:rsid w:val="00BA141F"/>
    <w:rsid w:val="00BA17DC"/>
    <w:rsid w:val="00BA1AC6"/>
    <w:rsid w:val="00BA1B77"/>
    <w:rsid w:val="00BA1B98"/>
    <w:rsid w:val="00BA263C"/>
    <w:rsid w:val="00BA2808"/>
    <w:rsid w:val="00BA2B17"/>
    <w:rsid w:val="00BA2C58"/>
    <w:rsid w:val="00BA2F92"/>
    <w:rsid w:val="00BA3067"/>
    <w:rsid w:val="00BA37C4"/>
    <w:rsid w:val="00BA3D04"/>
    <w:rsid w:val="00BA3D42"/>
    <w:rsid w:val="00BA4398"/>
    <w:rsid w:val="00BA4591"/>
    <w:rsid w:val="00BA4860"/>
    <w:rsid w:val="00BA515E"/>
    <w:rsid w:val="00BA535F"/>
    <w:rsid w:val="00BA55ED"/>
    <w:rsid w:val="00BA574F"/>
    <w:rsid w:val="00BA6520"/>
    <w:rsid w:val="00BA689D"/>
    <w:rsid w:val="00BA6B20"/>
    <w:rsid w:val="00BA70B2"/>
    <w:rsid w:val="00BA762C"/>
    <w:rsid w:val="00BA7C19"/>
    <w:rsid w:val="00BA7FC7"/>
    <w:rsid w:val="00BB03BE"/>
    <w:rsid w:val="00BB0A1F"/>
    <w:rsid w:val="00BB0CD0"/>
    <w:rsid w:val="00BB0D36"/>
    <w:rsid w:val="00BB1130"/>
    <w:rsid w:val="00BB17B8"/>
    <w:rsid w:val="00BB1972"/>
    <w:rsid w:val="00BB1B89"/>
    <w:rsid w:val="00BB22CA"/>
    <w:rsid w:val="00BB2397"/>
    <w:rsid w:val="00BB2CEF"/>
    <w:rsid w:val="00BB3285"/>
    <w:rsid w:val="00BB352A"/>
    <w:rsid w:val="00BB3799"/>
    <w:rsid w:val="00BB39DF"/>
    <w:rsid w:val="00BB3CF2"/>
    <w:rsid w:val="00BB463A"/>
    <w:rsid w:val="00BB46BA"/>
    <w:rsid w:val="00BB4DC6"/>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C043D"/>
    <w:rsid w:val="00BC06BB"/>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318B"/>
    <w:rsid w:val="00BD332A"/>
    <w:rsid w:val="00BD358F"/>
    <w:rsid w:val="00BD3881"/>
    <w:rsid w:val="00BD3FE4"/>
    <w:rsid w:val="00BD413D"/>
    <w:rsid w:val="00BD4D96"/>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687"/>
    <w:rsid w:val="00BE69E6"/>
    <w:rsid w:val="00BE6C91"/>
    <w:rsid w:val="00BE711C"/>
    <w:rsid w:val="00BE739D"/>
    <w:rsid w:val="00BE75CE"/>
    <w:rsid w:val="00BF0265"/>
    <w:rsid w:val="00BF06DC"/>
    <w:rsid w:val="00BF06E6"/>
    <w:rsid w:val="00BF0761"/>
    <w:rsid w:val="00BF09BF"/>
    <w:rsid w:val="00BF1059"/>
    <w:rsid w:val="00BF1665"/>
    <w:rsid w:val="00BF1DCE"/>
    <w:rsid w:val="00BF22D3"/>
    <w:rsid w:val="00BF2541"/>
    <w:rsid w:val="00BF2C0F"/>
    <w:rsid w:val="00BF2C45"/>
    <w:rsid w:val="00BF3CCC"/>
    <w:rsid w:val="00BF3D49"/>
    <w:rsid w:val="00BF3D7B"/>
    <w:rsid w:val="00BF3DCD"/>
    <w:rsid w:val="00BF3F20"/>
    <w:rsid w:val="00BF48FF"/>
    <w:rsid w:val="00BF55C7"/>
    <w:rsid w:val="00BF58E9"/>
    <w:rsid w:val="00BF5AF6"/>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B0"/>
    <w:rsid w:val="00C04FC6"/>
    <w:rsid w:val="00C05992"/>
    <w:rsid w:val="00C05D9B"/>
    <w:rsid w:val="00C060C5"/>
    <w:rsid w:val="00C0650F"/>
    <w:rsid w:val="00C0713D"/>
    <w:rsid w:val="00C07AF7"/>
    <w:rsid w:val="00C07DBC"/>
    <w:rsid w:val="00C10821"/>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2682"/>
    <w:rsid w:val="00C226F6"/>
    <w:rsid w:val="00C237B7"/>
    <w:rsid w:val="00C24EBA"/>
    <w:rsid w:val="00C25EF8"/>
    <w:rsid w:val="00C26420"/>
    <w:rsid w:val="00C26D27"/>
    <w:rsid w:val="00C26E94"/>
    <w:rsid w:val="00C27020"/>
    <w:rsid w:val="00C27039"/>
    <w:rsid w:val="00C27749"/>
    <w:rsid w:val="00C27851"/>
    <w:rsid w:val="00C278BF"/>
    <w:rsid w:val="00C27C4A"/>
    <w:rsid w:val="00C27CB8"/>
    <w:rsid w:val="00C3000E"/>
    <w:rsid w:val="00C30571"/>
    <w:rsid w:val="00C305AB"/>
    <w:rsid w:val="00C31E22"/>
    <w:rsid w:val="00C3233D"/>
    <w:rsid w:val="00C32CF1"/>
    <w:rsid w:val="00C337A8"/>
    <w:rsid w:val="00C33AAE"/>
    <w:rsid w:val="00C346B7"/>
    <w:rsid w:val="00C353F5"/>
    <w:rsid w:val="00C354A0"/>
    <w:rsid w:val="00C35C58"/>
    <w:rsid w:val="00C35E60"/>
    <w:rsid w:val="00C35FB9"/>
    <w:rsid w:val="00C3602D"/>
    <w:rsid w:val="00C36243"/>
    <w:rsid w:val="00C3651D"/>
    <w:rsid w:val="00C36621"/>
    <w:rsid w:val="00C36677"/>
    <w:rsid w:val="00C36B42"/>
    <w:rsid w:val="00C36FD3"/>
    <w:rsid w:val="00C373D8"/>
    <w:rsid w:val="00C373E0"/>
    <w:rsid w:val="00C37458"/>
    <w:rsid w:val="00C3780D"/>
    <w:rsid w:val="00C40100"/>
    <w:rsid w:val="00C405E7"/>
    <w:rsid w:val="00C40BB1"/>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D1F"/>
    <w:rsid w:val="00C51F1F"/>
    <w:rsid w:val="00C521CB"/>
    <w:rsid w:val="00C5281C"/>
    <w:rsid w:val="00C52E27"/>
    <w:rsid w:val="00C52F22"/>
    <w:rsid w:val="00C5364C"/>
    <w:rsid w:val="00C53AE6"/>
    <w:rsid w:val="00C53D3A"/>
    <w:rsid w:val="00C5415E"/>
    <w:rsid w:val="00C545DA"/>
    <w:rsid w:val="00C54970"/>
    <w:rsid w:val="00C551D1"/>
    <w:rsid w:val="00C557E0"/>
    <w:rsid w:val="00C5588C"/>
    <w:rsid w:val="00C56182"/>
    <w:rsid w:val="00C561DB"/>
    <w:rsid w:val="00C56E21"/>
    <w:rsid w:val="00C56E71"/>
    <w:rsid w:val="00C579A5"/>
    <w:rsid w:val="00C579BD"/>
    <w:rsid w:val="00C6059C"/>
    <w:rsid w:val="00C60675"/>
    <w:rsid w:val="00C60699"/>
    <w:rsid w:val="00C6085D"/>
    <w:rsid w:val="00C6091D"/>
    <w:rsid w:val="00C61065"/>
    <w:rsid w:val="00C61151"/>
    <w:rsid w:val="00C61155"/>
    <w:rsid w:val="00C61491"/>
    <w:rsid w:val="00C6156F"/>
    <w:rsid w:val="00C61668"/>
    <w:rsid w:val="00C61AC3"/>
    <w:rsid w:val="00C620E0"/>
    <w:rsid w:val="00C623EE"/>
    <w:rsid w:val="00C6292E"/>
    <w:rsid w:val="00C62E65"/>
    <w:rsid w:val="00C63563"/>
    <w:rsid w:val="00C63588"/>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5339"/>
    <w:rsid w:val="00C8561D"/>
    <w:rsid w:val="00C863DE"/>
    <w:rsid w:val="00C86F8E"/>
    <w:rsid w:val="00C874E8"/>
    <w:rsid w:val="00C87590"/>
    <w:rsid w:val="00C87DDE"/>
    <w:rsid w:val="00C9020E"/>
    <w:rsid w:val="00C90B03"/>
    <w:rsid w:val="00C90D19"/>
    <w:rsid w:val="00C90D9B"/>
    <w:rsid w:val="00C9190B"/>
    <w:rsid w:val="00C922E3"/>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80"/>
    <w:rsid w:val="00CB0D61"/>
    <w:rsid w:val="00CB0EB8"/>
    <w:rsid w:val="00CB0F0C"/>
    <w:rsid w:val="00CB18B6"/>
    <w:rsid w:val="00CB1F70"/>
    <w:rsid w:val="00CB2656"/>
    <w:rsid w:val="00CB2ED0"/>
    <w:rsid w:val="00CB3081"/>
    <w:rsid w:val="00CB3214"/>
    <w:rsid w:val="00CB432B"/>
    <w:rsid w:val="00CB4765"/>
    <w:rsid w:val="00CB4CD1"/>
    <w:rsid w:val="00CB5760"/>
    <w:rsid w:val="00CB66FD"/>
    <w:rsid w:val="00CB6B38"/>
    <w:rsid w:val="00CB6B58"/>
    <w:rsid w:val="00CB6DC3"/>
    <w:rsid w:val="00CB6E58"/>
    <w:rsid w:val="00CC0782"/>
    <w:rsid w:val="00CC0AB1"/>
    <w:rsid w:val="00CC0AD5"/>
    <w:rsid w:val="00CC0BDC"/>
    <w:rsid w:val="00CC0C40"/>
    <w:rsid w:val="00CC0CF3"/>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5C4"/>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75F"/>
    <w:rsid w:val="00CD5A45"/>
    <w:rsid w:val="00CD6461"/>
    <w:rsid w:val="00CD6C71"/>
    <w:rsid w:val="00CD74AE"/>
    <w:rsid w:val="00CE0099"/>
    <w:rsid w:val="00CE064A"/>
    <w:rsid w:val="00CE0899"/>
    <w:rsid w:val="00CE09F3"/>
    <w:rsid w:val="00CE1044"/>
    <w:rsid w:val="00CE295D"/>
    <w:rsid w:val="00CE29BB"/>
    <w:rsid w:val="00CE2BB2"/>
    <w:rsid w:val="00CE2C08"/>
    <w:rsid w:val="00CE2C3E"/>
    <w:rsid w:val="00CE2D5B"/>
    <w:rsid w:val="00CE307E"/>
    <w:rsid w:val="00CE35DA"/>
    <w:rsid w:val="00CE4047"/>
    <w:rsid w:val="00CE4164"/>
    <w:rsid w:val="00CE43A4"/>
    <w:rsid w:val="00CE4518"/>
    <w:rsid w:val="00CE4C64"/>
    <w:rsid w:val="00CE4F41"/>
    <w:rsid w:val="00CE5501"/>
    <w:rsid w:val="00CE5547"/>
    <w:rsid w:val="00CE5CAE"/>
    <w:rsid w:val="00CE61DE"/>
    <w:rsid w:val="00CE65CE"/>
    <w:rsid w:val="00CE7118"/>
    <w:rsid w:val="00CE7DBE"/>
    <w:rsid w:val="00CE7F0F"/>
    <w:rsid w:val="00CF02E1"/>
    <w:rsid w:val="00CF0586"/>
    <w:rsid w:val="00CF0A9D"/>
    <w:rsid w:val="00CF0D14"/>
    <w:rsid w:val="00CF0D78"/>
    <w:rsid w:val="00CF14EB"/>
    <w:rsid w:val="00CF1A0E"/>
    <w:rsid w:val="00CF1B42"/>
    <w:rsid w:val="00CF1CB2"/>
    <w:rsid w:val="00CF1DA5"/>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DB"/>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C33"/>
    <w:rsid w:val="00D07FDD"/>
    <w:rsid w:val="00D103F6"/>
    <w:rsid w:val="00D10ADF"/>
    <w:rsid w:val="00D10CBA"/>
    <w:rsid w:val="00D110CF"/>
    <w:rsid w:val="00D111E1"/>
    <w:rsid w:val="00D11317"/>
    <w:rsid w:val="00D11748"/>
    <w:rsid w:val="00D122CF"/>
    <w:rsid w:val="00D12943"/>
    <w:rsid w:val="00D1296D"/>
    <w:rsid w:val="00D12BEC"/>
    <w:rsid w:val="00D13EA5"/>
    <w:rsid w:val="00D14197"/>
    <w:rsid w:val="00D146B6"/>
    <w:rsid w:val="00D14CC8"/>
    <w:rsid w:val="00D15927"/>
    <w:rsid w:val="00D15EEA"/>
    <w:rsid w:val="00D1602E"/>
    <w:rsid w:val="00D16155"/>
    <w:rsid w:val="00D168E9"/>
    <w:rsid w:val="00D16ADC"/>
    <w:rsid w:val="00D16B3E"/>
    <w:rsid w:val="00D171CC"/>
    <w:rsid w:val="00D17769"/>
    <w:rsid w:val="00D17EF8"/>
    <w:rsid w:val="00D2101C"/>
    <w:rsid w:val="00D21AC0"/>
    <w:rsid w:val="00D2206A"/>
    <w:rsid w:val="00D22EFE"/>
    <w:rsid w:val="00D23556"/>
    <w:rsid w:val="00D236EB"/>
    <w:rsid w:val="00D2372E"/>
    <w:rsid w:val="00D23F30"/>
    <w:rsid w:val="00D2404A"/>
    <w:rsid w:val="00D2464F"/>
    <w:rsid w:val="00D24A7F"/>
    <w:rsid w:val="00D24AAA"/>
    <w:rsid w:val="00D251FE"/>
    <w:rsid w:val="00D25920"/>
    <w:rsid w:val="00D25CCD"/>
    <w:rsid w:val="00D25D73"/>
    <w:rsid w:val="00D268EC"/>
    <w:rsid w:val="00D272F3"/>
    <w:rsid w:val="00D27719"/>
    <w:rsid w:val="00D27D85"/>
    <w:rsid w:val="00D303B6"/>
    <w:rsid w:val="00D30548"/>
    <w:rsid w:val="00D30776"/>
    <w:rsid w:val="00D312D4"/>
    <w:rsid w:val="00D314EF"/>
    <w:rsid w:val="00D31841"/>
    <w:rsid w:val="00D32257"/>
    <w:rsid w:val="00D324AE"/>
    <w:rsid w:val="00D32B20"/>
    <w:rsid w:val="00D32D07"/>
    <w:rsid w:val="00D33321"/>
    <w:rsid w:val="00D33526"/>
    <w:rsid w:val="00D33AC4"/>
    <w:rsid w:val="00D33CAB"/>
    <w:rsid w:val="00D33D43"/>
    <w:rsid w:val="00D34567"/>
    <w:rsid w:val="00D346D4"/>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3194"/>
    <w:rsid w:val="00D43301"/>
    <w:rsid w:val="00D4353E"/>
    <w:rsid w:val="00D43612"/>
    <w:rsid w:val="00D43BE3"/>
    <w:rsid w:val="00D43C81"/>
    <w:rsid w:val="00D43D5F"/>
    <w:rsid w:val="00D43DC0"/>
    <w:rsid w:val="00D43FA3"/>
    <w:rsid w:val="00D440FE"/>
    <w:rsid w:val="00D44265"/>
    <w:rsid w:val="00D44A05"/>
    <w:rsid w:val="00D44B11"/>
    <w:rsid w:val="00D44F20"/>
    <w:rsid w:val="00D457A6"/>
    <w:rsid w:val="00D45806"/>
    <w:rsid w:val="00D4645F"/>
    <w:rsid w:val="00D467AE"/>
    <w:rsid w:val="00D467FD"/>
    <w:rsid w:val="00D468C9"/>
    <w:rsid w:val="00D469AD"/>
    <w:rsid w:val="00D46C3E"/>
    <w:rsid w:val="00D4707B"/>
    <w:rsid w:val="00D47254"/>
    <w:rsid w:val="00D47409"/>
    <w:rsid w:val="00D47D0C"/>
    <w:rsid w:val="00D506B9"/>
    <w:rsid w:val="00D50EF4"/>
    <w:rsid w:val="00D50F16"/>
    <w:rsid w:val="00D51233"/>
    <w:rsid w:val="00D52375"/>
    <w:rsid w:val="00D528E9"/>
    <w:rsid w:val="00D536AD"/>
    <w:rsid w:val="00D53B5C"/>
    <w:rsid w:val="00D54735"/>
    <w:rsid w:val="00D54C0B"/>
    <w:rsid w:val="00D54DC6"/>
    <w:rsid w:val="00D553FB"/>
    <w:rsid w:val="00D55905"/>
    <w:rsid w:val="00D566A3"/>
    <w:rsid w:val="00D56A75"/>
    <w:rsid w:val="00D57592"/>
    <w:rsid w:val="00D60CBA"/>
    <w:rsid w:val="00D613EA"/>
    <w:rsid w:val="00D61DCD"/>
    <w:rsid w:val="00D6226C"/>
    <w:rsid w:val="00D62454"/>
    <w:rsid w:val="00D6249C"/>
    <w:rsid w:val="00D6299D"/>
    <w:rsid w:val="00D62A26"/>
    <w:rsid w:val="00D62C3A"/>
    <w:rsid w:val="00D63CCB"/>
    <w:rsid w:val="00D6453B"/>
    <w:rsid w:val="00D64608"/>
    <w:rsid w:val="00D666B2"/>
    <w:rsid w:val="00D66BBB"/>
    <w:rsid w:val="00D67CFC"/>
    <w:rsid w:val="00D67D03"/>
    <w:rsid w:val="00D70264"/>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421"/>
    <w:rsid w:val="00D772D0"/>
    <w:rsid w:val="00D7737B"/>
    <w:rsid w:val="00D7754F"/>
    <w:rsid w:val="00D77639"/>
    <w:rsid w:val="00D77BBE"/>
    <w:rsid w:val="00D77C63"/>
    <w:rsid w:val="00D80618"/>
    <w:rsid w:val="00D80782"/>
    <w:rsid w:val="00D80EC3"/>
    <w:rsid w:val="00D8144F"/>
    <w:rsid w:val="00D815D6"/>
    <w:rsid w:val="00D81EF1"/>
    <w:rsid w:val="00D82403"/>
    <w:rsid w:val="00D82B81"/>
    <w:rsid w:val="00D82C82"/>
    <w:rsid w:val="00D82D8A"/>
    <w:rsid w:val="00D82EC8"/>
    <w:rsid w:val="00D82EE6"/>
    <w:rsid w:val="00D82F33"/>
    <w:rsid w:val="00D83550"/>
    <w:rsid w:val="00D83717"/>
    <w:rsid w:val="00D849D7"/>
    <w:rsid w:val="00D84D10"/>
    <w:rsid w:val="00D85089"/>
    <w:rsid w:val="00D85F9B"/>
    <w:rsid w:val="00D8652F"/>
    <w:rsid w:val="00D866A6"/>
    <w:rsid w:val="00D86777"/>
    <w:rsid w:val="00D86CFE"/>
    <w:rsid w:val="00D879BC"/>
    <w:rsid w:val="00D87AA6"/>
    <w:rsid w:val="00D90851"/>
    <w:rsid w:val="00D90D32"/>
    <w:rsid w:val="00D90E19"/>
    <w:rsid w:val="00D913F3"/>
    <w:rsid w:val="00D917F0"/>
    <w:rsid w:val="00D91B21"/>
    <w:rsid w:val="00D91D01"/>
    <w:rsid w:val="00D92152"/>
    <w:rsid w:val="00D92B5A"/>
    <w:rsid w:val="00D92FE8"/>
    <w:rsid w:val="00D933B3"/>
    <w:rsid w:val="00D93594"/>
    <w:rsid w:val="00D93601"/>
    <w:rsid w:val="00D936A5"/>
    <w:rsid w:val="00D937B4"/>
    <w:rsid w:val="00D9399E"/>
    <w:rsid w:val="00D93D3E"/>
    <w:rsid w:val="00D94183"/>
    <w:rsid w:val="00D945B1"/>
    <w:rsid w:val="00D94847"/>
    <w:rsid w:val="00D94EDF"/>
    <w:rsid w:val="00D9505B"/>
    <w:rsid w:val="00D957B3"/>
    <w:rsid w:val="00D9623F"/>
    <w:rsid w:val="00D962DC"/>
    <w:rsid w:val="00D96E13"/>
    <w:rsid w:val="00D9785E"/>
    <w:rsid w:val="00D9786C"/>
    <w:rsid w:val="00D97C4E"/>
    <w:rsid w:val="00D97C57"/>
    <w:rsid w:val="00D97D8B"/>
    <w:rsid w:val="00DA05A0"/>
    <w:rsid w:val="00DA0705"/>
    <w:rsid w:val="00DA0C6E"/>
    <w:rsid w:val="00DA0EBA"/>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72CB"/>
    <w:rsid w:val="00DA7AD4"/>
    <w:rsid w:val="00DB0097"/>
    <w:rsid w:val="00DB0611"/>
    <w:rsid w:val="00DB0716"/>
    <w:rsid w:val="00DB0E22"/>
    <w:rsid w:val="00DB1AC1"/>
    <w:rsid w:val="00DB20E3"/>
    <w:rsid w:val="00DB25E3"/>
    <w:rsid w:val="00DB2716"/>
    <w:rsid w:val="00DB2B1C"/>
    <w:rsid w:val="00DB2B72"/>
    <w:rsid w:val="00DB2D14"/>
    <w:rsid w:val="00DB31C8"/>
    <w:rsid w:val="00DB32BE"/>
    <w:rsid w:val="00DB35D9"/>
    <w:rsid w:val="00DB3E03"/>
    <w:rsid w:val="00DB3FB9"/>
    <w:rsid w:val="00DB45BE"/>
    <w:rsid w:val="00DB4B9C"/>
    <w:rsid w:val="00DB4FE3"/>
    <w:rsid w:val="00DB5226"/>
    <w:rsid w:val="00DB6315"/>
    <w:rsid w:val="00DB7040"/>
    <w:rsid w:val="00DB73C9"/>
    <w:rsid w:val="00DB74E4"/>
    <w:rsid w:val="00DB7551"/>
    <w:rsid w:val="00DB78EB"/>
    <w:rsid w:val="00DC004A"/>
    <w:rsid w:val="00DC0BEA"/>
    <w:rsid w:val="00DC0CC4"/>
    <w:rsid w:val="00DC0F42"/>
    <w:rsid w:val="00DC1348"/>
    <w:rsid w:val="00DC1356"/>
    <w:rsid w:val="00DC1359"/>
    <w:rsid w:val="00DC2EB7"/>
    <w:rsid w:val="00DC2EC5"/>
    <w:rsid w:val="00DC2F77"/>
    <w:rsid w:val="00DC33C7"/>
    <w:rsid w:val="00DC3A4A"/>
    <w:rsid w:val="00DC4C3C"/>
    <w:rsid w:val="00DC574B"/>
    <w:rsid w:val="00DC5AD0"/>
    <w:rsid w:val="00DC5CED"/>
    <w:rsid w:val="00DC5F00"/>
    <w:rsid w:val="00DC624E"/>
    <w:rsid w:val="00DC694C"/>
    <w:rsid w:val="00DC69B9"/>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70DE"/>
    <w:rsid w:val="00DE7538"/>
    <w:rsid w:val="00DE7936"/>
    <w:rsid w:val="00DE7A29"/>
    <w:rsid w:val="00DE7DB8"/>
    <w:rsid w:val="00DE7FAD"/>
    <w:rsid w:val="00DF0710"/>
    <w:rsid w:val="00DF08B0"/>
    <w:rsid w:val="00DF0D88"/>
    <w:rsid w:val="00DF1339"/>
    <w:rsid w:val="00DF26D9"/>
    <w:rsid w:val="00DF326B"/>
    <w:rsid w:val="00DF39CD"/>
    <w:rsid w:val="00DF408B"/>
    <w:rsid w:val="00DF4524"/>
    <w:rsid w:val="00DF49E4"/>
    <w:rsid w:val="00DF4FE4"/>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CB3"/>
    <w:rsid w:val="00E12F02"/>
    <w:rsid w:val="00E1322A"/>
    <w:rsid w:val="00E132BA"/>
    <w:rsid w:val="00E136B2"/>
    <w:rsid w:val="00E1381C"/>
    <w:rsid w:val="00E13A8E"/>
    <w:rsid w:val="00E13EED"/>
    <w:rsid w:val="00E140EA"/>
    <w:rsid w:val="00E14758"/>
    <w:rsid w:val="00E14D42"/>
    <w:rsid w:val="00E150D0"/>
    <w:rsid w:val="00E151AE"/>
    <w:rsid w:val="00E15E79"/>
    <w:rsid w:val="00E164FC"/>
    <w:rsid w:val="00E17CE3"/>
    <w:rsid w:val="00E17D42"/>
    <w:rsid w:val="00E17DC5"/>
    <w:rsid w:val="00E20289"/>
    <w:rsid w:val="00E202EC"/>
    <w:rsid w:val="00E20581"/>
    <w:rsid w:val="00E20B49"/>
    <w:rsid w:val="00E2132F"/>
    <w:rsid w:val="00E2135D"/>
    <w:rsid w:val="00E216CC"/>
    <w:rsid w:val="00E2173C"/>
    <w:rsid w:val="00E22B53"/>
    <w:rsid w:val="00E23946"/>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5B5"/>
    <w:rsid w:val="00E31D67"/>
    <w:rsid w:val="00E33054"/>
    <w:rsid w:val="00E3316C"/>
    <w:rsid w:val="00E33584"/>
    <w:rsid w:val="00E33B4D"/>
    <w:rsid w:val="00E33EE8"/>
    <w:rsid w:val="00E349E2"/>
    <w:rsid w:val="00E34C93"/>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4394"/>
    <w:rsid w:val="00E444BA"/>
    <w:rsid w:val="00E44B85"/>
    <w:rsid w:val="00E44BBF"/>
    <w:rsid w:val="00E451CE"/>
    <w:rsid w:val="00E455D4"/>
    <w:rsid w:val="00E455E8"/>
    <w:rsid w:val="00E45C6A"/>
    <w:rsid w:val="00E467B1"/>
    <w:rsid w:val="00E46A5C"/>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BA5"/>
    <w:rsid w:val="00E571D6"/>
    <w:rsid w:val="00E5794C"/>
    <w:rsid w:val="00E57A5A"/>
    <w:rsid w:val="00E57BD1"/>
    <w:rsid w:val="00E60836"/>
    <w:rsid w:val="00E61719"/>
    <w:rsid w:val="00E61A11"/>
    <w:rsid w:val="00E61A67"/>
    <w:rsid w:val="00E61BD0"/>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56F"/>
    <w:rsid w:val="00E7267D"/>
    <w:rsid w:val="00E72C7C"/>
    <w:rsid w:val="00E72E8B"/>
    <w:rsid w:val="00E7308D"/>
    <w:rsid w:val="00E73196"/>
    <w:rsid w:val="00E73468"/>
    <w:rsid w:val="00E73643"/>
    <w:rsid w:val="00E745A6"/>
    <w:rsid w:val="00E74D3F"/>
    <w:rsid w:val="00E74FE6"/>
    <w:rsid w:val="00E75495"/>
    <w:rsid w:val="00E756BB"/>
    <w:rsid w:val="00E7592E"/>
    <w:rsid w:val="00E76840"/>
    <w:rsid w:val="00E76C92"/>
    <w:rsid w:val="00E77847"/>
    <w:rsid w:val="00E77B20"/>
    <w:rsid w:val="00E77D08"/>
    <w:rsid w:val="00E77DEA"/>
    <w:rsid w:val="00E804B2"/>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640"/>
    <w:rsid w:val="00E926DE"/>
    <w:rsid w:val="00E92859"/>
    <w:rsid w:val="00E929EE"/>
    <w:rsid w:val="00E92BAC"/>
    <w:rsid w:val="00E92C00"/>
    <w:rsid w:val="00E92CFF"/>
    <w:rsid w:val="00E94411"/>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A0BFF"/>
    <w:rsid w:val="00EA0E6B"/>
    <w:rsid w:val="00EA185E"/>
    <w:rsid w:val="00EA18A1"/>
    <w:rsid w:val="00EA19F1"/>
    <w:rsid w:val="00EA1DE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D40"/>
    <w:rsid w:val="00EA6FA3"/>
    <w:rsid w:val="00EA71C7"/>
    <w:rsid w:val="00EA7B4B"/>
    <w:rsid w:val="00EA7D89"/>
    <w:rsid w:val="00EB0023"/>
    <w:rsid w:val="00EB023D"/>
    <w:rsid w:val="00EB0458"/>
    <w:rsid w:val="00EB0594"/>
    <w:rsid w:val="00EB05AA"/>
    <w:rsid w:val="00EB05B9"/>
    <w:rsid w:val="00EB116D"/>
    <w:rsid w:val="00EB2D7A"/>
    <w:rsid w:val="00EB3348"/>
    <w:rsid w:val="00EB3756"/>
    <w:rsid w:val="00EB3803"/>
    <w:rsid w:val="00EB3B0E"/>
    <w:rsid w:val="00EB428F"/>
    <w:rsid w:val="00EB43E8"/>
    <w:rsid w:val="00EB46A9"/>
    <w:rsid w:val="00EB480A"/>
    <w:rsid w:val="00EB485A"/>
    <w:rsid w:val="00EB4A1D"/>
    <w:rsid w:val="00EB4C48"/>
    <w:rsid w:val="00EB4EEF"/>
    <w:rsid w:val="00EB538F"/>
    <w:rsid w:val="00EB5B54"/>
    <w:rsid w:val="00EB6266"/>
    <w:rsid w:val="00EB6497"/>
    <w:rsid w:val="00EB6F85"/>
    <w:rsid w:val="00EB75E4"/>
    <w:rsid w:val="00EB7604"/>
    <w:rsid w:val="00EB778D"/>
    <w:rsid w:val="00EC0128"/>
    <w:rsid w:val="00EC05AF"/>
    <w:rsid w:val="00EC069E"/>
    <w:rsid w:val="00EC0A9C"/>
    <w:rsid w:val="00EC12A0"/>
    <w:rsid w:val="00EC1418"/>
    <w:rsid w:val="00EC16BE"/>
    <w:rsid w:val="00EC1807"/>
    <w:rsid w:val="00EC204A"/>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C2F"/>
    <w:rsid w:val="00ED2D23"/>
    <w:rsid w:val="00ED351B"/>
    <w:rsid w:val="00ED3841"/>
    <w:rsid w:val="00ED3A72"/>
    <w:rsid w:val="00ED3E43"/>
    <w:rsid w:val="00ED4058"/>
    <w:rsid w:val="00ED5020"/>
    <w:rsid w:val="00ED543D"/>
    <w:rsid w:val="00ED5D02"/>
    <w:rsid w:val="00ED68D4"/>
    <w:rsid w:val="00ED6F22"/>
    <w:rsid w:val="00ED70F8"/>
    <w:rsid w:val="00ED79B0"/>
    <w:rsid w:val="00ED7BC5"/>
    <w:rsid w:val="00EE037B"/>
    <w:rsid w:val="00EE03CB"/>
    <w:rsid w:val="00EE06A5"/>
    <w:rsid w:val="00EE140C"/>
    <w:rsid w:val="00EE192D"/>
    <w:rsid w:val="00EE1BC3"/>
    <w:rsid w:val="00EE1E1D"/>
    <w:rsid w:val="00EE28CC"/>
    <w:rsid w:val="00EE2DF2"/>
    <w:rsid w:val="00EE2E7D"/>
    <w:rsid w:val="00EE2ECE"/>
    <w:rsid w:val="00EE3176"/>
    <w:rsid w:val="00EE36F2"/>
    <w:rsid w:val="00EE3EA9"/>
    <w:rsid w:val="00EE3FFC"/>
    <w:rsid w:val="00EE4372"/>
    <w:rsid w:val="00EE43EB"/>
    <w:rsid w:val="00EE44DA"/>
    <w:rsid w:val="00EE454A"/>
    <w:rsid w:val="00EE45D3"/>
    <w:rsid w:val="00EE49EF"/>
    <w:rsid w:val="00EE4CE1"/>
    <w:rsid w:val="00EE4FE9"/>
    <w:rsid w:val="00EE5AAB"/>
    <w:rsid w:val="00EE5C2C"/>
    <w:rsid w:val="00EE6945"/>
    <w:rsid w:val="00EE696A"/>
    <w:rsid w:val="00EE6E7F"/>
    <w:rsid w:val="00EE70E2"/>
    <w:rsid w:val="00EE71CA"/>
    <w:rsid w:val="00EE73DE"/>
    <w:rsid w:val="00EE78FA"/>
    <w:rsid w:val="00EE797F"/>
    <w:rsid w:val="00EF0610"/>
    <w:rsid w:val="00EF0FF2"/>
    <w:rsid w:val="00EF117C"/>
    <w:rsid w:val="00EF1648"/>
    <w:rsid w:val="00EF18CA"/>
    <w:rsid w:val="00EF2337"/>
    <w:rsid w:val="00EF25AF"/>
    <w:rsid w:val="00EF3096"/>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F2E"/>
    <w:rsid w:val="00F00F88"/>
    <w:rsid w:val="00F01E68"/>
    <w:rsid w:val="00F023FA"/>
    <w:rsid w:val="00F025ED"/>
    <w:rsid w:val="00F02755"/>
    <w:rsid w:val="00F0293B"/>
    <w:rsid w:val="00F02AEF"/>
    <w:rsid w:val="00F02CA2"/>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4A5"/>
    <w:rsid w:val="00F11BCE"/>
    <w:rsid w:val="00F12DD1"/>
    <w:rsid w:val="00F12F1F"/>
    <w:rsid w:val="00F131DF"/>
    <w:rsid w:val="00F134ED"/>
    <w:rsid w:val="00F135E5"/>
    <w:rsid w:val="00F13AFA"/>
    <w:rsid w:val="00F13C53"/>
    <w:rsid w:val="00F14BC1"/>
    <w:rsid w:val="00F14C67"/>
    <w:rsid w:val="00F14DE1"/>
    <w:rsid w:val="00F14FBF"/>
    <w:rsid w:val="00F14FE9"/>
    <w:rsid w:val="00F1532A"/>
    <w:rsid w:val="00F15951"/>
    <w:rsid w:val="00F16B9E"/>
    <w:rsid w:val="00F16ED6"/>
    <w:rsid w:val="00F16FA1"/>
    <w:rsid w:val="00F17850"/>
    <w:rsid w:val="00F17CCE"/>
    <w:rsid w:val="00F20458"/>
    <w:rsid w:val="00F20F59"/>
    <w:rsid w:val="00F2160D"/>
    <w:rsid w:val="00F22C87"/>
    <w:rsid w:val="00F232A1"/>
    <w:rsid w:val="00F234EF"/>
    <w:rsid w:val="00F23742"/>
    <w:rsid w:val="00F237D2"/>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7F6"/>
    <w:rsid w:val="00F32C23"/>
    <w:rsid w:val="00F3387C"/>
    <w:rsid w:val="00F33AF3"/>
    <w:rsid w:val="00F33FB2"/>
    <w:rsid w:val="00F34131"/>
    <w:rsid w:val="00F34314"/>
    <w:rsid w:val="00F34AE1"/>
    <w:rsid w:val="00F35009"/>
    <w:rsid w:val="00F350C0"/>
    <w:rsid w:val="00F35313"/>
    <w:rsid w:val="00F356F8"/>
    <w:rsid w:val="00F35799"/>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C76"/>
    <w:rsid w:val="00F45F49"/>
    <w:rsid w:val="00F460A7"/>
    <w:rsid w:val="00F4635C"/>
    <w:rsid w:val="00F4652F"/>
    <w:rsid w:val="00F46A78"/>
    <w:rsid w:val="00F46F65"/>
    <w:rsid w:val="00F47BD0"/>
    <w:rsid w:val="00F501D9"/>
    <w:rsid w:val="00F501EF"/>
    <w:rsid w:val="00F50F39"/>
    <w:rsid w:val="00F50FBB"/>
    <w:rsid w:val="00F51079"/>
    <w:rsid w:val="00F5152D"/>
    <w:rsid w:val="00F515B3"/>
    <w:rsid w:val="00F52B32"/>
    <w:rsid w:val="00F52E0B"/>
    <w:rsid w:val="00F5302D"/>
    <w:rsid w:val="00F53305"/>
    <w:rsid w:val="00F53C8F"/>
    <w:rsid w:val="00F53F96"/>
    <w:rsid w:val="00F53F9C"/>
    <w:rsid w:val="00F54B01"/>
    <w:rsid w:val="00F553EA"/>
    <w:rsid w:val="00F559BE"/>
    <w:rsid w:val="00F55D9E"/>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C74"/>
    <w:rsid w:val="00F722C8"/>
    <w:rsid w:val="00F72371"/>
    <w:rsid w:val="00F72BAE"/>
    <w:rsid w:val="00F72E99"/>
    <w:rsid w:val="00F735CD"/>
    <w:rsid w:val="00F73A36"/>
    <w:rsid w:val="00F73D68"/>
    <w:rsid w:val="00F73F12"/>
    <w:rsid w:val="00F743DC"/>
    <w:rsid w:val="00F74645"/>
    <w:rsid w:val="00F74B50"/>
    <w:rsid w:val="00F75079"/>
    <w:rsid w:val="00F75505"/>
    <w:rsid w:val="00F75551"/>
    <w:rsid w:val="00F759A2"/>
    <w:rsid w:val="00F75B24"/>
    <w:rsid w:val="00F75D45"/>
    <w:rsid w:val="00F76C94"/>
    <w:rsid w:val="00F7737B"/>
    <w:rsid w:val="00F7757D"/>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AD5"/>
    <w:rsid w:val="00F85E64"/>
    <w:rsid w:val="00F87030"/>
    <w:rsid w:val="00F87174"/>
    <w:rsid w:val="00F876EA"/>
    <w:rsid w:val="00F8779F"/>
    <w:rsid w:val="00F90105"/>
    <w:rsid w:val="00F905D5"/>
    <w:rsid w:val="00F906C7"/>
    <w:rsid w:val="00F91D40"/>
    <w:rsid w:val="00F92D36"/>
    <w:rsid w:val="00F92DD0"/>
    <w:rsid w:val="00F931FE"/>
    <w:rsid w:val="00F937D4"/>
    <w:rsid w:val="00F93C80"/>
    <w:rsid w:val="00F93D88"/>
    <w:rsid w:val="00F93DDF"/>
    <w:rsid w:val="00F9408D"/>
    <w:rsid w:val="00F940FF"/>
    <w:rsid w:val="00F9439F"/>
    <w:rsid w:val="00F945EC"/>
    <w:rsid w:val="00F94698"/>
    <w:rsid w:val="00F94DB3"/>
    <w:rsid w:val="00F94DCF"/>
    <w:rsid w:val="00F951F2"/>
    <w:rsid w:val="00F95FBF"/>
    <w:rsid w:val="00F9691C"/>
    <w:rsid w:val="00F96EFD"/>
    <w:rsid w:val="00F97235"/>
    <w:rsid w:val="00F976AD"/>
    <w:rsid w:val="00F97C5F"/>
    <w:rsid w:val="00F97D70"/>
    <w:rsid w:val="00FA0CB1"/>
    <w:rsid w:val="00FA10BC"/>
    <w:rsid w:val="00FA19D3"/>
    <w:rsid w:val="00FA2576"/>
    <w:rsid w:val="00FA275C"/>
    <w:rsid w:val="00FA27F4"/>
    <w:rsid w:val="00FA2B34"/>
    <w:rsid w:val="00FA2D45"/>
    <w:rsid w:val="00FA3118"/>
    <w:rsid w:val="00FA31E4"/>
    <w:rsid w:val="00FA362B"/>
    <w:rsid w:val="00FA3EF0"/>
    <w:rsid w:val="00FA3EFC"/>
    <w:rsid w:val="00FA40C7"/>
    <w:rsid w:val="00FA43B5"/>
    <w:rsid w:val="00FA46F0"/>
    <w:rsid w:val="00FA4D35"/>
    <w:rsid w:val="00FA53E0"/>
    <w:rsid w:val="00FA56E1"/>
    <w:rsid w:val="00FA5B0D"/>
    <w:rsid w:val="00FA62E9"/>
    <w:rsid w:val="00FA6F8F"/>
    <w:rsid w:val="00FA6FB6"/>
    <w:rsid w:val="00FB008B"/>
    <w:rsid w:val="00FB00B4"/>
    <w:rsid w:val="00FB00D9"/>
    <w:rsid w:val="00FB097F"/>
    <w:rsid w:val="00FB0AD7"/>
    <w:rsid w:val="00FB108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247E"/>
    <w:rsid w:val="00FC2C95"/>
    <w:rsid w:val="00FC2F66"/>
    <w:rsid w:val="00FC382C"/>
    <w:rsid w:val="00FC4010"/>
    <w:rsid w:val="00FC41E7"/>
    <w:rsid w:val="00FC420B"/>
    <w:rsid w:val="00FC4F00"/>
    <w:rsid w:val="00FC5148"/>
    <w:rsid w:val="00FC5F49"/>
    <w:rsid w:val="00FC60E1"/>
    <w:rsid w:val="00FC6103"/>
    <w:rsid w:val="00FC627B"/>
    <w:rsid w:val="00FC6295"/>
    <w:rsid w:val="00FC6567"/>
    <w:rsid w:val="00FC65D5"/>
    <w:rsid w:val="00FC727C"/>
    <w:rsid w:val="00FC72C4"/>
    <w:rsid w:val="00FC74C8"/>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978"/>
    <w:rsid w:val="00FD7612"/>
    <w:rsid w:val="00FD7D16"/>
    <w:rsid w:val="00FE0207"/>
    <w:rsid w:val="00FE045C"/>
    <w:rsid w:val="00FE04B1"/>
    <w:rsid w:val="00FE06D4"/>
    <w:rsid w:val="00FE0CF2"/>
    <w:rsid w:val="00FE12D8"/>
    <w:rsid w:val="00FE1630"/>
    <w:rsid w:val="00FE242A"/>
    <w:rsid w:val="00FE29C2"/>
    <w:rsid w:val="00FE2B09"/>
    <w:rsid w:val="00FE2C0F"/>
    <w:rsid w:val="00FE2D27"/>
    <w:rsid w:val="00FE2D2F"/>
    <w:rsid w:val="00FE3B90"/>
    <w:rsid w:val="00FE3FAC"/>
    <w:rsid w:val="00FE539D"/>
    <w:rsid w:val="00FE5630"/>
    <w:rsid w:val="00FE566C"/>
    <w:rsid w:val="00FE5936"/>
    <w:rsid w:val="00FE5AE9"/>
    <w:rsid w:val="00FE60A2"/>
    <w:rsid w:val="00FE6212"/>
    <w:rsid w:val="00FE67DC"/>
    <w:rsid w:val="00FE68D2"/>
    <w:rsid w:val="00FE6D97"/>
    <w:rsid w:val="00FE71EA"/>
    <w:rsid w:val="00FE722C"/>
    <w:rsid w:val="00FE76B0"/>
    <w:rsid w:val="00FE7785"/>
    <w:rsid w:val="00FE7C1E"/>
    <w:rsid w:val="00FE7D64"/>
    <w:rsid w:val="00FF01C8"/>
    <w:rsid w:val="00FF0789"/>
    <w:rsid w:val="00FF0EC0"/>
    <w:rsid w:val="00FF17D8"/>
    <w:rsid w:val="00FF1891"/>
    <w:rsid w:val="00FF2852"/>
    <w:rsid w:val="00FF28C5"/>
    <w:rsid w:val="00FF31A9"/>
    <w:rsid w:val="00FF474A"/>
    <w:rsid w:val="00FF5609"/>
    <w:rsid w:val="00FF5A19"/>
    <w:rsid w:val="00FF67C9"/>
    <w:rsid w:val="00FF68B2"/>
    <w:rsid w:val="00FF6950"/>
    <w:rsid w:val="00FF6E25"/>
    <w:rsid w:val="00FF6E50"/>
    <w:rsid w:val="00FF7083"/>
    <w:rsid w:val="00FF7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health.org.uk/publications/perspectives-on-context/" TargetMode="External"/><Relationship Id="rId26" Type="http://schemas.openxmlformats.org/officeDocument/2006/relationships/hyperlink" Target="http://journal.nzma.org.nz/journal/127-1390/6014/"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afetyandquality.gov.au/our-work/open-disclosure/" TargetMode="External"/><Relationship Id="rId34" Type="http://schemas.openxmlformats.org/officeDocument/2006/relationships/hyperlink" Target="http://www.choosingwisely.org" TargetMode="External"/><Relationship Id="rId7" Type="http://schemas.openxmlformats.org/officeDocument/2006/relationships/footnotes" Target="footnotes.xml"/><Relationship Id="rId12" Type="http://schemas.openxmlformats.org/officeDocument/2006/relationships/hyperlink" Target="http://www.safetyandquality.gov.au/" TargetMode="External"/><Relationship Id="rId17" Type="http://schemas.openxmlformats.org/officeDocument/2006/relationships/hyperlink" Target="http://www.safetyandquality.gov.au/our-work/clinical-care-standards/consultation/" TargetMode="External"/><Relationship Id="rId25" Type="http://schemas.openxmlformats.org/officeDocument/2006/relationships/hyperlink" Target="http://dx.doi.org/10.1377/hlthaff.2011.0190" TargetMode="External"/><Relationship Id="rId33" Type="http://schemas.openxmlformats.org/officeDocument/2006/relationships/hyperlink" Target="http://www.choosingwiselycanada.org/"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iall.johnson@safetyandquality.gov.au" TargetMode="External"/><Relationship Id="rId20" Type="http://schemas.openxmlformats.org/officeDocument/2006/relationships/hyperlink" Target="http://dx.doi.org/10.1097/PTS.0000000000000080" TargetMode="External"/><Relationship Id="rId29" Type="http://schemas.openxmlformats.org/officeDocument/2006/relationships/hyperlink" Target="http://intqhc.oxfordjournals.org/content/26/2?et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publications-resources/on-the-radar/" TargetMode="External"/><Relationship Id="rId24" Type="http://schemas.openxmlformats.org/officeDocument/2006/relationships/hyperlink" Target="http://dx.doi.org/10.1111/1475-6773.12163" TargetMode="External"/><Relationship Id="rId32" Type="http://schemas.openxmlformats.org/officeDocument/2006/relationships/hyperlink" Target="http://www.nhmrc.gov.au/health-ethics/human-research-ethics/inclusion-advice-opt-out-approach-national-statement-ethical-con" TargetMode="External"/><Relationship Id="rId37" Type="http://schemas.openxmlformats.org/officeDocument/2006/relationships/hyperlink" Target="http://www.gs1au.org/services/recallnet/recallnet-healthcare.as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afetyandquality.gov.au" TargetMode="External"/><Relationship Id="rId23" Type="http://schemas.openxmlformats.org/officeDocument/2006/relationships/hyperlink" Target="http://www.safetyandquality.gov.au/our-work/healthcare-associated-infection/" TargetMode="External"/><Relationship Id="rId28" Type="http://schemas.openxmlformats.org/officeDocument/2006/relationships/hyperlink" Target="http://dx.doi.org/10.1370/afm.1616" TargetMode="External"/><Relationship Id="rId36" Type="http://schemas.openxmlformats.org/officeDocument/2006/relationships/hyperlink" Target="http://www.kingsfund.org.uk/projects/urgent-emergency-care/alternative-guide-urgent-and-emergency-care-system-england" TargetMode="External"/><Relationship Id="rId10" Type="http://schemas.openxmlformats.org/officeDocument/2006/relationships/image" Target="media/image2.png"/><Relationship Id="rId19" Type="http://schemas.openxmlformats.org/officeDocument/2006/relationships/hyperlink" Target="http://dx.doi.org/10.1097/PTS.0000000000000058" TargetMode="External"/><Relationship Id="rId31" Type="http://schemas.openxmlformats.org/officeDocument/2006/relationships/hyperlink" Target="http://www.nhmrc.gov.au/guidelines/publications/e11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il@safetyandquality.gov.au" TargetMode="External"/><Relationship Id="rId22" Type="http://schemas.openxmlformats.org/officeDocument/2006/relationships/hyperlink" Target="http://dx.doi.org/10.1056/NEJMoa1306801" TargetMode="External"/><Relationship Id="rId27" Type="http://schemas.openxmlformats.org/officeDocument/2006/relationships/image" Target="media/image3.png"/><Relationship Id="rId30" Type="http://schemas.openxmlformats.org/officeDocument/2006/relationships/hyperlink" Target="http://qualitysafety.bmj.com/content/early/recent" TargetMode="External"/><Relationship Id="rId35" Type="http://schemas.openxmlformats.org/officeDocument/2006/relationships/hyperlink" Target="https://www.youtube.com/watch?v=iBLQnThJ6w0&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1B250-C023-45CF-A2C1-FBC06F054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7</Pages>
  <Words>2945</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19693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29</cp:revision>
  <cp:lastPrinted>2013-06-06T03:47:00Z</cp:lastPrinted>
  <dcterms:created xsi:type="dcterms:W3CDTF">2014-04-07T01:55:00Z</dcterms:created>
  <dcterms:modified xsi:type="dcterms:W3CDTF">2014-04-13T05:32:00Z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