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824B99">
      <w:pPr>
        <w:pStyle w:val="Heading1"/>
        <w:rPr>
          <w:rFonts w:ascii="Bookman Old Style" w:hAnsi="Bookman Old Style"/>
          <w:sz w:val="48"/>
          <w:szCs w:val="48"/>
          <w:lang w:val="en-AU"/>
        </w:rPr>
      </w:pPr>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E724CB">
        <w:rPr>
          <w:color w:val="000000"/>
          <w:lang w:val="en-AU"/>
        </w:rPr>
        <w:t>76</w:t>
      </w:r>
    </w:p>
    <w:p w:rsidR="000F7901" w:rsidRPr="0048169F" w:rsidRDefault="00E724CB" w:rsidP="00B160EF">
      <w:pPr>
        <w:rPr>
          <w:lang w:val="en-AU"/>
        </w:rPr>
      </w:pPr>
      <w:r>
        <w:rPr>
          <w:lang w:val="en-AU"/>
        </w:rPr>
        <w:t xml:space="preserve">2 June </w:t>
      </w:r>
      <w:r w:rsidR="000F7901" w:rsidRPr="0048169F">
        <w:rPr>
          <w:lang w:val="en-AU"/>
        </w:rPr>
        <w:t>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0"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r w:rsidR="005C29C1">
        <w:rPr>
          <w:bCs/>
          <w:lang w:val="en-AU"/>
        </w:rPr>
        <w:t>, Coral Warren</w:t>
      </w:r>
    </w:p>
    <w:bookmarkEnd w:id="0"/>
    <w:p w:rsidR="009A35BE" w:rsidRPr="0048169F" w:rsidRDefault="009A35BE" w:rsidP="00A60B5B">
      <w:pPr>
        <w:rPr>
          <w:shd w:val="clear" w:color="auto" w:fill="FFFFFF"/>
          <w:lang w:val="en-AU"/>
        </w:rPr>
      </w:pPr>
    </w:p>
    <w:p w:rsidR="00751E8F" w:rsidRPr="0048169F" w:rsidRDefault="00751E8F" w:rsidP="00751E8F">
      <w:pPr>
        <w:rPr>
          <w:b/>
          <w:lang w:val="en-AU"/>
        </w:rPr>
      </w:pPr>
      <w:r w:rsidRPr="0048169F">
        <w:rPr>
          <w:b/>
          <w:lang w:val="en-AU"/>
        </w:rPr>
        <w:t>Consultation on training and competencies for recognising and responding to clinical deterioration in acute care</w:t>
      </w:r>
    </w:p>
    <w:p w:rsidR="00751E8F" w:rsidRPr="0048169F" w:rsidRDefault="00751E8F" w:rsidP="00751E8F">
      <w:pPr>
        <w:rPr>
          <w:i/>
          <w:lang w:val="en-AU"/>
        </w:rPr>
      </w:pPr>
      <w:r w:rsidRPr="0048169F">
        <w:rPr>
          <w:i/>
          <w:lang w:val="en-AU"/>
        </w:rPr>
        <w:t>Consultation now open</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48169F">
        <w:rPr>
          <w:lang w:val="en-AU"/>
        </w:rPr>
        <w:t>deterioration,</w:t>
      </w:r>
      <w:proofErr w:type="gramEnd"/>
      <w:r w:rsidRPr="0048169F">
        <w:rPr>
          <w:lang w:val="en-AU"/>
        </w:rPr>
        <w:t xml:space="preserve"> and a lack of clear guidance about what knowledge should be required as a minimum for all clinicians. </w:t>
      </w:r>
    </w:p>
    <w:p w:rsidR="00751E8F" w:rsidRPr="0048169F" w:rsidRDefault="00751E8F" w:rsidP="00751E8F">
      <w:pPr>
        <w:rPr>
          <w:lang w:val="en-AU"/>
        </w:rPr>
      </w:pPr>
    </w:p>
    <w:p w:rsidR="00751E8F" w:rsidRPr="0048169F" w:rsidRDefault="00751E8F" w:rsidP="00751E8F">
      <w:pPr>
        <w:rPr>
          <w:lang w:val="en-AU"/>
        </w:rPr>
      </w:pPr>
      <w:r w:rsidRPr="0048169F">
        <w:rPr>
          <w:lang w:val="en-AU"/>
        </w:rPr>
        <w:t>To provide clarity to the requirements of the NSQHS Standards and ensure patients are protected from harm, the Commission is now seeking further advice on this issue.</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A consultation paper, </w:t>
      </w:r>
      <w:r w:rsidRPr="0048169F">
        <w:rPr>
          <w:i/>
          <w:lang w:val="en-AU"/>
        </w:rPr>
        <w:t>National Safety and Quality Health Service Standards: Training and Competencies for Recognising and Responding to Clinical Deterioration in Acute Care</w:t>
      </w:r>
      <w:r w:rsidRPr="0048169F">
        <w:rPr>
          <w:lang w:val="en-AU"/>
        </w:rPr>
        <w:t xml:space="preserve"> is available at </w:t>
      </w:r>
      <w:hyperlink r:id="rId16" w:history="1">
        <w:r w:rsidRPr="0048169F">
          <w:rPr>
            <w:rStyle w:val="Hyperlink"/>
            <w:lang w:val="en-AU"/>
          </w:rPr>
          <w:t>http://www.safetyandquality.gov.au/our-work/recognition-and-response-to-clinical-deterioration/training-and-competencies/</w:t>
        </w:r>
      </w:hyperlink>
    </w:p>
    <w:p w:rsidR="00751E8F" w:rsidRPr="0048169F" w:rsidRDefault="00751E8F" w:rsidP="00751E8F">
      <w:pPr>
        <w:rPr>
          <w:lang w:val="en-AU"/>
        </w:rPr>
      </w:pPr>
    </w:p>
    <w:p w:rsidR="00751E8F" w:rsidRPr="0048169F" w:rsidRDefault="00751E8F" w:rsidP="00751E8F">
      <w:pPr>
        <w:rPr>
          <w:lang w:val="en-AU"/>
        </w:rPr>
      </w:pPr>
      <w:r w:rsidRPr="0048169F">
        <w:rPr>
          <w:lang w:val="en-AU"/>
        </w:rPr>
        <w:t>Information about the process of making a submission is included in the paper and the Commission will accept submiss</w:t>
      </w:r>
      <w:r w:rsidR="00FE7380" w:rsidRPr="0048169F">
        <w:rPr>
          <w:lang w:val="en-AU"/>
        </w:rPr>
        <w:t>ions until Friday 27 June 2014.</w:t>
      </w:r>
    </w:p>
    <w:p w:rsidR="00751E8F" w:rsidRPr="0048169F" w:rsidRDefault="00751E8F" w:rsidP="00751E8F">
      <w:pPr>
        <w:rPr>
          <w:lang w:val="en-AU"/>
        </w:rPr>
      </w:pPr>
    </w:p>
    <w:p w:rsidR="005F3F42" w:rsidRPr="0048169F" w:rsidRDefault="00751E8F" w:rsidP="00751E8F">
      <w:pPr>
        <w:rPr>
          <w:lang w:val="en-AU"/>
        </w:rPr>
      </w:pPr>
      <w:r w:rsidRPr="0048169F">
        <w:rPr>
          <w:lang w:val="en-AU"/>
        </w:rPr>
        <w:t xml:space="preserve">The contact person for this consultation is Ms Jennifer Hill, Senior Project Officer, Recognising and Responding to Clinical Deterioration Program. Ms Hill can be contacted on (02) 9126 3527 or via email at </w:t>
      </w:r>
      <w:hyperlink r:id="rId17" w:history="1">
        <w:r w:rsidRPr="0048169F">
          <w:rPr>
            <w:rStyle w:val="Hyperlink"/>
            <w:lang w:val="en-AU"/>
          </w:rPr>
          <w:t>rrconsultation@safetyandquality.gov.au</w:t>
        </w:r>
      </w:hyperlink>
      <w:r w:rsidRPr="0048169F">
        <w:rPr>
          <w:lang w:val="en-AU"/>
        </w:rPr>
        <w:t>.</w:t>
      </w:r>
    </w:p>
    <w:p w:rsidR="00751E8F" w:rsidRPr="0048169F" w:rsidRDefault="00751E8F" w:rsidP="00751E8F">
      <w:pPr>
        <w:rPr>
          <w:lang w:val="en-AU"/>
        </w:rPr>
      </w:pPr>
    </w:p>
    <w:p w:rsidR="00EC6A58" w:rsidRPr="0048169F" w:rsidRDefault="00EC6A58" w:rsidP="00396D0A">
      <w:pPr>
        <w:rPr>
          <w:b/>
          <w:lang w:val="en-AU"/>
        </w:rPr>
      </w:pPr>
      <w:r w:rsidRPr="0048169F">
        <w:rPr>
          <w:b/>
          <w:lang w:val="en-AU"/>
        </w:rPr>
        <w:t>Reports</w:t>
      </w:r>
    </w:p>
    <w:p w:rsidR="00EC6A58" w:rsidRPr="0048169F" w:rsidRDefault="00EC6A58" w:rsidP="00396D0A">
      <w:pPr>
        <w:rPr>
          <w:b/>
          <w:lang w:val="en-AU"/>
        </w:rPr>
      </w:pPr>
    </w:p>
    <w:p w:rsidR="00421476" w:rsidRPr="00421476" w:rsidRDefault="00421476" w:rsidP="00421476">
      <w:pPr>
        <w:keepNext/>
        <w:keepLines/>
        <w:autoSpaceDE w:val="0"/>
        <w:autoSpaceDN w:val="0"/>
        <w:adjustRightInd w:val="0"/>
        <w:rPr>
          <w:i/>
          <w:lang w:val="en-AU"/>
        </w:rPr>
      </w:pPr>
      <w:r w:rsidRPr="00421476">
        <w:rPr>
          <w:i/>
          <w:lang w:val="en-AU"/>
        </w:rPr>
        <w:t>Exploring Healthcare Variation in Australia: Analyses Resulting from an OECD Study</w:t>
      </w:r>
    </w:p>
    <w:p w:rsidR="00421476" w:rsidRDefault="00421476" w:rsidP="00DB7D72">
      <w:pPr>
        <w:keepNext/>
        <w:keepLines/>
        <w:autoSpaceDE w:val="0"/>
        <w:autoSpaceDN w:val="0"/>
        <w:adjustRightInd w:val="0"/>
        <w:rPr>
          <w:lang w:val="en-AU"/>
        </w:rPr>
      </w:pPr>
      <w:r w:rsidRPr="00421476">
        <w:rPr>
          <w:lang w:val="en-AU"/>
        </w:rPr>
        <w:t>Australian Commission on Safety and Quality in Health Care</w:t>
      </w:r>
      <w:r>
        <w:rPr>
          <w:lang w:val="en-AU"/>
        </w:rPr>
        <w:t xml:space="preserve"> and</w:t>
      </w:r>
      <w:r w:rsidRPr="00421476">
        <w:rPr>
          <w:lang w:val="en-AU"/>
        </w:rPr>
        <w:t xml:space="preserve"> Australian Institute for Health and Welfare</w:t>
      </w:r>
    </w:p>
    <w:p w:rsidR="00DB7D72" w:rsidRPr="0048169F" w:rsidRDefault="00421476" w:rsidP="00DB7D72">
      <w:pPr>
        <w:keepNext/>
        <w:keepLines/>
        <w:autoSpaceDE w:val="0"/>
        <w:autoSpaceDN w:val="0"/>
        <w:adjustRightInd w:val="0"/>
        <w:rPr>
          <w:lang w:val="en-AU"/>
        </w:rPr>
      </w:pPr>
      <w:r w:rsidRPr="00421476">
        <w:rPr>
          <w:lang w:val="en-AU"/>
        </w:rPr>
        <w:t>Sydney: ACSHQC, 2014.</w:t>
      </w:r>
    </w:p>
    <w:tbl>
      <w:tblPr>
        <w:tblStyle w:val="TableGrid"/>
        <w:tblW w:w="0" w:type="auto"/>
        <w:tblInd w:w="288" w:type="dxa"/>
        <w:tblLayout w:type="fixed"/>
        <w:tblLook w:val="01E0" w:firstRow="1" w:lastRow="1" w:firstColumn="1" w:lastColumn="1" w:noHBand="0" w:noVBand="0"/>
      </w:tblPr>
      <w:tblGrid>
        <w:gridCol w:w="1080"/>
        <w:gridCol w:w="8280"/>
      </w:tblGrid>
      <w:tr w:rsidR="007B42C9" w:rsidRPr="0048169F"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AF0F85">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7D72" w:rsidRPr="0048169F" w:rsidRDefault="00D11376" w:rsidP="00DB7D72">
            <w:pPr>
              <w:rPr>
                <w:lang w:val="en-AU"/>
              </w:rPr>
            </w:pPr>
            <w:hyperlink r:id="rId18" w:history="1">
              <w:r w:rsidR="00421476" w:rsidRPr="008F26A4">
                <w:rPr>
                  <w:rStyle w:val="Hyperlink"/>
                  <w:lang w:val="en-AU"/>
                </w:rPr>
                <w:t>http://www.safetyandquality.gov.au/publications/exploring-healthcare-variation-in-australia/</w:t>
              </w:r>
            </w:hyperlink>
            <w:r w:rsidR="00421476">
              <w:rPr>
                <w:lang w:val="en-AU"/>
              </w:rPr>
              <w:t xml:space="preserve"> </w:t>
            </w:r>
          </w:p>
        </w:tc>
      </w:tr>
      <w:tr w:rsidR="007B42C9" w:rsidRPr="0048169F" w:rsidTr="00AF0F85">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AF0F85">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410B" w:rsidRPr="0050410B" w:rsidRDefault="0050410B" w:rsidP="0050410B">
            <w:pPr>
              <w:rPr>
                <w:lang w:val="en-AU"/>
              </w:rPr>
            </w:pPr>
            <w:r w:rsidRPr="0050410B">
              <w:rPr>
                <w:lang w:val="en-AU"/>
              </w:rPr>
              <w:t xml:space="preserve">The Australian results of an Organisation for Economic Co-operation and Development (OECD) study on healthcare variation were </w:t>
            </w:r>
            <w:r w:rsidR="00AB2161">
              <w:rPr>
                <w:lang w:val="en-AU"/>
              </w:rPr>
              <w:t xml:space="preserve">published </w:t>
            </w:r>
            <w:r>
              <w:rPr>
                <w:lang w:val="en-AU"/>
              </w:rPr>
              <w:t xml:space="preserve">in this </w:t>
            </w:r>
            <w:r w:rsidRPr="0050410B">
              <w:rPr>
                <w:lang w:val="en-AU"/>
              </w:rPr>
              <w:t>discussion paper authored by the Australian Commission on Safety and Quality in Health Care (the Commission) and the Australian Institute of Health and Welfare.</w:t>
            </w:r>
          </w:p>
          <w:p w:rsidR="0050410B" w:rsidRPr="0050410B" w:rsidRDefault="0050410B" w:rsidP="0050410B">
            <w:pPr>
              <w:rPr>
                <w:lang w:val="en-AU"/>
              </w:rPr>
            </w:pPr>
            <w:r w:rsidRPr="0050410B">
              <w:rPr>
                <w:lang w:val="en-AU"/>
              </w:rPr>
              <w:t>The paper</w:t>
            </w:r>
            <w:r>
              <w:rPr>
                <w:lang w:val="en-AU"/>
              </w:rPr>
              <w:t xml:space="preserve"> </w:t>
            </w:r>
            <w:r w:rsidRPr="0050410B">
              <w:rPr>
                <w:lang w:val="en-AU"/>
              </w:rPr>
              <w:t>examines variation in the rates of several common procedures, selected by the OECD, including</w:t>
            </w:r>
            <w:r w:rsidR="00AB2161">
              <w:rPr>
                <w:lang w:val="en-AU"/>
              </w:rPr>
              <w:t>:</w:t>
            </w:r>
            <w:r w:rsidRPr="0050410B">
              <w:rPr>
                <w:lang w:val="en-AU"/>
              </w:rPr>
              <w:t xml:space="preserve"> knee surgery (knee arthroscopy and knee replacement); cardiac procedures (cardiac catheterisation, percutaneous coronary interventions and coronary artery bypass grafting; caesarean section; and hysterectomy. </w:t>
            </w:r>
            <w:r w:rsidR="00AB2161">
              <w:rPr>
                <w:lang w:val="en-AU"/>
              </w:rPr>
              <w:t>The p</w:t>
            </w:r>
            <w:r w:rsidRPr="0050410B">
              <w:rPr>
                <w:lang w:val="en-AU"/>
              </w:rPr>
              <w:t xml:space="preserve">rocedures </w:t>
            </w:r>
            <w:r w:rsidR="00AB2161">
              <w:rPr>
                <w:lang w:val="en-AU"/>
              </w:rPr>
              <w:t xml:space="preserve">measured </w:t>
            </w:r>
            <w:r w:rsidRPr="0050410B">
              <w:rPr>
                <w:lang w:val="en-AU"/>
              </w:rPr>
              <w:t xml:space="preserve">were undertaken in hospitals and day procedure centres, both public and private, during 2010-11. Variation was measured according to the Medicare Local area where patients lived, but the approach can be applied to any desired geographic </w:t>
            </w:r>
            <w:r w:rsidR="00AB2161">
              <w:rPr>
                <w:lang w:val="en-AU"/>
              </w:rPr>
              <w:t>scale.</w:t>
            </w:r>
          </w:p>
          <w:p w:rsidR="0050410B" w:rsidRDefault="0050410B" w:rsidP="0050410B">
            <w:pPr>
              <w:rPr>
                <w:lang w:val="en-AU"/>
              </w:rPr>
            </w:pPr>
          </w:p>
          <w:p w:rsidR="0050410B" w:rsidRPr="0050410B" w:rsidRDefault="0050410B" w:rsidP="0050410B">
            <w:pPr>
              <w:rPr>
                <w:i/>
                <w:lang w:val="en-AU"/>
              </w:rPr>
            </w:pPr>
            <w:r w:rsidRPr="0050410B">
              <w:rPr>
                <w:i/>
                <w:lang w:val="en-AU"/>
              </w:rPr>
              <w:t>Consultation now open</w:t>
            </w:r>
          </w:p>
          <w:p w:rsidR="0050410B" w:rsidRPr="0050410B" w:rsidRDefault="0050410B" w:rsidP="0050410B">
            <w:pPr>
              <w:rPr>
                <w:lang w:val="en-AU"/>
              </w:rPr>
            </w:pPr>
            <w:r>
              <w:rPr>
                <w:lang w:val="en-AU"/>
              </w:rPr>
              <w:t xml:space="preserve">The Commission is inviting </w:t>
            </w:r>
            <w:r w:rsidRPr="0050410B">
              <w:rPr>
                <w:lang w:val="en-AU"/>
              </w:rPr>
              <w:t xml:space="preserve">comment and feedback on the paper. Consultation is open until 20 July 2014. Details about how to make a submission are included in the paper. </w:t>
            </w:r>
          </w:p>
          <w:p w:rsidR="0001489E" w:rsidRPr="00E724CB" w:rsidRDefault="0050410B" w:rsidP="00AB2161">
            <w:pPr>
              <w:rPr>
                <w:lang w:val="en-AU"/>
              </w:rPr>
            </w:pPr>
            <w:r w:rsidRPr="0050410B">
              <w:rPr>
                <w:lang w:val="en-AU"/>
              </w:rPr>
              <w:t xml:space="preserve">The contact person </w:t>
            </w:r>
            <w:r>
              <w:rPr>
                <w:lang w:val="en-AU"/>
              </w:rPr>
              <w:t xml:space="preserve">for this consultation </w:t>
            </w:r>
            <w:r w:rsidRPr="0050410B">
              <w:rPr>
                <w:lang w:val="en-AU"/>
              </w:rPr>
              <w:t xml:space="preserve">is Mr Luke Slawomirski, Program Manager, </w:t>
            </w:r>
            <w:proofErr w:type="gramStart"/>
            <w:r w:rsidRPr="0050410B">
              <w:rPr>
                <w:lang w:val="en-AU"/>
              </w:rPr>
              <w:t>Implementation</w:t>
            </w:r>
            <w:proofErr w:type="gramEnd"/>
            <w:r w:rsidRPr="0050410B">
              <w:rPr>
                <w:lang w:val="en-AU"/>
              </w:rPr>
              <w:t xml:space="preserve"> Support. Mr Slawomirski can be contacted on (02) 9126 3600 or via email at </w:t>
            </w:r>
            <w:hyperlink r:id="rId19" w:history="1">
              <w:r w:rsidRPr="00AE760A">
                <w:rPr>
                  <w:rStyle w:val="Hyperlink"/>
                  <w:lang w:val="en-AU"/>
                </w:rPr>
                <w:t>medicalpracticevariation@safetyandquality.gov.au</w:t>
              </w:r>
            </w:hyperlink>
            <w:r w:rsidRPr="0050410B">
              <w:rPr>
                <w:lang w:val="en-AU"/>
              </w:rPr>
              <w:t>.</w:t>
            </w:r>
          </w:p>
        </w:tc>
      </w:tr>
    </w:tbl>
    <w:p w:rsidR="0006079C" w:rsidRDefault="0006079C" w:rsidP="007D5386">
      <w:pPr>
        <w:keepNext/>
        <w:keepLines/>
        <w:autoSpaceDE w:val="0"/>
        <w:autoSpaceDN w:val="0"/>
        <w:adjustRightInd w:val="0"/>
        <w:rPr>
          <w:i/>
          <w:lang w:val="en-AU"/>
        </w:rPr>
      </w:pPr>
    </w:p>
    <w:p w:rsidR="00E724CB" w:rsidRPr="0048169F" w:rsidRDefault="00E724CB" w:rsidP="007D5386">
      <w:pPr>
        <w:keepNext/>
        <w:keepLines/>
        <w:autoSpaceDE w:val="0"/>
        <w:autoSpaceDN w:val="0"/>
        <w:adjustRightInd w:val="0"/>
        <w:rPr>
          <w:i/>
          <w:lang w:val="en-AU"/>
        </w:rPr>
      </w:pPr>
    </w:p>
    <w:p w:rsidR="0010424E" w:rsidRDefault="0010424E">
      <w:pPr>
        <w:rPr>
          <w:b/>
          <w:lang w:val="en-AU"/>
        </w:rPr>
      </w:pPr>
      <w:r>
        <w:rPr>
          <w:b/>
          <w:lang w:val="en-AU"/>
        </w:rPr>
        <w:br w:type="page"/>
      </w:r>
    </w:p>
    <w:p w:rsidR="00A30DF9" w:rsidRPr="0048169F" w:rsidRDefault="00254636" w:rsidP="00396D0A">
      <w:pPr>
        <w:rPr>
          <w:b/>
          <w:lang w:val="en-AU"/>
        </w:rPr>
      </w:pPr>
      <w:r w:rsidRPr="0048169F">
        <w:rPr>
          <w:b/>
          <w:lang w:val="en-AU"/>
        </w:rPr>
        <w:lastRenderedPageBreak/>
        <w:t>Journal articles</w:t>
      </w:r>
    </w:p>
    <w:p w:rsidR="007B42C9" w:rsidRPr="0048169F" w:rsidRDefault="007B42C9">
      <w:pPr>
        <w:rPr>
          <w:i/>
          <w:lang w:val="en-AU"/>
        </w:rPr>
      </w:pPr>
    </w:p>
    <w:p w:rsidR="001D48B8" w:rsidRPr="001D48B8" w:rsidRDefault="001D48B8" w:rsidP="001D48B8">
      <w:pPr>
        <w:keepNext/>
        <w:keepLines/>
        <w:autoSpaceDE w:val="0"/>
        <w:autoSpaceDN w:val="0"/>
        <w:adjustRightInd w:val="0"/>
        <w:rPr>
          <w:i/>
          <w:lang w:val="en-AU"/>
        </w:rPr>
      </w:pPr>
      <w:r w:rsidRPr="001D48B8">
        <w:rPr>
          <w:i/>
          <w:lang w:val="en-AU"/>
        </w:rPr>
        <w:t>Effect of Using a Safety Checklist on Patient Complications after Surgery: A Systematic Review and Meta-analysis</w:t>
      </w:r>
    </w:p>
    <w:p w:rsidR="001D48B8" w:rsidRDefault="006E77B9" w:rsidP="0006079C">
      <w:pPr>
        <w:keepNext/>
        <w:keepLines/>
        <w:autoSpaceDE w:val="0"/>
        <w:autoSpaceDN w:val="0"/>
        <w:adjustRightInd w:val="0"/>
        <w:rPr>
          <w:lang w:val="en-AU"/>
        </w:rPr>
      </w:pPr>
      <w:r w:rsidRPr="006E77B9">
        <w:rPr>
          <w:lang w:val="en-AU"/>
        </w:rPr>
        <w:t>Gillespie BM, Chaboyer W, Thalib L, John M, Fairweather N, Slater K</w:t>
      </w:r>
    </w:p>
    <w:p w:rsidR="0006079C" w:rsidRPr="0048169F" w:rsidRDefault="006E77B9" w:rsidP="0006079C">
      <w:pPr>
        <w:keepNext/>
        <w:keepLines/>
        <w:autoSpaceDE w:val="0"/>
        <w:autoSpaceDN w:val="0"/>
        <w:adjustRightInd w:val="0"/>
        <w:rPr>
          <w:lang w:val="en-AU"/>
        </w:rPr>
      </w:pPr>
      <w:r w:rsidRPr="006E77B9">
        <w:rPr>
          <w:lang w:val="en-AU"/>
        </w:rPr>
        <w:t>Anesthe</w:t>
      </w:r>
      <w:r w:rsidR="001D48B8">
        <w:rPr>
          <w:lang w:val="en-AU"/>
        </w:rPr>
        <w:t>siology 2014</w:t>
      </w:r>
      <w:proofErr w:type="gramStart"/>
      <w:r w:rsidR="001D48B8">
        <w:rPr>
          <w:lang w:val="en-AU"/>
        </w:rPr>
        <w:t>;120</w:t>
      </w:r>
      <w:proofErr w:type="gramEnd"/>
      <w:r w:rsidR="001D48B8">
        <w:rPr>
          <w:lang w:val="en-AU"/>
        </w:rPr>
        <w:t>(6):1380-1389</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48169F"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76602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Pr="0048169F" w:rsidRDefault="00D11376" w:rsidP="00FB0A48">
            <w:pPr>
              <w:rPr>
                <w:lang w:val="en-AU"/>
              </w:rPr>
            </w:pPr>
            <w:hyperlink r:id="rId20" w:history="1">
              <w:r w:rsidR="001D48B8" w:rsidRPr="008F26A4">
                <w:rPr>
                  <w:rStyle w:val="Hyperlink"/>
                  <w:lang w:val="en-AU"/>
                </w:rPr>
                <w:t>http://dx.doi.org/10.1097/ALN.0000000000000232</w:t>
              </w:r>
            </w:hyperlink>
            <w:r w:rsidR="001D48B8">
              <w:rPr>
                <w:lang w:val="en-AU"/>
              </w:rPr>
              <w:t xml:space="preserve"> </w:t>
            </w:r>
          </w:p>
        </w:tc>
      </w:tr>
      <w:tr w:rsidR="0006079C" w:rsidRPr="0048169F" w:rsidTr="00766022">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76602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7919" w:rsidRDefault="001D48B8" w:rsidP="001D48B8">
            <w:pPr>
              <w:rPr>
                <w:lang w:val="en-AU"/>
              </w:rPr>
            </w:pPr>
            <w:r>
              <w:rPr>
                <w:lang w:val="en-AU"/>
              </w:rPr>
              <w:t xml:space="preserve">This paper reports on a </w:t>
            </w:r>
            <w:r w:rsidRPr="001D48B8">
              <w:rPr>
                <w:lang w:val="en-AU"/>
              </w:rPr>
              <w:t>review</w:t>
            </w:r>
            <w:r>
              <w:rPr>
                <w:lang w:val="en-AU"/>
              </w:rPr>
              <w:t xml:space="preserve"> </w:t>
            </w:r>
            <w:r w:rsidRPr="001D48B8">
              <w:rPr>
                <w:lang w:val="en-AU"/>
              </w:rPr>
              <w:t xml:space="preserve">of studies on the </w:t>
            </w:r>
            <w:r>
              <w:rPr>
                <w:lang w:val="en-AU"/>
              </w:rPr>
              <w:t xml:space="preserve">impact </w:t>
            </w:r>
            <w:r w:rsidRPr="001D48B8">
              <w:rPr>
                <w:lang w:val="en-AU"/>
              </w:rPr>
              <w:t xml:space="preserve">of using the surgical safety checklist. The </w:t>
            </w:r>
            <w:r>
              <w:rPr>
                <w:lang w:val="en-AU"/>
              </w:rPr>
              <w:t xml:space="preserve">review </w:t>
            </w:r>
            <w:r w:rsidRPr="001D48B8">
              <w:rPr>
                <w:lang w:val="en-AU"/>
              </w:rPr>
              <w:t xml:space="preserve">found </w:t>
            </w:r>
            <w:r>
              <w:rPr>
                <w:lang w:val="en-AU"/>
              </w:rPr>
              <w:t xml:space="preserve">that there can be </w:t>
            </w:r>
            <w:r w:rsidRPr="001D48B8">
              <w:rPr>
                <w:lang w:val="en-AU"/>
              </w:rPr>
              <w:t xml:space="preserve">a </w:t>
            </w:r>
            <w:r w:rsidRPr="00D942B5">
              <w:rPr>
                <w:b/>
                <w:lang w:val="en-AU"/>
              </w:rPr>
              <w:t>significant reduction in post-operative complications when a surgical safety checklist is used</w:t>
            </w:r>
            <w:r w:rsidRPr="001D48B8">
              <w:rPr>
                <w:lang w:val="en-AU"/>
              </w:rPr>
              <w:t>.</w:t>
            </w:r>
          </w:p>
          <w:p w:rsidR="001D48B8" w:rsidRDefault="001D48B8" w:rsidP="001D48B8">
            <w:pPr>
              <w:rPr>
                <w:lang w:val="en-AU"/>
              </w:rPr>
            </w:pPr>
            <w:r>
              <w:rPr>
                <w:lang w:val="en-AU"/>
              </w:rPr>
              <w:t xml:space="preserve">The study </w:t>
            </w:r>
            <w:r w:rsidRPr="001D48B8">
              <w:rPr>
                <w:lang w:val="en-AU"/>
              </w:rPr>
              <w:t>examined seven studies that tested the effect surgical safety checklists had on postoperative complications</w:t>
            </w:r>
            <w:r>
              <w:rPr>
                <w:lang w:val="en-AU"/>
              </w:rPr>
              <w:t xml:space="preserve"> and conducted a</w:t>
            </w:r>
            <w:r w:rsidRPr="001D48B8">
              <w:rPr>
                <w:lang w:val="en-AU"/>
              </w:rPr>
              <w:t xml:space="preserve"> meta-analysis </w:t>
            </w:r>
            <w:r>
              <w:rPr>
                <w:lang w:val="en-AU"/>
              </w:rPr>
              <w:t xml:space="preserve">incorporating </w:t>
            </w:r>
            <w:r w:rsidRPr="001D48B8">
              <w:rPr>
                <w:lang w:val="en-AU"/>
              </w:rPr>
              <w:t xml:space="preserve">the results of the studies, </w:t>
            </w:r>
            <w:r>
              <w:rPr>
                <w:lang w:val="en-AU"/>
              </w:rPr>
              <w:t xml:space="preserve">covering </w:t>
            </w:r>
            <w:r w:rsidRPr="001D48B8">
              <w:rPr>
                <w:lang w:val="en-AU"/>
              </w:rPr>
              <w:t xml:space="preserve">37,339 </w:t>
            </w:r>
            <w:r>
              <w:rPr>
                <w:lang w:val="en-AU"/>
              </w:rPr>
              <w:t xml:space="preserve">surgical </w:t>
            </w:r>
            <w:r w:rsidRPr="001D48B8">
              <w:rPr>
                <w:lang w:val="en-AU"/>
              </w:rPr>
              <w:t xml:space="preserve">patients. </w:t>
            </w:r>
            <w:r>
              <w:rPr>
                <w:lang w:val="en-AU"/>
              </w:rPr>
              <w:t>T</w:t>
            </w:r>
            <w:r w:rsidRPr="001D48B8">
              <w:rPr>
                <w:lang w:val="en-AU"/>
              </w:rPr>
              <w:t>he World Health Organization’s (WHO’s) Surgical Safety Checklist or a modified version was used</w:t>
            </w:r>
            <w:r>
              <w:rPr>
                <w:lang w:val="en-AU"/>
              </w:rPr>
              <w:t xml:space="preserve"> in all the studies</w:t>
            </w:r>
            <w:r w:rsidRPr="001D48B8">
              <w:rPr>
                <w:lang w:val="en-AU"/>
              </w:rPr>
              <w:t>.</w:t>
            </w:r>
          </w:p>
          <w:p w:rsidR="001D48B8" w:rsidRPr="0048169F" w:rsidRDefault="001D48B8" w:rsidP="001D48B8">
            <w:pPr>
              <w:rPr>
                <w:lang w:val="en-AU"/>
              </w:rPr>
            </w:pPr>
            <w:r>
              <w:rPr>
                <w:lang w:val="en-AU"/>
              </w:rPr>
              <w:t xml:space="preserve">The author’s report finding that </w:t>
            </w:r>
            <w:r w:rsidRPr="001D48B8">
              <w:rPr>
                <w:lang w:val="en-AU"/>
              </w:rPr>
              <w:t>found that us</w:t>
            </w:r>
            <w:r>
              <w:rPr>
                <w:lang w:val="en-AU"/>
              </w:rPr>
              <w:t xml:space="preserve">e of </w:t>
            </w:r>
            <w:r w:rsidRPr="001D48B8">
              <w:rPr>
                <w:lang w:val="en-AU"/>
              </w:rPr>
              <w:t xml:space="preserve">a checklist in surgery significantly </w:t>
            </w:r>
            <w:r w:rsidRPr="00D942B5">
              <w:rPr>
                <w:b/>
                <w:lang w:val="en-AU"/>
              </w:rPr>
              <w:t>reduced overall postoperative complications (3.7%)</w:t>
            </w:r>
            <w:r w:rsidRPr="001D48B8">
              <w:rPr>
                <w:lang w:val="en-AU"/>
              </w:rPr>
              <w:t xml:space="preserve">, </w:t>
            </w:r>
            <w:r w:rsidRPr="00D942B5">
              <w:rPr>
                <w:b/>
                <w:lang w:val="en-AU"/>
              </w:rPr>
              <w:t>wound infections (2.9%)</w:t>
            </w:r>
            <w:r>
              <w:rPr>
                <w:lang w:val="en-AU"/>
              </w:rPr>
              <w:t xml:space="preserve"> </w:t>
            </w:r>
            <w:r w:rsidRPr="001D48B8">
              <w:rPr>
                <w:lang w:val="en-AU"/>
              </w:rPr>
              <w:t xml:space="preserve">and </w:t>
            </w:r>
            <w:r w:rsidRPr="00D942B5">
              <w:rPr>
                <w:b/>
                <w:lang w:val="en-AU"/>
              </w:rPr>
              <w:t>blood loss</w:t>
            </w:r>
            <w:r w:rsidRPr="0020477D">
              <w:rPr>
                <w:lang w:val="en-AU"/>
              </w:rPr>
              <w:t xml:space="preserve"> (3.8%</w:t>
            </w:r>
            <w:r>
              <w:rPr>
                <w:lang w:val="en-AU"/>
              </w:rPr>
              <w:t xml:space="preserve"> </w:t>
            </w:r>
            <w:r w:rsidRPr="001D48B8">
              <w:rPr>
                <w:lang w:val="en-AU"/>
              </w:rPr>
              <w:t>reduction in patients who had blood loss greater than 500ml). However, the</w:t>
            </w:r>
            <w:r>
              <w:rPr>
                <w:lang w:val="en-AU"/>
              </w:rPr>
              <w:t xml:space="preserve">y also found that the </w:t>
            </w:r>
            <w:r w:rsidRPr="001D48B8">
              <w:rPr>
                <w:lang w:val="en-AU"/>
              </w:rPr>
              <w:t xml:space="preserve">use of a checklist </w:t>
            </w:r>
            <w:r w:rsidRPr="00D942B5">
              <w:rPr>
                <w:b/>
                <w:lang w:val="en-AU"/>
              </w:rPr>
              <w:t>did not significantly reduce mortality rates</w:t>
            </w:r>
            <w:r w:rsidRPr="001D48B8">
              <w:rPr>
                <w:lang w:val="en-AU"/>
              </w:rPr>
              <w:t xml:space="preserve">, </w:t>
            </w:r>
            <w:r w:rsidRPr="00D942B5">
              <w:rPr>
                <w:b/>
                <w:lang w:val="en-AU"/>
              </w:rPr>
              <w:t>pneumonia</w:t>
            </w:r>
            <w:r w:rsidRPr="001D48B8">
              <w:rPr>
                <w:lang w:val="en-AU"/>
              </w:rPr>
              <w:t xml:space="preserve"> or </w:t>
            </w:r>
            <w:r w:rsidRPr="00D942B5">
              <w:rPr>
                <w:b/>
                <w:lang w:val="en-AU"/>
              </w:rPr>
              <w:t>unplanned return</w:t>
            </w:r>
            <w:r w:rsidRPr="001D48B8">
              <w:rPr>
                <w:lang w:val="en-AU"/>
              </w:rPr>
              <w:t xml:space="preserve"> to the operating room</w:t>
            </w:r>
            <w:r>
              <w:rPr>
                <w:lang w:val="en-AU"/>
              </w:rPr>
              <w:t>.</w:t>
            </w:r>
          </w:p>
        </w:tc>
      </w:tr>
    </w:tbl>
    <w:p w:rsidR="003C4CEA" w:rsidRPr="0048169F" w:rsidRDefault="003C4CEA" w:rsidP="003C4CEA">
      <w:pPr>
        <w:rPr>
          <w:i/>
          <w:lang w:val="en-AU"/>
        </w:rPr>
      </w:pPr>
    </w:p>
    <w:p w:rsidR="00D942B5" w:rsidRPr="00D942B5" w:rsidRDefault="00D942B5" w:rsidP="00D942B5">
      <w:pPr>
        <w:keepNext/>
        <w:keepLines/>
        <w:autoSpaceDE w:val="0"/>
        <w:autoSpaceDN w:val="0"/>
        <w:adjustRightInd w:val="0"/>
        <w:rPr>
          <w:i/>
          <w:lang w:val="en-AU"/>
        </w:rPr>
      </w:pPr>
      <w:r w:rsidRPr="00D942B5">
        <w:rPr>
          <w:i/>
          <w:lang w:val="en-AU"/>
        </w:rPr>
        <w:t>Implementing quality initiatives in healthcare organizations: drivers and challenges</w:t>
      </w:r>
    </w:p>
    <w:p w:rsidR="00D942B5" w:rsidRDefault="00D942B5" w:rsidP="00E724CB">
      <w:pPr>
        <w:keepNext/>
        <w:keepLines/>
        <w:autoSpaceDE w:val="0"/>
        <w:autoSpaceDN w:val="0"/>
        <w:adjustRightInd w:val="0"/>
        <w:rPr>
          <w:lang w:val="en-AU"/>
        </w:rPr>
      </w:pPr>
      <w:r w:rsidRPr="00D942B5">
        <w:rPr>
          <w:lang w:val="en-AU"/>
        </w:rPr>
        <w:t>Abdallah A</w:t>
      </w:r>
    </w:p>
    <w:p w:rsidR="00E724CB" w:rsidRPr="0048169F" w:rsidRDefault="00D942B5" w:rsidP="00E724CB">
      <w:pPr>
        <w:keepNext/>
        <w:keepLines/>
        <w:autoSpaceDE w:val="0"/>
        <w:autoSpaceDN w:val="0"/>
        <w:adjustRightInd w:val="0"/>
        <w:rPr>
          <w:lang w:val="en-AU"/>
        </w:rPr>
      </w:pPr>
      <w:r w:rsidRPr="00D942B5">
        <w:rPr>
          <w:lang w:val="en-AU"/>
        </w:rPr>
        <w:t>International Journal of Health Care Quality Assurance 2014</w:t>
      </w:r>
      <w:proofErr w:type="gramStart"/>
      <w:r w:rsidRPr="00D942B5">
        <w:rPr>
          <w:lang w:val="en-AU"/>
        </w:rPr>
        <w:t>;27</w:t>
      </w:r>
      <w:proofErr w:type="gramEnd"/>
      <w:r w:rsidRPr="00D942B5">
        <w:rPr>
          <w:lang w:val="en-AU"/>
        </w:rPr>
        <w:t>(3):166-181.</w:t>
      </w:r>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942B5" w:rsidRPr="0048169F" w:rsidRDefault="00D11376" w:rsidP="00D942B5">
            <w:pPr>
              <w:rPr>
                <w:lang w:val="en-AU"/>
              </w:rPr>
            </w:pPr>
            <w:hyperlink r:id="rId21" w:history="1">
              <w:r w:rsidR="00D942B5" w:rsidRPr="008F26A4">
                <w:rPr>
                  <w:rStyle w:val="Hyperlink"/>
                  <w:lang w:val="en-AU"/>
                </w:rPr>
                <w:t>http://dx.doi.org/10.1108/IJHCQA-05-2012-0047</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942B5" w:rsidP="00D942B5">
            <w:pPr>
              <w:rPr>
                <w:lang w:val="en-AU"/>
              </w:rPr>
            </w:pPr>
            <w:r>
              <w:rPr>
                <w:lang w:val="en-AU"/>
              </w:rPr>
              <w:t xml:space="preserve">The challenge of implementation (and sustaining implementation) is not to be understated. This paper discussed how </w:t>
            </w:r>
            <w:r w:rsidRPr="00D942B5">
              <w:rPr>
                <w:b/>
                <w:lang w:val="en-AU"/>
              </w:rPr>
              <w:t>contextual</w:t>
            </w:r>
            <w:r>
              <w:rPr>
                <w:lang w:val="en-AU"/>
              </w:rPr>
              <w:t xml:space="preserve"> or </w:t>
            </w:r>
            <w:r w:rsidRPr="00D942B5">
              <w:rPr>
                <w:lang w:val="en-AU"/>
              </w:rPr>
              <w:t xml:space="preserve">internal </w:t>
            </w:r>
            <w:r w:rsidRPr="00D942B5">
              <w:rPr>
                <w:b/>
                <w:lang w:val="en-AU"/>
              </w:rPr>
              <w:t>factors</w:t>
            </w:r>
            <w:r w:rsidRPr="00D942B5">
              <w:rPr>
                <w:lang w:val="en-AU"/>
              </w:rPr>
              <w:t xml:space="preserve"> related to </w:t>
            </w:r>
            <w:r w:rsidRPr="00D942B5">
              <w:rPr>
                <w:b/>
                <w:lang w:val="en-AU"/>
              </w:rPr>
              <w:t>leadership</w:t>
            </w:r>
            <w:r w:rsidRPr="00D942B5">
              <w:rPr>
                <w:lang w:val="en-AU"/>
              </w:rPr>
              <w:t xml:space="preserve"> and </w:t>
            </w:r>
            <w:r w:rsidRPr="00D942B5">
              <w:rPr>
                <w:b/>
                <w:lang w:val="en-AU"/>
              </w:rPr>
              <w:t>employees</w:t>
            </w:r>
            <w:r w:rsidRPr="00D942B5">
              <w:rPr>
                <w:lang w:val="en-AU"/>
              </w:rPr>
              <w:t xml:space="preserve"> </w:t>
            </w:r>
            <w:r>
              <w:rPr>
                <w:lang w:val="en-AU"/>
              </w:rPr>
              <w:t xml:space="preserve">can </w:t>
            </w:r>
            <w:r w:rsidRPr="00D942B5">
              <w:rPr>
                <w:b/>
                <w:lang w:val="en-AU"/>
              </w:rPr>
              <w:t>affect the success or failure of quality initiatives</w:t>
            </w:r>
            <w:r>
              <w:rPr>
                <w:lang w:val="en-AU"/>
              </w:rPr>
              <w:t xml:space="preserve"> (QIs). Based on both a literature review and a survey of 60 professionals across 18 hospitals, the author argues that </w:t>
            </w:r>
            <w:r w:rsidRPr="00D942B5">
              <w:rPr>
                <w:lang w:val="en-AU"/>
              </w:rPr>
              <w:t xml:space="preserve">“When attempting to apply QIs], one should realise that healthcare organisations are unique in many ways; i.e. structure, employees and customers. Extra efforts are needed to educate managers and staff members on new QIs before implementation. Managers should follow a systematic implementation approach to guarantee success. Realising the successful drivers and barriers may furnish managers with efficient decision making process to ensure better results when applying any QI” </w:t>
            </w:r>
          </w:p>
        </w:tc>
      </w:tr>
    </w:tbl>
    <w:p w:rsidR="00E724CB" w:rsidRPr="0048169F" w:rsidRDefault="00E724CB" w:rsidP="00E724CB">
      <w:pPr>
        <w:rPr>
          <w:i/>
          <w:lang w:val="en-AU"/>
        </w:rPr>
      </w:pPr>
    </w:p>
    <w:p w:rsidR="001E6347" w:rsidRPr="001E6347" w:rsidRDefault="001E6347" w:rsidP="001E6347">
      <w:pPr>
        <w:keepNext/>
        <w:keepLines/>
        <w:autoSpaceDE w:val="0"/>
        <w:autoSpaceDN w:val="0"/>
        <w:adjustRightInd w:val="0"/>
        <w:rPr>
          <w:i/>
          <w:lang w:val="en-AU"/>
        </w:rPr>
      </w:pPr>
      <w:r w:rsidRPr="001E6347">
        <w:rPr>
          <w:i/>
          <w:lang w:val="en-AU"/>
        </w:rPr>
        <w:t>Seeking high reliability in primary care: Leadership, tools, and organization</w:t>
      </w:r>
    </w:p>
    <w:p w:rsidR="001E6347" w:rsidRDefault="001E6347" w:rsidP="00E724CB">
      <w:pPr>
        <w:keepNext/>
        <w:keepLines/>
        <w:autoSpaceDE w:val="0"/>
        <w:autoSpaceDN w:val="0"/>
        <w:adjustRightInd w:val="0"/>
        <w:rPr>
          <w:lang w:val="en-AU"/>
        </w:rPr>
      </w:pPr>
      <w:r w:rsidRPr="001E6347">
        <w:rPr>
          <w:lang w:val="en-AU"/>
        </w:rPr>
        <w:t>Weaver RR</w:t>
      </w:r>
    </w:p>
    <w:p w:rsidR="00E724CB" w:rsidRPr="0048169F" w:rsidRDefault="001E6347" w:rsidP="00E724CB">
      <w:pPr>
        <w:keepNext/>
        <w:keepLines/>
        <w:autoSpaceDE w:val="0"/>
        <w:autoSpaceDN w:val="0"/>
        <w:adjustRightInd w:val="0"/>
        <w:rPr>
          <w:lang w:val="en-AU"/>
        </w:rPr>
      </w:pPr>
      <w:r w:rsidRPr="001E6347">
        <w:rPr>
          <w:lang w:val="en-AU"/>
        </w:rPr>
        <w:t>Health Care Management Review 2014</w:t>
      </w:r>
      <w:r>
        <w:rPr>
          <w:lang w:val="en-AU"/>
        </w:rPr>
        <w:t xml:space="preserve"> [epub]</w:t>
      </w:r>
      <w:r w:rsidRPr="001E634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1E6347">
            <w:pPr>
              <w:rPr>
                <w:lang w:val="en-AU"/>
              </w:rPr>
            </w:pPr>
            <w:hyperlink r:id="rId22" w:history="1">
              <w:r w:rsidR="001E6347" w:rsidRPr="00580BED">
                <w:rPr>
                  <w:rStyle w:val="Hyperlink"/>
                  <w:lang w:val="en-AU"/>
                </w:rPr>
                <w:t>http://dx.doi.org/10.1097/HMR.0000000000000022</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550081" w:rsidP="00082920">
            <w:pPr>
              <w:rPr>
                <w:lang w:val="en-AU"/>
              </w:rPr>
            </w:pPr>
            <w:r>
              <w:rPr>
                <w:lang w:val="en-AU"/>
              </w:rPr>
              <w:t xml:space="preserve">The goal of high reliability in health care has seen a growing literature. This has often tended to be more at the acute hospital scale whereas this paper </w:t>
            </w:r>
            <w:r w:rsidR="00082920">
              <w:rPr>
                <w:lang w:val="en-AU"/>
              </w:rPr>
              <w:t xml:space="preserve">describes a </w:t>
            </w:r>
            <w:r w:rsidR="00082920" w:rsidRPr="00082920">
              <w:rPr>
                <w:lang w:val="en-AU"/>
              </w:rPr>
              <w:t xml:space="preserve">case study </w:t>
            </w:r>
            <w:r w:rsidR="00082920">
              <w:rPr>
                <w:lang w:val="en-AU"/>
              </w:rPr>
              <w:t xml:space="preserve">of a </w:t>
            </w:r>
            <w:r w:rsidR="00082920" w:rsidRPr="00082920">
              <w:rPr>
                <w:lang w:val="en-AU"/>
              </w:rPr>
              <w:t xml:space="preserve">primary care clinic </w:t>
            </w:r>
            <w:r w:rsidR="00082920">
              <w:rPr>
                <w:lang w:val="en-AU"/>
              </w:rPr>
              <w:t>that suit to determine what mechanisms “</w:t>
            </w:r>
            <w:r w:rsidR="00082920" w:rsidRPr="00082920">
              <w:rPr>
                <w:lang w:val="en-AU"/>
              </w:rPr>
              <w:t xml:space="preserve">might foster a </w:t>
            </w:r>
            <w:r w:rsidR="00082920" w:rsidRPr="00082920">
              <w:rPr>
                <w:b/>
                <w:lang w:val="en-AU"/>
              </w:rPr>
              <w:t>reliability-seeking, system-oriented organizational culture</w:t>
            </w:r>
            <w:r w:rsidR="00082920">
              <w:rPr>
                <w:lang w:val="en-AU"/>
              </w:rPr>
              <w:t>”</w:t>
            </w:r>
            <w:r w:rsidR="00082920" w:rsidRPr="00082920">
              <w:rPr>
                <w:lang w:val="en-AU"/>
              </w:rPr>
              <w:t xml:space="preserve">. </w:t>
            </w:r>
            <w:r w:rsidR="00082920">
              <w:rPr>
                <w:lang w:val="en-AU"/>
              </w:rPr>
              <w:t xml:space="preserve">The authors suggest that </w:t>
            </w:r>
            <w:r w:rsidR="00082920" w:rsidRPr="00082920">
              <w:rPr>
                <w:b/>
                <w:lang w:val="en-AU"/>
              </w:rPr>
              <w:t>team huddles</w:t>
            </w:r>
            <w:r w:rsidR="00082920" w:rsidRPr="00082920">
              <w:rPr>
                <w:lang w:val="en-AU"/>
              </w:rPr>
              <w:t xml:space="preserve">, </w:t>
            </w:r>
            <w:r w:rsidR="00082920" w:rsidRPr="00082920">
              <w:rPr>
                <w:b/>
                <w:lang w:val="en-AU"/>
              </w:rPr>
              <w:t>decision support tools</w:t>
            </w:r>
            <w:r w:rsidR="00082920" w:rsidRPr="00082920">
              <w:rPr>
                <w:lang w:val="en-AU"/>
              </w:rPr>
              <w:t xml:space="preserve">, </w:t>
            </w:r>
            <w:r w:rsidR="00082920" w:rsidRPr="00082920">
              <w:rPr>
                <w:b/>
                <w:lang w:val="en-AU"/>
              </w:rPr>
              <w:t>process reviews</w:t>
            </w:r>
            <w:r w:rsidR="00082920" w:rsidRPr="00082920">
              <w:rPr>
                <w:lang w:val="en-AU"/>
              </w:rPr>
              <w:t xml:space="preserve">, and </w:t>
            </w:r>
            <w:r w:rsidR="00082920" w:rsidRPr="00082920">
              <w:rPr>
                <w:b/>
                <w:lang w:val="en-AU"/>
              </w:rPr>
              <w:t>reporting of adverse events and near misses</w:t>
            </w:r>
            <w:r w:rsidR="00082920" w:rsidRPr="00082920">
              <w:rPr>
                <w:lang w:val="en-AU"/>
              </w:rPr>
              <w:t xml:space="preserve"> </w:t>
            </w:r>
            <w:r w:rsidR="00082920">
              <w:rPr>
                <w:lang w:val="en-AU"/>
              </w:rPr>
              <w:t xml:space="preserve">are all </w:t>
            </w:r>
            <w:r w:rsidR="00082920" w:rsidRPr="00082920">
              <w:rPr>
                <w:lang w:val="en-AU"/>
              </w:rPr>
              <w:t>elements that promote reliable patient care.</w:t>
            </w:r>
            <w:r w:rsidR="00082920">
              <w:rPr>
                <w:lang w:val="en-AU"/>
              </w:rPr>
              <w:t xml:space="preserve"> </w:t>
            </w:r>
            <w:proofErr w:type="gramStart"/>
            <w:r w:rsidR="00082920">
              <w:rPr>
                <w:lang w:val="en-AU"/>
              </w:rPr>
              <w:t>The demonstrate</w:t>
            </w:r>
            <w:proofErr w:type="gramEnd"/>
            <w:r w:rsidR="00082920">
              <w:rPr>
                <w:lang w:val="en-AU"/>
              </w:rPr>
              <w:t xml:space="preserve"> the centrality of </w:t>
            </w:r>
            <w:r w:rsidR="00082920" w:rsidRPr="00082920">
              <w:rPr>
                <w:b/>
                <w:lang w:val="en-AU"/>
              </w:rPr>
              <w:t>information</w:t>
            </w:r>
            <w:r w:rsidR="00082920" w:rsidRPr="00082920">
              <w:rPr>
                <w:lang w:val="en-AU"/>
              </w:rPr>
              <w:t xml:space="preserve">, </w:t>
            </w:r>
            <w:r w:rsidR="00082920" w:rsidRPr="00082920">
              <w:rPr>
                <w:b/>
                <w:lang w:val="en-AU"/>
              </w:rPr>
              <w:t>communication</w:t>
            </w:r>
            <w:r w:rsidR="00082920" w:rsidRPr="00082920">
              <w:rPr>
                <w:lang w:val="en-AU"/>
              </w:rPr>
              <w:t xml:space="preserve"> and </w:t>
            </w:r>
            <w:r w:rsidR="00082920" w:rsidRPr="00082920">
              <w:rPr>
                <w:b/>
                <w:lang w:val="en-AU"/>
              </w:rPr>
              <w:t>coordination</w:t>
            </w:r>
            <w:r w:rsidR="00082920">
              <w:rPr>
                <w:lang w:val="en-AU"/>
              </w:rPr>
              <w:t>.</w:t>
            </w:r>
          </w:p>
        </w:tc>
      </w:tr>
    </w:tbl>
    <w:p w:rsidR="00CB3155" w:rsidRPr="00CB3155" w:rsidRDefault="00CB3155" w:rsidP="00CB3155">
      <w:pPr>
        <w:keepNext/>
        <w:keepLines/>
        <w:autoSpaceDE w:val="0"/>
        <w:autoSpaceDN w:val="0"/>
        <w:adjustRightInd w:val="0"/>
        <w:rPr>
          <w:i/>
          <w:lang w:val="en-AU"/>
        </w:rPr>
      </w:pPr>
      <w:r w:rsidRPr="00CB3155">
        <w:rPr>
          <w:i/>
          <w:lang w:val="en-AU"/>
        </w:rPr>
        <w:lastRenderedPageBreak/>
        <w:t>Adverse events in hospitalized paediatric patients: a systematic review and a meta-regression analysis</w:t>
      </w:r>
    </w:p>
    <w:p w:rsidR="0014077E" w:rsidRDefault="0014077E" w:rsidP="00E724CB">
      <w:pPr>
        <w:keepNext/>
        <w:keepLines/>
        <w:autoSpaceDE w:val="0"/>
        <w:autoSpaceDN w:val="0"/>
        <w:adjustRightInd w:val="0"/>
        <w:rPr>
          <w:lang w:val="en-AU"/>
        </w:rPr>
      </w:pPr>
      <w:r w:rsidRPr="0014077E">
        <w:rPr>
          <w:lang w:val="en-AU"/>
        </w:rPr>
        <w:t>Berchialla P, Scaioli G, Passi S, Gianino MM</w:t>
      </w:r>
    </w:p>
    <w:p w:rsidR="00E724CB" w:rsidRPr="0048169F" w:rsidRDefault="0014077E" w:rsidP="00E724CB">
      <w:pPr>
        <w:keepNext/>
        <w:keepLines/>
        <w:autoSpaceDE w:val="0"/>
        <w:autoSpaceDN w:val="0"/>
        <w:adjustRightInd w:val="0"/>
        <w:rPr>
          <w:lang w:val="en-AU"/>
        </w:rPr>
      </w:pPr>
      <w:proofErr w:type="gramStart"/>
      <w:r w:rsidRPr="0014077E">
        <w:rPr>
          <w:lang w:val="en-AU"/>
        </w:rPr>
        <w:t>Journal of Evaluation in Clinical Practice 2014</w:t>
      </w:r>
      <w:r>
        <w:rPr>
          <w:lang w:val="en-AU"/>
        </w:rPr>
        <w:t xml:space="preserve"> [epub]</w:t>
      </w:r>
      <w:r w:rsidRPr="0014077E">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14077E">
            <w:pPr>
              <w:rPr>
                <w:lang w:val="en-AU"/>
              </w:rPr>
            </w:pPr>
            <w:hyperlink r:id="rId23" w:history="1">
              <w:r w:rsidR="0014077E" w:rsidRPr="00580BED">
                <w:rPr>
                  <w:rStyle w:val="Hyperlink"/>
                  <w:lang w:val="en-AU"/>
                </w:rPr>
                <w:t>http://dx.doi.org/10.1111/jep.12141</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4B0290" w:rsidP="004B0290">
            <w:pPr>
              <w:rPr>
                <w:lang w:val="en-AU"/>
              </w:rPr>
            </w:pPr>
            <w:r>
              <w:rPr>
                <w:lang w:val="en-AU"/>
              </w:rPr>
              <w:t xml:space="preserve">This review pooled </w:t>
            </w:r>
            <w:r w:rsidRPr="004B0290">
              <w:rPr>
                <w:lang w:val="en-AU"/>
              </w:rPr>
              <w:t xml:space="preserve">selected studies from 1970 onwards that evaluated the incidence of </w:t>
            </w:r>
            <w:r>
              <w:rPr>
                <w:lang w:val="en-AU"/>
              </w:rPr>
              <w:t>adverse events (</w:t>
            </w:r>
            <w:r w:rsidRPr="004B0290">
              <w:rPr>
                <w:lang w:val="en-AU"/>
              </w:rPr>
              <w:t>AEs</w:t>
            </w:r>
            <w:r>
              <w:rPr>
                <w:lang w:val="en-AU"/>
              </w:rPr>
              <w:t>)</w:t>
            </w:r>
            <w:r w:rsidRPr="004B0290">
              <w:rPr>
                <w:lang w:val="en-AU"/>
              </w:rPr>
              <w:t xml:space="preserve"> in hospitali</w:t>
            </w:r>
            <w:r>
              <w:rPr>
                <w:lang w:val="en-AU"/>
              </w:rPr>
              <w:t>s</w:t>
            </w:r>
            <w:r w:rsidRPr="004B0290">
              <w:rPr>
                <w:lang w:val="en-AU"/>
              </w:rPr>
              <w:t>ed paediatric patients and included a minimum of 1000 patient records</w:t>
            </w:r>
            <w:r>
              <w:rPr>
                <w:lang w:val="en-AU"/>
              </w:rPr>
              <w:t xml:space="preserve">. The authors report that the </w:t>
            </w:r>
            <w:r w:rsidRPr="004B0290">
              <w:rPr>
                <w:lang w:val="en-AU"/>
              </w:rPr>
              <w:t xml:space="preserve">pooled </w:t>
            </w:r>
            <w:r w:rsidRPr="004B0290">
              <w:rPr>
                <w:b/>
                <w:lang w:val="en-AU"/>
              </w:rPr>
              <w:t>incidence of AEs was 2.0%.</w:t>
            </w:r>
            <w:r w:rsidRPr="004B0290">
              <w:rPr>
                <w:lang w:val="en-AU"/>
              </w:rPr>
              <w:t xml:space="preserve"> </w:t>
            </w:r>
            <w:proofErr w:type="gramStart"/>
            <w:r>
              <w:rPr>
                <w:lang w:val="en-AU"/>
              </w:rPr>
              <w:t>with</w:t>
            </w:r>
            <w:proofErr w:type="gramEnd"/>
            <w:r>
              <w:rPr>
                <w:lang w:val="en-AU"/>
              </w:rPr>
              <w:t xml:space="preserve"> the </w:t>
            </w:r>
            <w:r w:rsidRPr="004B0290">
              <w:rPr>
                <w:lang w:val="en-AU"/>
              </w:rPr>
              <w:t xml:space="preserve">pooled incidence of </w:t>
            </w:r>
            <w:r w:rsidRPr="004B0290">
              <w:rPr>
                <w:b/>
                <w:lang w:val="en-AU"/>
              </w:rPr>
              <w:t>preventable AEs was 46.2%</w:t>
            </w:r>
            <w:r>
              <w:rPr>
                <w:b/>
                <w:lang w:val="en-AU"/>
              </w:rPr>
              <w:t xml:space="preserve">, </w:t>
            </w:r>
            <w:r>
              <w:rPr>
                <w:lang w:val="en-AU"/>
              </w:rPr>
              <w:t xml:space="preserve">albeit </w:t>
            </w:r>
            <w:r w:rsidRPr="004B0290">
              <w:rPr>
                <w:lang w:val="en-AU"/>
              </w:rPr>
              <w:t>with a high variability among studies.</w:t>
            </w:r>
          </w:p>
        </w:tc>
      </w:tr>
    </w:tbl>
    <w:p w:rsidR="00E724CB" w:rsidRPr="0048169F" w:rsidRDefault="00E724CB" w:rsidP="00E724CB">
      <w:pPr>
        <w:rPr>
          <w:i/>
          <w:lang w:val="en-AU"/>
        </w:rPr>
      </w:pPr>
    </w:p>
    <w:p w:rsidR="0014077E" w:rsidRPr="0014077E" w:rsidRDefault="0014077E" w:rsidP="0014077E">
      <w:pPr>
        <w:keepNext/>
        <w:keepLines/>
        <w:autoSpaceDE w:val="0"/>
        <w:autoSpaceDN w:val="0"/>
        <w:adjustRightInd w:val="0"/>
        <w:rPr>
          <w:i/>
          <w:lang w:val="en-AU"/>
        </w:rPr>
      </w:pPr>
      <w:r w:rsidRPr="0014077E">
        <w:rPr>
          <w:i/>
          <w:lang w:val="en-AU"/>
        </w:rPr>
        <w:t>Interactive questioning in critical care during handovers: a transcript analysis of communication behaviours by physicians, nurses and nurse practitioners</w:t>
      </w:r>
    </w:p>
    <w:p w:rsidR="0014077E" w:rsidRDefault="0014077E" w:rsidP="00E724CB">
      <w:pPr>
        <w:keepNext/>
        <w:keepLines/>
        <w:autoSpaceDE w:val="0"/>
        <w:autoSpaceDN w:val="0"/>
        <w:adjustRightInd w:val="0"/>
        <w:rPr>
          <w:lang w:val="en-AU"/>
        </w:rPr>
      </w:pPr>
      <w:r w:rsidRPr="0014077E">
        <w:rPr>
          <w:lang w:val="en-AU"/>
        </w:rPr>
        <w:t>Rayo MF, Mount-Campbell AF, O'Brien JM, White SE, Bu</w:t>
      </w:r>
      <w:r>
        <w:rPr>
          <w:lang w:val="en-AU"/>
        </w:rPr>
        <w:t>tz A, Evans K, et al</w:t>
      </w:r>
    </w:p>
    <w:p w:rsidR="00E724CB" w:rsidRPr="0048169F" w:rsidRDefault="0014077E" w:rsidP="00E724CB">
      <w:pPr>
        <w:keepNext/>
        <w:keepLines/>
        <w:autoSpaceDE w:val="0"/>
        <w:autoSpaceDN w:val="0"/>
        <w:adjustRightInd w:val="0"/>
        <w:rPr>
          <w:lang w:val="en-AU"/>
        </w:rPr>
      </w:pPr>
      <w:r w:rsidRPr="0014077E">
        <w:rPr>
          <w:lang w:val="en-AU"/>
        </w:rPr>
        <w:t>BMJ Quality &amp; Safety 2014</w:t>
      </w:r>
      <w:proofErr w:type="gramStart"/>
      <w:r w:rsidRPr="0014077E">
        <w:rPr>
          <w:lang w:val="en-AU"/>
        </w:rPr>
        <w:t>;23</w:t>
      </w:r>
      <w:proofErr w:type="gramEnd"/>
      <w:r w:rsidRPr="0014077E">
        <w:rPr>
          <w:lang w:val="en-AU"/>
        </w:rPr>
        <w:t>(6):483-489.</w:t>
      </w:r>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14077E">
            <w:pPr>
              <w:rPr>
                <w:lang w:val="en-AU"/>
              </w:rPr>
            </w:pPr>
            <w:hyperlink r:id="rId24" w:history="1">
              <w:r w:rsidR="0014077E" w:rsidRPr="00580BED">
                <w:rPr>
                  <w:rStyle w:val="Hyperlink"/>
                  <w:lang w:val="en-AU"/>
                </w:rPr>
                <w:t>http://dx.doi.org/10.1136/bmjqs-2013-002341</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2F0F7A" w:rsidP="00CB3155">
            <w:pPr>
              <w:rPr>
                <w:lang w:val="en-AU"/>
              </w:rPr>
            </w:pPr>
            <w:r>
              <w:rPr>
                <w:lang w:val="en-AU"/>
              </w:rPr>
              <w:t xml:space="preserve">Analysing 133 patient handovers in three intensive care units to ascertain the </w:t>
            </w:r>
            <w:r w:rsidRPr="002F0F7A">
              <w:rPr>
                <w:lang w:val="en-AU"/>
              </w:rPr>
              <w:t>differences in clinician communication behaviours across levels of clinical training for physicians and nurses</w:t>
            </w:r>
            <w:r>
              <w:rPr>
                <w:lang w:val="en-AU"/>
              </w:rPr>
              <w:t xml:space="preserve"> led the authors of this paper to </w:t>
            </w:r>
            <w:r w:rsidR="00CB3155">
              <w:rPr>
                <w:lang w:val="en-AU"/>
              </w:rPr>
              <w:t>record d</w:t>
            </w:r>
            <w:r w:rsidR="00CB3155" w:rsidRPr="00CB3155">
              <w:rPr>
                <w:lang w:val="en-AU"/>
              </w:rPr>
              <w:t>ifferences across clinician type and levels of clinical training</w:t>
            </w:r>
            <w:r w:rsidR="00CB3155">
              <w:rPr>
                <w:lang w:val="en-AU"/>
              </w:rPr>
              <w:t xml:space="preserve">. They suggest that </w:t>
            </w:r>
            <w:r w:rsidR="00CB3155" w:rsidRPr="00CB3155">
              <w:rPr>
                <w:lang w:val="en-AU"/>
              </w:rPr>
              <w:t xml:space="preserve">training could </w:t>
            </w:r>
            <w:r w:rsidR="00CB3155">
              <w:rPr>
                <w:lang w:val="en-AU"/>
              </w:rPr>
              <w:t xml:space="preserve">help clinicians </w:t>
            </w:r>
            <w:r w:rsidR="00CB3155" w:rsidRPr="00CB3155">
              <w:rPr>
                <w:lang w:val="en-AU"/>
              </w:rPr>
              <w:t xml:space="preserve">to learn </w:t>
            </w:r>
            <w:r w:rsidR="00CB3155">
              <w:rPr>
                <w:lang w:val="en-AU"/>
              </w:rPr>
              <w:t xml:space="preserve">the </w:t>
            </w:r>
            <w:r w:rsidR="00CB3155" w:rsidRPr="00CB3155">
              <w:rPr>
                <w:lang w:val="en-AU"/>
              </w:rPr>
              <w:t>communication competencies</w:t>
            </w:r>
            <w:r w:rsidR="00CB3155">
              <w:rPr>
                <w:lang w:val="en-AU"/>
              </w:rPr>
              <w:t xml:space="preserve">, such as </w:t>
            </w:r>
            <w:r w:rsidR="00CB3155" w:rsidRPr="00CB3155">
              <w:rPr>
                <w:lang w:val="en-AU"/>
              </w:rPr>
              <w:t>interactive questioning strategies to clarify understanding, and assertively question the appropriateness of diagnoses, treatment plans and prognoses</w:t>
            </w:r>
            <w:r w:rsidR="00CB3155">
              <w:rPr>
                <w:lang w:val="en-AU"/>
              </w:rPr>
              <w:t>. However, it is also suggested that “</w:t>
            </w:r>
            <w:r w:rsidR="00CB3155" w:rsidRPr="00CB3155">
              <w:rPr>
                <w:lang w:val="en-AU"/>
              </w:rPr>
              <w:t>cultural change initiatives might be required to routinely employ these strategies in the clinical setting, particularly for nursing personnel.</w:t>
            </w:r>
            <w:r w:rsidR="00CB3155">
              <w:rPr>
                <w:lang w:val="en-AU"/>
              </w:rPr>
              <w:t>”</w:t>
            </w:r>
          </w:p>
        </w:tc>
      </w:tr>
    </w:tbl>
    <w:p w:rsidR="00E724CB" w:rsidRDefault="00E724CB" w:rsidP="00E724CB">
      <w:pPr>
        <w:rPr>
          <w:i/>
          <w:lang w:val="en-AU"/>
        </w:rPr>
      </w:pPr>
    </w:p>
    <w:p w:rsidR="00CB3155" w:rsidRPr="00CB3155" w:rsidRDefault="00CB3155" w:rsidP="00E724CB">
      <w:pPr>
        <w:rPr>
          <w:lang w:val="en-AU"/>
        </w:rPr>
      </w:pPr>
      <w:r w:rsidRPr="00CB3155">
        <w:rPr>
          <w:lang w:val="en-AU"/>
        </w:rPr>
        <w:t>For information on the Commission’s work on clinical communication</w:t>
      </w:r>
      <w:r>
        <w:rPr>
          <w:lang w:val="en-AU"/>
        </w:rPr>
        <w:t>s</w:t>
      </w:r>
      <w:r w:rsidRPr="00CB3155">
        <w:rPr>
          <w:lang w:val="en-AU"/>
        </w:rPr>
        <w:t>, including clinical handover, see</w:t>
      </w:r>
      <w:r>
        <w:rPr>
          <w:lang w:val="en-AU"/>
        </w:rPr>
        <w:t xml:space="preserve"> </w:t>
      </w:r>
      <w:hyperlink r:id="rId25" w:history="1">
        <w:r w:rsidRPr="00AE760A">
          <w:rPr>
            <w:rStyle w:val="Hyperlink"/>
            <w:lang w:val="en-AU"/>
          </w:rPr>
          <w:t>http://www.safetyandquality.gov.au/our-work/clinical-communications/</w:t>
        </w:r>
      </w:hyperlink>
    </w:p>
    <w:p w:rsidR="00CB3155" w:rsidRPr="0048169F" w:rsidRDefault="00CB3155" w:rsidP="00E724CB">
      <w:pPr>
        <w:rPr>
          <w:i/>
          <w:lang w:val="en-AU"/>
        </w:rPr>
      </w:pPr>
    </w:p>
    <w:p w:rsidR="008E5C2C" w:rsidRPr="008E5C2C" w:rsidRDefault="008E5C2C" w:rsidP="008E5C2C">
      <w:pPr>
        <w:keepNext/>
        <w:keepLines/>
        <w:autoSpaceDE w:val="0"/>
        <w:autoSpaceDN w:val="0"/>
        <w:adjustRightInd w:val="0"/>
        <w:rPr>
          <w:i/>
          <w:lang w:val="en-AU"/>
        </w:rPr>
      </w:pPr>
      <w:r w:rsidRPr="008E5C2C">
        <w:rPr>
          <w:i/>
          <w:lang w:val="en-AU"/>
        </w:rPr>
        <w:t>Effects of patient-, environment- and medication-related factors on high-alert medication incidents</w:t>
      </w:r>
    </w:p>
    <w:p w:rsidR="008E5C2C" w:rsidRDefault="008E5C2C" w:rsidP="00E724CB">
      <w:pPr>
        <w:keepNext/>
        <w:keepLines/>
        <w:autoSpaceDE w:val="0"/>
        <w:autoSpaceDN w:val="0"/>
        <w:adjustRightInd w:val="0"/>
        <w:rPr>
          <w:lang w:val="en-AU"/>
        </w:rPr>
      </w:pPr>
      <w:r w:rsidRPr="008E5C2C">
        <w:rPr>
          <w:lang w:val="en-AU"/>
        </w:rPr>
        <w:t>Manias E, Williams A, Lie</w:t>
      </w:r>
      <w:r>
        <w:rPr>
          <w:lang w:val="en-AU"/>
        </w:rPr>
        <w:t>w D, Rixon S, Braaf S, Finch S</w:t>
      </w:r>
    </w:p>
    <w:p w:rsidR="00E724CB" w:rsidRPr="0048169F" w:rsidRDefault="008E5C2C" w:rsidP="00E724CB">
      <w:pPr>
        <w:keepNext/>
        <w:keepLines/>
        <w:autoSpaceDE w:val="0"/>
        <w:autoSpaceDN w:val="0"/>
        <w:adjustRightInd w:val="0"/>
        <w:rPr>
          <w:lang w:val="en-AU"/>
        </w:rPr>
      </w:pPr>
      <w:r w:rsidRPr="008E5C2C">
        <w:rPr>
          <w:lang w:val="en-AU"/>
        </w:rPr>
        <w:t>International Journal for Quality in Health Care 2014</w:t>
      </w:r>
      <w:r>
        <w:rPr>
          <w:lang w:val="en-AU"/>
        </w:rPr>
        <w:t xml:space="preserve"> [epub]</w:t>
      </w:r>
      <w:r w:rsidRPr="008E5C2C">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8E5C2C">
            <w:pPr>
              <w:rPr>
                <w:lang w:val="en-AU"/>
              </w:rPr>
            </w:pPr>
            <w:hyperlink r:id="rId26" w:history="1">
              <w:r w:rsidR="008E5C2C" w:rsidRPr="00580BED">
                <w:rPr>
                  <w:rStyle w:val="Hyperlink"/>
                  <w:lang w:val="en-AU"/>
                </w:rPr>
                <w:t>http://dx.doi.org/10.1093/intqhc/mzu037</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Default="000D31E8" w:rsidP="000D31E8">
            <w:pPr>
              <w:rPr>
                <w:lang w:val="en-AU"/>
              </w:rPr>
            </w:pPr>
            <w:r>
              <w:rPr>
                <w:lang w:val="en-AU"/>
              </w:rPr>
              <w:t>This Australian study sought to examine a range of factors for their influence on medication incidents involving ‘high-alert medications’</w:t>
            </w:r>
            <w:r w:rsidR="003E17C6">
              <w:rPr>
                <w:lang w:val="en-AU"/>
              </w:rPr>
              <w:t xml:space="preserve">, including </w:t>
            </w:r>
            <w:r w:rsidR="003E17C6" w:rsidRPr="003E17C6">
              <w:rPr>
                <w:lang w:val="en-AU"/>
              </w:rPr>
              <w:t>opioids, insulin, chemotherapeutic agents, parenteral electrolytes, and anticoagulants</w:t>
            </w:r>
            <w:r>
              <w:rPr>
                <w:lang w:val="en-AU"/>
              </w:rPr>
              <w:t>. The study was a r</w:t>
            </w:r>
            <w:r w:rsidRPr="000D31E8">
              <w:rPr>
                <w:lang w:val="en-AU"/>
              </w:rPr>
              <w:t>etrospective chart audit conducted of medical records for patient admissions from 1 January 2010 to 31 December 2010</w:t>
            </w:r>
            <w:r>
              <w:rPr>
                <w:lang w:val="en-AU"/>
              </w:rPr>
              <w:t xml:space="preserve"> in f</w:t>
            </w:r>
            <w:r w:rsidRPr="000D31E8">
              <w:rPr>
                <w:lang w:val="en-AU"/>
              </w:rPr>
              <w:t>ive practice settings (cardiac care, emergency care, intensive care, oncology care and perioperative care) at a public teaching hospital in Melbourne.</w:t>
            </w:r>
          </w:p>
          <w:p w:rsidR="000D31E8" w:rsidRDefault="000D31E8" w:rsidP="000D31E8">
            <w:pPr>
              <w:rPr>
                <w:lang w:val="en-AU"/>
              </w:rPr>
            </w:pPr>
            <w:r>
              <w:rPr>
                <w:lang w:val="en-AU"/>
              </w:rPr>
              <w:t xml:space="preserve">The study found in this audit that there had been </w:t>
            </w:r>
            <w:r w:rsidRPr="000D31E8">
              <w:rPr>
                <w:lang w:val="en-AU"/>
              </w:rPr>
              <w:t>6984 opportunities for high-alert medication incidents</w:t>
            </w:r>
            <w:r>
              <w:rPr>
                <w:lang w:val="en-AU"/>
              </w:rPr>
              <w:t xml:space="preserve"> with the </w:t>
            </w:r>
            <w:r w:rsidRPr="000D31E8">
              <w:rPr>
                <w:b/>
                <w:lang w:val="en-AU"/>
              </w:rPr>
              <w:t>medication incident rate</w:t>
            </w:r>
            <w:r w:rsidRPr="000D31E8">
              <w:rPr>
                <w:lang w:val="en-AU"/>
              </w:rPr>
              <w:t xml:space="preserve"> </w:t>
            </w:r>
            <w:r>
              <w:rPr>
                <w:lang w:val="en-AU"/>
              </w:rPr>
              <w:t xml:space="preserve">being </w:t>
            </w:r>
            <w:r w:rsidRPr="000D31E8">
              <w:rPr>
                <w:lang w:val="en-AU"/>
              </w:rPr>
              <w:t>1934/6984 (</w:t>
            </w:r>
            <w:r w:rsidRPr="000D31E8">
              <w:rPr>
                <w:b/>
                <w:lang w:val="en-AU"/>
              </w:rPr>
              <w:t>27.69%</w:t>
            </w:r>
            <w:r w:rsidRPr="000D31E8">
              <w:rPr>
                <w:lang w:val="en-AU"/>
              </w:rPr>
              <w:t>). The</w:t>
            </w:r>
            <w:r>
              <w:rPr>
                <w:lang w:val="en-AU"/>
              </w:rPr>
              <w:t xml:space="preserve">se include </w:t>
            </w:r>
            <w:r w:rsidRPr="000D31E8">
              <w:rPr>
                <w:lang w:val="en-AU"/>
              </w:rPr>
              <w:t xml:space="preserve">1176 prescribing incidents (16.84%) and 758 administering incidents (10.85%). </w:t>
            </w:r>
          </w:p>
          <w:p w:rsidR="000D31E8" w:rsidRPr="0048169F" w:rsidRDefault="000D31E8" w:rsidP="000D31E8">
            <w:pPr>
              <w:rPr>
                <w:lang w:val="en-AU"/>
              </w:rPr>
            </w:pPr>
            <w:r>
              <w:rPr>
                <w:lang w:val="en-AU"/>
              </w:rPr>
              <w:t xml:space="preserve">Analyses </w:t>
            </w:r>
            <w:r w:rsidRPr="000D31E8">
              <w:rPr>
                <w:lang w:val="en-AU"/>
              </w:rPr>
              <w:t xml:space="preserve">showed that, in each of the five clinical settings, an </w:t>
            </w:r>
            <w:r w:rsidRPr="000D31E8">
              <w:rPr>
                <w:b/>
                <w:lang w:val="en-AU"/>
              </w:rPr>
              <w:t>increased number of ward transfers was associated with increased odds of prescribing incidents</w:t>
            </w:r>
            <w:r w:rsidRPr="000D31E8">
              <w:rPr>
                <w:lang w:val="en-AU"/>
              </w:rPr>
              <w:t xml:space="preserve">. </w:t>
            </w:r>
            <w:r>
              <w:rPr>
                <w:lang w:val="en-AU"/>
              </w:rPr>
              <w:t xml:space="preserve">In emergency care and perioperative care </w:t>
            </w:r>
            <w:r w:rsidRPr="000D31E8">
              <w:rPr>
                <w:lang w:val="en-AU"/>
              </w:rPr>
              <w:t>an increased number of ward transfers was associated with increased odds of administering incidents</w:t>
            </w:r>
            <w:r>
              <w:rPr>
                <w:lang w:val="en-AU"/>
              </w:rPr>
              <w:t>.</w:t>
            </w:r>
          </w:p>
        </w:tc>
      </w:tr>
    </w:tbl>
    <w:p w:rsidR="003E17C6" w:rsidRDefault="003E17C6" w:rsidP="000D31E8">
      <w:pPr>
        <w:rPr>
          <w:lang w:val="en-AU"/>
        </w:rPr>
      </w:pPr>
    </w:p>
    <w:p w:rsidR="000D31E8" w:rsidRPr="00CB3155" w:rsidRDefault="000D31E8" w:rsidP="000D31E8">
      <w:pPr>
        <w:rPr>
          <w:lang w:val="en-AU"/>
        </w:rPr>
      </w:pPr>
      <w:r w:rsidRPr="00CB3155">
        <w:rPr>
          <w:lang w:val="en-AU"/>
        </w:rPr>
        <w:lastRenderedPageBreak/>
        <w:t xml:space="preserve">For information on the Commission’s work on </w:t>
      </w:r>
      <w:r>
        <w:rPr>
          <w:lang w:val="en-AU"/>
        </w:rPr>
        <w:t>medication safety</w:t>
      </w:r>
      <w:r w:rsidRPr="00CB3155">
        <w:rPr>
          <w:lang w:val="en-AU"/>
        </w:rPr>
        <w:t>, see</w:t>
      </w:r>
      <w:r>
        <w:rPr>
          <w:lang w:val="en-AU"/>
        </w:rPr>
        <w:t xml:space="preserve"> </w:t>
      </w:r>
      <w:hyperlink r:id="rId27" w:history="1">
        <w:r w:rsidRPr="00AE760A">
          <w:rPr>
            <w:rStyle w:val="Hyperlink"/>
            <w:lang w:val="en-AU"/>
          </w:rPr>
          <w:t>http://www.safetyandquality.gov.au/our-work/medication-safety/</w:t>
        </w:r>
      </w:hyperlink>
    </w:p>
    <w:p w:rsidR="00E724CB" w:rsidRPr="0048169F" w:rsidRDefault="00E724CB" w:rsidP="00E724CB">
      <w:pPr>
        <w:rPr>
          <w:i/>
          <w:lang w:val="en-AU"/>
        </w:rPr>
      </w:pPr>
    </w:p>
    <w:p w:rsidR="008E5C2C" w:rsidRPr="008E5C2C" w:rsidRDefault="008E5C2C" w:rsidP="008E5C2C">
      <w:pPr>
        <w:keepNext/>
        <w:keepLines/>
        <w:autoSpaceDE w:val="0"/>
        <w:autoSpaceDN w:val="0"/>
        <w:adjustRightInd w:val="0"/>
        <w:rPr>
          <w:i/>
          <w:lang w:val="en-AU"/>
        </w:rPr>
      </w:pPr>
      <w:r w:rsidRPr="008E5C2C">
        <w:rPr>
          <w:i/>
          <w:lang w:val="en-AU"/>
        </w:rPr>
        <w:t>Banning the handshake from the health care setting</w:t>
      </w:r>
    </w:p>
    <w:p w:rsidR="008E5C2C" w:rsidRDefault="008E5C2C" w:rsidP="008E5C2C">
      <w:pPr>
        <w:keepNext/>
        <w:keepLines/>
        <w:autoSpaceDE w:val="0"/>
        <w:autoSpaceDN w:val="0"/>
        <w:adjustRightInd w:val="0"/>
        <w:rPr>
          <w:lang w:val="en-AU"/>
        </w:rPr>
      </w:pPr>
      <w:r w:rsidRPr="008E5C2C">
        <w:rPr>
          <w:lang w:val="en-AU"/>
        </w:rPr>
        <w:t xml:space="preserve">Sklansky </w:t>
      </w:r>
      <w:r>
        <w:rPr>
          <w:lang w:val="en-AU"/>
        </w:rPr>
        <w:t>M, Nadkarni N, Ramirez-Avila L</w:t>
      </w:r>
    </w:p>
    <w:p w:rsidR="00E724CB" w:rsidRPr="0048169F" w:rsidRDefault="008E5C2C" w:rsidP="008E5C2C">
      <w:pPr>
        <w:keepNext/>
        <w:keepLines/>
        <w:autoSpaceDE w:val="0"/>
        <w:autoSpaceDN w:val="0"/>
        <w:adjustRightInd w:val="0"/>
        <w:rPr>
          <w:lang w:val="en-AU"/>
        </w:rPr>
      </w:pPr>
      <w:r w:rsidRPr="008E5C2C">
        <w:rPr>
          <w:lang w:val="en-AU"/>
        </w:rPr>
        <w:t>Journal of the American Medical Association 2014</w:t>
      </w:r>
      <w:r>
        <w:rPr>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8E5C2C">
            <w:pPr>
              <w:rPr>
                <w:lang w:val="en-AU"/>
              </w:rPr>
            </w:pPr>
            <w:hyperlink r:id="rId28" w:history="1">
              <w:r w:rsidR="008E5C2C" w:rsidRPr="00580BED">
                <w:rPr>
                  <w:rStyle w:val="Hyperlink"/>
                  <w:lang w:val="en-AU"/>
                </w:rPr>
                <w:t>http://dx.doi.org/10.1001/jama.2014.4675</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A191A" w:rsidRPr="0048169F" w:rsidRDefault="007A191A" w:rsidP="007A191A">
            <w:pPr>
              <w:rPr>
                <w:lang w:val="en-AU"/>
              </w:rPr>
            </w:pPr>
            <w:r>
              <w:rPr>
                <w:lang w:val="en-AU"/>
              </w:rPr>
              <w:t>In this piece the authors suggest that the dangers of spreading infection outweigh social custom and expectations of politeness. The authors conclude that “</w:t>
            </w:r>
            <w:r w:rsidRPr="007A191A">
              <w:rPr>
                <w:lang w:val="en-AU"/>
              </w:rPr>
              <w:t>Given the tremendous social and economic burden of hospital-acquired infections and antimicrobial resistance, and the variable success of current approaches to hand hygiene in the health care environment, it would be a mistake to dismiss, out of hand, such a promising, intuitive, and affordable ban.</w:t>
            </w:r>
            <w:r>
              <w:rPr>
                <w:lang w:val="en-AU"/>
              </w:rPr>
              <w:t>”</w:t>
            </w:r>
          </w:p>
        </w:tc>
      </w:tr>
    </w:tbl>
    <w:p w:rsidR="00E724CB" w:rsidRDefault="00E724CB" w:rsidP="00E724CB">
      <w:pPr>
        <w:rPr>
          <w:i/>
          <w:lang w:val="en-AU"/>
        </w:rPr>
      </w:pPr>
    </w:p>
    <w:p w:rsidR="00CB3155" w:rsidRPr="00CB3155" w:rsidRDefault="00CB3155" w:rsidP="00CB3155">
      <w:pPr>
        <w:rPr>
          <w:lang w:val="en-AU"/>
        </w:rPr>
      </w:pPr>
      <w:r w:rsidRPr="00CB3155">
        <w:rPr>
          <w:lang w:val="en-AU"/>
        </w:rPr>
        <w:t xml:space="preserve">For information on the Commission’s work on </w:t>
      </w:r>
      <w:r>
        <w:rPr>
          <w:lang w:val="en-AU"/>
        </w:rPr>
        <w:t>healthcare associated infection</w:t>
      </w:r>
      <w:r w:rsidRPr="00CB3155">
        <w:rPr>
          <w:lang w:val="en-AU"/>
        </w:rPr>
        <w:t>, see</w:t>
      </w:r>
      <w:r>
        <w:rPr>
          <w:lang w:val="en-AU"/>
        </w:rPr>
        <w:t xml:space="preserve"> </w:t>
      </w:r>
      <w:hyperlink r:id="rId29" w:history="1">
        <w:r w:rsidRPr="00AE760A">
          <w:rPr>
            <w:rStyle w:val="Hyperlink"/>
            <w:lang w:val="en-AU"/>
          </w:rPr>
          <w:t>http://www.safetyandquality.gov.au/our-work/healthcare-associated-infection/</w:t>
        </w:r>
      </w:hyperlink>
    </w:p>
    <w:p w:rsidR="00CB3155" w:rsidRPr="0048169F" w:rsidRDefault="00CB3155" w:rsidP="00E724CB">
      <w:pPr>
        <w:rPr>
          <w:i/>
          <w:lang w:val="en-AU"/>
        </w:rPr>
      </w:pPr>
    </w:p>
    <w:p w:rsidR="00E724CB" w:rsidRPr="00FF6501" w:rsidRDefault="00FF6501" w:rsidP="00E724CB">
      <w:pPr>
        <w:keepNext/>
        <w:keepLines/>
        <w:autoSpaceDE w:val="0"/>
        <w:autoSpaceDN w:val="0"/>
        <w:adjustRightInd w:val="0"/>
        <w:rPr>
          <w:i/>
          <w:lang w:val="en-AU"/>
        </w:rPr>
      </w:pPr>
      <w:r w:rsidRPr="00FF6501">
        <w:rPr>
          <w:i/>
          <w:lang w:val="en-AU"/>
        </w:rPr>
        <w:t>Healthcare Infection</w:t>
      </w:r>
    </w:p>
    <w:p w:rsidR="00FF6501" w:rsidRPr="0048169F" w:rsidRDefault="00FF6501" w:rsidP="00E724CB">
      <w:pPr>
        <w:keepNext/>
        <w:keepLines/>
        <w:autoSpaceDE w:val="0"/>
        <w:autoSpaceDN w:val="0"/>
        <w:adjustRightInd w:val="0"/>
        <w:rPr>
          <w:lang w:val="en-AU"/>
        </w:rPr>
      </w:pPr>
      <w:proofErr w:type="spellStart"/>
      <w:proofErr w:type="gramStart"/>
      <w:r>
        <w:rPr>
          <w:lang w:val="en-AU"/>
        </w:rPr>
        <w:t>Vol</w:t>
      </w:r>
      <w:proofErr w:type="spellEnd"/>
      <w:r>
        <w:rPr>
          <w:lang w:val="en-AU"/>
        </w:rPr>
        <w:t xml:space="preserve"> 19(2)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FF6501" w:rsidP="005B726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24CB" w:rsidRPr="0048169F" w:rsidRDefault="00D11376" w:rsidP="00FF6501">
            <w:pPr>
              <w:rPr>
                <w:lang w:val="en-AU"/>
              </w:rPr>
            </w:pPr>
            <w:hyperlink r:id="rId30" w:history="1">
              <w:r w:rsidR="00FF6501" w:rsidRPr="006E12CE">
                <w:rPr>
                  <w:rStyle w:val="Hyperlink"/>
                  <w:lang w:val="en-AU"/>
                </w:rPr>
                <w:t>http://www.publish.csiro.au/?nid=241</w:t>
              </w:r>
            </w:hyperlink>
          </w:p>
        </w:tc>
      </w:tr>
      <w:tr w:rsidR="00E724CB" w:rsidRPr="0048169F" w:rsidTr="005B726A">
        <w:tc>
          <w:tcPr>
            <w:tcW w:w="1080" w:type="dxa"/>
            <w:tcBorders>
              <w:top w:val="single" w:sz="4" w:space="0" w:color="auto"/>
              <w:left w:val="single" w:sz="4" w:space="0" w:color="auto"/>
              <w:bottom w:val="single" w:sz="4" w:space="0" w:color="auto"/>
              <w:right w:val="single" w:sz="4" w:space="0" w:color="auto"/>
            </w:tcBorders>
            <w:vAlign w:val="center"/>
          </w:tcPr>
          <w:p w:rsidR="00E724CB" w:rsidRPr="0048169F" w:rsidRDefault="00E724CB" w:rsidP="005B726A">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6501" w:rsidRDefault="00FF6501" w:rsidP="005B726A">
            <w:pPr>
              <w:rPr>
                <w:lang w:val="en-AU"/>
              </w:rPr>
            </w:pPr>
            <w:r>
              <w:rPr>
                <w:lang w:val="en-AU"/>
              </w:rPr>
              <w:t>A new issue of Healthcare Infection has been published. Articles in this issue include:</w:t>
            </w:r>
          </w:p>
          <w:p w:rsidR="00E724CB" w:rsidRDefault="00FF6501" w:rsidP="00FF6501">
            <w:pPr>
              <w:pStyle w:val="ListParagraph"/>
              <w:numPr>
                <w:ilvl w:val="0"/>
                <w:numId w:val="21"/>
              </w:numPr>
              <w:rPr>
                <w:lang w:val="en-AU"/>
              </w:rPr>
            </w:pPr>
            <w:r w:rsidRPr="00FF6501">
              <w:rPr>
                <w:b/>
                <w:lang w:val="en-AU"/>
              </w:rPr>
              <w:t>Central line-associated bloodstream infection (CLABSI)</w:t>
            </w:r>
            <w:r w:rsidRPr="00FF6501">
              <w:rPr>
                <w:lang w:val="en-AU"/>
              </w:rPr>
              <w:t xml:space="preserve"> rates: achieving the elusive goal of zero </w:t>
            </w:r>
            <w:r>
              <w:rPr>
                <w:lang w:val="en-AU"/>
              </w:rPr>
              <w:t>(</w:t>
            </w:r>
            <w:r w:rsidRPr="00FF6501">
              <w:rPr>
                <w:lang w:val="en-AU"/>
              </w:rPr>
              <w:t>M</w:t>
            </w:r>
            <w:r>
              <w:rPr>
                <w:lang w:val="en-AU"/>
              </w:rPr>
              <w:t xml:space="preserve">ary-Louise </w:t>
            </w:r>
            <w:proofErr w:type="spellStart"/>
            <w:r>
              <w:rPr>
                <w:lang w:val="en-AU"/>
              </w:rPr>
              <w:t>McLaws</w:t>
            </w:r>
            <w:proofErr w:type="spellEnd"/>
            <w:r>
              <w:rPr>
                <w:lang w:val="en-AU"/>
              </w:rPr>
              <w:t xml:space="preserve"> and William R</w:t>
            </w:r>
            <w:r w:rsidRPr="00FF6501">
              <w:rPr>
                <w:lang w:val="en-AU"/>
              </w:rPr>
              <w:t xml:space="preserve"> Jarvis</w:t>
            </w:r>
            <w:r>
              <w:rPr>
                <w:lang w:val="en-AU"/>
              </w:rPr>
              <w:t>)</w:t>
            </w:r>
          </w:p>
          <w:p w:rsidR="00FF6501" w:rsidRDefault="00FF6501" w:rsidP="00FF6501">
            <w:pPr>
              <w:pStyle w:val="ListParagraph"/>
              <w:numPr>
                <w:ilvl w:val="0"/>
                <w:numId w:val="21"/>
              </w:numPr>
              <w:rPr>
                <w:lang w:val="en-AU"/>
              </w:rPr>
            </w:pPr>
            <w:r w:rsidRPr="00FF6501">
              <w:rPr>
                <w:b/>
                <w:lang w:val="en-AU"/>
              </w:rPr>
              <w:t>Mandatory seasonal influenza vaccination</w:t>
            </w:r>
            <w:r w:rsidRPr="00FF6501">
              <w:rPr>
                <w:lang w:val="en-AU"/>
              </w:rPr>
              <w:t xml:space="preserve"> of health care workers: a way forward to improving influenza vaccination rates (Roy </w:t>
            </w:r>
            <w:proofErr w:type="spellStart"/>
            <w:r w:rsidRPr="00FF6501">
              <w:rPr>
                <w:lang w:val="en-AU"/>
              </w:rPr>
              <w:t>Chean</w:t>
            </w:r>
            <w:proofErr w:type="spellEnd"/>
            <w:r w:rsidRPr="00FF6501">
              <w:rPr>
                <w:lang w:val="en-AU"/>
              </w:rPr>
              <w:t>, John K Ferguson and Rhonda L Stuart</w:t>
            </w:r>
            <w:r>
              <w:rPr>
                <w:lang w:val="en-AU"/>
              </w:rPr>
              <w:t>)</w:t>
            </w:r>
          </w:p>
          <w:p w:rsidR="00FF6501" w:rsidRDefault="00FF6501" w:rsidP="000410EA">
            <w:pPr>
              <w:pStyle w:val="ListParagraph"/>
              <w:numPr>
                <w:ilvl w:val="0"/>
                <w:numId w:val="21"/>
              </w:numPr>
              <w:rPr>
                <w:lang w:val="en-AU"/>
              </w:rPr>
            </w:pPr>
            <w:r w:rsidRPr="000410EA">
              <w:rPr>
                <w:lang w:val="en-AU"/>
              </w:rPr>
              <w:t xml:space="preserve">Knowledge and understanding of patients and health care workers about </w:t>
            </w:r>
            <w:r w:rsidRPr="000410EA">
              <w:rPr>
                <w:b/>
                <w:lang w:val="en-AU"/>
              </w:rPr>
              <w:t>multi-resistant organisms</w:t>
            </w:r>
            <w:r w:rsidRPr="000410EA">
              <w:rPr>
                <w:lang w:val="en-AU"/>
              </w:rPr>
              <w:t xml:space="preserve"> </w:t>
            </w:r>
            <w:r w:rsidR="000410EA" w:rsidRPr="000410EA">
              <w:rPr>
                <w:lang w:val="en-AU"/>
              </w:rPr>
              <w:t>(</w:t>
            </w:r>
            <w:r w:rsidRPr="00FF6501">
              <w:rPr>
                <w:lang w:val="en-AU"/>
              </w:rPr>
              <w:t xml:space="preserve">Nancy </w:t>
            </w:r>
            <w:proofErr w:type="spellStart"/>
            <w:r w:rsidRPr="00FF6501">
              <w:rPr>
                <w:lang w:val="en-AU"/>
              </w:rPr>
              <w:t>Santiano</w:t>
            </w:r>
            <w:proofErr w:type="spellEnd"/>
            <w:r w:rsidRPr="00FF6501">
              <w:rPr>
                <w:lang w:val="en-AU"/>
              </w:rPr>
              <w:t xml:space="preserve">, Jennifer Caldwell, </w:t>
            </w:r>
            <w:proofErr w:type="spellStart"/>
            <w:r w:rsidRPr="00FF6501">
              <w:rPr>
                <w:lang w:val="en-AU"/>
              </w:rPr>
              <w:t>Emina</w:t>
            </w:r>
            <w:proofErr w:type="spellEnd"/>
            <w:r w:rsidRPr="00FF6501">
              <w:rPr>
                <w:lang w:val="en-AU"/>
              </w:rPr>
              <w:t xml:space="preserve"> Ryan, </w:t>
            </w:r>
            <w:proofErr w:type="spellStart"/>
            <w:r w:rsidRPr="00FF6501">
              <w:rPr>
                <w:lang w:val="en-AU"/>
              </w:rPr>
              <w:t>Arene</w:t>
            </w:r>
            <w:proofErr w:type="spellEnd"/>
            <w:r w:rsidRPr="00FF6501">
              <w:rPr>
                <w:lang w:val="en-AU"/>
              </w:rPr>
              <w:t xml:space="preserve"> Smuts and Heather-Marie Schmidt</w:t>
            </w:r>
            <w:r w:rsidR="000410EA">
              <w:rPr>
                <w:lang w:val="en-AU"/>
              </w:rPr>
              <w:t>)</w:t>
            </w:r>
          </w:p>
          <w:p w:rsidR="000410EA" w:rsidRDefault="000410EA" w:rsidP="00965909">
            <w:pPr>
              <w:pStyle w:val="ListParagraph"/>
              <w:numPr>
                <w:ilvl w:val="0"/>
                <w:numId w:val="21"/>
              </w:numPr>
              <w:rPr>
                <w:lang w:val="en-AU"/>
              </w:rPr>
            </w:pPr>
            <w:r w:rsidRPr="00965909">
              <w:rPr>
                <w:lang w:val="en-AU"/>
              </w:rPr>
              <w:t xml:space="preserve">Repeated multimodal supervision programs to reduce the </w:t>
            </w:r>
            <w:r w:rsidRPr="00965909">
              <w:rPr>
                <w:b/>
                <w:lang w:val="en-AU"/>
              </w:rPr>
              <w:t>central line-associated bloodstream infection</w:t>
            </w:r>
            <w:r w:rsidRPr="00965909">
              <w:rPr>
                <w:lang w:val="en-AU"/>
              </w:rPr>
              <w:t xml:space="preserve"> rates in an Indian corporate hospital </w:t>
            </w:r>
            <w:r w:rsidR="00965909" w:rsidRPr="00965909">
              <w:rPr>
                <w:lang w:val="en-AU"/>
              </w:rPr>
              <w:t>(</w:t>
            </w:r>
            <w:proofErr w:type="spellStart"/>
            <w:r w:rsidRPr="000410EA">
              <w:rPr>
                <w:lang w:val="en-AU"/>
              </w:rPr>
              <w:t>Namita</w:t>
            </w:r>
            <w:proofErr w:type="spellEnd"/>
            <w:r w:rsidRPr="000410EA">
              <w:rPr>
                <w:lang w:val="en-AU"/>
              </w:rPr>
              <w:t xml:space="preserve"> </w:t>
            </w:r>
            <w:proofErr w:type="spellStart"/>
            <w:r w:rsidRPr="000410EA">
              <w:rPr>
                <w:lang w:val="en-AU"/>
              </w:rPr>
              <w:t>Jaggi</w:t>
            </w:r>
            <w:proofErr w:type="spellEnd"/>
            <w:r w:rsidRPr="000410EA">
              <w:rPr>
                <w:lang w:val="en-AU"/>
              </w:rPr>
              <w:t xml:space="preserve"> and </w:t>
            </w:r>
            <w:proofErr w:type="spellStart"/>
            <w:r w:rsidRPr="000410EA">
              <w:rPr>
                <w:lang w:val="en-AU"/>
              </w:rPr>
              <w:t>Pushpa</w:t>
            </w:r>
            <w:proofErr w:type="spellEnd"/>
            <w:r w:rsidRPr="000410EA">
              <w:rPr>
                <w:lang w:val="en-AU"/>
              </w:rPr>
              <w:t xml:space="preserve"> </w:t>
            </w:r>
            <w:proofErr w:type="spellStart"/>
            <w:r w:rsidRPr="000410EA">
              <w:rPr>
                <w:lang w:val="en-AU"/>
              </w:rPr>
              <w:t>Sissodia</w:t>
            </w:r>
            <w:proofErr w:type="spellEnd"/>
            <w:r w:rsidR="00965909">
              <w:rPr>
                <w:lang w:val="en-AU"/>
              </w:rPr>
              <w:t>)</w:t>
            </w:r>
          </w:p>
          <w:p w:rsidR="00965909" w:rsidRPr="00965909" w:rsidRDefault="00965909" w:rsidP="00965909">
            <w:pPr>
              <w:pStyle w:val="ListParagraph"/>
              <w:numPr>
                <w:ilvl w:val="0"/>
                <w:numId w:val="21"/>
              </w:numPr>
              <w:rPr>
                <w:lang w:val="en-AU"/>
              </w:rPr>
            </w:pPr>
            <w:r w:rsidRPr="00965909">
              <w:rPr>
                <w:lang w:val="en-AU"/>
              </w:rPr>
              <w:t xml:space="preserve">ATP bioluminescence to validate the decontamination process of </w:t>
            </w:r>
            <w:r w:rsidRPr="00965909">
              <w:rPr>
                <w:b/>
                <w:lang w:val="en-AU"/>
              </w:rPr>
              <w:t>gastrointestinal endoscopes</w:t>
            </w:r>
            <w:r w:rsidRPr="00965909">
              <w:rPr>
                <w:lang w:val="en-AU"/>
              </w:rPr>
              <w:t xml:space="preserve"> (</w:t>
            </w:r>
            <w:proofErr w:type="spellStart"/>
            <w:r w:rsidRPr="00965909">
              <w:rPr>
                <w:lang w:val="en-AU"/>
              </w:rPr>
              <w:t>Geethanie</w:t>
            </w:r>
            <w:proofErr w:type="spellEnd"/>
            <w:r w:rsidRPr="00965909">
              <w:rPr>
                <w:lang w:val="en-AU"/>
              </w:rPr>
              <w:t xml:space="preserve"> Fernando, Peter </w:t>
            </w:r>
            <w:proofErr w:type="spellStart"/>
            <w:r w:rsidRPr="00965909">
              <w:rPr>
                <w:lang w:val="en-AU"/>
              </w:rPr>
              <w:t>Collignon</w:t>
            </w:r>
            <w:proofErr w:type="spellEnd"/>
            <w:r w:rsidRPr="00965909">
              <w:rPr>
                <w:lang w:val="en-AU"/>
              </w:rPr>
              <w:t xml:space="preserve"> and Wendy </w:t>
            </w:r>
            <w:proofErr w:type="spellStart"/>
            <w:r w:rsidRPr="00965909">
              <w:rPr>
                <w:lang w:val="en-AU"/>
              </w:rPr>
              <w:t>Beckingham</w:t>
            </w:r>
            <w:proofErr w:type="spellEnd"/>
            <w:r>
              <w:rPr>
                <w:lang w:val="en-AU"/>
              </w:rPr>
              <w:t>)</w:t>
            </w:r>
          </w:p>
          <w:p w:rsidR="00965909" w:rsidRDefault="00965909" w:rsidP="00965909">
            <w:pPr>
              <w:pStyle w:val="ListParagraph"/>
              <w:numPr>
                <w:ilvl w:val="0"/>
                <w:numId w:val="21"/>
              </w:numPr>
              <w:rPr>
                <w:lang w:val="en-AU"/>
              </w:rPr>
            </w:pPr>
            <w:r w:rsidRPr="00965909">
              <w:rPr>
                <w:b/>
                <w:lang w:val="en-AU"/>
              </w:rPr>
              <w:t>Nurses’ sharps</w:t>
            </w:r>
            <w:r w:rsidRPr="00965909">
              <w:rPr>
                <w:lang w:val="en-AU"/>
              </w:rPr>
              <w:t xml:space="preserve">, including </w:t>
            </w:r>
            <w:proofErr w:type="spellStart"/>
            <w:r w:rsidRPr="00965909">
              <w:rPr>
                <w:lang w:val="en-AU"/>
              </w:rPr>
              <w:t>needlestick</w:t>
            </w:r>
            <w:proofErr w:type="spellEnd"/>
            <w:r w:rsidRPr="00965909">
              <w:rPr>
                <w:lang w:val="en-AU"/>
              </w:rPr>
              <w:t xml:space="preserve">, injuries in public and private healthcare facilities in New South Wales, Australia (Maya Guest, Ashley K. </w:t>
            </w:r>
            <w:proofErr w:type="spellStart"/>
            <w:r w:rsidRPr="00965909">
              <w:rPr>
                <w:lang w:val="en-AU"/>
              </w:rPr>
              <w:t>Kable</w:t>
            </w:r>
            <w:proofErr w:type="spellEnd"/>
            <w:r w:rsidRPr="00965909">
              <w:rPr>
                <w:lang w:val="en-AU"/>
              </w:rPr>
              <w:t xml:space="preserve">, May M </w:t>
            </w:r>
            <w:proofErr w:type="spellStart"/>
            <w:r w:rsidRPr="00965909">
              <w:rPr>
                <w:lang w:val="en-AU"/>
              </w:rPr>
              <w:t>Boggess</w:t>
            </w:r>
            <w:proofErr w:type="spellEnd"/>
            <w:r w:rsidRPr="00965909">
              <w:rPr>
                <w:lang w:val="en-AU"/>
              </w:rPr>
              <w:t xml:space="preserve"> and Mark </w:t>
            </w:r>
            <w:proofErr w:type="spellStart"/>
            <w:r w:rsidRPr="00965909">
              <w:rPr>
                <w:lang w:val="en-AU"/>
              </w:rPr>
              <w:t>Friedewald</w:t>
            </w:r>
            <w:proofErr w:type="spellEnd"/>
            <w:r>
              <w:rPr>
                <w:lang w:val="en-AU"/>
              </w:rPr>
              <w:t>)</w:t>
            </w:r>
          </w:p>
          <w:p w:rsidR="00965909" w:rsidRPr="00FF6501" w:rsidRDefault="00965909" w:rsidP="00965909">
            <w:pPr>
              <w:pStyle w:val="ListParagraph"/>
              <w:numPr>
                <w:ilvl w:val="0"/>
                <w:numId w:val="21"/>
              </w:numPr>
              <w:rPr>
                <w:lang w:val="en-AU"/>
              </w:rPr>
            </w:pPr>
            <w:r w:rsidRPr="00965909">
              <w:rPr>
                <w:lang w:val="en-AU"/>
              </w:rPr>
              <w:t xml:space="preserve">Impact of a </w:t>
            </w:r>
            <w:proofErr w:type="spellStart"/>
            <w:r w:rsidRPr="00965909">
              <w:rPr>
                <w:lang w:val="en-AU"/>
              </w:rPr>
              <w:t>linerless</w:t>
            </w:r>
            <w:proofErr w:type="spellEnd"/>
            <w:r w:rsidRPr="00965909">
              <w:rPr>
                <w:lang w:val="en-AU"/>
              </w:rPr>
              <w:t xml:space="preserve">, reusable, </w:t>
            </w:r>
            <w:r w:rsidRPr="00965909">
              <w:rPr>
                <w:b/>
                <w:lang w:val="en-AU"/>
              </w:rPr>
              <w:t xml:space="preserve">clinical </w:t>
            </w:r>
            <w:proofErr w:type="spellStart"/>
            <w:r w:rsidRPr="00965909">
              <w:rPr>
                <w:b/>
                <w:lang w:val="en-AU"/>
              </w:rPr>
              <w:t>wastebin</w:t>
            </w:r>
            <w:proofErr w:type="spellEnd"/>
            <w:r w:rsidRPr="00965909">
              <w:rPr>
                <w:lang w:val="en-AU"/>
              </w:rPr>
              <w:t xml:space="preserve"> system on costs, waste volumes and infection risk in an Australian acute-care hospital (Fiona De Sousa, Diana Martin and Terry </w:t>
            </w:r>
            <w:proofErr w:type="spellStart"/>
            <w:r w:rsidRPr="00965909">
              <w:rPr>
                <w:lang w:val="en-AU"/>
              </w:rPr>
              <w:t>Grimmond</w:t>
            </w:r>
            <w:proofErr w:type="spellEnd"/>
            <w:r>
              <w:rPr>
                <w:lang w:val="en-AU"/>
              </w:rPr>
              <w:t>)</w:t>
            </w:r>
          </w:p>
        </w:tc>
      </w:tr>
    </w:tbl>
    <w:p w:rsidR="00E724CB" w:rsidRPr="0048169F" w:rsidRDefault="00E724CB" w:rsidP="00E724CB">
      <w:pPr>
        <w:rPr>
          <w:i/>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57AB4">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57AB4">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D11376" w:rsidP="00257AB4">
            <w:pPr>
              <w:rPr>
                <w:lang w:val="en-AU"/>
              </w:rPr>
            </w:pPr>
            <w:hyperlink r:id="rId31" w:history="1">
              <w:r w:rsidR="00C61ACD" w:rsidRPr="0048169F">
                <w:rPr>
                  <w:rStyle w:val="Hyperlink"/>
                  <w:lang w:val="en-AU"/>
                </w:rPr>
                <w:t>http://qualitysafety.bmj.com/content/early/recent</w:t>
              </w:r>
            </w:hyperlink>
          </w:p>
        </w:tc>
      </w:tr>
      <w:tr w:rsidR="00500DC0" w:rsidRPr="0048169F" w:rsidTr="00740341">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740341">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740341">
            <w:pPr>
              <w:rPr>
                <w:lang w:val="en-AU"/>
              </w:rPr>
            </w:pPr>
            <w:r w:rsidRPr="0048169F">
              <w:rPr>
                <w:i/>
                <w:lang w:val="en-AU"/>
              </w:rPr>
              <w:t>BMJ Quality and Safety</w:t>
            </w:r>
            <w:r w:rsidRPr="0048169F">
              <w:rPr>
                <w:lang w:val="en-AU"/>
              </w:rPr>
              <w:t xml:space="preserve"> has published a number of ‘online first’ articles, including:</w:t>
            </w:r>
          </w:p>
          <w:p w:rsidR="00500DC0" w:rsidRPr="0048169F" w:rsidRDefault="0010424E" w:rsidP="0010424E">
            <w:pPr>
              <w:pStyle w:val="ListParagraph"/>
              <w:numPr>
                <w:ilvl w:val="0"/>
                <w:numId w:val="14"/>
              </w:numPr>
              <w:rPr>
                <w:lang w:val="en-AU"/>
              </w:rPr>
            </w:pPr>
            <w:r w:rsidRPr="0010424E">
              <w:rPr>
                <w:b/>
                <w:lang w:val="en-AU"/>
              </w:rPr>
              <w:t>Patient complaints</w:t>
            </w:r>
            <w:r w:rsidRPr="0010424E">
              <w:rPr>
                <w:lang w:val="en-AU"/>
              </w:rPr>
              <w:t xml:space="preserve"> in healthcare systems: a systematic review and coding taxonomy </w:t>
            </w:r>
            <w:r>
              <w:rPr>
                <w:lang w:val="en-AU"/>
              </w:rPr>
              <w:t>(</w:t>
            </w:r>
            <w:r w:rsidRPr="0010424E">
              <w:rPr>
                <w:lang w:val="en-AU"/>
              </w:rPr>
              <w:t>Tom W Reader, Alex Gillespie, Jane Roberts</w:t>
            </w:r>
            <w:r>
              <w:rPr>
                <w:lang w:val="en-AU"/>
              </w:rPr>
              <w:t>)</w:t>
            </w:r>
          </w:p>
        </w:tc>
      </w:tr>
    </w:tbl>
    <w:p w:rsidR="00571B6D" w:rsidRPr="0048169F" w:rsidRDefault="00571B6D" w:rsidP="00571B6D">
      <w:pPr>
        <w:keepNext/>
        <w:autoSpaceDE w:val="0"/>
        <w:autoSpaceDN w:val="0"/>
        <w:adjustRightInd w:val="0"/>
        <w:rPr>
          <w:lang w:val="en-AU"/>
        </w:rPr>
      </w:pPr>
      <w:bookmarkStart w:id="1" w:name="_GoBack"/>
      <w:bookmarkEnd w:id="1"/>
      <w:r w:rsidRPr="0048169F">
        <w:rPr>
          <w:i/>
          <w:lang w:val="en-AU"/>
        </w:rPr>
        <w:lastRenderedPageBreak/>
        <w:t>International Journal for Quality in Health Care</w:t>
      </w:r>
      <w:r w:rsidRPr="0048169F">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71B6D" w:rsidRPr="0048169F" w:rsidTr="0038431C">
        <w:tc>
          <w:tcPr>
            <w:tcW w:w="1080" w:type="dxa"/>
            <w:tcBorders>
              <w:top w:val="single" w:sz="4" w:space="0" w:color="auto"/>
              <w:left w:val="single" w:sz="4" w:space="0" w:color="auto"/>
              <w:bottom w:val="single" w:sz="4" w:space="0" w:color="auto"/>
              <w:right w:val="single" w:sz="4" w:space="0" w:color="auto"/>
            </w:tcBorders>
            <w:vAlign w:val="center"/>
          </w:tcPr>
          <w:p w:rsidR="00571B6D" w:rsidRPr="0048169F" w:rsidRDefault="00571B6D" w:rsidP="0038431C">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71B6D" w:rsidRPr="0048169F" w:rsidRDefault="00D11376" w:rsidP="0038431C">
            <w:pPr>
              <w:rPr>
                <w:lang w:val="en-AU"/>
              </w:rPr>
            </w:pPr>
            <w:hyperlink r:id="rId32" w:history="1">
              <w:r w:rsidR="00571B6D" w:rsidRPr="0048169F">
                <w:rPr>
                  <w:rStyle w:val="Hyperlink"/>
                  <w:lang w:val="en-AU"/>
                </w:rPr>
                <w:t>http://intqhc.oxfordjournals.org/content/early/recent?papetoc</w:t>
              </w:r>
            </w:hyperlink>
          </w:p>
        </w:tc>
      </w:tr>
      <w:tr w:rsidR="00571B6D" w:rsidRPr="0048169F" w:rsidTr="0038431C">
        <w:tc>
          <w:tcPr>
            <w:tcW w:w="1080" w:type="dxa"/>
            <w:tcBorders>
              <w:top w:val="single" w:sz="4" w:space="0" w:color="auto"/>
              <w:left w:val="single" w:sz="4" w:space="0" w:color="auto"/>
              <w:bottom w:val="single" w:sz="4" w:space="0" w:color="auto"/>
              <w:right w:val="single" w:sz="4" w:space="0" w:color="auto"/>
            </w:tcBorders>
            <w:vAlign w:val="center"/>
          </w:tcPr>
          <w:p w:rsidR="00571B6D" w:rsidRPr="0048169F" w:rsidRDefault="00571B6D" w:rsidP="0038431C">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1B6D" w:rsidRPr="0048169F" w:rsidRDefault="00571B6D" w:rsidP="0038431C">
            <w:pPr>
              <w:rPr>
                <w:lang w:val="en-AU"/>
              </w:rPr>
            </w:pPr>
            <w:r w:rsidRPr="0048169F">
              <w:rPr>
                <w:i/>
                <w:lang w:val="en-AU"/>
              </w:rPr>
              <w:t>International Journal for Quality in Health Care</w:t>
            </w:r>
            <w:r w:rsidRPr="0048169F">
              <w:rPr>
                <w:lang w:val="en-AU"/>
              </w:rPr>
              <w:t xml:space="preserve"> has published a number of ‘online first’ articles, including:</w:t>
            </w:r>
          </w:p>
          <w:p w:rsidR="008F7D35" w:rsidRPr="008F7D35" w:rsidRDefault="008F7D35" w:rsidP="008F7D35">
            <w:pPr>
              <w:pStyle w:val="ListParagraph"/>
              <w:numPr>
                <w:ilvl w:val="0"/>
                <w:numId w:val="15"/>
              </w:numPr>
              <w:rPr>
                <w:lang w:val="en-AU"/>
              </w:rPr>
            </w:pPr>
            <w:r w:rsidRPr="008F7D35">
              <w:rPr>
                <w:b/>
                <w:lang w:val="en-AU"/>
              </w:rPr>
              <w:t>Non-surgical care in patients with hip or knee osteoarthritis</w:t>
            </w:r>
            <w:r w:rsidRPr="008F7D35">
              <w:rPr>
                <w:lang w:val="en-AU"/>
              </w:rPr>
              <w:t xml:space="preserve"> is modestly consistent with a stepped care strategy after its implementation (Agnes J </w:t>
            </w:r>
            <w:proofErr w:type="spellStart"/>
            <w:r w:rsidRPr="008F7D35">
              <w:rPr>
                <w:lang w:val="en-AU"/>
              </w:rPr>
              <w:t>Smink</w:t>
            </w:r>
            <w:proofErr w:type="spellEnd"/>
            <w:r w:rsidRPr="008F7D35">
              <w:rPr>
                <w:lang w:val="en-AU"/>
              </w:rPr>
              <w:t xml:space="preserve">, </w:t>
            </w:r>
            <w:proofErr w:type="spellStart"/>
            <w:r w:rsidRPr="008F7D35">
              <w:rPr>
                <w:lang w:val="en-AU"/>
              </w:rPr>
              <w:t>Sita</w:t>
            </w:r>
            <w:proofErr w:type="spellEnd"/>
            <w:r w:rsidRPr="008F7D35">
              <w:rPr>
                <w:lang w:val="en-AU"/>
              </w:rPr>
              <w:t xml:space="preserve"> M A </w:t>
            </w:r>
            <w:proofErr w:type="spellStart"/>
            <w:r w:rsidRPr="008F7D35">
              <w:rPr>
                <w:lang w:val="en-AU"/>
              </w:rPr>
              <w:t>Bierma-Zeinstra</w:t>
            </w:r>
            <w:proofErr w:type="spellEnd"/>
            <w:r w:rsidRPr="008F7D35">
              <w:rPr>
                <w:lang w:val="en-AU"/>
              </w:rPr>
              <w:t xml:space="preserve">, </w:t>
            </w:r>
            <w:proofErr w:type="spellStart"/>
            <w:r w:rsidRPr="008F7D35">
              <w:rPr>
                <w:lang w:val="en-AU"/>
              </w:rPr>
              <w:t>Henk</w:t>
            </w:r>
            <w:proofErr w:type="spellEnd"/>
            <w:r w:rsidRPr="008F7D35">
              <w:rPr>
                <w:lang w:val="en-AU"/>
              </w:rPr>
              <w:t xml:space="preserve"> J </w:t>
            </w:r>
            <w:proofErr w:type="spellStart"/>
            <w:r w:rsidRPr="008F7D35">
              <w:rPr>
                <w:lang w:val="en-AU"/>
              </w:rPr>
              <w:t>Schers</w:t>
            </w:r>
            <w:proofErr w:type="spellEnd"/>
            <w:r w:rsidRPr="008F7D35">
              <w:rPr>
                <w:lang w:val="en-AU"/>
              </w:rPr>
              <w:t xml:space="preserve">, Bart A </w:t>
            </w:r>
            <w:proofErr w:type="spellStart"/>
            <w:r w:rsidRPr="008F7D35">
              <w:rPr>
                <w:lang w:val="en-AU"/>
              </w:rPr>
              <w:t>Swierstra</w:t>
            </w:r>
            <w:proofErr w:type="spellEnd"/>
            <w:r w:rsidRPr="008F7D35">
              <w:rPr>
                <w:lang w:val="en-AU"/>
              </w:rPr>
              <w:t xml:space="preserve">, Joke H </w:t>
            </w:r>
            <w:proofErr w:type="spellStart"/>
            <w:r w:rsidRPr="008F7D35">
              <w:rPr>
                <w:lang w:val="en-AU"/>
              </w:rPr>
              <w:t>Kortland</w:t>
            </w:r>
            <w:proofErr w:type="spellEnd"/>
            <w:r w:rsidRPr="008F7D35">
              <w:rPr>
                <w:lang w:val="en-AU"/>
              </w:rPr>
              <w:t xml:space="preserve">, Johannes W J </w:t>
            </w:r>
            <w:proofErr w:type="spellStart"/>
            <w:r w:rsidRPr="008F7D35">
              <w:rPr>
                <w:lang w:val="en-AU"/>
              </w:rPr>
              <w:t>Bijlsma</w:t>
            </w:r>
            <w:proofErr w:type="spellEnd"/>
            <w:r w:rsidRPr="008F7D35">
              <w:rPr>
                <w:lang w:val="en-AU"/>
              </w:rPr>
              <w:t xml:space="preserve">, Steven </w:t>
            </w:r>
            <w:proofErr w:type="spellStart"/>
            <w:r w:rsidRPr="008F7D35">
              <w:rPr>
                <w:lang w:val="en-AU"/>
              </w:rPr>
              <w:t>Teerenstra</w:t>
            </w:r>
            <w:proofErr w:type="spellEnd"/>
            <w:r w:rsidRPr="008F7D35">
              <w:rPr>
                <w:lang w:val="en-AU"/>
              </w:rPr>
              <w:t xml:space="preserve">, Theo B </w:t>
            </w:r>
            <w:proofErr w:type="spellStart"/>
            <w:r w:rsidRPr="008F7D35">
              <w:rPr>
                <w:lang w:val="en-AU"/>
              </w:rPr>
              <w:t>Voorn</w:t>
            </w:r>
            <w:proofErr w:type="spellEnd"/>
            <w:r w:rsidRPr="008F7D35">
              <w:rPr>
                <w:lang w:val="en-AU"/>
              </w:rPr>
              <w:t xml:space="preserve">, </w:t>
            </w:r>
            <w:proofErr w:type="spellStart"/>
            <w:r w:rsidRPr="008F7D35">
              <w:rPr>
                <w:lang w:val="en-AU"/>
              </w:rPr>
              <w:t>Joost</w:t>
            </w:r>
            <w:proofErr w:type="spellEnd"/>
            <w:r w:rsidRPr="008F7D35">
              <w:rPr>
                <w:lang w:val="en-AU"/>
              </w:rPr>
              <w:t xml:space="preserve"> Dekker, Thea P M  </w:t>
            </w:r>
            <w:proofErr w:type="spellStart"/>
            <w:r w:rsidRPr="008F7D35">
              <w:rPr>
                <w:lang w:val="en-AU"/>
              </w:rPr>
              <w:t>Vliet</w:t>
            </w:r>
            <w:proofErr w:type="spellEnd"/>
            <w:r w:rsidRPr="008F7D35">
              <w:rPr>
                <w:lang w:val="en-AU"/>
              </w:rPr>
              <w:t xml:space="preserve"> </w:t>
            </w:r>
            <w:proofErr w:type="spellStart"/>
            <w:r w:rsidRPr="008F7D35">
              <w:rPr>
                <w:lang w:val="en-AU"/>
              </w:rPr>
              <w:t>Vlieland</w:t>
            </w:r>
            <w:proofErr w:type="spellEnd"/>
            <w:r w:rsidRPr="008F7D35">
              <w:rPr>
                <w:lang w:val="en-AU"/>
              </w:rPr>
              <w:t xml:space="preserve">, and Cornelia HM van den </w:t>
            </w:r>
            <w:proofErr w:type="spellStart"/>
            <w:r w:rsidRPr="008F7D35">
              <w:rPr>
                <w:lang w:val="en-AU"/>
              </w:rPr>
              <w:t>Ende</w:t>
            </w:r>
            <w:proofErr w:type="spellEnd"/>
            <w:r>
              <w:rPr>
                <w:lang w:val="en-AU"/>
              </w:rPr>
              <w:t>)</w:t>
            </w:r>
          </w:p>
          <w:p w:rsidR="008F7D35" w:rsidRPr="008F7D35" w:rsidRDefault="008F7D35" w:rsidP="008F7D35">
            <w:pPr>
              <w:pStyle w:val="ListParagraph"/>
              <w:numPr>
                <w:ilvl w:val="0"/>
                <w:numId w:val="15"/>
              </w:numPr>
              <w:rPr>
                <w:lang w:val="en-AU"/>
              </w:rPr>
            </w:pPr>
            <w:r w:rsidRPr="008F7D35">
              <w:rPr>
                <w:lang w:val="en-AU"/>
              </w:rPr>
              <w:t xml:space="preserve">Medication Safety: an audit of </w:t>
            </w:r>
            <w:r w:rsidRPr="008F7D35">
              <w:rPr>
                <w:b/>
                <w:lang w:val="en-AU"/>
              </w:rPr>
              <w:t>medication discrepancies</w:t>
            </w:r>
            <w:r w:rsidRPr="008F7D35">
              <w:rPr>
                <w:lang w:val="en-AU"/>
              </w:rPr>
              <w:t xml:space="preserve"> in transferring </w:t>
            </w:r>
            <w:r w:rsidRPr="008F7D35">
              <w:rPr>
                <w:b/>
                <w:lang w:val="en-AU"/>
              </w:rPr>
              <w:t>type 2 diabetes</w:t>
            </w:r>
            <w:r w:rsidRPr="008F7D35">
              <w:rPr>
                <w:lang w:val="en-AU"/>
              </w:rPr>
              <w:t xml:space="preserve"> mellitus (T2DM) patients from Australian primary care to tertiary ambulatory care (Madonna </w:t>
            </w:r>
            <w:proofErr w:type="spellStart"/>
            <w:r w:rsidRPr="008F7D35">
              <w:rPr>
                <w:lang w:val="en-AU"/>
              </w:rPr>
              <w:t>Azzi</w:t>
            </w:r>
            <w:proofErr w:type="spellEnd"/>
            <w:r w:rsidRPr="008F7D35">
              <w:rPr>
                <w:lang w:val="en-AU"/>
              </w:rPr>
              <w:t xml:space="preserve">, Maria </w:t>
            </w:r>
            <w:proofErr w:type="spellStart"/>
            <w:r w:rsidRPr="008F7D35">
              <w:rPr>
                <w:lang w:val="en-AU"/>
              </w:rPr>
              <w:t>Constantino</w:t>
            </w:r>
            <w:proofErr w:type="spellEnd"/>
            <w:r w:rsidRPr="008F7D35">
              <w:rPr>
                <w:lang w:val="en-AU"/>
              </w:rPr>
              <w:t xml:space="preserve">, Lisa Pont, Margaret </w:t>
            </w:r>
            <w:proofErr w:type="spellStart"/>
            <w:r w:rsidRPr="008F7D35">
              <w:rPr>
                <w:lang w:val="en-AU"/>
              </w:rPr>
              <w:t>Mcgill</w:t>
            </w:r>
            <w:proofErr w:type="spellEnd"/>
            <w:r w:rsidRPr="008F7D35">
              <w:rPr>
                <w:lang w:val="en-AU"/>
              </w:rPr>
              <w:t xml:space="preserve">, Stephen </w:t>
            </w:r>
            <w:proofErr w:type="spellStart"/>
            <w:r w:rsidRPr="008F7D35">
              <w:rPr>
                <w:lang w:val="en-AU"/>
              </w:rPr>
              <w:t>Twigg</w:t>
            </w:r>
            <w:proofErr w:type="spellEnd"/>
            <w:r w:rsidRPr="008F7D35">
              <w:rPr>
                <w:lang w:val="en-AU"/>
              </w:rPr>
              <w:t xml:space="preserve">, and Ines </w:t>
            </w:r>
            <w:proofErr w:type="spellStart"/>
            <w:r w:rsidRPr="008F7D35">
              <w:rPr>
                <w:lang w:val="en-AU"/>
              </w:rPr>
              <w:t>Krass</w:t>
            </w:r>
            <w:proofErr w:type="spellEnd"/>
            <w:r>
              <w:rPr>
                <w:lang w:val="en-AU"/>
              </w:rPr>
              <w:t>)</w:t>
            </w:r>
          </w:p>
          <w:p w:rsidR="008F7D35" w:rsidRPr="008F7D35" w:rsidRDefault="008F7D35" w:rsidP="008F7D35">
            <w:pPr>
              <w:pStyle w:val="ListParagraph"/>
              <w:numPr>
                <w:ilvl w:val="0"/>
                <w:numId w:val="15"/>
              </w:numPr>
              <w:rPr>
                <w:lang w:val="en-AU"/>
              </w:rPr>
            </w:pPr>
            <w:r w:rsidRPr="008F7D35">
              <w:rPr>
                <w:b/>
                <w:lang w:val="en-AU"/>
              </w:rPr>
              <w:t>Healthcare service problems</w:t>
            </w:r>
            <w:r w:rsidRPr="008F7D35">
              <w:rPr>
                <w:lang w:val="en-AU"/>
              </w:rPr>
              <w:t xml:space="preserve"> reported in a national survey of South Africans (Takahiro </w:t>
            </w:r>
            <w:proofErr w:type="spellStart"/>
            <w:r w:rsidRPr="008F7D35">
              <w:rPr>
                <w:lang w:val="en-AU"/>
              </w:rPr>
              <w:t>Hasumi</w:t>
            </w:r>
            <w:proofErr w:type="spellEnd"/>
            <w:r w:rsidRPr="008F7D35">
              <w:rPr>
                <w:lang w:val="en-AU"/>
              </w:rPr>
              <w:t xml:space="preserve"> and Kathryn H. Jacobsen</w:t>
            </w:r>
            <w:r>
              <w:rPr>
                <w:lang w:val="en-AU"/>
              </w:rPr>
              <w:t>)</w:t>
            </w:r>
          </w:p>
          <w:p w:rsidR="00571B6D" w:rsidRPr="0048169F" w:rsidRDefault="008F7D35" w:rsidP="008F7D35">
            <w:pPr>
              <w:pStyle w:val="ListParagraph"/>
              <w:numPr>
                <w:ilvl w:val="0"/>
                <w:numId w:val="15"/>
              </w:numPr>
              <w:rPr>
                <w:lang w:val="en-AU"/>
              </w:rPr>
            </w:pPr>
            <w:r w:rsidRPr="008F7D35">
              <w:rPr>
                <w:lang w:val="en-AU"/>
              </w:rPr>
              <w:t xml:space="preserve">The impact of </w:t>
            </w:r>
            <w:r w:rsidRPr="008F7D35">
              <w:rPr>
                <w:b/>
                <w:lang w:val="en-AU"/>
              </w:rPr>
              <w:t xml:space="preserve">clinicians' personality and their interpersonal </w:t>
            </w:r>
            <w:proofErr w:type="spellStart"/>
            <w:r w:rsidRPr="008F7D35">
              <w:rPr>
                <w:b/>
                <w:lang w:val="en-AU"/>
              </w:rPr>
              <w:t>behaviors</w:t>
            </w:r>
            <w:proofErr w:type="spellEnd"/>
            <w:r w:rsidRPr="008F7D35">
              <w:rPr>
                <w:lang w:val="en-AU"/>
              </w:rPr>
              <w:t xml:space="preserve"> on the quality of patient care: a systematic review (Benjamin C</w:t>
            </w:r>
            <w:r>
              <w:rPr>
                <w:lang w:val="en-AU"/>
              </w:rPr>
              <w:t xml:space="preserve"> </w:t>
            </w:r>
            <w:r w:rsidRPr="008F7D35">
              <w:rPr>
                <w:lang w:val="en-AU"/>
              </w:rPr>
              <w:t xml:space="preserve">M </w:t>
            </w:r>
            <w:proofErr w:type="spellStart"/>
            <w:r w:rsidRPr="008F7D35">
              <w:rPr>
                <w:lang w:val="en-AU"/>
              </w:rPr>
              <w:t>Boerebach</w:t>
            </w:r>
            <w:proofErr w:type="spellEnd"/>
            <w:r w:rsidRPr="008F7D35">
              <w:rPr>
                <w:lang w:val="en-AU"/>
              </w:rPr>
              <w:t xml:space="preserve">, Renée A </w:t>
            </w:r>
            <w:proofErr w:type="spellStart"/>
            <w:r w:rsidRPr="008F7D35">
              <w:rPr>
                <w:lang w:val="en-AU"/>
              </w:rPr>
              <w:t>Scheepers</w:t>
            </w:r>
            <w:proofErr w:type="spellEnd"/>
            <w:r w:rsidRPr="008F7D35">
              <w:rPr>
                <w:lang w:val="en-AU"/>
              </w:rPr>
              <w:t xml:space="preserve">, Renée M van der </w:t>
            </w:r>
            <w:proofErr w:type="spellStart"/>
            <w:r w:rsidRPr="008F7D35">
              <w:rPr>
                <w:lang w:val="en-AU"/>
              </w:rPr>
              <w:t>Leeuw</w:t>
            </w:r>
            <w:proofErr w:type="spellEnd"/>
            <w:r w:rsidRPr="008F7D35">
              <w:rPr>
                <w:lang w:val="en-AU"/>
              </w:rPr>
              <w:t>, Maas</w:t>
            </w:r>
            <w:r>
              <w:rPr>
                <w:lang w:val="en-AU"/>
              </w:rPr>
              <w:t xml:space="preserve"> </w:t>
            </w:r>
            <w:r w:rsidRPr="008F7D35">
              <w:rPr>
                <w:lang w:val="en-AU"/>
              </w:rPr>
              <w:t xml:space="preserve">Jan </w:t>
            </w:r>
            <w:proofErr w:type="spellStart"/>
            <w:r w:rsidRPr="008F7D35">
              <w:rPr>
                <w:lang w:val="en-AU"/>
              </w:rPr>
              <w:t>Heineman</w:t>
            </w:r>
            <w:proofErr w:type="spellEnd"/>
            <w:r w:rsidRPr="008F7D35">
              <w:rPr>
                <w:lang w:val="en-AU"/>
              </w:rPr>
              <w:t xml:space="preserve">, </w:t>
            </w:r>
            <w:proofErr w:type="spellStart"/>
            <w:r w:rsidRPr="008F7D35">
              <w:rPr>
                <w:lang w:val="en-AU"/>
              </w:rPr>
              <w:t>Onyebuchi</w:t>
            </w:r>
            <w:proofErr w:type="spellEnd"/>
            <w:r w:rsidRPr="008F7D35">
              <w:rPr>
                <w:lang w:val="en-AU"/>
              </w:rPr>
              <w:t xml:space="preserve"> A</w:t>
            </w:r>
            <w:r>
              <w:rPr>
                <w:lang w:val="en-AU"/>
              </w:rPr>
              <w:t xml:space="preserve"> </w:t>
            </w:r>
            <w:r w:rsidRPr="008F7D35">
              <w:rPr>
                <w:lang w:val="en-AU"/>
              </w:rPr>
              <w:t xml:space="preserve"> </w:t>
            </w:r>
            <w:proofErr w:type="spellStart"/>
            <w:r w:rsidRPr="008F7D35">
              <w:rPr>
                <w:lang w:val="en-AU"/>
              </w:rPr>
              <w:t>Arah</w:t>
            </w:r>
            <w:proofErr w:type="spellEnd"/>
            <w:r w:rsidRPr="008F7D35">
              <w:rPr>
                <w:lang w:val="en-AU"/>
              </w:rPr>
              <w:t>, and Kiki M</w:t>
            </w:r>
            <w:r>
              <w:rPr>
                <w:lang w:val="en-AU"/>
              </w:rPr>
              <w:t xml:space="preserve"> </w:t>
            </w:r>
            <w:r w:rsidRPr="008F7D35">
              <w:rPr>
                <w:lang w:val="en-AU"/>
              </w:rPr>
              <w:t>J</w:t>
            </w:r>
            <w:r>
              <w:rPr>
                <w:lang w:val="en-AU"/>
              </w:rPr>
              <w:t xml:space="preserve"> </w:t>
            </w:r>
            <w:r w:rsidRPr="008F7D35">
              <w:rPr>
                <w:lang w:val="en-AU"/>
              </w:rPr>
              <w:t>M</w:t>
            </w:r>
            <w:r>
              <w:rPr>
                <w:lang w:val="en-AU"/>
              </w:rPr>
              <w:t xml:space="preserve"> </w:t>
            </w:r>
            <w:r w:rsidRPr="008F7D35">
              <w:rPr>
                <w:lang w:val="en-AU"/>
              </w:rPr>
              <w:t xml:space="preserve">H </w:t>
            </w:r>
            <w:proofErr w:type="spellStart"/>
            <w:r w:rsidRPr="008F7D35">
              <w:rPr>
                <w:lang w:val="en-AU"/>
              </w:rPr>
              <w:t>Lombarts</w:t>
            </w:r>
            <w:proofErr w:type="spellEnd"/>
            <w:r>
              <w:rPr>
                <w:lang w:val="en-AU"/>
              </w:rPr>
              <w:t>)</w:t>
            </w:r>
          </w:p>
        </w:tc>
      </w:tr>
    </w:tbl>
    <w:p w:rsidR="00571B6D" w:rsidRPr="0048169F" w:rsidRDefault="00571B6D" w:rsidP="00571B6D">
      <w:pPr>
        <w:rPr>
          <w:i/>
          <w:lang w:val="en-AU"/>
        </w:rPr>
      </w:pPr>
    </w:p>
    <w:p w:rsidR="00CF5D1E" w:rsidRPr="0048169F" w:rsidRDefault="00CF5D1E" w:rsidP="0029518F">
      <w:pPr>
        <w:rPr>
          <w:lang w:val="en-AU"/>
        </w:rPr>
      </w:pPr>
    </w:p>
    <w:p w:rsidR="00CF5D1E" w:rsidRPr="0048169F" w:rsidRDefault="00CF5D1E" w:rsidP="0029518F">
      <w:pPr>
        <w:rPr>
          <w:b/>
          <w:lang w:val="en-AU"/>
        </w:rPr>
      </w:pPr>
      <w:r w:rsidRPr="0048169F">
        <w:rPr>
          <w:b/>
          <w:lang w:val="en-AU"/>
        </w:rPr>
        <w:t>Online resources</w:t>
      </w:r>
    </w:p>
    <w:p w:rsidR="00CF5D1E" w:rsidRPr="0048169F" w:rsidRDefault="00CF5D1E" w:rsidP="0029518F">
      <w:pPr>
        <w:rPr>
          <w:lang w:val="en-AU"/>
        </w:rPr>
      </w:pPr>
    </w:p>
    <w:p w:rsidR="00D639C6" w:rsidRPr="0086613B" w:rsidRDefault="00D639C6" w:rsidP="00455EB3">
      <w:pPr>
        <w:keepNext/>
        <w:rPr>
          <w:i/>
          <w:lang w:val="en-AU"/>
        </w:rPr>
      </w:pPr>
      <w:r w:rsidRPr="0086613B">
        <w:rPr>
          <w:i/>
          <w:lang w:val="en-AU"/>
        </w:rPr>
        <w:t>[UK] NICE Evidence Updates</w:t>
      </w:r>
    </w:p>
    <w:p w:rsidR="00D639C6" w:rsidRDefault="00D11376" w:rsidP="00455EB3">
      <w:pPr>
        <w:keepNext/>
        <w:rPr>
          <w:rStyle w:val="Hyperlink"/>
          <w:lang w:val="en-AU"/>
        </w:rPr>
      </w:pPr>
      <w:hyperlink r:id="rId33" w:history="1">
        <w:r w:rsidR="00D639C6" w:rsidRPr="009111DC">
          <w:rPr>
            <w:rStyle w:val="Hyperlink"/>
            <w:lang w:val="en-AU"/>
          </w:rPr>
          <w:t>https://www.evidence.nhs.uk/about-evidence-services/bulletins-and-alerts/evidence-updates</w:t>
        </w:r>
      </w:hyperlink>
    </w:p>
    <w:p w:rsidR="00D639C6" w:rsidRPr="00D639C6" w:rsidRDefault="00D639C6" w:rsidP="00D639C6">
      <w:pPr>
        <w:rPr>
          <w:lang w:val="en-AU"/>
        </w:rPr>
      </w:pPr>
      <w:r>
        <w:rPr>
          <w:lang w:val="en-AU"/>
        </w:rPr>
        <w:t xml:space="preserve">The UK’s National Institute for Health and Care Excellence (NICE) has published a </w:t>
      </w:r>
      <w:r w:rsidR="00EA1C78">
        <w:rPr>
          <w:lang w:val="en-AU"/>
        </w:rPr>
        <w:t xml:space="preserve">pair of </w:t>
      </w:r>
      <w:r>
        <w:rPr>
          <w:lang w:val="en-AU"/>
        </w:rPr>
        <w:t xml:space="preserve">updates on </w:t>
      </w:r>
      <w:r w:rsidR="00EA1C78">
        <w:rPr>
          <w:lang w:val="en-AU"/>
        </w:rPr>
        <w:t xml:space="preserve">their </w:t>
      </w:r>
      <w:r w:rsidRPr="0086613B">
        <w:rPr>
          <w:lang w:val="en-AU"/>
        </w:rPr>
        <w:t xml:space="preserve">Evidence Updates </w:t>
      </w:r>
      <w:r>
        <w:rPr>
          <w:lang w:val="en-AU"/>
        </w:rPr>
        <w:t xml:space="preserve">site. The new updates are on </w:t>
      </w:r>
      <w:r w:rsidRPr="00D639C6">
        <w:rPr>
          <w:lang w:val="en-AU"/>
        </w:rPr>
        <w:t>‘</w:t>
      </w:r>
      <w:r w:rsidRPr="00D639C6">
        <w:rPr>
          <w:b/>
          <w:lang w:val="en-AU"/>
        </w:rPr>
        <w:t>Autism in adults</w:t>
      </w:r>
      <w:r w:rsidRPr="00D639C6">
        <w:rPr>
          <w:lang w:val="en-AU"/>
        </w:rPr>
        <w:t>’ and ‘</w:t>
      </w:r>
      <w:r w:rsidRPr="00D639C6">
        <w:rPr>
          <w:b/>
          <w:lang w:val="en-AU"/>
        </w:rPr>
        <w:t>Opioids in palliative care</w:t>
      </w:r>
      <w:r w:rsidRPr="00D639C6">
        <w:rPr>
          <w:lang w:val="en-AU"/>
        </w:rPr>
        <w:t>’.</w:t>
      </w:r>
    </w:p>
    <w:p w:rsidR="00D639C6" w:rsidRPr="00D639C6" w:rsidRDefault="00D639C6" w:rsidP="00D639C6">
      <w:pPr>
        <w:rPr>
          <w:lang w:val="en-AU"/>
        </w:rPr>
      </w:pPr>
      <w:r w:rsidRPr="00D639C6">
        <w:rPr>
          <w:lang w:val="en-AU"/>
        </w:rPr>
        <w:t>The new Evidence Updates focus on a summary of selected new evidence relevant to NICE clinical guideline 142 ‘Autism: recognition, referral, diagnosis and management of adults on the autism spectrum’ (2012) and NICE clinical guideline 140 ‘Opioids in palliative care: safe and effective prescribing of strong opioids for pain in palliative care of adults’ (2012).</w:t>
      </w:r>
    </w:p>
    <w:p w:rsidR="00D639C6" w:rsidRDefault="00D639C6" w:rsidP="00D639C6">
      <w:pPr>
        <w:rPr>
          <w:lang w:val="en-AU"/>
        </w:rPr>
      </w:pPr>
    </w:p>
    <w:p w:rsidR="00D639C6" w:rsidRPr="00455EB3" w:rsidRDefault="00455EB3" w:rsidP="00D639C6">
      <w:pPr>
        <w:rPr>
          <w:i/>
          <w:lang w:val="en-AU"/>
        </w:rPr>
      </w:pPr>
      <w:r w:rsidRPr="00455EB3">
        <w:rPr>
          <w:i/>
          <w:lang w:val="en-AU"/>
        </w:rPr>
        <w:t xml:space="preserve">[USA] Transitional Care Interventions </w:t>
      </w:r>
      <w:proofErr w:type="gramStart"/>
      <w:r w:rsidRPr="00455EB3">
        <w:rPr>
          <w:i/>
          <w:lang w:val="en-AU"/>
        </w:rPr>
        <w:t>To</w:t>
      </w:r>
      <w:proofErr w:type="gramEnd"/>
      <w:r w:rsidRPr="00455EB3">
        <w:rPr>
          <w:i/>
          <w:lang w:val="en-AU"/>
        </w:rPr>
        <w:t xml:space="preserve"> Prevent Readmissions for People With Heart Failure</w:t>
      </w:r>
    </w:p>
    <w:p w:rsidR="00DB7D72" w:rsidRDefault="00D11376" w:rsidP="0029518F">
      <w:pPr>
        <w:rPr>
          <w:lang w:val="en-AU"/>
        </w:rPr>
      </w:pPr>
      <w:hyperlink r:id="rId34" w:history="1">
        <w:r w:rsidR="00455EB3" w:rsidRPr="008F26A4">
          <w:rPr>
            <w:rStyle w:val="Hyperlink"/>
            <w:lang w:val="en-AU"/>
          </w:rPr>
          <w:t>http://www.effectivehealthcare.ahrq.gov/index.cfm/search-for-guides-reviews-and-reports/?pageaction=displayproduct&amp;productid=1910</w:t>
        </w:r>
      </w:hyperlink>
    </w:p>
    <w:p w:rsidR="00455EB3" w:rsidRPr="0048169F" w:rsidRDefault="00455EB3" w:rsidP="00455EB3">
      <w:pPr>
        <w:rPr>
          <w:lang w:val="en-AU"/>
        </w:rPr>
      </w:pPr>
      <w:r>
        <w:rPr>
          <w:lang w:val="en-AU"/>
        </w:rPr>
        <w:t xml:space="preserve">The Effective Health Care Program of the Agency for Healthcare Research and Quality (AHRQ) has published this report. The report found that </w:t>
      </w:r>
      <w:r w:rsidRPr="00A60FC5">
        <w:rPr>
          <w:b/>
          <w:lang w:val="en-AU"/>
        </w:rPr>
        <w:t>home-visiting programs</w:t>
      </w:r>
      <w:r w:rsidRPr="00455EB3">
        <w:rPr>
          <w:lang w:val="en-AU"/>
        </w:rPr>
        <w:t xml:space="preserve"> and </w:t>
      </w:r>
      <w:r w:rsidRPr="00A60FC5">
        <w:rPr>
          <w:b/>
          <w:lang w:val="en-AU"/>
        </w:rPr>
        <w:t>multidisciplinary heart failure clinic interventions reduced all-cause readmission and mortality</w:t>
      </w:r>
      <w:r>
        <w:rPr>
          <w:lang w:val="en-AU"/>
        </w:rPr>
        <w:t xml:space="preserve"> and that </w:t>
      </w:r>
      <w:r w:rsidRPr="00A60FC5">
        <w:rPr>
          <w:b/>
          <w:lang w:val="en-AU"/>
        </w:rPr>
        <w:t xml:space="preserve">structured telephone support interventions reduced heart failure-specific readmission and mortality </w:t>
      </w:r>
      <w:r w:rsidRPr="00455EB3">
        <w:rPr>
          <w:lang w:val="en-AU"/>
        </w:rPr>
        <w:t>but not all-cause readmission</w:t>
      </w:r>
      <w:r>
        <w:rPr>
          <w:lang w:val="en-AU"/>
        </w:rPr>
        <w:t>.</w:t>
      </w:r>
    </w:p>
    <w:p w:rsidR="00DB7D72" w:rsidRDefault="00DB7D72" w:rsidP="0029518F">
      <w:pPr>
        <w:rPr>
          <w:lang w:val="en-AU"/>
        </w:rPr>
      </w:pP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76" w:rsidRDefault="00D11376">
      <w:r>
        <w:separator/>
      </w:r>
    </w:p>
  </w:endnote>
  <w:endnote w:type="continuationSeparator" w:id="0">
    <w:p w:rsidR="00D11376" w:rsidRDefault="00D1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035B5">
      <w:rPr>
        <w:rStyle w:val="PageNumber"/>
        <w:noProof/>
      </w:rPr>
      <w:t>6</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9C1FA6">
      <w:t xml:space="preserve"> Issue 17</w:t>
    </w:r>
    <w:r w:rsidR="00E724CB">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5B5">
      <w:rPr>
        <w:rStyle w:val="PageNumber"/>
        <w:noProof/>
      </w:rPr>
      <w:t>5</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221B5E">
      <w:t xml:space="preserve"> Issue 1</w:t>
    </w:r>
    <w:r w:rsidR="00E724CB">
      <w:t>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76" w:rsidRDefault="00D11376">
      <w:r>
        <w:separator/>
      </w:r>
    </w:p>
  </w:footnote>
  <w:footnote w:type="continuationSeparator" w:id="0">
    <w:p w:rsidR="00D11376" w:rsidRDefault="00D1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3">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20"/>
  </w:num>
  <w:num w:numId="16">
    <w:abstractNumId w:val="11"/>
  </w:num>
  <w:num w:numId="17">
    <w:abstractNumId w:val="17"/>
  </w:num>
  <w:num w:numId="18">
    <w:abstractNumId w:val="10"/>
  </w:num>
  <w:num w:numId="19">
    <w:abstractNumId w:val="19"/>
  </w:num>
  <w:num w:numId="20">
    <w:abstractNumId w:val="13"/>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publications/exploring-healthcare-variation-in-australia/" TargetMode="External"/><Relationship Id="rId26" Type="http://schemas.openxmlformats.org/officeDocument/2006/relationships/hyperlink" Target="http://dx.doi.org/10.1093/intqhc/mzu037" TargetMode="External"/><Relationship Id="rId3" Type="http://schemas.openxmlformats.org/officeDocument/2006/relationships/styles" Target="styles.xml"/><Relationship Id="rId21" Type="http://schemas.openxmlformats.org/officeDocument/2006/relationships/hyperlink" Target="http://dx.doi.org/10.1108/IJHCQA-05-2012-0047" TargetMode="External"/><Relationship Id="rId34" Type="http://schemas.openxmlformats.org/officeDocument/2006/relationships/hyperlink" Target="http://www.effectivehealthcare.ahrq.gov/index.cfm/search-for-guides-reviews-and-reports/?pageaction=displayproduct&amp;productid=1910"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rrconsultation@safetyandquality.gov.au" TargetMode="External"/><Relationship Id="rId25" Type="http://schemas.openxmlformats.org/officeDocument/2006/relationships/hyperlink" Target="http://www.safetyandquality.gov.au/our-work/clinical-communications/" TargetMode="External"/><Relationship Id="rId33" Type="http://schemas.openxmlformats.org/officeDocument/2006/relationships/hyperlink" Target="https://www.evidence.nhs.uk/about-evidence-services/bulletins-and-alerts/evidence-updat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our-work/recognition-and-response-to-clinical-deterioration/training-and-competencies/" TargetMode="External"/><Relationship Id="rId20" Type="http://schemas.openxmlformats.org/officeDocument/2006/relationships/hyperlink" Target="http://dx.doi.org/10.1097/ALN.0000000000000232" TargetMode="External"/><Relationship Id="rId29" Type="http://schemas.openxmlformats.org/officeDocument/2006/relationships/hyperlink" Target="http://www.safetyandquality.gov.au/our-work/healthcare-associated-inf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qs-2013-002341" TargetMode="External"/><Relationship Id="rId32" Type="http://schemas.openxmlformats.org/officeDocument/2006/relationships/hyperlink" Target="http://intqhc.oxfordjournals.org/content/early/recent?papet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11/jep.12141" TargetMode="External"/><Relationship Id="rId28" Type="http://schemas.openxmlformats.org/officeDocument/2006/relationships/hyperlink" Target="http://dx.doi.org/10.1001/jama.2014.4675"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mailto:medicalpracticevariation@safetyandquality.gov.au"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7/HMR.0000000000000022" TargetMode="External"/><Relationship Id="rId27" Type="http://schemas.openxmlformats.org/officeDocument/2006/relationships/hyperlink" Target="http://www.safetyandquality.gov.au/our-work/medication-safety/" TargetMode="External"/><Relationship Id="rId30" Type="http://schemas.openxmlformats.org/officeDocument/2006/relationships/hyperlink" Target="http://www.publish.csiro.au/?nid=241"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39DD-3EEC-46A9-951C-7DFA2F21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18700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26</cp:revision>
  <cp:lastPrinted>2013-06-06T03:47:00Z</cp:lastPrinted>
  <dcterms:created xsi:type="dcterms:W3CDTF">2014-05-25T22:47:00Z</dcterms:created>
  <dcterms:modified xsi:type="dcterms:W3CDTF">2014-06-01T06:10:00Z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