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48169F" w:rsidRDefault="00824B99" w:rsidP="00824B99">
      <w:pPr>
        <w:pStyle w:val="Heading1"/>
        <w:rPr>
          <w:rFonts w:ascii="Bookman Old Style" w:hAnsi="Bookman Old Style"/>
          <w:sz w:val="48"/>
          <w:szCs w:val="48"/>
          <w:lang w:val="en-AU"/>
        </w:rPr>
      </w:pPr>
      <w:bookmarkStart w:id="0" w:name="_GoBack"/>
      <w:bookmarkEnd w:id="0"/>
      <w:r w:rsidRPr="0048169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638F3B5" wp14:editId="11EA359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48169F">
        <w:rPr>
          <w:rFonts w:ascii="Bookman Old Style" w:hAnsi="Bookman Old Style"/>
          <w:sz w:val="48"/>
          <w:szCs w:val="48"/>
          <w:lang w:val="en-AU"/>
        </w:rPr>
        <w:t>On the Radar</w:t>
      </w:r>
    </w:p>
    <w:p w:rsidR="00B160EF" w:rsidRPr="0048169F" w:rsidRDefault="00715F47" w:rsidP="00B160EF">
      <w:pPr>
        <w:rPr>
          <w:color w:val="000000"/>
          <w:lang w:val="en-AU"/>
        </w:rPr>
      </w:pPr>
      <w:r w:rsidRPr="0048169F">
        <w:rPr>
          <w:color w:val="000000"/>
          <w:lang w:val="en-AU"/>
        </w:rPr>
        <w:t xml:space="preserve">Issue </w:t>
      </w:r>
      <w:r w:rsidR="00ED198B" w:rsidRPr="0048169F">
        <w:rPr>
          <w:color w:val="000000"/>
          <w:lang w:val="en-AU"/>
        </w:rPr>
        <w:t>1</w:t>
      </w:r>
      <w:r w:rsidR="003D1368">
        <w:rPr>
          <w:color w:val="000000"/>
          <w:lang w:val="en-AU"/>
        </w:rPr>
        <w:t>77</w:t>
      </w:r>
    </w:p>
    <w:p w:rsidR="000F7901" w:rsidRPr="0048169F" w:rsidRDefault="00F77747" w:rsidP="00B160EF">
      <w:pPr>
        <w:rPr>
          <w:lang w:val="en-AU"/>
        </w:rPr>
      </w:pPr>
      <w:r>
        <w:rPr>
          <w:lang w:val="en-AU"/>
        </w:rPr>
        <w:t xml:space="preserve">Tuesday </w:t>
      </w:r>
      <w:r w:rsidR="003D1368">
        <w:rPr>
          <w:lang w:val="en-AU"/>
        </w:rPr>
        <w:t>10</w:t>
      </w:r>
      <w:r w:rsidR="00E724CB">
        <w:rPr>
          <w:lang w:val="en-AU"/>
        </w:rPr>
        <w:t xml:space="preserve"> June </w:t>
      </w:r>
      <w:r w:rsidR="000F7901" w:rsidRPr="0048169F">
        <w:rPr>
          <w:lang w:val="en-AU"/>
        </w:rPr>
        <w:t>2014</w:t>
      </w:r>
    </w:p>
    <w:p w:rsidR="00566895" w:rsidRPr="0048169F" w:rsidRDefault="00566895" w:rsidP="00B160EF">
      <w:pPr>
        <w:rPr>
          <w:lang w:val="en-AU"/>
        </w:rPr>
      </w:pPr>
    </w:p>
    <w:p w:rsidR="00B160EF" w:rsidRPr="0048169F" w:rsidRDefault="00B160EF" w:rsidP="00B160EF">
      <w:pPr>
        <w:rPr>
          <w:lang w:val="en-AU"/>
        </w:rPr>
      </w:pPr>
      <w:r w:rsidRPr="0048169F">
        <w:rPr>
          <w:i/>
          <w:lang w:val="en-AU"/>
        </w:rPr>
        <w:t>On the Radar</w:t>
      </w:r>
      <w:r w:rsidRPr="0048169F">
        <w:rPr>
          <w:lang w:val="en-AU"/>
        </w:rPr>
        <w:t xml:space="preserve"> is a summary of some of the recent publications in the areas of safety and quality in health care. Inclusion in this document is not an endorsement or recommendation of any publication or provider.</w:t>
      </w:r>
    </w:p>
    <w:p w:rsidR="00B160EF" w:rsidRPr="0048169F" w:rsidRDefault="00B160EF" w:rsidP="00B160EF">
      <w:pPr>
        <w:rPr>
          <w:lang w:val="en-AU"/>
        </w:rPr>
      </w:pPr>
    </w:p>
    <w:p w:rsidR="00B160EF" w:rsidRPr="0048169F" w:rsidRDefault="00B160EF" w:rsidP="00B160EF">
      <w:pPr>
        <w:rPr>
          <w:b/>
          <w:lang w:val="en-AU"/>
        </w:rPr>
      </w:pPr>
      <w:r w:rsidRPr="0048169F">
        <w:rPr>
          <w:lang w:val="en-AU"/>
        </w:rPr>
        <w:t>Access to particular documents may depend on whether they are Open Access or not, and/or your individual or institutional access to subscription sites/services.</w:t>
      </w:r>
      <w:r w:rsidR="00F460A7" w:rsidRPr="0048169F">
        <w:rPr>
          <w:lang w:val="en-AU"/>
        </w:rPr>
        <w:t xml:space="preserve"> Material that may require subscription is included as it is considered relevant.</w:t>
      </w:r>
    </w:p>
    <w:p w:rsidR="00B160EF" w:rsidRPr="0048169F" w:rsidRDefault="00B160EF" w:rsidP="00B160EF">
      <w:pPr>
        <w:rPr>
          <w:lang w:val="en-AU"/>
        </w:rPr>
      </w:pPr>
    </w:p>
    <w:p w:rsidR="00230D83" w:rsidRPr="0048169F" w:rsidRDefault="00B160EF" w:rsidP="0045757F">
      <w:pPr>
        <w:autoSpaceDE w:val="0"/>
        <w:rPr>
          <w:lang w:val="en-AU"/>
        </w:rPr>
      </w:pPr>
      <w:r w:rsidRPr="0048169F">
        <w:rPr>
          <w:i/>
          <w:lang w:val="en-AU"/>
        </w:rPr>
        <w:t>On the Radar</w:t>
      </w:r>
      <w:r w:rsidRPr="0048169F">
        <w:rPr>
          <w:lang w:val="en-AU"/>
        </w:rPr>
        <w:t xml:space="preserve"> is available </w:t>
      </w:r>
      <w:r w:rsidR="003D1E7A" w:rsidRPr="0048169F">
        <w:rPr>
          <w:lang w:val="en-AU"/>
        </w:rPr>
        <w:t xml:space="preserve">online, </w:t>
      </w:r>
      <w:r w:rsidRPr="0048169F">
        <w:rPr>
          <w:lang w:val="en-AU"/>
        </w:rPr>
        <w:t xml:space="preserve">via email or as a PDF document from </w:t>
      </w:r>
      <w:hyperlink r:id="rId10" w:history="1">
        <w:r w:rsidR="00230D83" w:rsidRPr="0048169F">
          <w:rPr>
            <w:rStyle w:val="Hyperlink"/>
            <w:lang w:val="en-AU"/>
          </w:rPr>
          <w:t>http://www.safetyandquality.gov.au/publications-resources/on-the-radar/</w:t>
        </w:r>
      </w:hyperlink>
    </w:p>
    <w:p w:rsidR="0090536C" w:rsidRPr="0048169F" w:rsidRDefault="0090536C" w:rsidP="0045757F">
      <w:pPr>
        <w:autoSpaceDE w:val="0"/>
        <w:rPr>
          <w:lang w:val="en-AU"/>
        </w:rPr>
      </w:pPr>
    </w:p>
    <w:p w:rsidR="00B160EF" w:rsidRPr="0048169F" w:rsidRDefault="00B160EF" w:rsidP="0045757F">
      <w:pPr>
        <w:autoSpaceDE w:val="0"/>
        <w:rPr>
          <w:lang w:val="en-AU"/>
        </w:rPr>
      </w:pPr>
      <w:r w:rsidRPr="0048169F">
        <w:rPr>
          <w:lang w:val="en-AU"/>
        </w:rPr>
        <w:t xml:space="preserve">If you would like to receive </w:t>
      </w:r>
      <w:r w:rsidRPr="0048169F">
        <w:rPr>
          <w:i/>
          <w:lang w:val="en-AU"/>
        </w:rPr>
        <w:t>On the Radar</w:t>
      </w:r>
      <w:r w:rsidRPr="0048169F">
        <w:rPr>
          <w:lang w:val="en-AU"/>
        </w:rPr>
        <w:t xml:space="preserve"> via email</w:t>
      </w:r>
      <w:r w:rsidR="003D7B9E" w:rsidRPr="0048169F">
        <w:rPr>
          <w:lang w:val="en-AU"/>
        </w:rPr>
        <w:t>, you can</w:t>
      </w:r>
      <w:r w:rsidR="00F24F60" w:rsidRPr="0048169F">
        <w:rPr>
          <w:lang w:val="en-AU"/>
        </w:rPr>
        <w:t xml:space="preserve"> subscribe on our website </w:t>
      </w:r>
      <w:hyperlink r:id="rId11" w:history="1">
        <w:r w:rsidR="00F24F60" w:rsidRPr="0048169F">
          <w:rPr>
            <w:rStyle w:val="Hyperlink"/>
            <w:lang w:val="en-AU"/>
          </w:rPr>
          <w:t>http://www.safetyandquality.gov.au/</w:t>
        </w:r>
      </w:hyperlink>
      <w:r w:rsidR="003D7B9E" w:rsidRPr="0048169F">
        <w:rPr>
          <w:lang w:val="en-AU"/>
        </w:rPr>
        <w:t xml:space="preserve"> or by emailing us at </w:t>
      </w:r>
      <w:r w:rsidR="003D7B9E" w:rsidRPr="0048169F">
        <w:rPr>
          <w:rFonts w:ascii="ZWAdobeF" w:hAnsi="ZWAdobeF" w:cs="ZWAdobeF"/>
          <w:sz w:val="2"/>
          <w:szCs w:val="2"/>
          <w:lang w:val="en-AU"/>
        </w:rPr>
        <w:t>H</w:t>
      </w:r>
      <w:hyperlink r:id="rId12"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 xml:space="preserve">. </w:t>
      </w:r>
      <w:r w:rsidR="00E51D23" w:rsidRPr="0048169F">
        <w:rPr>
          <w:lang w:val="en-AU"/>
        </w:rPr>
        <w:br/>
      </w:r>
      <w:r w:rsidR="003D7B9E" w:rsidRPr="0048169F">
        <w:rPr>
          <w:lang w:val="en-AU"/>
        </w:rPr>
        <w:t xml:space="preserve">You can also send feedback and comments to </w:t>
      </w:r>
      <w:r w:rsidR="003D7B9E" w:rsidRPr="0048169F">
        <w:rPr>
          <w:rFonts w:ascii="ZWAdobeF" w:hAnsi="ZWAdobeF" w:cs="ZWAdobeF"/>
          <w:sz w:val="2"/>
          <w:szCs w:val="2"/>
          <w:lang w:val="en-AU"/>
        </w:rPr>
        <w:t>H</w:t>
      </w:r>
      <w:hyperlink r:id="rId13" w:history="1">
        <w:r w:rsidR="003D7B9E" w:rsidRPr="0048169F">
          <w:rPr>
            <w:rFonts w:ascii="ZWAdobeF" w:hAnsi="ZWAdobeF" w:cs="ZWAdobeF"/>
            <w:sz w:val="2"/>
            <w:szCs w:val="2"/>
            <w:lang w:val="en-AU"/>
          </w:rPr>
          <w:t>U</w:t>
        </w:r>
        <w:r w:rsidR="003D7B9E" w:rsidRPr="0048169F">
          <w:rPr>
            <w:rStyle w:val="Hyperlink"/>
            <w:lang w:val="en-AU"/>
          </w:rPr>
          <w:t>mail@safetyandquality.gov.au</w:t>
        </w:r>
        <w:r w:rsidR="003D7B9E" w:rsidRPr="0048169F">
          <w:rPr>
            <w:rStyle w:val="Hyperlink"/>
            <w:rFonts w:ascii="ZWAdobeF" w:hAnsi="ZWAdobeF" w:cs="ZWAdobeF"/>
            <w:color w:val="auto"/>
            <w:sz w:val="2"/>
            <w:szCs w:val="2"/>
            <w:u w:val="none"/>
            <w:lang w:val="en-AU"/>
          </w:rPr>
          <w:t>U</w:t>
        </w:r>
      </w:hyperlink>
      <w:r w:rsidR="003D7B9E" w:rsidRPr="0048169F">
        <w:rPr>
          <w:lang w:val="en-AU"/>
        </w:rPr>
        <w:t>.</w:t>
      </w:r>
    </w:p>
    <w:p w:rsidR="00B160EF" w:rsidRPr="0048169F" w:rsidRDefault="00B160EF" w:rsidP="00837FC4">
      <w:pPr>
        <w:tabs>
          <w:tab w:val="left" w:pos="7773"/>
        </w:tabs>
        <w:rPr>
          <w:lang w:val="en-AU"/>
        </w:rPr>
      </w:pPr>
    </w:p>
    <w:p w:rsidR="00837FC4" w:rsidRPr="0048169F" w:rsidRDefault="00B160EF" w:rsidP="004554DB">
      <w:pPr>
        <w:autoSpaceDE w:val="0"/>
        <w:rPr>
          <w:lang w:val="en-AU"/>
        </w:rPr>
      </w:pPr>
      <w:bookmarkStart w:id="1" w:name="OLE_LINK1"/>
      <w:r w:rsidRPr="0048169F">
        <w:rPr>
          <w:lang w:val="en-AU"/>
        </w:rPr>
        <w:t xml:space="preserve">For information about the Commission and its programs and publications, please visit </w:t>
      </w:r>
      <w:hyperlink r:id="rId14" w:history="1">
        <w:r w:rsidR="00837FC4" w:rsidRPr="0048169F">
          <w:rPr>
            <w:rStyle w:val="Hyperlink"/>
            <w:lang w:val="en-AU"/>
          </w:rPr>
          <w:t>http://www.safetyandquality.gov.au</w:t>
        </w:r>
      </w:hyperlink>
    </w:p>
    <w:p w:rsidR="00210235" w:rsidRPr="0048169F" w:rsidRDefault="004554DB" w:rsidP="004554DB">
      <w:pPr>
        <w:autoSpaceDE w:val="0"/>
        <w:rPr>
          <w:lang w:val="en-AU"/>
        </w:rPr>
      </w:pPr>
      <w:r w:rsidRPr="0048169F">
        <w:rPr>
          <w:lang w:val="en-AU"/>
        </w:rPr>
        <w:t>You can also follow us on Twitter @ACSQHC.</w:t>
      </w:r>
    </w:p>
    <w:p w:rsidR="00DD32E9" w:rsidRPr="0048169F" w:rsidRDefault="00DD32E9" w:rsidP="004554DB">
      <w:pPr>
        <w:autoSpaceDE w:val="0"/>
        <w:rPr>
          <w:lang w:val="en-AU"/>
        </w:rPr>
      </w:pPr>
    </w:p>
    <w:p w:rsidR="00210235" w:rsidRPr="0048169F" w:rsidRDefault="00210235" w:rsidP="00210235">
      <w:pPr>
        <w:keepNext/>
        <w:pBdr>
          <w:top w:val="single" w:sz="4" w:space="1" w:color="auto"/>
        </w:pBdr>
        <w:rPr>
          <w:b/>
          <w:lang w:val="en-AU"/>
        </w:rPr>
      </w:pPr>
      <w:r w:rsidRPr="0048169F">
        <w:rPr>
          <w:b/>
          <w:lang w:val="en-AU"/>
        </w:rPr>
        <w:t>On the Radar</w:t>
      </w:r>
    </w:p>
    <w:p w:rsidR="00340157" w:rsidRPr="0048169F" w:rsidRDefault="00340157" w:rsidP="00210235">
      <w:pPr>
        <w:keepNext/>
        <w:pBdr>
          <w:top w:val="single" w:sz="4" w:space="1" w:color="auto"/>
        </w:pBdr>
        <w:rPr>
          <w:bCs/>
          <w:lang w:val="en-AU"/>
        </w:rPr>
      </w:pPr>
      <w:r w:rsidRPr="0048169F">
        <w:rPr>
          <w:bCs/>
          <w:lang w:val="en-AU"/>
        </w:rPr>
        <w:t xml:space="preserve">Editor: </w:t>
      </w:r>
      <w:r w:rsidR="00C8085B" w:rsidRPr="0048169F">
        <w:rPr>
          <w:bCs/>
          <w:lang w:val="en-AU"/>
        </w:rPr>
        <w:t xml:space="preserve">Dr </w:t>
      </w:r>
      <w:r w:rsidRPr="0048169F">
        <w:rPr>
          <w:bCs/>
          <w:lang w:val="en-AU"/>
        </w:rPr>
        <w:t xml:space="preserve">Niall Johnson </w:t>
      </w:r>
      <w:hyperlink r:id="rId15" w:history="1">
        <w:r w:rsidRPr="0048169F">
          <w:rPr>
            <w:rStyle w:val="Hyperlink"/>
            <w:bCs/>
            <w:lang w:val="en-AU"/>
          </w:rPr>
          <w:t>niall.johnson@safetyandquality.gov.au</w:t>
        </w:r>
      </w:hyperlink>
    </w:p>
    <w:p w:rsidR="00210235" w:rsidRPr="0048169F" w:rsidRDefault="00210235" w:rsidP="00210235">
      <w:pPr>
        <w:keepNext/>
        <w:pBdr>
          <w:top w:val="single" w:sz="4" w:space="1" w:color="auto"/>
        </w:pBdr>
        <w:rPr>
          <w:bCs/>
          <w:lang w:val="en-AU"/>
        </w:rPr>
      </w:pPr>
      <w:r w:rsidRPr="0048169F">
        <w:rPr>
          <w:bCs/>
          <w:lang w:val="en-AU"/>
        </w:rPr>
        <w:t xml:space="preserve">Contributors: </w:t>
      </w:r>
      <w:r w:rsidR="0056339A" w:rsidRPr="0048169F">
        <w:rPr>
          <w:bCs/>
          <w:lang w:val="en-AU"/>
        </w:rPr>
        <w:t>Niall Johnson</w:t>
      </w:r>
    </w:p>
    <w:bookmarkEnd w:id="1"/>
    <w:p w:rsidR="009A35BE" w:rsidRPr="0048169F" w:rsidRDefault="009A35BE" w:rsidP="00A60B5B">
      <w:pPr>
        <w:rPr>
          <w:shd w:val="clear" w:color="auto" w:fill="FFFFFF"/>
          <w:lang w:val="en-AU"/>
        </w:rPr>
      </w:pPr>
    </w:p>
    <w:p w:rsidR="00751E8F" w:rsidRPr="0048169F" w:rsidRDefault="00751E8F" w:rsidP="00751E8F">
      <w:pPr>
        <w:rPr>
          <w:b/>
          <w:lang w:val="en-AU"/>
        </w:rPr>
      </w:pPr>
      <w:r w:rsidRPr="0048169F">
        <w:rPr>
          <w:b/>
          <w:lang w:val="en-AU"/>
        </w:rPr>
        <w:t>Consultation on training and competencies for recognising and responding to clinical deterioration in acute care</w:t>
      </w:r>
    </w:p>
    <w:p w:rsidR="00751E8F" w:rsidRPr="0048169F" w:rsidRDefault="00751E8F" w:rsidP="00751E8F">
      <w:pPr>
        <w:rPr>
          <w:i/>
          <w:lang w:val="en-AU"/>
        </w:rPr>
      </w:pPr>
      <w:r w:rsidRPr="0048169F">
        <w:rPr>
          <w:i/>
          <w:lang w:val="en-AU"/>
        </w:rPr>
        <w:t>Consultation now open</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The Commission is seeking advice about what should be the minimum requirements for training and competencies for recognising and responding to physiological deterioration in acute care. The Commission is interested in the application of these minimum requirements for doctors, nurses and allied health professionals. </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This consultation process is being conducted in the context of the National Safety and Quality Health Service (NSQHS) Standards which require the clinical workforce to be trained and proficient in basic life support. The Commission has received feedback which questions whether such training ensures adequate competency in the skills required to recognise, escalate and respond to clinical deterioration. Currently there are varied approaches to providing education and training about recognising and responding to clinical </w:t>
      </w:r>
      <w:proofErr w:type="gramStart"/>
      <w:r w:rsidRPr="0048169F">
        <w:rPr>
          <w:lang w:val="en-AU"/>
        </w:rPr>
        <w:t>deterioration,</w:t>
      </w:r>
      <w:proofErr w:type="gramEnd"/>
      <w:r w:rsidRPr="0048169F">
        <w:rPr>
          <w:lang w:val="en-AU"/>
        </w:rPr>
        <w:t xml:space="preserve"> and a lack of clear guidance about what knowledge should be required as a minimum for all clinicians. </w:t>
      </w:r>
    </w:p>
    <w:p w:rsidR="00751E8F" w:rsidRPr="0048169F" w:rsidRDefault="00751E8F" w:rsidP="00751E8F">
      <w:pPr>
        <w:rPr>
          <w:lang w:val="en-AU"/>
        </w:rPr>
      </w:pPr>
    </w:p>
    <w:p w:rsidR="00751E8F" w:rsidRPr="0048169F" w:rsidRDefault="00751E8F" w:rsidP="00751E8F">
      <w:pPr>
        <w:rPr>
          <w:lang w:val="en-AU"/>
        </w:rPr>
      </w:pPr>
      <w:r w:rsidRPr="0048169F">
        <w:rPr>
          <w:lang w:val="en-AU"/>
        </w:rPr>
        <w:t>To provide clarity to the requirements of the NSQHS Standards and ensure patients are protected from harm, the Commission is now seeking further advice on this issue.</w:t>
      </w:r>
    </w:p>
    <w:p w:rsidR="00751E8F" w:rsidRPr="0048169F" w:rsidRDefault="00751E8F" w:rsidP="00751E8F">
      <w:pPr>
        <w:rPr>
          <w:lang w:val="en-AU"/>
        </w:rPr>
      </w:pPr>
    </w:p>
    <w:p w:rsidR="00751E8F" w:rsidRPr="0048169F" w:rsidRDefault="00751E8F" w:rsidP="00751E8F">
      <w:pPr>
        <w:rPr>
          <w:lang w:val="en-AU"/>
        </w:rPr>
      </w:pPr>
      <w:r w:rsidRPr="0048169F">
        <w:rPr>
          <w:lang w:val="en-AU"/>
        </w:rPr>
        <w:t xml:space="preserve">A consultation paper, </w:t>
      </w:r>
      <w:r w:rsidRPr="0048169F">
        <w:rPr>
          <w:i/>
          <w:lang w:val="en-AU"/>
        </w:rPr>
        <w:t>National Safety and Quality Health Service Standards: Training and Competencies for Recognising and Responding to Clinical Deterioration in Acute Care</w:t>
      </w:r>
      <w:r w:rsidRPr="0048169F">
        <w:rPr>
          <w:lang w:val="en-AU"/>
        </w:rPr>
        <w:t xml:space="preserve"> is available at </w:t>
      </w:r>
      <w:hyperlink r:id="rId16" w:history="1">
        <w:r w:rsidRPr="0048169F">
          <w:rPr>
            <w:rStyle w:val="Hyperlink"/>
            <w:lang w:val="en-AU"/>
          </w:rPr>
          <w:t>http://www.safetyandquality.gov.au/our-work/recognition-and-response-to-clinical-deterioration/training-and-competencies/</w:t>
        </w:r>
      </w:hyperlink>
    </w:p>
    <w:p w:rsidR="00751E8F" w:rsidRPr="0048169F" w:rsidRDefault="00751E8F" w:rsidP="00751E8F">
      <w:pPr>
        <w:rPr>
          <w:lang w:val="en-AU"/>
        </w:rPr>
      </w:pPr>
    </w:p>
    <w:p w:rsidR="00751E8F" w:rsidRPr="0048169F" w:rsidRDefault="00751E8F" w:rsidP="00751E8F">
      <w:pPr>
        <w:rPr>
          <w:lang w:val="en-AU"/>
        </w:rPr>
      </w:pPr>
      <w:r w:rsidRPr="0048169F">
        <w:rPr>
          <w:lang w:val="en-AU"/>
        </w:rPr>
        <w:t>Information about the process of making a submission is included in the paper and the Commission will accept submiss</w:t>
      </w:r>
      <w:r w:rsidR="00FE7380" w:rsidRPr="0048169F">
        <w:rPr>
          <w:lang w:val="en-AU"/>
        </w:rPr>
        <w:t xml:space="preserve">ions until </w:t>
      </w:r>
      <w:r w:rsidR="00FE7380" w:rsidRPr="003D1368">
        <w:rPr>
          <w:b/>
          <w:lang w:val="en-AU"/>
        </w:rPr>
        <w:t>Friday 27 June 2014</w:t>
      </w:r>
      <w:r w:rsidR="00FE7380" w:rsidRPr="0048169F">
        <w:rPr>
          <w:lang w:val="en-AU"/>
        </w:rPr>
        <w:t>.</w:t>
      </w:r>
    </w:p>
    <w:p w:rsidR="00751E8F" w:rsidRPr="0048169F" w:rsidRDefault="00751E8F" w:rsidP="00751E8F">
      <w:pPr>
        <w:rPr>
          <w:lang w:val="en-AU"/>
        </w:rPr>
      </w:pPr>
    </w:p>
    <w:p w:rsidR="005F3F42" w:rsidRPr="0048169F" w:rsidRDefault="00751E8F" w:rsidP="00751E8F">
      <w:pPr>
        <w:rPr>
          <w:lang w:val="en-AU"/>
        </w:rPr>
      </w:pPr>
      <w:r w:rsidRPr="0048169F">
        <w:rPr>
          <w:lang w:val="en-AU"/>
        </w:rPr>
        <w:t xml:space="preserve">The contact person for this consultation is Ms Jennifer Hill, Senior Project Officer, Recognising and Responding to Clinical Deterioration Program. Ms Hill can be contacted on (02) 9126 3527 or via email at </w:t>
      </w:r>
      <w:hyperlink r:id="rId17" w:history="1">
        <w:r w:rsidRPr="0048169F">
          <w:rPr>
            <w:rStyle w:val="Hyperlink"/>
            <w:lang w:val="en-AU"/>
          </w:rPr>
          <w:t>rrconsultation@safetyandquality.gov.au</w:t>
        </w:r>
      </w:hyperlink>
      <w:r w:rsidRPr="0048169F">
        <w:rPr>
          <w:lang w:val="en-AU"/>
        </w:rPr>
        <w:t>.</w:t>
      </w:r>
    </w:p>
    <w:p w:rsidR="00751E8F" w:rsidRPr="0048169F" w:rsidRDefault="00751E8F" w:rsidP="00751E8F">
      <w:pPr>
        <w:rPr>
          <w:lang w:val="en-AU"/>
        </w:rPr>
      </w:pPr>
    </w:p>
    <w:p w:rsidR="003D1368" w:rsidRDefault="003D1368" w:rsidP="003D1368">
      <w:pPr>
        <w:keepNext/>
        <w:keepLines/>
        <w:autoSpaceDE w:val="0"/>
        <w:autoSpaceDN w:val="0"/>
        <w:adjustRightInd w:val="0"/>
        <w:rPr>
          <w:i/>
          <w:lang w:val="en-AU"/>
        </w:rPr>
      </w:pPr>
    </w:p>
    <w:p w:rsidR="003D1368" w:rsidRDefault="003D1368" w:rsidP="003D1368">
      <w:pPr>
        <w:keepNext/>
        <w:keepLines/>
        <w:autoSpaceDE w:val="0"/>
        <w:autoSpaceDN w:val="0"/>
        <w:adjustRightInd w:val="0"/>
        <w:rPr>
          <w:i/>
          <w:lang w:val="en-AU"/>
        </w:rPr>
      </w:pPr>
    </w:p>
    <w:p w:rsidR="00EC6A58" w:rsidRPr="0048169F" w:rsidRDefault="00EC6A58" w:rsidP="00396D0A">
      <w:pPr>
        <w:rPr>
          <w:b/>
          <w:lang w:val="en-AU"/>
        </w:rPr>
      </w:pPr>
      <w:r w:rsidRPr="0048169F">
        <w:rPr>
          <w:b/>
          <w:lang w:val="en-AU"/>
        </w:rPr>
        <w:t>Reports</w:t>
      </w:r>
    </w:p>
    <w:p w:rsidR="00EC6A58" w:rsidRPr="0048169F" w:rsidRDefault="00EC6A58" w:rsidP="00396D0A">
      <w:pPr>
        <w:rPr>
          <w:b/>
          <w:lang w:val="en-AU"/>
        </w:rPr>
      </w:pPr>
    </w:p>
    <w:p w:rsidR="00136414" w:rsidRDefault="00136414" w:rsidP="00136414">
      <w:pPr>
        <w:keepNext/>
        <w:keepLines/>
        <w:autoSpaceDE w:val="0"/>
        <w:autoSpaceDN w:val="0"/>
        <w:adjustRightInd w:val="0"/>
        <w:rPr>
          <w:lang w:val="en-AU"/>
        </w:rPr>
      </w:pPr>
      <w:r w:rsidRPr="00136414">
        <w:rPr>
          <w:i/>
          <w:lang w:val="en-AU"/>
        </w:rPr>
        <w:t>Can we improve the health system with pay-for-performance?</w:t>
      </w:r>
      <w:r w:rsidRPr="00136414">
        <w:rPr>
          <w:lang w:val="en-AU"/>
        </w:rPr>
        <w:t xml:space="preserve"> Deeble Institute Issues Brief No. 5</w:t>
      </w:r>
    </w:p>
    <w:p w:rsidR="00136414" w:rsidRDefault="00136414" w:rsidP="00DB7D72">
      <w:pPr>
        <w:keepNext/>
        <w:keepLines/>
        <w:autoSpaceDE w:val="0"/>
        <w:autoSpaceDN w:val="0"/>
        <w:adjustRightInd w:val="0"/>
        <w:rPr>
          <w:lang w:val="en-AU"/>
        </w:rPr>
      </w:pPr>
      <w:r w:rsidRPr="00136414">
        <w:rPr>
          <w:lang w:val="en-AU"/>
        </w:rPr>
        <w:t>Partel K</w:t>
      </w:r>
    </w:p>
    <w:p w:rsidR="00DB7D72" w:rsidRPr="0048169F" w:rsidRDefault="00136414" w:rsidP="00DB7D72">
      <w:pPr>
        <w:keepNext/>
        <w:keepLines/>
        <w:autoSpaceDE w:val="0"/>
        <w:autoSpaceDN w:val="0"/>
        <w:adjustRightInd w:val="0"/>
        <w:rPr>
          <w:lang w:val="en-AU"/>
        </w:rPr>
      </w:pPr>
      <w:r w:rsidRPr="00136414">
        <w:rPr>
          <w:lang w:val="en-AU"/>
        </w:rPr>
        <w:t xml:space="preserve">Canberra. </w:t>
      </w:r>
      <w:proofErr w:type="gramStart"/>
      <w:r w:rsidRPr="00136414">
        <w:rPr>
          <w:lang w:val="en-AU"/>
        </w:rPr>
        <w:t>Australian Healthcare and Hospitals Association, 201</w:t>
      </w:r>
      <w:r w:rsidR="00260459">
        <w:rPr>
          <w:lang w:val="en-AU"/>
        </w:rPr>
        <w:t>4</w:t>
      </w:r>
      <w:r w:rsidRPr="00136414">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B42C9"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7B42C9" w:rsidRPr="0048169F" w:rsidRDefault="007B42C9" w:rsidP="00260459">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7D72" w:rsidRPr="0048169F" w:rsidRDefault="00A83A35" w:rsidP="00DB7D72">
            <w:pPr>
              <w:rPr>
                <w:lang w:val="en-AU"/>
              </w:rPr>
            </w:pPr>
            <w:hyperlink r:id="rId18" w:history="1">
              <w:r w:rsidR="00136414" w:rsidRPr="00275FE1">
                <w:rPr>
                  <w:rStyle w:val="Hyperlink"/>
                  <w:lang w:val="en-AU"/>
                </w:rPr>
                <w:t>http://ahha.asn.au/publication/health-policy-issue-briefs/can-we-improve-health-system-pay-performance</w:t>
              </w:r>
            </w:hyperlink>
            <w:r w:rsidR="00136414">
              <w:rPr>
                <w:lang w:val="en-AU"/>
              </w:rPr>
              <w:t xml:space="preserve"> </w:t>
            </w:r>
          </w:p>
        </w:tc>
      </w:tr>
      <w:tr w:rsidR="007B42C9"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7B42C9" w:rsidRPr="0048169F" w:rsidRDefault="007B42C9"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489E" w:rsidRPr="00E724CB" w:rsidRDefault="00136414" w:rsidP="00554509">
            <w:pPr>
              <w:rPr>
                <w:lang w:val="en-AU"/>
              </w:rPr>
            </w:pPr>
            <w:r>
              <w:rPr>
                <w:lang w:val="en-AU"/>
              </w:rPr>
              <w:t xml:space="preserve">One of a pair of recent reports from the Deeble Institute looking at mechanisms that have been suggested for improving the health system, this one examining the issue of pay for performance. In the examination of the issue the report provides some recommendations on program design, data collection, incentives, </w:t>
            </w:r>
            <w:proofErr w:type="gramStart"/>
            <w:r>
              <w:rPr>
                <w:lang w:val="en-AU"/>
              </w:rPr>
              <w:t>stakeholders</w:t>
            </w:r>
            <w:proofErr w:type="gramEnd"/>
            <w:r>
              <w:rPr>
                <w:lang w:val="en-AU"/>
              </w:rPr>
              <w:t xml:space="preserve"> and so on. However, the author also notes how equivocal the evidence is </w:t>
            </w:r>
            <w:r w:rsidR="00554509">
              <w:rPr>
                <w:lang w:val="en-AU"/>
              </w:rPr>
              <w:t>and cautions that “</w:t>
            </w:r>
            <w:r w:rsidR="00554509" w:rsidRPr="00554509">
              <w:rPr>
                <w:b/>
                <w:lang w:val="en-AU"/>
              </w:rPr>
              <w:t>The jury is still out on whether financial incentive mechanisms, such as pay-for-performance, work as intended and deliver value for money</w:t>
            </w:r>
            <w:r w:rsidR="00554509">
              <w:rPr>
                <w:lang w:val="en-AU"/>
              </w:rPr>
              <w:t>.”</w:t>
            </w:r>
          </w:p>
        </w:tc>
      </w:tr>
    </w:tbl>
    <w:p w:rsidR="0006079C" w:rsidRDefault="0006079C" w:rsidP="007D5386">
      <w:pPr>
        <w:keepNext/>
        <w:keepLines/>
        <w:autoSpaceDE w:val="0"/>
        <w:autoSpaceDN w:val="0"/>
        <w:adjustRightInd w:val="0"/>
        <w:rPr>
          <w:i/>
          <w:lang w:val="en-AU"/>
        </w:rPr>
      </w:pPr>
    </w:p>
    <w:p w:rsidR="00136414" w:rsidRDefault="00136414" w:rsidP="00136414">
      <w:pPr>
        <w:keepNext/>
        <w:keepLines/>
        <w:autoSpaceDE w:val="0"/>
        <w:autoSpaceDN w:val="0"/>
        <w:adjustRightInd w:val="0"/>
        <w:rPr>
          <w:lang w:val="en-AU"/>
        </w:rPr>
      </w:pPr>
      <w:r w:rsidRPr="00136414">
        <w:rPr>
          <w:i/>
          <w:lang w:val="en-AU"/>
        </w:rPr>
        <w:t>Can we improve the health system with performance reporting?</w:t>
      </w:r>
      <w:r w:rsidRPr="00136414">
        <w:rPr>
          <w:lang w:val="en-AU"/>
        </w:rPr>
        <w:t xml:space="preserve"> Deeble Institute Issues Brief No. 6</w:t>
      </w:r>
    </w:p>
    <w:p w:rsidR="00136414" w:rsidRDefault="00136414" w:rsidP="00136414">
      <w:pPr>
        <w:keepNext/>
        <w:keepLines/>
        <w:autoSpaceDE w:val="0"/>
        <w:autoSpaceDN w:val="0"/>
        <w:adjustRightInd w:val="0"/>
        <w:rPr>
          <w:lang w:val="en-AU"/>
        </w:rPr>
      </w:pPr>
      <w:r>
        <w:rPr>
          <w:lang w:val="en-AU"/>
        </w:rPr>
        <w:t>Partel K</w:t>
      </w:r>
    </w:p>
    <w:p w:rsidR="00136414" w:rsidRPr="0048169F" w:rsidRDefault="00136414" w:rsidP="00136414">
      <w:pPr>
        <w:keepNext/>
        <w:keepLines/>
        <w:autoSpaceDE w:val="0"/>
        <w:autoSpaceDN w:val="0"/>
        <w:adjustRightInd w:val="0"/>
        <w:rPr>
          <w:lang w:val="en-AU"/>
        </w:rPr>
      </w:pPr>
      <w:r w:rsidRPr="00136414">
        <w:rPr>
          <w:lang w:val="en-AU"/>
        </w:rPr>
        <w:t>Canberra. Australian Healthcare and Hospitals Association, 2014:22.</w:t>
      </w:r>
    </w:p>
    <w:tbl>
      <w:tblPr>
        <w:tblStyle w:val="TableGrid"/>
        <w:tblW w:w="0" w:type="auto"/>
        <w:tblInd w:w="288" w:type="dxa"/>
        <w:tblLayout w:type="fixed"/>
        <w:tblLook w:val="01E0" w:firstRow="1" w:lastRow="1" w:firstColumn="1" w:lastColumn="1" w:noHBand="0" w:noVBand="0"/>
      </w:tblPr>
      <w:tblGrid>
        <w:gridCol w:w="1080"/>
        <w:gridCol w:w="8280"/>
      </w:tblGrid>
      <w:tr w:rsidR="00136414"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136414" w:rsidRPr="0048169F" w:rsidRDefault="00136414" w:rsidP="00260459">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36414" w:rsidRPr="0048169F" w:rsidRDefault="00A83A35" w:rsidP="00260459">
            <w:pPr>
              <w:rPr>
                <w:lang w:val="en-AU"/>
              </w:rPr>
            </w:pPr>
            <w:hyperlink r:id="rId19" w:history="1">
              <w:r w:rsidR="00136414" w:rsidRPr="00275FE1">
                <w:rPr>
                  <w:rStyle w:val="Hyperlink"/>
                  <w:lang w:val="en-AU"/>
                </w:rPr>
                <w:t>http://ahha.asn.au/publication/health-policy-issue-briefs/can-we-improve-health-system-performance-reporting</w:t>
              </w:r>
            </w:hyperlink>
            <w:r w:rsidR="00136414">
              <w:rPr>
                <w:lang w:val="en-AU"/>
              </w:rPr>
              <w:t xml:space="preserve"> </w:t>
            </w:r>
          </w:p>
        </w:tc>
      </w:tr>
      <w:tr w:rsidR="00136414"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136414" w:rsidRPr="0048169F" w:rsidRDefault="00136414"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36414" w:rsidRPr="00E724CB" w:rsidRDefault="00136414" w:rsidP="00554509">
            <w:pPr>
              <w:rPr>
                <w:lang w:val="en-AU"/>
              </w:rPr>
            </w:pPr>
            <w:r>
              <w:rPr>
                <w:lang w:val="en-AU"/>
              </w:rPr>
              <w:t xml:space="preserve">This report from the Deeble Institute looks at reporting and how it may influence health system performance. </w:t>
            </w:r>
            <w:r w:rsidR="00554509">
              <w:rPr>
                <w:lang w:val="en-AU"/>
              </w:rPr>
              <w:t>The author notes how the view of the value and utility of (public) reporting has changed over time. As with the report on pay-for-performance described above, the author offers some lessons on program design, data collection, reporting, and stakeholders that help achieve the aims of performance reporting. The author recommends that “</w:t>
            </w:r>
            <w:r w:rsidR="00554509" w:rsidRPr="00554509">
              <w:rPr>
                <w:lang w:val="en-AU"/>
              </w:rPr>
              <w:t>Australian policymakers</w:t>
            </w:r>
            <w:r w:rsidR="00554509">
              <w:rPr>
                <w:lang w:val="en-AU"/>
              </w:rPr>
              <w:t>…</w:t>
            </w:r>
            <w:r w:rsidR="00554509" w:rsidRPr="00554509">
              <w:rPr>
                <w:lang w:val="en-AU"/>
              </w:rPr>
              <w:t xml:space="preserve">should </w:t>
            </w:r>
            <w:r w:rsidR="00554509" w:rsidRPr="00554509">
              <w:rPr>
                <w:b/>
                <w:lang w:val="en-AU"/>
              </w:rPr>
              <w:t>embrace the positive benefits of setting and monitoring targets as well as reporting on their results, which are proving to increase efficiency, transparency, accountability, service delivery and improve patient outcomes</w:t>
            </w:r>
            <w:r w:rsidR="00554509">
              <w:rPr>
                <w:lang w:val="en-AU"/>
              </w:rPr>
              <w:t>.”</w:t>
            </w:r>
          </w:p>
        </w:tc>
      </w:tr>
    </w:tbl>
    <w:p w:rsidR="00F23FE9" w:rsidRDefault="00F23FE9" w:rsidP="00396D0A">
      <w:pPr>
        <w:rPr>
          <w:b/>
          <w:lang w:val="en-AU"/>
        </w:rPr>
      </w:pPr>
    </w:p>
    <w:p w:rsidR="00F23FE9" w:rsidRDefault="00F23FE9">
      <w:pPr>
        <w:rPr>
          <w:b/>
          <w:lang w:val="en-AU"/>
        </w:rPr>
      </w:pPr>
      <w:r>
        <w:rPr>
          <w:b/>
          <w:lang w:val="en-AU"/>
        </w:rPr>
        <w:br w:type="page"/>
      </w:r>
    </w:p>
    <w:p w:rsidR="00A30DF9" w:rsidRPr="0048169F" w:rsidRDefault="00254636" w:rsidP="00396D0A">
      <w:pPr>
        <w:rPr>
          <w:b/>
          <w:lang w:val="en-AU"/>
        </w:rPr>
      </w:pPr>
      <w:r w:rsidRPr="0048169F">
        <w:rPr>
          <w:b/>
          <w:lang w:val="en-AU"/>
        </w:rPr>
        <w:lastRenderedPageBreak/>
        <w:t>Journal articles</w:t>
      </w:r>
    </w:p>
    <w:p w:rsidR="007B42C9" w:rsidRPr="0048169F" w:rsidRDefault="007B42C9">
      <w:pPr>
        <w:rPr>
          <w:i/>
          <w:lang w:val="en-AU"/>
        </w:rPr>
      </w:pPr>
    </w:p>
    <w:p w:rsidR="009F1226" w:rsidRPr="009F1226" w:rsidRDefault="009F1226" w:rsidP="009F1226">
      <w:pPr>
        <w:keepNext/>
        <w:keepLines/>
        <w:autoSpaceDE w:val="0"/>
        <w:autoSpaceDN w:val="0"/>
        <w:adjustRightInd w:val="0"/>
        <w:rPr>
          <w:i/>
          <w:lang w:val="en-AU"/>
        </w:rPr>
      </w:pPr>
      <w:r w:rsidRPr="009F1226">
        <w:rPr>
          <w:i/>
          <w:lang w:val="en-AU"/>
        </w:rPr>
        <w:t>Barriers to the implementation of checklists in the office-based procedural setting</w:t>
      </w:r>
    </w:p>
    <w:p w:rsidR="009F1226" w:rsidRDefault="009F1226" w:rsidP="0006079C">
      <w:pPr>
        <w:keepNext/>
        <w:keepLines/>
        <w:autoSpaceDE w:val="0"/>
        <w:autoSpaceDN w:val="0"/>
        <w:adjustRightInd w:val="0"/>
        <w:rPr>
          <w:lang w:val="en-AU"/>
        </w:rPr>
      </w:pPr>
      <w:r w:rsidRPr="009F1226">
        <w:rPr>
          <w:lang w:val="en-AU"/>
        </w:rPr>
        <w:t>Shapiro FE, Fernando RJ, Urman RD</w:t>
      </w:r>
    </w:p>
    <w:p w:rsidR="0006079C" w:rsidRPr="0048169F" w:rsidRDefault="009F1226" w:rsidP="0006079C">
      <w:pPr>
        <w:keepNext/>
        <w:keepLines/>
        <w:autoSpaceDE w:val="0"/>
        <w:autoSpaceDN w:val="0"/>
        <w:adjustRightInd w:val="0"/>
        <w:rPr>
          <w:lang w:val="en-AU"/>
        </w:rPr>
      </w:pPr>
      <w:r w:rsidRPr="009F1226">
        <w:rPr>
          <w:lang w:val="en-AU"/>
        </w:rPr>
        <w:t>Journal of Healthcare Risk Management 2014</w:t>
      </w:r>
      <w:proofErr w:type="gramStart"/>
      <w:r w:rsidRPr="009F1226">
        <w:rPr>
          <w:lang w:val="en-AU"/>
        </w:rPr>
        <w:t>;33</w:t>
      </w:r>
      <w:proofErr w:type="gramEnd"/>
      <w:r w:rsidRPr="009F1226">
        <w:rPr>
          <w:lang w:val="en-AU"/>
        </w:rPr>
        <w:t>(4):35-43.</w:t>
      </w:r>
    </w:p>
    <w:tbl>
      <w:tblPr>
        <w:tblStyle w:val="TableGrid"/>
        <w:tblW w:w="0" w:type="auto"/>
        <w:tblInd w:w="288" w:type="dxa"/>
        <w:tblLayout w:type="fixed"/>
        <w:tblLook w:val="01E0" w:firstRow="1" w:lastRow="1" w:firstColumn="1" w:lastColumn="1" w:noHBand="0" w:noVBand="0"/>
      </w:tblPr>
      <w:tblGrid>
        <w:gridCol w:w="1080"/>
        <w:gridCol w:w="8280"/>
      </w:tblGrid>
      <w:tr w:rsidR="0006079C"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06079C" w:rsidRPr="0048169F" w:rsidRDefault="0006079C" w:rsidP="00260459">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6079C" w:rsidRPr="0048169F" w:rsidRDefault="00A83A35" w:rsidP="009F1226">
            <w:pPr>
              <w:rPr>
                <w:lang w:val="en-AU"/>
              </w:rPr>
            </w:pPr>
            <w:hyperlink r:id="rId20" w:history="1">
              <w:r w:rsidR="009F1226" w:rsidRPr="00275FE1">
                <w:rPr>
                  <w:rStyle w:val="Hyperlink"/>
                  <w:lang w:val="en-AU"/>
                </w:rPr>
                <w:t>http://dx.doi.org/10.1002/jhrm.21141</w:t>
              </w:r>
            </w:hyperlink>
          </w:p>
        </w:tc>
      </w:tr>
      <w:tr w:rsidR="0006079C"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06079C" w:rsidRPr="0048169F" w:rsidRDefault="0006079C"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D48B8" w:rsidRDefault="009F1226" w:rsidP="001D48B8">
            <w:pPr>
              <w:rPr>
                <w:lang w:val="en-AU"/>
              </w:rPr>
            </w:pPr>
            <w:r>
              <w:rPr>
                <w:lang w:val="en-AU"/>
              </w:rPr>
              <w:t>The use of checklists has been widely reported and frequently associated with significant safety gains. This article notes that many of the checklist successes have been related to acute hospital care and looks at the question of introducing safety checklists into office-based procedural care.</w:t>
            </w:r>
          </w:p>
          <w:p w:rsidR="009F1226" w:rsidRPr="0048169F" w:rsidRDefault="009F1226" w:rsidP="002A633F">
            <w:pPr>
              <w:rPr>
                <w:lang w:val="en-AU"/>
              </w:rPr>
            </w:pPr>
            <w:r>
              <w:rPr>
                <w:lang w:val="en-AU"/>
              </w:rPr>
              <w:t xml:space="preserve">Surveying 25 offices performing procedures led the authors to report that </w:t>
            </w:r>
            <w:r w:rsidRPr="009F1226">
              <w:rPr>
                <w:b/>
                <w:lang w:val="en-AU"/>
              </w:rPr>
              <w:t xml:space="preserve">less than 50% </w:t>
            </w:r>
            <w:r w:rsidRPr="009F1226">
              <w:rPr>
                <w:lang w:val="en-AU"/>
              </w:rPr>
              <w:t>of those services</w:t>
            </w:r>
            <w:r w:rsidRPr="009F1226">
              <w:rPr>
                <w:b/>
                <w:lang w:val="en-AU"/>
              </w:rPr>
              <w:t xml:space="preserve"> used safety checklists</w:t>
            </w:r>
            <w:r>
              <w:rPr>
                <w:lang w:val="en-AU"/>
              </w:rPr>
              <w:t xml:space="preserve"> in their practice. The </w:t>
            </w:r>
            <w:r w:rsidRPr="00260459">
              <w:rPr>
                <w:b/>
                <w:lang w:val="en-AU"/>
              </w:rPr>
              <w:t xml:space="preserve">barriers </w:t>
            </w:r>
            <w:r>
              <w:rPr>
                <w:lang w:val="en-AU"/>
              </w:rPr>
              <w:t xml:space="preserve">identified by the survey included </w:t>
            </w:r>
            <w:r w:rsidRPr="009F1226">
              <w:rPr>
                <w:b/>
                <w:lang w:val="en-AU"/>
              </w:rPr>
              <w:t>no incentive</w:t>
            </w:r>
            <w:r w:rsidRPr="009F1226">
              <w:rPr>
                <w:lang w:val="en-AU"/>
              </w:rPr>
              <w:t xml:space="preserve"> to use a checklist (77.8%), </w:t>
            </w:r>
            <w:r w:rsidRPr="009F1226">
              <w:rPr>
                <w:b/>
                <w:lang w:val="en-AU"/>
              </w:rPr>
              <w:t>no regulatory mandate</w:t>
            </w:r>
            <w:r w:rsidRPr="009F1226">
              <w:rPr>
                <w:lang w:val="en-AU"/>
              </w:rPr>
              <w:t xml:space="preserve"> (44.4%), being </w:t>
            </w:r>
            <w:r>
              <w:rPr>
                <w:lang w:val="en-AU"/>
              </w:rPr>
              <w:t xml:space="preserve">perceived as </w:t>
            </w:r>
            <w:r w:rsidRPr="00260459">
              <w:rPr>
                <w:lang w:val="en-AU"/>
              </w:rPr>
              <w:t>too</w:t>
            </w:r>
            <w:r w:rsidRPr="009F1226">
              <w:rPr>
                <w:b/>
                <w:lang w:val="en-AU"/>
              </w:rPr>
              <w:t xml:space="preserve"> time consuming</w:t>
            </w:r>
            <w:r w:rsidRPr="009F1226">
              <w:rPr>
                <w:lang w:val="en-AU"/>
              </w:rPr>
              <w:t xml:space="preserve"> (33.3%), </w:t>
            </w:r>
            <w:r w:rsidRPr="00260459">
              <w:rPr>
                <w:lang w:val="en-AU"/>
              </w:rPr>
              <w:t>and lack of</w:t>
            </w:r>
            <w:r w:rsidRPr="009F1226">
              <w:rPr>
                <w:b/>
                <w:lang w:val="en-AU"/>
              </w:rPr>
              <w:t xml:space="preserve"> training</w:t>
            </w:r>
            <w:r w:rsidRPr="009F1226">
              <w:rPr>
                <w:lang w:val="en-AU"/>
              </w:rPr>
              <w:t xml:space="preserve"> (33.3%). Reasons identified that would encourage providers to use checklists included a clear mandate and evidence-based research</w:t>
            </w:r>
            <w:r>
              <w:rPr>
                <w:lang w:val="en-AU"/>
              </w:rPr>
              <w:t>.</w:t>
            </w:r>
          </w:p>
        </w:tc>
      </w:tr>
    </w:tbl>
    <w:p w:rsidR="00E724CB" w:rsidRDefault="00E724CB" w:rsidP="00E724CB">
      <w:pPr>
        <w:rPr>
          <w:i/>
          <w:lang w:val="en-AU"/>
        </w:rPr>
      </w:pPr>
    </w:p>
    <w:p w:rsidR="009F1226" w:rsidRPr="009F1226" w:rsidRDefault="009F1226" w:rsidP="009F1226">
      <w:pPr>
        <w:keepNext/>
        <w:keepLines/>
        <w:autoSpaceDE w:val="0"/>
        <w:autoSpaceDN w:val="0"/>
        <w:adjustRightInd w:val="0"/>
        <w:rPr>
          <w:i/>
          <w:lang w:val="en-AU"/>
        </w:rPr>
      </w:pPr>
      <w:r w:rsidRPr="009F1226">
        <w:rPr>
          <w:i/>
          <w:lang w:val="en-AU"/>
        </w:rPr>
        <w:t>Hospital deaths in patients with sepsis from 2 independent cohorts</w:t>
      </w:r>
    </w:p>
    <w:p w:rsidR="009F1226" w:rsidRDefault="009F1226" w:rsidP="003D1368">
      <w:pPr>
        <w:keepNext/>
        <w:keepLines/>
        <w:autoSpaceDE w:val="0"/>
        <w:autoSpaceDN w:val="0"/>
        <w:adjustRightInd w:val="0"/>
        <w:rPr>
          <w:lang w:val="en-AU"/>
        </w:rPr>
      </w:pPr>
      <w:r w:rsidRPr="009F1226">
        <w:rPr>
          <w:lang w:val="en-AU"/>
        </w:rPr>
        <w:t>Liu V, Escobar GJ, Greene JD, Soule J, Whippy A, Angus DC, et al</w:t>
      </w:r>
    </w:p>
    <w:p w:rsidR="003D1368" w:rsidRPr="0048169F" w:rsidRDefault="009F1226" w:rsidP="003D1368">
      <w:pPr>
        <w:keepNext/>
        <w:keepLines/>
        <w:autoSpaceDE w:val="0"/>
        <w:autoSpaceDN w:val="0"/>
        <w:adjustRightInd w:val="0"/>
        <w:rPr>
          <w:lang w:val="en-AU"/>
        </w:rPr>
      </w:pPr>
      <w:proofErr w:type="gramStart"/>
      <w:r w:rsidRPr="009F1226">
        <w:rPr>
          <w:lang w:val="en-AU"/>
        </w:rPr>
        <w:t>Journal of the American Medical Association 2014</w:t>
      </w:r>
      <w:r w:rsidR="00094BEC">
        <w:rPr>
          <w:lang w:val="en-AU"/>
        </w:rPr>
        <w:t xml:space="preserve"> [epub]</w:t>
      </w:r>
      <w:r w:rsidRPr="009F1226">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D1368"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3D1368" w:rsidRPr="0048169F" w:rsidRDefault="003D1368" w:rsidP="00260459">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D1368" w:rsidRPr="0048169F" w:rsidRDefault="00A83A35" w:rsidP="009F1226">
            <w:pPr>
              <w:rPr>
                <w:lang w:val="en-AU"/>
              </w:rPr>
            </w:pPr>
            <w:hyperlink r:id="rId21" w:history="1">
              <w:r w:rsidR="009F1226" w:rsidRPr="00275FE1">
                <w:rPr>
                  <w:rStyle w:val="Hyperlink"/>
                  <w:lang w:val="en-AU"/>
                </w:rPr>
                <w:t>http://dx.doi.org/10.1001/jama.2014.5804</w:t>
              </w:r>
            </w:hyperlink>
          </w:p>
        </w:tc>
      </w:tr>
      <w:tr w:rsidR="003D1368"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3D1368" w:rsidRPr="0048169F" w:rsidRDefault="003D1368"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53E7" w:rsidRDefault="009F1226" w:rsidP="00B453E7">
            <w:pPr>
              <w:rPr>
                <w:lang w:val="en-AU"/>
              </w:rPr>
            </w:pPr>
            <w:r>
              <w:rPr>
                <w:lang w:val="en-AU"/>
              </w:rPr>
              <w:t xml:space="preserve">It is known that sepsis is a dangerous complication, one that kills patients. This paper in </w:t>
            </w:r>
            <w:r w:rsidRPr="00260459">
              <w:rPr>
                <w:i/>
                <w:lang w:val="en-AU"/>
              </w:rPr>
              <w:t>JAMA</w:t>
            </w:r>
            <w:r>
              <w:rPr>
                <w:lang w:val="en-AU"/>
              </w:rPr>
              <w:t xml:space="preserve"> used national databases to establish that as much as one-third of in-hospitality involved sepsis. The study examined two </w:t>
            </w:r>
            <w:r w:rsidRPr="009F1226">
              <w:rPr>
                <w:lang w:val="en-AU"/>
              </w:rPr>
              <w:t xml:space="preserve">inpatient cohorts from Kaiser Permanente Northern California </w:t>
            </w:r>
            <w:r w:rsidR="00B453E7">
              <w:rPr>
                <w:lang w:val="en-AU"/>
              </w:rPr>
              <w:t>(</w:t>
            </w:r>
            <w:r w:rsidR="00B453E7" w:rsidRPr="00B453E7">
              <w:rPr>
                <w:lang w:val="en-AU"/>
              </w:rPr>
              <w:t>482 828 adults (aged ≥18 years) with overnight, non</w:t>
            </w:r>
            <w:r w:rsidR="00B453E7">
              <w:rPr>
                <w:lang w:val="en-AU"/>
              </w:rPr>
              <w:t>-</w:t>
            </w:r>
            <w:r w:rsidR="00B453E7" w:rsidRPr="00B453E7">
              <w:rPr>
                <w:lang w:val="en-AU"/>
              </w:rPr>
              <w:t>obstetrical hospitalizations at 21 between 2010 and 2012</w:t>
            </w:r>
            <w:r w:rsidR="00B453E7">
              <w:rPr>
                <w:lang w:val="en-AU"/>
              </w:rPr>
              <w:t xml:space="preserve">) </w:t>
            </w:r>
            <w:r w:rsidRPr="009F1226">
              <w:rPr>
                <w:lang w:val="en-AU"/>
              </w:rPr>
              <w:t xml:space="preserve">and the </w:t>
            </w:r>
            <w:r w:rsidR="00B453E7">
              <w:rPr>
                <w:lang w:val="en-AU"/>
              </w:rPr>
              <w:t xml:space="preserve">US </w:t>
            </w:r>
            <w:r w:rsidRPr="009F1226">
              <w:rPr>
                <w:lang w:val="en-AU"/>
              </w:rPr>
              <w:t xml:space="preserve">Healthcare Cost and Utilization Project Nationwide Inpatient Sample </w:t>
            </w:r>
            <w:r w:rsidR="00B453E7">
              <w:rPr>
                <w:lang w:val="en-AU"/>
              </w:rPr>
              <w:t>(</w:t>
            </w:r>
            <w:r w:rsidR="00B453E7" w:rsidRPr="00B453E7">
              <w:rPr>
                <w:lang w:val="en-AU"/>
              </w:rPr>
              <w:t>nationally representative sample of 1051 hospitals, included 6.5 million unweighted adult hospitalizations in 2010</w:t>
            </w:r>
            <w:r w:rsidR="00B453E7">
              <w:rPr>
                <w:lang w:val="en-AU"/>
              </w:rPr>
              <w:t>)</w:t>
            </w:r>
          </w:p>
          <w:p w:rsidR="003D1368" w:rsidRPr="0048169F" w:rsidRDefault="00B453E7" w:rsidP="00B453E7">
            <w:pPr>
              <w:rPr>
                <w:lang w:val="en-AU"/>
              </w:rPr>
            </w:pPr>
            <w:r>
              <w:rPr>
                <w:lang w:val="en-AU"/>
              </w:rPr>
              <w:t>The authors report finding that “</w:t>
            </w:r>
            <w:r w:rsidRPr="00B453E7">
              <w:rPr>
                <w:b/>
                <w:lang w:val="en-AU"/>
              </w:rPr>
              <w:t>sepsis contributed to 1 in every 2 to 3 deaths</w:t>
            </w:r>
            <w:r w:rsidRPr="00B453E7">
              <w:rPr>
                <w:lang w:val="en-AU"/>
              </w:rPr>
              <w:t xml:space="preserve">, and most of these patients had sepsis at admission. Given the prominent role it plays in hospital mortality, </w:t>
            </w:r>
            <w:r w:rsidRPr="00B453E7">
              <w:rPr>
                <w:b/>
                <w:lang w:val="en-AU"/>
              </w:rPr>
              <w:t>improved treatment of sepsis</w:t>
            </w:r>
            <w:r w:rsidRPr="00B453E7">
              <w:rPr>
                <w:lang w:val="en-AU"/>
              </w:rPr>
              <w:t xml:space="preserve"> (potentially a final hospital pathway for multiple other underlying conditions) </w:t>
            </w:r>
            <w:r w:rsidRPr="00B453E7">
              <w:rPr>
                <w:b/>
                <w:lang w:val="en-AU"/>
              </w:rPr>
              <w:t>could offer meaningful improvements in population mortality</w:t>
            </w:r>
            <w:r w:rsidR="009F1226" w:rsidRPr="009F1226">
              <w:rPr>
                <w:lang w:val="en-AU"/>
              </w:rPr>
              <w:t>.</w:t>
            </w:r>
            <w:r>
              <w:rPr>
                <w:lang w:val="en-AU"/>
              </w:rPr>
              <w:t>”</w:t>
            </w:r>
          </w:p>
        </w:tc>
      </w:tr>
    </w:tbl>
    <w:p w:rsidR="003D1368" w:rsidRDefault="003D1368" w:rsidP="003D1368">
      <w:pPr>
        <w:rPr>
          <w:i/>
          <w:lang w:val="en-AU"/>
        </w:rPr>
      </w:pPr>
    </w:p>
    <w:p w:rsidR="002A633F" w:rsidRPr="002A633F" w:rsidRDefault="002A633F" w:rsidP="002A633F">
      <w:pPr>
        <w:keepNext/>
        <w:keepLines/>
        <w:autoSpaceDE w:val="0"/>
        <w:autoSpaceDN w:val="0"/>
        <w:adjustRightInd w:val="0"/>
        <w:rPr>
          <w:i/>
          <w:lang w:val="en-AU"/>
        </w:rPr>
      </w:pPr>
      <w:r w:rsidRPr="002A633F">
        <w:rPr>
          <w:i/>
          <w:lang w:val="en-AU"/>
        </w:rPr>
        <w:t xml:space="preserve">Involving patients in detecting quality gaps in a fragmented healthcare system: development of a questionnaire for Patients' Experiences </w:t>
      </w:r>
      <w:proofErr w:type="gramStart"/>
      <w:r w:rsidRPr="002A633F">
        <w:rPr>
          <w:i/>
          <w:lang w:val="en-AU"/>
        </w:rPr>
        <w:t>Across</w:t>
      </w:r>
      <w:proofErr w:type="gramEnd"/>
      <w:r w:rsidRPr="002A633F">
        <w:rPr>
          <w:i/>
          <w:lang w:val="en-AU"/>
        </w:rPr>
        <w:t xml:space="preserve"> Health Care Sectors (PEACS)</w:t>
      </w:r>
    </w:p>
    <w:p w:rsidR="002A633F" w:rsidRDefault="002A633F" w:rsidP="003D1368">
      <w:pPr>
        <w:keepNext/>
        <w:keepLines/>
        <w:autoSpaceDE w:val="0"/>
        <w:autoSpaceDN w:val="0"/>
        <w:adjustRightInd w:val="0"/>
        <w:rPr>
          <w:lang w:val="en-AU"/>
        </w:rPr>
      </w:pPr>
      <w:r w:rsidRPr="002A633F">
        <w:rPr>
          <w:lang w:val="en-AU"/>
        </w:rPr>
        <w:t>Noest S, Ludt S, Klingenberg A, Gl</w:t>
      </w:r>
      <w:r>
        <w:rPr>
          <w:lang w:val="en-AU"/>
        </w:rPr>
        <w:t>assen K, Heiss F, Ose D, et al.</w:t>
      </w:r>
    </w:p>
    <w:p w:rsidR="003D1368" w:rsidRPr="0048169F" w:rsidRDefault="002A633F" w:rsidP="003D1368">
      <w:pPr>
        <w:keepNext/>
        <w:keepLines/>
        <w:autoSpaceDE w:val="0"/>
        <w:autoSpaceDN w:val="0"/>
        <w:adjustRightInd w:val="0"/>
        <w:rPr>
          <w:lang w:val="en-AU"/>
        </w:rPr>
      </w:pPr>
      <w:r w:rsidRPr="002A633F">
        <w:rPr>
          <w:lang w:val="en-AU"/>
        </w:rPr>
        <w:t>International Journal for Quality in Health Care 2014</w:t>
      </w:r>
      <w:proofErr w:type="gramStart"/>
      <w:r w:rsidRPr="002A633F">
        <w:rPr>
          <w:lang w:val="en-AU"/>
        </w:rPr>
        <w:t>;26</w:t>
      </w:r>
      <w:proofErr w:type="gramEnd"/>
      <w:r w:rsidRPr="002A633F">
        <w:rPr>
          <w:lang w:val="en-AU"/>
        </w:rPr>
        <w:t>(3):240-249.</w:t>
      </w:r>
    </w:p>
    <w:tbl>
      <w:tblPr>
        <w:tblStyle w:val="TableGrid"/>
        <w:tblW w:w="0" w:type="auto"/>
        <w:tblInd w:w="288" w:type="dxa"/>
        <w:tblLayout w:type="fixed"/>
        <w:tblLook w:val="01E0" w:firstRow="1" w:lastRow="1" w:firstColumn="1" w:lastColumn="1" w:noHBand="0" w:noVBand="0"/>
      </w:tblPr>
      <w:tblGrid>
        <w:gridCol w:w="1080"/>
        <w:gridCol w:w="8280"/>
      </w:tblGrid>
      <w:tr w:rsidR="003D1368"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3D1368" w:rsidRPr="0048169F" w:rsidRDefault="003D1368" w:rsidP="00260459">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D1368" w:rsidRPr="0048169F" w:rsidRDefault="00A83A35" w:rsidP="002A633F">
            <w:pPr>
              <w:rPr>
                <w:lang w:val="en-AU"/>
              </w:rPr>
            </w:pPr>
            <w:hyperlink r:id="rId22" w:history="1">
              <w:r w:rsidR="002A633F" w:rsidRPr="00275FE1">
                <w:rPr>
                  <w:rStyle w:val="Hyperlink"/>
                  <w:lang w:val="en-AU"/>
                </w:rPr>
                <w:t>http://dx.doi.org/10.1093/intqhc/mzu044</w:t>
              </w:r>
            </w:hyperlink>
          </w:p>
        </w:tc>
      </w:tr>
      <w:tr w:rsidR="003D1368"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3D1368" w:rsidRPr="0048169F" w:rsidRDefault="003D1368"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5747" w:rsidRDefault="00C35747" w:rsidP="002A633F">
            <w:pPr>
              <w:rPr>
                <w:lang w:val="en-AU"/>
              </w:rPr>
            </w:pPr>
            <w:r>
              <w:rPr>
                <w:lang w:val="en-AU"/>
              </w:rPr>
              <w:t xml:space="preserve">Understanding the patient experience is something many health organisations are striving to achieve. This paper reports on the development of a patient questionnaire </w:t>
            </w:r>
            <w:r w:rsidRPr="00C35747">
              <w:rPr>
                <w:lang w:val="en-AU"/>
              </w:rPr>
              <w:t>to evaluate experiences and reported outcomes in patients who receive treatment across a range of healthcare sectors</w:t>
            </w:r>
            <w:r w:rsidR="002A633F">
              <w:rPr>
                <w:lang w:val="en-AU"/>
              </w:rPr>
              <w:t>.</w:t>
            </w:r>
          </w:p>
          <w:p w:rsidR="002A633F" w:rsidRPr="0048169F" w:rsidRDefault="002A633F" w:rsidP="002A633F">
            <w:pPr>
              <w:rPr>
                <w:lang w:val="en-AU"/>
              </w:rPr>
            </w:pPr>
            <w:r w:rsidRPr="002A633F">
              <w:rPr>
                <w:lang w:val="en-AU"/>
              </w:rPr>
              <w:t>The patient questionnaire was developed in the context of a nationwide program in Germany aimed at quality improvements across the healthcare sectors</w:t>
            </w:r>
            <w:r>
              <w:rPr>
                <w:lang w:val="en-AU"/>
              </w:rPr>
              <w:t xml:space="preserve"> and involved a m</w:t>
            </w:r>
            <w:r w:rsidRPr="002A633F">
              <w:rPr>
                <w:lang w:val="en-AU"/>
              </w:rPr>
              <w:t>ixed-methods design including focus groups, pre</w:t>
            </w:r>
            <w:r>
              <w:rPr>
                <w:lang w:val="en-AU"/>
              </w:rPr>
              <w:t>-</w:t>
            </w:r>
            <w:r w:rsidRPr="002A633F">
              <w:rPr>
                <w:lang w:val="en-AU"/>
              </w:rPr>
              <w:t>tests and field test.</w:t>
            </w:r>
            <w:r>
              <w:rPr>
                <w:lang w:val="en-AU"/>
              </w:rPr>
              <w:t xml:space="preserve"> The work has led to the </w:t>
            </w:r>
            <w:r w:rsidRPr="002A633F">
              <w:rPr>
                <w:lang w:val="en-AU"/>
              </w:rPr>
              <w:t xml:space="preserve">validated questionnaire (PEACS 1.0) </w:t>
            </w:r>
            <w:r>
              <w:rPr>
                <w:lang w:val="en-AU"/>
              </w:rPr>
              <w:t xml:space="preserve">being </w:t>
            </w:r>
            <w:r w:rsidRPr="002A633F">
              <w:rPr>
                <w:lang w:val="en-AU"/>
              </w:rPr>
              <w:t>available to measure patients' experiences across healthcare sectors with a focus on quality improvement.</w:t>
            </w:r>
          </w:p>
        </w:tc>
      </w:tr>
    </w:tbl>
    <w:p w:rsidR="003D1368" w:rsidRDefault="002A633F" w:rsidP="003D1368">
      <w:pPr>
        <w:keepNext/>
        <w:keepLines/>
        <w:autoSpaceDE w:val="0"/>
        <w:autoSpaceDN w:val="0"/>
        <w:adjustRightInd w:val="0"/>
        <w:rPr>
          <w:lang w:val="en-AU"/>
        </w:rPr>
      </w:pPr>
      <w:r w:rsidRPr="00CB3155">
        <w:rPr>
          <w:lang w:val="en-AU"/>
        </w:rPr>
        <w:lastRenderedPageBreak/>
        <w:t>For information on the Commission’s work</w:t>
      </w:r>
      <w:r>
        <w:rPr>
          <w:lang w:val="en-AU"/>
        </w:rPr>
        <w:t xml:space="preserve"> on patient and consumer centred care, see </w:t>
      </w:r>
      <w:hyperlink r:id="rId23" w:history="1">
        <w:r w:rsidRPr="00275FE1">
          <w:rPr>
            <w:rStyle w:val="Hyperlink"/>
            <w:lang w:val="en-AU"/>
          </w:rPr>
          <w:t>http://www.safetyandquality.gov.au/our-work/patient-and-consumer-centred-care/</w:t>
        </w:r>
      </w:hyperlink>
      <w:r>
        <w:rPr>
          <w:lang w:val="en-AU"/>
        </w:rPr>
        <w:t xml:space="preserve"> </w:t>
      </w:r>
    </w:p>
    <w:p w:rsidR="002A633F" w:rsidRDefault="002A633F" w:rsidP="003D1368">
      <w:pPr>
        <w:keepNext/>
        <w:keepLines/>
        <w:autoSpaceDE w:val="0"/>
        <w:autoSpaceDN w:val="0"/>
        <w:adjustRightInd w:val="0"/>
        <w:rPr>
          <w:lang w:val="en-AU"/>
        </w:rPr>
      </w:pPr>
    </w:p>
    <w:p w:rsidR="00094BEC" w:rsidRPr="00094BEC" w:rsidRDefault="00094BEC" w:rsidP="00094BEC">
      <w:pPr>
        <w:keepNext/>
        <w:keepLines/>
        <w:autoSpaceDE w:val="0"/>
        <w:autoSpaceDN w:val="0"/>
        <w:adjustRightInd w:val="0"/>
        <w:rPr>
          <w:i/>
          <w:lang w:val="en-AU"/>
        </w:rPr>
      </w:pPr>
      <w:r w:rsidRPr="00094BEC">
        <w:rPr>
          <w:i/>
          <w:lang w:val="en-AU"/>
        </w:rPr>
        <w:t>Double Gloves: A Randomized Trial to Evaluate a Simple Strategy to Reduce Contamination in the Operating Room</w:t>
      </w:r>
    </w:p>
    <w:p w:rsidR="00094BEC" w:rsidRDefault="0047107A" w:rsidP="003D1368">
      <w:pPr>
        <w:keepNext/>
        <w:keepLines/>
        <w:autoSpaceDE w:val="0"/>
        <w:autoSpaceDN w:val="0"/>
        <w:adjustRightInd w:val="0"/>
        <w:rPr>
          <w:lang w:val="en-AU"/>
        </w:rPr>
      </w:pPr>
      <w:r w:rsidRPr="0047107A">
        <w:rPr>
          <w:lang w:val="en-AU"/>
        </w:rPr>
        <w:t>Birnbach DJ, Rosen LF, Fitzpatrick M, Carling</w:t>
      </w:r>
      <w:r w:rsidR="00094BEC">
        <w:rPr>
          <w:lang w:val="en-AU"/>
        </w:rPr>
        <w:t xml:space="preserve"> P, Arheart KL, Munoz-Price LS</w:t>
      </w:r>
    </w:p>
    <w:p w:rsidR="002A633F" w:rsidRPr="0048169F" w:rsidRDefault="0047107A" w:rsidP="003D1368">
      <w:pPr>
        <w:keepNext/>
        <w:keepLines/>
        <w:autoSpaceDE w:val="0"/>
        <w:autoSpaceDN w:val="0"/>
        <w:adjustRightInd w:val="0"/>
        <w:rPr>
          <w:lang w:val="en-AU"/>
        </w:rPr>
      </w:pPr>
      <w:proofErr w:type="gramStart"/>
      <w:r w:rsidRPr="0047107A">
        <w:rPr>
          <w:lang w:val="en-AU"/>
        </w:rPr>
        <w:t>Anesth Analg 2014</w:t>
      </w:r>
      <w:r w:rsidR="00094BEC">
        <w:rPr>
          <w:lang w:val="en-AU"/>
        </w:rPr>
        <w:t xml:space="preserve"> [epub]</w:t>
      </w:r>
      <w:r w:rsidRPr="0047107A">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D1368"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3D1368" w:rsidRPr="0048169F" w:rsidRDefault="003D1368" w:rsidP="00260459">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D1368" w:rsidRPr="0048169F" w:rsidRDefault="00A83A35" w:rsidP="00094BEC">
            <w:pPr>
              <w:rPr>
                <w:lang w:val="en-AU"/>
              </w:rPr>
            </w:pPr>
            <w:hyperlink r:id="rId24" w:history="1">
              <w:r w:rsidR="00094BEC" w:rsidRPr="00275FE1">
                <w:rPr>
                  <w:rStyle w:val="Hyperlink"/>
                  <w:lang w:val="en-AU"/>
                </w:rPr>
                <w:t>http://dx.doi.org/10.1213/ANE.0000000000000230</w:t>
              </w:r>
            </w:hyperlink>
          </w:p>
        </w:tc>
      </w:tr>
      <w:tr w:rsidR="003D1368"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3D1368" w:rsidRPr="0048169F" w:rsidRDefault="003D1368"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D1368" w:rsidRDefault="00094BEC" w:rsidP="00094BEC">
            <w:pPr>
              <w:rPr>
                <w:lang w:val="en-AU"/>
              </w:rPr>
            </w:pPr>
            <w:r>
              <w:rPr>
                <w:lang w:val="en-AU"/>
              </w:rPr>
              <w:t>Report of a simulation study that appeared to show the double gloving led to a “</w:t>
            </w:r>
            <w:r w:rsidRPr="00094BEC">
              <w:rPr>
                <w:lang w:val="en-AU"/>
              </w:rPr>
              <w:t>clinically and statistically significant</w:t>
            </w:r>
            <w:r>
              <w:rPr>
                <w:lang w:val="en-AU"/>
              </w:rPr>
              <w:t>” reduction in sites of contamination (and possibly transmission) on anaesthetist’s hands when conducting intubations.</w:t>
            </w:r>
          </w:p>
          <w:p w:rsidR="00094BEC" w:rsidRPr="0048169F" w:rsidRDefault="00094BEC" w:rsidP="00094BEC">
            <w:pPr>
              <w:rPr>
                <w:lang w:val="en-AU"/>
              </w:rPr>
            </w:pPr>
            <w:r>
              <w:rPr>
                <w:lang w:val="en-AU"/>
              </w:rPr>
              <w:t xml:space="preserve">The authors suggest that were </w:t>
            </w:r>
            <w:r w:rsidRPr="00094BEC">
              <w:rPr>
                <w:lang w:val="en-AU"/>
              </w:rPr>
              <w:t>an</w:t>
            </w:r>
            <w:r>
              <w:rPr>
                <w:lang w:val="en-AU"/>
              </w:rPr>
              <w:t>a</w:t>
            </w:r>
            <w:r w:rsidRPr="00094BEC">
              <w:rPr>
                <w:lang w:val="en-AU"/>
              </w:rPr>
              <w:t>esthesiologist</w:t>
            </w:r>
            <w:r>
              <w:rPr>
                <w:lang w:val="en-AU"/>
              </w:rPr>
              <w:t>s</w:t>
            </w:r>
            <w:r w:rsidRPr="00094BEC">
              <w:rPr>
                <w:lang w:val="en-AU"/>
              </w:rPr>
              <w:t xml:space="preserve"> </w:t>
            </w:r>
            <w:r>
              <w:rPr>
                <w:lang w:val="en-AU"/>
              </w:rPr>
              <w:t xml:space="preserve">to </w:t>
            </w:r>
            <w:r w:rsidRPr="00094BEC">
              <w:rPr>
                <w:lang w:val="en-AU"/>
              </w:rPr>
              <w:t>wear 2 sets of gloves during laryngoscopy and intubation and then remove the outer set immediately after intubation, the contamination of the intraoperative environment is dramatically reduced.</w:t>
            </w:r>
          </w:p>
        </w:tc>
      </w:tr>
    </w:tbl>
    <w:p w:rsidR="003D1368" w:rsidRDefault="003D1368" w:rsidP="003D1368">
      <w:pPr>
        <w:rPr>
          <w:i/>
          <w:lang w:val="en-AU"/>
        </w:rPr>
      </w:pPr>
    </w:p>
    <w:p w:rsidR="003F12BC" w:rsidRPr="003F12BC" w:rsidRDefault="003F12BC" w:rsidP="003F12BC">
      <w:pPr>
        <w:keepNext/>
        <w:keepLines/>
        <w:autoSpaceDE w:val="0"/>
        <w:autoSpaceDN w:val="0"/>
        <w:adjustRightInd w:val="0"/>
        <w:rPr>
          <w:i/>
          <w:lang w:val="en-AU"/>
        </w:rPr>
      </w:pPr>
      <w:r w:rsidRPr="003F12BC">
        <w:rPr>
          <w:i/>
          <w:lang w:val="en-AU"/>
        </w:rPr>
        <w:t>Relationship between preventable hospital deaths and other measures of safety: an exploratory study</w:t>
      </w:r>
    </w:p>
    <w:p w:rsidR="003F12BC" w:rsidRDefault="003F12BC" w:rsidP="003D1368">
      <w:pPr>
        <w:keepNext/>
        <w:keepLines/>
        <w:autoSpaceDE w:val="0"/>
        <w:autoSpaceDN w:val="0"/>
        <w:adjustRightInd w:val="0"/>
        <w:rPr>
          <w:lang w:val="en-AU"/>
        </w:rPr>
      </w:pPr>
      <w:r w:rsidRPr="003F12BC">
        <w:rPr>
          <w:lang w:val="en-AU"/>
        </w:rPr>
        <w:t>Hogan H, Healey F, Neale G, Thomson R, Vincent C, Black N</w:t>
      </w:r>
    </w:p>
    <w:p w:rsidR="003D1368" w:rsidRPr="0048169F" w:rsidRDefault="003F12BC" w:rsidP="003D1368">
      <w:pPr>
        <w:keepNext/>
        <w:keepLines/>
        <w:autoSpaceDE w:val="0"/>
        <w:autoSpaceDN w:val="0"/>
        <w:adjustRightInd w:val="0"/>
        <w:rPr>
          <w:lang w:val="en-AU"/>
        </w:rPr>
      </w:pPr>
      <w:r w:rsidRPr="003F12BC">
        <w:rPr>
          <w:lang w:val="en-AU"/>
        </w:rPr>
        <w:t>International Journal for Quality in Health Care 2014</w:t>
      </w:r>
      <w:proofErr w:type="gramStart"/>
      <w:r w:rsidRPr="003F12BC">
        <w:rPr>
          <w:lang w:val="en-AU"/>
        </w:rPr>
        <w:t>;26</w:t>
      </w:r>
      <w:proofErr w:type="gramEnd"/>
      <w:r w:rsidRPr="003F12BC">
        <w:rPr>
          <w:lang w:val="en-AU"/>
        </w:rPr>
        <w:t>(3):298-307.</w:t>
      </w:r>
    </w:p>
    <w:tbl>
      <w:tblPr>
        <w:tblStyle w:val="TableGrid"/>
        <w:tblW w:w="0" w:type="auto"/>
        <w:tblInd w:w="288" w:type="dxa"/>
        <w:tblLayout w:type="fixed"/>
        <w:tblLook w:val="01E0" w:firstRow="1" w:lastRow="1" w:firstColumn="1" w:lastColumn="1" w:noHBand="0" w:noVBand="0"/>
      </w:tblPr>
      <w:tblGrid>
        <w:gridCol w:w="1080"/>
        <w:gridCol w:w="8280"/>
      </w:tblGrid>
      <w:tr w:rsidR="003D1368"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3D1368" w:rsidRPr="0048169F" w:rsidRDefault="003D1368" w:rsidP="00260459">
            <w:pPr>
              <w:rPr>
                <w:lang w:val="en-AU"/>
              </w:rPr>
            </w:pPr>
            <w:r w:rsidRPr="0048169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D1368" w:rsidRPr="0048169F" w:rsidRDefault="00A83A35" w:rsidP="003F12BC">
            <w:pPr>
              <w:rPr>
                <w:lang w:val="en-AU"/>
              </w:rPr>
            </w:pPr>
            <w:hyperlink r:id="rId25" w:history="1">
              <w:r w:rsidR="003F12BC" w:rsidRPr="00275FE1">
                <w:rPr>
                  <w:rStyle w:val="Hyperlink"/>
                  <w:lang w:val="en-AU"/>
                </w:rPr>
                <w:t>http://dx.doi.org/10.1093/intqhc/mzu049</w:t>
              </w:r>
            </w:hyperlink>
          </w:p>
        </w:tc>
      </w:tr>
      <w:tr w:rsidR="003D1368"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3D1368" w:rsidRPr="0048169F" w:rsidRDefault="003D1368"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A69C3" w:rsidRDefault="00EA69C3" w:rsidP="00EA69C3">
            <w:pPr>
              <w:rPr>
                <w:lang w:val="en-AU"/>
              </w:rPr>
            </w:pPr>
            <w:r>
              <w:rPr>
                <w:lang w:val="en-AU"/>
              </w:rPr>
              <w:t xml:space="preserve">UK study reporting on possible relationship between in-hospital mortality and 8 ‘patient safety’ measures. The measures used include hospital standardised mortality ratio (HSMR), </w:t>
            </w:r>
            <w:r w:rsidRPr="00EA69C3">
              <w:rPr>
                <w:lang w:val="en-AU"/>
              </w:rPr>
              <w:t xml:space="preserve">Methicillin-resistant </w:t>
            </w:r>
            <w:r w:rsidRPr="00EA69C3">
              <w:rPr>
                <w:i/>
                <w:lang w:val="en-AU"/>
              </w:rPr>
              <w:t>Staphylococcus aureus</w:t>
            </w:r>
            <w:r w:rsidRPr="00EA69C3">
              <w:rPr>
                <w:lang w:val="en-AU"/>
              </w:rPr>
              <w:t xml:space="preserve"> (MRSA) bacteraemia reports,</w:t>
            </w:r>
            <w:r>
              <w:rPr>
                <w:lang w:val="en-AU"/>
              </w:rPr>
              <w:t xml:space="preserve"> </w:t>
            </w:r>
            <w:r w:rsidRPr="00EA69C3">
              <w:rPr>
                <w:lang w:val="en-AU"/>
              </w:rPr>
              <w:t>emergency readmissions within 28 days of discharge, patients’ views</w:t>
            </w:r>
            <w:r>
              <w:rPr>
                <w:lang w:val="en-AU"/>
              </w:rPr>
              <w:t xml:space="preserve"> </w:t>
            </w:r>
            <w:r w:rsidRPr="00EA69C3">
              <w:rPr>
                <w:lang w:val="en-AU"/>
              </w:rPr>
              <w:t>of hospital cleanliness and of nurses’ hand cleaning,</w:t>
            </w:r>
            <w:r>
              <w:rPr>
                <w:lang w:val="en-AU"/>
              </w:rPr>
              <w:t xml:space="preserve"> </w:t>
            </w:r>
            <w:r w:rsidRPr="00EA69C3">
              <w:rPr>
                <w:lang w:val="en-AU"/>
              </w:rPr>
              <w:t xml:space="preserve">staff views of safety culture, </w:t>
            </w:r>
            <w:r>
              <w:rPr>
                <w:lang w:val="en-AU"/>
              </w:rPr>
              <w:t xml:space="preserve">and </w:t>
            </w:r>
            <w:r w:rsidRPr="00EA69C3">
              <w:rPr>
                <w:lang w:val="en-AU"/>
              </w:rPr>
              <w:t>staff sickness absence rates</w:t>
            </w:r>
            <w:r>
              <w:rPr>
                <w:lang w:val="en-AU"/>
              </w:rPr>
              <w:t xml:space="preserve">. The authors report that from their (earlier) retrospective case record review of 1,000 hospital deaths across 10 English acute hospital trusts that they found the </w:t>
            </w:r>
            <w:r w:rsidRPr="00EA69C3">
              <w:rPr>
                <w:b/>
                <w:lang w:val="en-AU"/>
              </w:rPr>
              <w:t>proportion of preventable deaths varied between 3 and 8%</w:t>
            </w:r>
            <w:r w:rsidRPr="00EA69C3">
              <w:rPr>
                <w:lang w:val="en-AU"/>
              </w:rPr>
              <w:t>.</w:t>
            </w:r>
            <w:r>
              <w:rPr>
                <w:lang w:val="en-AU"/>
              </w:rPr>
              <w:t xml:space="preserve"> They then report finding only of their ‘patient safety’ measures—the MRSA rate— was “clinically and statistically significantly associated with preventable death proportion (</w:t>
            </w:r>
            <w:r w:rsidRPr="00EA69C3">
              <w:rPr>
                <w:i/>
                <w:lang w:val="en-AU"/>
              </w:rPr>
              <w:t>r</w:t>
            </w:r>
            <w:r>
              <w:rPr>
                <w:lang w:val="en-AU"/>
              </w:rPr>
              <w:t xml:space="preserve">=0.73; </w:t>
            </w:r>
            <w:r w:rsidRPr="00EA69C3">
              <w:rPr>
                <w:i/>
                <w:lang w:val="en-AU"/>
              </w:rPr>
              <w:t>P</w:t>
            </w:r>
            <w:r>
              <w:rPr>
                <w:lang w:val="en-AU"/>
              </w:rPr>
              <w:t>&lt;0.02)</w:t>
            </w:r>
            <w:r w:rsidR="003F12BC">
              <w:rPr>
                <w:lang w:val="en-AU"/>
              </w:rPr>
              <w:t>.</w:t>
            </w:r>
          </w:p>
          <w:p w:rsidR="003F12BC" w:rsidRPr="0048169F" w:rsidRDefault="003F12BC" w:rsidP="003F12BC">
            <w:pPr>
              <w:rPr>
                <w:lang w:val="en-AU"/>
              </w:rPr>
            </w:pPr>
            <w:r>
              <w:rPr>
                <w:lang w:val="en-AU"/>
              </w:rPr>
              <w:t xml:space="preserve">While the patient safety measures may have their own use and value, </w:t>
            </w:r>
            <w:proofErr w:type="gramStart"/>
            <w:r>
              <w:rPr>
                <w:lang w:val="en-AU"/>
              </w:rPr>
              <w:t>the appear</w:t>
            </w:r>
            <w:proofErr w:type="gramEnd"/>
            <w:r>
              <w:rPr>
                <w:lang w:val="en-AU"/>
              </w:rPr>
              <w:t xml:space="preserve"> to have little value in predicting or reflecting in-hospital mortality. The authors suggest that “</w:t>
            </w:r>
            <w:r w:rsidRPr="003F12BC">
              <w:rPr>
                <w:lang w:val="en-AU"/>
              </w:rPr>
              <w:t>preventable deaths may</w:t>
            </w:r>
            <w:r>
              <w:rPr>
                <w:lang w:val="en-AU"/>
              </w:rPr>
              <w:t xml:space="preserve"> </w:t>
            </w:r>
            <w:r w:rsidRPr="003F12BC">
              <w:rPr>
                <w:lang w:val="en-AU"/>
              </w:rPr>
              <w:t>be more strongly associated with some other measures of outcome than with process or with structure measures</w:t>
            </w:r>
            <w:r>
              <w:rPr>
                <w:lang w:val="en-AU"/>
              </w:rPr>
              <w:t>”</w:t>
            </w:r>
            <w:r w:rsidRPr="003F12BC">
              <w:rPr>
                <w:lang w:val="en-AU"/>
              </w:rPr>
              <w:t>.</w:t>
            </w:r>
          </w:p>
        </w:tc>
      </w:tr>
    </w:tbl>
    <w:p w:rsidR="003D1368" w:rsidRDefault="003D1368" w:rsidP="003D1368">
      <w:pPr>
        <w:rPr>
          <w:i/>
          <w:lang w:val="en-AU"/>
        </w:rPr>
      </w:pPr>
    </w:p>
    <w:p w:rsidR="004B0E69" w:rsidRPr="004B0E69" w:rsidRDefault="004B0E69" w:rsidP="004B0E69">
      <w:pPr>
        <w:keepNext/>
        <w:keepLines/>
        <w:autoSpaceDE w:val="0"/>
        <w:autoSpaceDN w:val="0"/>
        <w:adjustRightInd w:val="0"/>
        <w:rPr>
          <w:i/>
          <w:lang w:val="en-AU"/>
        </w:rPr>
      </w:pPr>
      <w:r w:rsidRPr="004B0E69">
        <w:rPr>
          <w:i/>
          <w:lang w:val="en-AU"/>
        </w:rPr>
        <w:t>Australian Health Review</w:t>
      </w:r>
    </w:p>
    <w:p w:rsidR="004B0E69" w:rsidRPr="0048169F" w:rsidRDefault="004B0E69" w:rsidP="004B0E69">
      <w:pPr>
        <w:keepNext/>
        <w:keepLines/>
        <w:autoSpaceDE w:val="0"/>
        <w:autoSpaceDN w:val="0"/>
        <w:adjustRightInd w:val="0"/>
        <w:rPr>
          <w:lang w:val="en-AU"/>
        </w:rPr>
      </w:pPr>
      <w:proofErr w:type="gramStart"/>
      <w:r>
        <w:rPr>
          <w:lang w:val="en-AU"/>
        </w:rPr>
        <w:t>Vol. 38, No. 3.</w:t>
      </w:r>
      <w:proofErr w:type="gramEnd"/>
      <w:r>
        <w:rPr>
          <w:lang w:val="en-AU"/>
        </w:rPr>
        <w:t xml:space="preserve"> 2014</w:t>
      </w:r>
    </w:p>
    <w:tbl>
      <w:tblPr>
        <w:tblStyle w:val="TableGrid"/>
        <w:tblW w:w="0" w:type="auto"/>
        <w:tblInd w:w="288" w:type="dxa"/>
        <w:tblLayout w:type="fixed"/>
        <w:tblLook w:val="01E0" w:firstRow="1" w:lastRow="1" w:firstColumn="1" w:lastColumn="1" w:noHBand="0" w:noVBand="0"/>
      </w:tblPr>
      <w:tblGrid>
        <w:gridCol w:w="1080"/>
        <w:gridCol w:w="8280"/>
      </w:tblGrid>
      <w:tr w:rsidR="004B0E69"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4B0E69" w:rsidRPr="0048169F" w:rsidRDefault="004B0E69" w:rsidP="0026045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B0E69" w:rsidRPr="0048169F" w:rsidRDefault="00A83A35" w:rsidP="004B0E69">
            <w:pPr>
              <w:rPr>
                <w:lang w:val="en-AU"/>
              </w:rPr>
            </w:pPr>
            <w:hyperlink r:id="rId26" w:history="1">
              <w:r w:rsidR="004B0E69" w:rsidRPr="00275FE1">
                <w:rPr>
                  <w:rStyle w:val="Hyperlink"/>
                  <w:lang w:val="en-AU"/>
                </w:rPr>
                <w:t>http://www.publish.csiro.au/nid/270/currentissueflag/1.htm</w:t>
              </w:r>
            </w:hyperlink>
          </w:p>
        </w:tc>
      </w:tr>
      <w:tr w:rsidR="004B0E69"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4B0E69" w:rsidRPr="0048169F" w:rsidRDefault="004B0E69"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B0E69" w:rsidRDefault="004B0E69" w:rsidP="004B0E69">
            <w:pPr>
              <w:rPr>
                <w:lang w:val="en-AU"/>
              </w:rPr>
            </w:pPr>
            <w:r>
              <w:rPr>
                <w:lang w:val="en-AU"/>
              </w:rPr>
              <w:t xml:space="preserve">A new issue of </w:t>
            </w:r>
            <w:r w:rsidRPr="004B0E69">
              <w:rPr>
                <w:i/>
                <w:lang w:val="en-AU"/>
              </w:rPr>
              <w:t>Australian Health Review</w:t>
            </w:r>
            <w:r>
              <w:rPr>
                <w:lang w:val="en-AU"/>
              </w:rPr>
              <w:t xml:space="preserve"> has been published. Articles in this issue of </w:t>
            </w:r>
            <w:r w:rsidRPr="004B0E69">
              <w:rPr>
                <w:i/>
                <w:lang w:val="en-AU"/>
              </w:rPr>
              <w:t>Australian Health Review</w:t>
            </w:r>
            <w:r>
              <w:rPr>
                <w:lang w:val="en-AU"/>
              </w:rPr>
              <w:t xml:space="preserve"> include:</w:t>
            </w:r>
          </w:p>
          <w:p w:rsidR="004B0E69" w:rsidRPr="004B0E69" w:rsidRDefault="004B0E69" w:rsidP="004B0E69">
            <w:pPr>
              <w:pStyle w:val="ListParagraph"/>
              <w:numPr>
                <w:ilvl w:val="0"/>
                <w:numId w:val="23"/>
              </w:numPr>
              <w:rPr>
                <w:lang w:val="en-AU"/>
              </w:rPr>
            </w:pPr>
            <w:r w:rsidRPr="004B0E69">
              <w:rPr>
                <w:b/>
                <w:lang w:val="en-AU"/>
              </w:rPr>
              <w:t>Electronic patient journey boards</w:t>
            </w:r>
            <w:r w:rsidRPr="004B0E69">
              <w:rPr>
                <w:lang w:val="en-AU"/>
              </w:rPr>
              <w:t xml:space="preserve"> a vital piece of the puzzle in patient flow (Kevin W Clark, Susan Moller and Lauri O'Brien</w:t>
            </w:r>
            <w:r>
              <w:rPr>
                <w:lang w:val="en-AU"/>
              </w:rPr>
              <w:t>)</w:t>
            </w:r>
          </w:p>
          <w:p w:rsidR="004B0E69" w:rsidRPr="004B0E69" w:rsidRDefault="004B0E69" w:rsidP="004B0E69">
            <w:pPr>
              <w:pStyle w:val="ListParagraph"/>
              <w:numPr>
                <w:ilvl w:val="0"/>
                <w:numId w:val="23"/>
              </w:numPr>
              <w:rPr>
                <w:lang w:val="en-AU"/>
              </w:rPr>
            </w:pPr>
            <w:r w:rsidRPr="004B0E69">
              <w:rPr>
                <w:lang w:val="en-AU"/>
              </w:rPr>
              <w:t xml:space="preserve">Effect of </w:t>
            </w:r>
            <w:r w:rsidRPr="004B0E69">
              <w:rPr>
                <w:b/>
                <w:lang w:val="en-AU"/>
              </w:rPr>
              <w:t>weekend physiotherapy provision</w:t>
            </w:r>
            <w:r w:rsidRPr="004B0E69">
              <w:rPr>
                <w:lang w:val="en-AU"/>
              </w:rPr>
              <w:t xml:space="preserve"> on physiotherapy and hospital length of stay after total knee and total hip replacement (Zoe L Maidment, Brenton G H</w:t>
            </w:r>
            <w:r>
              <w:rPr>
                <w:lang w:val="en-AU"/>
              </w:rPr>
              <w:t>ordacre and Christopher J Barr)</w:t>
            </w:r>
          </w:p>
          <w:p w:rsidR="004B0E69" w:rsidRPr="004B0E69" w:rsidRDefault="004B0E69" w:rsidP="004B0E69">
            <w:pPr>
              <w:pStyle w:val="ListParagraph"/>
              <w:numPr>
                <w:ilvl w:val="0"/>
                <w:numId w:val="23"/>
              </w:numPr>
              <w:rPr>
                <w:lang w:val="en-AU"/>
              </w:rPr>
            </w:pPr>
            <w:r w:rsidRPr="004B0E69">
              <w:rPr>
                <w:b/>
                <w:lang w:val="en-AU"/>
              </w:rPr>
              <w:t>Strength in unity</w:t>
            </w:r>
            <w:r w:rsidRPr="004B0E69">
              <w:rPr>
                <w:lang w:val="en-AU"/>
              </w:rPr>
              <w:t>: the power of redesign to align the hospital team (</w:t>
            </w:r>
            <w:r>
              <w:rPr>
                <w:lang w:val="en-AU"/>
              </w:rPr>
              <w:t>A</w:t>
            </w:r>
            <w:r w:rsidRPr="004B0E69">
              <w:rPr>
                <w:lang w:val="en-AU"/>
              </w:rPr>
              <w:t>nthony Bell, Alastair Cochrane, Sally Courtice, Kathy Flanigan, Man</w:t>
            </w:r>
            <w:r>
              <w:rPr>
                <w:lang w:val="en-AU"/>
              </w:rPr>
              <w:t>deep Mathur and Daniel Wilckens)</w:t>
            </w:r>
          </w:p>
          <w:p w:rsidR="004B0E69" w:rsidRPr="004B0E69" w:rsidRDefault="004B0E69" w:rsidP="004B0E69">
            <w:pPr>
              <w:pStyle w:val="ListParagraph"/>
              <w:numPr>
                <w:ilvl w:val="0"/>
                <w:numId w:val="23"/>
              </w:numPr>
              <w:rPr>
                <w:lang w:val="en-AU"/>
              </w:rPr>
            </w:pPr>
            <w:r w:rsidRPr="004B0E69">
              <w:rPr>
                <w:lang w:val="en-AU"/>
              </w:rPr>
              <w:lastRenderedPageBreak/>
              <w:t xml:space="preserve">Effect of a maternity </w:t>
            </w:r>
            <w:r w:rsidRPr="004B0E69">
              <w:rPr>
                <w:b/>
                <w:lang w:val="en-AU"/>
              </w:rPr>
              <w:t>consumer representative training</w:t>
            </w:r>
            <w:r w:rsidRPr="004B0E69">
              <w:rPr>
                <w:lang w:val="en-AU"/>
              </w:rPr>
              <w:t xml:space="preserve"> program on participants’ confidence and engagement (Bec M Jenkinson, Joanne Smethurst, Rhonda Bo</w:t>
            </w:r>
            <w:r>
              <w:rPr>
                <w:lang w:val="en-AU"/>
              </w:rPr>
              <w:t>orman and Debra K Creedy)</w:t>
            </w:r>
          </w:p>
          <w:p w:rsidR="004B0E69" w:rsidRPr="004B0E69" w:rsidRDefault="004B0E69" w:rsidP="004B0E69">
            <w:pPr>
              <w:pStyle w:val="ListParagraph"/>
              <w:numPr>
                <w:ilvl w:val="0"/>
                <w:numId w:val="23"/>
              </w:numPr>
              <w:rPr>
                <w:lang w:val="en-AU"/>
              </w:rPr>
            </w:pPr>
            <w:r w:rsidRPr="004B0E69">
              <w:rPr>
                <w:lang w:val="en-AU"/>
              </w:rPr>
              <w:t xml:space="preserve">Can </w:t>
            </w:r>
            <w:r w:rsidRPr="004B0E69">
              <w:rPr>
                <w:b/>
                <w:lang w:val="en-AU"/>
              </w:rPr>
              <w:t>monitoring consumer requests</w:t>
            </w:r>
            <w:r w:rsidRPr="004B0E69">
              <w:rPr>
                <w:lang w:val="en-AU"/>
              </w:rPr>
              <w:t xml:space="preserve"> for opioid-replacement therapy improve access to treatment? (Warren Harlow, Brenda Happell, G</w:t>
            </w:r>
            <w:r>
              <w:rPr>
                <w:lang w:val="en-AU"/>
              </w:rPr>
              <w:t>raeme Browne and Matthew Browne)</w:t>
            </w:r>
          </w:p>
          <w:p w:rsidR="004B0E69" w:rsidRPr="004B0E69" w:rsidRDefault="004B0E69" w:rsidP="004B0E69">
            <w:pPr>
              <w:pStyle w:val="ListParagraph"/>
              <w:numPr>
                <w:ilvl w:val="0"/>
                <w:numId w:val="23"/>
              </w:numPr>
              <w:rPr>
                <w:lang w:val="en-AU"/>
              </w:rPr>
            </w:pPr>
            <w:r w:rsidRPr="004B0E69">
              <w:rPr>
                <w:b/>
                <w:lang w:val="en-AU"/>
              </w:rPr>
              <w:t>Public sector residential aged care</w:t>
            </w:r>
            <w:r w:rsidRPr="004B0E69">
              <w:rPr>
                <w:lang w:val="en-AU"/>
              </w:rPr>
              <w:t>: identifying novel associations between quality indicators and other demographic and health-related factors (Kirsten J Moore, Colleen J Doyle, Trisha L Dunning, Ann T Hague, Lucas A Lloyd, Jo Bourke and Stephen D G</w:t>
            </w:r>
            <w:r>
              <w:rPr>
                <w:lang w:val="en-AU"/>
              </w:rPr>
              <w:t>ill)</w:t>
            </w:r>
          </w:p>
          <w:p w:rsidR="004B0E69" w:rsidRPr="004B0E69" w:rsidRDefault="004B0E69" w:rsidP="004B0E69">
            <w:pPr>
              <w:pStyle w:val="ListParagraph"/>
              <w:numPr>
                <w:ilvl w:val="0"/>
                <w:numId w:val="23"/>
              </w:numPr>
              <w:rPr>
                <w:lang w:val="en-AU"/>
              </w:rPr>
            </w:pPr>
            <w:r w:rsidRPr="004B0E69">
              <w:rPr>
                <w:b/>
                <w:lang w:val="en-AU"/>
              </w:rPr>
              <w:t>Tracking the patient journey</w:t>
            </w:r>
            <w:r w:rsidRPr="004B0E69">
              <w:rPr>
                <w:lang w:val="en-AU"/>
              </w:rPr>
              <w:t xml:space="preserve"> by combining multiple hospital database systems (Andy Wong, Erhan Kozan, M Sinnott, </w:t>
            </w:r>
            <w:r>
              <w:rPr>
                <w:lang w:val="en-AU"/>
              </w:rPr>
              <w:t>L Spencer and R Eley)</w:t>
            </w:r>
          </w:p>
          <w:p w:rsidR="004B0E69" w:rsidRPr="004B0E69" w:rsidRDefault="004B0E69" w:rsidP="004B0E69">
            <w:pPr>
              <w:pStyle w:val="ListParagraph"/>
              <w:numPr>
                <w:ilvl w:val="0"/>
                <w:numId w:val="23"/>
              </w:numPr>
              <w:rPr>
                <w:lang w:val="en-AU"/>
              </w:rPr>
            </w:pPr>
            <w:r w:rsidRPr="004B0E69">
              <w:rPr>
                <w:b/>
                <w:lang w:val="en-AU"/>
              </w:rPr>
              <w:t>Intravascular device use, management, documentation and complications</w:t>
            </w:r>
            <w:r w:rsidRPr="004B0E69">
              <w:rPr>
                <w:lang w:val="en-AU"/>
              </w:rPr>
              <w:t>: a point prevalence survey (Karen A. New, Joan Webster, Nicole M. Marsh and Barbara Hewer on behalf of the Royal Brisbane and Women's Hospital Intr</w:t>
            </w:r>
            <w:r>
              <w:rPr>
                <w:lang w:val="en-AU"/>
              </w:rPr>
              <w:t>avenous Access Research Council)</w:t>
            </w:r>
          </w:p>
          <w:p w:rsidR="004B0E69" w:rsidRPr="004B0E69" w:rsidRDefault="004B0E69" w:rsidP="004B0E69">
            <w:pPr>
              <w:pStyle w:val="ListParagraph"/>
              <w:numPr>
                <w:ilvl w:val="0"/>
                <w:numId w:val="23"/>
              </w:numPr>
              <w:rPr>
                <w:lang w:val="en-AU"/>
              </w:rPr>
            </w:pPr>
            <w:r w:rsidRPr="004B0E69">
              <w:rPr>
                <w:lang w:val="en-AU"/>
              </w:rPr>
              <w:t xml:space="preserve">Examination of the </w:t>
            </w:r>
            <w:r w:rsidRPr="004B0E69">
              <w:rPr>
                <w:b/>
                <w:lang w:val="en-AU"/>
              </w:rPr>
              <w:t>perception of communication and collaboration</w:t>
            </w:r>
            <w:r w:rsidRPr="004B0E69">
              <w:rPr>
                <w:lang w:val="en-AU"/>
              </w:rPr>
              <w:t xml:space="preserve"> in a neonatal intensive care unit: a decade on, has it changed? (Laurene Aydon, Ka</w:t>
            </w:r>
            <w:r>
              <w:rPr>
                <w:lang w:val="en-AU"/>
              </w:rPr>
              <w:t>thy Martin and Elizabeth Nathan)</w:t>
            </w:r>
          </w:p>
          <w:p w:rsidR="004B0E69" w:rsidRPr="004B0E69" w:rsidRDefault="004B0E69" w:rsidP="004B0E69">
            <w:pPr>
              <w:pStyle w:val="ListParagraph"/>
              <w:numPr>
                <w:ilvl w:val="0"/>
                <w:numId w:val="23"/>
              </w:numPr>
              <w:rPr>
                <w:lang w:val="en-AU"/>
              </w:rPr>
            </w:pPr>
            <w:r w:rsidRPr="004B0E69">
              <w:rPr>
                <w:lang w:val="en-AU"/>
              </w:rPr>
              <w:t xml:space="preserve">Factors associated with </w:t>
            </w:r>
            <w:r w:rsidRPr="004B0E69">
              <w:rPr>
                <w:b/>
                <w:lang w:val="en-AU"/>
              </w:rPr>
              <w:t>transfers from healthcare facilities</w:t>
            </w:r>
            <w:r w:rsidRPr="004B0E69">
              <w:rPr>
                <w:lang w:val="en-AU"/>
              </w:rPr>
              <w:t xml:space="preserve"> among readmitted older adults with chronic illness </w:t>
            </w:r>
            <w:r>
              <w:rPr>
                <w:lang w:val="en-AU"/>
              </w:rPr>
              <w:t>(</w:t>
            </w:r>
            <w:r w:rsidRPr="004B0E69">
              <w:rPr>
                <w:lang w:val="en-AU"/>
              </w:rPr>
              <w:t>Tasneem Islam, Beverly O'Connell and Mary Hawkins</w:t>
            </w:r>
            <w:r>
              <w:rPr>
                <w:lang w:val="en-AU"/>
              </w:rPr>
              <w:t>)</w:t>
            </w:r>
          </w:p>
        </w:tc>
      </w:tr>
    </w:tbl>
    <w:p w:rsidR="004B0E69" w:rsidRDefault="004B0E69" w:rsidP="00E724CB">
      <w:pPr>
        <w:rPr>
          <w:i/>
          <w:lang w:val="en-AU"/>
        </w:rPr>
      </w:pPr>
    </w:p>
    <w:p w:rsidR="00F23FE9" w:rsidRDefault="00F23FE9" w:rsidP="00E724CB">
      <w:pPr>
        <w:rPr>
          <w:i/>
          <w:lang w:val="en-AU"/>
        </w:rPr>
      </w:pPr>
    </w:p>
    <w:p w:rsidR="0050261F" w:rsidRPr="00737BFB" w:rsidRDefault="0050261F" w:rsidP="0050261F">
      <w:pPr>
        <w:rPr>
          <w:i/>
          <w:lang w:val="en-AU"/>
        </w:rPr>
      </w:pPr>
      <w:r w:rsidRPr="00737BFB">
        <w:rPr>
          <w:i/>
          <w:lang w:val="en-AU"/>
        </w:rPr>
        <w:t>International Journal for Quality in Health Care</w:t>
      </w:r>
    </w:p>
    <w:p w:rsidR="00F23FE9" w:rsidRDefault="0050261F" w:rsidP="0050261F">
      <w:pPr>
        <w:keepNext/>
        <w:autoSpaceDE w:val="0"/>
        <w:autoSpaceDN w:val="0"/>
        <w:adjustRightInd w:val="0"/>
        <w:rPr>
          <w:lang w:val="en-AU"/>
        </w:rPr>
      </w:pPr>
      <w:r>
        <w:rPr>
          <w:lang w:val="en-AU"/>
        </w:rPr>
        <w:t>Vol. 26, No. 3</w:t>
      </w:r>
      <w:r w:rsidR="00F23FE9">
        <w:rPr>
          <w:lang w:val="en-AU"/>
        </w:rPr>
        <w:t xml:space="preserve">, </w:t>
      </w:r>
    </w:p>
    <w:p w:rsidR="0050261F" w:rsidRPr="00737BFB" w:rsidRDefault="0050261F" w:rsidP="0050261F">
      <w:pPr>
        <w:keepNext/>
        <w:autoSpaceDE w:val="0"/>
        <w:autoSpaceDN w:val="0"/>
        <w:adjustRightInd w:val="0"/>
        <w:rPr>
          <w:lang w:val="en-AU"/>
        </w:rPr>
      </w:pPr>
      <w:r>
        <w:rPr>
          <w:lang w:val="en-AU"/>
        </w:rPr>
        <w:t>June 2014</w:t>
      </w:r>
    </w:p>
    <w:tbl>
      <w:tblPr>
        <w:tblStyle w:val="TableGrid"/>
        <w:tblW w:w="0" w:type="auto"/>
        <w:tblInd w:w="288" w:type="dxa"/>
        <w:tblLayout w:type="fixed"/>
        <w:tblLook w:val="01E0" w:firstRow="1" w:lastRow="1" w:firstColumn="1" w:lastColumn="1" w:noHBand="0" w:noVBand="0"/>
      </w:tblPr>
      <w:tblGrid>
        <w:gridCol w:w="1080"/>
        <w:gridCol w:w="8280"/>
      </w:tblGrid>
      <w:tr w:rsidR="0050261F" w:rsidRPr="00737BFB" w:rsidTr="00260459">
        <w:tc>
          <w:tcPr>
            <w:tcW w:w="1080" w:type="dxa"/>
            <w:tcBorders>
              <w:top w:val="single" w:sz="4" w:space="0" w:color="auto"/>
              <w:left w:val="single" w:sz="4" w:space="0" w:color="auto"/>
              <w:bottom w:val="single" w:sz="4" w:space="0" w:color="auto"/>
              <w:right w:val="single" w:sz="4" w:space="0" w:color="auto"/>
            </w:tcBorders>
            <w:vAlign w:val="center"/>
          </w:tcPr>
          <w:p w:rsidR="0050261F" w:rsidRPr="00737BFB" w:rsidRDefault="0050261F" w:rsidP="0026045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0261F" w:rsidRPr="00737BFB" w:rsidRDefault="00A83A35" w:rsidP="00260459">
            <w:pPr>
              <w:rPr>
                <w:lang w:val="en-AU"/>
              </w:rPr>
            </w:pPr>
            <w:hyperlink r:id="rId27" w:history="1">
              <w:r w:rsidR="0050261F" w:rsidRPr="008F107B">
                <w:rPr>
                  <w:rStyle w:val="Hyperlink"/>
                  <w:lang w:val="en-AU"/>
                </w:rPr>
                <w:t>http://intqhc.oxfordjournals.org/content/26/3?etoc</w:t>
              </w:r>
            </w:hyperlink>
          </w:p>
        </w:tc>
      </w:tr>
      <w:tr w:rsidR="0050261F" w:rsidRPr="00737BFB" w:rsidTr="00260459">
        <w:tc>
          <w:tcPr>
            <w:tcW w:w="1080" w:type="dxa"/>
            <w:tcBorders>
              <w:top w:val="single" w:sz="4" w:space="0" w:color="auto"/>
              <w:left w:val="single" w:sz="4" w:space="0" w:color="auto"/>
              <w:bottom w:val="single" w:sz="4" w:space="0" w:color="auto"/>
              <w:right w:val="single" w:sz="4" w:space="0" w:color="auto"/>
            </w:tcBorders>
            <w:vAlign w:val="center"/>
          </w:tcPr>
          <w:p w:rsidR="0050261F" w:rsidRPr="00737BFB" w:rsidRDefault="0050261F" w:rsidP="00260459">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261F" w:rsidRDefault="0050261F" w:rsidP="00260459">
            <w:pPr>
              <w:rPr>
                <w:lang w:val="en-AU"/>
              </w:rPr>
            </w:pPr>
            <w:r>
              <w:rPr>
                <w:lang w:val="en-AU"/>
              </w:rPr>
              <w:t xml:space="preserve">A new issue of </w:t>
            </w:r>
            <w:r w:rsidRPr="00737BFB">
              <w:rPr>
                <w:i/>
                <w:lang w:val="en-AU"/>
              </w:rPr>
              <w:t>International Journal for Quality in Health Care</w:t>
            </w:r>
            <w:r>
              <w:rPr>
                <w:i/>
                <w:lang w:val="en-AU"/>
              </w:rPr>
              <w:t xml:space="preserve"> </w:t>
            </w:r>
            <w:r w:rsidRPr="004B0E69">
              <w:rPr>
                <w:lang w:val="en-AU"/>
              </w:rPr>
              <w:t>has</w:t>
            </w:r>
            <w:r>
              <w:rPr>
                <w:i/>
                <w:lang w:val="en-AU"/>
              </w:rPr>
              <w:t xml:space="preserve"> </w:t>
            </w:r>
            <w:r>
              <w:rPr>
                <w:lang w:val="en-AU"/>
              </w:rPr>
              <w:t xml:space="preserve">been published. Many of the papers in this issue have been referred to in previous editions of On the Radar (when they released online). Articles in this issue of </w:t>
            </w:r>
            <w:r w:rsidRPr="00737BFB">
              <w:rPr>
                <w:i/>
                <w:lang w:val="en-AU"/>
              </w:rPr>
              <w:t>International Journal for Quality in Health Care</w:t>
            </w:r>
            <w:r>
              <w:rPr>
                <w:lang w:val="en-AU"/>
              </w:rPr>
              <w:t xml:space="preserve"> include:</w:t>
            </w:r>
          </w:p>
          <w:p w:rsidR="0050261F" w:rsidRPr="0050261F" w:rsidRDefault="0050261F" w:rsidP="0050261F">
            <w:pPr>
              <w:pStyle w:val="ListParagraph"/>
              <w:numPr>
                <w:ilvl w:val="0"/>
                <w:numId w:val="22"/>
              </w:numPr>
              <w:rPr>
                <w:lang w:val="en-AU"/>
              </w:rPr>
            </w:pPr>
            <w:r w:rsidRPr="0050261F">
              <w:rPr>
                <w:lang w:val="en-AU"/>
              </w:rPr>
              <w:t xml:space="preserve">Editor's choice: </w:t>
            </w:r>
            <w:r w:rsidRPr="0050261F">
              <w:rPr>
                <w:b/>
                <w:lang w:val="en-AU"/>
              </w:rPr>
              <w:t>Is quality improvement sustainable?</w:t>
            </w:r>
            <w:r w:rsidRPr="0050261F">
              <w:rPr>
                <w:lang w:val="en-AU"/>
              </w:rPr>
              <w:t xml:space="preserve"> Findings of the American college of </w:t>
            </w:r>
            <w:r w:rsidRPr="0050261F">
              <w:rPr>
                <w:b/>
                <w:lang w:val="en-AU"/>
              </w:rPr>
              <w:t>cardiology's guidelines</w:t>
            </w:r>
            <w:r w:rsidRPr="0050261F">
              <w:rPr>
                <w:lang w:val="en-AU"/>
              </w:rPr>
              <w:t xml:space="preserve"> applied in practice (Adesuwa B Olomu, Manfred Stommel, Margaret M Holmes-Rovner, Andrew R Prieto, William D Corser, Venu Gourineni, and Kim A Eagle</w:t>
            </w:r>
            <w:r>
              <w:rPr>
                <w:lang w:val="en-AU"/>
              </w:rPr>
              <w:t>)</w:t>
            </w:r>
          </w:p>
          <w:p w:rsidR="0050261F" w:rsidRPr="0050261F" w:rsidRDefault="0050261F" w:rsidP="0050261F">
            <w:pPr>
              <w:pStyle w:val="ListParagraph"/>
              <w:numPr>
                <w:ilvl w:val="0"/>
                <w:numId w:val="22"/>
              </w:numPr>
              <w:rPr>
                <w:lang w:val="en-AU"/>
              </w:rPr>
            </w:pPr>
            <w:r w:rsidRPr="0050261F">
              <w:rPr>
                <w:b/>
                <w:lang w:val="en-AU"/>
              </w:rPr>
              <w:t>Does public reporting improve the quality of hospital care</w:t>
            </w:r>
            <w:r w:rsidRPr="0050261F">
              <w:rPr>
                <w:lang w:val="en-AU"/>
              </w:rPr>
              <w:t xml:space="preserve"> for acute myocardial infarction? Results from a regional outcome evaluation program in Italy (Cristina Renzi, Federica Asta, Danilo Fusco, Nera Agabiti, Marina Davoli, and Carlo Alberto Perucci</w:t>
            </w:r>
            <w:r>
              <w:rPr>
                <w:lang w:val="en-AU"/>
              </w:rPr>
              <w:t>)</w:t>
            </w:r>
          </w:p>
          <w:p w:rsidR="0050261F" w:rsidRPr="0050261F" w:rsidRDefault="0050261F" w:rsidP="0050261F">
            <w:pPr>
              <w:pStyle w:val="ListParagraph"/>
              <w:numPr>
                <w:ilvl w:val="0"/>
                <w:numId w:val="22"/>
              </w:numPr>
              <w:rPr>
                <w:lang w:val="en-AU"/>
              </w:rPr>
            </w:pPr>
            <w:r w:rsidRPr="0050261F">
              <w:rPr>
                <w:lang w:val="en-AU"/>
              </w:rPr>
              <w:t xml:space="preserve">Is the </w:t>
            </w:r>
            <w:r w:rsidRPr="0050261F">
              <w:rPr>
                <w:b/>
                <w:lang w:val="en-AU"/>
              </w:rPr>
              <w:t>implementation of quality improvement methods</w:t>
            </w:r>
            <w:r w:rsidRPr="0050261F">
              <w:rPr>
                <w:lang w:val="en-AU"/>
              </w:rPr>
              <w:t xml:space="preserve"> in hospitals subject to the neighbourhood effect? (Tsung-Hsien Yu and Kuo-Piao Chung</w:t>
            </w:r>
            <w:r>
              <w:rPr>
                <w:lang w:val="en-AU"/>
              </w:rPr>
              <w:t>)</w:t>
            </w:r>
          </w:p>
          <w:p w:rsidR="0050261F" w:rsidRPr="0050261F" w:rsidRDefault="0050261F" w:rsidP="0050261F">
            <w:pPr>
              <w:pStyle w:val="ListParagraph"/>
              <w:numPr>
                <w:ilvl w:val="0"/>
                <w:numId w:val="22"/>
              </w:numPr>
              <w:rPr>
                <w:lang w:val="en-AU"/>
              </w:rPr>
            </w:pPr>
            <w:r w:rsidRPr="0050261F">
              <w:rPr>
                <w:b/>
                <w:lang w:val="en-AU"/>
              </w:rPr>
              <w:t>Involving patients in detecting quality gaps</w:t>
            </w:r>
            <w:r w:rsidRPr="0050261F">
              <w:rPr>
                <w:lang w:val="en-AU"/>
              </w:rPr>
              <w:t xml:space="preserve"> in a fragmented healthcare system: development of a questionnaire for </w:t>
            </w:r>
            <w:r w:rsidRPr="0050261F">
              <w:rPr>
                <w:b/>
                <w:lang w:val="en-AU"/>
              </w:rPr>
              <w:t>Patients' Experiences Across Health Care Sectors</w:t>
            </w:r>
            <w:r w:rsidRPr="0050261F">
              <w:rPr>
                <w:lang w:val="en-AU"/>
              </w:rPr>
              <w:t xml:space="preserve"> (PEACS) (Stefan Noest, Sabine Ludt, Anja Klingenberg, Katharina Glassen, Friederike Heiss, Dominik Ose, Justine Rochon, Kayvan Bozorgmehr, Michel Wensing, and Joachim Szecsenyi</w:t>
            </w:r>
            <w:r>
              <w:rPr>
                <w:lang w:val="en-AU"/>
              </w:rPr>
              <w:t>)</w:t>
            </w:r>
          </w:p>
          <w:p w:rsidR="0050261F" w:rsidRPr="0050261F" w:rsidRDefault="0050261F" w:rsidP="0050261F">
            <w:pPr>
              <w:pStyle w:val="ListParagraph"/>
              <w:numPr>
                <w:ilvl w:val="0"/>
                <w:numId w:val="22"/>
              </w:numPr>
              <w:rPr>
                <w:lang w:val="en-AU"/>
              </w:rPr>
            </w:pPr>
            <w:r w:rsidRPr="0050261F">
              <w:rPr>
                <w:b/>
                <w:lang w:val="en-AU"/>
              </w:rPr>
              <w:t>PACIC Instrument</w:t>
            </w:r>
            <w:r w:rsidRPr="0050261F">
              <w:rPr>
                <w:lang w:val="en-AU"/>
              </w:rPr>
              <w:t>: disentangling dimensions using published validation models (K Iglesias, B Burnand, and I Peytremann-Bridevaux</w:t>
            </w:r>
            <w:r>
              <w:rPr>
                <w:lang w:val="en-AU"/>
              </w:rPr>
              <w:t>)</w:t>
            </w:r>
          </w:p>
          <w:p w:rsidR="0050261F" w:rsidRPr="0050261F" w:rsidRDefault="0050261F" w:rsidP="0050261F">
            <w:pPr>
              <w:pStyle w:val="ListParagraph"/>
              <w:numPr>
                <w:ilvl w:val="0"/>
                <w:numId w:val="22"/>
              </w:numPr>
              <w:rPr>
                <w:lang w:val="en-AU"/>
              </w:rPr>
            </w:pPr>
            <w:r w:rsidRPr="0050261F">
              <w:rPr>
                <w:b/>
                <w:lang w:val="en-AU"/>
              </w:rPr>
              <w:lastRenderedPageBreak/>
              <w:t>Evaluating quality indicators</w:t>
            </w:r>
            <w:r w:rsidRPr="0050261F">
              <w:rPr>
                <w:lang w:val="en-AU"/>
              </w:rPr>
              <w:t xml:space="preserve"> for </w:t>
            </w:r>
            <w:r w:rsidRPr="00A64912">
              <w:rPr>
                <w:b/>
                <w:lang w:val="en-AU"/>
              </w:rPr>
              <w:t>physical therapy</w:t>
            </w:r>
            <w:r w:rsidRPr="0050261F">
              <w:rPr>
                <w:lang w:val="en-AU"/>
              </w:rPr>
              <w:t xml:space="preserve"> in primary care (Marijn Scholte, Catharina W M</w:t>
            </w:r>
            <w:r w:rsidR="003F12BC">
              <w:rPr>
                <w:lang w:val="en-AU"/>
              </w:rPr>
              <w:t xml:space="preserve"> </w:t>
            </w:r>
            <w:r w:rsidRPr="0050261F">
              <w:rPr>
                <w:lang w:val="en-AU"/>
              </w:rPr>
              <w:t>Neeleman-van der Steen, Erik J M Hendriks, Maria W</w:t>
            </w:r>
            <w:r>
              <w:rPr>
                <w:lang w:val="en-AU"/>
              </w:rPr>
              <w:t xml:space="preserve"> </w:t>
            </w:r>
            <w:r w:rsidRPr="0050261F">
              <w:rPr>
                <w:lang w:val="en-AU"/>
              </w:rPr>
              <w:t>G</w:t>
            </w:r>
            <w:r w:rsidR="003F12BC">
              <w:rPr>
                <w:lang w:val="en-AU"/>
              </w:rPr>
              <w:t xml:space="preserve"> </w:t>
            </w:r>
            <w:r w:rsidRPr="0050261F">
              <w:rPr>
                <w:lang w:val="en-AU"/>
              </w:rPr>
              <w:t>Nijhuis-van der Sanden, and Jozé Braspenning</w:t>
            </w:r>
            <w:r>
              <w:rPr>
                <w:lang w:val="en-AU"/>
              </w:rPr>
              <w:t>)</w:t>
            </w:r>
          </w:p>
          <w:p w:rsidR="0050261F" w:rsidRPr="0050261F" w:rsidRDefault="0050261F" w:rsidP="0050261F">
            <w:pPr>
              <w:pStyle w:val="ListParagraph"/>
              <w:numPr>
                <w:ilvl w:val="0"/>
                <w:numId w:val="22"/>
              </w:numPr>
              <w:rPr>
                <w:lang w:val="en-AU"/>
              </w:rPr>
            </w:pPr>
            <w:r w:rsidRPr="0050261F">
              <w:rPr>
                <w:lang w:val="en-AU"/>
              </w:rPr>
              <w:t xml:space="preserve">Derivation and validation of a formula to estimate </w:t>
            </w:r>
            <w:r w:rsidRPr="0050261F">
              <w:rPr>
                <w:b/>
                <w:lang w:val="en-AU"/>
              </w:rPr>
              <w:t>risk for 30-day readmission</w:t>
            </w:r>
            <w:r w:rsidRPr="0050261F">
              <w:rPr>
                <w:lang w:val="en-AU"/>
              </w:rPr>
              <w:t xml:space="preserve"> in medical patients (Mohammad Taha, Aroop Pal, Jonathan D Mahnken, and Sally K Rigler</w:t>
            </w:r>
            <w:r>
              <w:rPr>
                <w:lang w:val="en-AU"/>
              </w:rPr>
              <w:t>)</w:t>
            </w:r>
          </w:p>
          <w:p w:rsidR="0050261F" w:rsidRPr="0050261F" w:rsidRDefault="0050261F" w:rsidP="0050261F">
            <w:pPr>
              <w:pStyle w:val="ListParagraph"/>
              <w:numPr>
                <w:ilvl w:val="0"/>
                <w:numId w:val="22"/>
              </w:numPr>
              <w:rPr>
                <w:lang w:val="en-AU"/>
              </w:rPr>
            </w:pPr>
            <w:r w:rsidRPr="0050261F">
              <w:rPr>
                <w:b/>
                <w:lang w:val="en-AU"/>
              </w:rPr>
              <w:t>Improved incident reporting</w:t>
            </w:r>
            <w:r w:rsidRPr="0050261F">
              <w:rPr>
                <w:lang w:val="en-AU"/>
              </w:rPr>
              <w:t xml:space="preserve"> following the implementation of a standardized emergency department peer review process (Martin A Reznek and Bruce A Barton</w:t>
            </w:r>
            <w:r>
              <w:rPr>
                <w:lang w:val="en-AU"/>
              </w:rPr>
              <w:t>)</w:t>
            </w:r>
          </w:p>
          <w:p w:rsidR="0050261F" w:rsidRPr="0050261F" w:rsidRDefault="0050261F" w:rsidP="0050261F">
            <w:pPr>
              <w:pStyle w:val="ListParagraph"/>
              <w:numPr>
                <w:ilvl w:val="0"/>
                <w:numId w:val="22"/>
              </w:numPr>
              <w:rPr>
                <w:lang w:val="en-AU"/>
              </w:rPr>
            </w:pPr>
            <w:r w:rsidRPr="0050261F">
              <w:rPr>
                <w:lang w:val="en-AU"/>
              </w:rPr>
              <w:t xml:space="preserve">Learning from the design and development of the </w:t>
            </w:r>
            <w:r w:rsidRPr="0050261F">
              <w:rPr>
                <w:b/>
                <w:lang w:val="en-AU"/>
              </w:rPr>
              <w:t>NHS Safety Thermometer</w:t>
            </w:r>
            <w:r w:rsidRPr="0050261F">
              <w:rPr>
                <w:lang w:val="en-AU"/>
              </w:rPr>
              <w:t xml:space="preserve"> (Maxine Power, Matthew Fogarty, John Madsen, Katherine Fenton, Kevin Stewart, Ailsa Brotherton, Katherine Cheema, Abigail Harrison, and Lloyd Provost</w:t>
            </w:r>
            <w:r>
              <w:rPr>
                <w:lang w:val="en-AU"/>
              </w:rPr>
              <w:t>)</w:t>
            </w:r>
          </w:p>
          <w:p w:rsidR="0050261F" w:rsidRPr="0050261F" w:rsidRDefault="0050261F" w:rsidP="0050261F">
            <w:pPr>
              <w:pStyle w:val="ListParagraph"/>
              <w:numPr>
                <w:ilvl w:val="0"/>
                <w:numId w:val="22"/>
              </w:numPr>
              <w:rPr>
                <w:lang w:val="en-AU"/>
              </w:rPr>
            </w:pPr>
            <w:r w:rsidRPr="0050261F">
              <w:rPr>
                <w:lang w:val="en-AU"/>
              </w:rPr>
              <w:t xml:space="preserve">Relationship between </w:t>
            </w:r>
            <w:r w:rsidRPr="0050261F">
              <w:rPr>
                <w:b/>
                <w:lang w:val="en-AU"/>
              </w:rPr>
              <w:t>preventable hospital deaths</w:t>
            </w:r>
            <w:r w:rsidRPr="0050261F">
              <w:rPr>
                <w:lang w:val="en-AU"/>
              </w:rPr>
              <w:t xml:space="preserve"> and other measures of safety: an exploratory study (Helen Hogan, Frances Healey, Graham Neale, Richard Thomson, Charles Vincent, and Nick Black</w:t>
            </w:r>
            <w:r>
              <w:rPr>
                <w:lang w:val="en-AU"/>
              </w:rPr>
              <w:t>)</w:t>
            </w:r>
          </w:p>
          <w:p w:rsidR="0050261F" w:rsidRPr="0050261F" w:rsidRDefault="0050261F" w:rsidP="0050261F">
            <w:pPr>
              <w:pStyle w:val="ListParagraph"/>
              <w:numPr>
                <w:ilvl w:val="0"/>
                <w:numId w:val="22"/>
              </w:numPr>
              <w:rPr>
                <w:lang w:val="en-AU"/>
              </w:rPr>
            </w:pPr>
            <w:r w:rsidRPr="0050261F">
              <w:rPr>
                <w:lang w:val="en-AU"/>
              </w:rPr>
              <w:t xml:space="preserve">Effects of patient-, environment- and medication-related factors on </w:t>
            </w:r>
            <w:r w:rsidRPr="0050261F">
              <w:rPr>
                <w:b/>
                <w:lang w:val="en-AU"/>
              </w:rPr>
              <w:t>high-alert medication incidents</w:t>
            </w:r>
            <w:r w:rsidRPr="0050261F">
              <w:rPr>
                <w:lang w:val="en-AU"/>
              </w:rPr>
              <w:t xml:space="preserve"> (Elizabeth Manias, Allison Williams, Danny Liew, Sascha Rixon, Sandy Braaf, and Sue Finch</w:t>
            </w:r>
            <w:r>
              <w:rPr>
                <w:lang w:val="en-AU"/>
              </w:rPr>
              <w:t>)</w:t>
            </w:r>
          </w:p>
          <w:p w:rsidR="0050261F" w:rsidRPr="0050261F" w:rsidRDefault="0050261F" w:rsidP="0050261F">
            <w:pPr>
              <w:pStyle w:val="ListParagraph"/>
              <w:numPr>
                <w:ilvl w:val="0"/>
                <w:numId w:val="22"/>
              </w:numPr>
              <w:rPr>
                <w:lang w:val="en-AU"/>
              </w:rPr>
            </w:pPr>
            <w:r w:rsidRPr="0050261F">
              <w:rPr>
                <w:b/>
                <w:lang w:val="en-AU"/>
              </w:rPr>
              <w:t>Harnessing implementation science</w:t>
            </w:r>
            <w:r w:rsidRPr="0050261F">
              <w:rPr>
                <w:lang w:val="en-AU"/>
              </w:rPr>
              <w:t xml:space="preserve"> to improve care quality and patient safety: a systematic review of targeted literature (Jeffrey Braithwaite, Danielle Marks, and Natalie Taylor</w:t>
            </w:r>
            <w:r>
              <w:rPr>
                <w:lang w:val="en-AU"/>
              </w:rPr>
              <w:t>)</w:t>
            </w:r>
          </w:p>
          <w:p w:rsidR="0050261F" w:rsidRPr="00BE3C51" w:rsidRDefault="0050261F" w:rsidP="0050261F">
            <w:pPr>
              <w:pStyle w:val="ListParagraph"/>
              <w:numPr>
                <w:ilvl w:val="0"/>
                <w:numId w:val="22"/>
              </w:numPr>
              <w:rPr>
                <w:lang w:val="en-AU"/>
              </w:rPr>
            </w:pPr>
            <w:proofErr w:type="gramStart"/>
            <w:r w:rsidRPr="0050261F">
              <w:rPr>
                <w:lang w:val="en-AU"/>
              </w:rPr>
              <w:t xml:space="preserve">Does </w:t>
            </w:r>
            <w:r w:rsidRPr="0050261F">
              <w:rPr>
                <w:b/>
                <w:lang w:val="en-AU"/>
              </w:rPr>
              <w:t>regulating private long-term care facilities</w:t>
            </w:r>
            <w:proofErr w:type="gramEnd"/>
            <w:r w:rsidRPr="0050261F">
              <w:rPr>
                <w:lang w:val="en-AU"/>
              </w:rPr>
              <w:t xml:space="preserve"> lead to better care? A study from Quebec, Canada (Gina Bravo, Marie-France Dubois, Louis Demers, Nicole Dubuc, Danièle Blanchette, Karen Painter, Catherine Lestage, and Cinthia Corbin</w:t>
            </w:r>
            <w:r>
              <w:rPr>
                <w:lang w:val="en-AU"/>
              </w:rPr>
              <w:t>)</w:t>
            </w:r>
          </w:p>
        </w:tc>
      </w:tr>
    </w:tbl>
    <w:p w:rsidR="0050261F" w:rsidRPr="0048169F" w:rsidRDefault="0050261F" w:rsidP="00E724CB">
      <w:pPr>
        <w:rPr>
          <w:i/>
          <w:lang w:val="en-AU"/>
        </w:rPr>
      </w:pPr>
    </w:p>
    <w:p w:rsidR="00500DC0" w:rsidRPr="0048169F" w:rsidRDefault="00500DC0" w:rsidP="00500DC0">
      <w:pPr>
        <w:keepNext/>
        <w:rPr>
          <w:lang w:val="en-AU"/>
        </w:rPr>
      </w:pPr>
      <w:r w:rsidRPr="0048169F">
        <w:rPr>
          <w:i/>
          <w:lang w:val="en-AU"/>
        </w:rPr>
        <w:t xml:space="preserve">BMJ Quality and Safety </w:t>
      </w:r>
      <w:r w:rsidRPr="0048169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C61ACD"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C61ACD" w:rsidRPr="0048169F" w:rsidRDefault="00C61ACD" w:rsidP="00260459">
            <w:pPr>
              <w:rPr>
                <w:lang w:val="en-AU"/>
              </w:rPr>
            </w:pPr>
            <w:r w:rsidRPr="0048169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ACD" w:rsidRPr="0048169F" w:rsidRDefault="00A83A35" w:rsidP="00260459">
            <w:pPr>
              <w:rPr>
                <w:lang w:val="en-AU"/>
              </w:rPr>
            </w:pPr>
            <w:hyperlink r:id="rId28" w:history="1">
              <w:r w:rsidR="00C61ACD" w:rsidRPr="0048169F">
                <w:rPr>
                  <w:rStyle w:val="Hyperlink"/>
                  <w:lang w:val="en-AU"/>
                </w:rPr>
                <w:t>http://qualitysafety.bmj.com/content/early/recent</w:t>
              </w:r>
            </w:hyperlink>
          </w:p>
        </w:tc>
      </w:tr>
      <w:tr w:rsidR="00500DC0" w:rsidRPr="0048169F" w:rsidTr="00260459">
        <w:tc>
          <w:tcPr>
            <w:tcW w:w="10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260459">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0DC0" w:rsidRPr="0048169F" w:rsidRDefault="00500DC0" w:rsidP="00260459">
            <w:pPr>
              <w:rPr>
                <w:lang w:val="en-AU"/>
              </w:rPr>
            </w:pPr>
            <w:r w:rsidRPr="0048169F">
              <w:rPr>
                <w:i/>
                <w:lang w:val="en-AU"/>
              </w:rPr>
              <w:t>BMJ Quality and Safety</w:t>
            </w:r>
            <w:r w:rsidRPr="0048169F">
              <w:rPr>
                <w:lang w:val="en-AU"/>
              </w:rPr>
              <w:t xml:space="preserve"> has published a number of ‘online first’ articles, including:</w:t>
            </w:r>
          </w:p>
          <w:p w:rsidR="00500DC0" w:rsidRDefault="00E206DA" w:rsidP="00E206DA">
            <w:pPr>
              <w:pStyle w:val="ListParagraph"/>
              <w:numPr>
                <w:ilvl w:val="0"/>
                <w:numId w:val="14"/>
              </w:numPr>
              <w:rPr>
                <w:lang w:val="en-AU"/>
              </w:rPr>
            </w:pPr>
            <w:r w:rsidRPr="00E206DA">
              <w:rPr>
                <w:lang w:val="en-AU"/>
              </w:rPr>
              <w:t xml:space="preserve">Moving improvement research closer to practice: the </w:t>
            </w:r>
            <w:r w:rsidRPr="00E206DA">
              <w:rPr>
                <w:b/>
                <w:lang w:val="en-AU"/>
              </w:rPr>
              <w:t>Researcher-in-Residence</w:t>
            </w:r>
            <w:r w:rsidRPr="00E206DA">
              <w:rPr>
                <w:lang w:val="en-AU"/>
              </w:rPr>
              <w:t xml:space="preserve"> model </w:t>
            </w:r>
            <w:r>
              <w:rPr>
                <w:lang w:val="en-AU"/>
              </w:rPr>
              <w:t>(</w:t>
            </w:r>
            <w:r w:rsidRPr="00E206DA">
              <w:rPr>
                <w:lang w:val="en-AU"/>
              </w:rPr>
              <w:t>Martin Marshall, Christina Pagel, Catherine French, Martin Utley, Dominique Allwood, Naomi Fulop, Catherine Pope, Victoria Banks, Allan Goldmann</w:t>
            </w:r>
            <w:r>
              <w:rPr>
                <w:lang w:val="en-AU"/>
              </w:rPr>
              <w:t>)</w:t>
            </w:r>
          </w:p>
          <w:p w:rsidR="00F23FE9" w:rsidRPr="00F23FE9" w:rsidRDefault="001F7AC8" w:rsidP="00F23FE9">
            <w:pPr>
              <w:pStyle w:val="ListParagraph"/>
              <w:numPr>
                <w:ilvl w:val="0"/>
                <w:numId w:val="14"/>
              </w:numPr>
              <w:rPr>
                <w:lang w:val="en-AU"/>
              </w:rPr>
            </w:pPr>
            <w:r w:rsidRPr="00F23FE9">
              <w:rPr>
                <w:b/>
                <w:lang w:val="en-AU"/>
              </w:rPr>
              <w:t>From harm to hope</w:t>
            </w:r>
            <w:r w:rsidRPr="00F23FE9">
              <w:rPr>
                <w:lang w:val="en-AU"/>
              </w:rPr>
              <w:t xml:space="preserve"> and purposeful action: what could we do after Francis? (Tricia Woodhead, Peter Lachman, James Mountford, Laura Botwinick, Carol Peden, Kevin Stewart)</w:t>
            </w:r>
            <w:r w:rsidR="00F23FE9" w:rsidRPr="00F23FE9">
              <w:rPr>
                <w:b/>
                <w:lang w:val="en-AU"/>
              </w:rPr>
              <w:t>U</w:t>
            </w:r>
          </w:p>
          <w:p w:rsidR="00F23FE9" w:rsidRPr="0048169F" w:rsidRDefault="00F23FE9" w:rsidP="00F23FE9">
            <w:pPr>
              <w:pStyle w:val="ListParagraph"/>
              <w:numPr>
                <w:ilvl w:val="0"/>
                <w:numId w:val="14"/>
              </w:numPr>
              <w:rPr>
                <w:lang w:val="en-AU"/>
              </w:rPr>
            </w:pPr>
            <w:r w:rsidRPr="00F23FE9">
              <w:rPr>
                <w:lang w:val="en-AU"/>
              </w:rPr>
              <w:t xml:space="preserve">Mitigating </w:t>
            </w:r>
            <w:r w:rsidRPr="00F23FE9">
              <w:rPr>
                <w:b/>
                <w:lang w:val="en-AU"/>
              </w:rPr>
              <w:t>errors caused by interruptions</w:t>
            </w:r>
            <w:r w:rsidRPr="00F23FE9">
              <w:rPr>
                <w:lang w:val="en-AU"/>
              </w:rPr>
              <w:t xml:space="preserve"> during medication verification and administration: interventions in a simulated ambulatory chemotherapy setting </w:t>
            </w:r>
            <w:r>
              <w:rPr>
                <w:lang w:val="en-AU"/>
              </w:rPr>
              <w:t>(</w:t>
            </w:r>
            <w:r w:rsidRPr="00F23FE9">
              <w:rPr>
                <w:lang w:val="en-AU"/>
              </w:rPr>
              <w:t>Varuna Prakash, Christine Koczmara, Pamela Savage, Katherine Trip, Janice Stewart, Tara McCurdie, Joseph A Cafazzo, Patricia Trbovich</w:t>
            </w:r>
            <w:r>
              <w:rPr>
                <w:lang w:val="en-AU"/>
              </w:rPr>
              <w:t>)</w:t>
            </w:r>
          </w:p>
        </w:tc>
      </w:tr>
    </w:tbl>
    <w:p w:rsidR="003D1368" w:rsidRDefault="003D1368" w:rsidP="00571B6D">
      <w:pPr>
        <w:keepNext/>
        <w:autoSpaceDE w:val="0"/>
        <w:autoSpaceDN w:val="0"/>
        <w:adjustRightInd w:val="0"/>
        <w:rPr>
          <w:i/>
          <w:lang w:val="en-AU"/>
        </w:rPr>
      </w:pPr>
    </w:p>
    <w:p w:rsidR="00F23FE9" w:rsidRDefault="00F23FE9">
      <w:pPr>
        <w:rPr>
          <w:b/>
          <w:lang w:val="en-AU"/>
        </w:rPr>
      </w:pPr>
      <w:r>
        <w:rPr>
          <w:b/>
          <w:lang w:val="en-AU"/>
        </w:rPr>
        <w:br w:type="page"/>
      </w:r>
    </w:p>
    <w:p w:rsidR="00CF5D1E" w:rsidRPr="0048169F" w:rsidRDefault="00CF5D1E" w:rsidP="0029518F">
      <w:pPr>
        <w:rPr>
          <w:b/>
          <w:lang w:val="en-AU"/>
        </w:rPr>
      </w:pPr>
      <w:r w:rsidRPr="0048169F">
        <w:rPr>
          <w:b/>
          <w:lang w:val="en-AU"/>
        </w:rPr>
        <w:lastRenderedPageBreak/>
        <w:t>Online resources</w:t>
      </w:r>
    </w:p>
    <w:p w:rsidR="00CF5D1E" w:rsidRPr="0048169F" w:rsidRDefault="00CF5D1E" w:rsidP="0029518F">
      <w:pPr>
        <w:rPr>
          <w:lang w:val="en-AU"/>
        </w:rPr>
      </w:pPr>
    </w:p>
    <w:p w:rsidR="001F207B" w:rsidRDefault="001F207B" w:rsidP="007555DD">
      <w:pPr>
        <w:keepNext/>
        <w:rPr>
          <w:i/>
          <w:lang w:val="en-AU"/>
        </w:rPr>
      </w:pPr>
      <w:r>
        <w:rPr>
          <w:i/>
          <w:lang w:val="en-AU"/>
        </w:rPr>
        <w:t>[UK]</w:t>
      </w:r>
      <w:r w:rsidRPr="001F207B">
        <w:t xml:space="preserve"> </w:t>
      </w:r>
      <w:r w:rsidRPr="001F207B">
        <w:rPr>
          <w:i/>
          <w:lang w:val="en-AU"/>
        </w:rPr>
        <w:t>Patient and Family-Centred Care toolkit</w:t>
      </w:r>
    </w:p>
    <w:p w:rsidR="001F207B" w:rsidRDefault="00A83A35" w:rsidP="007555DD">
      <w:pPr>
        <w:keepNext/>
        <w:rPr>
          <w:lang w:val="en-AU"/>
        </w:rPr>
      </w:pPr>
      <w:hyperlink r:id="rId29" w:history="1">
        <w:r w:rsidR="001F207B" w:rsidRPr="00275FE1">
          <w:rPr>
            <w:rStyle w:val="Hyperlink"/>
            <w:lang w:val="en-AU"/>
          </w:rPr>
          <w:t>http://www.kingsfund.org.uk/projects/pfcc</w:t>
        </w:r>
      </w:hyperlink>
    </w:p>
    <w:p w:rsidR="001F207B" w:rsidRPr="001F207B" w:rsidRDefault="001F207B" w:rsidP="007555DD">
      <w:pPr>
        <w:keepNext/>
        <w:rPr>
          <w:lang w:val="en-AU"/>
        </w:rPr>
      </w:pPr>
      <w:r>
        <w:rPr>
          <w:lang w:val="en-AU"/>
        </w:rPr>
        <w:t xml:space="preserve">The King’s Fund in the UK has published this toolkit. According to the website, the </w:t>
      </w:r>
      <w:r w:rsidRPr="001F207B">
        <w:rPr>
          <w:lang w:val="en-AU"/>
        </w:rPr>
        <w:t xml:space="preserve">toolkit is a </w:t>
      </w:r>
      <w:r>
        <w:rPr>
          <w:lang w:val="en-AU"/>
        </w:rPr>
        <w:t>“</w:t>
      </w:r>
      <w:r w:rsidRPr="001F207B">
        <w:rPr>
          <w:lang w:val="en-AU"/>
        </w:rPr>
        <w:t>step-by-step guide to improving processes of care and staff–patient interactions, using a technique called Patient and Family-Centred Care (PFCC). It offers a simple way for health care organisations to show their commitment to patients’ experience of the care they receive while also attending to the wellbeing of the staff who deliver that care.</w:t>
      </w:r>
      <w:r>
        <w:rPr>
          <w:lang w:val="en-AU"/>
        </w:rPr>
        <w:t>”</w:t>
      </w:r>
    </w:p>
    <w:p w:rsidR="001F207B" w:rsidRPr="001F207B" w:rsidRDefault="001F207B" w:rsidP="007555DD">
      <w:pPr>
        <w:keepNext/>
        <w:rPr>
          <w:lang w:val="en-AU"/>
        </w:rPr>
      </w:pPr>
    </w:p>
    <w:p w:rsidR="007555DD" w:rsidRPr="0086613B" w:rsidRDefault="007555DD" w:rsidP="007555DD">
      <w:pPr>
        <w:keepNext/>
        <w:rPr>
          <w:i/>
          <w:lang w:val="en-AU"/>
        </w:rPr>
      </w:pPr>
      <w:r w:rsidRPr="0086613B">
        <w:rPr>
          <w:i/>
          <w:lang w:val="en-AU"/>
        </w:rPr>
        <w:t>[UK] NICE Evidence Updates</w:t>
      </w:r>
    </w:p>
    <w:p w:rsidR="007555DD" w:rsidRDefault="00A83A35" w:rsidP="007555DD">
      <w:pPr>
        <w:keepNext/>
        <w:rPr>
          <w:rStyle w:val="Hyperlink"/>
          <w:lang w:val="en-AU"/>
        </w:rPr>
      </w:pPr>
      <w:hyperlink r:id="rId30" w:history="1">
        <w:r w:rsidR="007555DD" w:rsidRPr="009111DC">
          <w:rPr>
            <w:rStyle w:val="Hyperlink"/>
            <w:lang w:val="en-AU"/>
          </w:rPr>
          <w:t>https://www.evidence.nhs.uk/about-evidence-services/bulletins-and-alerts/evidence-updates</w:t>
        </w:r>
      </w:hyperlink>
    </w:p>
    <w:p w:rsidR="00735855" w:rsidRPr="00735855" w:rsidRDefault="007555DD" w:rsidP="00735855">
      <w:pPr>
        <w:rPr>
          <w:lang w:val="en-AU"/>
        </w:rPr>
      </w:pPr>
      <w:r>
        <w:rPr>
          <w:lang w:val="en-AU"/>
        </w:rPr>
        <w:t xml:space="preserve">The UK’s National Institute for Health and Care Excellence (NICE) has published </w:t>
      </w:r>
      <w:r w:rsidR="00735855">
        <w:rPr>
          <w:lang w:val="en-AU"/>
        </w:rPr>
        <w:t xml:space="preserve">two </w:t>
      </w:r>
      <w:r>
        <w:rPr>
          <w:lang w:val="en-AU"/>
        </w:rPr>
        <w:t xml:space="preserve">updates on their </w:t>
      </w:r>
      <w:r w:rsidRPr="0086613B">
        <w:rPr>
          <w:lang w:val="en-AU"/>
        </w:rPr>
        <w:t xml:space="preserve">Evidence Updates </w:t>
      </w:r>
      <w:r>
        <w:rPr>
          <w:lang w:val="en-AU"/>
        </w:rPr>
        <w:t>site. The new update</w:t>
      </w:r>
      <w:r w:rsidR="00735855">
        <w:rPr>
          <w:lang w:val="en-AU"/>
        </w:rPr>
        <w:t>s are</w:t>
      </w:r>
      <w:r>
        <w:rPr>
          <w:lang w:val="en-AU"/>
        </w:rPr>
        <w:t xml:space="preserve"> on </w:t>
      </w:r>
      <w:r w:rsidRPr="007555DD">
        <w:rPr>
          <w:lang w:val="en-AU"/>
        </w:rPr>
        <w:t>‘</w:t>
      </w:r>
      <w:r w:rsidRPr="007555DD">
        <w:rPr>
          <w:b/>
          <w:lang w:val="en-AU"/>
        </w:rPr>
        <w:t>Sickle cell acute painful episode</w:t>
      </w:r>
      <w:r w:rsidRPr="007555DD">
        <w:rPr>
          <w:lang w:val="en-AU"/>
        </w:rPr>
        <w:t>’</w:t>
      </w:r>
      <w:r w:rsidR="00735855">
        <w:rPr>
          <w:lang w:val="en-AU"/>
        </w:rPr>
        <w:t xml:space="preserve"> and </w:t>
      </w:r>
      <w:r w:rsidR="00735855" w:rsidRPr="00735855">
        <w:rPr>
          <w:lang w:val="en-AU"/>
        </w:rPr>
        <w:t>‘</w:t>
      </w:r>
      <w:r w:rsidR="00735855" w:rsidRPr="00735855">
        <w:rPr>
          <w:b/>
          <w:lang w:val="en-AU"/>
        </w:rPr>
        <w:t>Service user experience in adult mental health</w:t>
      </w:r>
      <w:r w:rsidR="00735855" w:rsidRPr="00735855">
        <w:rPr>
          <w:lang w:val="en-AU"/>
        </w:rPr>
        <w:t>’.</w:t>
      </w:r>
    </w:p>
    <w:p w:rsidR="007555DD" w:rsidRPr="007555DD" w:rsidRDefault="007555DD" w:rsidP="007555DD">
      <w:pPr>
        <w:rPr>
          <w:lang w:val="en-AU"/>
        </w:rPr>
      </w:pPr>
      <w:r w:rsidRPr="007555DD">
        <w:rPr>
          <w:lang w:val="en-AU"/>
        </w:rPr>
        <w:t>The new Evidence Update</w:t>
      </w:r>
      <w:r w:rsidR="00735855">
        <w:rPr>
          <w:lang w:val="en-AU"/>
        </w:rPr>
        <w:t>s</w:t>
      </w:r>
      <w:r w:rsidRPr="007555DD">
        <w:rPr>
          <w:lang w:val="en-AU"/>
        </w:rPr>
        <w:t xml:space="preserve"> focuses on a summary of selected new evidence relevant to NICE clinical guideline 143 ‘Sickle cell acute painful episode: management of an acute painful sickle cell episode in hospital’ (2012)</w:t>
      </w:r>
      <w:r w:rsidR="00735855">
        <w:rPr>
          <w:lang w:val="en-AU"/>
        </w:rPr>
        <w:t xml:space="preserve"> and </w:t>
      </w:r>
      <w:r w:rsidR="00735855" w:rsidRPr="00735855">
        <w:rPr>
          <w:lang w:val="en-AU"/>
        </w:rPr>
        <w:t>clinical guideline 136 ‘Service user experience in adult mental health: improving the experience of care for people using adult NHS mental health services’ (2011)</w:t>
      </w:r>
      <w:r w:rsidRPr="007555DD">
        <w:rPr>
          <w:lang w:val="en-AU"/>
        </w:rPr>
        <w:t>.</w:t>
      </w:r>
    </w:p>
    <w:p w:rsidR="007555DD" w:rsidRDefault="007555DD" w:rsidP="007555DD">
      <w:pPr>
        <w:rPr>
          <w:lang w:val="en-AU"/>
        </w:rPr>
      </w:pPr>
    </w:p>
    <w:p w:rsidR="00DB7D72" w:rsidRDefault="00DB7D72" w:rsidP="0029518F">
      <w:pPr>
        <w:rPr>
          <w:lang w:val="en-AU"/>
        </w:rPr>
      </w:pPr>
    </w:p>
    <w:p w:rsidR="00B160EF" w:rsidRPr="0048169F" w:rsidRDefault="00B160EF" w:rsidP="00B160EF">
      <w:pPr>
        <w:keepNext/>
        <w:pBdr>
          <w:top w:val="single" w:sz="4" w:space="1" w:color="auto"/>
        </w:pBdr>
        <w:rPr>
          <w:b/>
          <w:lang w:val="en-AU"/>
        </w:rPr>
      </w:pPr>
      <w:r w:rsidRPr="0048169F">
        <w:rPr>
          <w:b/>
          <w:lang w:val="en-AU"/>
        </w:rPr>
        <w:t>Disclaimer</w:t>
      </w:r>
    </w:p>
    <w:p w:rsidR="00E41D2F" w:rsidRPr="0048169F" w:rsidRDefault="00B160EF" w:rsidP="00B160EF">
      <w:pPr>
        <w:rPr>
          <w:lang w:val="en-AU"/>
        </w:rPr>
      </w:pPr>
      <w:r w:rsidRPr="0048169F">
        <w:rPr>
          <w:i/>
          <w:lang w:val="en-AU"/>
        </w:rPr>
        <w:t xml:space="preserve">On the </w:t>
      </w:r>
      <w:r w:rsidR="001A66F9" w:rsidRPr="0048169F">
        <w:rPr>
          <w:i/>
          <w:lang w:val="en-AU"/>
        </w:rPr>
        <w:t>R</w:t>
      </w:r>
      <w:r w:rsidRPr="0048169F">
        <w:rPr>
          <w:i/>
          <w:lang w:val="en-AU"/>
        </w:rPr>
        <w:t>adar</w:t>
      </w:r>
      <w:r w:rsidRPr="0048169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48169F"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35" w:rsidRDefault="00A83A35">
      <w:r>
        <w:separator/>
      </w:r>
    </w:p>
  </w:endnote>
  <w:endnote w:type="continuationSeparator" w:id="0">
    <w:p w:rsidR="00A83A35" w:rsidRDefault="00A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F248B">
      <w:rPr>
        <w:rStyle w:val="PageNumber"/>
        <w:noProof/>
      </w:rPr>
      <w:t>6</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t xml:space="preserve"> Issue 177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48B">
      <w:rPr>
        <w:rStyle w:val="PageNumber"/>
        <w:noProof/>
      </w:rPr>
      <w:t>7</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t xml:space="preserve"> Issue 177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35" w:rsidRDefault="00A83A35">
      <w:r>
        <w:separator/>
      </w:r>
    </w:p>
  </w:footnote>
  <w:footnote w:type="continuationSeparator" w:id="0">
    <w:p w:rsidR="00A83A35" w:rsidRDefault="00A83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4">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3E6E8E"/>
    <w:multiLevelType w:val="hybridMultilevel"/>
    <w:tmpl w:val="0052B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6"/>
  </w:num>
  <w:num w:numId="15">
    <w:abstractNumId w:val="22"/>
  </w:num>
  <w:num w:numId="16">
    <w:abstractNumId w:val="12"/>
  </w:num>
  <w:num w:numId="17">
    <w:abstractNumId w:val="19"/>
  </w:num>
  <w:num w:numId="18">
    <w:abstractNumId w:val="11"/>
  </w:num>
  <w:num w:numId="19">
    <w:abstractNumId w:val="21"/>
  </w:num>
  <w:num w:numId="20">
    <w:abstractNumId w:val="14"/>
  </w:num>
  <w:num w:numId="21">
    <w:abstractNumId w:val="13"/>
  </w:num>
  <w:num w:numId="22">
    <w:abstractNumId w:val="10"/>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0EA"/>
    <w:rsid w:val="000415BB"/>
    <w:rsid w:val="00041D6C"/>
    <w:rsid w:val="00041DCB"/>
    <w:rsid w:val="0004277C"/>
    <w:rsid w:val="00042E73"/>
    <w:rsid w:val="00042F4F"/>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797"/>
    <w:rsid w:val="00126FD4"/>
    <w:rsid w:val="00127226"/>
    <w:rsid w:val="001273B5"/>
    <w:rsid w:val="0012775E"/>
    <w:rsid w:val="00127795"/>
    <w:rsid w:val="00127D2C"/>
    <w:rsid w:val="00131221"/>
    <w:rsid w:val="00131BB6"/>
    <w:rsid w:val="00132070"/>
    <w:rsid w:val="001324C0"/>
    <w:rsid w:val="00132A3B"/>
    <w:rsid w:val="00132EF5"/>
    <w:rsid w:val="00132F90"/>
    <w:rsid w:val="00133C54"/>
    <w:rsid w:val="00133F98"/>
    <w:rsid w:val="00134B2C"/>
    <w:rsid w:val="0013508C"/>
    <w:rsid w:val="001350D7"/>
    <w:rsid w:val="001350FD"/>
    <w:rsid w:val="00135862"/>
    <w:rsid w:val="00135E62"/>
    <w:rsid w:val="00136065"/>
    <w:rsid w:val="00136382"/>
    <w:rsid w:val="00136414"/>
    <w:rsid w:val="00136524"/>
    <w:rsid w:val="001368D7"/>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6E79"/>
    <w:rsid w:val="001C7180"/>
    <w:rsid w:val="001C72D1"/>
    <w:rsid w:val="001C72EF"/>
    <w:rsid w:val="001C780E"/>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48B8"/>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BC"/>
    <w:rsid w:val="0026155C"/>
    <w:rsid w:val="002625FB"/>
    <w:rsid w:val="00262A5A"/>
    <w:rsid w:val="002631CE"/>
    <w:rsid w:val="0026337E"/>
    <w:rsid w:val="00263426"/>
    <w:rsid w:val="00263733"/>
    <w:rsid w:val="00263833"/>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524"/>
    <w:rsid w:val="00377724"/>
    <w:rsid w:val="00377748"/>
    <w:rsid w:val="00377D6C"/>
    <w:rsid w:val="00377F26"/>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FD"/>
    <w:rsid w:val="003F2824"/>
    <w:rsid w:val="003F2A65"/>
    <w:rsid w:val="003F2DD2"/>
    <w:rsid w:val="003F2DE4"/>
    <w:rsid w:val="003F2E1F"/>
    <w:rsid w:val="003F31CB"/>
    <w:rsid w:val="003F3635"/>
    <w:rsid w:val="003F40F5"/>
    <w:rsid w:val="003F4118"/>
    <w:rsid w:val="003F44A6"/>
    <w:rsid w:val="003F46F5"/>
    <w:rsid w:val="003F4920"/>
    <w:rsid w:val="003F4A3F"/>
    <w:rsid w:val="003F54E6"/>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402"/>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77C"/>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AFC"/>
    <w:rsid w:val="00576EB9"/>
    <w:rsid w:val="00577B2C"/>
    <w:rsid w:val="00580B17"/>
    <w:rsid w:val="00580D09"/>
    <w:rsid w:val="00580E03"/>
    <w:rsid w:val="005814DF"/>
    <w:rsid w:val="00581A15"/>
    <w:rsid w:val="00581DE9"/>
    <w:rsid w:val="0058216A"/>
    <w:rsid w:val="005824D6"/>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593C"/>
    <w:rsid w:val="005A5D09"/>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7B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42"/>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5FB1"/>
    <w:rsid w:val="006364DC"/>
    <w:rsid w:val="006368ED"/>
    <w:rsid w:val="006369A6"/>
    <w:rsid w:val="00636C88"/>
    <w:rsid w:val="00637784"/>
    <w:rsid w:val="00637814"/>
    <w:rsid w:val="0063796C"/>
    <w:rsid w:val="006379E9"/>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842"/>
    <w:rsid w:val="00670A47"/>
    <w:rsid w:val="0067101B"/>
    <w:rsid w:val="0067103C"/>
    <w:rsid w:val="00671598"/>
    <w:rsid w:val="006717B9"/>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7B9"/>
    <w:rsid w:val="006E787A"/>
    <w:rsid w:val="006E7A6D"/>
    <w:rsid w:val="006E7AF8"/>
    <w:rsid w:val="006F016B"/>
    <w:rsid w:val="006F02A7"/>
    <w:rsid w:val="006F059E"/>
    <w:rsid w:val="006F0978"/>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036"/>
    <w:rsid w:val="006F7799"/>
    <w:rsid w:val="006F7B46"/>
    <w:rsid w:val="00700060"/>
    <w:rsid w:val="0070055D"/>
    <w:rsid w:val="0070162B"/>
    <w:rsid w:val="007019F7"/>
    <w:rsid w:val="00701DEC"/>
    <w:rsid w:val="0070233A"/>
    <w:rsid w:val="00702844"/>
    <w:rsid w:val="00702C84"/>
    <w:rsid w:val="00703176"/>
    <w:rsid w:val="00704388"/>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DF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2AB"/>
    <w:rsid w:val="00801658"/>
    <w:rsid w:val="00802AFE"/>
    <w:rsid w:val="00802C32"/>
    <w:rsid w:val="00803A1B"/>
    <w:rsid w:val="00803BF6"/>
    <w:rsid w:val="008041DE"/>
    <w:rsid w:val="008042C5"/>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526"/>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7D35"/>
    <w:rsid w:val="00901BBB"/>
    <w:rsid w:val="00901CE3"/>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88B"/>
    <w:rsid w:val="00960A46"/>
    <w:rsid w:val="0096150A"/>
    <w:rsid w:val="0096180C"/>
    <w:rsid w:val="00961B88"/>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75C"/>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164B"/>
    <w:rsid w:val="00A7178D"/>
    <w:rsid w:val="00A71C25"/>
    <w:rsid w:val="00A71DA9"/>
    <w:rsid w:val="00A722BE"/>
    <w:rsid w:val="00A72485"/>
    <w:rsid w:val="00A72684"/>
    <w:rsid w:val="00A728B1"/>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C6A"/>
    <w:rsid w:val="00A80D5E"/>
    <w:rsid w:val="00A811E4"/>
    <w:rsid w:val="00A812C3"/>
    <w:rsid w:val="00A81422"/>
    <w:rsid w:val="00A81A8D"/>
    <w:rsid w:val="00A81C96"/>
    <w:rsid w:val="00A81EAD"/>
    <w:rsid w:val="00A81EEE"/>
    <w:rsid w:val="00A81FB5"/>
    <w:rsid w:val="00A8220F"/>
    <w:rsid w:val="00A828CF"/>
    <w:rsid w:val="00A82C96"/>
    <w:rsid w:val="00A834EB"/>
    <w:rsid w:val="00A83604"/>
    <w:rsid w:val="00A83A35"/>
    <w:rsid w:val="00A83E18"/>
    <w:rsid w:val="00A83F08"/>
    <w:rsid w:val="00A8405E"/>
    <w:rsid w:val="00A84250"/>
    <w:rsid w:val="00A85446"/>
    <w:rsid w:val="00A8569F"/>
    <w:rsid w:val="00A85FB5"/>
    <w:rsid w:val="00A8615C"/>
    <w:rsid w:val="00A86EBE"/>
    <w:rsid w:val="00A8759A"/>
    <w:rsid w:val="00A8793D"/>
    <w:rsid w:val="00A87C7C"/>
    <w:rsid w:val="00A90602"/>
    <w:rsid w:val="00A9069B"/>
    <w:rsid w:val="00A909BA"/>
    <w:rsid w:val="00A909F9"/>
    <w:rsid w:val="00A90A50"/>
    <w:rsid w:val="00A90D32"/>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5EA"/>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41A"/>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7"/>
    <w:rsid w:val="00B453EE"/>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C0F"/>
    <w:rsid w:val="00BF2C45"/>
    <w:rsid w:val="00BF3B58"/>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7A8"/>
    <w:rsid w:val="00C33AAE"/>
    <w:rsid w:val="00C346B7"/>
    <w:rsid w:val="00C353F5"/>
    <w:rsid w:val="00C354A0"/>
    <w:rsid w:val="00C35747"/>
    <w:rsid w:val="00C35C58"/>
    <w:rsid w:val="00C35E60"/>
    <w:rsid w:val="00C35FB9"/>
    <w:rsid w:val="00C3602D"/>
    <w:rsid w:val="00C36243"/>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19"/>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155"/>
    <w:rsid w:val="00CB3214"/>
    <w:rsid w:val="00CB432B"/>
    <w:rsid w:val="00CB4765"/>
    <w:rsid w:val="00CB4CD1"/>
    <w:rsid w:val="00CB5760"/>
    <w:rsid w:val="00CB66FD"/>
    <w:rsid w:val="00CB6B38"/>
    <w:rsid w:val="00CB6B58"/>
    <w:rsid w:val="00CB6DC3"/>
    <w:rsid w:val="00CB6E58"/>
    <w:rsid w:val="00CB70B1"/>
    <w:rsid w:val="00CB7EEA"/>
    <w:rsid w:val="00CC0782"/>
    <w:rsid w:val="00CC0AB1"/>
    <w:rsid w:val="00CC0AD5"/>
    <w:rsid w:val="00CC0BDC"/>
    <w:rsid w:val="00CC0C40"/>
    <w:rsid w:val="00CC0CF3"/>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5927"/>
    <w:rsid w:val="00D15EEA"/>
    <w:rsid w:val="00D1602E"/>
    <w:rsid w:val="00D16155"/>
    <w:rsid w:val="00D168E9"/>
    <w:rsid w:val="00D16ADC"/>
    <w:rsid w:val="00D16B3E"/>
    <w:rsid w:val="00D16D3A"/>
    <w:rsid w:val="00D171CC"/>
    <w:rsid w:val="00D17769"/>
    <w:rsid w:val="00D17EF8"/>
    <w:rsid w:val="00D2101C"/>
    <w:rsid w:val="00D21AC0"/>
    <w:rsid w:val="00D21F47"/>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612"/>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9C6"/>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361"/>
    <w:rsid w:val="00D8240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5D18"/>
    <w:rsid w:val="00DB6315"/>
    <w:rsid w:val="00DB7040"/>
    <w:rsid w:val="00DB73C9"/>
    <w:rsid w:val="00DB74E4"/>
    <w:rsid w:val="00DB7551"/>
    <w:rsid w:val="00DB78EB"/>
    <w:rsid w:val="00DB7D72"/>
    <w:rsid w:val="00DC004A"/>
    <w:rsid w:val="00DC0BEA"/>
    <w:rsid w:val="00DC0CC4"/>
    <w:rsid w:val="00DC0E9B"/>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E7FAD"/>
    <w:rsid w:val="00DF0710"/>
    <w:rsid w:val="00DF08B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9F"/>
    <w:rsid w:val="00F90105"/>
    <w:rsid w:val="00F905D5"/>
    <w:rsid w:val="00F906C7"/>
    <w:rsid w:val="00F91D40"/>
    <w:rsid w:val="00F91D78"/>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47E"/>
    <w:rsid w:val="00FC2C95"/>
    <w:rsid w:val="00FC2F66"/>
    <w:rsid w:val="00FC382C"/>
    <w:rsid w:val="00FC4010"/>
    <w:rsid w:val="00FC41E7"/>
    <w:rsid w:val="00FC420B"/>
    <w:rsid w:val="00FC4F00"/>
    <w:rsid w:val="00FC5148"/>
    <w:rsid w:val="00FC5F49"/>
    <w:rsid w:val="00FC60E1"/>
    <w:rsid w:val="00FC6103"/>
    <w:rsid w:val="00FC627B"/>
    <w:rsid w:val="00FC6295"/>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60A2"/>
    <w:rsid w:val="00FE6212"/>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ahha.asn.au/publication/health-policy-issue-briefs/can-we-improve-health-system-pay-performance" TargetMode="External"/><Relationship Id="rId26" Type="http://schemas.openxmlformats.org/officeDocument/2006/relationships/hyperlink" Target="http://www.publish.csiro.au/nid/270/currentissueflag/1.htm" TargetMode="External"/><Relationship Id="rId3" Type="http://schemas.openxmlformats.org/officeDocument/2006/relationships/styles" Target="styles.xml"/><Relationship Id="rId21" Type="http://schemas.openxmlformats.org/officeDocument/2006/relationships/hyperlink" Target="http://dx.doi.org/10.1001/jama.2014.580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rrconsultation@safetyandquality.gov.au" TargetMode="External"/><Relationship Id="rId25" Type="http://schemas.openxmlformats.org/officeDocument/2006/relationships/hyperlink" Target="http://dx.doi.org/10.1093/intqhc/mzu04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fetyandquality.gov.au/our-work/recognition-and-response-to-clinical-deterioration/training-and-competencies/" TargetMode="External"/><Relationship Id="rId20" Type="http://schemas.openxmlformats.org/officeDocument/2006/relationships/hyperlink" Target="http://dx.doi.org/10.1002/jhrm.21141" TargetMode="External"/><Relationship Id="rId29" Type="http://schemas.openxmlformats.org/officeDocument/2006/relationships/hyperlink" Target="http://www.kingsfund.org.uk/projects/pfc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213/ANE.0000000000000230"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patient-and-consumer-centred-care/" TargetMode="External"/><Relationship Id="rId28" Type="http://schemas.openxmlformats.org/officeDocument/2006/relationships/hyperlink" Target="http://qualitysafety.bmj.com/content/early/recent"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ahha.asn.au/publication/health-policy-issue-briefs/can-we-improve-health-system-performance-reporting"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93/intqhc/mzu044" TargetMode="External"/><Relationship Id="rId27" Type="http://schemas.openxmlformats.org/officeDocument/2006/relationships/hyperlink" Target="http://intqhc.oxfordjournals.org/content/26/3?etoc" TargetMode="External"/><Relationship Id="rId30" Type="http://schemas.openxmlformats.org/officeDocument/2006/relationships/hyperlink" Target="https://www.evidence.nhs.uk/about-evidence-services/bulletins-and-alerts/evidence-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CEBC9-F879-43B7-9C66-7C46ED54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7</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20016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19</cp:revision>
  <cp:lastPrinted>2013-06-06T03:47:00Z</cp:lastPrinted>
  <dcterms:created xsi:type="dcterms:W3CDTF">2014-06-01T23:00:00Z</dcterms:created>
  <dcterms:modified xsi:type="dcterms:W3CDTF">2014-06-08T23:36:00Z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