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48169F" w:rsidRDefault="00824B99" w:rsidP="00B608DA">
      <w:pPr>
        <w:pStyle w:val="Heading1"/>
        <w:jc w:val="both"/>
        <w:rPr>
          <w:rFonts w:ascii="Bookman Old Style" w:hAnsi="Bookman Old Style"/>
          <w:sz w:val="48"/>
          <w:szCs w:val="48"/>
          <w:lang w:val="en-AU"/>
        </w:rPr>
      </w:pPr>
      <w:r w:rsidRPr="0048169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638F3B5" wp14:editId="11EA359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48169F">
        <w:rPr>
          <w:rFonts w:ascii="Bookman Old Style" w:hAnsi="Bookman Old Style"/>
          <w:sz w:val="48"/>
          <w:szCs w:val="48"/>
          <w:lang w:val="en-AU"/>
        </w:rPr>
        <w:t>On the Radar</w:t>
      </w:r>
    </w:p>
    <w:p w:rsidR="00B160EF" w:rsidRPr="0048169F" w:rsidRDefault="00715F47" w:rsidP="00B160EF">
      <w:pPr>
        <w:rPr>
          <w:color w:val="000000"/>
          <w:lang w:val="en-AU"/>
        </w:rPr>
      </w:pPr>
      <w:r w:rsidRPr="0048169F">
        <w:rPr>
          <w:color w:val="000000"/>
          <w:lang w:val="en-AU"/>
        </w:rPr>
        <w:t xml:space="preserve">Issue </w:t>
      </w:r>
      <w:r w:rsidR="00ED198B" w:rsidRPr="0048169F">
        <w:rPr>
          <w:color w:val="000000"/>
          <w:lang w:val="en-AU"/>
        </w:rPr>
        <w:t>1</w:t>
      </w:r>
      <w:r w:rsidR="00683AB6">
        <w:rPr>
          <w:color w:val="000000"/>
          <w:lang w:val="en-AU"/>
        </w:rPr>
        <w:t>78</w:t>
      </w:r>
    </w:p>
    <w:p w:rsidR="000F7901" w:rsidRPr="0048169F" w:rsidRDefault="003D1368" w:rsidP="00B160EF">
      <w:pPr>
        <w:rPr>
          <w:lang w:val="en-AU"/>
        </w:rPr>
      </w:pPr>
      <w:r>
        <w:rPr>
          <w:lang w:val="en-AU"/>
        </w:rPr>
        <w:t>1</w:t>
      </w:r>
      <w:r w:rsidR="00683AB6">
        <w:rPr>
          <w:lang w:val="en-AU"/>
        </w:rPr>
        <w:t>6</w:t>
      </w:r>
      <w:r w:rsidR="00E724CB">
        <w:rPr>
          <w:lang w:val="en-AU"/>
        </w:rPr>
        <w:t xml:space="preserve"> June </w:t>
      </w:r>
      <w:r w:rsidR="000F7901" w:rsidRPr="0048169F">
        <w:rPr>
          <w:lang w:val="en-AU"/>
        </w:rPr>
        <w:t>2014</w:t>
      </w:r>
    </w:p>
    <w:p w:rsidR="00566895" w:rsidRPr="0048169F" w:rsidRDefault="00566895" w:rsidP="00B160EF">
      <w:pPr>
        <w:rPr>
          <w:lang w:val="en-AU"/>
        </w:rPr>
      </w:pPr>
    </w:p>
    <w:p w:rsidR="00B160EF" w:rsidRPr="0048169F" w:rsidRDefault="00B160EF" w:rsidP="00B160EF">
      <w:pPr>
        <w:rPr>
          <w:lang w:val="en-AU"/>
        </w:rPr>
      </w:pPr>
      <w:r w:rsidRPr="0048169F">
        <w:rPr>
          <w:i/>
          <w:lang w:val="en-AU"/>
        </w:rPr>
        <w:t>On the Radar</w:t>
      </w:r>
      <w:r w:rsidRPr="0048169F">
        <w:rPr>
          <w:lang w:val="en-AU"/>
        </w:rPr>
        <w:t xml:space="preserve"> is a summary of some of the recent publications in the areas of safety and quality in health care. Inclusion in this document is not an endorsement or recommendation of any publication or provider.</w:t>
      </w:r>
    </w:p>
    <w:p w:rsidR="00B160EF" w:rsidRPr="0048169F" w:rsidRDefault="00B160EF" w:rsidP="00B160EF">
      <w:pPr>
        <w:rPr>
          <w:lang w:val="en-AU"/>
        </w:rPr>
      </w:pPr>
    </w:p>
    <w:p w:rsidR="00B160EF" w:rsidRPr="0048169F" w:rsidRDefault="00B160EF" w:rsidP="00B160EF">
      <w:pPr>
        <w:rPr>
          <w:b/>
          <w:lang w:val="en-AU"/>
        </w:rPr>
      </w:pPr>
      <w:r w:rsidRPr="0048169F">
        <w:rPr>
          <w:lang w:val="en-AU"/>
        </w:rPr>
        <w:t>Access to particular documents may depend on whether they are Open Access or not, and/or your individual or institutional access to subscription sites/services.</w:t>
      </w:r>
      <w:r w:rsidR="00F460A7" w:rsidRPr="0048169F">
        <w:rPr>
          <w:lang w:val="en-AU"/>
        </w:rPr>
        <w:t xml:space="preserve"> Material that may require subscription is included as it is considered relevant.</w:t>
      </w:r>
    </w:p>
    <w:p w:rsidR="00B160EF" w:rsidRPr="0048169F" w:rsidRDefault="00B160EF" w:rsidP="00B160EF">
      <w:pPr>
        <w:rPr>
          <w:lang w:val="en-AU"/>
        </w:rPr>
      </w:pPr>
    </w:p>
    <w:p w:rsidR="00230D83" w:rsidRPr="0048169F" w:rsidRDefault="00B160EF" w:rsidP="0045757F">
      <w:pPr>
        <w:autoSpaceDE w:val="0"/>
        <w:rPr>
          <w:lang w:val="en-AU"/>
        </w:rPr>
      </w:pPr>
      <w:r w:rsidRPr="0048169F">
        <w:rPr>
          <w:i/>
          <w:lang w:val="en-AU"/>
        </w:rPr>
        <w:t>On the Radar</w:t>
      </w:r>
      <w:r w:rsidRPr="0048169F">
        <w:rPr>
          <w:lang w:val="en-AU"/>
        </w:rPr>
        <w:t xml:space="preserve"> is available </w:t>
      </w:r>
      <w:r w:rsidR="003D1E7A" w:rsidRPr="0048169F">
        <w:rPr>
          <w:lang w:val="en-AU"/>
        </w:rPr>
        <w:t xml:space="preserve">online, </w:t>
      </w:r>
      <w:r w:rsidRPr="0048169F">
        <w:rPr>
          <w:lang w:val="en-AU"/>
        </w:rPr>
        <w:t xml:space="preserve">via email or as a PDF document from </w:t>
      </w:r>
      <w:hyperlink r:id="rId10" w:history="1">
        <w:r w:rsidR="00230D83" w:rsidRPr="0048169F">
          <w:rPr>
            <w:rStyle w:val="Hyperlink"/>
            <w:lang w:val="en-AU"/>
          </w:rPr>
          <w:t>http://www.safetyandquality.gov.au/publications-resources/on-the-radar/</w:t>
        </w:r>
      </w:hyperlink>
    </w:p>
    <w:p w:rsidR="0090536C" w:rsidRPr="0048169F" w:rsidRDefault="0090536C" w:rsidP="0045757F">
      <w:pPr>
        <w:autoSpaceDE w:val="0"/>
        <w:rPr>
          <w:lang w:val="en-AU"/>
        </w:rPr>
      </w:pPr>
    </w:p>
    <w:p w:rsidR="00B160EF" w:rsidRPr="0048169F" w:rsidRDefault="00B160EF" w:rsidP="0045757F">
      <w:pPr>
        <w:autoSpaceDE w:val="0"/>
        <w:rPr>
          <w:lang w:val="en-AU"/>
        </w:rPr>
      </w:pPr>
      <w:r w:rsidRPr="0048169F">
        <w:rPr>
          <w:lang w:val="en-AU"/>
        </w:rPr>
        <w:t xml:space="preserve">If you would like to receive </w:t>
      </w:r>
      <w:r w:rsidRPr="0048169F">
        <w:rPr>
          <w:i/>
          <w:lang w:val="en-AU"/>
        </w:rPr>
        <w:t>On the Radar</w:t>
      </w:r>
      <w:r w:rsidRPr="0048169F">
        <w:rPr>
          <w:lang w:val="en-AU"/>
        </w:rPr>
        <w:t xml:space="preserve"> via email</w:t>
      </w:r>
      <w:r w:rsidR="003D7B9E" w:rsidRPr="0048169F">
        <w:rPr>
          <w:lang w:val="en-AU"/>
        </w:rPr>
        <w:t>, you can</w:t>
      </w:r>
      <w:r w:rsidR="00F24F60" w:rsidRPr="0048169F">
        <w:rPr>
          <w:lang w:val="en-AU"/>
        </w:rPr>
        <w:t xml:space="preserve"> subscribe on our website </w:t>
      </w:r>
      <w:hyperlink r:id="rId11" w:history="1">
        <w:r w:rsidR="00F24F60" w:rsidRPr="0048169F">
          <w:rPr>
            <w:rStyle w:val="Hyperlink"/>
            <w:lang w:val="en-AU"/>
          </w:rPr>
          <w:t>http://www.safetyandquality.gov.au/</w:t>
        </w:r>
      </w:hyperlink>
      <w:r w:rsidR="003D7B9E" w:rsidRPr="0048169F">
        <w:rPr>
          <w:lang w:val="en-AU"/>
        </w:rPr>
        <w:t xml:space="preserve"> or by emailing us at </w:t>
      </w:r>
      <w:r w:rsidR="003D7B9E" w:rsidRPr="0048169F">
        <w:rPr>
          <w:rFonts w:ascii="ZWAdobeF" w:hAnsi="ZWAdobeF" w:cs="ZWAdobeF"/>
          <w:sz w:val="2"/>
          <w:szCs w:val="2"/>
          <w:lang w:val="en-AU"/>
        </w:rPr>
        <w:t>H</w:t>
      </w:r>
      <w:hyperlink r:id="rId12"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 xml:space="preserve">. </w:t>
      </w:r>
      <w:r w:rsidR="00E51D23" w:rsidRPr="0048169F">
        <w:rPr>
          <w:lang w:val="en-AU"/>
        </w:rPr>
        <w:br/>
      </w:r>
      <w:r w:rsidR="003D7B9E" w:rsidRPr="0048169F">
        <w:rPr>
          <w:lang w:val="en-AU"/>
        </w:rPr>
        <w:t xml:space="preserve">You can also send feedback and comments to </w:t>
      </w:r>
      <w:r w:rsidR="003D7B9E" w:rsidRPr="0048169F">
        <w:rPr>
          <w:rFonts w:ascii="ZWAdobeF" w:hAnsi="ZWAdobeF" w:cs="ZWAdobeF"/>
          <w:sz w:val="2"/>
          <w:szCs w:val="2"/>
          <w:lang w:val="en-AU"/>
        </w:rPr>
        <w:t>H</w:t>
      </w:r>
      <w:hyperlink r:id="rId13"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w:t>
      </w:r>
    </w:p>
    <w:p w:rsidR="00B160EF" w:rsidRPr="0048169F" w:rsidRDefault="00B160EF" w:rsidP="00837FC4">
      <w:pPr>
        <w:tabs>
          <w:tab w:val="left" w:pos="7773"/>
        </w:tabs>
        <w:rPr>
          <w:lang w:val="en-AU"/>
        </w:rPr>
      </w:pPr>
    </w:p>
    <w:p w:rsidR="00837FC4" w:rsidRPr="0048169F" w:rsidRDefault="00B160EF" w:rsidP="004554DB">
      <w:pPr>
        <w:autoSpaceDE w:val="0"/>
        <w:rPr>
          <w:lang w:val="en-AU"/>
        </w:rPr>
      </w:pPr>
      <w:bookmarkStart w:id="0" w:name="OLE_LINK1"/>
      <w:r w:rsidRPr="0048169F">
        <w:rPr>
          <w:lang w:val="en-AU"/>
        </w:rPr>
        <w:t xml:space="preserve">For information about the Commission and its programs and publications, please visit </w:t>
      </w:r>
      <w:hyperlink r:id="rId14" w:history="1">
        <w:r w:rsidR="00837FC4" w:rsidRPr="0048169F">
          <w:rPr>
            <w:rStyle w:val="Hyperlink"/>
            <w:lang w:val="en-AU"/>
          </w:rPr>
          <w:t>http://www.safetyandquality.gov.au</w:t>
        </w:r>
      </w:hyperlink>
    </w:p>
    <w:p w:rsidR="00210235" w:rsidRPr="0048169F" w:rsidRDefault="004554DB" w:rsidP="004554DB">
      <w:pPr>
        <w:autoSpaceDE w:val="0"/>
        <w:rPr>
          <w:lang w:val="en-AU"/>
        </w:rPr>
      </w:pPr>
      <w:r w:rsidRPr="0048169F">
        <w:rPr>
          <w:lang w:val="en-AU"/>
        </w:rPr>
        <w:t>You can also follow us on Twitter @ACSQHC.</w:t>
      </w:r>
    </w:p>
    <w:p w:rsidR="00DD32E9" w:rsidRPr="0048169F" w:rsidRDefault="00DD32E9" w:rsidP="004554DB">
      <w:pPr>
        <w:autoSpaceDE w:val="0"/>
        <w:rPr>
          <w:lang w:val="en-AU"/>
        </w:rPr>
      </w:pPr>
    </w:p>
    <w:p w:rsidR="00210235" w:rsidRPr="0048169F" w:rsidRDefault="00210235" w:rsidP="00210235">
      <w:pPr>
        <w:keepNext/>
        <w:pBdr>
          <w:top w:val="single" w:sz="4" w:space="1" w:color="auto"/>
        </w:pBdr>
        <w:rPr>
          <w:b/>
          <w:lang w:val="en-AU"/>
        </w:rPr>
      </w:pPr>
      <w:r w:rsidRPr="0048169F">
        <w:rPr>
          <w:b/>
          <w:lang w:val="en-AU"/>
        </w:rPr>
        <w:t>On the Radar</w:t>
      </w:r>
    </w:p>
    <w:p w:rsidR="00340157" w:rsidRPr="0048169F" w:rsidRDefault="00340157" w:rsidP="00210235">
      <w:pPr>
        <w:keepNext/>
        <w:pBdr>
          <w:top w:val="single" w:sz="4" w:space="1" w:color="auto"/>
        </w:pBdr>
        <w:rPr>
          <w:bCs/>
          <w:lang w:val="en-AU"/>
        </w:rPr>
      </w:pPr>
      <w:r w:rsidRPr="0048169F">
        <w:rPr>
          <w:bCs/>
          <w:lang w:val="en-AU"/>
        </w:rPr>
        <w:t xml:space="preserve">Editor: </w:t>
      </w:r>
      <w:r w:rsidR="00C8085B" w:rsidRPr="0048169F">
        <w:rPr>
          <w:bCs/>
          <w:lang w:val="en-AU"/>
        </w:rPr>
        <w:t xml:space="preserve">Dr </w:t>
      </w:r>
      <w:r w:rsidRPr="0048169F">
        <w:rPr>
          <w:bCs/>
          <w:lang w:val="en-AU"/>
        </w:rPr>
        <w:t xml:space="preserve">Niall Johnson </w:t>
      </w:r>
      <w:hyperlink r:id="rId15" w:history="1">
        <w:r w:rsidRPr="0048169F">
          <w:rPr>
            <w:rStyle w:val="Hyperlink"/>
            <w:bCs/>
            <w:lang w:val="en-AU"/>
          </w:rPr>
          <w:t>niall.johnson@safetyandquality.gov.au</w:t>
        </w:r>
      </w:hyperlink>
    </w:p>
    <w:p w:rsidR="00210235" w:rsidRPr="0048169F" w:rsidRDefault="00210235" w:rsidP="00210235">
      <w:pPr>
        <w:keepNext/>
        <w:pBdr>
          <w:top w:val="single" w:sz="4" w:space="1" w:color="auto"/>
        </w:pBdr>
        <w:rPr>
          <w:bCs/>
          <w:lang w:val="en-AU"/>
        </w:rPr>
      </w:pPr>
      <w:r w:rsidRPr="0048169F">
        <w:rPr>
          <w:bCs/>
          <w:lang w:val="en-AU"/>
        </w:rPr>
        <w:t xml:space="preserve">Contributors: </w:t>
      </w:r>
      <w:r w:rsidR="0056339A" w:rsidRPr="0048169F">
        <w:rPr>
          <w:bCs/>
          <w:lang w:val="en-AU"/>
        </w:rPr>
        <w:t>Niall Johnson</w:t>
      </w:r>
    </w:p>
    <w:bookmarkEnd w:id="0"/>
    <w:p w:rsidR="009A35BE" w:rsidRPr="0048169F" w:rsidRDefault="009A35BE" w:rsidP="00A60B5B">
      <w:pPr>
        <w:rPr>
          <w:shd w:val="clear" w:color="auto" w:fill="FFFFFF"/>
          <w:lang w:val="en-AU"/>
        </w:rPr>
      </w:pPr>
    </w:p>
    <w:p w:rsidR="00751E8F" w:rsidRPr="0048169F" w:rsidRDefault="00751E8F" w:rsidP="00751E8F">
      <w:pPr>
        <w:rPr>
          <w:b/>
          <w:lang w:val="en-AU"/>
        </w:rPr>
      </w:pPr>
      <w:r w:rsidRPr="0048169F">
        <w:rPr>
          <w:b/>
          <w:lang w:val="en-AU"/>
        </w:rPr>
        <w:t>Consultation on training and competencies for recognising and responding to clinical deterioration in acute care</w:t>
      </w:r>
    </w:p>
    <w:p w:rsidR="00751E8F" w:rsidRPr="0048169F" w:rsidRDefault="00751E8F" w:rsidP="00751E8F">
      <w:pPr>
        <w:rPr>
          <w:i/>
          <w:lang w:val="en-AU"/>
        </w:rPr>
      </w:pPr>
      <w:r w:rsidRPr="0048169F">
        <w:rPr>
          <w:i/>
          <w:lang w:val="en-AU"/>
        </w:rPr>
        <w:t>Consultation now open</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The Commission is seeking advice about what should be the minimum requirements for training and competencies for recognising and responding to physiological deterioration in acute care. The Commission is interested in the application of these minimum requirements for doctors, nurses and allied health professionals. </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This consultation process is being conducted in the context of the National Safety and Quality Health Service (NSQHS) Standards which require the clinical workforce to be trained and proficient in basic life support. The Commission has received feedback which questions whether such training ensures adequate competency in the skills required to recognise, escalate and respond to clinical deterioration. Currently there are varied approaches to providing education and training about recognising and responding to clinical </w:t>
      </w:r>
      <w:proofErr w:type="gramStart"/>
      <w:r w:rsidRPr="0048169F">
        <w:rPr>
          <w:lang w:val="en-AU"/>
        </w:rPr>
        <w:t>deterioration,</w:t>
      </w:r>
      <w:proofErr w:type="gramEnd"/>
      <w:r w:rsidRPr="0048169F">
        <w:rPr>
          <w:lang w:val="en-AU"/>
        </w:rPr>
        <w:t xml:space="preserve"> and a lack of clear guidance about what knowledge should be required as a minimum for all clinicians. </w:t>
      </w:r>
    </w:p>
    <w:p w:rsidR="00751E8F" w:rsidRPr="0048169F" w:rsidRDefault="00751E8F" w:rsidP="00751E8F">
      <w:pPr>
        <w:rPr>
          <w:lang w:val="en-AU"/>
        </w:rPr>
      </w:pPr>
    </w:p>
    <w:p w:rsidR="00751E8F" w:rsidRPr="0048169F" w:rsidRDefault="00751E8F" w:rsidP="00751E8F">
      <w:pPr>
        <w:rPr>
          <w:lang w:val="en-AU"/>
        </w:rPr>
      </w:pPr>
      <w:r w:rsidRPr="0048169F">
        <w:rPr>
          <w:lang w:val="en-AU"/>
        </w:rPr>
        <w:t>To provide clarity to the requirements of the NSQHS Standards and ensure patients are protected from harm, the Commission is now seeking further advice on this issue.</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A consultation paper, </w:t>
      </w:r>
      <w:r w:rsidRPr="0048169F">
        <w:rPr>
          <w:i/>
          <w:lang w:val="en-AU"/>
        </w:rPr>
        <w:t>National Safety and Quality Health Service Standards: Training and Competencies for Recognising and Responding to Clinical Deterioration in Acute Care</w:t>
      </w:r>
      <w:r w:rsidRPr="0048169F">
        <w:rPr>
          <w:lang w:val="en-AU"/>
        </w:rPr>
        <w:t xml:space="preserve"> is available at </w:t>
      </w:r>
      <w:hyperlink r:id="rId16" w:history="1">
        <w:r w:rsidRPr="0048169F">
          <w:rPr>
            <w:rStyle w:val="Hyperlink"/>
            <w:lang w:val="en-AU"/>
          </w:rPr>
          <w:t>http://www.safetyandquality.gov.au/our-work/recognition-and-response-to-clinical-deterioration/training-and-competencies/</w:t>
        </w:r>
      </w:hyperlink>
    </w:p>
    <w:p w:rsidR="00751E8F" w:rsidRPr="0048169F" w:rsidRDefault="00751E8F" w:rsidP="00751E8F">
      <w:pPr>
        <w:rPr>
          <w:lang w:val="en-AU"/>
        </w:rPr>
      </w:pPr>
    </w:p>
    <w:p w:rsidR="00751E8F" w:rsidRPr="0048169F" w:rsidRDefault="00751E8F" w:rsidP="00751E8F">
      <w:pPr>
        <w:rPr>
          <w:lang w:val="en-AU"/>
        </w:rPr>
      </w:pPr>
      <w:r w:rsidRPr="0048169F">
        <w:rPr>
          <w:lang w:val="en-AU"/>
        </w:rPr>
        <w:t>Information about the process of making a submission is included in the paper and the Commission will accept submiss</w:t>
      </w:r>
      <w:r w:rsidR="00FE7380" w:rsidRPr="0048169F">
        <w:rPr>
          <w:lang w:val="en-AU"/>
        </w:rPr>
        <w:t xml:space="preserve">ions until </w:t>
      </w:r>
      <w:r w:rsidR="00FE7380" w:rsidRPr="003D1368">
        <w:rPr>
          <w:b/>
          <w:lang w:val="en-AU"/>
        </w:rPr>
        <w:t>Friday 27 June 2014</w:t>
      </w:r>
      <w:r w:rsidR="00FE7380" w:rsidRPr="0048169F">
        <w:rPr>
          <w:lang w:val="en-AU"/>
        </w:rPr>
        <w:t>.</w:t>
      </w:r>
    </w:p>
    <w:p w:rsidR="00751E8F" w:rsidRPr="0048169F" w:rsidRDefault="00751E8F" w:rsidP="00751E8F">
      <w:pPr>
        <w:rPr>
          <w:lang w:val="en-AU"/>
        </w:rPr>
      </w:pPr>
    </w:p>
    <w:p w:rsidR="005F3F42" w:rsidRPr="0048169F" w:rsidRDefault="00751E8F" w:rsidP="00751E8F">
      <w:pPr>
        <w:rPr>
          <w:lang w:val="en-AU"/>
        </w:rPr>
      </w:pPr>
      <w:r w:rsidRPr="0048169F">
        <w:rPr>
          <w:lang w:val="en-AU"/>
        </w:rPr>
        <w:t xml:space="preserve">The contact person for this consultation is Ms Jennifer Hill, Senior Project Officer, Recognising and Responding to Clinical Deterioration Program. Ms Hill can be contacted on (02) 9126 3527 or via email at </w:t>
      </w:r>
      <w:hyperlink r:id="rId17" w:history="1">
        <w:r w:rsidRPr="0048169F">
          <w:rPr>
            <w:rStyle w:val="Hyperlink"/>
            <w:lang w:val="en-AU"/>
          </w:rPr>
          <w:t>rrconsultation@safetyandquality.gov.au</w:t>
        </w:r>
      </w:hyperlink>
      <w:r w:rsidRPr="0048169F">
        <w:rPr>
          <w:lang w:val="en-AU"/>
        </w:rPr>
        <w:t>.</w:t>
      </w:r>
    </w:p>
    <w:p w:rsidR="00751E8F" w:rsidRDefault="00751E8F" w:rsidP="00751E8F">
      <w:pPr>
        <w:rPr>
          <w:lang w:val="en-AU"/>
        </w:rPr>
      </w:pPr>
    </w:p>
    <w:p w:rsidR="00B608DA" w:rsidRDefault="00B608DA" w:rsidP="00751E8F">
      <w:pPr>
        <w:rPr>
          <w:lang w:val="en-AU"/>
        </w:rPr>
      </w:pPr>
    </w:p>
    <w:p w:rsidR="00B608DA" w:rsidRPr="0048169F" w:rsidRDefault="00B608DA" w:rsidP="00751E8F">
      <w:pPr>
        <w:rPr>
          <w:lang w:val="en-AU"/>
        </w:rPr>
      </w:pPr>
    </w:p>
    <w:p w:rsidR="00A30DF9" w:rsidRPr="0048169F" w:rsidRDefault="00254636" w:rsidP="00396D0A">
      <w:pPr>
        <w:rPr>
          <w:b/>
          <w:lang w:val="en-AU"/>
        </w:rPr>
      </w:pPr>
      <w:r w:rsidRPr="0048169F">
        <w:rPr>
          <w:b/>
          <w:lang w:val="en-AU"/>
        </w:rPr>
        <w:t>Journal articles</w:t>
      </w:r>
    </w:p>
    <w:p w:rsidR="007B42C9" w:rsidRPr="0048169F" w:rsidRDefault="007B42C9">
      <w:pPr>
        <w:rPr>
          <w:i/>
          <w:lang w:val="en-AU"/>
        </w:rPr>
      </w:pPr>
    </w:p>
    <w:p w:rsidR="00CF2094" w:rsidRPr="00CF2094" w:rsidRDefault="00CF2094" w:rsidP="00CF2094">
      <w:pPr>
        <w:keepNext/>
        <w:keepLines/>
        <w:autoSpaceDE w:val="0"/>
        <w:autoSpaceDN w:val="0"/>
        <w:adjustRightInd w:val="0"/>
        <w:rPr>
          <w:i/>
          <w:lang w:val="en-AU"/>
        </w:rPr>
      </w:pPr>
      <w:r w:rsidRPr="00CF2094">
        <w:rPr>
          <w:i/>
          <w:lang w:val="en-AU"/>
        </w:rPr>
        <w:t>Investigating the long-term consequences of adverse medical</w:t>
      </w:r>
      <w:r w:rsidR="002C75ED">
        <w:rPr>
          <w:i/>
          <w:lang w:val="en-AU"/>
        </w:rPr>
        <w:t xml:space="preserve"> events among older adults</w:t>
      </w:r>
    </w:p>
    <w:p w:rsidR="00CF2094" w:rsidRDefault="00CF2094" w:rsidP="00CF2094">
      <w:pPr>
        <w:keepNext/>
        <w:keepLines/>
        <w:autoSpaceDE w:val="0"/>
        <w:autoSpaceDN w:val="0"/>
        <w:adjustRightInd w:val="0"/>
        <w:rPr>
          <w:lang w:val="en-AU"/>
        </w:rPr>
      </w:pPr>
      <w:r w:rsidRPr="00CF2094">
        <w:rPr>
          <w:lang w:val="en-AU"/>
        </w:rPr>
        <w:t xml:space="preserve">Carter MW, Zhu M, Xiang J, </w:t>
      </w:r>
      <w:proofErr w:type="spellStart"/>
      <w:r w:rsidRPr="00CF2094">
        <w:rPr>
          <w:lang w:val="en-AU"/>
        </w:rPr>
        <w:t>Porell</w:t>
      </w:r>
      <w:proofErr w:type="spellEnd"/>
      <w:r w:rsidRPr="00CF2094">
        <w:rPr>
          <w:lang w:val="en-AU"/>
        </w:rPr>
        <w:t xml:space="preserve"> FW</w:t>
      </w:r>
    </w:p>
    <w:p w:rsidR="00CF2094" w:rsidRPr="0048169F" w:rsidRDefault="00CF2094" w:rsidP="00CF2094">
      <w:pPr>
        <w:keepNext/>
        <w:keepLines/>
        <w:autoSpaceDE w:val="0"/>
        <w:autoSpaceDN w:val="0"/>
        <w:adjustRightInd w:val="0"/>
        <w:rPr>
          <w:lang w:val="en-AU"/>
        </w:rPr>
      </w:pPr>
      <w:proofErr w:type="gramStart"/>
      <w:r w:rsidRPr="00CF2094">
        <w:rPr>
          <w:lang w:val="en-AU"/>
        </w:rPr>
        <w:t>Inj</w:t>
      </w:r>
      <w:r>
        <w:rPr>
          <w:lang w:val="en-AU"/>
        </w:rPr>
        <w:t>ury</w:t>
      </w:r>
      <w:r w:rsidRPr="00CF2094">
        <w:rPr>
          <w:lang w:val="en-AU"/>
        </w:rPr>
        <w:t xml:space="preserve"> Prev</w:t>
      </w:r>
      <w:r>
        <w:rPr>
          <w:lang w:val="en-AU"/>
        </w:rPr>
        <w:t>ention</w:t>
      </w:r>
      <w:r w:rsidRPr="00CF2094">
        <w:rPr>
          <w:lang w:val="en-AU"/>
        </w:rPr>
        <w:t xml:space="preserve"> 2014 [</w:t>
      </w:r>
      <w:r>
        <w:rPr>
          <w:lang w:val="en-AU"/>
        </w:rPr>
        <w:t>e</w:t>
      </w:r>
      <w:r w:rsidRPr="00CF2094">
        <w:rPr>
          <w:lang w:val="en-AU"/>
        </w:rPr>
        <w:t>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83AB6" w:rsidRPr="0048169F" w:rsidTr="003D7320">
        <w:tc>
          <w:tcPr>
            <w:tcW w:w="1080" w:type="dxa"/>
            <w:tcBorders>
              <w:top w:val="single" w:sz="4" w:space="0" w:color="auto"/>
              <w:left w:val="single" w:sz="4" w:space="0" w:color="auto"/>
              <w:bottom w:val="single" w:sz="4" w:space="0" w:color="auto"/>
              <w:right w:val="single" w:sz="4" w:space="0" w:color="auto"/>
            </w:tcBorders>
            <w:vAlign w:val="center"/>
          </w:tcPr>
          <w:p w:rsidR="00683AB6" w:rsidRPr="0048169F" w:rsidRDefault="00683AB6" w:rsidP="003D7320">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3AB6" w:rsidRPr="0048169F" w:rsidRDefault="00C871AC" w:rsidP="00CF2094">
            <w:pPr>
              <w:rPr>
                <w:lang w:val="en-AU"/>
              </w:rPr>
            </w:pPr>
            <w:hyperlink r:id="rId18" w:history="1">
              <w:r w:rsidR="00CF2094" w:rsidRPr="0007034A">
                <w:rPr>
                  <w:rStyle w:val="Hyperlink"/>
                  <w:lang w:val="en-AU"/>
                </w:rPr>
                <w:t>http://dx.doi.org/10.1136/injuryprev-2013-041043</w:t>
              </w:r>
            </w:hyperlink>
          </w:p>
        </w:tc>
      </w:tr>
      <w:tr w:rsidR="00683AB6" w:rsidRPr="0048169F" w:rsidTr="003D7320">
        <w:tc>
          <w:tcPr>
            <w:tcW w:w="1080" w:type="dxa"/>
            <w:tcBorders>
              <w:top w:val="single" w:sz="4" w:space="0" w:color="auto"/>
              <w:left w:val="single" w:sz="4" w:space="0" w:color="auto"/>
              <w:bottom w:val="single" w:sz="4" w:space="0" w:color="auto"/>
              <w:right w:val="single" w:sz="4" w:space="0" w:color="auto"/>
            </w:tcBorders>
            <w:vAlign w:val="center"/>
          </w:tcPr>
          <w:p w:rsidR="00683AB6" w:rsidRPr="0048169F" w:rsidRDefault="00683AB6" w:rsidP="003D7320">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3AB6" w:rsidRDefault="00CF2094" w:rsidP="00CF2094">
            <w:pPr>
              <w:rPr>
                <w:lang w:val="en-AU"/>
              </w:rPr>
            </w:pPr>
            <w:r>
              <w:rPr>
                <w:lang w:val="en-AU"/>
              </w:rPr>
              <w:t>Adverse events are known to affect older patients and this study sought to examine the longer term effects of adverse medical events</w:t>
            </w:r>
            <w:r w:rsidR="002C75ED">
              <w:rPr>
                <w:lang w:val="en-AU"/>
              </w:rPr>
              <w:t xml:space="preserve"> (AMEs)</w:t>
            </w:r>
            <w:r>
              <w:rPr>
                <w:lang w:val="en-AU"/>
              </w:rPr>
              <w:t xml:space="preserve"> on these patients.</w:t>
            </w:r>
          </w:p>
          <w:p w:rsidR="00CF2094" w:rsidRDefault="00CF2094" w:rsidP="00CF2094">
            <w:pPr>
              <w:rPr>
                <w:lang w:val="en-AU"/>
              </w:rPr>
            </w:pPr>
            <w:r>
              <w:rPr>
                <w:lang w:val="en-AU"/>
              </w:rPr>
              <w:t xml:space="preserve">Using </w:t>
            </w:r>
            <w:r w:rsidRPr="00CF2094">
              <w:rPr>
                <w:lang w:val="en-AU"/>
              </w:rPr>
              <w:t xml:space="preserve">nationally representative survey and claims data from the </w:t>
            </w:r>
            <w:r>
              <w:rPr>
                <w:lang w:val="en-AU"/>
              </w:rPr>
              <w:t xml:space="preserve">(US) </w:t>
            </w:r>
            <w:r w:rsidRPr="00CF2094">
              <w:rPr>
                <w:lang w:val="en-AU"/>
              </w:rPr>
              <w:t>Medicare Current Beneficiary Survey (1998–2004) with non-response files (1999–2005) and the Area Resource File, providing 12</w:t>
            </w:r>
            <w:r>
              <w:rPr>
                <w:lang w:val="en-AU"/>
              </w:rPr>
              <w:t>,</w:t>
            </w:r>
            <w:r w:rsidRPr="00CF2094">
              <w:rPr>
                <w:lang w:val="en-AU"/>
              </w:rPr>
              <w:t>541 beneficiaries with 428</w:t>
            </w:r>
            <w:r>
              <w:rPr>
                <w:lang w:val="en-AU"/>
              </w:rPr>
              <w:t>,</w:t>
            </w:r>
            <w:r w:rsidRPr="00CF2094">
              <w:rPr>
                <w:lang w:val="en-AU"/>
              </w:rPr>
              <w:t>373 person-months for analysis</w:t>
            </w:r>
            <w:r>
              <w:rPr>
                <w:lang w:val="en-AU"/>
              </w:rPr>
              <w:t xml:space="preserve"> the authors that their analyses suggest:</w:t>
            </w:r>
          </w:p>
          <w:p w:rsidR="00CF2094" w:rsidRPr="00CF2094" w:rsidRDefault="00CF2094" w:rsidP="00CF2094">
            <w:pPr>
              <w:pStyle w:val="ListParagraph"/>
              <w:numPr>
                <w:ilvl w:val="0"/>
                <w:numId w:val="24"/>
              </w:numPr>
              <w:rPr>
                <w:lang w:val="en-AU"/>
              </w:rPr>
            </w:pPr>
            <w:r w:rsidRPr="00CF2094">
              <w:rPr>
                <w:lang w:val="en-AU"/>
              </w:rPr>
              <w:t xml:space="preserve">Nearly </w:t>
            </w:r>
            <w:r w:rsidRPr="00CF2094">
              <w:rPr>
                <w:b/>
                <w:lang w:val="en-AU"/>
              </w:rPr>
              <w:t>19%</w:t>
            </w:r>
            <w:r w:rsidRPr="00CF2094">
              <w:rPr>
                <w:lang w:val="en-AU"/>
              </w:rPr>
              <w:t xml:space="preserve"> of participants experienced </w:t>
            </w:r>
            <w:r w:rsidRPr="00CF2094">
              <w:rPr>
                <w:b/>
                <w:lang w:val="en-AU"/>
              </w:rPr>
              <w:t>at least one AME</w:t>
            </w:r>
            <w:r w:rsidRPr="00CF2094">
              <w:rPr>
                <w:lang w:val="en-AU"/>
              </w:rPr>
              <w:t>, with 62% from outpatient claims</w:t>
            </w:r>
          </w:p>
          <w:p w:rsidR="00CF2094" w:rsidRPr="00CF2094" w:rsidRDefault="00CF2094" w:rsidP="00CF2094">
            <w:pPr>
              <w:pStyle w:val="ListParagraph"/>
              <w:numPr>
                <w:ilvl w:val="0"/>
                <w:numId w:val="24"/>
              </w:numPr>
              <w:rPr>
                <w:lang w:val="en-AU"/>
              </w:rPr>
            </w:pPr>
            <w:r w:rsidRPr="00CF2094">
              <w:rPr>
                <w:lang w:val="en-AU"/>
              </w:rPr>
              <w:t xml:space="preserve">The </w:t>
            </w:r>
            <w:r w:rsidRPr="00CF2094">
              <w:rPr>
                <w:b/>
                <w:lang w:val="en-AU"/>
              </w:rPr>
              <w:t xml:space="preserve">risk of AMEs </w:t>
            </w:r>
            <w:r w:rsidRPr="00CF2094">
              <w:rPr>
                <w:lang w:val="en-AU"/>
              </w:rPr>
              <w:t xml:space="preserve">is greater among participants in poorer health, and </w:t>
            </w:r>
            <w:r w:rsidRPr="00CF2094">
              <w:rPr>
                <w:b/>
                <w:lang w:val="en-AU"/>
              </w:rPr>
              <w:t>increases with comorbidity</w:t>
            </w:r>
            <w:r w:rsidRPr="00CF2094">
              <w:rPr>
                <w:lang w:val="en-AU"/>
              </w:rPr>
              <w:t xml:space="preserve"> and </w:t>
            </w:r>
            <w:r w:rsidRPr="00CF2094">
              <w:rPr>
                <w:b/>
                <w:lang w:val="en-AU"/>
              </w:rPr>
              <w:t>with impairment</w:t>
            </w:r>
            <w:r w:rsidRPr="00CF2094">
              <w:rPr>
                <w:lang w:val="en-AU"/>
              </w:rPr>
              <w:t xml:space="preserve"> in performing activities of daily living or instrumental activities of daily living.</w:t>
            </w:r>
          </w:p>
          <w:p w:rsidR="00CF2094" w:rsidRPr="00CF2094" w:rsidRDefault="00CF2094" w:rsidP="00CF2094">
            <w:pPr>
              <w:pStyle w:val="ListParagraph"/>
              <w:numPr>
                <w:ilvl w:val="0"/>
                <w:numId w:val="24"/>
              </w:numPr>
              <w:rPr>
                <w:lang w:val="en-AU"/>
              </w:rPr>
            </w:pPr>
            <w:r w:rsidRPr="00CF2094">
              <w:rPr>
                <w:lang w:val="en-AU"/>
              </w:rPr>
              <w:t xml:space="preserve">Medicare </w:t>
            </w:r>
            <w:r w:rsidRPr="00CF2094">
              <w:rPr>
                <w:b/>
                <w:lang w:val="en-AU"/>
              </w:rPr>
              <w:t>expenditures</w:t>
            </w:r>
            <w:r w:rsidRPr="00CF2094">
              <w:rPr>
                <w:lang w:val="en-AU"/>
              </w:rPr>
              <w:t xml:space="preserve"> during an AME episode </w:t>
            </w:r>
            <w:r w:rsidRPr="00CF2094">
              <w:rPr>
                <w:b/>
                <w:lang w:val="en-AU"/>
              </w:rPr>
              <w:t>increased sharply</w:t>
            </w:r>
            <w:r w:rsidRPr="00CF2094">
              <w:rPr>
                <w:lang w:val="en-AU"/>
              </w:rPr>
              <w:t xml:space="preserve"> and </w:t>
            </w:r>
            <w:r w:rsidRPr="00CF2094">
              <w:rPr>
                <w:b/>
                <w:lang w:val="en-AU"/>
              </w:rPr>
              <w:t>remained higher</w:t>
            </w:r>
            <w:r w:rsidRPr="00CF2094">
              <w:rPr>
                <w:lang w:val="en-AU"/>
              </w:rPr>
              <w:t xml:space="preserve"> than what would have otherwise been expected in quarters following an AME episode, and failed to return to pre-AME expenditure levels.</w:t>
            </w:r>
          </w:p>
          <w:p w:rsidR="00CF2094" w:rsidRPr="00CF2094" w:rsidRDefault="00CF2094" w:rsidP="00CF2094">
            <w:pPr>
              <w:pStyle w:val="ListParagraph"/>
              <w:numPr>
                <w:ilvl w:val="0"/>
                <w:numId w:val="24"/>
              </w:numPr>
              <w:rPr>
                <w:lang w:val="en-AU"/>
              </w:rPr>
            </w:pPr>
            <w:r w:rsidRPr="00CF2094">
              <w:rPr>
                <w:b/>
                <w:lang w:val="en-AU"/>
              </w:rPr>
              <w:t>Differences in</w:t>
            </w:r>
            <w:r w:rsidRPr="00CF2094">
              <w:rPr>
                <w:lang w:val="en-AU"/>
              </w:rPr>
              <w:t xml:space="preserve"> </w:t>
            </w:r>
            <w:r w:rsidRPr="00CF2094">
              <w:rPr>
                <w:b/>
                <w:lang w:val="en-AU"/>
              </w:rPr>
              <w:t>survival rates</w:t>
            </w:r>
            <w:r w:rsidRPr="00CF2094">
              <w:rPr>
                <w:lang w:val="en-AU"/>
              </w:rPr>
              <w:t xml:space="preserve"> were observable long after the AME episode concluded, with only 55% of the patients sustaining an AME surviving to the end of the study. In contrast, nearly 80% of those without an AME were estimated to have survived.</w:t>
            </w:r>
          </w:p>
          <w:p w:rsidR="00CF2094" w:rsidRPr="0048169F" w:rsidRDefault="00CF2094" w:rsidP="00CF2094">
            <w:pPr>
              <w:rPr>
                <w:lang w:val="en-AU"/>
              </w:rPr>
            </w:pPr>
            <w:r>
              <w:rPr>
                <w:lang w:val="en-AU"/>
              </w:rPr>
              <w:t>The authors conclude that “</w:t>
            </w:r>
            <w:r w:rsidRPr="00CF2094">
              <w:rPr>
                <w:lang w:val="en-AU"/>
              </w:rPr>
              <w:t>The impacts of AMEs are observable over extended periods of time and are associated with considerable excess mortality and cost</w:t>
            </w:r>
            <w:r>
              <w:rPr>
                <w:lang w:val="en-AU"/>
              </w:rPr>
              <w:t>.”</w:t>
            </w:r>
          </w:p>
        </w:tc>
      </w:tr>
    </w:tbl>
    <w:p w:rsidR="00683AB6" w:rsidRDefault="00683AB6" w:rsidP="00683AB6">
      <w:pPr>
        <w:rPr>
          <w:i/>
          <w:lang w:val="en-AU"/>
        </w:rPr>
      </w:pPr>
    </w:p>
    <w:p w:rsidR="00B608DA" w:rsidRDefault="00B608DA">
      <w:pPr>
        <w:rPr>
          <w:i/>
          <w:lang w:val="en-AU"/>
        </w:rPr>
      </w:pPr>
      <w:r>
        <w:rPr>
          <w:i/>
          <w:lang w:val="en-AU"/>
        </w:rPr>
        <w:br w:type="page"/>
      </w:r>
    </w:p>
    <w:p w:rsidR="00B608DA" w:rsidRPr="00386129" w:rsidRDefault="00B608DA" w:rsidP="00B608DA">
      <w:pPr>
        <w:keepNext/>
        <w:keepLines/>
        <w:autoSpaceDE w:val="0"/>
        <w:autoSpaceDN w:val="0"/>
        <w:adjustRightInd w:val="0"/>
        <w:rPr>
          <w:i/>
          <w:lang w:val="en-AU"/>
        </w:rPr>
      </w:pPr>
      <w:r w:rsidRPr="00386129">
        <w:rPr>
          <w:i/>
          <w:lang w:val="en-AU"/>
        </w:rPr>
        <w:lastRenderedPageBreak/>
        <w:t xml:space="preserve">Interventions employed to improve </w:t>
      </w:r>
      <w:proofErr w:type="spellStart"/>
      <w:r w:rsidRPr="00386129">
        <w:rPr>
          <w:i/>
          <w:lang w:val="en-AU"/>
        </w:rPr>
        <w:t>intrahospita</w:t>
      </w:r>
      <w:r>
        <w:rPr>
          <w:i/>
          <w:lang w:val="en-AU"/>
        </w:rPr>
        <w:t>l</w:t>
      </w:r>
      <w:proofErr w:type="spellEnd"/>
      <w:r>
        <w:rPr>
          <w:i/>
          <w:lang w:val="en-AU"/>
        </w:rPr>
        <w:t xml:space="preserve"> handover: a systematic review</w:t>
      </w:r>
    </w:p>
    <w:p w:rsidR="00B608DA" w:rsidRDefault="00B608DA" w:rsidP="00B608DA">
      <w:pPr>
        <w:keepNext/>
        <w:keepLines/>
        <w:autoSpaceDE w:val="0"/>
        <w:autoSpaceDN w:val="0"/>
        <w:adjustRightInd w:val="0"/>
        <w:rPr>
          <w:lang w:val="en-AU"/>
        </w:rPr>
      </w:pPr>
      <w:r w:rsidRPr="00386129">
        <w:rPr>
          <w:lang w:val="en-AU"/>
        </w:rPr>
        <w:t>Robertson ER, Morgan L, Bird S, Catchpole K, McCulloch P</w:t>
      </w:r>
    </w:p>
    <w:p w:rsidR="00B608DA" w:rsidRPr="0048169F" w:rsidRDefault="00B608DA" w:rsidP="00B608DA">
      <w:pPr>
        <w:keepNext/>
        <w:keepLines/>
        <w:autoSpaceDE w:val="0"/>
        <w:autoSpaceDN w:val="0"/>
        <w:adjustRightInd w:val="0"/>
        <w:rPr>
          <w:lang w:val="en-AU"/>
        </w:rPr>
      </w:pPr>
      <w:r w:rsidRPr="00386129">
        <w:rPr>
          <w:lang w:val="en-AU"/>
        </w:rPr>
        <w:t>BMJ Qual</w:t>
      </w:r>
      <w:r>
        <w:rPr>
          <w:lang w:val="en-AU"/>
        </w:rPr>
        <w:t>ity &amp;</w:t>
      </w:r>
      <w:r w:rsidRPr="00386129">
        <w:rPr>
          <w:lang w:val="en-AU"/>
        </w:rPr>
        <w:t xml:space="preserve"> Saf</w:t>
      </w:r>
      <w:r>
        <w:rPr>
          <w:lang w:val="en-AU"/>
        </w:rPr>
        <w:t>ety 2014 [e</w:t>
      </w:r>
      <w:r w:rsidRPr="00386129">
        <w:rPr>
          <w:lang w:val="en-AU"/>
        </w:rPr>
        <w:t>pub</w:t>
      </w:r>
      <w:r>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608DA" w:rsidRPr="0048169F" w:rsidTr="00A2748E">
        <w:tc>
          <w:tcPr>
            <w:tcW w:w="1080" w:type="dxa"/>
            <w:tcBorders>
              <w:top w:val="single" w:sz="4" w:space="0" w:color="auto"/>
              <w:left w:val="single" w:sz="4" w:space="0" w:color="auto"/>
              <w:bottom w:val="single" w:sz="4" w:space="0" w:color="auto"/>
              <w:right w:val="single" w:sz="4" w:space="0" w:color="auto"/>
            </w:tcBorders>
            <w:vAlign w:val="center"/>
          </w:tcPr>
          <w:p w:rsidR="00B608DA" w:rsidRPr="0048169F" w:rsidRDefault="00B608DA" w:rsidP="00A2748E">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608DA" w:rsidRPr="0048169F" w:rsidRDefault="00C871AC" w:rsidP="00A2748E">
            <w:pPr>
              <w:rPr>
                <w:lang w:val="en-AU"/>
              </w:rPr>
            </w:pPr>
            <w:hyperlink r:id="rId19" w:history="1">
              <w:r w:rsidR="00B608DA" w:rsidRPr="0007034A">
                <w:rPr>
                  <w:rStyle w:val="Hyperlink"/>
                  <w:lang w:val="en-AU"/>
                </w:rPr>
                <w:t>http://dx.doi.org/10.1136/bmjqs-2013-002309</w:t>
              </w:r>
            </w:hyperlink>
          </w:p>
        </w:tc>
      </w:tr>
      <w:tr w:rsidR="00B608DA" w:rsidRPr="0048169F" w:rsidTr="00A2748E">
        <w:tc>
          <w:tcPr>
            <w:tcW w:w="1080" w:type="dxa"/>
            <w:tcBorders>
              <w:top w:val="single" w:sz="4" w:space="0" w:color="auto"/>
              <w:left w:val="single" w:sz="4" w:space="0" w:color="auto"/>
              <w:bottom w:val="single" w:sz="4" w:space="0" w:color="auto"/>
              <w:right w:val="single" w:sz="4" w:space="0" w:color="auto"/>
            </w:tcBorders>
            <w:vAlign w:val="center"/>
          </w:tcPr>
          <w:p w:rsidR="00B608DA" w:rsidRPr="0048169F" w:rsidRDefault="00B608DA" w:rsidP="00A2748E">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08DA" w:rsidRDefault="00B608DA" w:rsidP="00A2748E">
            <w:pPr>
              <w:rPr>
                <w:lang w:val="en-AU"/>
              </w:rPr>
            </w:pPr>
            <w:r>
              <w:rPr>
                <w:lang w:val="en-AU"/>
              </w:rPr>
              <w:t xml:space="preserve">This systematic review examined the recent (2002–2012) literature on </w:t>
            </w:r>
            <w:proofErr w:type="spellStart"/>
            <w:r>
              <w:rPr>
                <w:lang w:val="en-AU"/>
              </w:rPr>
              <w:t>intrahospital</w:t>
            </w:r>
            <w:proofErr w:type="spellEnd"/>
            <w:r>
              <w:rPr>
                <w:lang w:val="en-AU"/>
              </w:rPr>
              <w:t xml:space="preserve"> handover so as to </w:t>
            </w:r>
            <w:r w:rsidRPr="00386129">
              <w:rPr>
                <w:lang w:val="en-AU"/>
              </w:rPr>
              <w:t xml:space="preserve">evaluate the effectiveness of </w:t>
            </w:r>
            <w:r>
              <w:rPr>
                <w:lang w:val="en-AU"/>
              </w:rPr>
              <w:t xml:space="preserve">published </w:t>
            </w:r>
            <w:r w:rsidRPr="00386129">
              <w:rPr>
                <w:lang w:val="en-AU"/>
              </w:rPr>
              <w:t>interventions</w:t>
            </w:r>
            <w:r>
              <w:rPr>
                <w:lang w:val="en-AU"/>
              </w:rPr>
              <w:t xml:space="preserve">. The authors note that the </w:t>
            </w:r>
            <w:r w:rsidRPr="00386129">
              <w:rPr>
                <w:lang w:val="en-AU"/>
              </w:rPr>
              <w:t xml:space="preserve">information error rate </w:t>
            </w:r>
            <w:r>
              <w:rPr>
                <w:lang w:val="en-AU"/>
              </w:rPr>
              <w:t xml:space="preserve">on handovers </w:t>
            </w:r>
            <w:r w:rsidRPr="00386129">
              <w:rPr>
                <w:lang w:val="en-AU"/>
              </w:rPr>
              <w:t>has been estimated at 13%</w:t>
            </w:r>
            <w:r>
              <w:rPr>
                <w:lang w:val="en-AU"/>
              </w:rPr>
              <w:t xml:space="preserve"> and that errors in handover are a well-recognised risk.</w:t>
            </w:r>
          </w:p>
          <w:p w:rsidR="00B608DA" w:rsidRPr="0048169F" w:rsidRDefault="00B608DA" w:rsidP="00A2748E">
            <w:pPr>
              <w:rPr>
                <w:lang w:val="en-AU"/>
              </w:rPr>
            </w:pPr>
            <w:r>
              <w:rPr>
                <w:lang w:val="en-AU"/>
              </w:rPr>
              <w:t>The review did not find “</w:t>
            </w:r>
            <w:r w:rsidRPr="00386129">
              <w:rPr>
                <w:lang w:val="en-AU"/>
              </w:rPr>
              <w:t>any methodology reliably improves the outcomes of clinical handover</w:t>
            </w:r>
            <w:r>
              <w:rPr>
                <w:lang w:val="en-AU"/>
              </w:rPr>
              <w:t>” but noted that “</w:t>
            </w:r>
            <w:r w:rsidRPr="00386129">
              <w:rPr>
                <w:lang w:val="en-AU"/>
              </w:rPr>
              <w:t>information transfer may be increased</w:t>
            </w:r>
            <w:r>
              <w:rPr>
                <w:lang w:val="en-AU"/>
              </w:rPr>
              <w:t>”</w:t>
            </w:r>
            <w:r w:rsidRPr="00386129">
              <w:rPr>
                <w:lang w:val="en-AU"/>
              </w:rPr>
              <w:t>.</w:t>
            </w:r>
          </w:p>
        </w:tc>
      </w:tr>
    </w:tbl>
    <w:p w:rsidR="00B608DA" w:rsidRDefault="00B608DA" w:rsidP="00B608DA">
      <w:pPr>
        <w:rPr>
          <w:i/>
          <w:lang w:val="en-AU"/>
        </w:rPr>
      </w:pPr>
    </w:p>
    <w:p w:rsidR="00B608DA" w:rsidRPr="00CB3155" w:rsidRDefault="00B608DA" w:rsidP="00B608DA">
      <w:pPr>
        <w:rPr>
          <w:lang w:val="en-AU"/>
        </w:rPr>
      </w:pPr>
      <w:r w:rsidRPr="00CB3155">
        <w:rPr>
          <w:lang w:val="en-AU"/>
        </w:rPr>
        <w:t>For information on the Commission’s work on clinical communication</w:t>
      </w:r>
      <w:r>
        <w:rPr>
          <w:lang w:val="en-AU"/>
        </w:rPr>
        <w:t>s</w:t>
      </w:r>
      <w:r w:rsidRPr="00CB3155">
        <w:rPr>
          <w:lang w:val="en-AU"/>
        </w:rPr>
        <w:t>, including clinical handover, see</w:t>
      </w:r>
      <w:r>
        <w:rPr>
          <w:lang w:val="en-AU"/>
        </w:rPr>
        <w:t xml:space="preserve"> </w:t>
      </w:r>
      <w:hyperlink r:id="rId20" w:history="1">
        <w:r w:rsidRPr="00AE760A">
          <w:rPr>
            <w:rStyle w:val="Hyperlink"/>
            <w:lang w:val="en-AU"/>
          </w:rPr>
          <w:t>http://www.safetyandquality.gov.au/our-work/clinical-communications/</w:t>
        </w:r>
      </w:hyperlink>
    </w:p>
    <w:p w:rsidR="00B608DA" w:rsidRDefault="00B608DA" w:rsidP="00B608DA">
      <w:pPr>
        <w:keepNext/>
        <w:keepLines/>
        <w:autoSpaceDE w:val="0"/>
        <w:autoSpaceDN w:val="0"/>
        <w:adjustRightInd w:val="0"/>
        <w:rPr>
          <w:lang w:val="en-AU"/>
        </w:rPr>
      </w:pPr>
    </w:p>
    <w:p w:rsidR="00335CD0" w:rsidRPr="0086544F" w:rsidRDefault="00335CD0" w:rsidP="00335CD0">
      <w:pPr>
        <w:keepNext/>
        <w:rPr>
          <w:i/>
          <w:lang w:val="en-AU"/>
        </w:rPr>
      </w:pPr>
      <w:r w:rsidRPr="0086544F">
        <w:rPr>
          <w:i/>
          <w:lang w:val="en-AU"/>
        </w:rPr>
        <w:t>BMJ Quality and Safety</w:t>
      </w:r>
    </w:p>
    <w:p w:rsidR="00335CD0" w:rsidRPr="0086544F" w:rsidRDefault="00335CD0" w:rsidP="00335CD0">
      <w:pPr>
        <w:keepNext/>
        <w:rPr>
          <w:lang w:val="en-AU"/>
        </w:rPr>
      </w:pPr>
      <w:r>
        <w:rPr>
          <w:lang w:val="en-AU"/>
        </w:rPr>
        <w:t xml:space="preserve">July 2014, </w:t>
      </w:r>
      <w:proofErr w:type="spellStart"/>
      <w:r>
        <w:rPr>
          <w:lang w:val="en-AU"/>
        </w:rPr>
        <w:t>Vol</w:t>
      </w:r>
      <w:proofErr w:type="spellEnd"/>
      <w:r>
        <w:rPr>
          <w:lang w:val="en-AU"/>
        </w:rPr>
        <w:t xml:space="preserve"> 23, Issue 7</w:t>
      </w:r>
    </w:p>
    <w:tbl>
      <w:tblPr>
        <w:tblStyle w:val="TableGrid"/>
        <w:tblW w:w="9360" w:type="dxa"/>
        <w:tblInd w:w="288" w:type="dxa"/>
        <w:tblLayout w:type="fixed"/>
        <w:tblLook w:val="04A0" w:firstRow="1" w:lastRow="0" w:firstColumn="1" w:lastColumn="0" w:noHBand="0" w:noVBand="1"/>
      </w:tblPr>
      <w:tblGrid>
        <w:gridCol w:w="1080"/>
        <w:gridCol w:w="8280"/>
      </w:tblGrid>
      <w:tr w:rsidR="00335CD0" w:rsidRPr="0086544F" w:rsidTr="0011650A">
        <w:tc>
          <w:tcPr>
            <w:tcW w:w="1080" w:type="dxa"/>
          </w:tcPr>
          <w:p w:rsidR="00335CD0" w:rsidRPr="0086544F" w:rsidRDefault="00335CD0" w:rsidP="0011650A">
            <w:pPr>
              <w:rPr>
                <w:lang w:val="en-AU"/>
              </w:rPr>
            </w:pPr>
            <w:r w:rsidRPr="0086544F">
              <w:rPr>
                <w:lang w:val="en-AU"/>
              </w:rPr>
              <w:t>URL</w:t>
            </w:r>
          </w:p>
        </w:tc>
        <w:tc>
          <w:tcPr>
            <w:tcW w:w="8280" w:type="dxa"/>
          </w:tcPr>
          <w:p w:rsidR="00335CD0" w:rsidRPr="0086544F" w:rsidRDefault="00C871AC" w:rsidP="00335CD0">
            <w:pPr>
              <w:keepNext/>
              <w:rPr>
                <w:lang w:val="en-AU"/>
              </w:rPr>
            </w:pPr>
            <w:hyperlink r:id="rId21" w:history="1">
              <w:r w:rsidR="00335CD0" w:rsidRPr="00C2555E">
                <w:rPr>
                  <w:rStyle w:val="Hyperlink"/>
                  <w:lang w:val="en-AU"/>
                </w:rPr>
                <w:t>http://qualitysafety.bmj.com/content/23/7</w:t>
              </w:r>
            </w:hyperlink>
          </w:p>
        </w:tc>
      </w:tr>
      <w:tr w:rsidR="00335CD0" w:rsidRPr="0086544F" w:rsidTr="0011650A">
        <w:tblPrEx>
          <w:tblLook w:val="01E0" w:firstRow="1" w:lastRow="1" w:firstColumn="1" w:lastColumn="1" w:noHBand="0" w:noVBand="0"/>
        </w:tblPrEx>
        <w:tc>
          <w:tcPr>
            <w:tcW w:w="1080" w:type="dxa"/>
            <w:vAlign w:val="center"/>
          </w:tcPr>
          <w:p w:rsidR="00335CD0" w:rsidRPr="0086544F" w:rsidRDefault="00335CD0" w:rsidP="0011650A">
            <w:pPr>
              <w:rPr>
                <w:lang w:val="en-AU"/>
              </w:rPr>
            </w:pPr>
            <w:r w:rsidRPr="0086544F">
              <w:rPr>
                <w:lang w:val="en-AU"/>
              </w:rPr>
              <w:t>Notes</w:t>
            </w:r>
          </w:p>
        </w:tc>
        <w:tc>
          <w:tcPr>
            <w:tcW w:w="8280" w:type="dxa"/>
            <w:vAlign w:val="center"/>
          </w:tcPr>
          <w:p w:rsidR="00335CD0" w:rsidRPr="0086544F" w:rsidRDefault="00335CD0" w:rsidP="0011650A">
            <w:pPr>
              <w:keepNext/>
              <w:rPr>
                <w:lang w:val="en-AU"/>
              </w:rPr>
            </w:pPr>
            <w:r w:rsidRPr="0086544F">
              <w:rPr>
                <w:lang w:val="en-AU"/>
              </w:rPr>
              <w:t xml:space="preserve">A new issue of </w:t>
            </w:r>
            <w:r w:rsidRPr="0086544F">
              <w:rPr>
                <w:i/>
                <w:lang w:val="en-AU"/>
              </w:rPr>
              <w:t xml:space="preserve">BMJ Quality and Safety </w:t>
            </w:r>
            <w:r w:rsidRPr="0086544F">
              <w:rPr>
                <w:lang w:val="en-AU"/>
              </w:rPr>
              <w:t xml:space="preserve">has been published. Many of the papers in this issue have been referred to in previous editions of </w:t>
            </w:r>
            <w:r w:rsidRPr="0086544F">
              <w:rPr>
                <w:i/>
                <w:lang w:val="en-AU"/>
              </w:rPr>
              <w:t>On the Radar</w:t>
            </w:r>
            <w:r w:rsidRPr="0086544F">
              <w:rPr>
                <w:lang w:val="en-AU"/>
              </w:rPr>
              <w:t xml:space="preserve"> (when they were released online). Articles in this issue of </w:t>
            </w:r>
            <w:r w:rsidRPr="0086544F">
              <w:rPr>
                <w:i/>
                <w:lang w:val="en-AU"/>
              </w:rPr>
              <w:t xml:space="preserve">BMJ Quality and Safety </w:t>
            </w:r>
            <w:r w:rsidRPr="0086544F">
              <w:rPr>
                <w:lang w:val="en-AU"/>
              </w:rPr>
              <w:t>include:</w:t>
            </w:r>
          </w:p>
          <w:p w:rsidR="00D30654" w:rsidRPr="00D30654" w:rsidRDefault="00D30654" w:rsidP="00D30654">
            <w:pPr>
              <w:numPr>
                <w:ilvl w:val="0"/>
                <w:numId w:val="25"/>
              </w:numPr>
              <w:rPr>
                <w:lang w:val="en-AU"/>
              </w:rPr>
            </w:pPr>
            <w:r w:rsidRPr="00D30654">
              <w:rPr>
                <w:lang w:val="en-AU"/>
              </w:rPr>
              <w:t xml:space="preserve">Editorial: </w:t>
            </w:r>
            <w:r w:rsidRPr="0070336B">
              <w:rPr>
                <w:b/>
                <w:lang w:val="en-AU"/>
              </w:rPr>
              <w:t>Quality and the curate's egg</w:t>
            </w:r>
            <w:r w:rsidRPr="00D30654">
              <w:rPr>
                <w:lang w:val="en-AU"/>
              </w:rPr>
              <w:t xml:space="preserve"> (Felix Greaves, Ashish K </w:t>
            </w:r>
            <w:proofErr w:type="spellStart"/>
            <w:r w:rsidRPr="00D30654">
              <w:rPr>
                <w:lang w:val="en-AU"/>
              </w:rPr>
              <w:t>Jha</w:t>
            </w:r>
            <w:proofErr w:type="spellEnd"/>
            <w:r>
              <w:rPr>
                <w:lang w:val="en-AU"/>
              </w:rPr>
              <w:t>)</w:t>
            </w:r>
          </w:p>
          <w:p w:rsidR="00D30654" w:rsidRPr="00D30654" w:rsidRDefault="00D30654" w:rsidP="00D30654">
            <w:pPr>
              <w:numPr>
                <w:ilvl w:val="0"/>
                <w:numId w:val="25"/>
              </w:numPr>
              <w:rPr>
                <w:lang w:val="en-AU"/>
              </w:rPr>
            </w:pPr>
            <w:r w:rsidRPr="00D30654">
              <w:rPr>
                <w:lang w:val="en-AU"/>
              </w:rPr>
              <w:t xml:space="preserve">The </w:t>
            </w:r>
            <w:r w:rsidRPr="0070336B">
              <w:rPr>
                <w:b/>
                <w:lang w:val="en-AU"/>
              </w:rPr>
              <w:t>limits of checklists</w:t>
            </w:r>
            <w:r w:rsidRPr="00D30654">
              <w:rPr>
                <w:lang w:val="en-AU"/>
              </w:rPr>
              <w:t xml:space="preserve">: handoff and narrative thinking (Brian </w:t>
            </w:r>
            <w:proofErr w:type="spellStart"/>
            <w:r w:rsidRPr="00D30654">
              <w:rPr>
                <w:lang w:val="en-AU"/>
              </w:rPr>
              <w:t>Hilligoss</w:t>
            </w:r>
            <w:proofErr w:type="spellEnd"/>
            <w:r w:rsidRPr="00D30654">
              <w:rPr>
                <w:lang w:val="en-AU"/>
              </w:rPr>
              <w:t>, Susan D Moffatt-Bruce</w:t>
            </w:r>
            <w:r>
              <w:rPr>
                <w:lang w:val="en-AU"/>
              </w:rPr>
              <w:t>)</w:t>
            </w:r>
          </w:p>
          <w:p w:rsidR="00D30654" w:rsidRPr="00D30654" w:rsidRDefault="00D30654" w:rsidP="00D30654">
            <w:pPr>
              <w:numPr>
                <w:ilvl w:val="0"/>
                <w:numId w:val="25"/>
              </w:numPr>
              <w:rPr>
                <w:lang w:val="en-AU"/>
              </w:rPr>
            </w:pPr>
            <w:r w:rsidRPr="00D30654">
              <w:rPr>
                <w:lang w:val="en-AU"/>
              </w:rPr>
              <w:t xml:space="preserve">Relationship between </w:t>
            </w:r>
            <w:r w:rsidRPr="0070336B">
              <w:rPr>
                <w:b/>
                <w:lang w:val="en-AU"/>
              </w:rPr>
              <w:t>patient reported experience (PREMs)</w:t>
            </w:r>
            <w:r w:rsidRPr="00D30654">
              <w:rPr>
                <w:lang w:val="en-AU"/>
              </w:rPr>
              <w:t xml:space="preserve"> and </w:t>
            </w:r>
            <w:r w:rsidRPr="0070336B">
              <w:rPr>
                <w:b/>
                <w:lang w:val="en-AU"/>
              </w:rPr>
              <w:t>patient reported outcomes (PROMs)</w:t>
            </w:r>
            <w:r w:rsidRPr="00D30654">
              <w:rPr>
                <w:lang w:val="en-AU"/>
              </w:rPr>
              <w:t xml:space="preserve"> in elective surgery (Nick Black, Mira </w:t>
            </w:r>
            <w:proofErr w:type="spellStart"/>
            <w:r w:rsidRPr="00D30654">
              <w:rPr>
                <w:lang w:val="en-AU"/>
              </w:rPr>
              <w:t>Varaganum</w:t>
            </w:r>
            <w:proofErr w:type="spellEnd"/>
            <w:r w:rsidRPr="00D30654">
              <w:rPr>
                <w:lang w:val="en-AU"/>
              </w:rPr>
              <w:t>, Andrew Hutchings</w:t>
            </w:r>
            <w:r>
              <w:rPr>
                <w:lang w:val="en-AU"/>
              </w:rPr>
              <w:t>)</w:t>
            </w:r>
          </w:p>
          <w:p w:rsidR="00D30654" w:rsidRPr="00D30654" w:rsidRDefault="00D30654" w:rsidP="00D30654">
            <w:pPr>
              <w:numPr>
                <w:ilvl w:val="0"/>
                <w:numId w:val="25"/>
              </w:numPr>
              <w:rPr>
                <w:lang w:val="en-AU"/>
              </w:rPr>
            </w:pPr>
            <w:r w:rsidRPr="00D30654">
              <w:rPr>
                <w:lang w:val="en-AU"/>
              </w:rPr>
              <w:t xml:space="preserve">The interpretability of </w:t>
            </w:r>
            <w:r w:rsidRPr="0070336B">
              <w:rPr>
                <w:b/>
                <w:lang w:val="en-AU"/>
              </w:rPr>
              <w:t>doctor identification badges</w:t>
            </w:r>
            <w:r w:rsidRPr="00D30654">
              <w:rPr>
                <w:lang w:val="en-AU"/>
              </w:rPr>
              <w:t xml:space="preserve"> in UK hospitals: a survey of nurses and patients (Bethan C </w:t>
            </w:r>
            <w:proofErr w:type="spellStart"/>
            <w:r w:rsidRPr="00D30654">
              <w:rPr>
                <w:lang w:val="en-AU"/>
              </w:rPr>
              <w:t>Hickerton</w:t>
            </w:r>
            <w:proofErr w:type="spellEnd"/>
            <w:r w:rsidRPr="00D30654">
              <w:rPr>
                <w:lang w:val="en-AU"/>
              </w:rPr>
              <w:t xml:space="preserve">, Daniel John Fitzgerald, Elizabeth Perry, Alan R De </w:t>
            </w:r>
            <w:proofErr w:type="spellStart"/>
            <w:r w:rsidRPr="00D30654">
              <w:rPr>
                <w:lang w:val="en-AU"/>
              </w:rPr>
              <w:t>Bolla</w:t>
            </w:r>
            <w:proofErr w:type="spellEnd"/>
            <w:r>
              <w:rPr>
                <w:lang w:val="en-AU"/>
              </w:rPr>
              <w:t>)</w:t>
            </w:r>
          </w:p>
          <w:p w:rsidR="00D30654" w:rsidRPr="00D30654" w:rsidRDefault="00D30654" w:rsidP="00D30654">
            <w:pPr>
              <w:numPr>
                <w:ilvl w:val="0"/>
                <w:numId w:val="25"/>
              </w:numPr>
              <w:rPr>
                <w:lang w:val="en-AU"/>
              </w:rPr>
            </w:pPr>
            <w:r w:rsidRPr="00D30654">
              <w:rPr>
                <w:lang w:val="en-AU"/>
              </w:rPr>
              <w:t xml:space="preserve">Promoting </w:t>
            </w:r>
            <w:r w:rsidRPr="0070336B">
              <w:rPr>
                <w:b/>
                <w:lang w:val="en-AU"/>
              </w:rPr>
              <w:t>engagement by patients and families</w:t>
            </w:r>
            <w:r w:rsidRPr="00D30654">
              <w:rPr>
                <w:lang w:val="en-AU"/>
              </w:rPr>
              <w:t xml:space="preserve"> to reduce adverse events in acute care settings: a systematic review (Zackary Berger, Tabor E </w:t>
            </w:r>
            <w:proofErr w:type="spellStart"/>
            <w:r w:rsidRPr="00D30654">
              <w:rPr>
                <w:lang w:val="en-AU"/>
              </w:rPr>
              <w:t>Flickinger</w:t>
            </w:r>
            <w:proofErr w:type="spellEnd"/>
            <w:r w:rsidRPr="00D30654">
              <w:rPr>
                <w:lang w:val="en-AU"/>
              </w:rPr>
              <w:t xml:space="preserve">, Elizabeth </w:t>
            </w:r>
            <w:proofErr w:type="spellStart"/>
            <w:r w:rsidRPr="00D30654">
              <w:rPr>
                <w:lang w:val="en-AU"/>
              </w:rPr>
              <w:t>Pfoh</w:t>
            </w:r>
            <w:proofErr w:type="spellEnd"/>
            <w:r w:rsidRPr="00D30654">
              <w:rPr>
                <w:lang w:val="en-AU"/>
              </w:rPr>
              <w:t xml:space="preserve">, Kathryn A Martinez, Sydney M </w:t>
            </w:r>
            <w:proofErr w:type="spellStart"/>
            <w:r w:rsidRPr="00D30654">
              <w:rPr>
                <w:lang w:val="en-AU"/>
              </w:rPr>
              <w:t>Dy</w:t>
            </w:r>
            <w:proofErr w:type="spellEnd"/>
            <w:r>
              <w:rPr>
                <w:lang w:val="en-AU"/>
              </w:rPr>
              <w:t>)</w:t>
            </w:r>
          </w:p>
          <w:p w:rsidR="00D30654" w:rsidRPr="00D30654" w:rsidRDefault="00D30654" w:rsidP="00D30654">
            <w:pPr>
              <w:numPr>
                <w:ilvl w:val="0"/>
                <w:numId w:val="25"/>
              </w:numPr>
              <w:rPr>
                <w:lang w:val="en-AU"/>
              </w:rPr>
            </w:pPr>
            <w:r w:rsidRPr="0070336B">
              <w:rPr>
                <w:b/>
                <w:lang w:val="en-AU"/>
              </w:rPr>
              <w:t>Patient safety culture in China</w:t>
            </w:r>
            <w:r w:rsidRPr="00D30654">
              <w:rPr>
                <w:lang w:val="en-AU"/>
              </w:rPr>
              <w:t>: a case study in an outpatient setting in Beijing (</w:t>
            </w:r>
            <w:proofErr w:type="spellStart"/>
            <w:r w:rsidRPr="00D30654">
              <w:rPr>
                <w:lang w:val="en-AU"/>
              </w:rPr>
              <w:t>Chaojie</w:t>
            </w:r>
            <w:proofErr w:type="spellEnd"/>
            <w:r w:rsidRPr="00D30654">
              <w:rPr>
                <w:lang w:val="en-AU"/>
              </w:rPr>
              <w:t xml:space="preserve"> Liu, </w:t>
            </w:r>
            <w:proofErr w:type="spellStart"/>
            <w:r w:rsidRPr="00D30654">
              <w:rPr>
                <w:lang w:val="en-AU"/>
              </w:rPr>
              <w:t>Weiwei</w:t>
            </w:r>
            <w:proofErr w:type="spellEnd"/>
            <w:r w:rsidRPr="00D30654">
              <w:rPr>
                <w:lang w:val="en-AU"/>
              </w:rPr>
              <w:t xml:space="preserve"> Liu, </w:t>
            </w:r>
            <w:proofErr w:type="spellStart"/>
            <w:r w:rsidRPr="00D30654">
              <w:rPr>
                <w:lang w:val="en-AU"/>
              </w:rPr>
              <w:t>Yuanyuan</w:t>
            </w:r>
            <w:proofErr w:type="spellEnd"/>
            <w:r w:rsidRPr="00D30654">
              <w:rPr>
                <w:lang w:val="en-AU"/>
              </w:rPr>
              <w:t xml:space="preserve"> Wang, Z</w:t>
            </w:r>
            <w:r w:rsidR="0070336B">
              <w:rPr>
                <w:lang w:val="en-AU"/>
              </w:rPr>
              <w:t xml:space="preserve"> </w:t>
            </w:r>
            <w:r w:rsidRPr="00D30654">
              <w:rPr>
                <w:lang w:val="en-AU"/>
              </w:rPr>
              <w:t>Zhang, P Wang</w:t>
            </w:r>
            <w:r>
              <w:rPr>
                <w:lang w:val="en-AU"/>
              </w:rPr>
              <w:t>)</w:t>
            </w:r>
          </w:p>
          <w:p w:rsidR="00D30654" w:rsidRPr="00D30654" w:rsidRDefault="00D30654" w:rsidP="00D30654">
            <w:pPr>
              <w:numPr>
                <w:ilvl w:val="0"/>
                <w:numId w:val="25"/>
              </w:numPr>
              <w:rPr>
                <w:lang w:val="en-AU"/>
              </w:rPr>
            </w:pPr>
            <w:r w:rsidRPr="00D30654">
              <w:rPr>
                <w:lang w:val="en-AU"/>
              </w:rPr>
              <w:t xml:space="preserve">Developing a reliable and valid </w:t>
            </w:r>
            <w:r w:rsidRPr="0070336B">
              <w:rPr>
                <w:b/>
                <w:lang w:val="en-AU"/>
              </w:rPr>
              <w:t>patient measure of safety</w:t>
            </w:r>
            <w:r w:rsidRPr="00D30654">
              <w:rPr>
                <w:lang w:val="en-AU"/>
              </w:rPr>
              <w:t xml:space="preserve"> in hospitals (PMOS): a validation study (Rosemary R C </w:t>
            </w:r>
            <w:proofErr w:type="spellStart"/>
            <w:r w:rsidRPr="00D30654">
              <w:rPr>
                <w:lang w:val="en-AU"/>
              </w:rPr>
              <w:t>McEachan</w:t>
            </w:r>
            <w:proofErr w:type="spellEnd"/>
            <w:r w:rsidRPr="00D30654">
              <w:rPr>
                <w:lang w:val="en-AU"/>
              </w:rPr>
              <w:t>, Rebecca J Lawton, Jane K O'Hara, Gerry Armitage, Sally Giles, S</w:t>
            </w:r>
            <w:r w:rsidR="0070336B">
              <w:rPr>
                <w:lang w:val="en-AU"/>
              </w:rPr>
              <w:t xml:space="preserve"> </w:t>
            </w:r>
            <w:r w:rsidRPr="00D30654">
              <w:rPr>
                <w:lang w:val="en-AU"/>
              </w:rPr>
              <w:t xml:space="preserve"> </w:t>
            </w:r>
            <w:proofErr w:type="spellStart"/>
            <w:r w:rsidRPr="00D30654">
              <w:rPr>
                <w:lang w:val="en-AU"/>
              </w:rPr>
              <w:t>Parveen</w:t>
            </w:r>
            <w:proofErr w:type="spellEnd"/>
            <w:r w:rsidRPr="00D30654">
              <w:rPr>
                <w:lang w:val="en-AU"/>
              </w:rPr>
              <w:t>, I</w:t>
            </w:r>
            <w:r w:rsidR="0070336B">
              <w:rPr>
                <w:lang w:val="en-AU"/>
              </w:rPr>
              <w:t xml:space="preserve"> </w:t>
            </w:r>
            <w:r w:rsidRPr="00D30654">
              <w:rPr>
                <w:lang w:val="en-AU"/>
              </w:rPr>
              <w:t>S Watt, J Wright, on behalf of the Yorkshire Quality and Safety Research Group</w:t>
            </w:r>
            <w:r>
              <w:rPr>
                <w:lang w:val="en-AU"/>
              </w:rPr>
              <w:t>)</w:t>
            </w:r>
          </w:p>
          <w:p w:rsidR="00D30654" w:rsidRPr="00D30654" w:rsidRDefault="00D30654" w:rsidP="00D30654">
            <w:pPr>
              <w:numPr>
                <w:ilvl w:val="0"/>
                <w:numId w:val="25"/>
              </w:numPr>
              <w:rPr>
                <w:lang w:val="en-AU"/>
              </w:rPr>
            </w:pPr>
            <w:r w:rsidRPr="0070336B">
              <w:rPr>
                <w:b/>
                <w:lang w:val="en-AU"/>
              </w:rPr>
              <w:t>Collaborative pharmaceutical care</w:t>
            </w:r>
            <w:r w:rsidRPr="00D30654">
              <w:rPr>
                <w:lang w:val="en-AU"/>
              </w:rPr>
              <w:t xml:space="preserve"> in an Irish hospital: uncontrolled before-after study (</w:t>
            </w:r>
            <w:proofErr w:type="spellStart"/>
            <w:r w:rsidRPr="00D30654">
              <w:rPr>
                <w:lang w:val="en-AU"/>
              </w:rPr>
              <w:t>Tamasine</w:t>
            </w:r>
            <w:proofErr w:type="spellEnd"/>
            <w:r w:rsidRPr="00D30654">
              <w:rPr>
                <w:lang w:val="en-AU"/>
              </w:rPr>
              <w:t xml:space="preserve"> C Grimes, Evelyn </w:t>
            </w:r>
            <w:proofErr w:type="spellStart"/>
            <w:r w:rsidRPr="00D30654">
              <w:rPr>
                <w:lang w:val="en-AU"/>
              </w:rPr>
              <w:t>Deasy</w:t>
            </w:r>
            <w:proofErr w:type="spellEnd"/>
            <w:r w:rsidRPr="00D30654">
              <w:rPr>
                <w:lang w:val="en-AU"/>
              </w:rPr>
              <w:t xml:space="preserve">, Ann Allen, John O'Byrne, Tim Delaney, John </w:t>
            </w:r>
            <w:proofErr w:type="spellStart"/>
            <w:r w:rsidRPr="00D30654">
              <w:rPr>
                <w:lang w:val="en-AU"/>
              </w:rPr>
              <w:t>Barragry</w:t>
            </w:r>
            <w:proofErr w:type="spellEnd"/>
            <w:r w:rsidRPr="00D30654">
              <w:rPr>
                <w:lang w:val="en-AU"/>
              </w:rPr>
              <w:t xml:space="preserve">, Niall </w:t>
            </w:r>
            <w:proofErr w:type="spellStart"/>
            <w:r w:rsidRPr="00D30654">
              <w:rPr>
                <w:lang w:val="en-AU"/>
              </w:rPr>
              <w:t>Breslin</w:t>
            </w:r>
            <w:proofErr w:type="spellEnd"/>
            <w:r w:rsidRPr="00D30654">
              <w:rPr>
                <w:lang w:val="en-AU"/>
              </w:rPr>
              <w:t xml:space="preserve">, E </w:t>
            </w:r>
            <w:proofErr w:type="spellStart"/>
            <w:r w:rsidRPr="00D30654">
              <w:rPr>
                <w:lang w:val="en-AU"/>
              </w:rPr>
              <w:t>Moloney</w:t>
            </w:r>
            <w:proofErr w:type="spellEnd"/>
            <w:r w:rsidRPr="00D30654">
              <w:rPr>
                <w:lang w:val="en-AU"/>
              </w:rPr>
              <w:t>, C Wall</w:t>
            </w:r>
            <w:r>
              <w:rPr>
                <w:lang w:val="en-AU"/>
              </w:rPr>
              <w:t>)</w:t>
            </w:r>
          </w:p>
          <w:p w:rsidR="00D30654" w:rsidRPr="00D30654" w:rsidRDefault="00D30654" w:rsidP="00D30654">
            <w:pPr>
              <w:numPr>
                <w:ilvl w:val="0"/>
                <w:numId w:val="25"/>
              </w:numPr>
              <w:rPr>
                <w:lang w:val="en-AU"/>
              </w:rPr>
            </w:pPr>
            <w:r w:rsidRPr="00D30654">
              <w:rPr>
                <w:lang w:val="en-AU"/>
              </w:rPr>
              <w:t xml:space="preserve">We need to talk: an observational study of the impact of </w:t>
            </w:r>
            <w:r w:rsidRPr="0070336B">
              <w:rPr>
                <w:b/>
                <w:lang w:val="en-AU"/>
              </w:rPr>
              <w:t>electronic medical record implementation</w:t>
            </w:r>
            <w:r w:rsidRPr="00D30654">
              <w:rPr>
                <w:lang w:val="en-AU"/>
              </w:rPr>
              <w:t xml:space="preserve"> on hospital communication (Stephanie Parks Taylor, Robert Ledford, Victoria Palmer, Erika Abel</w:t>
            </w:r>
            <w:r>
              <w:rPr>
                <w:lang w:val="en-AU"/>
              </w:rPr>
              <w:t>)</w:t>
            </w:r>
          </w:p>
          <w:p w:rsidR="00D30654" w:rsidRPr="00D30654" w:rsidRDefault="00D30654" w:rsidP="00D30654">
            <w:pPr>
              <w:numPr>
                <w:ilvl w:val="0"/>
                <w:numId w:val="25"/>
              </w:numPr>
              <w:rPr>
                <w:lang w:val="en-AU"/>
              </w:rPr>
            </w:pPr>
            <w:r w:rsidRPr="00D30654">
              <w:rPr>
                <w:lang w:val="en-AU"/>
              </w:rPr>
              <w:t xml:space="preserve">The use of </w:t>
            </w:r>
            <w:r w:rsidRPr="0070336B">
              <w:rPr>
                <w:b/>
                <w:lang w:val="en-AU"/>
              </w:rPr>
              <w:t>report cards</w:t>
            </w:r>
            <w:r w:rsidRPr="00D30654">
              <w:rPr>
                <w:lang w:val="en-AU"/>
              </w:rPr>
              <w:t xml:space="preserve"> and </w:t>
            </w:r>
            <w:r w:rsidRPr="0070336B">
              <w:rPr>
                <w:b/>
                <w:lang w:val="en-AU"/>
              </w:rPr>
              <w:t>outcome measurements</w:t>
            </w:r>
            <w:r w:rsidRPr="00D30654">
              <w:rPr>
                <w:lang w:val="en-AU"/>
              </w:rPr>
              <w:t xml:space="preserve"> to improve the safety of surgical care: the American College of Surgeons National Surgical Quality Improvement Program (Melinda </w:t>
            </w:r>
            <w:proofErr w:type="spellStart"/>
            <w:r w:rsidRPr="00D30654">
              <w:rPr>
                <w:lang w:val="en-AU"/>
              </w:rPr>
              <w:t>Maggard</w:t>
            </w:r>
            <w:proofErr w:type="spellEnd"/>
            <w:r w:rsidRPr="00D30654">
              <w:rPr>
                <w:lang w:val="en-AU"/>
              </w:rPr>
              <w:t>-Gibbons</w:t>
            </w:r>
            <w:r>
              <w:rPr>
                <w:lang w:val="en-AU"/>
              </w:rPr>
              <w:t>)</w:t>
            </w:r>
          </w:p>
          <w:p w:rsidR="00335CD0" w:rsidRPr="0086544F" w:rsidRDefault="00D30654" w:rsidP="0070336B">
            <w:pPr>
              <w:numPr>
                <w:ilvl w:val="0"/>
                <w:numId w:val="25"/>
              </w:numPr>
              <w:rPr>
                <w:lang w:val="en-AU"/>
              </w:rPr>
            </w:pPr>
            <w:r w:rsidRPr="00D30654">
              <w:rPr>
                <w:lang w:val="en-AU"/>
              </w:rPr>
              <w:t xml:space="preserve">Interventions employed to improve </w:t>
            </w:r>
            <w:proofErr w:type="spellStart"/>
            <w:r w:rsidRPr="0070336B">
              <w:rPr>
                <w:b/>
                <w:lang w:val="en-AU"/>
              </w:rPr>
              <w:t>intrahospital</w:t>
            </w:r>
            <w:proofErr w:type="spellEnd"/>
            <w:r w:rsidRPr="0070336B">
              <w:rPr>
                <w:b/>
                <w:lang w:val="en-AU"/>
              </w:rPr>
              <w:t xml:space="preserve"> handover</w:t>
            </w:r>
            <w:r w:rsidRPr="00D30654">
              <w:rPr>
                <w:lang w:val="en-AU"/>
              </w:rPr>
              <w:t xml:space="preserve">: a systematic review </w:t>
            </w:r>
            <w:r>
              <w:rPr>
                <w:lang w:val="en-AU"/>
              </w:rPr>
              <w:t>(</w:t>
            </w:r>
            <w:r w:rsidRPr="00D30654">
              <w:rPr>
                <w:lang w:val="en-AU"/>
              </w:rPr>
              <w:t>E R Robertson, L Morgan, S Bird, K Catchpole, P McCulloch</w:t>
            </w:r>
            <w:r>
              <w:rPr>
                <w:lang w:val="en-AU"/>
              </w:rPr>
              <w:t>)</w:t>
            </w:r>
          </w:p>
        </w:tc>
      </w:tr>
    </w:tbl>
    <w:p w:rsidR="00335CD0" w:rsidRDefault="00335CD0" w:rsidP="003D1368">
      <w:pPr>
        <w:keepNext/>
        <w:keepLines/>
        <w:autoSpaceDE w:val="0"/>
        <w:autoSpaceDN w:val="0"/>
        <w:adjustRightInd w:val="0"/>
        <w:rPr>
          <w:lang w:val="en-AU"/>
        </w:rPr>
      </w:pPr>
    </w:p>
    <w:p w:rsidR="00500DC0" w:rsidRPr="0048169F" w:rsidRDefault="00500DC0" w:rsidP="00500DC0">
      <w:pPr>
        <w:keepNext/>
        <w:rPr>
          <w:lang w:val="en-AU"/>
        </w:rPr>
      </w:pPr>
      <w:r w:rsidRPr="0048169F">
        <w:rPr>
          <w:i/>
          <w:lang w:val="en-AU"/>
        </w:rPr>
        <w:t xml:space="preserve">BMJ Quality and Safety </w:t>
      </w:r>
      <w:r w:rsidRPr="0048169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C61ACD"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C61ACD" w:rsidRPr="0048169F" w:rsidRDefault="00C61ACD" w:rsidP="00260459">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ACD" w:rsidRPr="0048169F" w:rsidRDefault="00C871AC" w:rsidP="00260459">
            <w:pPr>
              <w:rPr>
                <w:lang w:val="en-AU"/>
              </w:rPr>
            </w:pPr>
            <w:hyperlink r:id="rId22" w:history="1">
              <w:r w:rsidR="00C61ACD" w:rsidRPr="0048169F">
                <w:rPr>
                  <w:rStyle w:val="Hyperlink"/>
                  <w:lang w:val="en-AU"/>
                </w:rPr>
                <w:t>http://qualitysafety.bmj.com/content/early/recent</w:t>
              </w:r>
            </w:hyperlink>
          </w:p>
        </w:tc>
      </w:tr>
      <w:tr w:rsidR="00500DC0"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260459">
            <w:pPr>
              <w:rPr>
                <w:lang w:val="en-AU"/>
              </w:rPr>
            </w:pPr>
            <w:r w:rsidRPr="0048169F">
              <w:rPr>
                <w:i/>
                <w:lang w:val="en-AU"/>
              </w:rPr>
              <w:t>BMJ Quality and Safety</w:t>
            </w:r>
            <w:r w:rsidRPr="0048169F">
              <w:rPr>
                <w:lang w:val="en-AU"/>
              </w:rPr>
              <w:t xml:space="preserve"> has published a number of ‘online first’ articles, including:</w:t>
            </w:r>
          </w:p>
          <w:p w:rsidR="00354B63" w:rsidRPr="00354B63" w:rsidRDefault="00354B63" w:rsidP="00354B63">
            <w:pPr>
              <w:pStyle w:val="ListParagraph"/>
              <w:numPr>
                <w:ilvl w:val="0"/>
                <w:numId w:val="14"/>
              </w:numPr>
              <w:rPr>
                <w:lang w:val="en-AU"/>
              </w:rPr>
            </w:pPr>
            <w:r w:rsidRPr="00354B63">
              <w:rPr>
                <w:lang w:val="en-AU"/>
              </w:rPr>
              <w:t xml:space="preserve">Determinants of </w:t>
            </w:r>
            <w:r w:rsidRPr="00354B63">
              <w:rPr>
                <w:b/>
                <w:lang w:val="en-AU"/>
              </w:rPr>
              <w:t>treatment plan implementation</w:t>
            </w:r>
            <w:r w:rsidRPr="00354B63">
              <w:rPr>
                <w:lang w:val="en-AU"/>
              </w:rPr>
              <w:t xml:space="preserve"> in multidisciplinary team meetings for patients with </w:t>
            </w:r>
            <w:r w:rsidRPr="00354B63">
              <w:rPr>
                <w:b/>
                <w:lang w:val="en-AU"/>
              </w:rPr>
              <w:t>chronic diseases</w:t>
            </w:r>
            <w:r w:rsidRPr="00354B63">
              <w:rPr>
                <w:lang w:val="en-AU"/>
              </w:rPr>
              <w:t xml:space="preserve">: a mixed-methods study (Rosalind </w:t>
            </w:r>
            <w:proofErr w:type="spellStart"/>
            <w:r w:rsidRPr="00354B63">
              <w:rPr>
                <w:lang w:val="en-AU"/>
              </w:rPr>
              <w:t>Raine</w:t>
            </w:r>
            <w:proofErr w:type="spellEnd"/>
            <w:r w:rsidRPr="00354B63">
              <w:rPr>
                <w:lang w:val="en-AU"/>
              </w:rPr>
              <w:t xml:space="preserve">, Penny </w:t>
            </w:r>
            <w:proofErr w:type="spellStart"/>
            <w:r w:rsidRPr="00354B63">
              <w:rPr>
                <w:lang w:val="en-AU"/>
              </w:rPr>
              <w:t>Xanthopoulou</w:t>
            </w:r>
            <w:proofErr w:type="spellEnd"/>
            <w:r w:rsidRPr="00354B63">
              <w:rPr>
                <w:lang w:val="en-AU"/>
              </w:rPr>
              <w:t xml:space="preserve">, Isla Wallace, C </w:t>
            </w:r>
            <w:proofErr w:type="spellStart"/>
            <w:r w:rsidRPr="00354B63">
              <w:rPr>
                <w:lang w:val="en-AU"/>
              </w:rPr>
              <w:t>Nic</w:t>
            </w:r>
            <w:proofErr w:type="spellEnd"/>
            <w:r w:rsidRPr="00354B63">
              <w:rPr>
                <w:lang w:val="en-AU"/>
              </w:rPr>
              <w:t xml:space="preserve"> a’ </w:t>
            </w:r>
            <w:proofErr w:type="spellStart"/>
            <w:r w:rsidRPr="00354B63">
              <w:rPr>
                <w:lang w:val="en-AU"/>
              </w:rPr>
              <w:t>Bháird</w:t>
            </w:r>
            <w:proofErr w:type="spellEnd"/>
            <w:r w:rsidRPr="00354B63">
              <w:rPr>
                <w:lang w:val="en-AU"/>
              </w:rPr>
              <w:t xml:space="preserve">, A </w:t>
            </w:r>
            <w:proofErr w:type="spellStart"/>
            <w:r w:rsidRPr="00354B63">
              <w:rPr>
                <w:lang w:val="en-AU"/>
              </w:rPr>
              <w:t>Lanceley</w:t>
            </w:r>
            <w:proofErr w:type="spellEnd"/>
            <w:r w:rsidRPr="00354B63">
              <w:rPr>
                <w:lang w:val="en-AU"/>
              </w:rPr>
              <w:t xml:space="preserve">, A Clarke, G Livingston, A Prentice, D </w:t>
            </w:r>
            <w:proofErr w:type="spellStart"/>
            <w:r w:rsidRPr="00354B63">
              <w:rPr>
                <w:lang w:val="en-AU"/>
              </w:rPr>
              <w:t>Ardron</w:t>
            </w:r>
            <w:proofErr w:type="spellEnd"/>
            <w:r w:rsidRPr="00354B63">
              <w:rPr>
                <w:lang w:val="en-AU"/>
              </w:rPr>
              <w:t xml:space="preserve">, M Harris, M King, S </w:t>
            </w:r>
            <w:proofErr w:type="spellStart"/>
            <w:r w:rsidRPr="00354B63">
              <w:rPr>
                <w:lang w:val="en-AU"/>
              </w:rPr>
              <w:t>Michie</w:t>
            </w:r>
            <w:proofErr w:type="spellEnd"/>
            <w:r w:rsidRPr="00354B63">
              <w:rPr>
                <w:lang w:val="en-AU"/>
              </w:rPr>
              <w:t xml:space="preserve">, J M </w:t>
            </w:r>
            <w:proofErr w:type="spellStart"/>
            <w:r w:rsidRPr="00354B63">
              <w:rPr>
                <w:lang w:val="en-AU"/>
              </w:rPr>
              <w:t>Blazeby</w:t>
            </w:r>
            <w:proofErr w:type="spellEnd"/>
            <w:r w:rsidRPr="00354B63">
              <w:rPr>
                <w:lang w:val="en-AU"/>
              </w:rPr>
              <w:t xml:space="preserve">, </w:t>
            </w:r>
            <w:proofErr w:type="spellStart"/>
            <w:r w:rsidRPr="00354B63">
              <w:rPr>
                <w:lang w:val="en-AU"/>
              </w:rPr>
              <w:t>N</w:t>
            </w:r>
            <w:proofErr w:type="spellEnd"/>
            <w:r w:rsidRPr="00354B63">
              <w:rPr>
                <w:lang w:val="en-AU"/>
              </w:rPr>
              <w:t xml:space="preserve"> Austin-Parsons, S Gibbs, J Barber</w:t>
            </w:r>
            <w:r>
              <w:rPr>
                <w:lang w:val="en-AU"/>
              </w:rPr>
              <w:t>)</w:t>
            </w:r>
          </w:p>
          <w:p w:rsidR="00F23FE9" w:rsidRDefault="00354B63" w:rsidP="00354B63">
            <w:pPr>
              <w:pStyle w:val="ListParagraph"/>
              <w:numPr>
                <w:ilvl w:val="0"/>
                <w:numId w:val="14"/>
              </w:numPr>
              <w:rPr>
                <w:lang w:val="en-AU"/>
              </w:rPr>
            </w:pPr>
            <w:r w:rsidRPr="00354B63">
              <w:rPr>
                <w:lang w:val="en-AU"/>
              </w:rPr>
              <w:t xml:space="preserve">A multidisciplinary, multifaceted improvement initiative to eliminate </w:t>
            </w:r>
            <w:r w:rsidRPr="00354B63">
              <w:rPr>
                <w:b/>
                <w:lang w:val="en-AU"/>
              </w:rPr>
              <w:t>mislabelled laboratory specimens</w:t>
            </w:r>
            <w:r w:rsidRPr="00354B63">
              <w:rPr>
                <w:lang w:val="en-AU"/>
              </w:rPr>
              <w:t xml:space="preserve"> at a large tertiary care hospital </w:t>
            </w:r>
            <w:r>
              <w:rPr>
                <w:lang w:val="en-AU"/>
              </w:rPr>
              <w:t>(</w:t>
            </w:r>
            <w:r w:rsidRPr="00354B63">
              <w:rPr>
                <w:lang w:val="en-AU"/>
              </w:rPr>
              <w:t xml:space="preserve">Edward G </w:t>
            </w:r>
            <w:proofErr w:type="spellStart"/>
            <w:r w:rsidRPr="00354B63">
              <w:rPr>
                <w:lang w:val="en-AU"/>
              </w:rPr>
              <w:t>Seferian</w:t>
            </w:r>
            <w:proofErr w:type="spellEnd"/>
            <w:r w:rsidRPr="00354B63">
              <w:rPr>
                <w:lang w:val="en-AU"/>
              </w:rPr>
              <w:t xml:space="preserve">, </w:t>
            </w:r>
            <w:proofErr w:type="spellStart"/>
            <w:r w:rsidRPr="00354B63">
              <w:rPr>
                <w:lang w:val="en-AU"/>
              </w:rPr>
              <w:t>Salima</w:t>
            </w:r>
            <w:proofErr w:type="spellEnd"/>
            <w:r w:rsidRPr="00354B63">
              <w:rPr>
                <w:lang w:val="en-AU"/>
              </w:rPr>
              <w:t xml:space="preserve"> Jamal, Kathleen Clark, Mary </w:t>
            </w:r>
            <w:proofErr w:type="spellStart"/>
            <w:r w:rsidRPr="00354B63">
              <w:rPr>
                <w:lang w:val="en-AU"/>
              </w:rPr>
              <w:t>Cirricione</w:t>
            </w:r>
            <w:proofErr w:type="spellEnd"/>
            <w:r w:rsidRPr="00354B63">
              <w:rPr>
                <w:lang w:val="en-AU"/>
              </w:rPr>
              <w:t xml:space="preserve">, Linda </w:t>
            </w:r>
            <w:proofErr w:type="spellStart"/>
            <w:r w:rsidRPr="00354B63">
              <w:rPr>
                <w:lang w:val="en-AU"/>
              </w:rPr>
              <w:t>Burnes</w:t>
            </w:r>
            <w:proofErr w:type="spellEnd"/>
            <w:r w:rsidRPr="00354B63">
              <w:rPr>
                <w:lang w:val="en-AU"/>
              </w:rPr>
              <w:t xml:space="preserve">-Bolton, </w:t>
            </w:r>
            <w:proofErr w:type="spellStart"/>
            <w:r w:rsidRPr="00354B63">
              <w:rPr>
                <w:lang w:val="en-AU"/>
              </w:rPr>
              <w:t>Mahul</w:t>
            </w:r>
            <w:proofErr w:type="spellEnd"/>
            <w:r w:rsidRPr="00354B63">
              <w:rPr>
                <w:lang w:val="en-AU"/>
              </w:rPr>
              <w:t xml:space="preserve"> Amin, Neil Romanoff, Ellen </w:t>
            </w:r>
            <w:proofErr w:type="spellStart"/>
            <w:r w:rsidRPr="00354B63">
              <w:rPr>
                <w:lang w:val="en-AU"/>
              </w:rPr>
              <w:t>Klapper</w:t>
            </w:r>
            <w:proofErr w:type="spellEnd"/>
            <w:r>
              <w:rPr>
                <w:lang w:val="en-AU"/>
              </w:rPr>
              <w:t>)</w:t>
            </w:r>
          </w:p>
          <w:p w:rsidR="0076378B" w:rsidRPr="0048169F" w:rsidRDefault="0076378B" w:rsidP="0076378B">
            <w:pPr>
              <w:pStyle w:val="ListParagraph"/>
              <w:numPr>
                <w:ilvl w:val="0"/>
                <w:numId w:val="14"/>
              </w:numPr>
              <w:rPr>
                <w:lang w:val="en-AU"/>
              </w:rPr>
            </w:pPr>
            <w:r w:rsidRPr="0076378B">
              <w:rPr>
                <w:lang w:val="en-AU"/>
              </w:rPr>
              <w:t xml:space="preserve">User-generated </w:t>
            </w:r>
            <w:r w:rsidRPr="0076378B">
              <w:rPr>
                <w:b/>
                <w:lang w:val="en-AU"/>
              </w:rPr>
              <w:t>quality standards for youth mental health</w:t>
            </w:r>
            <w:r w:rsidRPr="0076378B">
              <w:rPr>
                <w:lang w:val="en-AU"/>
              </w:rPr>
              <w:t xml:space="preserve"> in primary care: a participatory research design using mixed methods </w:t>
            </w:r>
            <w:r>
              <w:rPr>
                <w:lang w:val="en-AU"/>
              </w:rPr>
              <w:t>(</w:t>
            </w:r>
            <w:r w:rsidRPr="0076378B">
              <w:rPr>
                <w:lang w:val="en-AU"/>
              </w:rPr>
              <w:t xml:space="preserve">Tanya Graham, Diana Rose, Joanna Murray, Mark Ashworth, André </w:t>
            </w:r>
            <w:proofErr w:type="spellStart"/>
            <w:r w:rsidRPr="0076378B">
              <w:rPr>
                <w:lang w:val="en-AU"/>
              </w:rPr>
              <w:t>Tylee</w:t>
            </w:r>
            <w:proofErr w:type="spellEnd"/>
            <w:r>
              <w:rPr>
                <w:lang w:val="en-AU"/>
              </w:rPr>
              <w:t>)</w:t>
            </w:r>
          </w:p>
        </w:tc>
      </w:tr>
    </w:tbl>
    <w:p w:rsidR="00683AB6" w:rsidRDefault="00683AB6" w:rsidP="00683AB6">
      <w:pPr>
        <w:keepNext/>
        <w:autoSpaceDE w:val="0"/>
        <w:autoSpaceDN w:val="0"/>
        <w:adjustRightInd w:val="0"/>
        <w:rPr>
          <w:i/>
          <w:lang w:val="en-AU"/>
        </w:rPr>
      </w:pPr>
    </w:p>
    <w:p w:rsidR="00683AB6" w:rsidRPr="0048169F" w:rsidRDefault="00683AB6" w:rsidP="00683AB6">
      <w:pPr>
        <w:keepNext/>
        <w:autoSpaceDE w:val="0"/>
        <w:autoSpaceDN w:val="0"/>
        <w:adjustRightInd w:val="0"/>
        <w:rPr>
          <w:lang w:val="en-AU"/>
        </w:rPr>
      </w:pPr>
      <w:r w:rsidRPr="0048169F">
        <w:rPr>
          <w:i/>
          <w:lang w:val="en-AU"/>
        </w:rPr>
        <w:t>International Journal for Quality in Health Care</w:t>
      </w:r>
      <w:r w:rsidRPr="0048169F">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83AB6" w:rsidRPr="0048169F" w:rsidTr="003D7320">
        <w:tc>
          <w:tcPr>
            <w:tcW w:w="1080" w:type="dxa"/>
            <w:tcBorders>
              <w:top w:val="single" w:sz="4" w:space="0" w:color="auto"/>
              <w:left w:val="single" w:sz="4" w:space="0" w:color="auto"/>
              <w:bottom w:val="single" w:sz="4" w:space="0" w:color="auto"/>
              <w:right w:val="single" w:sz="4" w:space="0" w:color="auto"/>
            </w:tcBorders>
            <w:vAlign w:val="center"/>
          </w:tcPr>
          <w:p w:rsidR="00683AB6" w:rsidRPr="0048169F" w:rsidRDefault="00683AB6" w:rsidP="003D7320">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3AB6" w:rsidRPr="0048169F" w:rsidRDefault="00C871AC" w:rsidP="003D7320">
            <w:pPr>
              <w:rPr>
                <w:lang w:val="en-AU"/>
              </w:rPr>
            </w:pPr>
            <w:hyperlink r:id="rId23" w:history="1">
              <w:r w:rsidR="00683AB6" w:rsidRPr="0048169F">
                <w:rPr>
                  <w:rStyle w:val="Hyperlink"/>
                  <w:lang w:val="en-AU"/>
                </w:rPr>
                <w:t>http://intqhc.oxfordjournals.org/content/early/recent?papetoc</w:t>
              </w:r>
            </w:hyperlink>
          </w:p>
        </w:tc>
      </w:tr>
      <w:tr w:rsidR="00683AB6" w:rsidRPr="0048169F" w:rsidTr="003D7320">
        <w:tc>
          <w:tcPr>
            <w:tcW w:w="1080" w:type="dxa"/>
            <w:tcBorders>
              <w:top w:val="single" w:sz="4" w:space="0" w:color="auto"/>
              <w:left w:val="single" w:sz="4" w:space="0" w:color="auto"/>
              <w:bottom w:val="single" w:sz="4" w:space="0" w:color="auto"/>
              <w:right w:val="single" w:sz="4" w:space="0" w:color="auto"/>
            </w:tcBorders>
            <w:vAlign w:val="center"/>
          </w:tcPr>
          <w:p w:rsidR="00683AB6" w:rsidRPr="0048169F" w:rsidRDefault="00683AB6" w:rsidP="003D7320">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3AB6" w:rsidRPr="0048169F" w:rsidRDefault="00683AB6" w:rsidP="003D7320">
            <w:pPr>
              <w:rPr>
                <w:lang w:val="en-AU"/>
              </w:rPr>
            </w:pPr>
            <w:r w:rsidRPr="0048169F">
              <w:rPr>
                <w:i/>
                <w:lang w:val="en-AU"/>
              </w:rPr>
              <w:t>International Journal for Quality in Health Care</w:t>
            </w:r>
            <w:r w:rsidRPr="0048169F">
              <w:rPr>
                <w:lang w:val="en-AU"/>
              </w:rPr>
              <w:t xml:space="preserve"> has published a number of ‘online first’ articles, including:</w:t>
            </w:r>
          </w:p>
          <w:p w:rsidR="00683AB6" w:rsidRPr="0048169F" w:rsidRDefault="00B608DA" w:rsidP="00B608DA">
            <w:pPr>
              <w:pStyle w:val="ListParagraph"/>
              <w:numPr>
                <w:ilvl w:val="0"/>
                <w:numId w:val="15"/>
              </w:numPr>
              <w:rPr>
                <w:lang w:val="en-AU"/>
              </w:rPr>
            </w:pPr>
            <w:r w:rsidRPr="00B608DA">
              <w:rPr>
                <w:lang w:val="en-AU"/>
              </w:rPr>
              <w:t xml:space="preserve">The </w:t>
            </w:r>
            <w:proofErr w:type="spellStart"/>
            <w:r w:rsidRPr="00B608DA">
              <w:rPr>
                <w:lang w:val="en-AU"/>
              </w:rPr>
              <w:t>eCollaborative</w:t>
            </w:r>
            <w:proofErr w:type="spellEnd"/>
            <w:r w:rsidRPr="00B608DA">
              <w:rPr>
                <w:lang w:val="en-AU"/>
              </w:rPr>
              <w:t xml:space="preserve">: using a quality improvement collaborative to implement the National </w:t>
            </w:r>
            <w:bookmarkStart w:id="1" w:name="_GoBack"/>
            <w:proofErr w:type="spellStart"/>
            <w:r w:rsidRPr="006B7353">
              <w:rPr>
                <w:b/>
                <w:lang w:val="en-AU"/>
              </w:rPr>
              <w:t>eHealth</w:t>
            </w:r>
            <w:proofErr w:type="spellEnd"/>
            <w:r w:rsidRPr="006B7353">
              <w:rPr>
                <w:b/>
                <w:lang w:val="en-AU"/>
              </w:rPr>
              <w:t xml:space="preserve"> Record System</w:t>
            </w:r>
            <w:r w:rsidRPr="00B608DA">
              <w:rPr>
                <w:lang w:val="en-AU"/>
              </w:rPr>
              <w:t xml:space="preserve"> </w:t>
            </w:r>
            <w:bookmarkEnd w:id="1"/>
            <w:r w:rsidRPr="00B608DA">
              <w:rPr>
                <w:lang w:val="en-AU"/>
              </w:rPr>
              <w:t xml:space="preserve">in Australian primary care practices (Andrew W Knight, Craig </w:t>
            </w:r>
            <w:proofErr w:type="spellStart"/>
            <w:r w:rsidRPr="00B608DA">
              <w:rPr>
                <w:lang w:val="en-AU"/>
              </w:rPr>
              <w:t>Szucs</w:t>
            </w:r>
            <w:proofErr w:type="spellEnd"/>
            <w:r w:rsidRPr="00B608DA">
              <w:rPr>
                <w:lang w:val="en-AU"/>
              </w:rPr>
              <w:t xml:space="preserve">, Mia </w:t>
            </w:r>
            <w:proofErr w:type="spellStart"/>
            <w:r w:rsidRPr="00B608DA">
              <w:rPr>
                <w:lang w:val="en-AU"/>
              </w:rPr>
              <w:t>Dhillon</w:t>
            </w:r>
            <w:proofErr w:type="spellEnd"/>
            <w:r w:rsidRPr="00B608DA">
              <w:rPr>
                <w:lang w:val="en-AU"/>
              </w:rPr>
              <w:t xml:space="preserve">, Tony </w:t>
            </w:r>
            <w:proofErr w:type="spellStart"/>
            <w:r w:rsidRPr="00B608DA">
              <w:rPr>
                <w:lang w:val="en-AU"/>
              </w:rPr>
              <w:t>Lembke</w:t>
            </w:r>
            <w:proofErr w:type="spellEnd"/>
            <w:r w:rsidRPr="00B608DA">
              <w:rPr>
                <w:lang w:val="en-AU"/>
              </w:rPr>
              <w:t>, and Chris Mitchell</w:t>
            </w:r>
            <w:r>
              <w:rPr>
                <w:lang w:val="en-AU"/>
              </w:rPr>
              <w:t>)</w:t>
            </w:r>
          </w:p>
        </w:tc>
      </w:tr>
    </w:tbl>
    <w:p w:rsidR="00683AB6" w:rsidRPr="0048169F" w:rsidRDefault="00683AB6" w:rsidP="00683AB6">
      <w:pPr>
        <w:rPr>
          <w:i/>
          <w:lang w:val="en-AU"/>
        </w:rPr>
      </w:pPr>
    </w:p>
    <w:p w:rsidR="00DB7D72" w:rsidRDefault="00DB7D72" w:rsidP="0029518F">
      <w:pPr>
        <w:rPr>
          <w:lang w:val="en-AU"/>
        </w:rPr>
      </w:pPr>
    </w:p>
    <w:p w:rsidR="00B160EF" w:rsidRPr="0048169F" w:rsidRDefault="00B160EF" w:rsidP="00B160EF">
      <w:pPr>
        <w:keepNext/>
        <w:pBdr>
          <w:top w:val="single" w:sz="4" w:space="1" w:color="auto"/>
        </w:pBdr>
        <w:rPr>
          <w:b/>
          <w:lang w:val="en-AU"/>
        </w:rPr>
      </w:pPr>
      <w:r w:rsidRPr="0048169F">
        <w:rPr>
          <w:b/>
          <w:lang w:val="en-AU"/>
        </w:rPr>
        <w:t>Disclaimer</w:t>
      </w:r>
    </w:p>
    <w:p w:rsidR="00E41D2F" w:rsidRPr="0048169F" w:rsidRDefault="00B160EF" w:rsidP="00B160EF">
      <w:pPr>
        <w:rPr>
          <w:lang w:val="en-AU"/>
        </w:rPr>
      </w:pPr>
      <w:r w:rsidRPr="0048169F">
        <w:rPr>
          <w:i/>
          <w:lang w:val="en-AU"/>
        </w:rPr>
        <w:t xml:space="preserve">On the </w:t>
      </w:r>
      <w:r w:rsidR="001A66F9" w:rsidRPr="0048169F">
        <w:rPr>
          <w:i/>
          <w:lang w:val="en-AU"/>
        </w:rPr>
        <w:t>R</w:t>
      </w:r>
      <w:r w:rsidRPr="0048169F">
        <w:rPr>
          <w:i/>
          <w:lang w:val="en-AU"/>
        </w:rPr>
        <w:t>adar</w:t>
      </w:r>
      <w:r w:rsidRPr="0048169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48169F" w:rsidSect="005C5ABC">
      <w:footerReference w:type="even" r:id="rId24"/>
      <w:footerReference w:type="default" r:id="rId2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AC" w:rsidRDefault="00C871AC">
      <w:r>
        <w:separator/>
      </w:r>
    </w:p>
  </w:endnote>
  <w:endnote w:type="continuationSeparator" w:id="0">
    <w:p w:rsidR="00C871AC" w:rsidRDefault="00C8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B7353">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683AB6">
      <w:t xml:space="preserve"> Issue 178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353">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683AB6">
      <w:t xml:space="preserve"> Issue 178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AC" w:rsidRDefault="00C871AC">
      <w:r>
        <w:separator/>
      </w:r>
    </w:p>
  </w:footnote>
  <w:footnote w:type="continuationSeparator" w:id="0">
    <w:p w:rsidR="00C871AC" w:rsidRDefault="00C87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5">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3E6E8E"/>
    <w:multiLevelType w:val="hybridMultilevel"/>
    <w:tmpl w:val="0052B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24"/>
  </w:num>
  <w:num w:numId="16">
    <w:abstractNumId w:val="13"/>
  </w:num>
  <w:num w:numId="17">
    <w:abstractNumId w:val="20"/>
  </w:num>
  <w:num w:numId="18">
    <w:abstractNumId w:val="12"/>
  </w:num>
  <w:num w:numId="19">
    <w:abstractNumId w:val="23"/>
  </w:num>
  <w:num w:numId="20">
    <w:abstractNumId w:val="15"/>
  </w:num>
  <w:num w:numId="21">
    <w:abstractNumId w:val="14"/>
  </w:num>
  <w:num w:numId="22">
    <w:abstractNumId w:val="10"/>
  </w:num>
  <w:num w:numId="23">
    <w:abstractNumId w:val="18"/>
  </w:num>
  <w:num w:numId="24">
    <w:abstractNumId w:val="11"/>
  </w:num>
  <w:num w:numId="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AFC"/>
    <w:rsid w:val="00576EB9"/>
    <w:rsid w:val="00577B2C"/>
    <w:rsid w:val="00580B17"/>
    <w:rsid w:val="00580D09"/>
    <w:rsid w:val="00580E03"/>
    <w:rsid w:val="005814DF"/>
    <w:rsid w:val="00581A15"/>
    <w:rsid w:val="00581DE9"/>
    <w:rsid w:val="00581DF6"/>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7B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53"/>
    <w:rsid w:val="006B7365"/>
    <w:rsid w:val="006B7376"/>
    <w:rsid w:val="006B775B"/>
    <w:rsid w:val="006C00D3"/>
    <w:rsid w:val="006C074C"/>
    <w:rsid w:val="006C0D20"/>
    <w:rsid w:val="006C10E8"/>
    <w:rsid w:val="006C16B5"/>
    <w:rsid w:val="006C184B"/>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7B9"/>
    <w:rsid w:val="006E787A"/>
    <w:rsid w:val="006E7A6D"/>
    <w:rsid w:val="006E7AF8"/>
    <w:rsid w:val="006F016B"/>
    <w:rsid w:val="006F02A7"/>
    <w:rsid w:val="006F059E"/>
    <w:rsid w:val="006F0978"/>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7D35"/>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8B1"/>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A35"/>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5EA"/>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41A"/>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7"/>
    <w:rsid w:val="00B453EE"/>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B58"/>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6B7"/>
    <w:rsid w:val="00C353F5"/>
    <w:rsid w:val="00C354A0"/>
    <w:rsid w:val="00C35747"/>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19"/>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155"/>
    <w:rsid w:val="00CB3214"/>
    <w:rsid w:val="00CB432B"/>
    <w:rsid w:val="00CB4765"/>
    <w:rsid w:val="00CB4CD1"/>
    <w:rsid w:val="00CB5760"/>
    <w:rsid w:val="00CB66FD"/>
    <w:rsid w:val="00CB6B38"/>
    <w:rsid w:val="00CB6B58"/>
    <w:rsid w:val="00CB6DC3"/>
    <w:rsid w:val="00CB6E58"/>
    <w:rsid w:val="00CB70B1"/>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36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D1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36/injuryprev-2013-041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qualitysafety.bmj.com/content/23/7"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rrconsultation@safetyandquality.gov.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afetyandquality.gov.au/our-work/recognition-and-response-to-clinical-deterioration/training-and-competencies/" TargetMode="External"/><Relationship Id="rId20" Type="http://schemas.openxmlformats.org/officeDocument/2006/relationships/hyperlink" Target="http://www.safetyandquality.gov.au/our-work/clinical-communic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intqhc.oxfordjournals.org/content/early/recent?papetoc"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qs-2013-002309"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qualitysafety.bmj.com/content/early/rec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C2781-68F7-472E-8C5E-245BC4C2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10813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14</cp:revision>
  <cp:lastPrinted>2013-06-06T03:47:00Z</cp:lastPrinted>
  <dcterms:created xsi:type="dcterms:W3CDTF">2014-06-09T22:00:00Z</dcterms:created>
  <dcterms:modified xsi:type="dcterms:W3CDTF">2014-06-15T07:18:00Z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