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48169F" w:rsidRDefault="00824B99" w:rsidP="00B608DA">
      <w:pPr>
        <w:pStyle w:val="Heading1"/>
        <w:jc w:val="both"/>
        <w:rPr>
          <w:rFonts w:ascii="Bookman Old Style" w:hAnsi="Bookman Old Style"/>
          <w:sz w:val="48"/>
          <w:szCs w:val="48"/>
          <w:lang w:val="en-AU"/>
        </w:rPr>
      </w:pPr>
      <w:r w:rsidRPr="0048169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638F3B5" wp14:editId="11EA359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48169F">
        <w:rPr>
          <w:rFonts w:ascii="Bookman Old Style" w:hAnsi="Bookman Old Style"/>
          <w:sz w:val="48"/>
          <w:szCs w:val="48"/>
          <w:lang w:val="en-AU"/>
        </w:rPr>
        <w:t>On the Radar</w:t>
      </w:r>
    </w:p>
    <w:p w:rsidR="00B160EF" w:rsidRPr="0048169F" w:rsidRDefault="00715F47" w:rsidP="00B160EF">
      <w:pPr>
        <w:rPr>
          <w:color w:val="000000"/>
          <w:lang w:val="en-AU"/>
        </w:rPr>
      </w:pPr>
      <w:r w:rsidRPr="0048169F">
        <w:rPr>
          <w:color w:val="000000"/>
          <w:lang w:val="en-AU"/>
        </w:rPr>
        <w:t xml:space="preserve">Issue </w:t>
      </w:r>
      <w:r w:rsidR="00ED198B" w:rsidRPr="0048169F">
        <w:rPr>
          <w:color w:val="000000"/>
          <w:lang w:val="en-AU"/>
        </w:rPr>
        <w:t>1</w:t>
      </w:r>
      <w:r w:rsidR="007952EA">
        <w:rPr>
          <w:color w:val="000000"/>
          <w:lang w:val="en-AU"/>
        </w:rPr>
        <w:t>79</w:t>
      </w:r>
    </w:p>
    <w:p w:rsidR="000F7901" w:rsidRPr="0048169F" w:rsidRDefault="007952EA" w:rsidP="00B160EF">
      <w:pPr>
        <w:rPr>
          <w:lang w:val="en-AU"/>
        </w:rPr>
      </w:pPr>
      <w:r>
        <w:rPr>
          <w:lang w:val="en-AU"/>
        </w:rPr>
        <w:t>23</w:t>
      </w:r>
      <w:r w:rsidR="00E724CB">
        <w:rPr>
          <w:lang w:val="en-AU"/>
        </w:rPr>
        <w:t xml:space="preserve"> June </w:t>
      </w:r>
      <w:r w:rsidR="000F7901" w:rsidRPr="0048169F">
        <w:rPr>
          <w:lang w:val="en-AU"/>
        </w:rPr>
        <w:t>2014</w:t>
      </w:r>
    </w:p>
    <w:p w:rsidR="00566895" w:rsidRPr="0048169F" w:rsidRDefault="00566895" w:rsidP="00B160EF">
      <w:pPr>
        <w:rPr>
          <w:lang w:val="en-AU"/>
        </w:rPr>
      </w:pPr>
    </w:p>
    <w:p w:rsidR="00B160EF" w:rsidRPr="0048169F" w:rsidRDefault="00B160EF" w:rsidP="00B160EF">
      <w:pPr>
        <w:rPr>
          <w:lang w:val="en-AU"/>
        </w:rPr>
      </w:pPr>
      <w:r w:rsidRPr="0048169F">
        <w:rPr>
          <w:i/>
          <w:lang w:val="en-AU"/>
        </w:rPr>
        <w:t>On the Radar</w:t>
      </w:r>
      <w:r w:rsidRPr="0048169F">
        <w:rPr>
          <w:lang w:val="en-AU"/>
        </w:rPr>
        <w:t xml:space="preserve"> is a summary of some of the recent publications in the areas of safety and quality in health care. Inclusion in this document is not an endorsement or recommendation of any publication or provider.</w:t>
      </w:r>
    </w:p>
    <w:p w:rsidR="00B160EF" w:rsidRPr="0048169F" w:rsidRDefault="00B160EF" w:rsidP="00B160EF">
      <w:pPr>
        <w:rPr>
          <w:lang w:val="en-AU"/>
        </w:rPr>
      </w:pPr>
    </w:p>
    <w:p w:rsidR="00B160EF" w:rsidRPr="0048169F" w:rsidRDefault="00B160EF" w:rsidP="00B160EF">
      <w:pPr>
        <w:rPr>
          <w:b/>
          <w:lang w:val="en-AU"/>
        </w:rPr>
      </w:pPr>
      <w:r w:rsidRPr="0048169F">
        <w:rPr>
          <w:lang w:val="en-AU"/>
        </w:rPr>
        <w:t>Access to particular documents may depend on whether they are Open Access or not, and/or your individual or institutional access to subscription sites/services.</w:t>
      </w:r>
      <w:r w:rsidR="00F460A7" w:rsidRPr="0048169F">
        <w:rPr>
          <w:lang w:val="en-AU"/>
        </w:rPr>
        <w:t xml:space="preserve"> Material that may require subscription is included as it is considered relevant.</w:t>
      </w:r>
    </w:p>
    <w:p w:rsidR="00B160EF" w:rsidRPr="0048169F" w:rsidRDefault="00B160EF" w:rsidP="00B160EF">
      <w:pPr>
        <w:rPr>
          <w:lang w:val="en-AU"/>
        </w:rPr>
      </w:pPr>
    </w:p>
    <w:p w:rsidR="00230D83" w:rsidRPr="0048169F" w:rsidRDefault="00B160EF" w:rsidP="0045757F">
      <w:pPr>
        <w:autoSpaceDE w:val="0"/>
        <w:rPr>
          <w:lang w:val="en-AU"/>
        </w:rPr>
      </w:pPr>
      <w:r w:rsidRPr="0048169F">
        <w:rPr>
          <w:i/>
          <w:lang w:val="en-AU"/>
        </w:rPr>
        <w:t>On the Radar</w:t>
      </w:r>
      <w:r w:rsidRPr="0048169F">
        <w:rPr>
          <w:lang w:val="en-AU"/>
        </w:rPr>
        <w:t xml:space="preserve"> is available </w:t>
      </w:r>
      <w:r w:rsidR="003D1E7A" w:rsidRPr="0048169F">
        <w:rPr>
          <w:lang w:val="en-AU"/>
        </w:rPr>
        <w:t xml:space="preserve">online, </w:t>
      </w:r>
      <w:r w:rsidRPr="0048169F">
        <w:rPr>
          <w:lang w:val="en-AU"/>
        </w:rPr>
        <w:t xml:space="preserve">via email or as a PDF document from </w:t>
      </w:r>
      <w:hyperlink r:id="rId10" w:history="1">
        <w:r w:rsidR="00230D83" w:rsidRPr="0048169F">
          <w:rPr>
            <w:rStyle w:val="Hyperlink"/>
            <w:lang w:val="en-AU"/>
          </w:rPr>
          <w:t>http://www.safetyandquality.gov.au/publications-resources/on-the-radar/</w:t>
        </w:r>
      </w:hyperlink>
    </w:p>
    <w:p w:rsidR="0090536C" w:rsidRPr="0048169F" w:rsidRDefault="0090536C" w:rsidP="0045757F">
      <w:pPr>
        <w:autoSpaceDE w:val="0"/>
        <w:rPr>
          <w:lang w:val="en-AU"/>
        </w:rPr>
      </w:pPr>
    </w:p>
    <w:p w:rsidR="00B160EF" w:rsidRPr="0048169F" w:rsidRDefault="00B160EF" w:rsidP="0045757F">
      <w:pPr>
        <w:autoSpaceDE w:val="0"/>
        <w:rPr>
          <w:lang w:val="en-AU"/>
        </w:rPr>
      </w:pPr>
      <w:r w:rsidRPr="0048169F">
        <w:rPr>
          <w:lang w:val="en-AU"/>
        </w:rPr>
        <w:t xml:space="preserve">If you would like to receive </w:t>
      </w:r>
      <w:r w:rsidRPr="0048169F">
        <w:rPr>
          <w:i/>
          <w:lang w:val="en-AU"/>
        </w:rPr>
        <w:t>On the Radar</w:t>
      </w:r>
      <w:r w:rsidRPr="0048169F">
        <w:rPr>
          <w:lang w:val="en-AU"/>
        </w:rPr>
        <w:t xml:space="preserve"> via email</w:t>
      </w:r>
      <w:r w:rsidR="003D7B9E" w:rsidRPr="0048169F">
        <w:rPr>
          <w:lang w:val="en-AU"/>
        </w:rPr>
        <w:t>, you can</w:t>
      </w:r>
      <w:r w:rsidR="00F24F60" w:rsidRPr="0048169F">
        <w:rPr>
          <w:lang w:val="en-AU"/>
        </w:rPr>
        <w:t xml:space="preserve"> subscribe on our website </w:t>
      </w:r>
      <w:hyperlink r:id="rId11" w:history="1">
        <w:r w:rsidR="00F24F60" w:rsidRPr="0048169F">
          <w:rPr>
            <w:rStyle w:val="Hyperlink"/>
            <w:lang w:val="en-AU"/>
          </w:rPr>
          <w:t>http://www.safetyandquality.gov.au/</w:t>
        </w:r>
      </w:hyperlink>
      <w:r w:rsidR="003D7B9E" w:rsidRPr="0048169F">
        <w:rPr>
          <w:lang w:val="en-AU"/>
        </w:rPr>
        <w:t xml:space="preserve"> or by emailing us at </w:t>
      </w:r>
      <w:r w:rsidR="003D7B9E" w:rsidRPr="0048169F">
        <w:rPr>
          <w:rFonts w:ascii="ZWAdobeF" w:hAnsi="ZWAdobeF" w:cs="ZWAdobeF"/>
          <w:sz w:val="2"/>
          <w:szCs w:val="2"/>
          <w:lang w:val="en-AU"/>
        </w:rPr>
        <w:t>H</w:t>
      </w:r>
      <w:hyperlink r:id="rId12"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 xml:space="preserve">. </w:t>
      </w:r>
      <w:r w:rsidR="00E51D23" w:rsidRPr="0048169F">
        <w:rPr>
          <w:lang w:val="en-AU"/>
        </w:rPr>
        <w:br/>
      </w:r>
      <w:r w:rsidR="003D7B9E" w:rsidRPr="0048169F">
        <w:rPr>
          <w:lang w:val="en-AU"/>
        </w:rPr>
        <w:t xml:space="preserve">You can also send feedback and comments to </w:t>
      </w:r>
      <w:r w:rsidR="003D7B9E" w:rsidRPr="0048169F">
        <w:rPr>
          <w:rFonts w:ascii="ZWAdobeF" w:hAnsi="ZWAdobeF" w:cs="ZWAdobeF"/>
          <w:sz w:val="2"/>
          <w:szCs w:val="2"/>
          <w:lang w:val="en-AU"/>
        </w:rPr>
        <w:t>H</w:t>
      </w:r>
      <w:hyperlink r:id="rId13"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w:t>
      </w:r>
    </w:p>
    <w:p w:rsidR="00B160EF" w:rsidRPr="0048169F" w:rsidRDefault="00B160EF" w:rsidP="00837FC4">
      <w:pPr>
        <w:tabs>
          <w:tab w:val="left" w:pos="7773"/>
        </w:tabs>
        <w:rPr>
          <w:lang w:val="en-AU"/>
        </w:rPr>
      </w:pPr>
    </w:p>
    <w:p w:rsidR="00837FC4" w:rsidRPr="0048169F" w:rsidRDefault="00B160EF" w:rsidP="004554DB">
      <w:pPr>
        <w:autoSpaceDE w:val="0"/>
        <w:rPr>
          <w:lang w:val="en-AU"/>
        </w:rPr>
      </w:pPr>
      <w:bookmarkStart w:id="0" w:name="OLE_LINK1"/>
      <w:r w:rsidRPr="0048169F">
        <w:rPr>
          <w:lang w:val="en-AU"/>
        </w:rPr>
        <w:t xml:space="preserve">For information about the Commission and its programs and publications, please visit </w:t>
      </w:r>
      <w:hyperlink r:id="rId14" w:history="1">
        <w:r w:rsidR="00837FC4" w:rsidRPr="0048169F">
          <w:rPr>
            <w:rStyle w:val="Hyperlink"/>
            <w:lang w:val="en-AU"/>
          </w:rPr>
          <w:t>http://www.safetyandquality.gov.au</w:t>
        </w:r>
      </w:hyperlink>
    </w:p>
    <w:p w:rsidR="00210235" w:rsidRPr="0048169F" w:rsidRDefault="004554DB" w:rsidP="004554DB">
      <w:pPr>
        <w:autoSpaceDE w:val="0"/>
        <w:rPr>
          <w:lang w:val="en-AU"/>
        </w:rPr>
      </w:pPr>
      <w:r w:rsidRPr="0048169F">
        <w:rPr>
          <w:lang w:val="en-AU"/>
        </w:rPr>
        <w:t>You can also follow us on Twitter @ACSQHC.</w:t>
      </w:r>
    </w:p>
    <w:p w:rsidR="00DD32E9" w:rsidRPr="0048169F" w:rsidRDefault="00DD32E9" w:rsidP="004554DB">
      <w:pPr>
        <w:autoSpaceDE w:val="0"/>
        <w:rPr>
          <w:lang w:val="en-AU"/>
        </w:rPr>
      </w:pPr>
    </w:p>
    <w:p w:rsidR="00210235" w:rsidRPr="0048169F" w:rsidRDefault="00210235" w:rsidP="00210235">
      <w:pPr>
        <w:keepNext/>
        <w:pBdr>
          <w:top w:val="single" w:sz="4" w:space="1" w:color="auto"/>
        </w:pBdr>
        <w:rPr>
          <w:b/>
          <w:lang w:val="en-AU"/>
        </w:rPr>
      </w:pPr>
      <w:r w:rsidRPr="0048169F">
        <w:rPr>
          <w:b/>
          <w:lang w:val="en-AU"/>
        </w:rPr>
        <w:t>On the Radar</w:t>
      </w:r>
    </w:p>
    <w:p w:rsidR="00340157" w:rsidRPr="0048169F" w:rsidRDefault="00340157" w:rsidP="00210235">
      <w:pPr>
        <w:keepNext/>
        <w:pBdr>
          <w:top w:val="single" w:sz="4" w:space="1" w:color="auto"/>
        </w:pBdr>
        <w:rPr>
          <w:bCs/>
          <w:lang w:val="en-AU"/>
        </w:rPr>
      </w:pPr>
      <w:r w:rsidRPr="0048169F">
        <w:rPr>
          <w:bCs/>
          <w:lang w:val="en-AU"/>
        </w:rPr>
        <w:t xml:space="preserve">Editor: </w:t>
      </w:r>
      <w:r w:rsidR="00C8085B" w:rsidRPr="0048169F">
        <w:rPr>
          <w:bCs/>
          <w:lang w:val="en-AU"/>
        </w:rPr>
        <w:t xml:space="preserve">Dr </w:t>
      </w:r>
      <w:r w:rsidRPr="0048169F">
        <w:rPr>
          <w:bCs/>
          <w:lang w:val="en-AU"/>
        </w:rPr>
        <w:t xml:space="preserve">Niall Johnson </w:t>
      </w:r>
      <w:hyperlink r:id="rId15" w:history="1">
        <w:r w:rsidRPr="0048169F">
          <w:rPr>
            <w:rStyle w:val="Hyperlink"/>
            <w:bCs/>
            <w:lang w:val="en-AU"/>
          </w:rPr>
          <w:t>niall.johnson@safetyandquality.gov.au</w:t>
        </w:r>
      </w:hyperlink>
    </w:p>
    <w:p w:rsidR="00210235" w:rsidRPr="0048169F" w:rsidRDefault="00210235" w:rsidP="00210235">
      <w:pPr>
        <w:keepNext/>
        <w:pBdr>
          <w:top w:val="single" w:sz="4" w:space="1" w:color="auto"/>
        </w:pBdr>
        <w:rPr>
          <w:bCs/>
          <w:lang w:val="en-AU"/>
        </w:rPr>
      </w:pPr>
      <w:r w:rsidRPr="0048169F">
        <w:rPr>
          <w:bCs/>
          <w:lang w:val="en-AU"/>
        </w:rPr>
        <w:t xml:space="preserve">Contributors: </w:t>
      </w:r>
      <w:r w:rsidR="0056339A" w:rsidRPr="0048169F">
        <w:rPr>
          <w:bCs/>
          <w:lang w:val="en-AU"/>
        </w:rPr>
        <w:t>Niall Johnson</w:t>
      </w:r>
      <w:r w:rsidR="00E43F2C">
        <w:rPr>
          <w:bCs/>
          <w:lang w:val="en-AU"/>
        </w:rPr>
        <w:t>, Alice Bhasale</w:t>
      </w:r>
    </w:p>
    <w:bookmarkEnd w:id="0"/>
    <w:p w:rsidR="009A35BE" w:rsidRPr="0048169F" w:rsidRDefault="009A35BE" w:rsidP="00A60B5B">
      <w:pPr>
        <w:rPr>
          <w:shd w:val="clear" w:color="auto" w:fill="FFFFFF"/>
          <w:lang w:val="en-AU"/>
        </w:rPr>
      </w:pPr>
    </w:p>
    <w:p w:rsidR="00751E8F" w:rsidRPr="0048169F" w:rsidRDefault="00751E8F" w:rsidP="00751E8F">
      <w:pPr>
        <w:rPr>
          <w:b/>
          <w:lang w:val="en-AU"/>
        </w:rPr>
      </w:pPr>
      <w:r w:rsidRPr="0048169F">
        <w:rPr>
          <w:b/>
          <w:lang w:val="en-AU"/>
        </w:rPr>
        <w:t>Consultation on training and competencies for recognising and responding to clinical deterioration in acute care</w:t>
      </w:r>
    </w:p>
    <w:p w:rsidR="00751E8F" w:rsidRPr="0048169F" w:rsidRDefault="00751E8F" w:rsidP="00751E8F">
      <w:pPr>
        <w:rPr>
          <w:i/>
          <w:lang w:val="en-AU"/>
        </w:rPr>
      </w:pPr>
      <w:r w:rsidRPr="0048169F">
        <w:rPr>
          <w:i/>
          <w:lang w:val="en-AU"/>
        </w:rPr>
        <w:t>Consultation now open</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The Commission is seeking advice about what should be the minimum requirements for training and competencies for recognising and responding to physiological deterioration in acute care. The Commission is interested in the application of these minimum requirements for doctors, nurses and allied health professionals. </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This consultation process is being conducted in the context of the National Safety and Quality Health Service (NSQHS) Standards which require the clinical workforce to be trained and proficient in basic life support. The Commission has received feedback which questions whether such training ensures adequate competency in the skills required to recognise, escalate and respond to clinical deterioration. Currently there are varied approaches to providing education and training about recognising and responding to clinical </w:t>
      </w:r>
      <w:proofErr w:type="gramStart"/>
      <w:r w:rsidRPr="0048169F">
        <w:rPr>
          <w:lang w:val="en-AU"/>
        </w:rPr>
        <w:t>deterioration,</w:t>
      </w:r>
      <w:proofErr w:type="gramEnd"/>
      <w:r w:rsidRPr="0048169F">
        <w:rPr>
          <w:lang w:val="en-AU"/>
        </w:rPr>
        <w:t xml:space="preserve"> and a lack of clear guidance about what knowledge should be required as a minimum for all clinicians. </w:t>
      </w:r>
    </w:p>
    <w:p w:rsidR="00751E8F" w:rsidRPr="0048169F" w:rsidRDefault="00751E8F" w:rsidP="00751E8F">
      <w:pPr>
        <w:rPr>
          <w:lang w:val="en-AU"/>
        </w:rPr>
      </w:pPr>
    </w:p>
    <w:p w:rsidR="00751E8F" w:rsidRPr="0048169F" w:rsidRDefault="00751E8F" w:rsidP="00751E8F">
      <w:pPr>
        <w:rPr>
          <w:lang w:val="en-AU"/>
        </w:rPr>
      </w:pPr>
      <w:r w:rsidRPr="0048169F">
        <w:rPr>
          <w:lang w:val="en-AU"/>
        </w:rPr>
        <w:t>To provide clarity to the requirements of the NSQHS Standards and ensure patients are protected from harm, the Commission is now seeking further advice on this issue.</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A consultation paper, </w:t>
      </w:r>
      <w:r w:rsidRPr="0048169F">
        <w:rPr>
          <w:i/>
          <w:lang w:val="en-AU"/>
        </w:rPr>
        <w:t>National Safety and Quality Health Service Standards: Training and Competencies for Recognising and Responding to Clinical Deterioration in Acute Care</w:t>
      </w:r>
      <w:r w:rsidRPr="0048169F">
        <w:rPr>
          <w:lang w:val="en-AU"/>
        </w:rPr>
        <w:t xml:space="preserve"> is available at </w:t>
      </w:r>
      <w:hyperlink r:id="rId16" w:history="1">
        <w:r w:rsidRPr="0048169F">
          <w:rPr>
            <w:rStyle w:val="Hyperlink"/>
            <w:lang w:val="en-AU"/>
          </w:rPr>
          <w:t>http://www.safetyandquality.gov.au/our-work/recognition-and-response-to-clinical-deterioration/training-and-competencies/</w:t>
        </w:r>
      </w:hyperlink>
    </w:p>
    <w:p w:rsidR="00751E8F" w:rsidRPr="0048169F" w:rsidRDefault="00751E8F" w:rsidP="00751E8F">
      <w:pPr>
        <w:rPr>
          <w:lang w:val="en-AU"/>
        </w:rPr>
      </w:pPr>
    </w:p>
    <w:p w:rsidR="00751E8F" w:rsidRPr="0048169F" w:rsidRDefault="00751E8F" w:rsidP="00751E8F">
      <w:pPr>
        <w:rPr>
          <w:lang w:val="en-AU"/>
        </w:rPr>
      </w:pPr>
      <w:r w:rsidRPr="0048169F">
        <w:rPr>
          <w:lang w:val="en-AU"/>
        </w:rPr>
        <w:t>Information about the process of making a submission is included in the paper and the Commission will accept submiss</w:t>
      </w:r>
      <w:r w:rsidR="00FE7380" w:rsidRPr="0048169F">
        <w:rPr>
          <w:lang w:val="en-AU"/>
        </w:rPr>
        <w:t xml:space="preserve">ions until </w:t>
      </w:r>
      <w:r w:rsidR="00FE7380" w:rsidRPr="003D1368">
        <w:rPr>
          <w:b/>
          <w:lang w:val="en-AU"/>
        </w:rPr>
        <w:t>Friday 27 June 2014</w:t>
      </w:r>
      <w:r w:rsidR="00FE7380" w:rsidRPr="0048169F">
        <w:rPr>
          <w:lang w:val="en-AU"/>
        </w:rPr>
        <w:t>.</w:t>
      </w:r>
    </w:p>
    <w:p w:rsidR="00751E8F" w:rsidRPr="0048169F" w:rsidRDefault="00751E8F" w:rsidP="00751E8F">
      <w:pPr>
        <w:rPr>
          <w:lang w:val="en-AU"/>
        </w:rPr>
      </w:pPr>
    </w:p>
    <w:p w:rsidR="005F3F42" w:rsidRPr="0048169F" w:rsidRDefault="00751E8F" w:rsidP="00751E8F">
      <w:pPr>
        <w:rPr>
          <w:lang w:val="en-AU"/>
        </w:rPr>
      </w:pPr>
      <w:r w:rsidRPr="0048169F">
        <w:rPr>
          <w:lang w:val="en-AU"/>
        </w:rPr>
        <w:t xml:space="preserve">The contact person for this consultation is Ms Jennifer Hill, Senior Project Officer, Recognising and Responding to Clinical Deterioration Program. Ms Hill can be contacted on (02) 9126 3527 or via email at </w:t>
      </w:r>
      <w:hyperlink r:id="rId17" w:history="1">
        <w:r w:rsidRPr="0048169F">
          <w:rPr>
            <w:rStyle w:val="Hyperlink"/>
            <w:lang w:val="en-AU"/>
          </w:rPr>
          <w:t>rrconsultation@safetyandquality.gov.au</w:t>
        </w:r>
      </w:hyperlink>
      <w:r w:rsidRPr="0048169F">
        <w:rPr>
          <w:lang w:val="en-AU"/>
        </w:rPr>
        <w:t>.</w:t>
      </w:r>
    </w:p>
    <w:p w:rsidR="00751E8F" w:rsidRDefault="00751E8F" w:rsidP="00751E8F">
      <w:pPr>
        <w:rPr>
          <w:lang w:val="en-AU"/>
        </w:rPr>
      </w:pPr>
    </w:p>
    <w:p w:rsidR="0089224B" w:rsidRPr="0089224B" w:rsidRDefault="0089224B" w:rsidP="00751E8F">
      <w:pPr>
        <w:rPr>
          <w:b/>
          <w:lang w:val="en-AU"/>
        </w:rPr>
      </w:pPr>
      <w:r w:rsidRPr="0089224B">
        <w:rPr>
          <w:b/>
          <w:lang w:val="en-AU"/>
        </w:rPr>
        <w:t>Consultation on Exploring Healthcare Variation in Australia: Analyses Resulting from an OECD Study</w:t>
      </w:r>
    </w:p>
    <w:p w:rsidR="0089224B" w:rsidRPr="0089224B" w:rsidRDefault="0089224B" w:rsidP="0089224B">
      <w:pPr>
        <w:rPr>
          <w:i/>
          <w:lang w:val="en-AU"/>
        </w:rPr>
      </w:pPr>
      <w:r w:rsidRPr="0089224B">
        <w:rPr>
          <w:i/>
          <w:lang w:val="en-AU"/>
        </w:rPr>
        <w:t>Consultation now open</w:t>
      </w:r>
    </w:p>
    <w:p w:rsidR="0089224B" w:rsidRDefault="0089224B" w:rsidP="0089224B">
      <w:pPr>
        <w:rPr>
          <w:lang w:val="en-AU"/>
        </w:rPr>
      </w:pPr>
    </w:p>
    <w:p w:rsidR="0089224B" w:rsidRDefault="0089224B" w:rsidP="0089224B">
      <w:pPr>
        <w:rPr>
          <w:lang w:val="en-AU"/>
        </w:rPr>
      </w:pPr>
      <w:r w:rsidRPr="0089224B">
        <w:rPr>
          <w:lang w:val="en-AU"/>
        </w:rPr>
        <w:t>The Australian results of an Organisation for Economic Co-operation and Development (OECD) study on healthcare variation were published in th</w:t>
      </w:r>
      <w:r>
        <w:rPr>
          <w:lang w:val="en-AU"/>
        </w:rPr>
        <w:t>e</w:t>
      </w:r>
      <w:r w:rsidRPr="0089224B">
        <w:rPr>
          <w:lang w:val="en-AU"/>
        </w:rPr>
        <w:t xml:space="preserve"> </w:t>
      </w:r>
      <w:r w:rsidRPr="0089224B">
        <w:rPr>
          <w:i/>
          <w:lang w:val="en-AU"/>
        </w:rPr>
        <w:t>Exploring Healthcare Variation in Australia: Analyses Resulting from an OECD Study</w:t>
      </w:r>
      <w:r>
        <w:rPr>
          <w:lang w:val="en-AU"/>
        </w:rPr>
        <w:t xml:space="preserve"> </w:t>
      </w:r>
      <w:r w:rsidRPr="0089224B">
        <w:rPr>
          <w:lang w:val="en-AU"/>
        </w:rPr>
        <w:t>discussion paper authored by the Australian Commission on Safety and Quality in Health Care (the Commission) and the Australian Institute of Health and Welfare.</w:t>
      </w:r>
      <w:r>
        <w:rPr>
          <w:lang w:val="en-AU"/>
        </w:rPr>
        <w:t xml:space="preserve"> The paper is available at </w:t>
      </w:r>
      <w:hyperlink r:id="rId18" w:history="1">
        <w:r w:rsidRPr="00EC6917">
          <w:rPr>
            <w:rStyle w:val="Hyperlink"/>
            <w:lang w:val="en-AU"/>
          </w:rPr>
          <w:t>http://www.safetyandquality.gov.au/publications/exploring-healthcare-variation-in-australia/</w:t>
        </w:r>
      </w:hyperlink>
    </w:p>
    <w:p w:rsidR="0089224B" w:rsidRDefault="0089224B" w:rsidP="0089224B">
      <w:pPr>
        <w:rPr>
          <w:lang w:val="en-AU"/>
        </w:rPr>
      </w:pPr>
    </w:p>
    <w:p w:rsidR="0089224B" w:rsidRPr="0089224B" w:rsidRDefault="0089224B" w:rsidP="0089224B">
      <w:pPr>
        <w:rPr>
          <w:lang w:val="en-AU"/>
        </w:rPr>
      </w:pPr>
      <w:r w:rsidRPr="0089224B">
        <w:rPr>
          <w:lang w:val="en-AU"/>
        </w:rPr>
        <w:t>The paper examines variation in the rates of several common procedures, selected by the OECD, including: knee surgery (knee arthroscopy and knee replacement); cardiac procedures (cardiac catheterisation, percutaneous coronary interventions and coronary artery bypass grafting; caesarean section; and hysterectomy. The procedures measured were undertaken in hospitals and day procedure centres, both public and private, during 2010-11. Variation was measured according to the Medicare Local area where patients lived, but the approach can be applied to any desired geographic scale.</w:t>
      </w:r>
    </w:p>
    <w:p w:rsidR="0089224B" w:rsidRPr="0089224B" w:rsidRDefault="0089224B" w:rsidP="0089224B">
      <w:pPr>
        <w:rPr>
          <w:lang w:val="en-AU"/>
        </w:rPr>
      </w:pPr>
    </w:p>
    <w:p w:rsidR="0089224B" w:rsidRDefault="0089224B" w:rsidP="0089224B">
      <w:pPr>
        <w:rPr>
          <w:lang w:val="en-AU"/>
        </w:rPr>
      </w:pPr>
      <w:r w:rsidRPr="0089224B">
        <w:rPr>
          <w:lang w:val="en-AU"/>
        </w:rPr>
        <w:t>The Commission is inviting comment and feedback on the paper. Consultation is open until 20 July 2014. Details about how to make a submis</w:t>
      </w:r>
      <w:r>
        <w:rPr>
          <w:lang w:val="en-AU"/>
        </w:rPr>
        <w:t>sion are included in the paper.</w:t>
      </w:r>
    </w:p>
    <w:p w:rsidR="0089224B" w:rsidRPr="0089224B" w:rsidRDefault="0089224B" w:rsidP="0089224B">
      <w:pPr>
        <w:rPr>
          <w:lang w:val="en-AU"/>
        </w:rPr>
      </w:pPr>
    </w:p>
    <w:p w:rsidR="00B608DA" w:rsidRDefault="0089224B" w:rsidP="0089224B">
      <w:pPr>
        <w:rPr>
          <w:lang w:val="en-AU"/>
        </w:rPr>
      </w:pPr>
      <w:r w:rsidRPr="0089224B">
        <w:rPr>
          <w:lang w:val="en-AU"/>
        </w:rPr>
        <w:t xml:space="preserve">The contact person for this consultation is Mr Luke Slawomirski, Program Manager, </w:t>
      </w:r>
      <w:proofErr w:type="gramStart"/>
      <w:r w:rsidRPr="0089224B">
        <w:rPr>
          <w:lang w:val="en-AU"/>
        </w:rPr>
        <w:t>Implementation</w:t>
      </w:r>
      <w:proofErr w:type="gramEnd"/>
      <w:r w:rsidRPr="0089224B">
        <w:rPr>
          <w:lang w:val="en-AU"/>
        </w:rPr>
        <w:t xml:space="preserve"> Support. Mr Slawomirski can be contacted on (02) 9126 3600 or via email at </w:t>
      </w:r>
      <w:hyperlink r:id="rId19" w:history="1">
        <w:r w:rsidRPr="00EC6917">
          <w:rPr>
            <w:rStyle w:val="Hyperlink"/>
            <w:lang w:val="en-AU"/>
          </w:rPr>
          <w:t>medicalpracticevariation@safetyandquality.gov.au</w:t>
        </w:r>
      </w:hyperlink>
    </w:p>
    <w:p w:rsidR="0089224B" w:rsidRDefault="0089224B" w:rsidP="00751E8F">
      <w:pPr>
        <w:rPr>
          <w:lang w:val="en-AU"/>
        </w:rPr>
      </w:pPr>
    </w:p>
    <w:p w:rsidR="005B2845" w:rsidRDefault="005B2845">
      <w:pPr>
        <w:rPr>
          <w:b/>
          <w:lang w:val="en-AU"/>
        </w:rPr>
      </w:pPr>
      <w:r>
        <w:rPr>
          <w:b/>
          <w:lang w:val="en-AU"/>
        </w:rPr>
        <w:br w:type="page"/>
      </w:r>
    </w:p>
    <w:p w:rsidR="007952EA" w:rsidRDefault="007952EA" w:rsidP="00F717DC">
      <w:pPr>
        <w:keepNext/>
        <w:rPr>
          <w:b/>
          <w:lang w:val="en-AU"/>
        </w:rPr>
      </w:pPr>
      <w:r>
        <w:rPr>
          <w:b/>
          <w:lang w:val="en-AU"/>
        </w:rPr>
        <w:lastRenderedPageBreak/>
        <w:t>Reports</w:t>
      </w:r>
    </w:p>
    <w:p w:rsidR="007952EA" w:rsidRDefault="007952EA" w:rsidP="007952EA">
      <w:pPr>
        <w:keepNext/>
        <w:keepLines/>
        <w:autoSpaceDE w:val="0"/>
        <w:autoSpaceDN w:val="0"/>
        <w:adjustRightInd w:val="0"/>
        <w:rPr>
          <w:lang w:val="en-AU"/>
        </w:rPr>
      </w:pPr>
    </w:p>
    <w:p w:rsidR="00A47C91" w:rsidRPr="00A47C91" w:rsidRDefault="00A47C91" w:rsidP="00A47C91">
      <w:pPr>
        <w:keepNext/>
        <w:keepLines/>
        <w:autoSpaceDE w:val="0"/>
        <w:autoSpaceDN w:val="0"/>
        <w:adjustRightInd w:val="0"/>
        <w:rPr>
          <w:i/>
          <w:lang w:val="en-AU"/>
        </w:rPr>
      </w:pPr>
      <w:r w:rsidRPr="00A47C91">
        <w:rPr>
          <w:i/>
          <w:lang w:val="en-AU"/>
        </w:rPr>
        <w:t>Mirror, Mirror on the Wall: How the Performance of the U.S. Health Care System Compares Internationally</w:t>
      </w:r>
    </w:p>
    <w:p w:rsidR="00A47C91" w:rsidRDefault="00A47C91" w:rsidP="007952EA">
      <w:pPr>
        <w:keepNext/>
        <w:keepLines/>
        <w:autoSpaceDE w:val="0"/>
        <w:autoSpaceDN w:val="0"/>
        <w:adjustRightInd w:val="0"/>
        <w:rPr>
          <w:lang w:val="en-AU"/>
        </w:rPr>
      </w:pPr>
      <w:r w:rsidRPr="00A47C91">
        <w:rPr>
          <w:lang w:val="en-AU"/>
        </w:rPr>
        <w:t>Davis K, Stremikis K, Squires D, Schoen C</w:t>
      </w:r>
    </w:p>
    <w:p w:rsidR="00A47C91" w:rsidRPr="0048169F" w:rsidRDefault="00A47C91" w:rsidP="007952EA">
      <w:pPr>
        <w:keepNext/>
        <w:keepLines/>
        <w:autoSpaceDE w:val="0"/>
        <w:autoSpaceDN w:val="0"/>
        <w:adjustRightInd w:val="0"/>
        <w:rPr>
          <w:lang w:val="en-AU"/>
        </w:rPr>
      </w:pPr>
      <w:r w:rsidRPr="00A47C91">
        <w:rPr>
          <w:lang w:val="en-AU"/>
        </w:rPr>
        <w:t>New York. Commonwea</w:t>
      </w:r>
      <w:r w:rsidR="002C76BE">
        <w:rPr>
          <w:lang w:val="en-AU"/>
        </w:rPr>
        <w:t>l</w:t>
      </w:r>
      <w:r w:rsidRPr="00A47C91">
        <w:rPr>
          <w:lang w:val="en-AU"/>
        </w:rPr>
        <w:t>th Fund, 2014:32.</w:t>
      </w:r>
    </w:p>
    <w:tbl>
      <w:tblPr>
        <w:tblStyle w:val="TableGrid"/>
        <w:tblW w:w="0" w:type="auto"/>
        <w:tblInd w:w="288" w:type="dxa"/>
        <w:tblLayout w:type="fixed"/>
        <w:tblLook w:val="01E0" w:firstRow="1" w:lastRow="1" w:firstColumn="1" w:lastColumn="1" w:noHBand="0" w:noVBand="0"/>
      </w:tblPr>
      <w:tblGrid>
        <w:gridCol w:w="1080"/>
        <w:gridCol w:w="8280"/>
      </w:tblGrid>
      <w:tr w:rsidR="007952EA" w:rsidRPr="0048169F" w:rsidTr="006B7DB2">
        <w:tc>
          <w:tcPr>
            <w:tcW w:w="1080" w:type="dxa"/>
            <w:tcBorders>
              <w:top w:val="single" w:sz="4" w:space="0" w:color="auto"/>
              <w:left w:val="single" w:sz="4" w:space="0" w:color="auto"/>
              <w:bottom w:val="single" w:sz="4" w:space="0" w:color="auto"/>
              <w:right w:val="single" w:sz="4" w:space="0" w:color="auto"/>
            </w:tcBorders>
            <w:vAlign w:val="center"/>
          </w:tcPr>
          <w:p w:rsidR="007952EA" w:rsidRPr="0048169F" w:rsidRDefault="007952EA" w:rsidP="006B7DB2">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52EA" w:rsidRPr="0048169F" w:rsidRDefault="00B444A5" w:rsidP="006B7DB2">
            <w:pPr>
              <w:rPr>
                <w:lang w:val="en-AU"/>
              </w:rPr>
            </w:pPr>
            <w:hyperlink r:id="rId20" w:history="1">
              <w:r w:rsidR="00A47C91" w:rsidRPr="00746D9D">
                <w:rPr>
                  <w:rStyle w:val="Hyperlink"/>
                  <w:lang w:val="en-AU"/>
                </w:rPr>
                <w:t>http://www.commonwealthfund.org/publications/fund-reports/2014/jun/mirror-mirror</w:t>
              </w:r>
            </w:hyperlink>
            <w:r w:rsidR="00A47C91">
              <w:rPr>
                <w:lang w:val="en-AU"/>
              </w:rPr>
              <w:t xml:space="preserve"> </w:t>
            </w:r>
          </w:p>
        </w:tc>
      </w:tr>
      <w:tr w:rsidR="002C76BE" w:rsidRPr="0048169F" w:rsidTr="006B7DB2">
        <w:tc>
          <w:tcPr>
            <w:tcW w:w="1080" w:type="dxa"/>
            <w:tcBorders>
              <w:top w:val="single" w:sz="4" w:space="0" w:color="auto"/>
              <w:left w:val="single" w:sz="4" w:space="0" w:color="auto"/>
              <w:bottom w:val="single" w:sz="4" w:space="0" w:color="auto"/>
              <w:right w:val="single" w:sz="4" w:space="0" w:color="auto"/>
            </w:tcBorders>
            <w:vAlign w:val="center"/>
          </w:tcPr>
          <w:p w:rsidR="002C76BE" w:rsidRDefault="002C76BE" w:rsidP="006B7DB2">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2C76BE" w:rsidRDefault="002C76BE" w:rsidP="006B7DB2">
            <w:pPr>
              <w:rPr>
                <w:lang w:val="en-AU"/>
              </w:rPr>
            </w:pPr>
            <w:r>
              <w:rPr>
                <w:lang w:val="en-AU"/>
              </w:rPr>
              <w:t>D14-21367</w:t>
            </w:r>
          </w:p>
        </w:tc>
      </w:tr>
      <w:tr w:rsidR="007952EA" w:rsidRPr="0048169F" w:rsidTr="006B7DB2">
        <w:tc>
          <w:tcPr>
            <w:tcW w:w="1080" w:type="dxa"/>
            <w:tcBorders>
              <w:top w:val="single" w:sz="4" w:space="0" w:color="auto"/>
              <w:left w:val="single" w:sz="4" w:space="0" w:color="auto"/>
              <w:bottom w:val="single" w:sz="4" w:space="0" w:color="auto"/>
              <w:right w:val="single" w:sz="4" w:space="0" w:color="auto"/>
            </w:tcBorders>
            <w:vAlign w:val="center"/>
          </w:tcPr>
          <w:p w:rsidR="007952EA" w:rsidRPr="0048169F" w:rsidRDefault="007952EA" w:rsidP="006B7DB2">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52EA" w:rsidRDefault="00A47C91" w:rsidP="00A47C91">
            <w:pPr>
              <w:rPr>
                <w:lang w:val="en-AU"/>
              </w:rPr>
            </w:pPr>
            <w:r>
              <w:rPr>
                <w:lang w:val="en-AU"/>
              </w:rPr>
              <w:t xml:space="preserve">Once more the </w:t>
            </w:r>
            <w:r w:rsidR="000A4B1D">
              <w:rPr>
                <w:lang w:val="en-AU"/>
              </w:rPr>
              <w:t xml:space="preserve">(US) </w:t>
            </w:r>
            <w:r>
              <w:rPr>
                <w:lang w:val="en-AU"/>
              </w:rPr>
              <w:t xml:space="preserve">Commonwealth </w:t>
            </w:r>
            <w:r w:rsidR="000A4B1D">
              <w:rPr>
                <w:lang w:val="en-AU"/>
              </w:rPr>
              <w:t>F</w:t>
            </w:r>
            <w:r>
              <w:rPr>
                <w:lang w:val="en-AU"/>
              </w:rPr>
              <w:t>und’s annual report on the health systems of 11 nations reveals that the USA pays the most for its health system but that system underperforms relative to the other nations studied (</w:t>
            </w:r>
            <w:r w:rsidRPr="00A47C91">
              <w:rPr>
                <w:lang w:val="en-AU"/>
              </w:rPr>
              <w:t xml:space="preserve">Australia, Canada, France, Germany, the Netherlands, New Zealand, Norway, Sweden, Switzerland, </w:t>
            </w:r>
            <w:r>
              <w:rPr>
                <w:lang w:val="en-AU"/>
              </w:rPr>
              <w:t xml:space="preserve">and </w:t>
            </w:r>
            <w:r w:rsidRPr="00A47C91">
              <w:rPr>
                <w:lang w:val="en-AU"/>
              </w:rPr>
              <w:t>the United Kingdom</w:t>
            </w:r>
            <w:r>
              <w:rPr>
                <w:lang w:val="en-AU"/>
              </w:rPr>
              <w:t>).</w:t>
            </w:r>
          </w:p>
          <w:p w:rsidR="00A47C91" w:rsidRDefault="00A47C91" w:rsidP="00A47C91">
            <w:pPr>
              <w:rPr>
                <w:lang w:val="en-AU"/>
              </w:rPr>
            </w:pPr>
            <w:r>
              <w:rPr>
                <w:lang w:val="en-AU"/>
              </w:rPr>
              <w:t xml:space="preserve">The report </w:t>
            </w:r>
            <w:r w:rsidRPr="00A47C91">
              <w:rPr>
                <w:lang w:val="en-AU"/>
              </w:rPr>
              <w:t xml:space="preserve">incorporates patients’ and physicians’ survey results on care experiences and ratings on various dimensions of care. It includes information from the </w:t>
            </w:r>
            <w:r w:rsidR="000A4B1D">
              <w:rPr>
                <w:lang w:val="en-AU"/>
              </w:rPr>
              <w:t xml:space="preserve">three </w:t>
            </w:r>
            <w:r w:rsidRPr="00A47C91">
              <w:rPr>
                <w:lang w:val="en-AU"/>
              </w:rPr>
              <w:t>most recent Commonwealth Fund international surveys of patients and primary care physicians about medical practices and views of their countries’ health systems (2011–2013). It also includes information on health care outcomes featured in The Commonwealth Fund’s most recent (2011) national health system scorecard, and from the World Health Organization (WHO) and the Organization for Economic Cooperation and Development (OECD).</w:t>
            </w:r>
          </w:p>
          <w:p w:rsidR="00A47C91" w:rsidRDefault="00A47C91" w:rsidP="00A47C91">
            <w:pPr>
              <w:rPr>
                <w:lang w:val="en-AU"/>
              </w:rPr>
            </w:pPr>
            <w:r>
              <w:rPr>
                <w:lang w:val="en-AU"/>
              </w:rPr>
              <w:t>Across the various measures and rankings used Australia tends to rate in the middle while having one of the lowest levels of expenditure</w:t>
            </w:r>
            <w:r w:rsidR="000A4B1D">
              <w:rPr>
                <w:lang w:val="en-AU"/>
              </w:rPr>
              <w:t xml:space="preserve"> of the 11 nations</w:t>
            </w:r>
            <w:r w:rsidR="00911D4D">
              <w:rPr>
                <w:lang w:val="en-AU"/>
              </w:rPr>
              <w:t>, but less positively having some issues of access and out-of-pocket costs</w:t>
            </w:r>
            <w:r>
              <w:rPr>
                <w:lang w:val="en-AU"/>
              </w:rPr>
              <w:t xml:space="preserve">. </w:t>
            </w:r>
            <w:r w:rsidRPr="00F717DC">
              <w:rPr>
                <w:b/>
                <w:lang w:val="en-AU"/>
              </w:rPr>
              <w:t>Overall Australia is ranked fourth</w:t>
            </w:r>
            <w:r w:rsidR="00576742" w:rsidRPr="00F717DC">
              <w:rPr>
                <w:b/>
                <w:lang w:val="en-AU"/>
              </w:rPr>
              <w:t>, while ranking second for quality</w:t>
            </w:r>
            <w:r w:rsidRPr="00F717DC">
              <w:rPr>
                <w:b/>
                <w:lang w:val="en-AU"/>
              </w:rPr>
              <w:t>.</w:t>
            </w:r>
          </w:p>
          <w:p w:rsidR="00A47C91" w:rsidRPr="0048169F" w:rsidRDefault="00A47C91" w:rsidP="00A47C91">
            <w:pPr>
              <w:rPr>
                <w:lang w:val="en-AU"/>
              </w:rPr>
            </w:pPr>
            <w:r>
              <w:rPr>
                <w:noProof/>
                <w:lang w:val="en-AU" w:eastAsia="en-AU"/>
              </w:rPr>
              <w:drawing>
                <wp:inline distT="0" distB="0" distL="0" distR="0">
                  <wp:extent cx="5066636" cy="3499555"/>
                  <wp:effectExtent l="0" t="0" r="1270" b="5715"/>
                  <wp:docPr id="1" name="Picture 1" descr="Overall health care r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all health care rank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66489" cy="3499454"/>
                          </a:xfrm>
                          <a:prstGeom prst="rect">
                            <a:avLst/>
                          </a:prstGeom>
                          <a:noFill/>
                          <a:ln>
                            <a:noFill/>
                          </a:ln>
                        </pic:spPr>
                      </pic:pic>
                    </a:graphicData>
                  </a:graphic>
                </wp:inline>
              </w:drawing>
            </w:r>
          </w:p>
        </w:tc>
      </w:tr>
    </w:tbl>
    <w:p w:rsidR="007952EA" w:rsidRDefault="007952EA" w:rsidP="007952EA">
      <w:pPr>
        <w:rPr>
          <w:i/>
          <w:lang w:val="en-AU"/>
        </w:rPr>
      </w:pPr>
    </w:p>
    <w:p w:rsidR="007952EA" w:rsidRDefault="007952EA" w:rsidP="007952EA">
      <w:pPr>
        <w:rPr>
          <w:i/>
          <w:lang w:val="en-AU"/>
        </w:rPr>
      </w:pPr>
    </w:p>
    <w:p w:rsidR="00A30DF9" w:rsidRPr="0048169F" w:rsidRDefault="00254636" w:rsidP="00F87778">
      <w:pPr>
        <w:keepNext/>
        <w:rPr>
          <w:b/>
          <w:lang w:val="en-AU"/>
        </w:rPr>
      </w:pPr>
      <w:r w:rsidRPr="0048169F">
        <w:rPr>
          <w:b/>
          <w:lang w:val="en-AU"/>
        </w:rPr>
        <w:lastRenderedPageBreak/>
        <w:t>Journal articles</w:t>
      </w:r>
    </w:p>
    <w:p w:rsidR="007B42C9" w:rsidRPr="0048169F" w:rsidRDefault="007B42C9" w:rsidP="00F87778">
      <w:pPr>
        <w:keepNext/>
        <w:rPr>
          <w:i/>
          <w:lang w:val="en-AU"/>
        </w:rPr>
      </w:pPr>
    </w:p>
    <w:p w:rsidR="006C292A" w:rsidRPr="006C292A" w:rsidRDefault="005B2845" w:rsidP="007952EA">
      <w:pPr>
        <w:keepNext/>
        <w:keepLines/>
        <w:autoSpaceDE w:val="0"/>
        <w:autoSpaceDN w:val="0"/>
        <w:adjustRightInd w:val="0"/>
        <w:rPr>
          <w:i/>
          <w:lang w:val="en-AU"/>
        </w:rPr>
      </w:pPr>
      <w:proofErr w:type="gramStart"/>
      <w:r>
        <w:rPr>
          <w:i/>
          <w:lang w:val="en-AU"/>
        </w:rPr>
        <w:t xml:space="preserve">A </w:t>
      </w:r>
      <w:r w:rsidR="006C292A" w:rsidRPr="006C292A">
        <w:rPr>
          <w:i/>
          <w:lang w:val="en-AU"/>
        </w:rPr>
        <w:t>framework for overcoming disparities in management of acute coronary syndromes in the Australian Aboriginal and Torres Strait Islander population.</w:t>
      </w:r>
      <w:proofErr w:type="gramEnd"/>
      <w:r w:rsidR="006C292A" w:rsidRPr="006C292A">
        <w:rPr>
          <w:i/>
          <w:lang w:val="en-AU"/>
        </w:rPr>
        <w:t xml:space="preserve"> A consensus statement from the National</w:t>
      </w:r>
      <w:r w:rsidR="00103E27">
        <w:rPr>
          <w:i/>
          <w:lang w:val="en-AU"/>
        </w:rPr>
        <w:t xml:space="preserve"> Heart Foundation of Australia</w:t>
      </w:r>
    </w:p>
    <w:p w:rsidR="006C292A" w:rsidRDefault="006C292A" w:rsidP="007952EA">
      <w:pPr>
        <w:keepNext/>
        <w:keepLines/>
        <w:autoSpaceDE w:val="0"/>
        <w:autoSpaceDN w:val="0"/>
        <w:adjustRightInd w:val="0"/>
        <w:rPr>
          <w:lang w:val="en-AU"/>
        </w:rPr>
      </w:pPr>
      <w:r w:rsidRPr="006C292A">
        <w:rPr>
          <w:lang w:val="en-AU"/>
        </w:rPr>
        <w:t xml:space="preserve">Ilton MK, Walsh WF, Brown AD, Tideman PA, Zeitz CJ, Wilson J. </w:t>
      </w:r>
    </w:p>
    <w:p w:rsidR="000E7F27" w:rsidRPr="0048169F" w:rsidRDefault="006C292A" w:rsidP="007952EA">
      <w:pPr>
        <w:keepNext/>
        <w:keepLines/>
        <w:autoSpaceDE w:val="0"/>
        <w:autoSpaceDN w:val="0"/>
        <w:adjustRightInd w:val="0"/>
        <w:rPr>
          <w:lang w:val="en-AU"/>
        </w:rPr>
      </w:pPr>
      <w:r w:rsidRPr="006C292A">
        <w:rPr>
          <w:lang w:val="en-AU"/>
        </w:rPr>
        <w:t>Med J Aust 2014</w:t>
      </w:r>
      <w:proofErr w:type="gramStart"/>
      <w:r w:rsidRPr="006C292A">
        <w:rPr>
          <w:lang w:val="en-AU"/>
        </w:rPr>
        <w:t>;200</w:t>
      </w:r>
      <w:proofErr w:type="gramEnd"/>
      <w:r w:rsidRPr="006C292A">
        <w:rPr>
          <w:lang w:val="en-AU"/>
        </w:rPr>
        <w:t>(11):639-643.</w:t>
      </w:r>
    </w:p>
    <w:tbl>
      <w:tblPr>
        <w:tblStyle w:val="TableGrid"/>
        <w:tblW w:w="0" w:type="auto"/>
        <w:tblInd w:w="288" w:type="dxa"/>
        <w:tblLayout w:type="fixed"/>
        <w:tblLook w:val="01E0" w:firstRow="1" w:lastRow="1" w:firstColumn="1" w:lastColumn="1" w:noHBand="0" w:noVBand="0"/>
      </w:tblPr>
      <w:tblGrid>
        <w:gridCol w:w="1080"/>
        <w:gridCol w:w="8280"/>
      </w:tblGrid>
      <w:tr w:rsidR="007952EA" w:rsidRPr="0048169F" w:rsidTr="006B7DB2">
        <w:tc>
          <w:tcPr>
            <w:tcW w:w="1080" w:type="dxa"/>
            <w:tcBorders>
              <w:top w:val="single" w:sz="4" w:space="0" w:color="auto"/>
              <w:left w:val="single" w:sz="4" w:space="0" w:color="auto"/>
              <w:bottom w:val="single" w:sz="4" w:space="0" w:color="auto"/>
              <w:right w:val="single" w:sz="4" w:space="0" w:color="auto"/>
            </w:tcBorders>
            <w:vAlign w:val="center"/>
          </w:tcPr>
          <w:p w:rsidR="007952EA" w:rsidRPr="0048169F" w:rsidRDefault="007952EA" w:rsidP="006B7DB2">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952EA" w:rsidRPr="0048169F" w:rsidRDefault="00B444A5" w:rsidP="006C292A">
            <w:pPr>
              <w:rPr>
                <w:lang w:val="en-AU"/>
              </w:rPr>
            </w:pPr>
            <w:hyperlink r:id="rId22" w:history="1">
              <w:r w:rsidR="000D54A0" w:rsidRPr="008B1356">
                <w:rPr>
                  <w:rStyle w:val="Hyperlink"/>
                  <w:lang w:val="en-AU"/>
                </w:rPr>
                <w:t>http://dx.doi.org/10.5694/mja12.11175</w:t>
              </w:r>
            </w:hyperlink>
          </w:p>
        </w:tc>
      </w:tr>
      <w:tr w:rsidR="007952EA" w:rsidRPr="0048169F" w:rsidTr="006B7DB2">
        <w:tc>
          <w:tcPr>
            <w:tcW w:w="1080" w:type="dxa"/>
            <w:tcBorders>
              <w:top w:val="single" w:sz="4" w:space="0" w:color="auto"/>
              <w:left w:val="single" w:sz="4" w:space="0" w:color="auto"/>
              <w:bottom w:val="single" w:sz="4" w:space="0" w:color="auto"/>
              <w:right w:val="single" w:sz="4" w:space="0" w:color="auto"/>
            </w:tcBorders>
            <w:vAlign w:val="center"/>
          </w:tcPr>
          <w:p w:rsidR="007952EA" w:rsidRPr="0048169F" w:rsidRDefault="007952EA" w:rsidP="006B7DB2">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C292A" w:rsidRPr="006C292A" w:rsidRDefault="006C292A" w:rsidP="006C292A">
            <w:pPr>
              <w:rPr>
                <w:lang w:val="en-AU"/>
              </w:rPr>
            </w:pPr>
            <w:r w:rsidRPr="006C292A">
              <w:rPr>
                <w:lang w:val="en-AU"/>
              </w:rPr>
              <w:t xml:space="preserve">As well as a higher rate of death from coronary heart disease, Aboriginal and Torres Strait Islander peoples have 40% lower rates of coronary angiography and percutaneous coronary intervention (PCI or ‘stenting’) than other Australians. This consensus statement clearly describes a best practice framework and pathways of care for overcoming these disparities, which exist in both urban and non-urban communities, and points out some of the particular barriers for this population. </w:t>
            </w:r>
          </w:p>
          <w:p w:rsidR="007952EA" w:rsidRPr="0048169F" w:rsidRDefault="006C292A" w:rsidP="000D54A0">
            <w:pPr>
              <w:rPr>
                <w:lang w:val="en-AU"/>
              </w:rPr>
            </w:pPr>
            <w:r w:rsidRPr="006C292A">
              <w:rPr>
                <w:lang w:val="en-AU"/>
              </w:rPr>
              <w:t xml:space="preserve">The Consensus statement </w:t>
            </w:r>
            <w:proofErr w:type="gramStart"/>
            <w:r w:rsidRPr="006C292A">
              <w:rPr>
                <w:lang w:val="en-AU"/>
              </w:rPr>
              <w:t>dovetails</w:t>
            </w:r>
            <w:proofErr w:type="gramEnd"/>
            <w:r w:rsidR="000D54A0">
              <w:rPr>
                <w:lang w:val="en-AU"/>
              </w:rPr>
              <w:t xml:space="preserve"> </w:t>
            </w:r>
            <w:r w:rsidRPr="006C292A">
              <w:rPr>
                <w:lang w:val="en-AU"/>
              </w:rPr>
              <w:t xml:space="preserve">with the Commission’s draft </w:t>
            </w:r>
            <w:hyperlink r:id="rId23" w:history="1">
              <w:r w:rsidRPr="000D54A0">
                <w:rPr>
                  <w:rStyle w:val="Hyperlink"/>
                  <w:i/>
                  <w:lang w:val="en-AU"/>
                </w:rPr>
                <w:t>Clinical Care Standard</w:t>
              </w:r>
            </w:hyperlink>
            <w:r w:rsidRPr="000D54A0">
              <w:rPr>
                <w:i/>
                <w:lang w:val="en-AU"/>
              </w:rPr>
              <w:t xml:space="preserve"> for Acute Coronary Syndromes</w:t>
            </w:r>
            <w:r w:rsidRPr="006C292A">
              <w:rPr>
                <w:lang w:val="en-AU"/>
              </w:rPr>
              <w:t>, which identifies the key aspects of care that all Australians should expect to receive, and is consistent with the published consensus statement. The value of a Clinical Care Standard depends on its clear description of quality care which can be measured – in turn allowing variation to be identified. Understanding the systemic, cultural and other population specific factors that contribute to that variation is vital for quality improvement efforts.</w:t>
            </w:r>
          </w:p>
        </w:tc>
      </w:tr>
    </w:tbl>
    <w:p w:rsidR="007952EA" w:rsidRDefault="007952EA" w:rsidP="007952EA">
      <w:pPr>
        <w:rPr>
          <w:i/>
          <w:lang w:val="en-AU"/>
        </w:rPr>
      </w:pPr>
    </w:p>
    <w:p w:rsidR="000D54A0" w:rsidRDefault="000D54A0" w:rsidP="007952EA">
      <w:pPr>
        <w:rPr>
          <w:i/>
          <w:lang w:val="en-AU"/>
        </w:rPr>
      </w:pPr>
      <w:r w:rsidRPr="000D54A0">
        <w:rPr>
          <w:lang w:val="en-AU"/>
        </w:rPr>
        <w:t>For information on the Commission’s work on clinical care standards, including the draft</w:t>
      </w:r>
      <w:r w:rsidRPr="000D54A0">
        <w:rPr>
          <w:i/>
          <w:lang w:val="en-AU"/>
        </w:rPr>
        <w:t xml:space="preserve"> Clinical Care Standard for Acute Coronary Syndromes</w:t>
      </w:r>
      <w:r w:rsidRPr="000D54A0">
        <w:rPr>
          <w:lang w:val="en-AU"/>
        </w:rPr>
        <w:t>, see</w:t>
      </w:r>
      <w:r>
        <w:rPr>
          <w:lang w:val="en-AU"/>
        </w:rPr>
        <w:t xml:space="preserve"> </w:t>
      </w:r>
      <w:hyperlink r:id="rId24" w:history="1">
        <w:r w:rsidRPr="008B1356">
          <w:rPr>
            <w:rStyle w:val="Hyperlink"/>
            <w:lang w:val="en-AU"/>
          </w:rPr>
          <w:t>http://www.safetyandquality.gov.au/our-work/clinical-care-standards/</w:t>
        </w:r>
      </w:hyperlink>
    </w:p>
    <w:p w:rsidR="000D54A0" w:rsidRDefault="000D54A0" w:rsidP="007952EA">
      <w:pPr>
        <w:rPr>
          <w:i/>
          <w:lang w:val="en-AU"/>
        </w:rPr>
      </w:pPr>
    </w:p>
    <w:p w:rsidR="00345AA1" w:rsidRPr="00345AA1" w:rsidRDefault="00345AA1" w:rsidP="007952EA">
      <w:pPr>
        <w:keepNext/>
        <w:keepLines/>
        <w:autoSpaceDE w:val="0"/>
        <w:autoSpaceDN w:val="0"/>
        <w:adjustRightInd w:val="0"/>
        <w:rPr>
          <w:i/>
          <w:lang w:val="en-AU"/>
        </w:rPr>
      </w:pPr>
      <w:r w:rsidRPr="00345AA1">
        <w:rPr>
          <w:i/>
          <w:lang w:val="en-AU"/>
        </w:rPr>
        <w:t>Aboriginal community controlled health services: l</w:t>
      </w:r>
      <w:r w:rsidR="00103E27">
        <w:rPr>
          <w:i/>
          <w:lang w:val="en-AU"/>
        </w:rPr>
        <w:t>eading the way in primary care</w:t>
      </w:r>
    </w:p>
    <w:p w:rsidR="00345AA1" w:rsidRDefault="00345AA1" w:rsidP="007952EA">
      <w:pPr>
        <w:keepNext/>
        <w:keepLines/>
        <w:autoSpaceDE w:val="0"/>
        <w:autoSpaceDN w:val="0"/>
        <w:adjustRightInd w:val="0"/>
        <w:rPr>
          <w:lang w:val="en-AU"/>
        </w:rPr>
      </w:pPr>
      <w:r w:rsidRPr="00345AA1">
        <w:rPr>
          <w:lang w:val="en-AU"/>
        </w:rPr>
        <w:t>Panaretto KS, Wenitong M, Button S, Ring IT</w:t>
      </w:r>
    </w:p>
    <w:p w:rsidR="007952EA" w:rsidRPr="0048169F" w:rsidRDefault="00345AA1" w:rsidP="007952EA">
      <w:pPr>
        <w:keepNext/>
        <w:keepLines/>
        <w:autoSpaceDE w:val="0"/>
        <w:autoSpaceDN w:val="0"/>
        <w:adjustRightInd w:val="0"/>
        <w:rPr>
          <w:lang w:val="en-AU"/>
        </w:rPr>
      </w:pPr>
      <w:r w:rsidRPr="00345AA1">
        <w:rPr>
          <w:lang w:val="en-AU"/>
        </w:rPr>
        <w:t>Med J Aust 2014</w:t>
      </w:r>
      <w:proofErr w:type="gramStart"/>
      <w:r w:rsidRPr="00345AA1">
        <w:rPr>
          <w:lang w:val="en-AU"/>
        </w:rPr>
        <w:t>;200</w:t>
      </w:r>
      <w:proofErr w:type="gramEnd"/>
      <w:r w:rsidRPr="00345AA1">
        <w:rPr>
          <w:lang w:val="en-AU"/>
        </w:rPr>
        <w:t>(11):649-652.</w:t>
      </w:r>
    </w:p>
    <w:tbl>
      <w:tblPr>
        <w:tblStyle w:val="TableGrid"/>
        <w:tblW w:w="0" w:type="auto"/>
        <w:tblInd w:w="288" w:type="dxa"/>
        <w:tblLayout w:type="fixed"/>
        <w:tblLook w:val="01E0" w:firstRow="1" w:lastRow="1" w:firstColumn="1" w:lastColumn="1" w:noHBand="0" w:noVBand="0"/>
      </w:tblPr>
      <w:tblGrid>
        <w:gridCol w:w="1080"/>
        <w:gridCol w:w="8280"/>
      </w:tblGrid>
      <w:tr w:rsidR="007952EA" w:rsidRPr="0048169F" w:rsidTr="006B7DB2">
        <w:tc>
          <w:tcPr>
            <w:tcW w:w="1080" w:type="dxa"/>
            <w:tcBorders>
              <w:top w:val="single" w:sz="4" w:space="0" w:color="auto"/>
              <w:left w:val="single" w:sz="4" w:space="0" w:color="auto"/>
              <w:bottom w:val="single" w:sz="4" w:space="0" w:color="auto"/>
              <w:right w:val="single" w:sz="4" w:space="0" w:color="auto"/>
            </w:tcBorders>
            <w:vAlign w:val="center"/>
          </w:tcPr>
          <w:p w:rsidR="007952EA" w:rsidRPr="0048169F" w:rsidRDefault="007952EA" w:rsidP="006B7DB2">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952EA" w:rsidRPr="0048169F" w:rsidRDefault="00B444A5" w:rsidP="006B7DB2">
            <w:pPr>
              <w:rPr>
                <w:lang w:val="en-AU"/>
              </w:rPr>
            </w:pPr>
            <w:hyperlink r:id="rId25" w:history="1">
              <w:r w:rsidR="00345AA1" w:rsidRPr="00DD7E93">
                <w:rPr>
                  <w:rStyle w:val="Hyperlink"/>
                  <w:lang w:val="en-AU"/>
                </w:rPr>
                <w:t>http://dx.doi.org/10.5694/mja13.00005</w:t>
              </w:r>
            </w:hyperlink>
          </w:p>
        </w:tc>
      </w:tr>
      <w:tr w:rsidR="007952EA" w:rsidRPr="0048169F" w:rsidTr="006B7DB2">
        <w:tc>
          <w:tcPr>
            <w:tcW w:w="1080" w:type="dxa"/>
            <w:tcBorders>
              <w:top w:val="single" w:sz="4" w:space="0" w:color="auto"/>
              <w:left w:val="single" w:sz="4" w:space="0" w:color="auto"/>
              <w:bottom w:val="single" w:sz="4" w:space="0" w:color="auto"/>
              <w:right w:val="single" w:sz="4" w:space="0" w:color="auto"/>
            </w:tcBorders>
            <w:vAlign w:val="center"/>
          </w:tcPr>
          <w:p w:rsidR="007952EA" w:rsidRPr="0048169F" w:rsidRDefault="007952EA" w:rsidP="006B7DB2">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52EA" w:rsidRPr="0048169F" w:rsidRDefault="00345AA1" w:rsidP="00345AA1">
            <w:pPr>
              <w:rPr>
                <w:lang w:val="en-AU"/>
              </w:rPr>
            </w:pPr>
            <w:r>
              <w:rPr>
                <w:lang w:val="en-AU"/>
              </w:rPr>
              <w:t xml:space="preserve">This article on the effectiveness of </w:t>
            </w:r>
            <w:r w:rsidRPr="00345AA1">
              <w:rPr>
                <w:lang w:val="en-AU"/>
              </w:rPr>
              <w:t>Aboriginal community controlled health services</w:t>
            </w:r>
            <w:r>
              <w:rPr>
                <w:lang w:val="en-AU"/>
              </w:rPr>
              <w:t xml:space="preserve"> (ACCHS) illustrates the benefits of a health delivery model based on community preferences. While developed specifically for the Aboriginal community, the authors point out that there are commonalities with the </w:t>
            </w:r>
            <w:r w:rsidRPr="00345AA1">
              <w:rPr>
                <w:lang w:val="en-AU"/>
              </w:rPr>
              <w:t>patient-centred medical home</w:t>
            </w:r>
            <w:r>
              <w:rPr>
                <w:lang w:val="en-AU"/>
              </w:rPr>
              <w:t xml:space="preserve">, now of interest in mainstream health care. </w:t>
            </w:r>
            <w:r w:rsidRPr="00345AA1">
              <w:rPr>
                <w:lang w:val="en-AU"/>
              </w:rPr>
              <w:t xml:space="preserve">These include </w:t>
            </w:r>
            <w:r w:rsidRPr="00A875AA">
              <w:rPr>
                <w:lang w:val="en-AU"/>
              </w:rPr>
              <w:t>“Care: is patient-focused; may encompass the family; has significant physician input; is integrated with allied health specialists, mental health professionals and community services, preferably delivered in the home; and is underpinned by participation in clinical quality-improvement programs.”</w:t>
            </w:r>
            <w:r w:rsidR="00A875AA">
              <w:rPr>
                <w:lang w:val="en-AU"/>
              </w:rPr>
              <w:t xml:space="preserve"> </w:t>
            </w:r>
            <w:r w:rsidRPr="00A875AA">
              <w:rPr>
                <w:lang w:val="en-AU"/>
              </w:rPr>
              <w:t xml:space="preserve">Achievements of the </w:t>
            </w:r>
            <w:r>
              <w:rPr>
                <w:lang w:val="en-AU"/>
              </w:rPr>
              <w:t>ACCHSs are described, including significant more patients at high cardiovascular risk who are taking preventive medicines, compared to general practice.</w:t>
            </w:r>
          </w:p>
        </w:tc>
      </w:tr>
    </w:tbl>
    <w:p w:rsidR="005B2845" w:rsidRDefault="005B2845" w:rsidP="005B2845">
      <w:pPr>
        <w:keepNext/>
        <w:keepLines/>
        <w:autoSpaceDE w:val="0"/>
        <w:autoSpaceDN w:val="0"/>
        <w:adjustRightInd w:val="0"/>
        <w:rPr>
          <w:i/>
          <w:lang w:val="en-AU"/>
        </w:rPr>
      </w:pPr>
    </w:p>
    <w:p w:rsidR="005B2845" w:rsidRPr="00D164A1" w:rsidRDefault="005B2845" w:rsidP="005B2845">
      <w:pPr>
        <w:keepNext/>
        <w:keepLines/>
        <w:autoSpaceDE w:val="0"/>
        <w:autoSpaceDN w:val="0"/>
        <w:adjustRightInd w:val="0"/>
        <w:rPr>
          <w:i/>
          <w:lang w:val="en-AU"/>
        </w:rPr>
      </w:pPr>
      <w:r w:rsidRPr="00D164A1">
        <w:rPr>
          <w:i/>
          <w:lang w:val="en-AU"/>
        </w:rPr>
        <w:t>Developing a good practice model to evaluate the effectiveness of comprehensive primary health care in local communities</w:t>
      </w:r>
    </w:p>
    <w:p w:rsidR="005B2845" w:rsidRDefault="005B2845" w:rsidP="005B2845">
      <w:pPr>
        <w:keepNext/>
        <w:keepLines/>
        <w:autoSpaceDE w:val="0"/>
        <w:autoSpaceDN w:val="0"/>
        <w:adjustRightInd w:val="0"/>
        <w:rPr>
          <w:lang w:val="en-AU"/>
        </w:rPr>
      </w:pPr>
      <w:r w:rsidRPr="002C76BE">
        <w:rPr>
          <w:lang w:val="en-AU"/>
        </w:rPr>
        <w:t>Lawless A, Freeman T, Bentley M, Baum F, Jolley G</w:t>
      </w:r>
    </w:p>
    <w:p w:rsidR="005B2845" w:rsidRPr="0048169F" w:rsidRDefault="005B2845" w:rsidP="005B2845">
      <w:pPr>
        <w:keepNext/>
        <w:keepLines/>
        <w:autoSpaceDE w:val="0"/>
        <w:autoSpaceDN w:val="0"/>
        <w:adjustRightInd w:val="0"/>
        <w:rPr>
          <w:lang w:val="en-AU"/>
        </w:rPr>
      </w:pPr>
      <w:r w:rsidRPr="002C76BE">
        <w:rPr>
          <w:lang w:val="en-AU"/>
        </w:rPr>
        <w:t>BMC Family Practice 2014</w:t>
      </w:r>
      <w:proofErr w:type="gramStart"/>
      <w:r w:rsidRPr="002C76BE">
        <w:rPr>
          <w:lang w:val="en-AU"/>
        </w:rPr>
        <w:t>;15</w:t>
      </w:r>
      <w:proofErr w:type="gramEnd"/>
      <w:r w:rsidRPr="002C76BE">
        <w:rPr>
          <w:lang w:val="en-AU"/>
        </w:rPr>
        <w:t>(1):99.</w:t>
      </w:r>
    </w:p>
    <w:tbl>
      <w:tblPr>
        <w:tblStyle w:val="TableGrid"/>
        <w:tblW w:w="0" w:type="auto"/>
        <w:tblInd w:w="288" w:type="dxa"/>
        <w:tblLayout w:type="fixed"/>
        <w:tblLook w:val="01E0" w:firstRow="1" w:lastRow="1" w:firstColumn="1" w:lastColumn="1" w:noHBand="0" w:noVBand="0"/>
      </w:tblPr>
      <w:tblGrid>
        <w:gridCol w:w="1080"/>
        <w:gridCol w:w="8280"/>
      </w:tblGrid>
      <w:tr w:rsidR="005B2845" w:rsidRPr="0048169F" w:rsidTr="009E3324">
        <w:tc>
          <w:tcPr>
            <w:tcW w:w="1080" w:type="dxa"/>
            <w:tcBorders>
              <w:top w:val="single" w:sz="4" w:space="0" w:color="auto"/>
              <w:left w:val="single" w:sz="4" w:space="0" w:color="auto"/>
              <w:bottom w:val="single" w:sz="4" w:space="0" w:color="auto"/>
              <w:right w:val="single" w:sz="4" w:space="0" w:color="auto"/>
            </w:tcBorders>
            <w:vAlign w:val="center"/>
          </w:tcPr>
          <w:p w:rsidR="005B2845" w:rsidRPr="0048169F" w:rsidRDefault="005B2845" w:rsidP="009E3324">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B2845" w:rsidRPr="0048169F" w:rsidRDefault="00B444A5" w:rsidP="009E3324">
            <w:pPr>
              <w:rPr>
                <w:lang w:val="en-AU"/>
              </w:rPr>
            </w:pPr>
            <w:hyperlink r:id="rId26" w:history="1">
              <w:r w:rsidR="005B2845" w:rsidRPr="00746D9D">
                <w:rPr>
                  <w:rStyle w:val="Hyperlink"/>
                  <w:lang w:val="en-AU"/>
                </w:rPr>
                <w:t>http://dx.doi.org/10.1186/1471-2296-15-99</w:t>
              </w:r>
            </w:hyperlink>
          </w:p>
        </w:tc>
      </w:tr>
      <w:tr w:rsidR="005B2845" w:rsidRPr="0048169F" w:rsidTr="009E3324">
        <w:tc>
          <w:tcPr>
            <w:tcW w:w="1080" w:type="dxa"/>
            <w:tcBorders>
              <w:top w:val="single" w:sz="4" w:space="0" w:color="auto"/>
              <w:left w:val="single" w:sz="4" w:space="0" w:color="auto"/>
              <w:bottom w:val="single" w:sz="4" w:space="0" w:color="auto"/>
              <w:right w:val="single" w:sz="4" w:space="0" w:color="auto"/>
            </w:tcBorders>
            <w:vAlign w:val="center"/>
          </w:tcPr>
          <w:p w:rsidR="005B2845" w:rsidRPr="0048169F" w:rsidRDefault="005B2845" w:rsidP="009E3324">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2845" w:rsidRPr="0048169F" w:rsidRDefault="005B2845" w:rsidP="009E3324">
            <w:pPr>
              <w:rPr>
                <w:lang w:val="en-AU"/>
              </w:rPr>
            </w:pPr>
            <w:r>
              <w:rPr>
                <w:lang w:val="en-AU"/>
              </w:rPr>
              <w:t xml:space="preserve">This paper describes how a </w:t>
            </w:r>
            <w:r w:rsidRPr="005E7895">
              <w:rPr>
                <w:lang w:val="en-AU"/>
              </w:rPr>
              <w:t>model of Comprehensive Primary Health Care (CPHC)</w:t>
            </w:r>
            <w:r>
              <w:rPr>
                <w:lang w:val="en-AU"/>
              </w:rPr>
              <w:t xml:space="preserve">, particularly for </w:t>
            </w:r>
            <w:r w:rsidRPr="005E7895">
              <w:rPr>
                <w:lang w:val="en-AU"/>
              </w:rPr>
              <w:t>the Australian context</w:t>
            </w:r>
            <w:r>
              <w:rPr>
                <w:lang w:val="en-AU"/>
              </w:rPr>
              <w:t xml:space="preserve">, was developed </w:t>
            </w:r>
            <w:proofErr w:type="gramStart"/>
            <w:r w:rsidRPr="005E7895">
              <w:rPr>
                <w:lang w:val="en-AU"/>
              </w:rPr>
              <w:t xml:space="preserve">in </w:t>
            </w:r>
            <w:r>
              <w:rPr>
                <w:lang w:val="en-AU"/>
              </w:rPr>
              <w:t xml:space="preserve"> a</w:t>
            </w:r>
            <w:proofErr w:type="gramEnd"/>
            <w:r>
              <w:rPr>
                <w:lang w:val="en-AU"/>
              </w:rPr>
              <w:t xml:space="preserve"> </w:t>
            </w:r>
            <w:r w:rsidRPr="005E7895">
              <w:rPr>
                <w:lang w:val="en-AU"/>
              </w:rPr>
              <w:t xml:space="preserve">partnership </w:t>
            </w:r>
            <w:r>
              <w:rPr>
                <w:lang w:val="en-AU"/>
              </w:rPr>
              <w:t xml:space="preserve">involving </w:t>
            </w:r>
            <w:r w:rsidRPr="005E7895">
              <w:rPr>
                <w:lang w:val="en-AU"/>
              </w:rPr>
              <w:t>six Australian primary health care services</w:t>
            </w:r>
            <w:r>
              <w:rPr>
                <w:lang w:val="en-AU"/>
              </w:rPr>
              <w:t xml:space="preserve">. The authors argue that this model </w:t>
            </w:r>
            <w:proofErr w:type="gramStart"/>
            <w:r>
              <w:rPr>
                <w:lang w:val="en-AU"/>
              </w:rPr>
              <w:t xml:space="preserve">offers </w:t>
            </w:r>
            <w:r w:rsidRPr="005E7895">
              <w:rPr>
                <w:lang w:val="en-AU"/>
              </w:rPr>
              <w:t xml:space="preserve"> </w:t>
            </w:r>
            <w:r>
              <w:rPr>
                <w:lang w:val="en-AU"/>
              </w:rPr>
              <w:lastRenderedPageBreak/>
              <w:t>“</w:t>
            </w:r>
            <w:proofErr w:type="gramEnd"/>
            <w:r w:rsidRPr="005E7895">
              <w:rPr>
                <w:lang w:val="en-AU"/>
              </w:rPr>
              <w:t>a framework for evaluation that allows the tracking of progress towards desired outcomes and exploration of the particular aspects of context and mechanisms that produce outcomes.</w:t>
            </w:r>
            <w:r>
              <w:rPr>
                <w:lang w:val="en-AU"/>
              </w:rPr>
              <w:t>”</w:t>
            </w:r>
          </w:p>
        </w:tc>
      </w:tr>
    </w:tbl>
    <w:p w:rsidR="005B2845" w:rsidRDefault="005B2845" w:rsidP="005B2845">
      <w:pPr>
        <w:rPr>
          <w:i/>
          <w:lang w:val="en-AU"/>
        </w:rPr>
      </w:pPr>
    </w:p>
    <w:p w:rsidR="005B2845" w:rsidRPr="002C76BE" w:rsidRDefault="005B2845" w:rsidP="005B2845">
      <w:pPr>
        <w:keepNext/>
        <w:keepLines/>
        <w:autoSpaceDE w:val="0"/>
        <w:autoSpaceDN w:val="0"/>
        <w:adjustRightInd w:val="0"/>
        <w:rPr>
          <w:i/>
          <w:lang w:val="en-AU"/>
        </w:rPr>
      </w:pPr>
      <w:r w:rsidRPr="002C76BE">
        <w:rPr>
          <w:i/>
          <w:lang w:val="en-AU"/>
        </w:rPr>
        <w:t>What Are the Key Ingredients for Effective Public Involvement in Health Care Improvement and Policy Decisions? A Randomized Trial Process Evaluation</w:t>
      </w:r>
    </w:p>
    <w:p w:rsidR="005B2845" w:rsidRDefault="005B2845" w:rsidP="005B2845">
      <w:pPr>
        <w:keepNext/>
        <w:keepLines/>
        <w:autoSpaceDE w:val="0"/>
        <w:autoSpaceDN w:val="0"/>
        <w:adjustRightInd w:val="0"/>
        <w:rPr>
          <w:lang w:val="en-AU"/>
        </w:rPr>
      </w:pPr>
      <w:r w:rsidRPr="002C76BE">
        <w:rPr>
          <w:lang w:val="en-AU"/>
        </w:rPr>
        <w:t>Boivin A, Lehoux P, Burgers J, Grol R</w:t>
      </w:r>
    </w:p>
    <w:p w:rsidR="005B2845" w:rsidRPr="0048169F" w:rsidRDefault="005B2845" w:rsidP="005B2845">
      <w:pPr>
        <w:keepNext/>
        <w:keepLines/>
        <w:autoSpaceDE w:val="0"/>
        <w:autoSpaceDN w:val="0"/>
        <w:adjustRightInd w:val="0"/>
        <w:rPr>
          <w:lang w:val="en-AU"/>
        </w:rPr>
      </w:pPr>
      <w:r w:rsidRPr="002C76BE">
        <w:rPr>
          <w:lang w:val="en-AU"/>
        </w:rPr>
        <w:t>Milbank Quarterly 2014</w:t>
      </w:r>
      <w:proofErr w:type="gramStart"/>
      <w:r w:rsidRPr="002C76BE">
        <w:rPr>
          <w:lang w:val="en-AU"/>
        </w:rPr>
        <w:t>;92</w:t>
      </w:r>
      <w:proofErr w:type="gramEnd"/>
      <w:r w:rsidRPr="002C76BE">
        <w:rPr>
          <w:lang w:val="en-AU"/>
        </w:rPr>
        <w:t>(2):319-350.</w:t>
      </w:r>
    </w:p>
    <w:tbl>
      <w:tblPr>
        <w:tblStyle w:val="TableGrid"/>
        <w:tblW w:w="0" w:type="auto"/>
        <w:tblInd w:w="288" w:type="dxa"/>
        <w:tblLayout w:type="fixed"/>
        <w:tblLook w:val="01E0" w:firstRow="1" w:lastRow="1" w:firstColumn="1" w:lastColumn="1" w:noHBand="0" w:noVBand="0"/>
      </w:tblPr>
      <w:tblGrid>
        <w:gridCol w:w="1080"/>
        <w:gridCol w:w="8280"/>
      </w:tblGrid>
      <w:tr w:rsidR="005B2845" w:rsidRPr="0048169F" w:rsidTr="009E3324">
        <w:tc>
          <w:tcPr>
            <w:tcW w:w="1080" w:type="dxa"/>
            <w:tcBorders>
              <w:top w:val="single" w:sz="4" w:space="0" w:color="auto"/>
              <w:left w:val="single" w:sz="4" w:space="0" w:color="auto"/>
              <w:bottom w:val="single" w:sz="4" w:space="0" w:color="auto"/>
              <w:right w:val="single" w:sz="4" w:space="0" w:color="auto"/>
            </w:tcBorders>
            <w:vAlign w:val="center"/>
          </w:tcPr>
          <w:p w:rsidR="005B2845" w:rsidRPr="0048169F" w:rsidRDefault="005B2845" w:rsidP="009E3324">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B2845" w:rsidRPr="0048169F" w:rsidRDefault="00B444A5" w:rsidP="009E3324">
            <w:pPr>
              <w:rPr>
                <w:lang w:val="en-AU"/>
              </w:rPr>
            </w:pPr>
            <w:hyperlink r:id="rId27" w:history="1">
              <w:r w:rsidR="005B2845" w:rsidRPr="00746D9D">
                <w:rPr>
                  <w:rStyle w:val="Hyperlink"/>
                  <w:lang w:val="en-AU"/>
                </w:rPr>
                <w:t>http://dx.doi.org/10.1111/1468-0009.12060</w:t>
              </w:r>
            </w:hyperlink>
          </w:p>
        </w:tc>
      </w:tr>
      <w:tr w:rsidR="005B2845" w:rsidRPr="0048169F" w:rsidTr="009E3324">
        <w:tc>
          <w:tcPr>
            <w:tcW w:w="1080" w:type="dxa"/>
            <w:tcBorders>
              <w:top w:val="single" w:sz="4" w:space="0" w:color="auto"/>
              <w:left w:val="single" w:sz="4" w:space="0" w:color="auto"/>
              <w:bottom w:val="single" w:sz="4" w:space="0" w:color="auto"/>
              <w:right w:val="single" w:sz="4" w:space="0" w:color="auto"/>
            </w:tcBorders>
            <w:vAlign w:val="center"/>
          </w:tcPr>
          <w:p w:rsidR="005B2845" w:rsidRPr="0048169F" w:rsidRDefault="005B2845" w:rsidP="009E3324">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2845" w:rsidRDefault="005B2845" w:rsidP="009E3324">
            <w:pPr>
              <w:rPr>
                <w:lang w:val="en-AU"/>
              </w:rPr>
            </w:pPr>
            <w:r>
              <w:rPr>
                <w:lang w:val="en-AU"/>
              </w:rPr>
              <w:t xml:space="preserve">This Canadian study explores some of the </w:t>
            </w:r>
            <w:r w:rsidRPr="005E7895">
              <w:rPr>
                <w:lang w:val="en-AU"/>
              </w:rPr>
              <w:t xml:space="preserve">key </w:t>
            </w:r>
            <w:r>
              <w:rPr>
                <w:lang w:val="en-AU"/>
              </w:rPr>
              <w:t xml:space="preserve">factors </w:t>
            </w:r>
            <w:r w:rsidRPr="005E7895">
              <w:rPr>
                <w:lang w:val="en-AU"/>
              </w:rPr>
              <w:t>affect</w:t>
            </w:r>
            <w:r>
              <w:rPr>
                <w:lang w:val="en-AU"/>
              </w:rPr>
              <w:t xml:space="preserve">ing how non-clinicians can work </w:t>
            </w:r>
            <w:r w:rsidRPr="005E7895">
              <w:rPr>
                <w:lang w:val="en-AU"/>
              </w:rPr>
              <w:t>productively with</w:t>
            </w:r>
            <w:r>
              <w:rPr>
                <w:lang w:val="en-AU"/>
              </w:rPr>
              <w:t xml:space="preserve"> </w:t>
            </w:r>
            <w:r w:rsidRPr="005E7895">
              <w:rPr>
                <w:lang w:val="en-AU"/>
              </w:rPr>
              <w:t>professionals and influence collective health care choices.</w:t>
            </w:r>
            <w:r>
              <w:rPr>
                <w:lang w:val="en-AU"/>
              </w:rPr>
              <w:t xml:space="preserve"> The authors report that “</w:t>
            </w:r>
            <w:r w:rsidRPr="005E7895">
              <w:rPr>
                <w:b/>
                <w:lang w:val="en-AU"/>
              </w:rPr>
              <w:t>Legitimacy</w:t>
            </w:r>
            <w:r w:rsidRPr="005E7895">
              <w:rPr>
                <w:lang w:val="en-AU"/>
              </w:rPr>
              <w:t xml:space="preserve">, </w:t>
            </w:r>
            <w:r w:rsidRPr="005E7895">
              <w:rPr>
                <w:b/>
                <w:lang w:val="en-AU"/>
              </w:rPr>
              <w:t>credibility</w:t>
            </w:r>
            <w:r w:rsidRPr="005E7895">
              <w:rPr>
                <w:lang w:val="en-AU"/>
              </w:rPr>
              <w:t xml:space="preserve">, and </w:t>
            </w:r>
            <w:r w:rsidRPr="005E7895">
              <w:rPr>
                <w:b/>
                <w:lang w:val="en-AU"/>
              </w:rPr>
              <w:t>power</w:t>
            </w:r>
            <w:r w:rsidRPr="005E7895">
              <w:rPr>
                <w:lang w:val="en-AU"/>
              </w:rPr>
              <w:t xml:space="preserve"> explain the variations in the public members’ influence</w:t>
            </w:r>
            <w:r>
              <w:rPr>
                <w:lang w:val="en-AU"/>
              </w:rPr>
              <w:t>”</w:t>
            </w:r>
            <w:r w:rsidRPr="005E7895">
              <w:rPr>
                <w:lang w:val="en-AU"/>
              </w:rPr>
              <w:t xml:space="preserve">. </w:t>
            </w:r>
            <w:r>
              <w:rPr>
                <w:lang w:val="en-AU"/>
              </w:rPr>
              <w:t>The go on to explain that for these factors:</w:t>
            </w:r>
          </w:p>
          <w:p w:rsidR="005B2845" w:rsidRDefault="005B2845" w:rsidP="009E3324">
            <w:pPr>
              <w:rPr>
                <w:lang w:val="en-AU"/>
              </w:rPr>
            </w:pPr>
            <w:r>
              <w:rPr>
                <w:lang w:val="en-AU"/>
              </w:rPr>
              <w:t>“C</w:t>
            </w:r>
            <w:r w:rsidRPr="005E7895">
              <w:rPr>
                <w:lang w:val="en-AU"/>
              </w:rPr>
              <w:t xml:space="preserve">redibility was supported by their personal experience as patients and caregivers, the provision of a structured preparation meeting, and access to population-based data from their community. </w:t>
            </w:r>
          </w:p>
          <w:p w:rsidR="005B2845" w:rsidRDefault="005B2845" w:rsidP="009E3324">
            <w:pPr>
              <w:rPr>
                <w:lang w:val="en-AU"/>
              </w:rPr>
            </w:pPr>
            <w:r w:rsidRPr="005E7895">
              <w:rPr>
                <w:lang w:val="en-AU"/>
              </w:rPr>
              <w:t>Legitimacy was fostered by the recruitment of a balanced group of participants and by the public members’ opportunities to draw from one another's experience.</w:t>
            </w:r>
          </w:p>
          <w:p w:rsidR="005B2845" w:rsidRDefault="005B2845" w:rsidP="009E3324">
            <w:pPr>
              <w:rPr>
                <w:lang w:val="en-AU"/>
              </w:rPr>
            </w:pPr>
            <w:r w:rsidRPr="005E7895">
              <w:rPr>
                <w:lang w:val="en-AU"/>
              </w:rPr>
              <w:t xml:space="preserve">The combination of small-group deliberations, wider public consultation, and a moderation style focused on effective group process helped level out the power differences between professionals and the public. </w:t>
            </w:r>
          </w:p>
          <w:p w:rsidR="005B2845" w:rsidRPr="0048169F" w:rsidRDefault="005B2845" w:rsidP="009E3324">
            <w:pPr>
              <w:rPr>
                <w:lang w:val="en-AU"/>
              </w:rPr>
            </w:pPr>
            <w:r w:rsidRPr="005E7895">
              <w:rPr>
                <w:lang w:val="en-AU"/>
              </w:rPr>
              <w:t>The engagement of key stakeholders in the intervention design and implementation helped build policy support for public involvement.</w:t>
            </w:r>
            <w:r>
              <w:rPr>
                <w:lang w:val="en-AU"/>
              </w:rPr>
              <w:t>”</w:t>
            </w:r>
          </w:p>
        </w:tc>
      </w:tr>
    </w:tbl>
    <w:p w:rsidR="005B2845" w:rsidRDefault="005B2845" w:rsidP="005B2845">
      <w:pPr>
        <w:rPr>
          <w:i/>
          <w:lang w:val="en-AU"/>
        </w:rPr>
      </w:pPr>
    </w:p>
    <w:p w:rsidR="005B2845" w:rsidRDefault="005B2845" w:rsidP="005B2845">
      <w:pPr>
        <w:rPr>
          <w:i/>
          <w:lang w:val="en-AU"/>
        </w:rPr>
      </w:pPr>
      <w:r w:rsidRPr="00CB3155">
        <w:rPr>
          <w:lang w:val="en-AU"/>
        </w:rPr>
        <w:t>For information on the Commission’s work on</w:t>
      </w:r>
      <w:r>
        <w:rPr>
          <w:lang w:val="en-AU"/>
        </w:rPr>
        <w:t xml:space="preserve"> patient and consumer centred care, see </w:t>
      </w:r>
      <w:hyperlink r:id="rId28" w:history="1">
        <w:r w:rsidRPr="00746D9D">
          <w:rPr>
            <w:rStyle w:val="Hyperlink"/>
            <w:lang w:val="en-AU"/>
          </w:rPr>
          <w:t>http://www.safetyandquality.gov.au/our-work/patient-and-consumer-centred-care/</w:t>
        </w:r>
      </w:hyperlink>
    </w:p>
    <w:p w:rsidR="005B2845" w:rsidRDefault="005B2845" w:rsidP="005B2845">
      <w:pPr>
        <w:rPr>
          <w:i/>
          <w:lang w:val="en-AU"/>
        </w:rPr>
      </w:pPr>
    </w:p>
    <w:p w:rsidR="00500DC0" w:rsidRPr="0048169F" w:rsidRDefault="00500DC0" w:rsidP="00500DC0">
      <w:pPr>
        <w:keepNext/>
        <w:rPr>
          <w:lang w:val="en-AU"/>
        </w:rPr>
      </w:pPr>
      <w:r w:rsidRPr="0048169F">
        <w:rPr>
          <w:i/>
          <w:lang w:val="en-AU"/>
        </w:rPr>
        <w:t xml:space="preserve">BMJ Quality and Safety </w:t>
      </w:r>
      <w:r w:rsidRPr="0048169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C61ACD"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C61ACD" w:rsidRPr="0048169F" w:rsidRDefault="00C61ACD" w:rsidP="00260459">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ACD" w:rsidRPr="0048169F" w:rsidRDefault="00B444A5" w:rsidP="00260459">
            <w:pPr>
              <w:rPr>
                <w:lang w:val="en-AU"/>
              </w:rPr>
            </w:pPr>
            <w:hyperlink r:id="rId29" w:history="1">
              <w:r w:rsidR="00C61ACD" w:rsidRPr="0048169F">
                <w:rPr>
                  <w:rStyle w:val="Hyperlink"/>
                  <w:lang w:val="en-AU"/>
                </w:rPr>
                <w:t>http://qualitysafety.bmj.com/content/early/recent</w:t>
              </w:r>
            </w:hyperlink>
          </w:p>
        </w:tc>
      </w:tr>
      <w:tr w:rsidR="00500DC0"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260459">
            <w:pPr>
              <w:rPr>
                <w:lang w:val="en-AU"/>
              </w:rPr>
            </w:pPr>
            <w:r w:rsidRPr="0048169F">
              <w:rPr>
                <w:i/>
                <w:lang w:val="en-AU"/>
              </w:rPr>
              <w:t>BMJ Quality and Safety</w:t>
            </w:r>
            <w:r w:rsidRPr="0048169F">
              <w:rPr>
                <w:lang w:val="en-AU"/>
              </w:rPr>
              <w:t xml:space="preserve"> has published a number of ‘online first’ articles, including:</w:t>
            </w:r>
          </w:p>
          <w:p w:rsidR="0076378B" w:rsidRDefault="008F6BE3" w:rsidP="008F6BE3">
            <w:pPr>
              <w:pStyle w:val="ListParagraph"/>
              <w:numPr>
                <w:ilvl w:val="0"/>
                <w:numId w:val="14"/>
              </w:numPr>
              <w:rPr>
                <w:lang w:val="en-AU"/>
              </w:rPr>
            </w:pPr>
            <w:r w:rsidRPr="008F6BE3">
              <w:rPr>
                <w:b/>
                <w:lang w:val="en-AU"/>
              </w:rPr>
              <w:t>Identifying patient safety problems during</w:t>
            </w:r>
            <w:r w:rsidRPr="008F6BE3">
              <w:rPr>
                <w:lang w:val="en-AU"/>
              </w:rPr>
              <w:t xml:space="preserve"> </w:t>
            </w:r>
            <w:r w:rsidRPr="008F6BE3">
              <w:rPr>
                <w:b/>
                <w:lang w:val="en-AU"/>
              </w:rPr>
              <w:t>team rounds</w:t>
            </w:r>
            <w:r w:rsidRPr="008F6BE3">
              <w:rPr>
                <w:lang w:val="en-AU"/>
              </w:rPr>
              <w:t xml:space="preserve">: an ethnographic study </w:t>
            </w:r>
            <w:r>
              <w:rPr>
                <w:lang w:val="en-AU"/>
              </w:rPr>
              <w:t>(</w:t>
            </w:r>
            <w:r w:rsidRPr="008F6BE3">
              <w:rPr>
                <w:lang w:val="en-AU"/>
              </w:rPr>
              <w:t>A Reema Lamba, Kelly Linn, Kathlyn E Fletcher</w:t>
            </w:r>
            <w:r>
              <w:rPr>
                <w:lang w:val="en-AU"/>
              </w:rPr>
              <w:t>)</w:t>
            </w:r>
          </w:p>
          <w:p w:rsidR="005B2845" w:rsidRPr="005B2845" w:rsidRDefault="005B2845" w:rsidP="005B2845">
            <w:pPr>
              <w:pStyle w:val="ListParagraph"/>
              <w:numPr>
                <w:ilvl w:val="0"/>
                <w:numId w:val="14"/>
              </w:numPr>
              <w:rPr>
                <w:lang w:val="en-AU"/>
              </w:rPr>
            </w:pPr>
            <w:r w:rsidRPr="005B2845">
              <w:rPr>
                <w:lang w:val="en-AU"/>
              </w:rPr>
              <w:t xml:space="preserve">Editorial: The need for independent evaluations of government-led </w:t>
            </w:r>
            <w:r w:rsidRPr="005B2845">
              <w:rPr>
                <w:b/>
                <w:lang w:val="en-AU"/>
              </w:rPr>
              <w:t>health information technology initiatives</w:t>
            </w:r>
            <w:r w:rsidRPr="005B2845">
              <w:rPr>
                <w:lang w:val="en-AU"/>
              </w:rPr>
              <w:t xml:space="preserve"> (Aziz Sheikh, Rifat Atun, D W Bates</w:t>
            </w:r>
            <w:r>
              <w:rPr>
                <w:lang w:val="en-AU"/>
              </w:rPr>
              <w:t>)</w:t>
            </w:r>
          </w:p>
          <w:p w:rsidR="005B2845" w:rsidRPr="0048169F" w:rsidRDefault="005B2845" w:rsidP="005B2845">
            <w:pPr>
              <w:pStyle w:val="ListParagraph"/>
              <w:numPr>
                <w:ilvl w:val="0"/>
                <w:numId w:val="14"/>
              </w:numPr>
              <w:rPr>
                <w:lang w:val="en-AU"/>
              </w:rPr>
            </w:pPr>
            <w:r w:rsidRPr="005B2845">
              <w:rPr>
                <w:lang w:val="en-AU"/>
              </w:rPr>
              <w:t xml:space="preserve">User-generated quality standards for </w:t>
            </w:r>
            <w:r w:rsidRPr="005B2845">
              <w:rPr>
                <w:b/>
                <w:lang w:val="en-AU"/>
              </w:rPr>
              <w:t>youth mental health in primary care</w:t>
            </w:r>
            <w:r w:rsidRPr="005B2845">
              <w:rPr>
                <w:lang w:val="en-AU"/>
              </w:rPr>
              <w:t xml:space="preserve">: a participatory research design using mixed methods </w:t>
            </w:r>
            <w:r>
              <w:rPr>
                <w:lang w:val="en-AU"/>
              </w:rPr>
              <w:t>(</w:t>
            </w:r>
            <w:r w:rsidRPr="005B2845">
              <w:rPr>
                <w:lang w:val="en-AU"/>
              </w:rPr>
              <w:t>Tanya Graham, Diana Rose, Joanna Murray, Mark Ashworth, André Tylee</w:t>
            </w:r>
            <w:r>
              <w:rPr>
                <w:lang w:val="en-AU"/>
              </w:rPr>
              <w:t>)</w:t>
            </w:r>
          </w:p>
        </w:tc>
      </w:tr>
    </w:tbl>
    <w:p w:rsidR="00683AB6" w:rsidRDefault="00683AB6" w:rsidP="00683AB6">
      <w:pPr>
        <w:keepNext/>
        <w:autoSpaceDE w:val="0"/>
        <w:autoSpaceDN w:val="0"/>
        <w:adjustRightInd w:val="0"/>
        <w:rPr>
          <w:i/>
          <w:lang w:val="en-AU"/>
        </w:rPr>
      </w:pPr>
    </w:p>
    <w:p w:rsidR="00683AB6" w:rsidRPr="0048169F" w:rsidRDefault="00683AB6" w:rsidP="00683AB6">
      <w:pPr>
        <w:keepNext/>
        <w:autoSpaceDE w:val="0"/>
        <w:autoSpaceDN w:val="0"/>
        <w:adjustRightInd w:val="0"/>
        <w:rPr>
          <w:lang w:val="en-AU"/>
        </w:rPr>
      </w:pPr>
      <w:r w:rsidRPr="0048169F">
        <w:rPr>
          <w:i/>
          <w:lang w:val="en-AU"/>
        </w:rPr>
        <w:t>International Journal for Quality in Health Care</w:t>
      </w:r>
      <w:r w:rsidRPr="0048169F">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83AB6" w:rsidRPr="0048169F" w:rsidTr="003D7320">
        <w:tc>
          <w:tcPr>
            <w:tcW w:w="1080" w:type="dxa"/>
            <w:tcBorders>
              <w:top w:val="single" w:sz="4" w:space="0" w:color="auto"/>
              <w:left w:val="single" w:sz="4" w:space="0" w:color="auto"/>
              <w:bottom w:val="single" w:sz="4" w:space="0" w:color="auto"/>
              <w:right w:val="single" w:sz="4" w:space="0" w:color="auto"/>
            </w:tcBorders>
            <w:vAlign w:val="center"/>
          </w:tcPr>
          <w:p w:rsidR="00683AB6" w:rsidRPr="0048169F" w:rsidRDefault="00683AB6" w:rsidP="003D7320">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83AB6" w:rsidRPr="0048169F" w:rsidRDefault="00B444A5" w:rsidP="003D7320">
            <w:pPr>
              <w:rPr>
                <w:lang w:val="en-AU"/>
              </w:rPr>
            </w:pPr>
            <w:hyperlink r:id="rId30" w:history="1">
              <w:r w:rsidR="00683AB6" w:rsidRPr="0048169F">
                <w:rPr>
                  <w:rStyle w:val="Hyperlink"/>
                  <w:lang w:val="en-AU"/>
                </w:rPr>
                <w:t>http://intqhc.oxfordjournals.org/content/early/recent?papetoc</w:t>
              </w:r>
            </w:hyperlink>
          </w:p>
        </w:tc>
      </w:tr>
      <w:tr w:rsidR="00683AB6" w:rsidRPr="0048169F" w:rsidTr="003D7320">
        <w:tc>
          <w:tcPr>
            <w:tcW w:w="1080" w:type="dxa"/>
            <w:tcBorders>
              <w:top w:val="single" w:sz="4" w:space="0" w:color="auto"/>
              <w:left w:val="single" w:sz="4" w:space="0" w:color="auto"/>
              <w:bottom w:val="single" w:sz="4" w:space="0" w:color="auto"/>
              <w:right w:val="single" w:sz="4" w:space="0" w:color="auto"/>
            </w:tcBorders>
            <w:vAlign w:val="center"/>
          </w:tcPr>
          <w:p w:rsidR="00683AB6" w:rsidRPr="0048169F" w:rsidRDefault="00683AB6" w:rsidP="003D7320">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3AB6" w:rsidRPr="0048169F" w:rsidRDefault="00683AB6" w:rsidP="003D7320">
            <w:pPr>
              <w:rPr>
                <w:lang w:val="en-AU"/>
              </w:rPr>
            </w:pPr>
            <w:r w:rsidRPr="0048169F">
              <w:rPr>
                <w:i/>
                <w:lang w:val="en-AU"/>
              </w:rPr>
              <w:t>International Journal for Quality in Health Care</w:t>
            </w:r>
            <w:r w:rsidRPr="0048169F">
              <w:rPr>
                <w:lang w:val="en-AU"/>
              </w:rPr>
              <w:t xml:space="preserve"> has published a number of ‘online first’ articles, including:</w:t>
            </w:r>
          </w:p>
          <w:p w:rsidR="00683AB6" w:rsidRPr="0048169F" w:rsidRDefault="000D54A0" w:rsidP="000D54A0">
            <w:pPr>
              <w:pStyle w:val="ListParagraph"/>
              <w:numPr>
                <w:ilvl w:val="0"/>
                <w:numId w:val="15"/>
              </w:numPr>
              <w:rPr>
                <w:lang w:val="en-AU"/>
              </w:rPr>
            </w:pPr>
            <w:r w:rsidRPr="000D54A0">
              <w:rPr>
                <w:lang w:val="en-AU"/>
              </w:rPr>
              <w:t xml:space="preserve">Towards a measurement instrument for </w:t>
            </w:r>
            <w:r w:rsidRPr="000D54A0">
              <w:rPr>
                <w:b/>
                <w:lang w:val="en-AU"/>
              </w:rPr>
              <w:t>determinants of innovations</w:t>
            </w:r>
            <w:r w:rsidRPr="000D54A0">
              <w:rPr>
                <w:lang w:val="en-AU"/>
              </w:rPr>
              <w:t xml:space="preserve"> (Margot A.H. Fleuren, Theo G.W.M. Paulussen, Paula Van Dommelen, and Stef Van Buuren</w:t>
            </w:r>
            <w:r>
              <w:rPr>
                <w:lang w:val="en-AU"/>
              </w:rPr>
              <w:t>)</w:t>
            </w:r>
          </w:p>
        </w:tc>
      </w:tr>
    </w:tbl>
    <w:p w:rsidR="00683AB6" w:rsidRDefault="00683AB6" w:rsidP="00683AB6">
      <w:pPr>
        <w:rPr>
          <w:i/>
          <w:lang w:val="en-AU"/>
        </w:rPr>
      </w:pPr>
    </w:p>
    <w:p w:rsidR="007952EA" w:rsidRPr="0048169F" w:rsidRDefault="007952EA" w:rsidP="00683AB6">
      <w:pPr>
        <w:rPr>
          <w:i/>
          <w:lang w:val="en-AU"/>
        </w:rPr>
      </w:pPr>
    </w:p>
    <w:p w:rsidR="005B2845" w:rsidRDefault="005B2845">
      <w:pPr>
        <w:rPr>
          <w:b/>
          <w:lang w:val="en-AU"/>
        </w:rPr>
      </w:pPr>
      <w:r>
        <w:rPr>
          <w:b/>
          <w:lang w:val="en-AU"/>
        </w:rPr>
        <w:br w:type="page"/>
      </w:r>
    </w:p>
    <w:p w:rsidR="00DB7D72" w:rsidRDefault="007952EA" w:rsidP="0029518F">
      <w:pPr>
        <w:rPr>
          <w:b/>
          <w:lang w:val="en-AU"/>
        </w:rPr>
      </w:pPr>
      <w:r w:rsidRPr="007952EA">
        <w:rPr>
          <w:b/>
          <w:lang w:val="en-AU"/>
        </w:rPr>
        <w:lastRenderedPageBreak/>
        <w:t>Online resources</w:t>
      </w:r>
    </w:p>
    <w:p w:rsidR="00030683" w:rsidRDefault="00030683" w:rsidP="0029518F">
      <w:pPr>
        <w:rPr>
          <w:b/>
          <w:lang w:val="en-AU"/>
        </w:rPr>
      </w:pPr>
    </w:p>
    <w:p w:rsidR="00030683" w:rsidRPr="00030683" w:rsidRDefault="00030683" w:rsidP="0029518F">
      <w:pPr>
        <w:rPr>
          <w:i/>
          <w:lang w:val="en-AU"/>
        </w:rPr>
      </w:pPr>
      <w:r w:rsidRPr="00030683">
        <w:rPr>
          <w:i/>
          <w:lang w:val="en-AU"/>
        </w:rPr>
        <w:t>Minimum Standards for the Management of Hip Fracture in the Older Person</w:t>
      </w:r>
    </w:p>
    <w:p w:rsidR="00030683" w:rsidRDefault="00B444A5" w:rsidP="0029518F">
      <w:pPr>
        <w:rPr>
          <w:lang w:val="en-AU"/>
        </w:rPr>
      </w:pPr>
      <w:hyperlink r:id="rId31" w:history="1">
        <w:r w:rsidR="00030683" w:rsidRPr="00EC6917">
          <w:rPr>
            <w:rStyle w:val="Hyperlink"/>
            <w:lang w:val="en-AU"/>
          </w:rPr>
          <w:t>http://www.eih.health.nsw.gov.au/initiatives/minimum-standards-for-the-management-of-hip-fracture-in-the-older-person</w:t>
        </w:r>
      </w:hyperlink>
    </w:p>
    <w:p w:rsidR="00030683" w:rsidRPr="00030683" w:rsidRDefault="00030683" w:rsidP="00030683">
      <w:pPr>
        <w:rPr>
          <w:lang w:val="en-AU"/>
        </w:rPr>
      </w:pPr>
      <w:r>
        <w:rPr>
          <w:lang w:val="en-AU"/>
        </w:rPr>
        <w:t xml:space="preserve">The New South Wales </w:t>
      </w:r>
      <w:r w:rsidRPr="00030683">
        <w:rPr>
          <w:lang w:val="en-AU"/>
        </w:rPr>
        <w:t>Agency for Clinical Innovation (ACI) has developed the Minimum Standards for the management of hip fractures to assist hospitals to identify key components of best-practice management to support optimal patient care across NSW.</w:t>
      </w:r>
      <w:r>
        <w:rPr>
          <w:lang w:val="en-AU"/>
        </w:rPr>
        <w:t xml:space="preserve"> The standards are intended </w:t>
      </w:r>
      <w:r w:rsidRPr="00030683">
        <w:rPr>
          <w:lang w:val="en-AU"/>
        </w:rPr>
        <w:t>to improve outcomes for patients with hip fractures requiring surgery and management in NSW.</w:t>
      </w:r>
    </w:p>
    <w:p w:rsidR="00030683" w:rsidRPr="00030683" w:rsidRDefault="00030683" w:rsidP="00030683">
      <w:pPr>
        <w:rPr>
          <w:lang w:val="en-AU"/>
        </w:rPr>
      </w:pPr>
      <w:r w:rsidRPr="00030683">
        <w:rPr>
          <w:lang w:val="en-AU"/>
        </w:rPr>
        <w:t xml:space="preserve">Seven Standards have been identified: </w:t>
      </w:r>
    </w:p>
    <w:p w:rsidR="00030683" w:rsidRPr="00030683" w:rsidRDefault="00030683" w:rsidP="00030683">
      <w:pPr>
        <w:pStyle w:val="ListParagraph"/>
        <w:numPr>
          <w:ilvl w:val="0"/>
          <w:numId w:val="26"/>
        </w:numPr>
        <w:rPr>
          <w:lang w:val="en-AU"/>
        </w:rPr>
      </w:pPr>
      <w:r w:rsidRPr="00030683">
        <w:rPr>
          <w:lang w:val="en-AU"/>
        </w:rPr>
        <w:t>Orthogeriatric clinical management of each patient</w:t>
      </w:r>
    </w:p>
    <w:p w:rsidR="00030683" w:rsidRPr="00030683" w:rsidRDefault="00030683" w:rsidP="00030683">
      <w:pPr>
        <w:pStyle w:val="ListParagraph"/>
        <w:numPr>
          <w:ilvl w:val="0"/>
          <w:numId w:val="26"/>
        </w:numPr>
        <w:rPr>
          <w:lang w:val="en-AU"/>
        </w:rPr>
      </w:pPr>
      <w:r w:rsidRPr="00030683">
        <w:rPr>
          <w:lang w:val="en-AU"/>
        </w:rPr>
        <w:t>Optimal pain management</w:t>
      </w:r>
    </w:p>
    <w:p w:rsidR="00030683" w:rsidRPr="00030683" w:rsidRDefault="00030683" w:rsidP="00030683">
      <w:pPr>
        <w:pStyle w:val="ListParagraph"/>
        <w:numPr>
          <w:ilvl w:val="0"/>
          <w:numId w:val="26"/>
        </w:numPr>
        <w:rPr>
          <w:lang w:val="en-AU"/>
        </w:rPr>
      </w:pPr>
      <w:r w:rsidRPr="00030683">
        <w:rPr>
          <w:lang w:val="en-AU"/>
        </w:rPr>
        <w:t>Surgery within 48 hours and in daytime hours (regardless of inter-hospital transfers)</w:t>
      </w:r>
    </w:p>
    <w:p w:rsidR="00030683" w:rsidRPr="00030683" w:rsidRDefault="00030683" w:rsidP="00030683">
      <w:pPr>
        <w:pStyle w:val="ListParagraph"/>
        <w:numPr>
          <w:ilvl w:val="0"/>
          <w:numId w:val="26"/>
        </w:numPr>
        <w:rPr>
          <w:lang w:val="en-AU"/>
        </w:rPr>
      </w:pPr>
      <w:r w:rsidRPr="00030683">
        <w:rPr>
          <w:lang w:val="en-AU"/>
        </w:rPr>
        <w:t>Surgery is not cancelled</w:t>
      </w:r>
    </w:p>
    <w:p w:rsidR="00030683" w:rsidRPr="00030683" w:rsidRDefault="00030683" w:rsidP="00030683">
      <w:pPr>
        <w:pStyle w:val="ListParagraph"/>
        <w:numPr>
          <w:ilvl w:val="0"/>
          <w:numId w:val="26"/>
        </w:numPr>
        <w:rPr>
          <w:lang w:val="en-AU"/>
        </w:rPr>
      </w:pPr>
      <w:r w:rsidRPr="00030683">
        <w:rPr>
          <w:lang w:val="en-AU"/>
        </w:rPr>
        <w:t>Commencement of mobilisation within 24 hours of surgery</w:t>
      </w:r>
    </w:p>
    <w:p w:rsidR="00030683" w:rsidRPr="00030683" w:rsidRDefault="00030683" w:rsidP="00030683">
      <w:pPr>
        <w:pStyle w:val="ListParagraph"/>
        <w:numPr>
          <w:ilvl w:val="0"/>
          <w:numId w:val="26"/>
        </w:numPr>
        <w:rPr>
          <w:lang w:val="en-AU"/>
        </w:rPr>
      </w:pPr>
      <w:r w:rsidRPr="00030683">
        <w:rPr>
          <w:lang w:val="en-AU"/>
        </w:rPr>
        <w:t>Refracture prevention</w:t>
      </w:r>
    </w:p>
    <w:p w:rsidR="00030683" w:rsidRPr="00030683" w:rsidRDefault="00030683" w:rsidP="00030683">
      <w:pPr>
        <w:pStyle w:val="ListParagraph"/>
        <w:numPr>
          <w:ilvl w:val="0"/>
          <w:numId w:val="26"/>
        </w:numPr>
        <w:rPr>
          <w:lang w:val="en-AU"/>
        </w:rPr>
      </w:pPr>
      <w:r w:rsidRPr="00030683">
        <w:rPr>
          <w:lang w:val="en-AU"/>
        </w:rPr>
        <w:t>Local ownership of data systems/processes to drive improvements in care</w:t>
      </w:r>
      <w:r w:rsidR="00103E27">
        <w:rPr>
          <w:lang w:val="en-AU"/>
        </w:rPr>
        <w:t>.</w:t>
      </w:r>
    </w:p>
    <w:p w:rsidR="007952EA" w:rsidRDefault="007952EA" w:rsidP="0029518F">
      <w:pPr>
        <w:rPr>
          <w:lang w:val="en-AU"/>
        </w:rPr>
      </w:pPr>
    </w:p>
    <w:p w:rsidR="005B02C8" w:rsidRPr="008E3876" w:rsidRDefault="008E3876" w:rsidP="0029518F">
      <w:pPr>
        <w:rPr>
          <w:i/>
          <w:lang w:val="en-AU"/>
        </w:rPr>
      </w:pPr>
      <w:r w:rsidRPr="008E3876">
        <w:rPr>
          <w:i/>
          <w:lang w:val="en-AU"/>
        </w:rPr>
        <w:t>[UK] Evidence for Person Centred Care</w:t>
      </w:r>
    </w:p>
    <w:p w:rsidR="008E3876" w:rsidRDefault="00B444A5" w:rsidP="0029518F">
      <w:pPr>
        <w:rPr>
          <w:lang w:val="en-AU"/>
        </w:rPr>
      </w:pPr>
      <w:hyperlink r:id="rId32" w:history="1">
        <w:r w:rsidR="008E3876" w:rsidRPr="00206EFD">
          <w:rPr>
            <w:rStyle w:val="Hyperlink"/>
            <w:lang w:val="en-AU"/>
          </w:rPr>
          <w:t>http://www.nationalvoices.org.uk/evidence</w:t>
        </w:r>
      </w:hyperlink>
    </w:p>
    <w:p w:rsidR="008E3876" w:rsidRPr="008E3876" w:rsidRDefault="008E3876" w:rsidP="008E3876">
      <w:pPr>
        <w:rPr>
          <w:lang w:val="en-AU"/>
        </w:rPr>
      </w:pPr>
      <w:r>
        <w:rPr>
          <w:lang w:val="en-AU"/>
        </w:rPr>
        <w:t xml:space="preserve">The UK Charity National Voices has released a series of booklets intended to </w:t>
      </w:r>
      <w:r w:rsidRPr="008E3876">
        <w:rPr>
          <w:lang w:val="en-AU"/>
        </w:rPr>
        <w:t>make it easy to access, understand and make use of the best evidence for various approaches to involving people in their health and healthcare.</w:t>
      </w:r>
      <w:r>
        <w:rPr>
          <w:lang w:val="en-AU"/>
        </w:rPr>
        <w:t xml:space="preserve"> The </w:t>
      </w:r>
      <w:r w:rsidRPr="008E3876">
        <w:rPr>
          <w:lang w:val="en-AU"/>
        </w:rPr>
        <w:t>materials are focused on the following five areas:</w:t>
      </w:r>
    </w:p>
    <w:p w:rsidR="008E3876" w:rsidRPr="008E3876" w:rsidRDefault="008E3876" w:rsidP="008E3876">
      <w:pPr>
        <w:pStyle w:val="ListParagraph"/>
        <w:numPr>
          <w:ilvl w:val="0"/>
          <w:numId w:val="15"/>
        </w:numPr>
        <w:rPr>
          <w:lang w:val="en-AU"/>
        </w:rPr>
      </w:pPr>
      <w:r w:rsidRPr="008E3876">
        <w:rPr>
          <w:lang w:val="en-AU"/>
        </w:rPr>
        <w:t xml:space="preserve">supporting self-management </w:t>
      </w:r>
    </w:p>
    <w:p w:rsidR="008E3876" w:rsidRPr="008E3876" w:rsidRDefault="008E3876" w:rsidP="008E3876">
      <w:pPr>
        <w:pStyle w:val="ListParagraph"/>
        <w:numPr>
          <w:ilvl w:val="0"/>
          <w:numId w:val="15"/>
        </w:numPr>
        <w:rPr>
          <w:lang w:val="en-AU"/>
        </w:rPr>
      </w:pPr>
      <w:r w:rsidRPr="008E3876">
        <w:rPr>
          <w:lang w:val="en-AU"/>
        </w:rPr>
        <w:t>supporting shared decision-making</w:t>
      </w:r>
    </w:p>
    <w:p w:rsidR="008E3876" w:rsidRPr="008E3876" w:rsidRDefault="008E3876" w:rsidP="008E3876">
      <w:pPr>
        <w:pStyle w:val="ListParagraph"/>
        <w:numPr>
          <w:ilvl w:val="0"/>
          <w:numId w:val="15"/>
        </w:numPr>
        <w:rPr>
          <w:lang w:val="en-AU"/>
        </w:rPr>
      </w:pPr>
      <w:r w:rsidRPr="008E3876">
        <w:rPr>
          <w:lang w:val="en-AU"/>
        </w:rPr>
        <w:t>enhancing experience of healthcare</w:t>
      </w:r>
    </w:p>
    <w:p w:rsidR="008E3876" w:rsidRPr="008E3876" w:rsidRDefault="008E3876" w:rsidP="008E3876">
      <w:pPr>
        <w:pStyle w:val="ListParagraph"/>
        <w:numPr>
          <w:ilvl w:val="0"/>
          <w:numId w:val="15"/>
        </w:numPr>
        <w:rPr>
          <w:lang w:val="en-AU"/>
        </w:rPr>
      </w:pPr>
      <w:r w:rsidRPr="008E3876">
        <w:rPr>
          <w:lang w:val="en-AU"/>
        </w:rPr>
        <w:t>improving information and understanding, and</w:t>
      </w:r>
    </w:p>
    <w:p w:rsidR="008E3876" w:rsidRPr="008E3876" w:rsidRDefault="008E3876" w:rsidP="008E3876">
      <w:pPr>
        <w:pStyle w:val="ListParagraph"/>
        <w:numPr>
          <w:ilvl w:val="0"/>
          <w:numId w:val="15"/>
        </w:numPr>
        <w:rPr>
          <w:lang w:val="en-AU"/>
        </w:rPr>
      </w:pPr>
      <w:proofErr w:type="gramStart"/>
      <w:r w:rsidRPr="008E3876">
        <w:rPr>
          <w:lang w:val="en-AU"/>
        </w:rPr>
        <w:t>promoting</w:t>
      </w:r>
      <w:proofErr w:type="gramEnd"/>
      <w:r w:rsidRPr="008E3876">
        <w:rPr>
          <w:lang w:val="en-AU"/>
        </w:rPr>
        <w:t xml:space="preserve"> prevention</w:t>
      </w:r>
      <w:r w:rsidR="00103E27">
        <w:rPr>
          <w:lang w:val="en-AU"/>
        </w:rPr>
        <w:t>.</w:t>
      </w:r>
    </w:p>
    <w:p w:rsidR="008E3876" w:rsidRDefault="008E3876" w:rsidP="0029518F">
      <w:pPr>
        <w:rPr>
          <w:lang w:val="en-AU"/>
        </w:rPr>
      </w:pPr>
    </w:p>
    <w:p w:rsidR="00911D4D" w:rsidRPr="00030683" w:rsidRDefault="00911D4D" w:rsidP="0029518F">
      <w:pPr>
        <w:rPr>
          <w:lang w:val="en-AU"/>
        </w:rPr>
      </w:pPr>
      <w:bookmarkStart w:id="1" w:name="_GoBack"/>
      <w:bookmarkEnd w:id="1"/>
    </w:p>
    <w:p w:rsidR="00B160EF" w:rsidRPr="0048169F" w:rsidRDefault="00B160EF" w:rsidP="00B160EF">
      <w:pPr>
        <w:keepNext/>
        <w:pBdr>
          <w:top w:val="single" w:sz="4" w:space="1" w:color="auto"/>
        </w:pBdr>
        <w:rPr>
          <w:b/>
          <w:lang w:val="en-AU"/>
        </w:rPr>
      </w:pPr>
      <w:r w:rsidRPr="0048169F">
        <w:rPr>
          <w:b/>
          <w:lang w:val="en-AU"/>
        </w:rPr>
        <w:t>Disclaimer</w:t>
      </w:r>
    </w:p>
    <w:p w:rsidR="00E41D2F" w:rsidRPr="0048169F" w:rsidRDefault="00B160EF" w:rsidP="00B160EF">
      <w:pPr>
        <w:rPr>
          <w:lang w:val="en-AU"/>
        </w:rPr>
      </w:pPr>
      <w:r w:rsidRPr="0048169F">
        <w:rPr>
          <w:i/>
          <w:lang w:val="en-AU"/>
        </w:rPr>
        <w:t xml:space="preserve">On the </w:t>
      </w:r>
      <w:r w:rsidR="001A66F9" w:rsidRPr="0048169F">
        <w:rPr>
          <w:i/>
          <w:lang w:val="en-AU"/>
        </w:rPr>
        <w:t>R</w:t>
      </w:r>
      <w:r w:rsidRPr="0048169F">
        <w:rPr>
          <w:i/>
          <w:lang w:val="en-AU"/>
        </w:rPr>
        <w:t>adar</w:t>
      </w:r>
      <w:r w:rsidRPr="0048169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48169F" w:rsidSect="005C5ABC">
      <w:footerReference w:type="even" r:id="rId33"/>
      <w:footerReference w:type="default" r:id="rId3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A5" w:rsidRDefault="00B444A5">
      <w:r>
        <w:separator/>
      </w:r>
    </w:p>
  </w:endnote>
  <w:endnote w:type="continuationSeparator" w:id="0">
    <w:p w:rsidR="00B444A5" w:rsidRDefault="00B4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5"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43F2C">
      <w:rPr>
        <w:rStyle w:val="PageNumber"/>
        <w:noProof/>
      </w:rPr>
      <w:t>6</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7952EA">
      <w:t xml:space="preserve"> Issue 179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3F2C">
      <w:rPr>
        <w:rStyle w:val="PageNumber"/>
        <w:noProof/>
      </w:rPr>
      <w:t>5</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7952EA">
      <w:t xml:space="preserve"> Issue 179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A5" w:rsidRDefault="00B444A5">
      <w:r>
        <w:separator/>
      </w:r>
    </w:p>
  </w:footnote>
  <w:footnote w:type="continuationSeparator" w:id="0">
    <w:p w:rsidR="00B444A5" w:rsidRDefault="00B44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5">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3E6E8E"/>
    <w:multiLevelType w:val="hybridMultilevel"/>
    <w:tmpl w:val="3AF65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25"/>
  </w:num>
  <w:num w:numId="16">
    <w:abstractNumId w:val="13"/>
  </w:num>
  <w:num w:numId="17">
    <w:abstractNumId w:val="21"/>
  </w:num>
  <w:num w:numId="18">
    <w:abstractNumId w:val="12"/>
  </w:num>
  <w:num w:numId="19">
    <w:abstractNumId w:val="24"/>
  </w:num>
  <w:num w:numId="20">
    <w:abstractNumId w:val="15"/>
  </w:num>
  <w:num w:numId="21">
    <w:abstractNumId w:val="14"/>
  </w:num>
  <w:num w:numId="22">
    <w:abstractNumId w:val="10"/>
  </w:num>
  <w:num w:numId="23">
    <w:abstractNumId w:val="19"/>
  </w:num>
  <w:num w:numId="24">
    <w:abstractNumId w:val="11"/>
  </w:num>
  <w:num w:numId="25">
    <w:abstractNumId w:val="22"/>
  </w:num>
  <w:num w:numId="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0EA"/>
    <w:rsid w:val="000415BB"/>
    <w:rsid w:val="00041D6C"/>
    <w:rsid w:val="00041DCB"/>
    <w:rsid w:val="0004277C"/>
    <w:rsid w:val="00042E73"/>
    <w:rsid w:val="00042F4F"/>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48B8"/>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B7A"/>
    <w:rsid w:val="00335CD0"/>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AA1"/>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A7C"/>
    <w:rsid w:val="00377D6C"/>
    <w:rsid w:val="00377F26"/>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DE9"/>
    <w:rsid w:val="00581DF6"/>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5D09"/>
    <w:rsid w:val="005A6093"/>
    <w:rsid w:val="005A67D6"/>
    <w:rsid w:val="005A68D5"/>
    <w:rsid w:val="005A6F0D"/>
    <w:rsid w:val="005A6FA8"/>
    <w:rsid w:val="005A706A"/>
    <w:rsid w:val="005A71F0"/>
    <w:rsid w:val="005A72BA"/>
    <w:rsid w:val="005A7426"/>
    <w:rsid w:val="005A78FA"/>
    <w:rsid w:val="005A7F94"/>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7B9"/>
    <w:rsid w:val="006E787A"/>
    <w:rsid w:val="006E7A6D"/>
    <w:rsid w:val="006E7AF8"/>
    <w:rsid w:val="006F016B"/>
    <w:rsid w:val="006F02A7"/>
    <w:rsid w:val="006F059E"/>
    <w:rsid w:val="006F0978"/>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6D8"/>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8B1"/>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A35"/>
    <w:rsid w:val="00A83E18"/>
    <w:rsid w:val="00A83F08"/>
    <w:rsid w:val="00A8405E"/>
    <w:rsid w:val="00A84250"/>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5EA"/>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41A"/>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C0F"/>
    <w:rsid w:val="00BF2C45"/>
    <w:rsid w:val="00BF3B58"/>
    <w:rsid w:val="00BF3CCC"/>
    <w:rsid w:val="00BF3D49"/>
    <w:rsid w:val="00BF3D7B"/>
    <w:rsid w:val="00BF3DCD"/>
    <w:rsid w:val="00BF3F20"/>
    <w:rsid w:val="00BF48FF"/>
    <w:rsid w:val="00BF4D68"/>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7A8"/>
    <w:rsid w:val="00C33AAE"/>
    <w:rsid w:val="00C346B7"/>
    <w:rsid w:val="00C353F5"/>
    <w:rsid w:val="00C354A0"/>
    <w:rsid w:val="00C35747"/>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19"/>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155"/>
    <w:rsid w:val="00CB3214"/>
    <w:rsid w:val="00CB432B"/>
    <w:rsid w:val="00CB4765"/>
    <w:rsid w:val="00CB4CD1"/>
    <w:rsid w:val="00CB5760"/>
    <w:rsid w:val="00CB66FD"/>
    <w:rsid w:val="00CB6B38"/>
    <w:rsid w:val="00CB6B58"/>
    <w:rsid w:val="00CB6DC3"/>
    <w:rsid w:val="00CB6E58"/>
    <w:rsid w:val="00CB70B1"/>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5927"/>
    <w:rsid w:val="00D15EEA"/>
    <w:rsid w:val="00D1602E"/>
    <w:rsid w:val="00D16155"/>
    <w:rsid w:val="00D164A1"/>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9C6"/>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36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D18"/>
    <w:rsid w:val="00DB600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7DC"/>
    <w:rsid w:val="00F71C74"/>
    <w:rsid w:val="00F722C8"/>
    <w:rsid w:val="00F7237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publications/exploring-healthcare-variation-in-australia/" TargetMode="External"/><Relationship Id="rId26" Type="http://schemas.openxmlformats.org/officeDocument/2006/relationships/hyperlink" Target="http://dx.doi.org/10.1186/1471-2296-15-99"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rrconsultation@safetyandquality.gov.au" TargetMode="External"/><Relationship Id="rId25" Type="http://schemas.openxmlformats.org/officeDocument/2006/relationships/hyperlink" Target="http://dx.doi.org/10.5694/mja13.0000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fetyandquality.gov.au/our-work/recognition-and-response-to-clinical-deterioration/training-and-competencies/" TargetMode="External"/><Relationship Id="rId20" Type="http://schemas.openxmlformats.org/officeDocument/2006/relationships/hyperlink" Target="http://www.commonwealthfund.org/publications/fund-reports/2014/jun/mirror-mirror" TargetMode="External"/><Relationship Id="rId29" Type="http://schemas.openxmlformats.org/officeDocument/2006/relationships/hyperlink" Target="http://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clinical-care-standards/" TargetMode="External"/><Relationship Id="rId32" Type="http://schemas.openxmlformats.org/officeDocument/2006/relationships/hyperlink" Target="http://www.nationalvoices.org.uk/evidence"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clinical-care-standards/" TargetMode="External"/><Relationship Id="rId28" Type="http://schemas.openxmlformats.org/officeDocument/2006/relationships/hyperlink" Target="http://www.safetyandquality.gov.au/our-work/patient-and-consumer-centred-care/" TargetMode="External"/><Relationship Id="rId36" Type="http://schemas.openxmlformats.org/officeDocument/2006/relationships/theme" Target="theme/theme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mailto:medicalpracticevariation@safetyandquality.gov.au" TargetMode="External"/><Relationship Id="rId31" Type="http://schemas.openxmlformats.org/officeDocument/2006/relationships/hyperlink" Target="http://www.eih.health.nsw.gov.au/initiatives/minimum-standards-for-the-management-of-hip-fracture-in-the-older-pers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5694/mja12.11175" TargetMode="External"/><Relationship Id="rId27" Type="http://schemas.openxmlformats.org/officeDocument/2006/relationships/hyperlink" Target="http://dx.doi.org/10.1111/1468-0009.12060" TargetMode="External"/><Relationship Id="rId30" Type="http://schemas.openxmlformats.org/officeDocument/2006/relationships/hyperlink" Target="http://intqhc.oxfordjournals.org/content/early/recent?papetoc"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C13CA-0E89-4950-8E1F-CC3FAEE5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6</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15935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21</cp:revision>
  <cp:lastPrinted>2013-06-06T03:47:00Z</cp:lastPrinted>
  <dcterms:created xsi:type="dcterms:W3CDTF">2014-06-15T22:30:00Z</dcterms:created>
  <dcterms:modified xsi:type="dcterms:W3CDTF">2014-06-22T06:36:00Z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