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48169F" w:rsidRDefault="00824B99" w:rsidP="00B608DA">
      <w:pPr>
        <w:pStyle w:val="Heading1"/>
        <w:jc w:val="both"/>
        <w:rPr>
          <w:rFonts w:ascii="Bookman Old Style" w:hAnsi="Bookman Old Style"/>
          <w:sz w:val="48"/>
          <w:szCs w:val="48"/>
          <w:lang w:val="en-AU"/>
        </w:rPr>
      </w:pPr>
      <w:r w:rsidRPr="0048169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638F3B5" wp14:editId="11EA359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48169F">
        <w:rPr>
          <w:rFonts w:ascii="Bookman Old Style" w:hAnsi="Bookman Old Style"/>
          <w:sz w:val="48"/>
          <w:szCs w:val="48"/>
          <w:lang w:val="en-AU"/>
        </w:rPr>
        <w:t>On the Radar</w:t>
      </w:r>
    </w:p>
    <w:p w:rsidR="00B160EF" w:rsidRPr="0048169F" w:rsidRDefault="00715F47" w:rsidP="00B160EF">
      <w:pPr>
        <w:rPr>
          <w:color w:val="000000"/>
          <w:lang w:val="en-AU"/>
        </w:rPr>
      </w:pPr>
      <w:r w:rsidRPr="0048169F">
        <w:rPr>
          <w:color w:val="000000"/>
          <w:lang w:val="en-AU"/>
        </w:rPr>
        <w:t xml:space="preserve">Issue </w:t>
      </w:r>
      <w:r w:rsidR="00ED198B" w:rsidRPr="0048169F">
        <w:rPr>
          <w:color w:val="000000"/>
          <w:lang w:val="en-AU"/>
        </w:rPr>
        <w:t>1</w:t>
      </w:r>
      <w:r w:rsidR="00DB5A06">
        <w:rPr>
          <w:color w:val="000000"/>
          <w:lang w:val="en-AU"/>
        </w:rPr>
        <w:t>82</w:t>
      </w:r>
    </w:p>
    <w:p w:rsidR="000F7901" w:rsidRPr="0048169F" w:rsidRDefault="00DB5A06" w:rsidP="00B160EF">
      <w:pPr>
        <w:rPr>
          <w:lang w:val="en-AU"/>
        </w:rPr>
      </w:pPr>
      <w:r>
        <w:rPr>
          <w:lang w:val="en-AU"/>
        </w:rPr>
        <w:t>14</w:t>
      </w:r>
      <w:r w:rsidR="00C372BE">
        <w:rPr>
          <w:lang w:val="en-AU"/>
        </w:rPr>
        <w:t xml:space="preserve"> July</w:t>
      </w:r>
      <w:r w:rsidR="00E724CB">
        <w:rPr>
          <w:lang w:val="en-AU"/>
        </w:rPr>
        <w:t xml:space="preserve"> </w:t>
      </w:r>
      <w:r w:rsidR="000F7901" w:rsidRPr="0048169F">
        <w:rPr>
          <w:lang w:val="en-AU"/>
        </w:rPr>
        <w:t>2014</w:t>
      </w:r>
    </w:p>
    <w:p w:rsidR="00566895" w:rsidRDefault="00566895" w:rsidP="00B160EF">
      <w:pPr>
        <w:rPr>
          <w:lang w:val="en-AU"/>
        </w:rPr>
      </w:pPr>
    </w:p>
    <w:p w:rsidR="00B160EF" w:rsidRPr="0048169F" w:rsidRDefault="00B160EF" w:rsidP="00B160EF">
      <w:pPr>
        <w:rPr>
          <w:lang w:val="en-AU"/>
        </w:rPr>
      </w:pPr>
      <w:r w:rsidRPr="0048169F">
        <w:rPr>
          <w:i/>
          <w:lang w:val="en-AU"/>
        </w:rPr>
        <w:t>On the Radar</w:t>
      </w:r>
      <w:r w:rsidRPr="0048169F">
        <w:rPr>
          <w:lang w:val="en-AU"/>
        </w:rPr>
        <w:t xml:space="preserve"> is a summary of some of the recent publications in the areas of safety and quality in health care. Inclusion in this document is not an endorsement or recommendation of any publication or provider.</w:t>
      </w:r>
    </w:p>
    <w:p w:rsidR="00B160EF" w:rsidRPr="0048169F" w:rsidRDefault="00B160EF" w:rsidP="00B160EF">
      <w:pPr>
        <w:rPr>
          <w:lang w:val="en-AU"/>
        </w:rPr>
      </w:pPr>
    </w:p>
    <w:p w:rsidR="00B160EF" w:rsidRPr="0048169F" w:rsidRDefault="00B160EF" w:rsidP="00B160EF">
      <w:pPr>
        <w:rPr>
          <w:b/>
          <w:lang w:val="en-AU"/>
        </w:rPr>
      </w:pPr>
      <w:r w:rsidRPr="0048169F">
        <w:rPr>
          <w:lang w:val="en-AU"/>
        </w:rPr>
        <w:t>Access to particular documents may depend on whether they are Open Access or not, and/or your individual or institutional access to subscription sites/services.</w:t>
      </w:r>
      <w:r w:rsidR="00F460A7" w:rsidRPr="0048169F">
        <w:rPr>
          <w:lang w:val="en-AU"/>
        </w:rPr>
        <w:t xml:space="preserve"> Material that may require subscription is included as it is considered relevant.</w:t>
      </w:r>
    </w:p>
    <w:p w:rsidR="00B160EF" w:rsidRPr="0048169F" w:rsidRDefault="00B160EF" w:rsidP="00B160EF">
      <w:pPr>
        <w:rPr>
          <w:lang w:val="en-AU"/>
        </w:rPr>
      </w:pPr>
    </w:p>
    <w:p w:rsidR="00230D83" w:rsidRPr="0048169F" w:rsidRDefault="00B160EF" w:rsidP="0045757F">
      <w:pPr>
        <w:autoSpaceDE w:val="0"/>
        <w:rPr>
          <w:lang w:val="en-AU"/>
        </w:rPr>
      </w:pPr>
      <w:r w:rsidRPr="0048169F">
        <w:rPr>
          <w:i/>
          <w:lang w:val="en-AU"/>
        </w:rPr>
        <w:t>On the Radar</w:t>
      </w:r>
      <w:r w:rsidRPr="0048169F">
        <w:rPr>
          <w:lang w:val="en-AU"/>
        </w:rPr>
        <w:t xml:space="preserve"> is available </w:t>
      </w:r>
      <w:r w:rsidR="003D1E7A" w:rsidRPr="0048169F">
        <w:rPr>
          <w:lang w:val="en-AU"/>
        </w:rPr>
        <w:t xml:space="preserve">online, </w:t>
      </w:r>
      <w:r w:rsidRPr="0048169F">
        <w:rPr>
          <w:lang w:val="en-AU"/>
        </w:rPr>
        <w:t xml:space="preserve">via email or as a PDF document from </w:t>
      </w:r>
      <w:hyperlink r:id="rId10" w:history="1">
        <w:r w:rsidR="00230D83" w:rsidRPr="0048169F">
          <w:rPr>
            <w:rStyle w:val="Hyperlink"/>
            <w:lang w:val="en-AU"/>
          </w:rPr>
          <w:t>http://www.safetyandquality.gov.au/publications-resources/on-the-radar/</w:t>
        </w:r>
      </w:hyperlink>
    </w:p>
    <w:p w:rsidR="0090536C" w:rsidRPr="0048169F" w:rsidRDefault="0090536C" w:rsidP="0045757F">
      <w:pPr>
        <w:autoSpaceDE w:val="0"/>
        <w:rPr>
          <w:lang w:val="en-AU"/>
        </w:rPr>
      </w:pPr>
    </w:p>
    <w:p w:rsidR="00B160EF" w:rsidRPr="0048169F" w:rsidRDefault="00B160EF" w:rsidP="0045757F">
      <w:pPr>
        <w:autoSpaceDE w:val="0"/>
        <w:rPr>
          <w:lang w:val="en-AU"/>
        </w:rPr>
      </w:pPr>
      <w:r w:rsidRPr="0048169F">
        <w:rPr>
          <w:lang w:val="en-AU"/>
        </w:rPr>
        <w:t xml:space="preserve">If you would like to receive </w:t>
      </w:r>
      <w:r w:rsidRPr="0048169F">
        <w:rPr>
          <w:i/>
          <w:lang w:val="en-AU"/>
        </w:rPr>
        <w:t>On the Radar</w:t>
      </w:r>
      <w:r w:rsidRPr="0048169F">
        <w:rPr>
          <w:lang w:val="en-AU"/>
        </w:rPr>
        <w:t xml:space="preserve"> via email</w:t>
      </w:r>
      <w:r w:rsidR="003D7B9E" w:rsidRPr="0048169F">
        <w:rPr>
          <w:lang w:val="en-AU"/>
        </w:rPr>
        <w:t>, you can</w:t>
      </w:r>
      <w:r w:rsidR="00F24F60" w:rsidRPr="0048169F">
        <w:rPr>
          <w:lang w:val="en-AU"/>
        </w:rPr>
        <w:t xml:space="preserve"> subscribe on our website </w:t>
      </w:r>
      <w:hyperlink r:id="rId11" w:history="1">
        <w:r w:rsidR="00F24F60" w:rsidRPr="0048169F">
          <w:rPr>
            <w:rStyle w:val="Hyperlink"/>
            <w:lang w:val="en-AU"/>
          </w:rPr>
          <w:t>http://www.safetyandquality.gov.au/</w:t>
        </w:r>
      </w:hyperlink>
      <w:r w:rsidR="003D7B9E" w:rsidRPr="0048169F">
        <w:rPr>
          <w:lang w:val="en-AU"/>
        </w:rPr>
        <w:t xml:space="preserve"> or by emailing us at </w:t>
      </w:r>
      <w:r w:rsidR="003D7B9E" w:rsidRPr="0048169F">
        <w:rPr>
          <w:rFonts w:ascii="ZWAdobeF" w:hAnsi="ZWAdobeF" w:cs="ZWAdobeF"/>
          <w:sz w:val="2"/>
          <w:szCs w:val="2"/>
          <w:lang w:val="en-AU"/>
        </w:rPr>
        <w:t>H</w:t>
      </w:r>
      <w:hyperlink r:id="rId12"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 xml:space="preserve">. </w:t>
      </w:r>
      <w:r w:rsidR="00E51D23" w:rsidRPr="0048169F">
        <w:rPr>
          <w:lang w:val="en-AU"/>
        </w:rPr>
        <w:br/>
      </w:r>
      <w:r w:rsidR="003D7B9E" w:rsidRPr="0048169F">
        <w:rPr>
          <w:lang w:val="en-AU"/>
        </w:rPr>
        <w:t xml:space="preserve">You can also send feedback and comments to </w:t>
      </w:r>
      <w:r w:rsidR="003D7B9E" w:rsidRPr="0048169F">
        <w:rPr>
          <w:rFonts w:ascii="ZWAdobeF" w:hAnsi="ZWAdobeF" w:cs="ZWAdobeF"/>
          <w:sz w:val="2"/>
          <w:szCs w:val="2"/>
          <w:lang w:val="en-AU"/>
        </w:rPr>
        <w:t>H</w:t>
      </w:r>
      <w:hyperlink r:id="rId13"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w:t>
      </w:r>
    </w:p>
    <w:p w:rsidR="00B160EF" w:rsidRPr="0048169F" w:rsidRDefault="00B160EF" w:rsidP="00837FC4">
      <w:pPr>
        <w:tabs>
          <w:tab w:val="left" w:pos="7773"/>
        </w:tabs>
        <w:rPr>
          <w:lang w:val="en-AU"/>
        </w:rPr>
      </w:pPr>
    </w:p>
    <w:p w:rsidR="00837FC4" w:rsidRPr="0048169F" w:rsidRDefault="00B160EF" w:rsidP="004554DB">
      <w:pPr>
        <w:autoSpaceDE w:val="0"/>
        <w:rPr>
          <w:lang w:val="en-AU"/>
        </w:rPr>
      </w:pPr>
      <w:bookmarkStart w:id="0" w:name="OLE_LINK1"/>
      <w:r w:rsidRPr="0048169F">
        <w:rPr>
          <w:lang w:val="en-AU"/>
        </w:rPr>
        <w:t xml:space="preserve">For information about the Commission and its programs and publications, please visit </w:t>
      </w:r>
      <w:hyperlink r:id="rId14" w:history="1">
        <w:r w:rsidR="00837FC4" w:rsidRPr="0048169F">
          <w:rPr>
            <w:rStyle w:val="Hyperlink"/>
            <w:lang w:val="en-AU"/>
          </w:rPr>
          <w:t>http://www.safetyandquality.gov.au</w:t>
        </w:r>
      </w:hyperlink>
    </w:p>
    <w:p w:rsidR="00210235" w:rsidRPr="0048169F" w:rsidRDefault="004554DB" w:rsidP="004554DB">
      <w:pPr>
        <w:autoSpaceDE w:val="0"/>
        <w:rPr>
          <w:lang w:val="en-AU"/>
        </w:rPr>
      </w:pPr>
      <w:r w:rsidRPr="0048169F">
        <w:rPr>
          <w:lang w:val="en-AU"/>
        </w:rPr>
        <w:t>You can also follow us on Twitter @ACSQHC.</w:t>
      </w:r>
    </w:p>
    <w:p w:rsidR="00DD32E9" w:rsidRPr="0048169F" w:rsidRDefault="00DD32E9" w:rsidP="004554DB">
      <w:pPr>
        <w:autoSpaceDE w:val="0"/>
        <w:rPr>
          <w:lang w:val="en-AU"/>
        </w:rPr>
      </w:pPr>
    </w:p>
    <w:p w:rsidR="00210235" w:rsidRPr="0048169F" w:rsidRDefault="00210235" w:rsidP="00210235">
      <w:pPr>
        <w:keepNext/>
        <w:pBdr>
          <w:top w:val="single" w:sz="4" w:space="1" w:color="auto"/>
        </w:pBdr>
        <w:rPr>
          <w:b/>
          <w:lang w:val="en-AU"/>
        </w:rPr>
      </w:pPr>
      <w:r w:rsidRPr="0048169F">
        <w:rPr>
          <w:b/>
          <w:lang w:val="en-AU"/>
        </w:rPr>
        <w:t>On the Radar</w:t>
      </w:r>
    </w:p>
    <w:p w:rsidR="00340157" w:rsidRPr="0048169F" w:rsidRDefault="00340157" w:rsidP="00210235">
      <w:pPr>
        <w:keepNext/>
        <w:pBdr>
          <w:top w:val="single" w:sz="4" w:space="1" w:color="auto"/>
        </w:pBdr>
        <w:rPr>
          <w:bCs/>
          <w:lang w:val="en-AU"/>
        </w:rPr>
      </w:pPr>
      <w:r w:rsidRPr="0048169F">
        <w:rPr>
          <w:bCs/>
          <w:lang w:val="en-AU"/>
        </w:rPr>
        <w:t xml:space="preserve">Editor: </w:t>
      </w:r>
      <w:r w:rsidR="00C8085B" w:rsidRPr="0048169F">
        <w:rPr>
          <w:bCs/>
          <w:lang w:val="en-AU"/>
        </w:rPr>
        <w:t xml:space="preserve">Dr </w:t>
      </w:r>
      <w:r w:rsidRPr="0048169F">
        <w:rPr>
          <w:bCs/>
          <w:lang w:val="en-AU"/>
        </w:rPr>
        <w:t xml:space="preserve">Niall Johnson </w:t>
      </w:r>
      <w:hyperlink r:id="rId15" w:history="1">
        <w:r w:rsidRPr="0048169F">
          <w:rPr>
            <w:rStyle w:val="Hyperlink"/>
            <w:bCs/>
            <w:lang w:val="en-AU"/>
          </w:rPr>
          <w:t>niall.johnson@safetyandquality.gov.au</w:t>
        </w:r>
      </w:hyperlink>
    </w:p>
    <w:p w:rsidR="00210235" w:rsidRPr="0048169F" w:rsidRDefault="00210235" w:rsidP="00210235">
      <w:pPr>
        <w:keepNext/>
        <w:pBdr>
          <w:top w:val="single" w:sz="4" w:space="1" w:color="auto"/>
        </w:pBdr>
        <w:rPr>
          <w:bCs/>
          <w:lang w:val="en-AU"/>
        </w:rPr>
      </w:pPr>
      <w:r w:rsidRPr="0048169F">
        <w:rPr>
          <w:bCs/>
          <w:lang w:val="en-AU"/>
        </w:rPr>
        <w:t xml:space="preserve">Contributors: </w:t>
      </w:r>
      <w:r w:rsidR="0056339A" w:rsidRPr="0048169F">
        <w:rPr>
          <w:bCs/>
          <w:lang w:val="en-AU"/>
        </w:rPr>
        <w:t>Niall Johnson</w:t>
      </w:r>
    </w:p>
    <w:bookmarkEnd w:id="0"/>
    <w:p w:rsidR="009A35BE" w:rsidRPr="0048169F" w:rsidRDefault="009A35BE" w:rsidP="00A60B5B">
      <w:pPr>
        <w:rPr>
          <w:shd w:val="clear" w:color="auto" w:fill="FFFFFF"/>
          <w:lang w:val="en-AU"/>
        </w:rPr>
      </w:pPr>
    </w:p>
    <w:p w:rsidR="0089224B" w:rsidRPr="0089224B" w:rsidRDefault="0089224B" w:rsidP="00751E8F">
      <w:pPr>
        <w:rPr>
          <w:b/>
          <w:lang w:val="en-AU"/>
        </w:rPr>
      </w:pPr>
      <w:r w:rsidRPr="0089224B">
        <w:rPr>
          <w:b/>
          <w:lang w:val="en-AU"/>
        </w:rPr>
        <w:t>Consultation on Exploring Healthcare Variation in Australia: Analyses Resulting from an OECD Study</w:t>
      </w:r>
    </w:p>
    <w:p w:rsidR="0089224B" w:rsidRPr="0089224B" w:rsidRDefault="0089224B" w:rsidP="0089224B">
      <w:pPr>
        <w:rPr>
          <w:i/>
          <w:lang w:val="en-AU"/>
        </w:rPr>
      </w:pPr>
      <w:r w:rsidRPr="0089224B">
        <w:rPr>
          <w:i/>
          <w:lang w:val="en-AU"/>
        </w:rPr>
        <w:t>Consultation now open</w:t>
      </w:r>
    </w:p>
    <w:p w:rsidR="0089224B" w:rsidRDefault="0089224B" w:rsidP="0089224B">
      <w:pPr>
        <w:rPr>
          <w:lang w:val="en-AU"/>
        </w:rPr>
      </w:pPr>
    </w:p>
    <w:p w:rsidR="0089224B" w:rsidRDefault="0089224B" w:rsidP="0089224B">
      <w:pPr>
        <w:rPr>
          <w:lang w:val="en-AU"/>
        </w:rPr>
      </w:pPr>
      <w:r w:rsidRPr="0089224B">
        <w:rPr>
          <w:lang w:val="en-AU"/>
        </w:rPr>
        <w:t>The Australian results of an Organisation for Economic Co-operation and Development (OECD) study on healthcare variation were published in th</w:t>
      </w:r>
      <w:r>
        <w:rPr>
          <w:lang w:val="en-AU"/>
        </w:rPr>
        <w:t>e</w:t>
      </w:r>
      <w:r w:rsidRPr="0089224B">
        <w:rPr>
          <w:lang w:val="en-AU"/>
        </w:rPr>
        <w:t xml:space="preserve"> </w:t>
      </w:r>
      <w:r w:rsidRPr="0089224B">
        <w:rPr>
          <w:i/>
          <w:lang w:val="en-AU"/>
        </w:rPr>
        <w:t>Exploring Healthcare Variation in Australia: Analyses Resulting from an OECD Study</w:t>
      </w:r>
      <w:r>
        <w:rPr>
          <w:lang w:val="en-AU"/>
        </w:rPr>
        <w:t xml:space="preserve"> </w:t>
      </w:r>
      <w:r w:rsidRPr="0089224B">
        <w:rPr>
          <w:lang w:val="en-AU"/>
        </w:rPr>
        <w:t>discussion paper authored by the Australian Commission on Safety and Quality in Health Care (the Commission) and the Australian Institute of Health and Welfare.</w:t>
      </w:r>
      <w:r>
        <w:rPr>
          <w:lang w:val="en-AU"/>
        </w:rPr>
        <w:t xml:space="preserve"> The paper is available at </w:t>
      </w:r>
      <w:hyperlink r:id="rId16" w:history="1">
        <w:r w:rsidRPr="00EC6917">
          <w:rPr>
            <w:rStyle w:val="Hyperlink"/>
            <w:lang w:val="en-AU"/>
          </w:rPr>
          <w:t>http://www.safetyandquality.gov.au/publications/exploring-healthcare-variation-in-australia/</w:t>
        </w:r>
      </w:hyperlink>
    </w:p>
    <w:p w:rsidR="0089224B" w:rsidRDefault="0089224B" w:rsidP="0089224B">
      <w:pPr>
        <w:rPr>
          <w:lang w:val="en-AU"/>
        </w:rPr>
      </w:pPr>
    </w:p>
    <w:p w:rsidR="0089224B" w:rsidRPr="0089224B" w:rsidRDefault="0089224B" w:rsidP="0089224B">
      <w:pPr>
        <w:rPr>
          <w:lang w:val="en-AU"/>
        </w:rPr>
      </w:pPr>
      <w:r w:rsidRPr="0089224B">
        <w:rPr>
          <w:lang w:val="en-AU"/>
        </w:rPr>
        <w:t>The paper examines variation in the rates of several common procedures, selected by the OECD, including: knee surgery (knee arthroscopy and knee replacement); cardiac procedures (cardiac catheterisation, percutaneous coronary interventions and coronary artery bypass grafting; caesarean section; and hysterectomy. The procedures measured were undertaken in hospitals and day procedure centres, both public and private, during 2010-11. Variation was measured according to the Medicare Local area where patients lived, but the approach can be applied to any desired geographic scale.</w:t>
      </w:r>
    </w:p>
    <w:p w:rsidR="0089224B" w:rsidRPr="0089224B" w:rsidRDefault="0089224B" w:rsidP="0089224B">
      <w:pPr>
        <w:rPr>
          <w:lang w:val="en-AU"/>
        </w:rPr>
      </w:pPr>
    </w:p>
    <w:p w:rsidR="0089224B" w:rsidRDefault="0089224B" w:rsidP="0089224B">
      <w:pPr>
        <w:rPr>
          <w:lang w:val="en-AU"/>
        </w:rPr>
      </w:pPr>
      <w:r w:rsidRPr="0089224B">
        <w:rPr>
          <w:lang w:val="en-AU"/>
        </w:rPr>
        <w:lastRenderedPageBreak/>
        <w:t xml:space="preserve">The Commission is inviting comment and feedback on the paper. Consultation is open until </w:t>
      </w:r>
      <w:r w:rsidRPr="00DB5A06">
        <w:rPr>
          <w:b/>
          <w:lang w:val="en-AU"/>
        </w:rPr>
        <w:t>20 July 2014</w:t>
      </w:r>
      <w:r w:rsidRPr="0089224B">
        <w:rPr>
          <w:lang w:val="en-AU"/>
        </w:rPr>
        <w:t>. Details about how to make a submis</w:t>
      </w:r>
      <w:r>
        <w:rPr>
          <w:lang w:val="en-AU"/>
        </w:rPr>
        <w:t>sion are included in the paper.</w:t>
      </w:r>
    </w:p>
    <w:p w:rsidR="0089224B" w:rsidRPr="0089224B" w:rsidRDefault="0089224B" w:rsidP="0089224B">
      <w:pPr>
        <w:rPr>
          <w:lang w:val="en-AU"/>
        </w:rPr>
      </w:pPr>
    </w:p>
    <w:p w:rsidR="00B608DA" w:rsidRDefault="0089224B" w:rsidP="0089224B">
      <w:pPr>
        <w:rPr>
          <w:lang w:val="en-AU"/>
        </w:rPr>
      </w:pPr>
      <w:r w:rsidRPr="0089224B">
        <w:rPr>
          <w:lang w:val="en-AU"/>
        </w:rPr>
        <w:t xml:space="preserve">The contact person for this consultation is Mr Luke Slawomirski, Program Manager, Implementation Support. Mr Slawomirski can be contacted on (02) 9126 3600 or via email at </w:t>
      </w:r>
      <w:hyperlink r:id="rId17" w:history="1">
        <w:r w:rsidRPr="00EC6917">
          <w:rPr>
            <w:rStyle w:val="Hyperlink"/>
            <w:lang w:val="en-AU"/>
          </w:rPr>
          <w:t>medicalpracticevariation@safetyandquality.gov.au</w:t>
        </w:r>
      </w:hyperlink>
    </w:p>
    <w:p w:rsidR="00672982" w:rsidRDefault="00672982" w:rsidP="00F87778">
      <w:pPr>
        <w:keepNext/>
        <w:rPr>
          <w:b/>
          <w:lang w:val="en-AU"/>
        </w:rPr>
      </w:pPr>
    </w:p>
    <w:p w:rsidR="00C372BE" w:rsidRDefault="00C372BE" w:rsidP="00F87778">
      <w:pPr>
        <w:keepNext/>
        <w:rPr>
          <w:b/>
          <w:lang w:val="en-AU"/>
        </w:rPr>
      </w:pPr>
      <w:r>
        <w:rPr>
          <w:b/>
          <w:lang w:val="en-AU"/>
        </w:rPr>
        <w:t>Reports</w:t>
      </w:r>
    </w:p>
    <w:p w:rsidR="00C372BE" w:rsidRDefault="00C372BE" w:rsidP="00C372BE">
      <w:pPr>
        <w:keepNext/>
        <w:keepLines/>
        <w:autoSpaceDE w:val="0"/>
        <w:autoSpaceDN w:val="0"/>
        <w:adjustRightInd w:val="0"/>
        <w:rPr>
          <w:lang w:val="en-AU"/>
        </w:rPr>
      </w:pPr>
    </w:p>
    <w:p w:rsidR="00AD1101" w:rsidRPr="00155362" w:rsidRDefault="009A7CFF" w:rsidP="00AD1101">
      <w:pPr>
        <w:keepNext/>
        <w:keepLines/>
        <w:autoSpaceDE w:val="0"/>
        <w:autoSpaceDN w:val="0"/>
        <w:adjustRightInd w:val="0"/>
        <w:rPr>
          <w:i/>
          <w:lang w:val="en-AU"/>
        </w:rPr>
      </w:pPr>
      <w:r w:rsidRPr="00155362">
        <w:rPr>
          <w:i/>
          <w:lang w:val="en-AU"/>
        </w:rPr>
        <w:t>2013 Cost Trends Report</w:t>
      </w:r>
    </w:p>
    <w:p w:rsidR="00155362" w:rsidRDefault="00155362" w:rsidP="00AD1101">
      <w:pPr>
        <w:keepNext/>
        <w:keepLines/>
        <w:autoSpaceDE w:val="0"/>
        <w:autoSpaceDN w:val="0"/>
        <w:adjustRightInd w:val="0"/>
        <w:rPr>
          <w:lang w:val="en-AU"/>
        </w:rPr>
      </w:pPr>
      <w:r w:rsidRPr="00155362">
        <w:rPr>
          <w:lang w:val="en-AU"/>
        </w:rPr>
        <w:t>Health Policy Commission</w:t>
      </w:r>
    </w:p>
    <w:p w:rsidR="009A7CFF" w:rsidRDefault="009A7CFF" w:rsidP="00AD1101">
      <w:pPr>
        <w:keepNext/>
        <w:keepLines/>
        <w:autoSpaceDE w:val="0"/>
        <w:autoSpaceDN w:val="0"/>
        <w:adjustRightInd w:val="0"/>
        <w:rPr>
          <w:lang w:val="en-AU"/>
        </w:rPr>
      </w:pPr>
      <w:r>
        <w:rPr>
          <w:lang w:val="en-AU"/>
        </w:rPr>
        <w:t>Boston, MA: Health Policy Commission; 2014</w:t>
      </w:r>
    </w:p>
    <w:tbl>
      <w:tblPr>
        <w:tblStyle w:val="TableGrid"/>
        <w:tblW w:w="0" w:type="auto"/>
        <w:tblInd w:w="288" w:type="dxa"/>
        <w:tblLayout w:type="fixed"/>
        <w:tblLook w:val="01E0" w:firstRow="1" w:lastRow="1" w:firstColumn="1" w:lastColumn="1" w:noHBand="0" w:noVBand="0"/>
      </w:tblPr>
      <w:tblGrid>
        <w:gridCol w:w="1080"/>
        <w:gridCol w:w="8280"/>
      </w:tblGrid>
      <w:tr w:rsidR="00AD1101" w:rsidRPr="0048169F" w:rsidTr="00C042C2">
        <w:tc>
          <w:tcPr>
            <w:tcW w:w="1080" w:type="dxa"/>
            <w:tcBorders>
              <w:top w:val="single" w:sz="4" w:space="0" w:color="auto"/>
              <w:left w:val="single" w:sz="4" w:space="0" w:color="auto"/>
              <w:bottom w:val="single" w:sz="4" w:space="0" w:color="auto"/>
              <w:right w:val="single" w:sz="4" w:space="0" w:color="auto"/>
            </w:tcBorders>
            <w:vAlign w:val="center"/>
          </w:tcPr>
          <w:p w:rsidR="00AD1101" w:rsidRPr="0048169F" w:rsidRDefault="00AD1101" w:rsidP="00C042C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1101" w:rsidRPr="0048169F" w:rsidRDefault="002C27EF" w:rsidP="00C042C2">
            <w:pPr>
              <w:rPr>
                <w:lang w:val="en-AU"/>
              </w:rPr>
            </w:pPr>
            <w:hyperlink r:id="rId18" w:history="1">
              <w:r w:rsidR="009A7E19" w:rsidRPr="00ED46ED">
                <w:rPr>
                  <w:rStyle w:val="Hyperlink"/>
                  <w:lang w:val="en-AU"/>
                </w:rPr>
                <w:t>http://www.mass.gov/anf/docs/hpc/2013-cost-trends-report-full-report.pdf</w:t>
              </w:r>
            </w:hyperlink>
            <w:r w:rsidR="009A7E19">
              <w:rPr>
                <w:lang w:val="en-AU"/>
              </w:rPr>
              <w:t xml:space="preserve"> </w:t>
            </w:r>
          </w:p>
        </w:tc>
      </w:tr>
      <w:tr w:rsidR="00AD1101" w:rsidRPr="0048169F" w:rsidTr="00C042C2">
        <w:tc>
          <w:tcPr>
            <w:tcW w:w="1080" w:type="dxa"/>
            <w:tcBorders>
              <w:top w:val="single" w:sz="4" w:space="0" w:color="auto"/>
              <w:left w:val="single" w:sz="4" w:space="0" w:color="auto"/>
              <w:bottom w:val="single" w:sz="4" w:space="0" w:color="auto"/>
              <w:right w:val="single" w:sz="4" w:space="0" w:color="auto"/>
            </w:tcBorders>
            <w:vAlign w:val="center"/>
          </w:tcPr>
          <w:p w:rsidR="00AD1101" w:rsidRPr="0048169F" w:rsidRDefault="00AD1101" w:rsidP="00C042C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1101" w:rsidRDefault="009A7E19" w:rsidP="00AD1101">
            <w:pPr>
              <w:rPr>
                <w:lang w:val="en-AU"/>
              </w:rPr>
            </w:pPr>
            <w:r>
              <w:rPr>
                <w:lang w:val="en-AU"/>
              </w:rPr>
              <w:t>In this</w:t>
            </w:r>
            <w:r w:rsidR="00AD1101">
              <w:rPr>
                <w:lang w:val="en-AU"/>
              </w:rPr>
              <w:t xml:space="preserve"> </w:t>
            </w:r>
            <w:r>
              <w:rPr>
                <w:lang w:val="en-AU"/>
              </w:rPr>
              <w:t xml:space="preserve">report from the </w:t>
            </w:r>
            <w:r w:rsidR="00AD1101">
              <w:rPr>
                <w:lang w:val="en-AU"/>
              </w:rPr>
              <w:t>Massachusetts</w:t>
            </w:r>
            <w:r>
              <w:rPr>
                <w:lang w:val="en-AU"/>
              </w:rPr>
              <w:t xml:space="preserve"> Health Policy Commission </w:t>
            </w:r>
            <w:r w:rsidR="00AD1101">
              <w:rPr>
                <w:lang w:val="en-AU"/>
              </w:rPr>
              <w:t>there is a focus on cost and value of care. One of the key aspects described is the identification of three ‘cost drivers’: hospital operating expenses, wasteful spending and high-cost patients.</w:t>
            </w:r>
          </w:p>
          <w:p w:rsidR="00AD1101" w:rsidRDefault="00AD1101" w:rsidP="00AD1101">
            <w:pPr>
              <w:rPr>
                <w:lang w:val="en-AU"/>
              </w:rPr>
            </w:pPr>
            <w:r>
              <w:rPr>
                <w:lang w:val="en-AU"/>
              </w:rPr>
              <w:t xml:space="preserve">The report notes that hospital operating expenses display a degree of divergence. The question of waste and inefficiencies has generated much interest. This report estimates that </w:t>
            </w:r>
            <w:r w:rsidRPr="00AD1101">
              <w:rPr>
                <w:b/>
                <w:lang w:val="en-AU"/>
              </w:rPr>
              <w:t>21 to 39 percent of health care expenditures</w:t>
            </w:r>
            <w:r>
              <w:rPr>
                <w:lang w:val="en-AU"/>
              </w:rPr>
              <w:t xml:space="preserve"> in Massachusetts could be considered </w:t>
            </w:r>
            <w:r w:rsidRPr="00AD1101">
              <w:rPr>
                <w:b/>
                <w:lang w:val="en-AU"/>
              </w:rPr>
              <w:t>wasteful</w:t>
            </w:r>
            <w:r>
              <w:rPr>
                <w:lang w:val="en-AU"/>
              </w:rPr>
              <w:t>. These occur in areas such as preventable readmissions, unnecessary emergency department visits, healthcare associated infections, and inappropriate care.</w:t>
            </w:r>
          </w:p>
          <w:p w:rsidR="00AD1101" w:rsidRPr="00DB5A06" w:rsidRDefault="00AD1101" w:rsidP="00AD1101">
            <w:pPr>
              <w:rPr>
                <w:lang w:val="en-AU"/>
              </w:rPr>
            </w:pPr>
            <w:r>
              <w:rPr>
                <w:lang w:val="en-AU"/>
              </w:rPr>
              <w:t>The report notes that a small proportion of patients generate a significant proportion of expenditure with “</w:t>
            </w:r>
            <w:r w:rsidRPr="00AD1101">
              <w:rPr>
                <w:b/>
                <w:lang w:val="en-AU"/>
              </w:rPr>
              <w:t>five percent of patients accounting for nearly half of all spending</w:t>
            </w:r>
            <w:r>
              <w:rPr>
                <w:lang w:val="en-AU"/>
              </w:rPr>
              <w:t xml:space="preserve"> among the [US] Medicare and commercial populations”</w:t>
            </w:r>
            <w:r w:rsidR="009A7E19">
              <w:rPr>
                <w:lang w:val="en-AU"/>
              </w:rPr>
              <w:t>.</w:t>
            </w:r>
          </w:p>
        </w:tc>
      </w:tr>
    </w:tbl>
    <w:p w:rsidR="00AD1101" w:rsidRDefault="00AD1101" w:rsidP="00AD1101">
      <w:pPr>
        <w:keepNext/>
        <w:keepLines/>
        <w:autoSpaceDE w:val="0"/>
        <w:autoSpaceDN w:val="0"/>
        <w:adjustRightInd w:val="0"/>
        <w:rPr>
          <w:i/>
          <w:lang w:val="en-AU"/>
        </w:rPr>
      </w:pPr>
    </w:p>
    <w:p w:rsidR="00AD1101" w:rsidRPr="005B49F0" w:rsidRDefault="00AD1101" w:rsidP="00AD1101">
      <w:pPr>
        <w:keepNext/>
        <w:keepLines/>
        <w:autoSpaceDE w:val="0"/>
        <w:autoSpaceDN w:val="0"/>
        <w:adjustRightInd w:val="0"/>
        <w:rPr>
          <w:i/>
          <w:lang w:val="en-AU"/>
        </w:rPr>
      </w:pPr>
      <w:r w:rsidRPr="005B49F0">
        <w:rPr>
          <w:i/>
          <w:lang w:val="en-AU"/>
        </w:rPr>
        <w:t>Navigating the gap between volume and value: Assessing the financial impact of proposed heath care initiatives and reform-related changes</w:t>
      </w:r>
    </w:p>
    <w:p w:rsidR="00AD1101" w:rsidRPr="0048169F" w:rsidRDefault="00AD1101" w:rsidP="00AD1101">
      <w:pPr>
        <w:keepNext/>
        <w:keepLines/>
        <w:autoSpaceDE w:val="0"/>
        <w:autoSpaceDN w:val="0"/>
        <w:adjustRightInd w:val="0"/>
        <w:rPr>
          <w:lang w:val="en-AU"/>
        </w:rPr>
      </w:pPr>
      <w:r w:rsidRPr="005B49F0">
        <w:rPr>
          <w:lang w:val="en-AU"/>
        </w:rPr>
        <w:t>Chicago, IL: Health Research &amp; Educational Trust and Kaufman, Hall &amp; Associates, Inc.; 2014..</w:t>
      </w:r>
    </w:p>
    <w:tbl>
      <w:tblPr>
        <w:tblStyle w:val="TableGrid"/>
        <w:tblW w:w="0" w:type="auto"/>
        <w:tblInd w:w="288" w:type="dxa"/>
        <w:tblLayout w:type="fixed"/>
        <w:tblLook w:val="01E0" w:firstRow="1" w:lastRow="1" w:firstColumn="1" w:lastColumn="1" w:noHBand="0" w:noVBand="0"/>
      </w:tblPr>
      <w:tblGrid>
        <w:gridCol w:w="1080"/>
        <w:gridCol w:w="8280"/>
      </w:tblGrid>
      <w:tr w:rsidR="00AD1101" w:rsidRPr="0048169F" w:rsidTr="00C042C2">
        <w:tc>
          <w:tcPr>
            <w:tcW w:w="1080" w:type="dxa"/>
            <w:tcBorders>
              <w:top w:val="single" w:sz="4" w:space="0" w:color="auto"/>
              <w:left w:val="single" w:sz="4" w:space="0" w:color="auto"/>
              <w:bottom w:val="single" w:sz="4" w:space="0" w:color="auto"/>
              <w:right w:val="single" w:sz="4" w:space="0" w:color="auto"/>
            </w:tcBorders>
            <w:vAlign w:val="center"/>
          </w:tcPr>
          <w:p w:rsidR="00AD1101" w:rsidRPr="0048169F" w:rsidRDefault="00AD1101" w:rsidP="00C042C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1101" w:rsidRPr="0048169F" w:rsidRDefault="002C27EF" w:rsidP="00C042C2">
            <w:pPr>
              <w:rPr>
                <w:lang w:val="en-AU"/>
              </w:rPr>
            </w:pPr>
            <w:hyperlink r:id="rId19" w:history="1">
              <w:r w:rsidR="00AD1101" w:rsidRPr="008551B2">
                <w:rPr>
                  <w:rStyle w:val="Hyperlink"/>
                  <w:lang w:val="en-AU"/>
                </w:rPr>
                <w:t>http://www.hpoe.org/resources/hpoehretaha-guides/1637</w:t>
              </w:r>
            </w:hyperlink>
          </w:p>
        </w:tc>
      </w:tr>
      <w:tr w:rsidR="00AD1101" w:rsidRPr="0048169F" w:rsidTr="00C042C2">
        <w:tc>
          <w:tcPr>
            <w:tcW w:w="1080" w:type="dxa"/>
            <w:tcBorders>
              <w:top w:val="single" w:sz="4" w:space="0" w:color="auto"/>
              <w:left w:val="single" w:sz="4" w:space="0" w:color="auto"/>
              <w:bottom w:val="single" w:sz="4" w:space="0" w:color="auto"/>
              <w:right w:val="single" w:sz="4" w:space="0" w:color="auto"/>
            </w:tcBorders>
            <w:vAlign w:val="center"/>
          </w:tcPr>
          <w:p w:rsidR="00AD1101" w:rsidRPr="0048169F" w:rsidRDefault="00AD1101" w:rsidP="00C042C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1101" w:rsidRPr="00DB5A06" w:rsidRDefault="00AD1101" w:rsidP="00C042C2">
            <w:pPr>
              <w:rPr>
                <w:lang w:val="en-AU"/>
              </w:rPr>
            </w:pPr>
            <w:r>
              <w:rPr>
                <w:lang w:val="en-AU"/>
              </w:rPr>
              <w:t xml:space="preserve">New report from the US </w:t>
            </w:r>
            <w:r w:rsidRPr="00BB0157">
              <w:rPr>
                <w:lang w:val="en-AU"/>
              </w:rPr>
              <w:t>Hospitals in Pursuit of Excellence</w:t>
            </w:r>
            <w:r>
              <w:rPr>
                <w:lang w:val="en-AU"/>
              </w:rPr>
              <w:t xml:space="preserve"> organisation that offers “step</w:t>
            </w:r>
            <w:r w:rsidRPr="00BB0157">
              <w:rPr>
                <w:lang w:val="en-AU"/>
              </w:rPr>
              <w:t>-by-step information on the financial planning process and how it can help an organisation evaluate the impact of repositioning initiatives as it moves towards value-based care and payment</w:t>
            </w:r>
            <w:r>
              <w:rPr>
                <w:lang w:val="en-AU"/>
              </w:rPr>
              <w:t>”</w:t>
            </w:r>
            <w:r w:rsidRPr="00BB0157">
              <w:rPr>
                <w:lang w:val="en-AU"/>
              </w:rPr>
              <w:t>.</w:t>
            </w:r>
            <w:r w:rsidR="00E946C2">
              <w:rPr>
                <w:lang w:val="en-AU"/>
              </w:rPr>
              <w:t xml:space="preserve"> This report is clearly aimed at the US industry but may be useful in other settings, with appropriate contextualisation.</w:t>
            </w:r>
          </w:p>
        </w:tc>
      </w:tr>
    </w:tbl>
    <w:p w:rsidR="0080436C" w:rsidRDefault="0080436C">
      <w:pPr>
        <w:rPr>
          <w:b/>
          <w:lang w:val="en-AU"/>
        </w:rPr>
      </w:pPr>
    </w:p>
    <w:p w:rsidR="00FA4467" w:rsidRDefault="00FA4467" w:rsidP="00FA4467">
      <w:pPr>
        <w:keepNext/>
        <w:keepLines/>
        <w:autoSpaceDE w:val="0"/>
        <w:autoSpaceDN w:val="0"/>
        <w:adjustRightInd w:val="0"/>
        <w:rPr>
          <w:lang w:val="en-AU"/>
        </w:rPr>
      </w:pPr>
      <w:r w:rsidRPr="00D24FD1">
        <w:rPr>
          <w:i/>
          <w:lang w:val="en-AU"/>
        </w:rPr>
        <w:t>A Framework for Selecting Digital Health Technology</w:t>
      </w:r>
      <w:r w:rsidRPr="00D24FD1">
        <w:rPr>
          <w:lang w:val="en-AU"/>
        </w:rPr>
        <w:t>. IHI Innovation Report</w:t>
      </w:r>
    </w:p>
    <w:p w:rsidR="00FA4467" w:rsidRDefault="00FA4467" w:rsidP="00FA4467">
      <w:pPr>
        <w:keepNext/>
        <w:keepLines/>
        <w:autoSpaceDE w:val="0"/>
        <w:autoSpaceDN w:val="0"/>
        <w:adjustRightInd w:val="0"/>
        <w:rPr>
          <w:lang w:val="en-AU"/>
        </w:rPr>
      </w:pPr>
      <w:r w:rsidRPr="00D24FD1">
        <w:rPr>
          <w:lang w:val="en-AU"/>
        </w:rPr>
        <w:t>Andrey O, Deen N, Simon A, Mate K</w:t>
      </w:r>
    </w:p>
    <w:p w:rsidR="00FA4467" w:rsidRPr="0048169F" w:rsidRDefault="00FA4467" w:rsidP="00FA4467">
      <w:pPr>
        <w:keepNext/>
        <w:keepLines/>
        <w:autoSpaceDE w:val="0"/>
        <w:autoSpaceDN w:val="0"/>
        <w:adjustRightInd w:val="0"/>
        <w:rPr>
          <w:lang w:val="en-AU"/>
        </w:rPr>
      </w:pPr>
      <w:r w:rsidRPr="00D24FD1">
        <w:rPr>
          <w:lang w:val="en-AU"/>
        </w:rPr>
        <w:t>Cambridge, MA: Institute for Healthcare Improv</w:t>
      </w:r>
      <w:r>
        <w:rPr>
          <w:lang w:val="en-AU"/>
        </w:rPr>
        <w:t>ement; 2014.</w:t>
      </w:r>
    </w:p>
    <w:tbl>
      <w:tblPr>
        <w:tblStyle w:val="TableGrid"/>
        <w:tblW w:w="0" w:type="auto"/>
        <w:tblInd w:w="288" w:type="dxa"/>
        <w:tblLayout w:type="fixed"/>
        <w:tblLook w:val="01E0" w:firstRow="1" w:lastRow="1" w:firstColumn="1" w:lastColumn="1" w:noHBand="0" w:noVBand="0"/>
      </w:tblPr>
      <w:tblGrid>
        <w:gridCol w:w="1080"/>
        <w:gridCol w:w="8280"/>
      </w:tblGrid>
      <w:tr w:rsidR="00FA4467" w:rsidRPr="0048169F" w:rsidTr="006C7C80">
        <w:tc>
          <w:tcPr>
            <w:tcW w:w="1080" w:type="dxa"/>
            <w:tcBorders>
              <w:top w:val="single" w:sz="4" w:space="0" w:color="auto"/>
              <w:left w:val="single" w:sz="4" w:space="0" w:color="auto"/>
              <w:bottom w:val="single" w:sz="4" w:space="0" w:color="auto"/>
              <w:right w:val="single" w:sz="4" w:space="0" w:color="auto"/>
            </w:tcBorders>
            <w:vAlign w:val="center"/>
          </w:tcPr>
          <w:p w:rsidR="00FA4467" w:rsidRPr="0048169F" w:rsidRDefault="00FA4467" w:rsidP="006C7C8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A4467" w:rsidRPr="0048169F" w:rsidRDefault="002C27EF" w:rsidP="006C7C80">
            <w:pPr>
              <w:rPr>
                <w:lang w:val="en-AU"/>
              </w:rPr>
            </w:pPr>
            <w:hyperlink r:id="rId20" w:history="1">
              <w:r w:rsidR="00FA4467" w:rsidRPr="008551B2">
                <w:rPr>
                  <w:rStyle w:val="Hyperlink"/>
                  <w:lang w:val="en-AU"/>
                </w:rPr>
                <w:t>http://www.ihi.org/resources/Pages/Publications/AFrameworkforSelectingDigitalHealthTechnology.aspx</w:t>
              </w:r>
            </w:hyperlink>
            <w:r w:rsidR="00FA4467">
              <w:rPr>
                <w:lang w:val="en-AU"/>
              </w:rPr>
              <w:t xml:space="preserve"> </w:t>
            </w:r>
          </w:p>
        </w:tc>
      </w:tr>
      <w:tr w:rsidR="00FA4467" w:rsidRPr="0048169F" w:rsidTr="006C7C80">
        <w:tc>
          <w:tcPr>
            <w:tcW w:w="1080" w:type="dxa"/>
            <w:tcBorders>
              <w:top w:val="single" w:sz="4" w:space="0" w:color="auto"/>
              <w:left w:val="single" w:sz="4" w:space="0" w:color="auto"/>
              <w:bottom w:val="single" w:sz="4" w:space="0" w:color="auto"/>
              <w:right w:val="single" w:sz="4" w:space="0" w:color="auto"/>
            </w:tcBorders>
            <w:vAlign w:val="center"/>
          </w:tcPr>
          <w:p w:rsidR="00FA4467" w:rsidRPr="0048169F" w:rsidRDefault="00FA4467" w:rsidP="006C7C80">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4467" w:rsidRDefault="00FA4467" w:rsidP="006C7C80">
            <w:pPr>
              <w:rPr>
                <w:lang w:val="en-AU"/>
              </w:rPr>
            </w:pPr>
            <w:r>
              <w:rPr>
                <w:lang w:val="en-AU"/>
              </w:rPr>
              <w:t xml:space="preserve">This brief (21 page) report from the US </w:t>
            </w:r>
            <w:r w:rsidRPr="00D24FD1">
              <w:rPr>
                <w:lang w:val="en-AU"/>
              </w:rPr>
              <w:t>Institute for Healthcare Improvement</w:t>
            </w:r>
            <w:r>
              <w:rPr>
                <w:lang w:val="en-AU"/>
              </w:rPr>
              <w:t xml:space="preserve"> (IHI) stems from an </w:t>
            </w:r>
            <w:r w:rsidRPr="00D24FD1">
              <w:rPr>
                <w:lang w:val="en-AU"/>
              </w:rPr>
              <w:t xml:space="preserve">IHI Innovation Project </w:t>
            </w:r>
            <w:r>
              <w:rPr>
                <w:lang w:val="en-AU"/>
              </w:rPr>
              <w:t xml:space="preserve">that sought </w:t>
            </w:r>
            <w:r w:rsidRPr="00D24FD1">
              <w:rPr>
                <w:lang w:val="en-AU"/>
              </w:rPr>
              <w:t xml:space="preserve">health technology innovations that </w:t>
            </w:r>
            <w:r>
              <w:rPr>
                <w:lang w:val="en-AU"/>
              </w:rPr>
              <w:t xml:space="preserve">could </w:t>
            </w:r>
            <w:r w:rsidRPr="00D24FD1">
              <w:rPr>
                <w:lang w:val="en-AU"/>
              </w:rPr>
              <w:t>provide the greatest value to health systems working to achieve the IHI Triple Aim: simultaneously improving the patient experience of care, improving the health of populations, and reducing the per capita cost of health care</w:t>
            </w:r>
            <w:r>
              <w:rPr>
                <w:lang w:val="en-AU"/>
              </w:rPr>
              <w:t>.</w:t>
            </w:r>
          </w:p>
          <w:p w:rsidR="00FA4467" w:rsidRPr="00DB5A06" w:rsidRDefault="00FA4467" w:rsidP="006C7C80">
            <w:pPr>
              <w:rPr>
                <w:lang w:val="en-AU"/>
              </w:rPr>
            </w:pPr>
            <w:r>
              <w:rPr>
                <w:lang w:val="en-AU"/>
              </w:rPr>
              <w:t xml:space="preserve">The authors have developed the </w:t>
            </w:r>
            <w:r w:rsidRPr="00D24FD1">
              <w:rPr>
                <w:lang w:val="en-AU"/>
              </w:rPr>
              <w:t>Digital Health Selection Framework (DHSF) to guide patients, providers, and payers through the procurement of technology to help them achieve the Triple Aim.</w:t>
            </w:r>
          </w:p>
        </w:tc>
      </w:tr>
    </w:tbl>
    <w:p w:rsidR="00FA4467" w:rsidRDefault="00FA4467" w:rsidP="00FA4467">
      <w:pPr>
        <w:rPr>
          <w:i/>
          <w:lang w:val="en-AU"/>
        </w:rPr>
      </w:pPr>
      <w:r w:rsidRPr="00CB3155">
        <w:rPr>
          <w:lang w:val="en-AU"/>
        </w:rPr>
        <w:lastRenderedPageBreak/>
        <w:t>For information on the Commission’s work on</w:t>
      </w:r>
      <w:r>
        <w:rPr>
          <w:lang w:val="en-AU"/>
        </w:rPr>
        <w:t xml:space="preserve"> safety in e-health, see </w:t>
      </w:r>
      <w:hyperlink r:id="rId21" w:history="1">
        <w:r w:rsidRPr="00EF294E">
          <w:rPr>
            <w:rStyle w:val="Hyperlink"/>
            <w:lang w:val="en-AU"/>
          </w:rPr>
          <w:t>http://www.safetyandquality.gov.au/our-work/safety-in-e-health/</w:t>
        </w:r>
      </w:hyperlink>
    </w:p>
    <w:p w:rsidR="00FA4467" w:rsidRDefault="00FA4467" w:rsidP="00FA4467">
      <w:pPr>
        <w:keepNext/>
        <w:keepLines/>
        <w:autoSpaceDE w:val="0"/>
        <w:autoSpaceDN w:val="0"/>
        <w:adjustRightInd w:val="0"/>
        <w:rPr>
          <w:i/>
          <w:lang w:val="en-AU"/>
        </w:rPr>
      </w:pPr>
    </w:p>
    <w:p w:rsidR="00663FD9" w:rsidRDefault="00663FD9">
      <w:pPr>
        <w:rPr>
          <w:b/>
          <w:lang w:val="en-AU"/>
        </w:rPr>
      </w:pPr>
    </w:p>
    <w:p w:rsidR="00A30DF9" w:rsidRPr="0048169F" w:rsidRDefault="00254636" w:rsidP="00F87778">
      <w:pPr>
        <w:keepNext/>
        <w:rPr>
          <w:b/>
          <w:lang w:val="en-AU"/>
        </w:rPr>
      </w:pPr>
      <w:r w:rsidRPr="0048169F">
        <w:rPr>
          <w:b/>
          <w:lang w:val="en-AU"/>
        </w:rPr>
        <w:t>Journal articles</w:t>
      </w:r>
    </w:p>
    <w:p w:rsidR="00672982" w:rsidRDefault="00672982" w:rsidP="00672982">
      <w:pPr>
        <w:keepNext/>
        <w:keepLines/>
        <w:autoSpaceDE w:val="0"/>
        <w:autoSpaceDN w:val="0"/>
        <w:adjustRightInd w:val="0"/>
        <w:rPr>
          <w:i/>
          <w:lang w:val="en-AU"/>
        </w:rPr>
      </w:pPr>
    </w:p>
    <w:p w:rsidR="00B27493" w:rsidRDefault="00B27493" w:rsidP="00B27493">
      <w:pPr>
        <w:keepNext/>
        <w:rPr>
          <w:i/>
          <w:lang w:val="en-AU"/>
        </w:rPr>
      </w:pPr>
      <w:r w:rsidRPr="004318A7">
        <w:rPr>
          <w:i/>
          <w:lang w:val="en-AU"/>
        </w:rPr>
        <w:t>Antimicrobial stewardship: another focus for patient safety?</w:t>
      </w:r>
    </w:p>
    <w:p w:rsidR="00B27493" w:rsidRPr="00AC137D" w:rsidRDefault="00B27493" w:rsidP="00B27493">
      <w:pPr>
        <w:keepNext/>
        <w:rPr>
          <w:lang w:val="en-AU"/>
        </w:rPr>
      </w:pPr>
      <w:r w:rsidRPr="00AC137D">
        <w:rPr>
          <w:lang w:val="en-AU"/>
        </w:rPr>
        <w:t>Tamma PD, Holmes A and Dodds Ashley E</w:t>
      </w:r>
    </w:p>
    <w:p w:rsidR="00B27493" w:rsidRPr="00AC137D" w:rsidRDefault="00B27493" w:rsidP="00B27493">
      <w:pPr>
        <w:keepNext/>
        <w:rPr>
          <w:lang w:val="en-AU"/>
        </w:rPr>
      </w:pPr>
      <w:r w:rsidRPr="00AC137D">
        <w:rPr>
          <w:lang w:val="en-AU"/>
        </w:rPr>
        <w:t>Curr Opin Infect Dis. 2014 [epub].</w:t>
      </w:r>
    </w:p>
    <w:tbl>
      <w:tblPr>
        <w:tblStyle w:val="TableGrid"/>
        <w:tblW w:w="0" w:type="auto"/>
        <w:tblInd w:w="288" w:type="dxa"/>
        <w:tblLayout w:type="fixed"/>
        <w:tblLook w:val="01E0" w:firstRow="1" w:lastRow="1" w:firstColumn="1" w:lastColumn="1" w:noHBand="0" w:noVBand="0"/>
      </w:tblPr>
      <w:tblGrid>
        <w:gridCol w:w="1080"/>
        <w:gridCol w:w="8280"/>
      </w:tblGrid>
      <w:tr w:rsidR="00B27493" w:rsidRPr="0048169F" w:rsidTr="00C042C2">
        <w:tc>
          <w:tcPr>
            <w:tcW w:w="1080" w:type="dxa"/>
            <w:tcBorders>
              <w:top w:val="single" w:sz="4" w:space="0" w:color="auto"/>
              <w:left w:val="single" w:sz="4" w:space="0" w:color="auto"/>
              <w:bottom w:val="single" w:sz="4" w:space="0" w:color="auto"/>
              <w:right w:val="single" w:sz="4" w:space="0" w:color="auto"/>
            </w:tcBorders>
            <w:vAlign w:val="center"/>
          </w:tcPr>
          <w:p w:rsidR="00B27493" w:rsidRPr="0048169F" w:rsidRDefault="00B27493" w:rsidP="00C042C2">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27493" w:rsidRPr="0048169F" w:rsidRDefault="002C27EF" w:rsidP="00C042C2">
            <w:pPr>
              <w:rPr>
                <w:lang w:val="en-AU"/>
              </w:rPr>
            </w:pPr>
            <w:hyperlink r:id="rId22" w:history="1">
              <w:r w:rsidR="00B27493" w:rsidRPr="00ED46ED">
                <w:rPr>
                  <w:rStyle w:val="Hyperlink"/>
                  <w:lang w:val="en-AU"/>
                </w:rPr>
                <w:t>http://dx.doi.org/10.1097/QCO.0000000000000077</w:t>
              </w:r>
            </w:hyperlink>
            <w:r w:rsidR="00B27493">
              <w:rPr>
                <w:lang w:val="en-AU"/>
              </w:rPr>
              <w:t xml:space="preserve"> </w:t>
            </w:r>
          </w:p>
        </w:tc>
      </w:tr>
      <w:tr w:rsidR="00B27493" w:rsidRPr="0048169F" w:rsidTr="00C042C2">
        <w:tc>
          <w:tcPr>
            <w:tcW w:w="1080" w:type="dxa"/>
            <w:tcBorders>
              <w:top w:val="single" w:sz="4" w:space="0" w:color="auto"/>
              <w:left w:val="single" w:sz="4" w:space="0" w:color="auto"/>
              <w:bottom w:val="single" w:sz="4" w:space="0" w:color="auto"/>
              <w:right w:val="single" w:sz="4" w:space="0" w:color="auto"/>
            </w:tcBorders>
            <w:vAlign w:val="center"/>
          </w:tcPr>
          <w:p w:rsidR="00B27493" w:rsidRPr="0048169F" w:rsidRDefault="00B27493" w:rsidP="00C042C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7493" w:rsidRDefault="005A5D77" w:rsidP="005A5D77">
            <w:pPr>
              <w:rPr>
                <w:lang w:val="en-AU"/>
              </w:rPr>
            </w:pPr>
            <w:r>
              <w:rPr>
                <w:lang w:val="en-AU"/>
              </w:rPr>
              <w:t xml:space="preserve">This review article makes the point that </w:t>
            </w:r>
            <w:r w:rsidRPr="00E946C2">
              <w:rPr>
                <w:b/>
                <w:lang w:val="en-AU"/>
              </w:rPr>
              <w:t>antibiotic stewardship</w:t>
            </w:r>
            <w:r>
              <w:rPr>
                <w:lang w:val="en-AU"/>
              </w:rPr>
              <w:t xml:space="preserve"> is about </w:t>
            </w:r>
            <w:r w:rsidRPr="00E946C2">
              <w:rPr>
                <w:b/>
                <w:lang w:val="en-AU"/>
              </w:rPr>
              <w:t>patient safety</w:t>
            </w:r>
            <w:r>
              <w:rPr>
                <w:lang w:val="en-AU"/>
              </w:rPr>
              <w:t xml:space="preserve"> at least as much as it is about stemming </w:t>
            </w:r>
            <w:r w:rsidRPr="00E946C2">
              <w:rPr>
                <w:b/>
                <w:lang w:val="en-AU"/>
              </w:rPr>
              <w:t>antibiotic resistance</w:t>
            </w:r>
            <w:r>
              <w:rPr>
                <w:lang w:val="en-AU"/>
              </w:rPr>
              <w:t xml:space="preserve">. The review notes the </w:t>
            </w:r>
            <w:r w:rsidRPr="005A5D77">
              <w:rPr>
                <w:lang w:val="en-AU"/>
              </w:rPr>
              <w:t xml:space="preserve">literature on antimicrobial stewardship </w:t>
            </w:r>
            <w:r>
              <w:rPr>
                <w:lang w:val="en-AU"/>
              </w:rPr>
              <w:t xml:space="preserve">and its </w:t>
            </w:r>
            <w:r w:rsidRPr="005A5D77">
              <w:rPr>
                <w:lang w:val="en-AU"/>
              </w:rPr>
              <w:t>patient safety</w:t>
            </w:r>
            <w:r>
              <w:rPr>
                <w:lang w:val="en-AU"/>
              </w:rPr>
              <w:t xml:space="preserve"> implications</w:t>
            </w:r>
            <w:r w:rsidRPr="005A5D77">
              <w:rPr>
                <w:lang w:val="en-AU"/>
              </w:rPr>
              <w:t>.</w:t>
            </w:r>
          </w:p>
          <w:p w:rsidR="00D66F4A" w:rsidRPr="00D66F4A" w:rsidRDefault="005A5D77" w:rsidP="00D66F4A">
            <w:pPr>
              <w:rPr>
                <w:lang w:val="en-AU"/>
              </w:rPr>
            </w:pPr>
            <w:r>
              <w:rPr>
                <w:lang w:val="en-AU"/>
              </w:rPr>
              <w:t xml:space="preserve">The National Safety and Quality Health Standards, Standard 3 </w:t>
            </w:r>
            <w:r w:rsidRPr="005A5D77">
              <w:rPr>
                <w:lang w:val="en-AU"/>
              </w:rPr>
              <w:t>Preventing and Controlling Healthcare Associated Infections</w:t>
            </w:r>
            <w:r>
              <w:rPr>
                <w:lang w:val="en-AU"/>
              </w:rPr>
              <w:t xml:space="preserve"> has a</w:t>
            </w:r>
            <w:r w:rsidR="00D66F4A">
              <w:rPr>
                <w:lang w:val="en-AU"/>
              </w:rPr>
              <w:t>n</w:t>
            </w:r>
            <w:r>
              <w:rPr>
                <w:lang w:val="en-AU"/>
              </w:rPr>
              <w:t xml:space="preserve"> antimicrobial stewardship criterion</w:t>
            </w:r>
            <w:r w:rsidR="00D66F4A">
              <w:rPr>
                <w:lang w:val="en-AU"/>
              </w:rPr>
              <w:t xml:space="preserve">. This criterion </w:t>
            </w:r>
            <w:r w:rsidR="00D66F4A" w:rsidRPr="00D66F4A">
              <w:rPr>
                <w:lang w:val="en-AU"/>
              </w:rPr>
              <w:t>requires that healthcare services:</w:t>
            </w:r>
          </w:p>
          <w:p w:rsidR="00D66F4A" w:rsidRPr="00D66F4A" w:rsidRDefault="00D66F4A" w:rsidP="00D66F4A">
            <w:pPr>
              <w:pStyle w:val="ListParagraph"/>
              <w:numPr>
                <w:ilvl w:val="0"/>
                <w:numId w:val="31"/>
              </w:numPr>
              <w:rPr>
                <w:lang w:val="en-AU"/>
              </w:rPr>
            </w:pPr>
            <w:r w:rsidRPr="00D66F4A">
              <w:rPr>
                <w:lang w:val="en-AU"/>
              </w:rPr>
              <w:t>Have an antimicrobial stewardship program in place</w:t>
            </w:r>
          </w:p>
          <w:p w:rsidR="00D66F4A" w:rsidRPr="00D66F4A" w:rsidRDefault="00D66F4A" w:rsidP="00D66F4A">
            <w:pPr>
              <w:pStyle w:val="ListParagraph"/>
              <w:numPr>
                <w:ilvl w:val="0"/>
                <w:numId w:val="31"/>
              </w:numPr>
              <w:rPr>
                <w:lang w:val="en-AU"/>
              </w:rPr>
            </w:pPr>
            <w:r w:rsidRPr="00D66F4A">
              <w:rPr>
                <w:lang w:val="en-AU"/>
              </w:rPr>
              <w:t>Provide clinicians prescribing antimicrobials access to current endorsed Therapeutic Guidelines on antimicrobial usage</w:t>
            </w:r>
          </w:p>
          <w:p w:rsidR="00D66F4A" w:rsidRPr="00D66F4A" w:rsidRDefault="00D66F4A" w:rsidP="00D66F4A">
            <w:pPr>
              <w:pStyle w:val="ListParagraph"/>
              <w:numPr>
                <w:ilvl w:val="0"/>
                <w:numId w:val="31"/>
              </w:numPr>
              <w:rPr>
                <w:lang w:val="en-AU"/>
              </w:rPr>
            </w:pPr>
            <w:r w:rsidRPr="00D66F4A">
              <w:rPr>
                <w:lang w:val="en-AU"/>
              </w:rPr>
              <w:t>Undertake monitoring of antimicrobial  usage and resistance</w:t>
            </w:r>
          </w:p>
          <w:p w:rsidR="005A5D77" w:rsidRPr="00D66F4A" w:rsidRDefault="00D66F4A" w:rsidP="00D66F4A">
            <w:pPr>
              <w:pStyle w:val="ListParagraph"/>
              <w:numPr>
                <w:ilvl w:val="0"/>
                <w:numId w:val="31"/>
              </w:numPr>
              <w:rPr>
                <w:lang w:val="en-AU"/>
              </w:rPr>
            </w:pPr>
            <w:r w:rsidRPr="00D66F4A">
              <w:rPr>
                <w:lang w:val="en-AU"/>
              </w:rPr>
              <w:t>Take action to improve the effectiveness of antimicrobial stewardship.</w:t>
            </w:r>
          </w:p>
        </w:tc>
      </w:tr>
    </w:tbl>
    <w:p w:rsidR="00B27493" w:rsidRDefault="00B27493" w:rsidP="00DB5A06">
      <w:pPr>
        <w:rPr>
          <w:i/>
          <w:lang w:val="en-AU"/>
        </w:rPr>
      </w:pPr>
    </w:p>
    <w:p w:rsidR="00B27493" w:rsidRDefault="00B27493" w:rsidP="00B27493">
      <w:pPr>
        <w:rPr>
          <w:i/>
          <w:lang w:val="en-AU"/>
        </w:rPr>
      </w:pPr>
      <w:r w:rsidRPr="00CB3155">
        <w:rPr>
          <w:lang w:val="en-AU"/>
        </w:rPr>
        <w:t>For information on the Commission’s work on</w:t>
      </w:r>
      <w:r>
        <w:rPr>
          <w:lang w:val="en-AU"/>
        </w:rPr>
        <w:t xml:space="preserve"> healthcare associated infection, including antimicrobial stewardship, see </w:t>
      </w:r>
      <w:hyperlink r:id="rId23" w:history="1">
        <w:r w:rsidRPr="00ED46ED">
          <w:rPr>
            <w:rStyle w:val="Hyperlink"/>
            <w:lang w:val="en-AU"/>
          </w:rPr>
          <w:t>http://www.safetyandquality.gov.au/our-work/healthcare-associated-infection/</w:t>
        </w:r>
      </w:hyperlink>
    </w:p>
    <w:p w:rsidR="00B27493" w:rsidRDefault="00B27493" w:rsidP="00DB5A06">
      <w:pPr>
        <w:rPr>
          <w:i/>
          <w:lang w:val="en-AU"/>
        </w:rPr>
      </w:pPr>
    </w:p>
    <w:p w:rsidR="00B27493" w:rsidRPr="002F4A4E" w:rsidRDefault="00B27493" w:rsidP="00B27493">
      <w:pPr>
        <w:keepNext/>
        <w:keepLines/>
        <w:autoSpaceDE w:val="0"/>
        <w:autoSpaceDN w:val="0"/>
        <w:adjustRightInd w:val="0"/>
        <w:rPr>
          <w:i/>
          <w:lang w:val="en-AU"/>
        </w:rPr>
      </w:pPr>
      <w:r w:rsidRPr="002F4A4E">
        <w:rPr>
          <w:i/>
          <w:lang w:val="en-AU"/>
        </w:rPr>
        <w:t xml:space="preserve">Control of a two-decade endemic situation with carbapenem-resistant </w:t>
      </w:r>
      <w:r w:rsidRPr="002F4A4E">
        <w:rPr>
          <w:lang w:val="en-AU"/>
        </w:rPr>
        <w:t>Acinetobacter baumannii</w:t>
      </w:r>
      <w:r w:rsidRPr="002F4A4E">
        <w:rPr>
          <w:i/>
          <w:lang w:val="en-AU"/>
        </w:rPr>
        <w:t>: Electronic dissemination of a bundle of interventions</w:t>
      </w:r>
    </w:p>
    <w:p w:rsidR="00B27493" w:rsidRDefault="00B27493" w:rsidP="00B27493">
      <w:pPr>
        <w:keepNext/>
        <w:keepLines/>
        <w:autoSpaceDE w:val="0"/>
        <w:autoSpaceDN w:val="0"/>
        <w:adjustRightInd w:val="0"/>
        <w:rPr>
          <w:lang w:val="en-AU"/>
        </w:rPr>
      </w:pPr>
      <w:r w:rsidRPr="002F4A4E">
        <w:rPr>
          <w:lang w:val="en-AU"/>
        </w:rPr>
        <w:t xml:space="preserve">Munoz-Price </w:t>
      </w:r>
      <w:r>
        <w:rPr>
          <w:lang w:val="en-AU"/>
        </w:rPr>
        <w:t>LS, Carling P, Cleary T, et al.</w:t>
      </w:r>
    </w:p>
    <w:p w:rsidR="00B27493" w:rsidRPr="0048169F" w:rsidRDefault="00B27493" w:rsidP="00B27493">
      <w:pPr>
        <w:keepNext/>
        <w:keepLines/>
        <w:autoSpaceDE w:val="0"/>
        <w:autoSpaceDN w:val="0"/>
        <w:adjustRightInd w:val="0"/>
        <w:rPr>
          <w:lang w:val="en-AU"/>
        </w:rPr>
      </w:pPr>
      <w:r w:rsidRPr="002F4A4E">
        <w:rPr>
          <w:lang w:val="en-AU"/>
        </w:rPr>
        <w:t>American Journal of Infection Control. 2014; 42: 466-71.</w:t>
      </w:r>
    </w:p>
    <w:tbl>
      <w:tblPr>
        <w:tblStyle w:val="TableGrid"/>
        <w:tblW w:w="0" w:type="auto"/>
        <w:tblInd w:w="288" w:type="dxa"/>
        <w:tblLayout w:type="fixed"/>
        <w:tblLook w:val="01E0" w:firstRow="1" w:lastRow="1" w:firstColumn="1" w:lastColumn="1" w:noHBand="0" w:noVBand="0"/>
      </w:tblPr>
      <w:tblGrid>
        <w:gridCol w:w="1080"/>
        <w:gridCol w:w="8280"/>
      </w:tblGrid>
      <w:tr w:rsidR="00B27493" w:rsidRPr="0048169F" w:rsidTr="00C042C2">
        <w:tc>
          <w:tcPr>
            <w:tcW w:w="1080" w:type="dxa"/>
            <w:tcBorders>
              <w:top w:val="single" w:sz="4" w:space="0" w:color="auto"/>
              <w:left w:val="single" w:sz="4" w:space="0" w:color="auto"/>
              <w:bottom w:val="single" w:sz="4" w:space="0" w:color="auto"/>
              <w:right w:val="single" w:sz="4" w:space="0" w:color="auto"/>
            </w:tcBorders>
            <w:vAlign w:val="center"/>
          </w:tcPr>
          <w:p w:rsidR="00B27493" w:rsidRPr="0048169F" w:rsidRDefault="00B27493" w:rsidP="00C042C2">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27493" w:rsidRPr="0048169F" w:rsidRDefault="002C27EF" w:rsidP="00C042C2">
            <w:pPr>
              <w:rPr>
                <w:lang w:val="en-AU"/>
              </w:rPr>
            </w:pPr>
            <w:hyperlink r:id="rId24" w:history="1">
              <w:r w:rsidR="00B27493" w:rsidRPr="00ED46ED">
                <w:rPr>
                  <w:rStyle w:val="Hyperlink"/>
                  <w:lang w:val="en-AU"/>
                </w:rPr>
                <w:t>http://dx.doi.org/10.1016/j.ajic.2013.12.024</w:t>
              </w:r>
            </w:hyperlink>
          </w:p>
        </w:tc>
      </w:tr>
      <w:tr w:rsidR="00B27493" w:rsidRPr="0048169F" w:rsidTr="00C042C2">
        <w:tc>
          <w:tcPr>
            <w:tcW w:w="1080" w:type="dxa"/>
            <w:tcBorders>
              <w:top w:val="single" w:sz="4" w:space="0" w:color="auto"/>
              <w:left w:val="single" w:sz="4" w:space="0" w:color="auto"/>
              <w:bottom w:val="single" w:sz="4" w:space="0" w:color="auto"/>
              <w:right w:val="single" w:sz="4" w:space="0" w:color="auto"/>
            </w:tcBorders>
            <w:vAlign w:val="center"/>
          </w:tcPr>
          <w:p w:rsidR="00B27493" w:rsidRPr="0048169F" w:rsidRDefault="00B27493" w:rsidP="00C042C2">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7493" w:rsidRDefault="001C533D" w:rsidP="00362617">
            <w:pPr>
              <w:rPr>
                <w:lang w:val="en-AU"/>
              </w:rPr>
            </w:pPr>
            <w:r>
              <w:rPr>
                <w:lang w:val="en-AU"/>
              </w:rPr>
              <w:t xml:space="preserve">Paper reporting on the </w:t>
            </w:r>
            <w:r w:rsidR="00362617">
              <w:rPr>
                <w:lang w:val="en-AU"/>
              </w:rPr>
              <w:t xml:space="preserve">experience of a </w:t>
            </w:r>
            <w:r w:rsidR="00362617" w:rsidRPr="00362617">
              <w:rPr>
                <w:lang w:val="en-AU"/>
              </w:rPr>
              <w:t>1,500-bed, public, teaching hospital</w:t>
            </w:r>
            <w:r w:rsidR="00362617">
              <w:rPr>
                <w:lang w:val="en-AU"/>
              </w:rPr>
              <w:t xml:space="preserve"> that </w:t>
            </w:r>
            <w:r w:rsidRPr="001C533D">
              <w:rPr>
                <w:lang w:val="en-AU"/>
              </w:rPr>
              <w:t xml:space="preserve">continued to </w:t>
            </w:r>
            <w:r w:rsidR="00362617">
              <w:rPr>
                <w:lang w:val="en-AU"/>
              </w:rPr>
              <w:t>endure “</w:t>
            </w:r>
            <w:r w:rsidRPr="001C533D">
              <w:rPr>
                <w:lang w:val="en-AU"/>
              </w:rPr>
              <w:t xml:space="preserve">a hyperendemic situation with carbapenem-resistant </w:t>
            </w:r>
            <w:r w:rsidRPr="00362617">
              <w:rPr>
                <w:i/>
                <w:lang w:val="en-AU"/>
              </w:rPr>
              <w:t>Acinetobacter baumannii</w:t>
            </w:r>
            <w:r w:rsidRPr="001C533D">
              <w:rPr>
                <w:lang w:val="en-AU"/>
              </w:rPr>
              <w:t xml:space="preserve"> despite a bundle of interventions</w:t>
            </w:r>
            <w:r w:rsidR="00362617">
              <w:rPr>
                <w:lang w:val="en-AU"/>
              </w:rPr>
              <w:t xml:space="preserve">” but then implemented </w:t>
            </w:r>
            <w:r w:rsidRPr="001C533D">
              <w:rPr>
                <w:lang w:val="en-AU"/>
              </w:rPr>
              <w:t>electronic dissemination of the weekly findings of a bundle of interventions.</w:t>
            </w:r>
          </w:p>
          <w:p w:rsidR="00362617" w:rsidRDefault="00362617" w:rsidP="00362617">
            <w:pPr>
              <w:rPr>
                <w:lang w:val="en-AU"/>
              </w:rPr>
            </w:pPr>
            <w:r>
              <w:rPr>
                <w:lang w:val="en-AU"/>
              </w:rPr>
              <w:t xml:space="preserve">Over a 13month period </w:t>
            </w:r>
            <w:r w:rsidRPr="00362617">
              <w:rPr>
                <w:lang w:val="en-AU"/>
              </w:rPr>
              <w:t>weekly electronic communications were sent to the hospital leadership and intensive care units (ICUs)</w:t>
            </w:r>
            <w:r>
              <w:rPr>
                <w:lang w:val="en-AU"/>
              </w:rPr>
              <w:t xml:space="preserve"> that sought </w:t>
            </w:r>
            <w:r w:rsidRPr="00362617">
              <w:rPr>
                <w:lang w:val="en-AU"/>
              </w:rPr>
              <w:t>to describe, interpret, and package the findings of the previous week’s active surveillance cultures, environmental cultures, environmental disinfection, and hand cultures</w:t>
            </w:r>
            <w:r>
              <w:rPr>
                <w:lang w:val="en-AU"/>
              </w:rPr>
              <w:t xml:space="preserve">, along with </w:t>
            </w:r>
            <w:r w:rsidRPr="00362617">
              <w:rPr>
                <w:lang w:val="en-AU"/>
              </w:rPr>
              <w:t>. action plans based on these findings.</w:t>
            </w:r>
          </w:p>
          <w:p w:rsidR="00362617" w:rsidRPr="0048169F" w:rsidRDefault="00362617" w:rsidP="00362617">
            <w:pPr>
              <w:rPr>
                <w:lang w:val="en-AU"/>
              </w:rPr>
            </w:pPr>
            <w:r>
              <w:rPr>
                <w:lang w:val="en-AU"/>
              </w:rPr>
              <w:t>The authors that d</w:t>
            </w:r>
            <w:r w:rsidRPr="00362617">
              <w:rPr>
                <w:lang w:val="en-AU"/>
              </w:rPr>
              <w:t xml:space="preserve">uring 42 months and 1,103,900 patient-days, </w:t>
            </w:r>
            <w:r>
              <w:rPr>
                <w:lang w:val="en-AU"/>
              </w:rPr>
              <w:t xml:space="preserve">they </w:t>
            </w:r>
            <w:r w:rsidRPr="00362617">
              <w:rPr>
                <w:lang w:val="en-AU"/>
              </w:rPr>
              <w:t xml:space="preserve">detected 438 new acquisitions of carbapenem-resistant </w:t>
            </w:r>
            <w:r w:rsidRPr="00362617">
              <w:rPr>
                <w:i/>
                <w:lang w:val="en-AU"/>
              </w:rPr>
              <w:t>A baumannii</w:t>
            </w:r>
            <w:r w:rsidRPr="00362617">
              <w:rPr>
                <w:lang w:val="en-AU"/>
              </w:rPr>
              <w:t xml:space="preserve">. </w:t>
            </w:r>
            <w:r>
              <w:rPr>
                <w:lang w:val="en-AU"/>
              </w:rPr>
              <w:t>T</w:t>
            </w:r>
            <w:r w:rsidRPr="00362617">
              <w:rPr>
                <w:lang w:val="en-AU"/>
              </w:rPr>
              <w:t xml:space="preserve">he </w:t>
            </w:r>
            <w:r w:rsidRPr="00362617">
              <w:rPr>
                <w:b/>
                <w:lang w:val="en-AU"/>
              </w:rPr>
              <w:t>rate of acquisition decreased from 5.13 to 1.93 per 10,000 patient-days</w:t>
            </w:r>
            <w:r w:rsidRPr="00362617">
              <w:rPr>
                <w:lang w:val="en-AU"/>
              </w:rPr>
              <w:t>, during the baseline and post</w:t>
            </w:r>
            <w:r>
              <w:rPr>
                <w:lang w:val="en-AU"/>
              </w:rPr>
              <w:t>-</w:t>
            </w:r>
            <w:r w:rsidRPr="00362617">
              <w:rPr>
                <w:lang w:val="en-AU"/>
              </w:rPr>
              <w:t xml:space="preserve">intervention periods, respectively. </w:t>
            </w:r>
            <w:r>
              <w:rPr>
                <w:lang w:val="en-AU"/>
              </w:rPr>
              <w:t xml:space="preserve">A decrease </w:t>
            </w:r>
            <w:r w:rsidRPr="00362617">
              <w:rPr>
                <w:lang w:val="en-AU"/>
              </w:rPr>
              <w:t xml:space="preserve">was also </w:t>
            </w:r>
            <w:r>
              <w:rPr>
                <w:lang w:val="en-AU"/>
              </w:rPr>
              <w:t xml:space="preserve">seen </w:t>
            </w:r>
            <w:r w:rsidRPr="00362617">
              <w:rPr>
                <w:lang w:val="en-AU"/>
              </w:rPr>
              <w:t xml:space="preserve">in the medical and trauma ICUs, </w:t>
            </w:r>
            <w:r>
              <w:rPr>
                <w:lang w:val="en-AU"/>
              </w:rPr>
              <w:t>(</w:t>
            </w:r>
            <w:r w:rsidRPr="00362617">
              <w:rPr>
                <w:lang w:val="en-AU"/>
              </w:rPr>
              <w:t>from 67.15 to 17.4 and from 55.9 to 14.71 respectively</w:t>
            </w:r>
            <w:r>
              <w:rPr>
                <w:lang w:val="en-AU"/>
              </w:rPr>
              <w:t>)</w:t>
            </w:r>
            <w:r w:rsidRPr="00362617">
              <w:rPr>
                <w:lang w:val="en-AU"/>
              </w:rPr>
              <w:t>.</w:t>
            </w:r>
          </w:p>
        </w:tc>
      </w:tr>
    </w:tbl>
    <w:p w:rsidR="00B27493" w:rsidRDefault="00B27493" w:rsidP="00B27493">
      <w:pPr>
        <w:rPr>
          <w:i/>
          <w:lang w:val="en-AU"/>
        </w:rPr>
      </w:pPr>
    </w:p>
    <w:p w:rsidR="00FA4467" w:rsidRDefault="00FA4467">
      <w:pPr>
        <w:rPr>
          <w:i/>
          <w:lang w:val="en-AU"/>
        </w:rPr>
      </w:pPr>
      <w:r>
        <w:rPr>
          <w:i/>
          <w:lang w:val="en-AU"/>
        </w:rPr>
        <w:br w:type="page"/>
      </w:r>
    </w:p>
    <w:p w:rsidR="004318A7" w:rsidRPr="004318A7" w:rsidRDefault="004318A7" w:rsidP="004318A7">
      <w:pPr>
        <w:keepNext/>
        <w:keepLines/>
        <w:autoSpaceDE w:val="0"/>
        <w:autoSpaceDN w:val="0"/>
        <w:adjustRightInd w:val="0"/>
        <w:rPr>
          <w:i/>
          <w:lang w:val="en-AU"/>
        </w:rPr>
      </w:pPr>
      <w:r w:rsidRPr="004318A7">
        <w:rPr>
          <w:i/>
          <w:lang w:val="en-AU"/>
        </w:rPr>
        <w:lastRenderedPageBreak/>
        <w:t>Stress on the Ward: Evidence of Safety Tipping Points in Hospitals</w:t>
      </w:r>
    </w:p>
    <w:p w:rsidR="00043403" w:rsidRDefault="00043403" w:rsidP="00DB5A06">
      <w:pPr>
        <w:keepNext/>
        <w:keepLines/>
        <w:autoSpaceDE w:val="0"/>
        <w:autoSpaceDN w:val="0"/>
        <w:adjustRightInd w:val="0"/>
        <w:rPr>
          <w:lang w:val="en-AU"/>
        </w:rPr>
      </w:pPr>
      <w:r w:rsidRPr="00043403">
        <w:rPr>
          <w:lang w:val="en-AU"/>
        </w:rPr>
        <w:t>Kuntz L, Mennicken R and Scholtes S</w:t>
      </w:r>
    </w:p>
    <w:p w:rsidR="00DB5A06" w:rsidRPr="0048169F" w:rsidRDefault="00043403" w:rsidP="00DB5A06">
      <w:pPr>
        <w:keepNext/>
        <w:keepLines/>
        <w:autoSpaceDE w:val="0"/>
        <w:autoSpaceDN w:val="0"/>
        <w:adjustRightInd w:val="0"/>
        <w:rPr>
          <w:lang w:val="en-AU"/>
        </w:rPr>
      </w:pPr>
      <w:r w:rsidRPr="00043403">
        <w:rPr>
          <w:lang w:val="en-AU"/>
        </w:rPr>
        <w:t xml:space="preserve">Management Science. </w:t>
      </w:r>
      <w:r w:rsidR="004318A7">
        <w:rPr>
          <w:lang w:val="en-AU"/>
        </w:rPr>
        <w:t>2014 [epub]</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48169F" w:rsidRDefault="002C27EF" w:rsidP="00E90086">
            <w:pPr>
              <w:rPr>
                <w:lang w:val="en-AU"/>
              </w:rPr>
            </w:pPr>
            <w:hyperlink r:id="rId25" w:history="1">
              <w:r w:rsidR="00043403" w:rsidRPr="00ED46ED">
                <w:rPr>
                  <w:rStyle w:val="Hyperlink"/>
                  <w:lang w:val="en-AU"/>
                </w:rPr>
                <w:t>http://dx.doi.org/10.1287/mnsc.2014.1917</w:t>
              </w:r>
            </w:hyperlink>
            <w:r w:rsidR="00043403">
              <w:rPr>
                <w:lang w:val="en-AU"/>
              </w:rPr>
              <w:t xml:space="preserve"> </w:t>
            </w:r>
          </w:p>
        </w:tc>
      </w:tr>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1282A" w:rsidRDefault="00F1282A" w:rsidP="00F1282A">
            <w:pPr>
              <w:rPr>
                <w:lang w:val="en-AU"/>
              </w:rPr>
            </w:pPr>
            <w:r>
              <w:rPr>
                <w:lang w:val="en-AU"/>
              </w:rPr>
              <w:t>Debates about what are appropriate staffing levels and bed occupancy rates are not new. This study undertook a r</w:t>
            </w:r>
            <w:r w:rsidRPr="00F1282A">
              <w:rPr>
                <w:lang w:val="en-AU"/>
              </w:rPr>
              <w:t xml:space="preserve">etrospective examination of hospital mortality using the discharge records of 82,280 patients across six high-mortality-risk conditions </w:t>
            </w:r>
            <w:r w:rsidR="0075147B">
              <w:rPr>
                <w:lang w:val="en-AU"/>
              </w:rPr>
              <w:t>(</w:t>
            </w:r>
            <w:r w:rsidR="0075147B" w:rsidRPr="00F1282A">
              <w:rPr>
                <w:lang w:val="en-AU"/>
              </w:rPr>
              <w:t>acute myocardial infarction, heart failure, gastrointestinal h</w:t>
            </w:r>
            <w:r w:rsidR="0075147B">
              <w:rPr>
                <w:lang w:val="en-AU"/>
              </w:rPr>
              <w:t>a</w:t>
            </w:r>
            <w:r w:rsidR="0075147B" w:rsidRPr="00F1282A">
              <w:rPr>
                <w:lang w:val="en-AU"/>
              </w:rPr>
              <w:t>emorrhage, hip replacement, pneumonia, and stroke</w:t>
            </w:r>
            <w:r w:rsidR="0075147B">
              <w:rPr>
                <w:lang w:val="en-AU"/>
              </w:rPr>
              <w:t xml:space="preserve">) </w:t>
            </w:r>
            <w:r w:rsidRPr="00F1282A">
              <w:rPr>
                <w:lang w:val="en-AU"/>
              </w:rPr>
              <w:t>from 256 clinical departments of 83 German hospitals</w:t>
            </w:r>
            <w:r>
              <w:rPr>
                <w:lang w:val="en-AU"/>
              </w:rPr>
              <w:t>.</w:t>
            </w:r>
          </w:p>
          <w:p w:rsidR="00F1282A" w:rsidRPr="0048169F" w:rsidRDefault="00F1282A" w:rsidP="0075147B">
            <w:pPr>
              <w:rPr>
                <w:lang w:val="en-AU"/>
              </w:rPr>
            </w:pPr>
            <w:r>
              <w:rPr>
                <w:lang w:val="en-AU"/>
              </w:rPr>
              <w:t>The authors argue that they detect “</w:t>
            </w:r>
            <w:r w:rsidRPr="0075147B">
              <w:rPr>
                <w:b/>
                <w:lang w:val="en-AU"/>
              </w:rPr>
              <w:t>a mortality tipping point at an occupancy level of 92.5%</w:t>
            </w:r>
            <w:r>
              <w:rPr>
                <w:lang w:val="en-AU"/>
              </w:rPr>
              <w:t>”</w:t>
            </w:r>
            <w:r w:rsidR="0075147B">
              <w:rPr>
                <w:lang w:val="en-AU"/>
              </w:rPr>
              <w:t xml:space="preserve">. They suggest </w:t>
            </w:r>
            <w:r w:rsidR="0075147B" w:rsidRPr="0075147B">
              <w:rPr>
                <w:lang w:val="en-AU"/>
              </w:rPr>
              <w:t xml:space="preserve">that </w:t>
            </w:r>
            <w:r w:rsidR="0075147B">
              <w:rPr>
                <w:lang w:val="en-AU"/>
              </w:rPr>
              <w:t>“</w:t>
            </w:r>
            <w:r w:rsidR="0075147B" w:rsidRPr="0075147B">
              <w:rPr>
                <w:lang w:val="en-AU"/>
              </w:rPr>
              <w:t>safety tipping points occur when managerial escalation policies are exhausted and workload variability buffers are depleted. Front-line clinical staff is forced to ration resources and, at the same time, becomes more error prone</w:t>
            </w:r>
            <w:r>
              <w:rPr>
                <w:lang w:val="en-AU"/>
              </w:rPr>
              <w:t>.</w:t>
            </w:r>
            <w:r w:rsidR="0075147B">
              <w:rPr>
                <w:lang w:val="en-AU"/>
              </w:rPr>
              <w:t>” Flexible capacity expansion, with flexible staffing, and poolnig capacity across hospitals are suggested as means of avoiding the mortality tipping point.</w:t>
            </w:r>
          </w:p>
        </w:tc>
      </w:tr>
    </w:tbl>
    <w:p w:rsidR="00DB5A06" w:rsidRDefault="00DB5A06" w:rsidP="00DB5A06">
      <w:pPr>
        <w:rPr>
          <w:i/>
          <w:lang w:val="en-AU"/>
        </w:rPr>
      </w:pPr>
    </w:p>
    <w:p w:rsidR="00FA4467" w:rsidRPr="00E946C2" w:rsidRDefault="00FA4467" w:rsidP="00FA4467">
      <w:pPr>
        <w:keepNext/>
        <w:keepLines/>
        <w:autoSpaceDE w:val="0"/>
        <w:autoSpaceDN w:val="0"/>
        <w:adjustRightInd w:val="0"/>
        <w:rPr>
          <w:i/>
          <w:lang w:val="en-AU"/>
        </w:rPr>
      </w:pPr>
      <w:r w:rsidRPr="00E946C2">
        <w:rPr>
          <w:i/>
          <w:lang w:val="en-AU"/>
        </w:rPr>
        <w:t>Using a validated algorithm to judge the appropriateness of total knee arthroplasty in the United States: A multi-center longitudinal cohort study</w:t>
      </w:r>
    </w:p>
    <w:p w:rsidR="00FA4467" w:rsidRDefault="00FA4467" w:rsidP="00FA4467">
      <w:pPr>
        <w:keepNext/>
        <w:keepLines/>
        <w:autoSpaceDE w:val="0"/>
        <w:autoSpaceDN w:val="0"/>
        <w:adjustRightInd w:val="0"/>
        <w:rPr>
          <w:lang w:val="en-AU"/>
        </w:rPr>
      </w:pPr>
      <w:r w:rsidRPr="00155362">
        <w:rPr>
          <w:lang w:val="en-AU"/>
        </w:rPr>
        <w:t>Riddle DL, Jiranek WA and Hayes CW</w:t>
      </w:r>
    </w:p>
    <w:p w:rsidR="00FA4467" w:rsidRPr="0048169F" w:rsidRDefault="00FA4467" w:rsidP="00FA4467">
      <w:pPr>
        <w:keepNext/>
        <w:keepLines/>
        <w:autoSpaceDE w:val="0"/>
        <w:autoSpaceDN w:val="0"/>
        <w:adjustRightInd w:val="0"/>
        <w:rPr>
          <w:lang w:val="en-AU"/>
        </w:rPr>
      </w:pPr>
      <w:r w:rsidRPr="00155362">
        <w:rPr>
          <w:lang w:val="en-AU"/>
        </w:rPr>
        <w:t>Arthritis &amp; Rheumatology. 2014</w:t>
      </w:r>
      <w:r>
        <w:rPr>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FA4467" w:rsidRPr="0048169F" w:rsidTr="006C7C80">
        <w:tc>
          <w:tcPr>
            <w:tcW w:w="1080" w:type="dxa"/>
            <w:tcBorders>
              <w:top w:val="single" w:sz="4" w:space="0" w:color="auto"/>
              <w:left w:val="single" w:sz="4" w:space="0" w:color="auto"/>
              <w:bottom w:val="single" w:sz="4" w:space="0" w:color="auto"/>
              <w:right w:val="single" w:sz="4" w:space="0" w:color="auto"/>
            </w:tcBorders>
            <w:vAlign w:val="center"/>
          </w:tcPr>
          <w:p w:rsidR="00FA4467" w:rsidRPr="0048169F" w:rsidRDefault="00FA4467" w:rsidP="006C7C80">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A4467" w:rsidRPr="0048169F" w:rsidRDefault="002C27EF" w:rsidP="006C7C80">
            <w:pPr>
              <w:rPr>
                <w:lang w:val="en-AU"/>
              </w:rPr>
            </w:pPr>
            <w:hyperlink r:id="rId26" w:history="1">
              <w:r w:rsidR="00FA4467" w:rsidRPr="00ED46ED">
                <w:rPr>
                  <w:rStyle w:val="Hyperlink"/>
                  <w:lang w:val="en-AU"/>
                </w:rPr>
                <w:t>http://dx.doi.org/10.1002/art.38685</w:t>
              </w:r>
            </w:hyperlink>
          </w:p>
        </w:tc>
      </w:tr>
      <w:tr w:rsidR="00FA4467" w:rsidRPr="0048169F" w:rsidTr="006C7C80">
        <w:tc>
          <w:tcPr>
            <w:tcW w:w="1080" w:type="dxa"/>
            <w:tcBorders>
              <w:top w:val="single" w:sz="4" w:space="0" w:color="auto"/>
              <w:left w:val="single" w:sz="4" w:space="0" w:color="auto"/>
              <w:bottom w:val="single" w:sz="4" w:space="0" w:color="auto"/>
              <w:right w:val="single" w:sz="4" w:space="0" w:color="auto"/>
            </w:tcBorders>
            <w:vAlign w:val="center"/>
          </w:tcPr>
          <w:p w:rsidR="00FA4467" w:rsidRPr="0048169F" w:rsidRDefault="00FA4467" w:rsidP="006C7C80">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4467" w:rsidRDefault="00FA4467" w:rsidP="006C7C80">
            <w:pPr>
              <w:rPr>
                <w:lang w:val="en-AU"/>
              </w:rPr>
            </w:pPr>
            <w:r>
              <w:rPr>
                <w:lang w:val="en-AU"/>
              </w:rPr>
              <w:t xml:space="preserve">One of the key issues in discussions of variation in care is what proportion is unwarranted or inappropriate. This study sought to </w:t>
            </w:r>
            <w:r w:rsidRPr="00973977">
              <w:rPr>
                <w:lang w:val="en-AU"/>
              </w:rPr>
              <w:t xml:space="preserve">determine the </w:t>
            </w:r>
            <w:r>
              <w:rPr>
                <w:lang w:val="en-AU"/>
              </w:rPr>
              <w:t xml:space="preserve">proportion </w:t>
            </w:r>
            <w:r w:rsidRPr="00973977">
              <w:rPr>
                <w:lang w:val="en-AU"/>
              </w:rPr>
              <w:t xml:space="preserve">of total knee arthroplasty (TKA) surgeries that </w:t>
            </w:r>
            <w:r>
              <w:rPr>
                <w:lang w:val="en-AU"/>
              </w:rPr>
              <w:t xml:space="preserve">could be deemed </w:t>
            </w:r>
            <w:r w:rsidRPr="00973977">
              <w:rPr>
                <w:lang w:val="en-AU"/>
              </w:rPr>
              <w:t xml:space="preserve">as appropriate, inconclusive or inappropriate. </w:t>
            </w:r>
            <w:r>
              <w:rPr>
                <w:lang w:val="en-AU"/>
              </w:rPr>
              <w:t xml:space="preserve">From the literature the authors had hypothesised that approximately 20% would be classified as inappropriate. Applying the algorithm to 205 patients the study found </w:t>
            </w:r>
            <w:r w:rsidRPr="00973977">
              <w:rPr>
                <w:lang w:val="en-AU"/>
              </w:rPr>
              <w:t xml:space="preserve">44.0% </w:t>
            </w:r>
            <w:r>
              <w:rPr>
                <w:lang w:val="en-AU"/>
              </w:rPr>
              <w:t xml:space="preserve">were classified as </w:t>
            </w:r>
            <w:r w:rsidRPr="00973977">
              <w:rPr>
                <w:lang w:val="en-AU"/>
              </w:rPr>
              <w:t>appropriate, 21.7% inconclusive classifications and 34.3% inappropriate.</w:t>
            </w:r>
          </w:p>
          <w:p w:rsidR="00FA4467" w:rsidRPr="0048169F" w:rsidRDefault="00FA4467" w:rsidP="006C7C80">
            <w:pPr>
              <w:rPr>
                <w:lang w:val="en-AU"/>
              </w:rPr>
            </w:pPr>
            <w:r>
              <w:rPr>
                <w:lang w:val="en-AU"/>
              </w:rPr>
              <w:t>The authors concluded that “A</w:t>
            </w:r>
            <w:r w:rsidRPr="00155362">
              <w:rPr>
                <w:lang w:val="en-AU"/>
              </w:rPr>
              <w:t xml:space="preserve">pproximately </w:t>
            </w:r>
            <w:r w:rsidRPr="00973977">
              <w:rPr>
                <w:b/>
                <w:lang w:val="en-AU"/>
              </w:rPr>
              <w:t>a third of TKA surgeries were judged to be inappropriate</w:t>
            </w:r>
            <w:r>
              <w:rPr>
                <w:lang w:val="en-AU"/>
              </w:rPr>
              <w:t xml:space="preserve">. </w:t>
            </w:r>
            <w:r w:rsidRPr="00973977">
              <w:rPr>
                <w:lang w:val="en-AU"/>
              </w:rPr>
              <w:t xml:space="preserve">Variation in the characteristics of persons undergoing TKA was extensive. These data support the need for consensus development of criteria for patient selection among practitioners </w:t>
            </w:r>
            <w:r>
              <w:rPr>
                <w:lang w:val="en-AU"/>
              </w:rPr>
              <w:t>…</w:t>
            </w:r>
            <w:r w:rsidRPr="00973977">
              <w:rPr>
                <w:lang w:val="en-AU"/>
              </w:rPr>
              <w:t>treating potential TKA candidates.</w:t>
            </w:r>
            <w:r>
              <w:rPr>
                <w:lang w:val="en-AU"/>
              </w:rPr>
              <w:t>”</w:t>
            </w:r>
          </w:p>
        </w:tc>
      </w:tr>
    </w:tbl>
    <w:p w:rsidR="00FA4467" w:rsidRDefault="00FA4467" w:rsidP="00FA4467">
      <w:pPr>
        <w:rPr>
          <w:i/>
          <w:lang w:val="en-AU"/>
        </w:rPr>
      </w:pPr>
    </w:p>
    <w:p w:rsidR="004318A7" w:rsidRPr="004318A7" w:rsidRDefault="004318A7" w:rsidP="004318A7">
      <w:pPr>
        <w:keepNext/>
        <w:keepLines/>
        <w:autoSpaceDE w:val="0"/>
        <w:autoSpaceDN w:val="0"/>
        <w:adjustRightInd w:val="0"/>
        <w:rPr>
          <w:i/>
          <w:lang w:val="en-AU"/>
        </w:rPr>
      </w:pPr>
      <w:r w:rsidRPr="004318A7">
        <w:rPr>
          <w:i/>
          <w:lang w:val="en-AU"/>
        </w:rPr>
        <w:t>Identification and interference of intraoperative distractions and interruptions in operating rooms</w:t>
      </w:r>
    </w:p>
    <w:p w:rsidR="004318A7" w:rsidRDefault="004318A7" w:rsidP="00DB5A06">
      <w:pPr>
        <w:keepNext/>
        <w:keepLines/>
        <w:autoSpaceDE w:val="0"/>
        <w:autoSpaceDN w:val="0"/>
        <w:adjustRightInd w:val="0"/>
        <w:rPr>
          <w:lang w:val="en-AU"/>
        </w:rPr>
      </w:pPr>
      <w:r w:rsidRPr="004318A7">
        <w:rPr>
          <w:lang w:val="en-AU"/>
        </w:rPr>
        <w:t xml:space="preserve">Antoniadis S, Passauer-Baierl S, Baschnegger </w:t>
      </w:r>
      <w:r>
        <w:rPr>
          <w:lang w:val="en-AU"/>
        </w:rPr>
        <w:t>H and Weigl M</w:t>
      </w:r>
    </w:p>
    <w:p w:rsidR="00DB5A06" w:rsidRPr="0048169F" w:rsidRDefault="004318A7" w:rsidP="00DB5A06">
      <w:pPr>
        <w:keepNext/>
        <w:keepLines/>
        <w:autoSpaceDE w:val="0"/>
        <w:autoSpaceDN w:val="0"/>
        <w:adjustRightInd w:val="0"/>
        <w:rPr>
          <w:lang w:val="en-AU"/>
        </w:rPr>
      </w:pPr>
      <w:r w:rsidRPr="004318A7">
        <w:rPr>
          <w:lang w:val="en-AU"/>
        </w:rPr>
        <w:t>Journal of Surgical Research. 2014; 188: 21-9.</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48169F" w:rsidRDefault="002C27EF" w:rsidP="00E90086">
            <w:pPr>
              <w:rPr>
                <w:lang w:val="en-AU"/>
              </w:rPr>
            </w:pPr>
            <w:hyperlink r:id="rId27" w:history="1">
              <w:r w:rsidR="00043403" w:rsidRPr="00ED46ED">
                <w:rPr>
                  <w:rStyle w:val="Hyperlink"/>
                  <w:lang w:val="en-AU"/>
                </w:rPr>
                <w:t>http://dx.doi.org/10.1016/j.jss.2013.12.002</w:t>
              </w:r>
            </w:hyperlink>
            <w:r w:rsidR="00043403">
              <w:rPr>
                <w:lang w:val="en-AU"/>
              </w:rPr>
              <w:t xml:space="preserve"> </w:t>
            </w:r>
          </w:p>
        </w:tc>
      </w:tr>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Default="0075147B" w:rsidP="0075147B">
            <w:pPr>
              <w:rPr>
                <w:lang w:val="en-AU"/>
              </w:rPr>
            </w:pPr>
            <w:r>
              <w:rPr>
                <w:lang w:val="en-AU"/>
              </w:rPr>
              <w:t xml:space="preserve">The issue – and impact – of disruption has been examined in a number of settings. This paper reports on a </w:t>
            </w:r>
            <w:r w:rsidRPr="0075147B">
              <w:rPr>
                <w:lang w:val="en-AU"/>
              </w:rPr>
              <w:t xml:space="preserve">direct observation study </w:t>
            </w:r>
            <w:r>
              <w:rPr>
                <w:lang w:val="en-AU"/>
              </w:rPr>
              <w:t xml:space="preserve">of 65 surgical cases at 2 German surgical clinics that found </w:t>
            </w:r>
            <w:r w:rsidRPr="00F72841">
              <w:rPr>
                <w:b/>
                <w:lang w:val="en-AU"/>
              </w:rPr>
              <w:t>surgical teams were distracted or interrupted an average of 9.8 times per hour</w:t>
            </w:r>
            <w:r w:rsidRPr="0075147B">
              <w:rPr>
                <w:lang w:val="en-AU"/>
              </w:rPr>
              <w:t xml:space="preserve">, and </w:t>
            </w:r>
            <w:r>
              <w:rPr>
                <w:lang w:val="en-AU"/>
              </w:rPr>
              <w:t xml:space="preserve">the authors argue that </w:t>
            </w:r>
            <w:r w:rsidRPr="0075147B">
              <w:rPr>
                <w:lang w:val="en-AU"/>
              </w:rPr>
              <w:t>these disruptions detracted from inter</w:t>
            </w:r>
            <w:r>
              <w:rPr>
                <w:lang w:val="en-AU"/>
              </w:rPr>
              <w:t>-</w:t>
            </w:r>
            <w:r w:rsidRPr="0075147B">
              <w:rPr>
                <w:lang w:val="en-AU"/>
              </w:rPr>
              <w:t>operative teamwork.</w:t>
            </w:r>
          </w:p>
          <w:p w:rsidR="0075147B" w:rsidRPr="0048169F" w:rsidRDefault="0075147B" w:rsidP="00F72841">
            <w:pPr>
              <w:rPr>
                <w:lang w:val="en-AU"/>
              </w:rPr>
            </w:pPr>
            <w:r>
              <w:rPr>
                <w:lang w:val="en-AU"/>
              </w:rPr>
              <w:t xml:space="preserve">The most frequent interruptions/distractions were </w:t>
            </w:r>
            <w:r w:rsidRPr="0075147B">
              <w:rPr>
                <w:lang w:val="en-AU"/>
              </w:rPr>
              <w:t xml:space="preserve">people entering or exiting the </w:t>
            </w:r>
            <w:r>
              <w:rPr>
                <w:lang w:val="en-AU"/>
              </w:rPr>
              <w:t>operating theatre</w:t>
            </w:r>
            <w:r w:rsidRPr="0075147B">
              <w:rPr>
                <w:lang w:val="en-AU"/>
              </w:rPr>
              <w:t xml:space="preserve"> and telephone or </w:t>
            </w:r>
            <w:r>
              <w:rPr>
                <w:lang w:val="en-AU"/>
              </w:rPr>
              <w:t xml:space="preserve">pager </w:t>
            </w:r>
            <w:r w:rsidRPr="0075147B">
              <w:rPr>
                <w:lang w:val="en-AU"/>
              </w:rPr>
              <w:t>calls</w:t>
            </w:r>
            <w:r>
              <w:rPr>
                <w:lang w:val="en-AU"/>
              </w:rPr>
              <w:t>. However, e</w:t>
            </w:r>
            <w:r w:rsidRPr="0075147B">
              <w:rPr>
                <w:lang w:val="en-AU"/>
              </w:rPr>
              <w:t>quipment failures and environment–related disruptions</w:t>
            </w:r>
            <w:r>
              <w:rPr>
                <w:lang w:val="en-AU"/>
              </w:rPr>
              <w:t xml:space="preserve"> were rated as the most disruptive.</w:t>
            </w:r>
            <w:r w:rsidR="00F72841">
              <w:rPr>
                <w:lang w:val="en-AU"/>
              </w:rPr>
              <w:t xml:space="preserve"> The impact of such disruptions on safety and quality of care is implied but not measured.</w:t>
            </w:r>
          </w:p>
        </w:tc>
      </w:tr>
    </w:tbl>
    <w:p w:rsidR="00DB5A06" w:rsidRDefault="00DB5A06" w:rsidP="00DB5A06">
      <w:pPr>
        <w:rPr>
          <w:i/>
          <w:lang w:val="en-AU"/>
        </w:rPr>
      </w:pPr>
    </w:p>
    <w:p w:rsidR="00AC137D" w:rsidRPr="00AC137D" w:rsidRDefault="00AC137D" w:rsidP="00AC137D">
      <w:pPr>
        <w:keepNext/>
        <w:keepLines/>
        <w:autoSpaceDE w:val="0"/>
        <w:autoSpaceDN w:val="0"/>
        <w:adjustRightInd w:val="0"/>
        <w:rPr>
          <w:i/>
          <w:lang w:val="en-AU"/>
        </w:rPr>
      </w:pPr>
      <w:r w:rsidRPr="00AC137D">
        <w:rPr>
          <w:i/>
          <w:lang w:val="en-AU"/>
        </w:rPr>
        <w:lastRenderedPageBreak/>
        <w:t>Designing a Critical Care Nurse–Led Rapid Response Team Using Only Available Resources: 6 Years Later</w:t>
      </w:r>
    </w:p>
    <w:p w:rsidR="00AC137D" w:rsidRDefault="00AC137D" w:rsidP="00DB5A06">
      <w:pPr>
        <w:keepNext/>
        <w:keepLines/>
        <w:autoSpaceDE w:val="0"/>
        <w:autoSpaceDN w:val="0"/>
        <w:adjustRightInd w:val="0"/>
        <w:rPr>
          <w:lang w:val="en-AU"/>
        </w:rPr>
      </w:pPr>
      <w:r w:rsidRPr="00AC137D">
        <w:rPr>
          <w:lang w:val="en-AU"/>
        </w:rPr>
        <w:t>Mitchell A, Schatz M and Francis H</w:t>
      </w:r>
    </w:p>
    <w:p w:rsidR="00DB5A06" w:rsidRPr="0048169F" w:rsidRDefault="00AC137D" w:rsidP="00DB5A06">
      <w:pPr>
        <w:keepNext/>
        <w:keepLines/>
        <w:autoSpaceDE w:val="0"/>
        <w:autoSpaceDN w:val="0"/>
        <w:adjustRightInd w:val="0"/>
        <w:rPr>
          <w:lang w:val="en-AU"/>
        </w:rPr>
      </w:pPr>
      <w:r w:rsidRPr="00AC137D">
        <w:rPr>
          <w:lang w:val="en-AU"/>
        </w:rPr>
        <w:t>Critical Care Nurse. 2014; 34: 41-56.</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48169F" w:rsidRDefault="002C27EF" w:rsidP="00E90086">
            <w:pPr>
              <w:rPr>
                <w:lang w:val="en-AU"/>
              </w:rPr>
            </w:pPr>
            <w:hyperlink r:id="rId28" w:history="1">
              <w:r w:rsidR="00043403" w:rsidRPr="00ED46ED">
                <w:rPr>
                  <w:rStyle w:val="Hyperlink"/>
                  <w:lang w:val="en-AU"/>
                </w:rPr>
                <w:t>http://dx.doi.org/10.4037/ccn2014412</w:t>
              </w:r>
            </w:hyperlink>
            <w:r w:rsidR="00043403">
              <w:rPr>
                <w:lang w:val="en-AU"/>
              </w:rPr>
              <w:t xml:space="preserve"> </w:t>
            </w:r>
          </w:p>
        </w:tc>
      </w:tr>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48169F" w:rsidRDefault="00E946C2" w:rsidP="00E90086">
            <w:pPr>
              <w:rPr>
                <w:lang w:val="en-AU"/>
              </w:rPr>
            </w:pPr>
            <w:r>
              <w:rPr>
                <w:lang w:val="en-AU"/>
              </w:rPr>
              <w:t xml:space="preserve">Paper reporting on a </w:t>
            </w:r>
            <w:r w:rsidRPr="00E946C2">
              <w:rPr>
                <w:lang w:val="en-AU"/>
              </w:rPr>
              <w:t xml:space="preserve">quality improvement initiative </w:t>
            </w:r>
            <w:r>
              <w:rPr>
                <w:lang w:val="en-AU"/>
              </w:rPr>
              <w:t xml:space="preserve">that implemented </w:t>
            </w:r>
            <w:r w:rsidRPr="00E946C2">
              <w:rPr>
                <w:lang w:val="en-AU"/>
              </w:rPr>
              <w:t xml:space="preserve">a </w:t>
            </w:r>
            <w:r w:rsidRPr="00E946C2">
              <w:rPr>
                <w:b/>
                <w:lang w:val="en-AU"/>
              </w:rPr>
              <w:t>nurse-led rapid response team</w:t>
            </w:r>
            <w:r w:rsidRPr="00E946C2">
              <w:rPr>
                <w:lang w:val="en-AU"/>
              </w:rPr>
              <w:t xml:space="preserve">. </w:t>
            </w:r>
            <w:r>
              <w:rPr>
                <w:lang w:val="en-AU"/>
              </w:rPr>
              <w:t>The authors suggest that their experience “</w:t>
            </w:r>
            <w:r w:rsidRPr="00E946C2">
              <w:rPr>
                <w:lang w:val="en-AU"/>
              </w:rPr>
              <w:t xml:space="preserve">indicate that a sustainable and effective rapid response team response can be put into practice </w:t>
            </w:r>
            <w:r w:rsidRPr="00E946C2">
              <w:rPr>
                <w:b/>
                <w:lang w:val="en-AU"/>
              </w:rPr>
              <w:t>without increasing costs or adding positions</w:t>
            </w:r>
            <w:r w:rsidRPr="00E946C2">
              <w:rPr>
                <w:lang w:val="en-AU"/>
              </w:rPr>
              <w:t xml:space="preserve"> and can decrease the percentage of cardiopulmonary arrests occurring outside the intensive care unit.</w:t>
            </w:r>
            <w:r>
              <w:rPr>
                <w:lang w:val="en-AU"/>
              </w:rPr>
              <w:t>” However, the expansion of ICU capacity makes it hard to discern the true impact.</w:t>
            </w:r>
          </w:p>
        </w:tc>
      </w:tr>
    </w:tbl>
    <w:p w:rsidR="00DB5A06" w:rsidRDefault="00DB5A06" w:rsidP="00DB5A06">
      <w:pPr>
        <w:rPr>
          <w:i/>
          <w:lang w:val="en-AU"/>
        </w:rPr>
      </w:pPr>
    </w:p>
    <w:p w:rsidR="00231E53" w:rsidRDefault="00231E53" w:rsidP="00DB5A06">
      <w:pPr>
        <w:rPr>
          <w:i/>
          <w:lang w:val="en-AU"/>
        </w:rPr>
      </w:pPr>
      <w:bookmarkStart w:id="1" w:name="_GoBack"/>
      <w:bookmarkEnd w:id="1"/>
    </w:p>
    <w:p w:rsidR="00DB5A06" w:rsidRPr="0014372E" w:rsidRDefault="0014372E" w:rsidP="00DB5A06">
      <w:pPr>
        <w:keepNext/>
        <w:keepLines/>
        <w:autoSpaceDE w:val="0"/>
        <w:autoSpaceDN w:val="0"/>
        <w:adjustRightInd w:val="0"/>
        <w:rPr>
          <w:i/>
          <w:lang w:val="en-AU"/>
        </w:rPr>
      </w:pPr>
      <w:r w:rsidRPr="0014372E">
        <w:rPr>
          <w:i/>
          <w:lang w:val="en-AU"/>
        </w:rPr>
        <w:t>Health Affairs</w:t>
      </w:r>
    </w:p>
    <w:p w:rsidR="0014372E" w:rsidRPr="0048169F" w:rsidRDefault="0014372E" w:rsidP="00DB5A06">
      <w:pPr>
        <w:keepNext/>
        <w:keepLines/>
        <w:autoSpaceDE w:val="0"/>
        <w:autoSpaceDN w:val="0"/>
        <w:adjustRightInd w:val="0"/>
        <w:rPr>
          <w:lang w:val="en-AU"/>
        </w:rPr>
      </w:pPr>
      <w:r>
        <w:rPr>
          <w:lang w:val="en-AU"/>
        </w:rPr>
        <w:t>1 July 2014, Vol. 33 No. 7</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14372E" w:rsidP="00E9008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48169F" w:rsidRDefault="002C27EF" w:rsidP="00E90086">
            <w:pPr>
              <w:rPr>
                <w:lang w:val="en-AU"/>
              </w:rPr>
            </w:pPr>
            <w:hyperlink r:id="rId29" w:history="1">
              <w:r w:rsidR="0014372E" w:rsidRPr="00F9389B">
                <w:rPr>
                  <w:rStyle w:val="Hyperlink"/>
                  <w:lang w:val="en-AU"/>
                </w:rPr>
                <w:t>http://content.healthaffairs.org/content/33/7?etoc</w:t>
              </w:r>
            </w:hyperlink>
          </w:p>
        </w:tc>
      </w:tr>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372E" w:rsidRDefault="0014372E" w:rsidP="0014372E">
            <w:pPr>
              <w:rPr>
                <w:lang w:val="en-AU"/>
              </w:rPr>
            </w:pPr>
            <w:r>
              <w:rPr>
                <w:lang w:val="en-AU"/>
              </w:rPr>
              <w:t xml:space="preserve">The latest issue of </w:t>
            </w:r>
            <w:r w:rsidRPr="0014372E">
              <w:rPr>
                <w:i/>
                <w:lang w:val="en-AU"/>
              </w:rPr>
              <w:t>Health Affairs</w:t>
            </w:r>
            <w:r>
              <w:rPr>
                <w:lang w:val="en-AU"/>
              </w:rPr>
              <w:t xml:space="preserve"> has the theme ‘</w:t>
            </w:r>
            <w:r w:rsidRPr="0014372E">
              <w:rPr>
                <w:lang w:val="en-AU"/>
              </w:rPr>
              <w:t>Using Big Data To Transform Care</w:t>
            </w:r>
            <w:r>
              <w:rPr>
                <w:lang w:val="en-AU"/>
              </w:rPr>
              <w:t>’. Articles in this include:</w:t>
            </w:r>
          </w:p>
          <w:p w:rsidR="0014372E" w:rsidRDefault="0014372E" w:rsidP="0014372E">
            <w:pPr>
              <w:pStyle w:val="ListParagraph"/>
              <w:numPr>
                <w:ilvl w:val="0"/>
                <w:numId w:val="30"/>
              </w:numPr>
              <w:rPr>
                <w:lang w:val="en-AU"/>
              </w:rPr>
            </w:pPr>
            <w:r w:rsidRPr="0014372E">
              <w:rPr>
                <w:b/>
                <w:lang w:val="en-AU"/>
              </w:rPr>
              <w:t>Creating Value In Health Care Through Big Data</w:t>
            </w:r>
            <w:r w:rsidRPr="0014372E">
              <w:rPr>
                <w:lang w:val="en-AU"/>
              </w:rPr>
              <w:t>: Opportunities And Policy Implications</w:t>
            </w:r>
            <w:r>
              <w:rPr>
                <w:lang w:val="en-AU"/>
              </w:rPr>
              <w:t xml:space="preserve"> (</w:t>
            </w:r>
            <w:r w:rsidRPr="0014372E">
              <w:rPr>
                <w:lang w:val="en-AU"/>
              </w:rPr>
              <w:t>Joachim Roski, G W Bo-Linn, and T A Andrews</w:t>
            </w:r>
            <w:r>
              <w:rPr>
                <w:lang w:val="en-AU"/>
              </w:rPr>
              <w:t>)</w:t>
            </w:r>
          </w:p>
          <w:p w:rsidR="0014372E" w:rsidRDefault="0014372E" w:rsidP="0014372E">
            <w:pPr>
              <w:pStyle w:val="ListParagraph"/>
              <w:numPr>
                <w:ilvl w:val="0"/>
                <w:numId w:val="30"/>
              </w:numPr>
              <w:rPr>
                <w:lang w:val="en-AU"/>
              </w:rPr>
            </w:pPr>
            <w:r w:rsidRPr="0014372E">
              <w:rPr>
                <w:lang w:val="en-AU"/>
              </w:rPr>
              <w:t xml:space="preserve">Big Data In Health Care: Using Analytics To Identify And Manage </w:t>
            </w:r>
            <w:r w:rsidRPr="0014372E">
              <w:rPr>
                <w:b/>
                <w:lang w:val="en-AU"/>
              </w:rPr>
              <w:t>High-Risk And High-Cost Patients</w:t>
            </w:r>
            <w:r>
              <w:rPr>
                <w:lang w:val="en-AU"/>
              </w:rPr>
              <w:t xml:space="preserve"> (</w:t>
            </w:r>
            <w:r w:rsidRPr="0014372E">
              <w:rPr>
                <w:lang w:val="en-AU"/>
              </w:rPr>
              <w:t>David W Bates, Suchi Saria, Lucila Ohno-Machado, Anand Shah, and Gabriel Escobar</w:t>
            </w:r>
            <w:r>
              <w:rPr>
                <w:lang w:val="en-AU"/>
              </w:rPr>
              <w:t>)</w:t>
            </w:r>
          </w:p>
          <w:p w:rsidR="0014372E" w:rsidRPr="0014372E" w:rsidRDefault="0014372E" w:rsidP="0014372E">
            <w:pPr>
              <w:pStyle w:val="ListParagraph"/>
              <w:numPr>
                <w:ilvl w:val="0"/>
                <w:numId w:val="30"/>
              </w:numPr>
              <w:rPr>
                <w:lang w:val="en-AU"/>
              </w:rPr>
            </w:pPr>
            <w:r w:rsidRPr="0014372E">
              <w:rPr>
                <w:lang w:val="en-AU"/>
              </w:rPr>
              <w:t xml:space="preserve">The Legal And Ethical Concerns That Arise From Using </w:t>
            </w:r>
            <w:r w:rsidRPr="0014372E">
              <w:rPr>
                <w:b/>
                <w:lang w:val="en-AU"/>
              </w:rPr>
              <w:t>Complex Predictive Analytics</w:t>
            </w:r>
            <w:r w:rsidRPr="0014372E">
              <w:rPr>
                <w:lang w:val="en-AU"/>
              </w:rPr>
              <w:t xml:space="preserve"> In Health Care (I Glenn Cohen, Ruben Amarasingham, Anand Shah, Bin Xie, and Bernard Lo</w:t>
            </w:r>
            <w:r>
              <w:rPr>
                <w:lang w:val="en-AU"/>
              </w:rPr>
              <w:t>)</w:t>
            </w:r>
          </w:p>
          <w:p w:rsidR="0014372E" w:rsidRDefault="0014372E" w:rsidP="0014372E">
            <w:pPr>
              <w:pStyle w:val="ListParagraph"/>
              <w:numPr>
                <w:ilvl w:val="0"/>
                <w:numId w:val="30"/>
              </w:numPr>
              <w:rPr>
                <w:lang w:val="en-AU"/>
              </w:rPr>
            </w:pPr>
            <w:r w:rsidRPr="0014372E">
              <w:rPr>
                <w:lang w:val="en-AU"/>
              </w:rPr>
              <w:t xml:space="preserve">Implementing </w:t>
            </w:r>
            <w:r w:rsidRPr="0014372E">
              <w:rPr>
                <w:b/>
                <w:lang w:val="en-AU"/>
              </w:rPr>
              <w:t>Electronic Health Care Predictive Analytics</w:t>
            </w:r>
            <w:r w:rsidRPr="0014372E">
              <w:rPr>
                <w:lang w:val="en-AU"/>
              </w:rPr>
              <w:t>: Considerations And Challenges</w:t>
            </w:r>
            <w:r>
              <w:rPr>
                <w:lang w:val="en-AU"/>
              </w:rPr>
              <w:t xml:space="preserve"> (</w:t>
            </w:r>
            <w:r w:rsidRPr="0014372E">
              <w:rPr>
                <w:lang w:val="en-AU"/>
              </w:rPr>
              <w:t>Ruben Amarasingham, Rachel E. Patzer, Marco Huesch, Nam Q. Nguyen, and Bin Xie</w:t>
            </w:r>
            <w:r>
              <w:rPr>
                <w:lang w:val="en-AU"/>
              </w:rPr>
              <w:t>)</w:t>
            </w:r>
          </w:p>
          <w:p w:rsidR="0014372E" w:rsidRDefault="0014372E" w:rsidP="0014372E">
            <w:pPr>
              <w:pStyle w:val="ListParagraph"/>
              <w:numPr>
                <w:ilvl w:val="0"/>
                <w:numId w:val="30"/>
              </w:numPr>
              <w:rPr>
                <w:lang w:val="en-AU"/>
              </w:rPr>
            </w:pPr>
            <w:r w:rsidRPr="0014372E">
              <w:rPr>
                <w:lang w:val="en-AU"/>
              </w:rPr>
              <w:t xml:space="preserve">Big Data And New Knowledge In Medicine: The Thinking, Training, And Tools Needed For A </w:t>
            </w:r>
            <w:r w:rsidRPr="0014372E">
              <w:rPr>
                <w:b/>
                <w:lang w:val="en-AU"/>
              </w:rPr>
              <w:t>Learning Health System</w:t>
            </w:r>
            <w:r>
              <w:rPr>
                <w:lang w:val="en-AU"/>
              </w:rPr>
              <w:t xml:space="preserve"> (</w:t>
            </w:r>
            <w:r w:rsidRPr="0014372E">
              <w:rPr>
                <w:lang w:val="en-AU"/>
              </w:rPr>
              <w:t>Harlan M. Krumholz</w:t>
            </w:r>
            <w:r>
              <w:rPr>
                <w:lang w:val="en-AU"/>
              </w:rPr>
              <w:t>)</w:t>
            </w:r>
          </w:p>
          <w:p w:rsidR="0014372E" w:rsidRPr="0014372E" w:rsidRDefault="0014372E" w:rsidP="0014372E">
            <w:pPr>
              <w:pStyle w:val="ListParagraph"/>
              <w:numPr>
                <w:ilvl w:val="0"/>
                <w:numId w:val="30"/>
              </w:numPr>
              <w:rPr>
                <w:lang w:val="en-AU"/>
              </w:rPr>
            </w:pPr>
            <w:r w:rsidRPr="0014372E">
              <w:rPr>
                <w:b/>
                <w:lang w:val="en-AU"/>
              </w:rPr>
              <w:t>Patient-Powered Research Networks</w:t>
            </w:r>
            <w:r w:rsidRPr="0014372E">
              <w:rPr>
                <w:lang w:val="en-AU"/>
              </w:rPr>
              <w:t xml:space="preserve"> Aim To Improve Patient Care And Health Research (Rachael L Fleurence, Anne C Beal, Susan E Sheridan, Lorraine B Johnson, and Joe V Selby</w:t>
            </w:r>
            <w:r>
              <w:rPr>
                <w:lang w:val="en-AU"/>
              </w:rPr>
              <w:t>)</w:t>
            </w:r>
          </w:p>
          <w:p w:rsidR="0014372E" w:rsidRDefault="0014372E" w:rsidP="0014372E">
            <w:pPr>
              <w:pStyle w:val="ListParagraph"/>
              <w:numPr>
                <w:ilvl w:val="0"/>
                <w:numId w:val="30"/>
              </w:numPr>
              <w:rPr>
                <w:lang w:val="en-AU"/>
              </w:rPr>
            </w:pPr>
            <w:r w:rsidRPr="0014372E">
              <w:rPr>
                <w:lang w:val="en-AU"/>
              </w:rPr>
              <w:t xml:space="preserve">Assessing The Value Of Patient-Generated Data To </w:t>
            </w:r>
            <w:r w:rsidRPr="0014372E">
              <w:rPr>
                <w:b/>
                <w:lang w:val="en-AU"/>
              </w:rPr>
              <w:t>Comparative Effectiveness Research</w:t>
            </w:r>
            <w:r>
              <w:rPr>
                <w:lang w:val="en-AU"/>
              </w:rPr>
              <w:t xml:space="preserve"> (</w:t>
            </w:r>
            <w:r w:rsidRPr="0014372E">
              <w:rPr>
                <w:lang w:val="en-AU"/>
              </w:rPr>
              <w:t>Lynn Howie, Bradford Hirsch, Tracie Locklear, and Amy P Abernethy</w:t>
            </w:r>
            <w:r>
              <w:rPr>
                <w:lang w:val="en-AU"/>
              </w:rPr>
              <w:t>)</w:t>
            </w:r>
          </w:p>
          <w:p w:rsidR="0014372E" w:rsidRPr="0014372E" w:rsidRDefault="0014372E" w:rsidP="0014372E">
            <w:pPr>
              <w:pStyle w:val="ListParagraph"/>
              <w:numPr>
                <w:ilvl w:val="0"/>
                <w:numId w:val="30"/>
              </w:numPr>
              <w:rPr>
                <w:lang w:val="en-AU"/>
              </w:rPr>
            </w:pPr>
            <w:r w:rsidRPr="0014372E">
              <w:rPr>
                <w:lang w:val="en-AU"/>
              </w:rPr>
              <w:t xml:space="preserve">High Levels Of </w:t>
            </w:r>
            <w:r w:rsidRPr="0014372E">
              <w:rPr>
                <w:b/>
                <w:lang w:val="en-AU"/>
              </w:rPr>
              <w:t>Bed Occupancy</w:t>
            </w:r>
            <w:r w:rsidRPr="0014372E">
              <w:rPr>
                <w:lang w:val="en-AU"/>
              </w:rPr>
              <w:t xml:space="preserve"> Associated With Increased Inpatient And Thirty-Day </w:t>
            </w:r>
            <w:r w:rsidRPr="0014372E">
              <w:rPr>
                <w:b/>
                <w:lang w:val="en-AU"/>
              </w:rPr>
              <w:t>Hospital Mortality</w:t>
            </w:r>
            <w:r w:rsidRPr="0014372E">
              <w:rPr>
                <w:lang w:val="en-AU"/>
              </w:rPr>
              <w:t xml:space="preserve"> In Denmark</w:t>
            </w:r>
            <w:r>
              <w:rPr>
                <w:lang w:val="en-AU"/>
              </w:rPr>
              <w:t xml:space="preserve"> (</w:t>
            </w:r>
            <w:r w:rsidRPr="0014372E">
              <w:rPr>
                <w:lang w:val="en-AU"/>
              </w:rPr>
              <w:t>Flemming Madsen, Steen Ladelund, and Allan Linneberg</w:t>
            </w:r>
            <w:r>
              <w:rPr>
                <w:lang w:val="en-AU"/>
              </w:rPr>
              <w:t>)</w:t>
            </w:r>
          </w:p>
        </w:tc>
      </w:tr>
    </w:tbl>
    <w:p w:rsidR="0080436C" w:rsidRDefault="0080436C" w:rsidP="0080436C">
      <w:pPr>
        <w:keepNext/>
        <w:keepLines/>
        <w:autoSpaceDE w:val="0"/>
        <w:autoSpaceDN w:val="0"/>
        <w:adjustRightInd w:val="0"/>
        <w:rPr>
          <w:lang w:val="en-AU"/>
        </w:rPr>
      </w:pPr>
    </w:p>
    <w:p w:rsidR="00DB5A06" w:rsidRPr="0048169F" w:rsidRDefault="00DB5A06" w:rsidP="00DB5A06">
      <w:pPr>
        <w:keepNext/>
        <w:rPr>
          <w:lang w:val="en-AU"/>
        </w:rPr>
      </w:pPr>
      <w:r w:rsidRPr="0048169F">
        <w:rPr>
          <w:i/>
          <w:lang w:val="en-AU"/>
        </w:rPr>
        <w:t xml:space="preserve">BMJ Quality and Safety </w:t>
      </w:r>
      <w:r w:rsidRPr="0048169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48169F" w:rsidRDefault="002C27EF" w:rsidP="00E90086">
            <w:pPr>
              <w:rPr>
                <w:lang w:val="en-AU"/>
              </w:rPr>
            </w:pPr>
            <w:hyperlink r:id="rId30" w:history="1">
              <w:r w:rsidR="00DB5A06" w:rsidRPr="0048169F">
                <w:rPr>
                  <w:rStyle w:val="Hyperlink"/>
                  <w:lang w:val="en-AU"/>
                </w:rPr>
                <w:t>http://qualitysafety.bmj.com/content/early/recent</w:t>
              </w:r>
            </w:hyperlink>
          </w:p>
        </w:tc>
      </w:tr>
      <w:tr w:rsidR="00DB5A06" w:rsidRPr="0048169F"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48169F" w:rsidRDefault="00DB5A06" w:rsidP="00E90086">
            <w:pPr>
              <w:rPr>
                <w:lang w:val="en-AU"/>
              </w:rPr>
            </w:pPr>
            <w:r w:rsidRPr="0048169F">
              <w:rPr>
                <w:i/>
                <w:lang w:val="en-AU"/>
              </w:rPr>
              <w:t>BMJ Quality and Safety</w:t>
            </w:r>
            <w:r w:rsidRPr="0048169F">
              <w:rPr>
                <w:lang w:val="en-AU"/>
              </w:rPr>
              <w:t xml:space="preserve"> has published a number of ‘online first’ articles, including:</w:t>
            </w:r>
          </w:p>
          <w:p w:rsidR="00DB5A06" w:rsidRDefault="0078528C" w:rsidP="0078528C">
            <w:pPr>
              <w:pStyle w:val="ListParagraph"/>
              <w:numPr>
                <w:ilvl w:val="0"/>
                <w:numId w:val="14"/>
              </w:numPr>
              <w:rPr>
                <w:lang w:val="en-AU"/>
              </w:rPr>
            </w:pPr>
            <w:r w:rsidRPr="0078528C">
              <w:rPr>
                <w:lang w:val="en-AU"/>
              </w:rPr>
              <w:t xml:space="preserve">Quantification of the Hawthorne effect in </w:t>
            </w:r>
            <w:r w:rsidRPr="0078528C">
              <w:rPr>
                <w:b/>
                <w:lang w:val="en-AU"/>
              </w:rPr>
              <w:t>hand hygiene compliance</w:t>
            </w:r>
            <w:r w:rsidRPr="0078528C">
              <w:rPr>
                <w:lang w:val="en-AU"/>
              </w:rPr>
              <w:t xml:space="preserve"> monitoring using an electronic monitoring system: a retrospective cohort study </w:t>
            </w:r>
            <w:r>
              <w:rPr>
                <w:lang w:val="en-AU"/>
              </w:rPr>
              <w:t>(</w:t>
            </w:r>
            <w:r w:rsidRPr="0078528C">
              <w:rPr>
                <w:lang w:val="en-AU"/>
              </w:rPr>
              <w:t>Jocelyn A Srigley, Colin D Furness, G Ross Baker, M</w:t>
            </w:r>
            <w:r>
              <w:rPr>
                <w:lang w:val="en-AU"/>
              </w:rPr>
              <w:t xml:space="preserve"> </w:t>
            </w:r>
            <w:r w:rsidRPr="0078528C">
              <w:rPr>
                <w:lang w:val="en-AU"/>
              </w:rPr>
              <w:t>Gardam</w:t>
            </w:r>
            <w:r>
              <w:rPr>
                <w:lang w:val="en-AU"/>
              </w:rPr>
              <w:t>)</w:t>
            </w:r>
          </w:p>
          <w:p w:rsidR="00FA4467" w:rsidRDefault="00FA4467" w:rsidP="00FA4467">
            <w:pPr>
              <w:pStyle w:val="ListParagraph"/>
              <w:numPr>
                <w:ilvl w:val="0"/>
                <w:numId w:val="14"/>
              </w:numPr>
              <w:rPr>
                <w:lang w:val="en-AU"/>
              </w:rPr>
            </w:pPr>
            <w:r w:rsidRPr="00FA4467">
              <w:rPr>
                <w:lang w:val="en-AU"/>
              </w:rPr>
              <w:t xml:space="preserve">Assessing </w:t>
            </w:r>
            <w:r w:rsidRPr="00FA4467">
              <w:rPr>
                <w:b/>
                <w:lang w:val="en-AU"/>
              </w:rPr>
              <w:t>distractors and teamwork during surgery</w:t>
            </w:r>
            <w:r w:rsidRPr="00FA4467">
              <w:rPr>
                <w:lang w:val="en-AU"/>
              </w:rPr>
              <w:t xml:space="preserve">: developing an event-based method for direct observation </w:t>
            </w:r>
            <w:r>
              <w:rPr>
                <w:lang w:val="en-AU"/>
              </w:rPr>
              <w:t>(</w:t>
            </w:r>
            <w:r w:rsidRPr="00FA4467">
              <w:rPr>
                <w:lang w:val="en-AU"/>
              </w:rPr>
              <w:t>Julia C Seelandt, Franziska Tschan, S Keller, G Beldi, N Jenni, A Kurmann, D Candinas, N K Semmer</w:t>
            </w:r>
            <w:r>
              <w:rPr>
                <w:lang w:val="en-AU"/>
              </w:rPr>
              <w:t>)</w:t>
            </w:r>
          </w:p>
          <w:p w:rsidR="00FA4467" w:rsidRPr="0048169F" w:rsidRDefault="00FA4467" w:rsidP="00FA4467">
            <w:pPr>
              <w:pStyle w:val="ListParagraph"/>
              <w:numPr>
                <w:ilvl w:val="0"/>
                <w:numId w:val="14"/>
              </w:numPr>
              <w:rPr>
                <w:lang w:val="en-AU"/>
              </w:rPr>
            </w:pPr>
            <w:r w:rsidRPr="00FA4467">
              <w:rPr>
                <w:b/>
                <w:lang w:val="en-AU"/>
              </w:rPr>
              <w:lastRenderedPageBreak/>
              <w:t>Deafening silence?</w:t>
            </w:r>
            <w:r w:rsidRPr="00FA4467">
              <w:rPr>
                <w:lang w:val="en-AU"/>
              </w:rPr>
              <w:t xml:space="preserve"> Time to reconsider whether organisations are silent or deaf </w:t>
            </w:r>
            <w:r w:rsidRPr="00FA4467">
              <w:rPr>
                <w:b/>
                <w:lang w:val="en-AU"/>
              </w:rPr>
              <w:t>when things go wrong</w:t>
            </w:r>
            <w:r w:rsidRPr="00FA4467">
              <w:rPr>
                <w:lang w:val="en-AU"/>
              </w:rPr>
              <w:t xml:space="preserve"> </w:t>
            </w:r>
            <w:r>
              <w:rPr>
                <w:lang w:val="en-AU"/>
              </w:rPr>
              <w:t>(</w:t>
            </w:r>
            <w:r w:rsidRPr="00FA4467">
              <w:rPr>
                <w:lang w:val="en-AU"/>
              </w:rPr>
              <w:t>Aled Jones, Daniel Kelly</w:t>
            </w:r>
            <w:r>
              <w:rPr>
                <w:lang w:val="en-AU"/>
              </w:rPr>
              <w:t>)</w:t>
            </w:r>
          </w:p>
        </w:tc>
      </w:tr>
    </w:tbl>
    <w:p w:rsidR="00DB5A06" w:rsidRDefault="00DB5A06" w:rsidP="0080436C">
      <w:pPr>
        <w:keepNext/>
        <w:keepLines/>
        <w:autoSpaceDE w:val="0"/>
        <w:autoSpaceDN w:val="0"/>
        <w:adjustRightInd w:val="0"/>
        <w:rPr>
          <w:lang w:val="en-AU"/>
        </w:rPr>
      </w:pPr>
    </w:p>
    <w:p w:rsidR="00DB5A06" w:rsidRDefault="00DB5A06" w:rsidP="008C040D">
      <w:pPr>
        <w:rPr>
          <w:i/>
          <w:lang w:val="en-AU"/>
        </w:rPr>
      </w:pPr>
    </w:p>
    <w:p w:rsidR="00D80193" w:rsidRDefault="00DB5A06" w:rsidP="0029518F">
      <w:pPr>
        <w:rPr>
          <w:b/>
          <w:lang w:val="en-AU"/>
        </w:rPr>
      </w:pPr>
      <w:r>
        <w:rPr>
          <w:b/>
          <w:lang w:val="en-AU"/>
        </w:rPr>
        <w:t>Online resources</w:t>
      </w:r>
    </w:p>
    <w:p w:rsidR="00DB5A06" w:rsidRDefault="00DB5A06" w:rsidP="0029518F">
      <w:pPr>
        <w:rPr>
          <w:lang w:val="en-AU"/>
        </w:rPr>
      </w:pPr>
    </w:p>
    <w:p w:rsidR="00F714F3" w:rsidRPr="00F714F3" w:rsidRDefault="00F714F3" w:rsidP="00F714F3">
      <w:pPr>
        <w:rPr>
          <w:i/>
          <w:lang w:val="en-AU"/>
        </w:rPr>
      </w:pPr>
      <w:r w:rsidRPr="00F714F3">
        <w:rPr>
          <w:i/>
          <w:lang w:val="en-AU"/>
        </w:rPr>
        <w:t>New health communication and participation evidence bulletins</w:t>
      </w:r>
    </w:p>
    <w:p w:rsidR="00F714F3" w:rsidRDefault="002C27EF" w:rsidP="00F714F3">
      <w:pPr>
        <w:rPr>
          <w:lang w:val="en-AU"/>
        </w:rPr>
      </w:pPr>
      <w:hyperlink r:id="rId31" w:history="1">
        <w:r w:rsidR="00F714F3" w:rsidRPr="008551B2">
          <w:rPr>
            <w:rStyle w:val="Hyperlink"/>
            <w:lang w:val="en-AU"/>
          </w:rPr>
          <w:t>http://www.latrobe.edu.au/aipca/about/chcp/health-knowledge-network/bulletins</w:t>
        </w:r>
      </w:hyperlink>
    </w:p>
    <w:p w:rsidR="00F714F3" w:rsidRPr="00F714F3" w:rsidRDefault="00F714F3" w:rsidP="00F714F3">
      <w:pPr>
        <w:rPr>
          <w:lang w:val="en-AU"/>
        </w:rPr>
      </w:pPr>
      <w:r>
        <w:rPr>
          <w:lang w:val="en-AU"/>
        </w:rPr>
        <w:t xml:space="preserve">The </w:t>
      </w:r>
      <w:r w:rsidRPr="00F714F3">
        <w:rPr>
          <w:lang w:val="en-AU"/>
        </w:rPr>
        <w:t xml:space="preserve">Health Knowledge Network </w:t>
      </w:r>
      <w:r>
        <w:rPr>
          <w:lang w:val="en-AU"/>
        </w:rPr>
        <w:t xml:space="preserve">of Latrobe University’s </w:t>
      </w:r>
      <w:r w:rsidRPr="00F714F3">
        <w:rPr>
          <w:lang w:val="en-AU"/>
        </w:rPr>
        <w:t>Centre for Health Communication and Participation</w:t>
      </w:r>
      <w:r>
        <w:rPr>
          <w:lang w:val="en-AU"/>
        </w:rPr>
        <w:t xml:space="preserve"> has published two new evidence bulletins.</w:t>
      </w:r>
      <w:r w:rsidRPr="00F714F3">
        <w:t xml:space="preserve"> </w:t>
      </w:r>
      <w:r w:rsidRPr="00F714F3">
        <w:rPr>
          <w:lang w:val="en-AU"/>
        </w:rPr>
        <w:t xml:space="preserve">These bulletins summarise recent systematic reviews published by the Cochrane Consumers and Communication Review Group and consider the relevance of review findings to the </w:t>
      </w:r>
      <w:r>
        <w:rPr>
          <w:lang w:val="en-AU"/>
        </w:rPr>
        <w:t>local (</w:t>
      </w:r>
      <w:r w:rsidRPr="00F714F3">
        <w:rPr>
          <w:lang w:val="en-AU"/>
        </w:rPr>
        <w:t>Victorian</w:t>
      </w:r>
      <w:r>
        <w:rPr>
          <w:lang w:val="en-AU"/>
        </w:rPr>
        <w:t>)</w:t>
      </w:r>
      <w:r w:rsidRPr="00F714F3">
        <w:rPr>
          <w:lang w:val="en-AU"/>
        </w:rPr>
        <w:t xml:space="preserve"> health care context</w:t>
      </w:r>
      <w:r>
        <w:rPr>
          <w:lang w:val="en-AU"/>
        </w:rPr>
        <w:t>. The two bulletins are:</w:t>
      </w:r>
    </w:p>
    <w:p w:rsidR="00F714F3" w:rsidRPr="00F714F3" w:rsidRDefault="00F714F3" w:rsidP="00F714F3">
      <w:pPr>
        <w:pStyle w:val="ListParagraph"/>
        <w:numPr>
          <w:ilvl w:val="0"/>
          <w:numId w:val="15"/>
        </w:numPr>
        <w:rPr>
          <w:b/>
          <w:lang w:val="en-AU"/>
        </w:rPr>
      </w:pPr>
      <w:r w:rsidRPr="00F714F3">
        <w:rPr>
          <w:b/>
          <w:lang w:val="en-AU"/>
        </w:rPr>
        <w:t xml:space="preserve">Cultural competence education for health professionals </w:t>
      </w:r>
    </w:p>
    <w:p w:rsidR="00F714F3" w:rsidRPr="00F714F3" w:rsidRDefault="00F714F3" w:rsidP="00F714F3">
      <w:pPr>
        <w:pStyle w:val="ListParagraph"/>
        <w:numPr>
          <w:ilvl w:val="0"/>
          <w:numId w:val="15"/>
        </w:numPr>
        <w:rPr>
          <w:b/>
          <w:lang w:val="en-AU"/>
        </w:rPr>
      </w:pPr>
      <w:r w:rsidRPr="00F714F3">
        <w:rPr>
          <w:b/>
          <w:lang w:val="en-AU"/>
        </w:rPr>
        <w:t>Interventions for providers to promote a patient-approach in clinical consultations</w:t>
      </w:r>
    </w:p>
    <w:p w:rsidR="00DB5A06" w:rsidRPr="00DB5A06" w:rsidRDefault="00DB5A06" w:rsidP="0029518F">
      <w:pPr>
        <w:rPr>
          <w:lang w:val="en-AU"/>
        </w:rPr>
      </w:pPr>
    </w:p>
    <w:p w:rsidR="00B160EF" w:rsidRPr="0048169F" w:rsidRDefault="00B160EF" w:rsidP="00B160EF">
      <w:pPr>
        <w:keepNext/>
        <w:pBdr>
          <w:top w:val="single" w:sz="4" w:space="1" w:color="auto"/>
        </w:pBdr>
        <w:rPr>
          <w:b/>
          <w:lang w:val="en-AU"/>
        </w:rPr>
      </w:pPr>
      <w:r w:rsidRPr="0048169F">
        <w:rPr>
          <w:b/>
          <w:lang w:val="en-AU"/>
        </w:rPr>
        <w:t>Disclaimer</w:t>
      </w:r>
    </w:p>
    <w:p w:rsidR="00E41D2F" w:rsidRPr="0048169F" w:rsidRDefault="00B160EF" w:rsidP="00B160EF">
      <w:pPr>
        <w:rPr>
          <w:lang w:val="en-AU"/>
        </w:rPr>
      </w:pPr>
      <w:r w:rsidRPr="0048169F">
        <w:rPr>
          <w:i/>
          <w:lang w:val="en-AU"/>
        </w:rPr>
        <w:t xml:space="preserve">On the </w:t>
      </w:r>
      <w:r w:rsidR="001A66F9" w:rsidRPr="0048169F">
        <w:rPr>
          <w:i/>
          <w:lang w:val="en-AU"/>
        </w:rPr>
        <w:t>R</w:t>
      </w:r>
      <w:r w:rsidRPr="0048169F">
        <w:rPr>
          <w:i/>
          <w:lang w:val="en-AU"/>
        </w:rPr>
        <w:t>adar</w:t>
      </w:r>
      <w:r w:rsidRPr="0048169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48169F"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EF" w:rsidRDefault="002C27EF">
      <w:r>
        <w:separator/>
      </w:r>
    </w:p>
  </w:endnote>
  <w:endnote w:type="continuationSeparator" w:id="0">
    <w:p w:rsidR="002C27EF" w:rsidRDefault="002C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31E53">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B5A06">
      <w:t xml:space="preserve"> Issue 182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1E53">
      <w:rPr>
        <w:rStyle w:val="PageNumber"/>
        <w:noProof/>
      </w:rPr>
      <w:t>5</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DB5A06">
      <w:t xml:space="preserve"> Issue 182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EF" w:rsidRDefault="002C27EF">
      <w:r>
        <w:separator/>
      </w:r>
    </w:p>
  </w:footnote>
  <w:footnote w:type="continuationSeparator" w:id="0">
    <w:p w:rsidR="002C27EF" w:rsidRDefault="002C2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5">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6">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3E6E8E"/>
    <w:multiLevelType w:val="hybridMultilevel"/>
    <w:tmpl w:val="470AC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30"/>
  </w:num>
  <w:num w:numId="16">
    <w:abstractNumId w:val="13"/>
  </w:num>
  <w:num w:numId="17">
    <w:abstractNumId w:val="23"/>
  </w:num>
  <w:num w:numId="18">
    <w:abstractNumId w:val="12"/>
  </w:num>
  <w:num w:numId="19">
    <w:abstractNumId w:val="28"/>
  </w:num>
  <w:num w:numId="20">
    <w:abstractNumId w:val="16"/>
  </w:num>
  <w:num w:numId="21">
    <w:abstractNumId w:val="15"/>
  </w:num>
  <w:num w:numId="22">
    <w:abstractNumId w:val="10"/>
  </w:num>
  <w:num w:numId="23">
    <w:abstractNumId w:val="21"/>
  </w:num>
  <w:num w:numId="24">
    <w:abstractNumId w:val="11"/>
  </w:num>
  <w:num w:numId="25">
    <w:abstractNumId w:val="24"/>
  </w:num>
  <w:num w:numId="26">
    <w:abstractNumId w:val="17"/>
  </w:num>
  <w:num w:numId="27">
    <w:abstractNumId w:val="25"/>
  </w:num>
  <w:num w:numId="28">
    <w:abstractNumId w:val="18"/>
  </w:num>
  <w:num w:numId="29">
    <w:abstractNumId w:val="26"/>
  </w:num>
  <w:num w:numId="30">
    <w:abstractNumId w:val="14"/>
  </w:num>
  <w:num w:numId="31">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4AB"/>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1E53"/>
    <w:rsid w:val="00232176"/>
    <w:rsid w:val="002322F9"/>
    <w:rsid w:val="00232350"/>
    <w:rsid w:val="00232D77"/>
    <w:rsid w:val="00232FA8"/>
    <w:rsid w:val="00233756"/>
    <w:rsid w:val="0023380D"/>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27EF"/>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A7C"/>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5B83"/>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DE9"/>
    <w:rsid w:val="00581DF6"/>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FD9"/>
    <w:rsid w:val="00664520"/>
    <w:rsid w:val="00664541"/>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CBE"/>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3FA"/>
    <w:rsid w:val="009156A8"/>
    <w:rsid w:val="00915B36"/>
    <w:rsid w:val="00915BDF"/>
    <w:rsid w:val="00915C41"/>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B4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8B1"/>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A35"/>
    <w:rsid w:val="00A83E18"/>
    <w:rsid w:val="00A83F08"/>
    <w:rsid w:val="00A8405E"/>
    <w:rsid w:val="00A84250"/>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902"/>
    <w:rsid w:val="00AB6ACE"/>
    <w:rsid w:val="00AB76E9"/>
    <w:rsid w:val="00AB77A4"/>
    <w:rsid w:val="00AB7DFD"/>
    <w:rsid w:val="00AC0084"/>
    <w:rsid w:val="00AC045C"/>
    <w:rsid w:val="00AC0C25"/>
    <w:rsid w:val="00AC1362"/>
    <w:rsid w:val="00AC137D"/>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16C"/>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141A"/>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B58"/>
    <w:rsid w:val="00BF3CCC"/>
    <w:rsid w:val="00BF3D49"/>
    <w:rsid w:val="00BF3D7B"/>
    <w:rsid w:val="00BF3DCD"/>
    <w:rsid w:val="00BF3F20"/>
    <w:rsid w:val="00BF48FF"/>
    <w:rsid w:val="00BF4D68"/>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48A"/>
    <w:rsid w:val="00C346B7"/>
    <w:rsid w:val="00C353F5"/>
    <w:rsid w:val="00C354A0"/>
    <w:rsid w:val="00C35747"/>
    <w:rsid w:val="00C35C58"/>
    <w:rsid w:val="00C35E60"/>
    <w:rsid w:val="00C35FB9"/>
    <w:rsid w:val="00C3602D"/>
    <w:rsid w:val="00C36243"/>
    <w:rsid w:val="00C3651D"/>
    <w:rsid w:val="00C36621"/>
    <w:rsid w:val="00C36677"/>
    <w:rsid w:val="00C36B42"/>
    <w:rsid w:val="00C36FD3"/>
    <w:rsid w:val="00C372BE"/>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19"/>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155"/>
    <w:rsid w:val="00CB3214"/>
    <w:rsid w:val="00CB3983"/>
    <w:rsid w:val="00CB432B"/>
    <w:rsid w:val="00CB4765"/>
    <w:rsid w:val="00CB4CD1"/>
    <w:rsid w:val="00CB5760"/>
    <w:rsid w:val="00CB66FD"/>
    <w:rsid w:val="00CB6B38"/>
    <w:rsid w:val="00CB6B58"/>
    <w:rsid w:val="00CB6DC3"/>
    <w:rsid w:val="00CB6E58"/>
    <w:rsid w:val="00CB70B1"/>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4A1"/>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6F4A"/>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A6"/>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59CB"/>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mass.gov/anf/docs/hpc/2013-cost-trends-report-full-report.pdf" TargetMode="External"/><Relationship Id="rId26" Type="http://schemas.openxmlformats.org/officeDocument/2006/relationships/hyperlink" Target="http://dx.doi.org/10.1002/art.38685" TargetMode="External"/><Relationship Id="rId3" Type="http://schemas.openxmlformats.org/officeDocument/2006/relationships/styles" Target="styles.xml"/><Relationship Id="rId21" Type="http://schemas.openxmlformats.org/officeDocument/2006/relationships/hyperlink" Target="http://www.safetyandquality.gov.au/our-work/safety-in-e-health/"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medicalpracticevariation@safetyandquality.gov.au" TargetMode="External"/><Relationship Id="rId25" Type="http://schemas.openxmlformats.org/officeDocument/2006/relationships/hyperlink" Target="http://dx.doi.org/10.1287/mnsc.2014.1917"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afetyandquality.gov.au/publications/exploring-healthcare-variation-in-australia/" TargetMode="External"/><Relationship Id="rId20" Type="http://schemas.openxmlformats.org/officeDocument/2006/relationships/hyperlink" Target="http://www.ihi.org/resources/Pages/Publications/AFrameworkforSelectingDigitalHealthTechnology.aspx" TargetMode="External"/><Relationship Id="rId29" Type="http://schemas.openxmlformats.org/officeDocument/2006/relationships/hyperlink" Target="http://content.healthaffairs.org/content/33/7?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16/j.ajic.2013.12.024"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healthcare-associated-infection/" TargetMode="External"/><Relationship Id="rId28" Type="http://schemas.openxmlformats.org/officeDocument/2006/relationships/hyperlink" Target="http://dx.doi.org/10.4037/ccn2014412"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hpoe.org/resources/hpoehretaha-guides/1637" TargetMode="External"/><Relationship Id="rId31" Type="http://schemas.openxmlformats.org/officeDocument/2006/relationships/hyperlink" Target="http://www.latrobe.edu.au/aipca/about/chcp/health-knowledge-network/bulletin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97/QCO.0000000000000077" TargetMode="External"/><Relationship Id="rId27" Type="http://schemas.openxmlformats.org/officeDocument/2006/relationships/hyperlink" Target="http://dx.doi.org/10.1016/j.jss.2013.12.002" TargetMode="External"/><Relationship Id="rId30" Type="http://schemas.openxmlformats.org/officeDocument/2006/relationships/hyperlink" Target="http://qualitysafety.bmj.com/content/early/recen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F7DA-04E5-4966-8F92-19744F97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6</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16986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21</cp:revision>
  <cp:lastPrinted>2013-06-06T03:47:00Z</cp:lastPrinted>
  <dcterms:created xsi:type="dcterms:W3CDTF">2014-07-06T23:28:00Z</dcterms:created>
  <dcterms:modified xsi:type="dcterms:W3CDTF">2014-07-13T06:51:00Z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