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C09E7" w:rsidRDefault="00824B99" w:rsidP="00B608DA">
      <w:pPr>
        <w:pStyle w:val="Heading1"/>
        <w:jc w:val="both"/>
        <w:rPr>
          <w:rFonts w:ascii="Bookman Old Style" w:hAnsi="Bookman Old Style"/>
          <w:sz w:val="48"/>
          <w:szCs w:val="48"/>
          <w:lang w:val="en-AU"/>
        </w:rPr>
      </w:pPr>
      <w:r w:rsidRPr="000C09E7">
        <w:rPr>
          <w:rFonts w:ascii="Bookman Old Style" w:hAnsi="Bookman Old Style"/>
          <w:noProof/>
          <w:sz w:val="48"/>
          <w:szCs w:val="48"/>
          <w:lang w:val="en-AU" w:eastAsia="en-AU"/>
        </w:rPr>
        <w:drawing>
          <wp:anchor distT="0" distB="0" distL="114300" distR="114300" simplePos="0" relativeHeight="251659264" behindDoc="1" locked="0" layoutInCell="1" allowOverlap="1" wp14:anchorId="2026C2E4" wp14:editId="0A0F79E0">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C09E7">
        <w:rPr>
          <w:rFonts w:ascii="Bookman Old Style" w:hAnsi="Bookman Old Style"/>
          <w:sz w:val="48"/>
          <w:szCs w:val="48"/>
          <w:lang w:val="en-AU"/>
        </w:rPr>
        <w:t>On the Radar</w:t>
      </w:r>
    </w:p>
    <w:p w:rsidR="00B160EF" w:rsidRPr="000C09E7" w:rsidRDefault="00715F47" w:rsidP="00B160EF">
      <w:pPr>
        <w:rPr>
          <w:color w:val="000000"/>
          <w:lang w:val="en-AU"/>
        </w:rPr>
      </w:pPr>
      <w:r w:rsidRPr="000C09E7">
        <w:rPr>
          <w:color w:val="000000"/>
          <w:lang w:val="en-AU"/>
        </w:rPr>
        <w:t xml:space="preserve">Issue </w:t>
      </w:r>
      <w:r w:rsidR="00ED198B" w:rsidRPr="000C09E7">
        <w:rPr>
          <w:color w:val="000000"/>
          <w:lang w:val="en-AU"/>
        </w:rPr>
        <w:t>1</w:t>
      </w:r>
      <w:r w:rsidR="006A0F4E" w:rsidRPr="000C09E7">
        <w:rPr>
          <w:color w:val="000000"/>
          <w:lang w:val="en-AU"/>
        </w:rPr>
        <w:t>86</w:t>
      </w:r>
    </w:p>
    <w:p w:rsidR="000F7901" w:rsidRPr="000C09E7" w:rsidRDefault="006A0F4E" w:rsidP="00B160EF">
      <w:pPr>
        <w:rPr>
          <w:lang w:val="en-AU"/>
        </w:rPr>
      </w:pPr>
      <w:r w:rsidRPr="000C09E7">
        <w:rPr>
          <w:lang w:val="en-AU"/>
        </w:rPr>
        <w:t>11</w:t>
      </w:r>
      <w:r w:rsidR="008A25FD" w:rsidRPr="000C09E7">
        <w:rPr>
          <w:lang w:val="en-AU"/>
        </w:rPr>
        <w:t xml:space="preserve"> August </w:t>
      </w:r>
      <w:r w:rsidR="000F7901" w:rsidRPr="000C09E7">
        <w:rPr>
          <w:lang w:val="en-AU"/>
        </w:rPr>
        <w:t>2014</w:t>
      </w:r>
    </w:p>
    <w:p w:rsidR="00566895" w:rsidRPr="000C09E7" w:rsidRDefault="00566895" w:rsidP="00B160EF">
      <w:pPr>
        <w:rPr>
          <w:lang w:val="en-AU"/>
        </w:rPr>
      </w:pPr>
    </w:p>
    <w:p w:rsidR="00B160EF" w:rsidRPr="000C09E7" w:rsidRDefault="00B160EF" w:rsidP="00B160EF">
      <w:pPr>
        <w:rPr>
          <w:lang w:val="en-AU"/>
        </w:rPr>
      </w:pPr>
      <w:r w:rsidRPr="000C09E7">
        <w:rPr>
          <w:i/>
          <w:lang w:val="en-AU"/>
        </w:rPr>
        <w:t>On the Radar</w:t>
      </w:r>
      <w:r w:rsidRPr="000C09E7">
        <w:rPr>
          <w:lang w:val="en-AU"/>
        </w:rPr>
        <w:t xml:space="preserve"> is a summary of some of the recent publications in the areas of safety and quality in health care. Inclusion in this document is not an endorsement or recommendation of any publication or provider.</w:t>
      </w:r>
    </w:p>
    <w:p w:rsidR="00B160EF" w:rsidRPr="000C09E7" w:rsidRDefault="00B160EF" w:rsidP="00B160EF">
      <w:pPr>
        <w:rPr>
          <w:lang w:val="en-AU"/>
        </w:rPr>
      </w:pPr>
    </w:p>
    <w:p w:rsidR="00B160EF" w:rsidRPr="000C09E7" w:rsidRDefault="00B160EF" w:rsidP="00B160EF">
      <w:pPr>
        <w:rPr>
          <w:b/>
          <w:lang w:val="en-AU"/>
        </w:rPr>
      </w:pPr>
      <w:r w:rsidRPr="000C09E7">
        <w:rPr>
          <w:lang w:val="en-AU"/>
        </w:rPr>
        <w:t>Access to particular documents may depend on whether they are Open Access or not, and/or your individual or institutional access to subscription sites/services.</w:t>
      </w:r>
      <w:r w:rsidR="00F460A7" w:rsidRPr="000C09E7">
        <w:rPr>
          <w:lang w:val="en-AU"/>
        </w:rPr>
        <w:t xml:space="preserve"> Material that may require subscription is included as it is considered relevant.</w:t>
      </w:r>
    </w:p>
    <w:p w:rsidR="00B160EF" w:rsidRPr="000C09E7" w:rsidRDefault="00B160EF" w:rsidP="00B160EF">
      <w:pPr>
        <w:rPr>
          <w:lang w:val="en-AU"/>
        </w:rPr>
      </w:pPr>
    </w:p>
    <w:p w:rsidR="00230D83" w:rsidRPr="000C09E7" w:rsidRDefault="00B160EF" w:rsidP="0045757F">
      <w:pPr>
        <w:autoSpaceDE w:val="0"/>
        <w:rPr>
          <w:lang w:val="en-AU"/>
        </w:rPr>
      </w:pPr>
      <w:r w:rsidRPr="000C09E7">
        <w:rPr>
          <w:i/>
          <w:lang w:val="en-AU"/>
        </w:rPr>
        <w:t>On the Radar</w:t>
      </w:r>
      <w:r w:rsidRPr="000C09E7">
        <w:rPr>
          <w:lang w:val="en-AU"/>
        </w:rPr>
        <w:t xml:space="preserve"> is available </w:t>
      </w:r>
      <w:r w:rsidR="003D1E7A" w:rsidRPr="000C09E7">
        <w:rPr>
          <w:lang w:val="en-AU"/>
        </w:rPr>
        <w:t xml:space="preserve">online, </w:t>
      </w:r>
      <w:r w:rsidRPr="000C09E7">
        <w:rPr>
          <w:lang w:val="en-AU"/>
        </w:rPr>
        <w:t xml:space="preserve">via email or as a PDF document from </w:t>
      </w:r>
      <w:hyperlink r:id="rId10" w:history="1">
        <w:r w:rsidR="00230D83" w:rsidRPr="000C09E7">
          <w:rPr>
            <w:rStyle w:val="Hyperlink"/>
            <w:lang w:val="en-AU"/>
          </w:rPr>
          <w:t>http://www.safetyandquality.gov.au/publications-resources/on-the-radar/</w:t>
        </w:r>
      </w:hyperlink>
    </w:p>
    <w:p w:rsidR="0090536C" w:rsidRPr="000C09E7" w:rsidRDefault="0090536C" w:rsidP="0045757F">
      <w:pPr>
        <w:autoSpaceDE w:val="0"/>
        <w:rPr>
          <w:lang w:val="en-AU"/>
        </w:rPr>
      </w:pPr>
    </w:p>
    <w:p w:rsidR="00B160EF" w:rsidRPr="000C09E7" w:rsidRDefault="00B160EF" w:rsidP="0045757F">
      <w:pPr>
        <w:autoSpaceDE w:val="0"/>
        <w:rPr>
          <w:lang w:val="en-AU"/>
        </w:rPr>
      </w:pPr>
      <w:r w:rsidRPr="000C09E7">
        <w:rPr>
          <w:lang w:val="en-AU"/>
        </w:rPr>
        <w:t xml:space="preserve">If you would like to receive </w:t>
      </w:r>
      <w:r w:rsidRPr="000C09E7">
        <w:rPr>
          <w:i/>
          <w:lang w:val="en-AU"/>
        </w:rPr>
        <w:t>On the Radar</w:t>
      </w:r>
      <w:r w:rsidRPr="000C09E7">
        <w:rPr>
          <w:lang w:val="en-AU"/>
        </w:rPr>
        <w:t xml:space="preserve"> via email</w:t>
      </w:r>
      <w:r w:rsidR="003D7B9E" w:rsidRPr="000C09E7">
        <w:rPr>
          <w:lang w:val="en-AU"/>
        </w:rPr>
        <w:t>, you can</w:t>
      </w:r>
      <w:r w:rsidR="00F24F60" w:rsidRPr="000C09E7">
        <w:rPr>
          <w:lang w:val="en-AU"/>
        </w:rPr>
        <w:t xml:space="preserve"> subscribe on our website </w:t>
      </w:r>
      <w:hyperlink r:id="rId11" w:history="1">
        <w:r w:rsidR="00F24F60" w:rsidRPr="000C09E7">
          <w:rPr>
            <w:rStyle w:val="Hyperlink"/>
            <w:lang w:val="en-AU"/>
          </w:rPr>
          <w:t>http://www.safetyandquality.gov.au/</w:t>
        </w:r>
      </w:hyperlink>
      <w:r w:rsidR="003D7B9E" w:rsidRPr="000C09E7">
        <w:rPr>
          <w:lang w:val="en-AU"/>
        </w:rPr>
        <w:t xml:space="preserve"> or by emailing us at </w:t>
      </w:r>
      <w:r w:rsidR="003D7B9E" w:rsidRPr="000C09E7">
        <w:rPr>
          <w:rFonts w:ascii="ZWAdobeF" w:hAnsi="ZWAdobeF" w:cs="ZWAdobeF"/>
          <w:sz w:val="2"/>
          <w:szCs w:val="2"/>
          <w:lang w:val="en-AU"/>
        </w:rPr>
        <w:t>H</w:t>
      </w:r>
      <w:hyperlink r:id="rId12" w:history="1">
        <w:r w:rsidR="003D7B9E" w:rsidRPr="000C09E7">
          <w:rPr>
            <w:rFonts w:ascii="ZWAdobeF" w:hAnsi="ZWAdobeF" w:cs="ZWAdobeF"/>
            <w:sz w:val="2"/>
            <w:szCs w:val="2"/>
            <w:lang w:val="en-AU"/>
          </w:rPr>
          <w:t>U</w:t>
        </w:r>
        <w:r w:rsidR="003D7B9E" w:rsidRPr="000C09E7">
          <w:rPr>
            <w:rStyle w:val="Hyperlink"/>
            <w:lang w:val="en-AU"/>
          </w:rPr>
          <w:t>mail@safetyandquality.gov.au</w:t>
        </w:r>
        <w:r w:rsidR="003D7B9E" w:rsidRPr="000C09E7">
          <w:rPr>
            <w:rStyle w:val="Hyperlink"/>
            <w:rFonts w:ascii="ZWAdobeF" w:hAnsi="ZWAdobeF" w:cs="ZWAdobeF"/>
            <w:color w:val="auto"/>
            <w:sz w:val="2"/>
            <w:szCs w:val="2"/>
            <w:u w:val="none"/>
            <w:lang w:val="en-AU"/>
          </w:rPr>
          <w:t>U</w:t>
        </w:r>
      </w:hyperlink>
      <w:r w:rsidR="003D7B9E" w:rsidRPr="000C09E7">
        <w:rPr>
          <w:lang w:val="en-AU"/>
        </w:rPr>
        <w:t xml:space="preserve">. </w:t>
      </w:r>
      <w:r w:rsidR="00E51D23" w:rsidRPr="000C09E7">
        <w:rPr>
          <w:lang w:val="en-AU"/>
        </w:rPr>
        <w:br/>
      </w:r>
      <w:r w:rsidR="003D7B9E" w:rsidRPr="000C09E7">
        <w:rPr>
          <w:lang w:val="en-AU"/>
        </w:rPr>
        <w:t xml:space="preserve">You can also send feedback and comments to </w:t>
      </w:r>
      <w:r w:rsidR="003D7B9E" w:rsidRPr="000C09E7">
        <w:rPr>
          <w:rFonts w:ascii="ZWAdobeF" w:hAnsi="ZWAdobeF" w:cs="ZWAdobeF"/>
          <w:sz w:val="2"/>
          <w:szCs w:val="2"/>
          <w:lang w:val="en-AU"/>
        </w:rPr>
        <w:t>H</w:t>
      </w:r>
      <w:hyperlink r:id="rId13" w:history="1">
        <w:r w:rsidR="003D7B9E" w:rsidRPr="000C09E7">
          <w:rPr>
            <w:rFonts w:ascii="ZWAdobeF" w:hAnsi="ZWAdobeF" w:cs="ZWAdobeF"/>
            <w:sz w:val="2"/>
            <w:szCs w:val="2"/>
            <w:lang w:val="en-AU"/>
          </w:rPr>
          <w:t>U</w:t>
        </w:r>
        <w:r w:rsidR="003D7B9E" w:rsidRPr="000C09E7">
          <w:rPr>
            <w:rStyle w:val="Hyperlink"/>
            <w:lang w:val="en-AU"/>
          </w:rPr>
          <w:t>mail@safetyandquality.gov.au</w:t>
        </w:r>
        <w:r w:rsidR="003D7B9E" w:rsidRPr="000C09E7">
          <w:rPr>
            <w:rStyle w:val="Hyperlink"/>
            <w:rFonts w:ascii="ZWAdobeF" w:hAnsi="ZWAdobeF" w:cs="ZWAdobeF"/>
            <w:color w:val="auto"/>
            <w:sz w:val="2"/>
            <w:szCs w:val="2"/>
            <w:u w:val="none"/>
            <w:lang w:val="en-AU"/>
          </w:rPr>
          <w:t>U</w:t>
        </w:r>
      </w:hyperlink>
      <w:r w:rsidR="003D7B9E" w:rsidRPr="000C09E7">
        <w:rPr>
          <w:lang w:val="en-AU"/>
        </w:rPr>
        <w:t>.</w:t>
      </w:r>
    </w:p>
    <w:p w:rsidR="00B160EF" w:rsidRPr="000C09E7" w:rsidRDefault="00B160EF" w:rsidP="00837FC4">
      <w:pPr>
        <w:tabs>
          <w:tab w:val="left" w:pos="7773"/>
        </w:tabs>
        <w:rPr>
          <w:lang w:val="en-AU"/>
        </w:rPr>
      </w:pPr>
    </w:p>
    <w:p w:rsidR="00837FC4" w:rsidRPr="000C09E7" w:rsidRDefault="00B160EF" w:rsidP="004554DB">
      <w:pPr>
        <w:autoSpaceDE w:val="0"/>
        <w:rPr>
          <w:lang w:val="en-AU"/>
        </w:rPr>
      </w:pPr>
      <w:bookmarkStart w:id="0" w:name="OLE_LINK1"/>
      <w:r w:rsidRPr="000C09E7">
        <w:rPr>
          <w:lang w:val="en-AU"/>
        </w:rPr>
        <w:t xml:space="preserve">For information about the Commission and its programs and publications, please visit </w:t>
      </w:r>
      <w:hyperlink r:id="rId14" w:history="1">
        <w:r w:rsidR="00837FC4" w:rsidRPr="000C09E7">
          <w:rPr>
            <w:rStyle w:val="Hyperlink"/>
            <w:lang w:val="en-AU"/>
          </w:rPr>
          <w:t>http://www.safetyandquality.gov.au</w:t>
        </w:r>
      </w:hyperlink>
    </w:p>
    <w:p w:rsidR="00210235" w:rsidRPr="000C09E7" w:rsidRDefault="004554DB" w:rsidP="004554DB">
      <w:pPr>
        <w:autoSpaceDE w:val="0"/>
        <w:rPr>
          <w:lang w:val="en-AU"/>
        </w:rPr>
      </w:pPr>
      <w:r w:rsidRPr="000C09E7">
        <w:rPr>
          <w:lang w:val="en-AU"/>
        </w:rPr>
        <w:t>You can also follow us on Twitter @ACSQHC.</w:t>
      </w:r>
    </w:p>
    <w:p w:rsidR="00DD32E9" w:rsidRPr="000C09E7" w:rsidRDefault="00DD32E9" w:rsidP="004554DB">
      <w:pPr>
        <w:autoSpaceDE w:val="0"/>
        <w:rPr>
          <w:lang w:val="en-AU"/>
        </w:rPr>
      </w:pPr>
    </w:p>
    <w:p w:rsidR="00210235" w:rsidRPr="000C09E7" w:rsidRDefault="00210235" w:rsidP="00210235">
      <w:pPr>
        <w:keepNext/>
        <w:pBdr>
          <w:top w:val="single" w:sz="4" w:space="1" w:color="auto"/>
        </w:pBdr>
        <w:rPr>
          <w:b/>
          <w:lang w:val="en-AU"/>
        </w:rPr>
      </w:pPr>
      <w:r w:rsidRPr="000C09E7">
        <w:rPr>
          <w:b/>
          <w:lang w:val="en-AU"/>
        </w:rPr>
        <w:t>On the Radar</w:t>
      </w:r>
    </w:p>
    <w:p w:rsidR="00340157" w:rsidRPr="000C09E7" w:rsidRDefault="00340157" w:rsidP="00210235">
      <w:pPr>
        <w:keepNext/>
        <w:pBdr>
          <w:top w:val="single" w:sz="4" w:space="1" w:color="auto"/>
        </w:pBdr>
        <w:rPr>
          <w:bCs/>
          <w:lang w:val="en-AU"/>
        </w:rPr>
      </w:pPr>
      <w:r w:rsidRPr="000C09E7">
        <w:rPr>
          <w:bCs/>
          <w:lang w:val="en-AU"/>
        </w:rPr>
        <w:t xml:space="preserve">Editor: </w:t>
      </w:r>
      <w:r w:rsidR="00C8085B" w:rsidRPr="000C09E7">
        <w:rPr>
          <w:bCs/>
          <w:lang w:val="en-AU"/>
        </w:rPr>
        <w:t xml:space="preserve">Dr </w:t>
      </w:r>
      <w:r w:rsidRPr="000C09E7">
        <w:rPr>
          <w:bCs/>
          <w:lang w:val="en-AU"/>
        </w:rPr>
        <w:t xml:space="preserve">Niall Johnson </w:t>
      </w:r>
      <w:hyperlink r:id="rId15" w:history="1">
        <w:r w:rsidRPr="000C09E7">
          <w:rPr>
            <w:rStyle w:val="Hyperlink"/>
            <w:bCs/>
            <w:lang w:val="en-AU"/>
          </w:rPr>
          <w:t>niall.johnson@safetyandquality.gov.au</w:t>
        </w:r>
      </w:hyperlink>
    </w:p>
    <w:p w:rsidR="009A35BE" w:rsidRPr="000C09E7" w:rsidRDefault="00210235" w:rsidP="00A8296D">
      <w:pPr>
        <w:keepNext/>
        <w:pBdr>
          <w:top w:val="single" w:sz="4" w:space="1" w:color="auto"/>
        </w:pBdr>
        <w:rPr>
          <w:shd w:val="clear" w:color="auto" w:fill="FFFFFF"/>
          <w:lang w:val="en-AU"/>
        </w:rPr>
      </w:pPr>
      <w:r w:rsidRPr="000C09E7">
        <w:rPr>
          <w:bCs/>
          <w:lang w:val="en-AU"/>
        </w:rPr>
        <w:t xml:space="preserve">Contributors: </w:t>
      </w:r>
      <w:r w:rsidR="0056339A" w:rsidRPr="000C09E7">
        <w:rPr>
          <w:bCs/>
          <w:lang w:val="en-AU"/>
        </w:rPr>
        <w:t>Niall Johnson</w:t>
      </w:r>
      <w:bookmarkEnd w:id="0"/>
      <w:r w:rsidR="004119D4">
        <w:rPr>
          <w:bCs/>
          <w:lang w:val="en-AU"/>
        </w:rPr>
        <w:t>, Catherine Marshall</w:t>
      </w:r>
      <w:r w:rsidR="00810295">
        <w:rPr>
          <w:bCs/>
          <w:lang w:val="en-AU"/>
        </w:rPr>
        <w:t>, Lucia Tapsall.</w:t>
      </w:r>
    </w:p>
    <w:p w:rsidR="00F34D09" w:rsidRPr="000C09E7" w:rsidRDefault="00F34D09" w:rsidP="00F34D09">
      <w:pPr>
        <w:rPr>
          <w:shd w:val="clear" w:color="auto" w:fill="FFFFFF"/>
          <w:lang w:val="en-AU"/>
        </w:rPr>
      </w:pPr>
    </w:p>
    <w:p w:rsidR="00F34D09" w:rsidRPr="000C09E7" w:rsidRDefault="00F34D09" w:rsidP="00F34D09">
      <w:pPr>
        <w:rPr>
          <w:b/>
          <w:lang w:val="en-AU"/>
        </w:rPr>
      </w:pPr>
      <w:r w:rsidRPr="000C09E7">
        <w:rPr>
          <w:b/>
          <w:lang w:val="en-AU"/>
        </w:rPr>
        <w:t>Consultation on Exploring Healthcare Variation in Australia: Analyses Resulting from an OECD Study</w:t>
      </w:r>
    </w:p>
    <w:p w:rsidR="00F34D09" w:rsidRPr="000C09E7" w:rsidRDefault="00F34D09" w:rsidP="00F34D09">
      <w:pPr>
        <w:rPr>
          <w:i/>
          <w:lang w:val="en-AU"/>
        </w:rPr>
      </w:pPr>
      <w:r w:rsidRPr="000C09E7">
        <w:rPr>
          <w:i/>
          <w:lang w:val="en-AU"/>
        </w:rPr>
        <w:t>Consultation extended to 22 August 2014</w:t>
      </w:r>
    </w:p>
    <w:p w:rsidR="00F34D09" w:rsidRPr="000C09E7" w:rsidRDefault="00F34D09" w:rsidP="00F34D09">
      <w:pPr>
        <w:rPr>
          <w:lang w:val="en-AU"/>
        </w:rPr>
      </w:pPr>
    </w:p>
    <w:p w:rsidR="00F34D09" w:rsidRPr="000C09E7" w:rsidRDefault="00F34D09" w:rsidP="00F34D09">
      <w:pPr>
        <w:rPr>
          <w:lang w:val="en-AU"/>
        </w:rPr>
      </w:pPr>
      <w:r w:rsidRPr="000C09E7">
        <w:rPr>
          <w:lang w:val="en-AU"/>
        </w:rPr>
        <w:t xml:space="preserve">The Australian results of an Organisation for Economic Co-operation and Development (OECD) study on healthcare variation were published in the </w:t>
      </w:r>
      <w:r w:rsidRPr="000C09E7">
        <w:rPr>
          <w:i/>
          <w:lang w:val="en-AU"/>
        </w:rPr>
        <w:t>Exploring Healthcare Variation in Australia: Analyses Resulting from an OECD Study</w:t>
      </w:r>
      <w:r w:rsidRPr="000C09E7">
        <w:rPr>
          <w:lang w:val="en-AU"/>
        </w:rPr>
        <w:t xml:space="preserve"> discussion paper authored by the Australian Commission on Safety and Quality in Health Care (the Commission) and the Australian Institute of Health and Welfare. The paper is available at </w:t>
      </w:r>
      <w:hyperlink r:id="rId16" w:history="1">
        <w:r w:rsidRPr="000C09E7">
          <w:rPr>
            <w:rStyle w:val="Hyperlink"/>
            <w:lang w:val="en-AU"/>
          </w:rPr>
          <w:t>http://www.safetyandquality.gov.au/publications/exploring-healthcare-variation-in-australia/</w:t>
        </w:r>
      </w:hyperlink>
    </w:p>
    <w:p w:rsidR="00F34D09" w:rsidRPr="000C09E7" w:rsidRDefault="00F34D09" w:rsidP="00F34D09">
      <w:pPr>
        <w:rPr>
          <w:lang w:val="en-AU"/>
        </w:rPr>
      </w:pPr>
    </w:p>
    <w:p w:rsidR="00F34D09" w:rsidRPr="000C09E7" w:rsidRDefault="00F34D09" w:rsidP="00F34D09">
      <w:pPr>
        <w:rPr>
          <w:lang w:val="en-AU"/>
        </w:rPr>
      </w:pPr>
      <w:r w:rsidRPr="000C09E7">
        <w:rPr>
          <w:lang w:val="en-AU"/>
        </w:rPr>
        <w:t>The paper examines variation in the rates of several common procedures, selected by the OECD, including: knee surgery (knee arthroscopy and knee replacement); cardiac procedures (cardiac catheterisation, percutaneous coronary interventions and coronary artery bypass grafting; caesarean section; and hysterectomy. The procedures measured were undertaken in hospitals and day procedure centres, both public and private, during 2010-11. Variation was measured according to the Medicare Local area where patients lived, but the approach can be applied to any desired geographic scale.</w:t>
      </w:r>
    </w:p>
    <w:p w:rsidR="00F34D09" w:rsidRPr="000C09E7" w:rsidRDefault="00F34D09" w:rsidP="00F34D09">
      <w:pPr>
        <w:rPr>
          <w:lang w:val="en-AU"/>
        </w:rPr>
      </w:pPr>
    </w:p>
    <w:p w:rsidR="00F34D09" w:rsidRPr="000C09E7" w:rsidRDefault="00F34D09" w:rsidP="00F34D09">
      <w:pPr>
        <w:rPr>
          <w:lang w:val="en-AU"/>
        </w:rPr>
      </w:pPr>
      <w:r w:rsidRPr="000C09E7">
        <w:rPr>
          <w:lang w:val="en-AU"/>
        </w:rPr>
        <w:lastRenderedPageBreak/>
        <w:t>The Commission is inviting comment and feedback on the paper. Consultation has been extended until 22 August 2014. Details about how to make a submission are included in the paper.</w:t>
      </w:r>
    </w:p>
    <w:p w:rsidR="00F34D09" w:rsidRPr="000C09E7" w:rsidRDefault="00F34D09" w:rsidP="00F34D09">
      <w:pPr>
        <w:rPr>
          <w:lang w:val="en-AU"/>
        </w:rPr>
      </w:pPr>
    </w:p>
    <w:p w:rsidR="00F34D09" w:rsidRPr="000C09E7" w:rsidRDefault="00F34D09" w:rsidP="00F34D09">
      <w:pPr>
        <w:rPr>
          <w:lang w:val="en-AU"/>
        </w:rPr>
      </w:pPr>
      <w:r w:rsidRPr="000C09E7">
        <w:rPr>
          <w:lang w:val="en-AU"/>
        </w:rPr>
        <w:t xml:space="preserve">The contact person for this consultation is Mr Luke Slawomirski, Program Manager, </w:t>
      </w:r>
      <w:proofErr w:type="gramStart"/>
      <w:r w:rsidRPr="000C09E7">
        <w:rPr>
          <w:lang w:val="en-AU"/>
        </w:rPr>
        <w:t>Implementation</w:t>
      </w:r>
      <w:proofErr w:type="gramEnd"/>
      <w:r w:rsidRPr="000C09E7">
        <w:rPr>
          <w:lang w:val="en-AU"/>
        </w:rPr>
        <w:t xml:space="preserve"> Support. Mr Slawomirski can be contacted on (02) 9126 3600 or via email at </w:t>
      </w:r>
      <w:hyperlink r:id="rId17" w:history="1">
        <w:r w:rsidRPr="000C09E7">
          <w:rPr>
            <w:rStyle w:val="Hyperlink"/>
            <w:lang w:val="en-AU"/>
          </w:rPr>
          <w:t>medicalpracticevariation@safetyandquality.gov.au</w:t>
        </w:r>
      </w:hyperlink>
    </w:p>
    <w:p w:rsidR="00B31C8B" w:rsidRPr="000C09E7" w:rsidRDefault="00B31C8B" w:rsidP="00B31C8B">
      <w:pPr>
        <w:rPr>
          <w:b/>
          <w:lang w:val="en-AU"/>
        </w:rPr>
      </w:pPr>
    </w:p>
    <w:p w:rsidR="006A0F4E" w:rsidRPr="000C09E7" w:rsidRDefault="006A0F4E" w:rsidP="006A0F4E">
      <w:pPr>
        <w:keepNext/>
        <w:keepLines/>
        <w:autoSpaceDE w:val="0"/>
        <w:autoSpaceDN w:val="0"/>
        <w:adjustRightInd w:val="0"/>
        <w:rPr>
          <w:i/>
          <w:lang w:val="en-AU"/>
        </w:rPr>
      </w:pPr>
    </w:p>
    <w:p w:rsidR="00C372BE" w:rsidRPr="000C09E7" w:rsidRDefault="00C372BE" w:rsidP="00F87778">
      <w:pPr>
        <w:keepNext/>
        <w:rPr>
          <w:b/>
          <w:lang w:val="en-AU"/>
        </w:rPr>
      </w:pPr>
      <w:r w:rsidRPr="000C09E7">
        <w:rPr>
          <w:b/>
          <w:lang w:val="en-AU"/>
        </w:rPr>
        <w:t>Reports</w:t>
      </w:r>
    </w:p>
    <w:p w:rsidR="00C372BE" w:rsidRPr="000C09E7" w:rsidRDefault="00C372BE" w:rsidP="00C372BE">
      <w:pPr>
        <w:keepNext/>
        <w:keepLines/>
        <w:autoSpaceDE w:val="0"/>
        <w:autoSpaceDN w:val="0"/>
        <w:adjustRightInd w:val="0"/>
        <w:rPr>
          <w:lang w:val="en-AU"/>
        </w:rPr>
      </w:pPr>
    </w:p>
    <w:p w:rsidR="006A71A2" w:rsidRPr="006A71A2" w:rsidRDefault="006A71A2" w:rsidP="006A71A2">
      <w:pPr>
        <w:keepNext/>
        <w:keepLines/>
        <w:autoSpaceDE w:val="0"/>
        <w:autoSpaceDN w:val="0"/>
        <w:adjustRightInd w:val="0"/>
        <w:rPr>
          <w:i/>
          <w:lang w:val="en-AU"/>
        </w:rPr>
      </w:pPr>
      <w:r w:rsidRPr="006A71A2">
        <w:rPr>
          <w:i/>
          <w:lang w:val="en-AU"/>
        </w:rPr>
        <w:t>Building capability to improve safety</w:t>
      </w:r>
    </w:p>
    <w:p w:rsidR="006A71A2" w:rsidRDefault="006A71A2" w:rsidP="00385E41">
      <w:pPr>
        <w:keepNext/>
        <w:keepLines/>
        <w:autoSpaceDE w:val="0"/>
        <w:autoSpaceDN w:val="0"/>
        <w:adjustRightInd w:val="0"/>
        <w:rPr>
          <w:lang w:val="en-AU"/>
        </w:rPr>
      </w:pPr>
      <w:r w:rsidRPr="006A71A2">
        <w:rPr>
          <w:lang w:val="en-AU"/>
        </w:rPr>
        <w:t>The Health Foundation</w:t>
      </w:r>
    </w:p>
    <w:p w:rsidR="00BC0F75" w:rsidRPr="000C09E7" w:rsidRDefault="006A71A2" w:rsidP="00385E41">
      <w:pPr>
        <w:keepNext/>
        <w:keepLines/>
        <w:autoSpaceDE w:val="0"/>
        <w:autoSpaceDN w:val="0"/>
        <w:adjustRightInd w:val="0"/>
        <w:rPr>
          <w:lang w:val="en-AU"/>
        </w:rPr>
      </w:pPr>
      <w:r w:rsidRPr="006A71A2">
        <w:rPr>
          <w:lang w:val="en-AU"/>
        </w:rPr>
        <w:t xml:space="preserve">London: The Health Foundation; 2014. </w:t>
      </w:r>
      <w:proofErr w:type="gramStart"/>
      <w:r w:rsidRPr="006A71A2">
        <w:rPr>
          <w:lang w:val="en-AU"/>
        </w:rPr>
        <w:t>p. 18.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C0F75" w:rsidRPr="000C09E7" w:rsidTr="003644B3">
        <w:tc>
          <w:tcPr>
            <w:tcW w:w="1080" w:type="dxa"/>
            <w:tcBorders>
              <w:top w:val="single" w:sz="4" w:space="0" w:color="auto"/>
              <w:left w:val="single" w:sz="4" w:space="0" w:color="auto"/>
              <w:bottom w:val="single" w:sz="4" w:space="0" w:color="auto"/>
              <w:right w:val="single" w:sz="4" w:space="0" w:color="auto"/>
            </w:tcBorders>
            <w:vAlign w:val="center"/>
          </w:tcPr>
          <w:p w:rsidR="00BC0F75" w:rsidRPr="000C09E7" w:rsidRDefault="00BC0F75" w:rsidP="003644B3">
            <w:pPr>
              <w:rPr>
                <w:lang w:val="en-AU"/>
              </w:rPr>
            </w:pPr>
            <w:r w:rsidRPr="000C09E7">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C0F75" w:rsidRPr="000C09E7" w:rsidRDefault="00504108" w:rsidP="006A71A2">
            <w:pPr>
              <w:rPr>
                <w:lang w:val="en-AU"/>
              </w:rPr>
            </w:pPr>
            <w:hyperlink r:id="rId18" w:history="1">
              <w:r w:rsidR="006A71A2" w:rsidRPr="0048508D">
                <w:rPr>
                  <w:rStyle w:val="Hyperlink"/>
                  <w:lang w:val="en-AU"/>
                </w:rPr>
                <w:t>http://www.health.org.uk/publications/building-capability-to-improve-safety/</w:t>
              </w:r>
            </w:hyperlink>
          </w:p>
        </w:tc>
      </w:tr>
      <w:tr w:rsidR="00BC0F75" w:rsidRPr="000C09E7" w:rsidTr="003644B3">
        <w:tc>
          <w:tcPr>
            <w:tcW w:w="1080" w:type="dxa"/>
            <w:tcBorders>
              <w:top w:val="single" w:sz="4" w:space="0" w:color="auto"/>
              <w:left w:val="single" w:sz="4" w:space="0" w:color="auto"/>
              <w:bottom w:val="single" w:sz="4" w:space="0" w:color="auto"/>
              <w:right w:val="single" w:sz="4" w:space="0" w:color="auto"/>
            </w:tcBorders>
            <w:vAlign w:val="center"/>
          </w:tcPr>
          <w:p w:rsidR="00BC0F75" w:rsidRPr="000C09E7" w:rsidRDefault="00BC0F75" w:rsidP="003644B3">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84964" w:rsidRDefault="006A71A2" w:rsidP="006A71A2">
            <w:pPr>
              <w:rPr>
                <w:lang w:val="en-AU"/>
              </w:rPr>
            </w:pPr>
            <w:r>
              <w:rPr>
                <w:lang w:val="en-AU"/>
              </w:rPr>
              <w:t>T</w:t>
            </w:r>
            <w:r w:rsidR="00A56789">
              <w:rPr>
                <w:lang w:val="en-AU"/>
              </w:rPr>
              <w:t>h</w:t>
            </w:r>
            <w:r>
              <w:rPr>
                <w:lang w:val="en-AU"/>
              </w:rPr>
              <w:t xml:space="preserve">is report summarises a workshop that sought to understand </w:t>
            </w:r>
            <w:r w:rsidRPr="006A71A2">
              <w:rPr>
                <w:lang w:val="en-AU"/>
              </w:rPr>
              <w:t xml:space="preserve">what capability for safety improvement organisations need, and the best ways to go about developing </w:t>
            </w:r>
            <w:r>
              <w:rPr>
                <w:lang w:val="en-AU"/>
              </w:rPr>
              <w:t xml:space="preserve">such </w:t>
            </w:r>
            <w:r w:rsidRPr="006A71A2">
              <w:rPr>
                <w:lang w:val="en-AU"/>
              </w:rPr>
              <w:t>capability</w:t>
            </w:r>
            <w:r>
              <w:rPr>
                <w:lang w:val="en-AU"/>
              </w:rPr>
              <w:t>.</w:t>
            </w:r>
          </w:p>
          <w:p w:rsidR="006A71A2" w:rsidRPr="006A71A2" w:rsidRDefault="006A71A2" w:rsidP="006A71A2">
            <w:pPr>
              <w:rPr>
                <w:lang w:val="en-AU"/>
              </w:rPr>
            </w:pPr>
            <w:r>
              <w:rPr>
                <w:lang w:val="en-AU"/>
              </w:rPr>
              <w:t>The report</w:t>
            </w:r>
          </w:p>
          <w:p w:rsidR="006A71A2" w:rsidRPr="006A71A2" w:rsidRDefault="006A71A2" w:rsidP="006A71A2">
            <w:pPr>
              <w:pStyle w:val="ListParagraph"/>
              <w:numPr>
                <w:ilvl w:val="0"/>
                <w:numId w:val="40"/>
              </w:numPr>
              <w:rPr>
                <w:lang w:val="en-AU"/>
              </w:rPr>
            </w:pPr>
            <w:r w:rsidRPr="006A71A2">
              <w:rPr>
                <w:lang w:val="en-AU"/>
              </w:rPr>
              <w:t>summarises key points from the workshop discussion</w:t>
            </w:r>
          </w:p>
          <w:p w:rsidR="006A71A2" w:rsidRPr="006A71A2" w:rsidRDefault="006A71A2" w:rsidP="006A71A2">
            <w:pPr>
              <w:pStyle w:val="ListParagraph"/>
              <w:numPr>
                <w:ilvl w:val="0"/>
                <w:numId w:val="40"/>
              </w:numPr>
              <w:rPr>
                <w:lang w:val="en-AU"/>
              </w:rPr>
            </w:pPr>
            <w:r w:rsidRPr="006A71A2">
              <w:rPr>
                <w:lang w:val="en-AU"/>
              </w:rPr>
              <w:t>presents the examples of capability building approaches shared with workshop participants before the event</w:t>
            </w:r>
          </w:p>
          <w:p w:rsidR="006A71A2" w:rsidRPr="006A71A2" w:rsidRDefault="006A71A2" w:rsidP="006A71A2">
            <w:pPr>
              <w:pStyle w:val="ListParagraph"/>
              <w:numPr>
                <w:ilvl w:val="0"/>
                <w:numId w:val="40"/>
              </w:numPr>
              <w:rPr>
                <w:lang w:val="en-AU"/>
              </w:rPr>
            </w:pPr>
            <w:proofErr w:type="gramStart"/>
            <w:r w:rsidRPr="006A71A2">
              <w:rPr>
                <w:lang w:val="en-AU"/>
              </w:rPr>
              <w:t>provides</w:t>
            </w:r>
            <w:proofErr w:type="gramEnd"/>
            <w:r w:rsidRPr="006A71A2">
              <w:rPr>
                <w:lang w:val="en-AU"/>
              </w:rPr>
              <w:t xml:space="preserve"> brief profiles of examples of activities that build improvement capability identified in the web research.</w:t>
            </w:r>
          </w:p>
          <w:p w:rsidR="006A71A2" w:rsidRDefault="006A71A2" w:rsidP="006A71A2">
            <w:pPr>
              <w:rPr>
                <w:lang w:val="en-AU"/>
              </w:rPr>
            </w:pPr>
            <w:r w:rsidRPr="006A71A2">
              <w:rPr>
                <w:lang w:val="en-AU"/>
              </w:rPr>
              <w:t>It also presents an enhanced model for safety and quality improvement capability, derived from the workshop discussions.</w:t>
            </w:r>
          </w:p>
          <w:p w:rsidR="006A71A2" w:rsidRPr="000C09E7" w:rsidRDefault="006A71A2" w:rsidP="006A71A2">
            <w:pPr>
              <w:rPr>
                <w:lang w:val="en-AU"/>
              </w:rPr>
            </w:pPr>
            <w:r>
              <w:rPr>
                <w:noProof/>
                <w:lang w:val="en-AU" w:eastAsia="en-AU"/>
              </w:rPr>
              <w:drawing>
                <wp:inline distT="0" distB="0" distL="0" distR="0">
                  <wp:extent cx="5109882" cy="3805232"/>
                  <wp:effectExtent l="0" t="0" r="0" b="5080"/>
                  <wp:docPr id="1" name="Picture 1" descr="\\central.health\dfsuserenv\Users\User_07\johnni\Desktop\Enhanced-model-for-safety-and-QI-capabilit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Enhanced-model-for-safety-and-QI-capability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9169" cy="3797254"/>
                          </a:xfrm>
                          <a:prstGeom prst="rect">
                            <a:avLst/>
                          </a:prstGeom>
                          <a:noFill/>
                          <a:ln>
                            <a:noFill/>
                          </a:ln>
                        </pic:spPr>
                      </pic:pic>
                    </a:graphicData>
                  </a:graphic>
                </wp:inline>
              </w:drawing>
            </w:r>
          </w:p>
        </w:tc>
      </w:tr>
    </w:tbl>
    <w:p w:rsidR="00385E41" w:rsidRPr="000C09E7" w:rsidRDefault="00385E41" w:rsidP="00385E41">
      <w:pPr>
        <w:keepNext/>
        <w:keepLines/>
        <w:autoSpaceDE w:val="0"/>
        <w:autoSpaceDN w:val="0"/>
        <w:adjustRightInd w:val="0"/>
        <w:rPr>
          <w:i/>
          <w:lang w:val="en-AU"/>
        </w:rPr>
      </w:pPr>
    </w:p>
    <w:p w:rsidR="00E927E6" w:rsidRPr="000C09E7" w:rsidRDefault="00E927E6" w:rsidP="00385E41">
      <w:pPr>
        <w:keepNext/>
        <w:keepLines/>
        <w:autoSpaceDE w:val="0"/>
        <w:autoSpaceDN w:val="0"/>
        <w:adjustRightInd w:val="0"/>
        <w:rPr>
          <w:i/>
          <w:lang w:val="en-AU"/>
        </w:rPr>
      </w:pPr>
    </w:p>
    <w:p w:rsidR="00036D39" w:rsidRDefault="00036D39">
      <w:pPr>
        <w:rPr>
          <w:b/>
          <w:lang w:val="en-AU"/>
        </w:rPr>
      </w:pPr>
    </w:p>
    <w:p w:rsidR="00A30DF9" w:rsidRPr="000C09E7" w:rsidRDefault="00254636" w:rsidP="00771468">
      <w:pPr>
        <w:keepNext/>
        <w:rPr>
          <w:b/>
          <w:lang w:val="en-AU"/>
        </w:rPr>
      </w:pPr>
      <w:r w:rsidRPr="000C09E7">
        <w:rPr>
          <w:b/>
          <w:lang w:val="en-AU"/>
        </w:rPr>
        <w:lastRenderedPageBreak/>
        <w:t>Journal articles</w:t>
      </w:r>
    </w:p>
    <w:p w:rsidR="00036D39" w:rsidRPr="000C09E7" w:rsidRDefault="00036D39" w:rsidP="00036D39">
      <w:pPr>
        <w:rPr>
          <w:lang w:val="en-AU"/>
        </w:rPr>
      </w:pPr>
    </w:p>
    <w:p w:rsidR="00036D39" w:rsidRPr="003136EB" w:rsidRDefault="00036D39" w:rsidP="00036D39">
      <w:pPr>
        <w:keepNext/>
        <w:keepLines/>
        <w:autoSpaceDE w:val="0"/>
        <w:autoSpaceDN w:val="0"/>
        <w:adjustRightInd w:val="0"/>
        <w:rPr>
          <w:i/>
          <w:lang w:val="en-AU"/>
        </w:rPr>
      </w:pPr>
      <w:r w:rsidRPr="003136EB">
        <w:rPr>
          <w:i/>
          <w:lang w:val="en-AU"/>
        </w:rPr>
        <w:t>Evidence based medicine: a movement in crisis?</w:t>
      </w:r>
    </w:p>
    <w:p w:rsidR="00036D39" w:rsidRDefault="00036D39" w:rsidP="00036D39">
      <w:pPr>
        <w:keepNext/>
        <w:keepLines/>
        <w:autoSpaceDE w:val="0"/>
        <w:autoSpaceDN w:val="0"/>
        <w:adjustRightInd w:val="0"/>
        <w:rPr>
          <w:lang w:val="en-AU"/>
        </w:rPr>
      </w:pPr>
      <w:r w:rsidRPr="003136EB">
        <w:rPr>
          <w:lang w:val="en-AU"/>
        </w:rPr>
        <w:t>Greenhalgh Trisha, Howick Jeremy, Maskrey Neal</w:t>
      </w:r>
    </w:p>
    <w:p w:rsidR="00036D39" w:rsidRPr="000C09E7" w:rsidRDefault="00036D39" w:rsidP="00036D39">
      <w:pPr>
        <w:keepNext/>
        <w:keepLines/>
        <w:autoSpaceDE w:val="0"/>
        <w:autoSpaceDN w:val="0"/>
        <w:adjustRightInd w:val="0"/>
        <w:rPr>
          <w:lang w:val="en-AU"/>
        </w:rPr>
      </w:pPr>
      <w:r w:rsidRPr="003136EB">
        <w:rPr>
          <w:lang w:val="en-AU"/>
        </w:rPr>
        <w:t>BMJ 2014; 348:g3725</w:t>
      </w:r>
    </w:p>
    <w:tbl>
      <w:tblPr>
        <w:tblStyle w:val="TableGrid"/>
        <w:tblW w:w="0" w:type="auto"/>
        <w:tblInd w:w="288" w:type="dxa"/>
        <w:tblLayout w:type="fixed"/>
        <w:tblLook w:val="01E0" w:firstRow="1" w:lastRow="1" w:firstColumn="1" w:lastColumn="1" w:noHBand="0" w:noVBand="0"/>
      </w:tblPr>
      <w:tblGrid>
        <w:gridCol w:w="1080"/>
        <w:gridCol w:w="8280"/>
      </w:tblGrid>
      <w:tr w:rsidR="00036D39" w:rsidRPr="000C09E7" w:rsidTr="00F03C97">
        <w:tc>
          <w:tcPr>
            <w:tcW w:w="1080" w:type="dxa"/>
            <w:tcBorders>
              <w:top w:val="single" w:sz="4" w:space="0" w:color="auto"/>
              <w:left w:val="single" w:sz="4" w:space="0" w:color="auto"/>
              <w:bottom w:val="single" w:sz="4" w:space="0" w:color="auto"/>
              <w:right w:val="single" w:sz="4" w:space="0" w:color="auto"/>
            </w:tcBorders>
            <w:vAlign w:val="center"/>
          </w:tcPr>
          <w:p w:rsidR="00036D39" w:rsidRPr="000C09E7" w:rsidRDefault="00036D39" w:rsidP="00F03C97">
            <w:pPr>
              <w:rPr>
                <w:lang w:val="en-AU"/>
              </w:rPr>
            </w:pPr>
            <w:r w:rsidRPr="000C09E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36D39" w:rsidRPr="000C09E7" w:rsidRDefault="00504108" w:rsidP="00D902EC">
            <w:pPr>
              <w:rPr>
                <w:lang w:val="en-AU"/>
              </w:rPr>
            </w:pPr>
            <w:hyperlink r:id="rId20" w:history="1">
              <w:r w:rsidR="00D902EC" w:rsidRPr="0048508D">
                <w:rPr>
                  <w:rStyle w:val="Hyperlink"/>
                  <w:lang w:val="en-AU"/>
                </w:rPr>
                <w:t>http://dx.doi.org/10.1136/bmj.g3725</w:t>
              </w:r>
            </w:hyperlink>
          </w:p>
        </w:tc>
      </w:tr>
      <w:tr w:rsidR="00036D39" w:rsidRPr="000C09E7" w:rsidTr="00F03C97">
        <w:tc>
          <w:tcPr>
            <w:tcW w:w="1080" w:type="dxa"/>
            <w:tcBorders>
              <w:top w:val="single" w:sz="4" w:space="0" w:color="auto"/>
              <w:left w:val="single" w:sz="4" w:space="0" w:color="auto"/>
              <w:bottom w:val="single" w:sz="4" w:space="0" w:color="auto"/>
              <w:right w:val="single" w:sz="4" w:space="0" w:color="auto"/>
            </w:tcBorders>
            <w:vAlign w:val="center"/>
          </w:tcPr>
          <w:p w:rsidR="00036D39" w:rsidRPr="000C09E7" w:rsidRDefault="00036D39" w:rsidP="00F03C97">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36D39" w:rsidRDefault="00036D39" w:rsidP="00F03C97">
            <w:pPr>
              <w:rPr>
                <w:lang w:val="en-AU" w:eastAsia="en-AU"/>
              </w:rPr>
            </w:pPr>
            <w:r>
              <w:rPr>
                <w:lang w:val="en-AU" w:eastAsia="en-AU"/>
              </w:rPr>
              <w:t>While ostensibly about evidence-based medicine (EBM) and some of the concerns about how EBM has evolved, this piece explores the implications and opportunities for improving many aspects of medicine, particularly health care delivery by a recalibration that focuses on the patient and their needs and how evidence can be used to make their care more appropriate.</w:t>
            </w:r>
          </w:p>
          <w:p w:rsidR="003F412D" w:rsidRPr="003F412D" w:rsidRDefault="003F412D" w:rsidP="003F412D">
            <w:pPr>
              <w:rPr>
                <w:rStyle w:val="IntenseReference"/>
                <w:b w:val="0"/>
                <w:bCs w:val="0"/>
                <w:i w:val="0"/>
                <w:smallCaps w:val="0"/>
                <w:color w:val="auto"/>
              </w:rPr>
            </w:pPr>
            <w:r w:rsidRPr="003F412D">
              <w:rPr>
                <w:rStyle w:val="IntenseReference"/>
                <w:b w:val="0"/>
                <w:bCs w:val="0"/>
                <w:i w:val="0"/>
                <w:smallCaps w:val="0"/>
                <w:color w:val="auto"/>
              </w:rPr>
              <w:t xml:space="preserve">While </w:t>
            </w:r>
            <w:r>
              <w:rPr>
                <w:rStyle w:val="IntenseReference"/>
                <w:b w:val="0"/>
                <w:bCs w:val="0"/>
                <w:i w:val="0"/>
                <w:smallCaps w:val="0"/>
                <w:color w:val="auto"/>
                <w:spacing w:val="0"/>
              </w:rPr>
              <w:t>“</w:t>
            </w:r>
            <w:r w:rsidRPr="003F412D">
              <w:rPr>
                <w:rStyle w:val="IntenseReference"/>
                <w:b w:val="0"/>
                <w:bCs w:val="0"/>
                <w:i w:val="0"/>
                <w:smallCaps w:val="0"/>
                <w:color w:val="auto"/>
              </w:rPr>
              <w:t>r</w:t>
            </w:r>
            <w:r w:rsidRPr="003F412D">
              <w:rPr>
                <w:rStyle w:val="IntenseReference"/>
                <w:b w:val="0"/>
                <w:bCs w:val="0"/>
                <w:i w:val="0"/>
                <w:smallCaps w:val="0"/>
                <w:color w:val="auto"/>
                <w:spacing w:val="0"/>
              </w:rPr>
              <w:t>esearch evidence may still be key to making the right decision</w:t>
            </w:r>
            <w:r w:rsidRPr="003F412D">
              <w:rPr>
                <w:rStyle w:val="IntenseReference"/>
                <w:b w:val="0"/>
                <w:bCs w:val="0"/>
                <w:i w:val="0"/>
                <w:smallCaps w:val="0"/>
                <w:color w:val="auto"/>
              </w:rPr>
              <w:t>…</w:t>
            </w:r>
            <w:r w:rsidRPr="003F412D">
              <w:rPr>
                <w:rStyle w:val="IntenseReference"/>
                <w:b w:val="0"/>
                <w:bCs w:val="0"/>
                <w:i w:val="0"/>
                <w:smallCaps w:val="0"/>
                <w:color w:val="auto"/>
                <w:spacing w:val="0"/>
              </w:rPr>
              <w:t xml:space="preserve"> it does not determine that decision</w:t>
            </w:r>
            <w:r>
              <w:rPr>
                <w:rStyle w:val="IntenseReference"/>
                <w:b w:val="0"/>
                <w:bCs w:val="0"/>
                <w:i w:val="0"/>
                <w:smallCaps w:val="0"/>
                <w:color w:val="auto"/>
                <w:spacing w:val="0"/>
              </w:rPr>
              <w:t>”</w:t>
            </w:r>
            <w:r w:rsidRPr="003F412D">
              <w:rPr>
                <w:rStyle w:val="IntenseReference"/>
                <w:b w:val="0"/>
                <w:bCs w:val="0"/>
                <w:i w:val="0"/>
                <w:smallCaps w:val="0"/>
                <w:color w:val="auto"/>
              </w:rPr>
              <w:t xml:space="preserve">. </w:t>
            </w:r>
            <w:r>
              <w:rPr>
                <w:rStyle w:val="IntenseReference"/>
                <w:b w:val="0"/>
                <w:bCs w:val="0"/>
                <w:i w:val="0"/>
                <w:smallCaps w:val="0"/>
                <w:color w:val="auto"/>
              </w:rPr>
              <w:t>“</w:t>
            </w:r>
            <w:r w:rsidRPr="003F412D">
              <w:rPr>
                <w:rStyle w:val="IntenseReference"/>
                <w:b w:val="0"/>
                <w:bCs w:val="0"/>
                <w:i w:val="0"/>
                <w:smallCaps w:val="0"/>
                <w:color w:val="auto"/>
              </w:rPr>
              <w:t>R</w:t>
            </w:r>
            <w:r w:rsidRPr="003F412D">
              <w:rPr>
                <w:rStyle w:val="IntenseReference"/>
                <w:b w:val="0"/>
                <w:bCs w:val="0"/>
                <w:i w:val="0"/>
                <w:smallCaps w:val="0"/>
                <w:color w:val="auto"/>
                <w:spacing w:val="0"/>
              </w:rPr>
              <w:t>eal shared decision making</w:t>
            </w:r>
            <w:r>
              <w:rPr>
                <w:rStyle w:val="IntenseReference"/>
                <w:b w:val="0"/>
                <w:bCs w:val="0"/>
                <w:i w:val="0"/>
                <w:smallCaps w:val="0"/>
                <w:color w:val="auto"/>
                <w:spacing w:val="0"/>
              </w:rPr>
              <w:t>”</w:t>
            </w:r>
            <w:r w:rsidRPr="003F412D">
              <w:rPr>
                <w:rStyle w:val="IntenseReference"/>
                <w:b w:val="0"/>
                <w:bCs w:val="0"/>
                <w:i w:val="0"/>
                <w:smallCaps w:val="0"/>
                <w:color w:val="auto"/>
                <w:spacing w:val="0"/>
              </w:rPr>
              <w:t xml:space="preserve"> involves finding out what matters to the patient, the extent to which the patient wants to be empowered in decision making and introducing evidence in a what to informs a dialogue about what is best to do and why. </w:t>
            </w:r>
            <w:r w:rsidRPr="003F412D">
              <w:rPr>
                <w:rStyle w:val="IntenseReference"/>
                <w:b w:val="0"/>
                <w:bCs w:val="0"/>
                <w:i w:val="0"/>
                <w:smallCaps w:val="0"/>
                <w:color w:val="auto"/>
              </w:rPr>
              <w:t xml:space="preserve">In the </w:t>
            </w:r>
            <w:r w:rsidR="00901324">
              <w:rPr>
                <w:rStyle w:val="IntenseReference"/>
                <w:b w:val="0"/>
                <w:bCs w:val="0"/>
                <w:i w:val="0"/>
                <w:smallCaps w:val="0"/>
                <w:color w:val="auto"/>
                <w:spacing w:val="0"/>
              </w:rPr>
              <w:t>renaissance of evidence-</w:t>
            </w:r>
            <w:r w:rsidRPr="003F412D">
              <w:rPr>
                <w:rStyle w:val="IntenseReference"/>
                <w:b w:val="0"/>
                <w:bCs w:val="0"/>
                <w:i w:val="0"/>
                <w:smallCaps w:val="0"/>
                <w:color w:val="auto"/>
                <w:spacing w:val="0"/>
              </w:rPr>
              <w:t>based medicine</w:t>
            </w:r>
            <w:r w:rsidRPr="003F412D">
              <w:rPr>
                <w:rStyle w:val="IntenseReference"/>
                <w:b w:val="0"/>
                <w:bCs w:val="0"/>
                <w:i w:val="0"/>
                <w:smallCaps w:val="0"/>
                <w:color w:val="auto"/>
              </w:rPr>
              <w:t xml:space="preserve">, </w:t>
            </w:r>
            <w:r w:rsidRPr="003F412D">
              <w:rPr>
                <w:rStyle w:val="IntenseReference"/>
                <w:b w:val="0"/>
                <w:bCs w:val="0"/>
                <w:i w:val="0"/>
                <w:smallCaps w:val="0"/>
                <w:color w:val="auto"/>
                <w:spacing w:val="0"/>
              </w:rPr>
              <w:t>providing</w:t>
            </w:r>
            <w:r w:rsidRPr="00335AA5">
              <w:rPr>
                <w:rStyle w:val="IntenseReference"/>
                <w:b w:val="0"/>
                <w:bCs w:val="0"/>
                <w:i w:val="0"/>
                <w:smallCaps w:val="0"/>
                <w:color w:val="auto"/>
                <w:spacing w:val="0"/>
                <w:lang w:val="en-AU"/>
              </w:rPr>
              <w:t xml:space="preserve"> individualised</w:t>
            </w:r>
            <w:r w:rsidRPr="003F412D">
              <w:rPr>
                <w:rStyle w:val="IntenseReference"/>
                <w:b w:val="0"/>
                <w:bCs w:val="0"/>
                <w:i w:val="0"/>
                <w:smallCaps w:val="0"/>
                <w:color w:val="auto"/>
                <w:spacing w:val="0"/>
              </w:rPr>
              <w:t xml:space="preserve"> evidence in a format that patients and clinicians can understand</w:t>
            </w:r>
            <w:r w:rsidR="00901324">
              <w:rPr>
                <w:rStyle w:val="IntenseReference"/>
                <w:b w:val="0"/>
                <w:bCs w:val="0"/>
                <w:i w:val="0"/>
                <w:smallCaps w:val="0"/>
                <w:color w:val="auto"/>
              </w:rPr>
              <w:t xml:space="preserve"> is </w:t>
            </w:r>
            <w:proofErr w:type="gramStart"/>
            <w:r w:rsidR="00901324">
              <w:rPr>
                <w:rStyle w:val="IntenseReference"/>
                <w:b w:val="0"/>
                <w:bCs w:val="0"/>
                <w:i w:val="0"/>
                <w:smallCaps w:val="0"/>
                <w:color w:val="auto"/>
              </w:rPr>
              <w:t>key</w:t>
            </w:r>
            <w:proofErr w:type="gramEnd"/>
            <w:r w:rsidR="00901324">
              <w:rPr>
                <w:rStyle w:val="IntenseReference"/>
                <w:b w:val="0"/>
                <w:bCs w:val="0"/>
                <w:i w:val="0"/>
                <w:smallCaps w:val="0"/>
                <w:color w:val="auto"/>
              </w:rPr>
              <w:t>.</w:t>
            </w:r>
          </w:p>
          <w:p w:rsidR="003F412D" w:rsidRPr="003F412D" w:rsidRDefault="003F412D" w:rsidP="003F412D">
            <w:pPr>
              <w:rPr>
                <w:rStyle w:val="IntenseReference"/>
                <w:b w:val="0"/>
                <w:bCs w:val="0"/>
                <w:i w:val="0"/>
                <w:smallCaps w:val="0"/>
                <w:color w:val="auto"/>
              </w:rPr>
            </w:pPr>
            <w:r w:rsidRPr="003F412D">
              <w:rPr>
                <w:rStyle w:val="IntenseReference"/>
                <w:b w:val="0"/>
                <w:bCs w:val="0"/>
                <w:i w:val="0"/>
                <w:smallCaps w:val="0"/>
                <w:color w:val="auto"/>
              </w:rPr>
              <w:t>As c</w:t>
            </w:r>
            <w:r w:rsidRPr="003F412D">
              <w:rPr>
                <w:rStyle w:val="IntenseReference"/>
                <w:b w:val="0"/>
                <w:bCs w:val="0"/>
                <w:i w:val="0"/>
                <w:smallCaps w:val="0"/>
                <w:color w:val="auto"/>
                <w:spacing w:val="0"/>
              </w:rPr>
              <w:t xml:space="preserve">linicians and patients </w:t>
            </w:r>
            <w:r w:rsidRPr="003F412D">
              <w:rPr>
                <w:rStyle w:val="IntenseReference"/>
                <w:b w:val="0"/>
                <w:bCs w:val="0"/>
                <w:i w:val="0"/>
                <w:smallCaps w:val="0"/>
                <w:color w:val="auto"/>
              </w:rPr>
              <w:t>have</w:t>
            </w:r>
            <w:r w:rsidRPr="003F412D">
              <w:rPr>
                <w:rStyle w:val="IntenseReference"/>
                <w:b w:val="0"/>
                <w:bCs w:val="0"/>
                <w:i w:val="0"/>
                <w:smallCaps w:val="0"/>
                <w:color w:val="auto"/>
                <w:spacing w:val="0"/>
              </w:rPr>
              <w:t xml:space="preserve"> varying </w:t>
            </w:r>
            <w:r w:rsidRPr="003F412D">
              <w:rPr>
                <w:rStyle w:val="IntenseReference"/>
                <w:b w:val="0"/>
                <w:bCs w:val="0"/>
                <w:i w:val="0"/>
                <w:smallCaps w:val="0"/>
                <w:color w:val="auto"/>
              </w:rPr>
              <w:t xml:space="preserve">levels of </w:t>
            </w:r>
            <w:r w:rsidRPr="003F412D">
              <w:rPr>
                <w:rStyle w:val="IntenseReference"/>
                <w:b w:val="0"/>
                <w:bCs w:val="0"/>
                <w:i w:val="0"/>
                <w:smallCaps w:val="0"/>
                <w:color w:val="auto"/>
                <w:spacing w:val="0"/>
              </w:rPr>
              <w:t>statistical literacy</w:t>
            </w:r>
            <w:r w:rsidRPr="003F412D">
              <w:rPr>
                <w:rStyle w:val="IntenseReference"/>
                <w:b w:val="0"/>
                <w:bCs w:val="0"/>
                <w:i w:val="0"/>
                <w:smallCaps w:val="0"/>
                <w:color w:val="auto"/>
              </w:rPr>
              <w:t xml:space="preserve">, the paper encourages the use of </w:t>
            </w:r>
            <w:r w:rsidRPr="003F412D">
              <w:rPr>
                <w:rStyle w:val="IntenseReference"/>
                <w:b w:val="0"/>
                <w:bCs w:val="0"/>
                <w:i w:val="0"/>
                <w:smallCaps w:val="0"/>
                <w:color w:val="auto"/>
                <w:spacing w:val="0"/>
              </w:rPr>
              <w:t>different approaches</w:t>
            </w:r>
            <w:r w:rsidRPr="003F412D">
              <w:rPr>
                <w:rStyle w:val="IntenseReference"/>
                <w:b w:val="0"/>
                <w:bCs w:val="0"/>
                <w:i w:val="0"/>
                <w:smallCaps w:val="0"/>
                <w:color w:val="auto"/>
              </w:rPr>
              <w:t xml:space="preserve"> in the presentation of evidence, such as </w:t>
            </w:r>
            <w:r w:rsidRPr="003F412D">
              <w:rPr>
                <w:rStyle w:val="IntenseReference"/>
                <w:b w:val="0"/>
                <w:bCs w:val="0"/>
                <w:i w:val="0"/>
                <w:smallCaps w:val="0"/>
                <w:color w:val="auto"/>
                <w:spacing w:val="0"/>
              </w:rPr>
              <w:t>plain language summaries, infographics, option grids and other decision aids</w:t>
            </w:r>
            <w:r w:rsidR="00901324">
              <w:rPr>
                <w:rStyle w:val="IntenseReference"/>
                <w:b w:val="0"/>
                <w:bCs w:val="0"/>
                <w:i w:val="0"/>
                <w:smallCaps w:val="0"/>
                <w:color w:val="auto"/>
              </w:rPr>
              <w:t xml:space="preserve">. </w:t>
            </w:r>
            <w:r w:rsidRPr="003F412D">
              <w:rPr>
                <w:rStyle w:val="IntenseReference"/>
                <w:b w:val="0"/>
                <w:bCs w:val="0"/>
                <w:i w:val="0"/>
                <w:smallCaps w:val="0"/>
                <w:color w:val="auto"/>
              </w:rPr>
              <w:t>O</w:t>
            </w:r>
            <w:r w:rsidRPr="003F412D">
              <w:rPr>
                <w:rStyle w:val="IntenseReference"/>
                <w:b w:val="0"/>
                <w:bCs w:val="0"/>
                <w:i w:val="0"/>
                <w:smallCaps w:val="0"/>
                <w:color w:val="auto"/>
                <w:spacing w:val="0"/>
              </w:rPr>
              <w:t xml:space="preserve">nly a fraction of the available evidence is </w:t>
            </w:r>
            <w:r w:rsidRPr="003F412D">
              <w:rPr>
                <w:rStyle w:val="IntenseReference"/>
                <w:b w:val="0"/>
                <w:bCs w:val="0"/>
                <w:i w:val="0"/>
                <w:smallCaps w:val="0"/>
                <w:color w:val="auto"/>
              </w:rPr>
              <w:t xml:space="preserve">currently </w:t>
            </w:r>
            <w:r w:rsidRPr="003F412D">
              <w:rPr>
                <w:rStyle w:val="IntenseReference"/>
                <w:b w:val="0"/>
                <w:bCs w:val="0"/>
                <w:i w:val="0"/>
                <w:smallCaps w:val="0"/>
                <w:color w:val="auto"/>
                <w:spacing w:val="0"/>
              </w:rPr>
              <w:t xml:space="preserve">presented in usable form and </w:t>
            </w:r>
            <w:r w:rsidRPr="003F412D">
              <w:rPr>
                <w:rStyle w:val="IntenseReference"/>
                <w:b w:val="0"/>
                <w:bCs w:val="0"/>
                <w:i w:val="0"/>
                <w:smallCaps w:val="0"/>
                <w:color w:val="auto"/>
              </w:rPr>
              <w:t xml:space="preserve">there is a lack of awareness among </w:t>
            </w:r>
            <w:r w:rsidRPr="003F412D">
              <w:rPr>
                <w:rStyle w:val="IntenseReference"/>
                <w:b w:val="0"/>
                <w:bCs w:val="0"/>
                <w:i w:val="0"/>
                <w:smallCaps w:val="0"/>
                <w:color w:val="auto"/>
                <w:spacing w:val="0"/>
              </w:rPr>
              <w:t xml:space="preserve">clinicians </w:t>
            </w:r>
            <w:r w:rsidRPr="003F412D">
              <w:rPr>
                <w:rStyle w:val="IntenseReference"/>
                <w:b w:val="0"/>
                <w:bCs w:val="0"/>
                <w:i w:val="0"/>
                <w:smallCaps w:val="0"/>
                <w:color w:val="auto"/>
              </w:rPr>
              <w:t>t</w:t>
            </w:r>
            <w:r w:rsidRPr="003F412D">
              <w:rPr>
                <w:rStyle w:val="IntenseReference"/>
                <w:b w:val="0"/>
                <w:bCs w:val="0"/>
                <w:i w:val="0"/>
                <w:smallCaps w:val="0"/>
                <w:color w:val="auto"/>
                <w:spacing w:val="0"/>
              </w:rPr>
              <w:t>hat such us</w:t>
            </w:r>
            <w:r w:rsidRPr="003F412D">
              <w:rPr>
                <w:rStyle w:val="IntenseReference"/>
                <w:b w:val="0"/>
                <w:bCs w:val="0"/>
                <w:i w:val="0"/>
                <w:smallCaps w:val="0"/>
                <w:color w:val="auto"/>
              </w:rPr>
              <w:t>able shared decision aids exist.</w:t>
            </w:r>
            <w:r w:rsidRPr="003F412D">
              <w:rPr>
                <w:rStyle w:val="IntenseReference"/>
                <w:b w:val="0"/>
                <w:bCs w:val="0"/>
                <w:i w:val="0"/>
                <w:smallCaps w:val="0"/>
                <w:color w:val="auto"/>
                <w:spacing w:val="0"/>
              </w:rPr>
              <w:t xml:space="preserve"> </w:t>
            </w:r>
            <w:r w:rsidRPr="003F412D">
              <w:rPr>
                <w:rStyle w:val="IntenseReference"/>
                <w:b w:val="0"/>
                <w:bCs w:val="0"/>
                <w:i w:val="0"/>
                <w:smallCaps w:val="0"/>
                <w:color w:val="auto"/>
              </w:rPr>
              <w:t>The routine offering of usable evidence to patients is encouraged and patients are encouraged to demand evidence that is better presented and explained.</w:t>
            </w:r>
          </w:p>
          <w:p w:rsidR="00036D39" w:rsidRPr="000C09E7" w:rsidRDefault="003F412D" w:rsidP="003F412D">
            <w:pPr>
              <w:rPr>
                <w:lang w:val="en-AU" w:eastAsia="en-AU"/>
              </w:rPr>
            </w:pPr>
            <w:r w:rsidRPr="003F412D">
              <w:rPr>
                <w:rStyle w:val="IntenseReference"/>
                <w:b w:val="0"/>
                <w:bCs w:val="0"/>
                <w:i w:val="0"/>
                <w:smallCaps w:val="0"/>
                <w:color w:val="auto"/>
              </w:rPr>
              <w:t>In regards to training, skills in critical appraisal are identified as prerequis</w:t>
            </w:r>
            <w:r w:rsidR="00901324">
              <w:rPr>
                <w:rStyle w:val="IntenseReference"/>
                <w:b w:val="0"/>
                <w:bCs w:val="0"/>
                <w:i w:val="0"/>
                <w:smallCaps w:val="0"/>
                <w:color w:val="auto"/>
              </w:rPr>
              <w:t xml:space="preserve">ites for competence in evidence-based medicine. </w:t>
            </w:r>
            <w:r w:rsidRPr="003F412D">
              <w:rPr>
                <w:rStyle w:val="IntenseReference"/>
                <w:b w:val="0"/>
                <w:bCs w:val="0"/>
                <w:i w:val="0"/>
                <w:smallCaps w:val="0"/>
                <w:color w:val="auto"/>
              </w:rPr>
              <w:t xml:space="preserve">The importance of teaching students </w:t>
            </w:r>
            <w:r w:rsidRPr="003F412D">
              <w:rPr>
                <w:rStyle w:val="IntenseReference"/>
                <w:b w:val="0"/>
                <w:bCs w:val="0"/>
                <w:i w:val="0"/>
                <w:smallCaps w:val="0"/>
                <w:color w:val="auto"/>
                <w:spacing w:val="0"/>
              </w:rPr>
              <w:t>to share both evidence and uncertainty with patient</w:t>
            </w:r>
            <w:r w:rsidRPr="003F412D">
              <w:rPr>
                <w:rStyle w:val="IntenseReference"/>
                <w:b w:val="0"/>
                <w:bCs w:val="0"/>
                <w:i w:val="0"/>
                <w:smallCaps w:val="0"/>
                <w:color w:val="auto"/>
              </w:rPr>
              <w:t xml:space="preserve">s, </w:t>
            </w:r>
            <w:r w:rsidRPr="003F412D">
              <w:rPr>
                <w:rStyle w:val="IntenseReference"/>
                <w:b w:val="0"/>
                <w:bCs w:val="0"/>
                <w:i w:val="0"/>
                <w:smallCaps w:val="0"/>
                <w:color w:val="auto"/>
                <w:spacing w:val="0"/>
              </w:rPr>
              <w:t>us</w:t>
            </w:r>
            <w:r w:rsidRPr="003F412D">
              <w:rPr>
                <w:rStyle w:val="IntenseReference"/>
                <w:b w:val="0"/>
                <w:bCs w:val="0"/>
                <w:i w:val="0"/>
                <w:smallCaps w:val="0"/>
                <w:color w:val="auto"/>
              </w:rPr>
              <w:t>e</w:t>
            </w:r>
            <w:r w:rsidRPr="003F412D">
              <w:rPr>
                <w:rStyle w:val="IntenseReference"/>
                <w:b w:val="0"/>
                <w:bCs w:val="0"/>
                <w:i w:val="0"/>
                <w:smallCaps w:val="0"/>
                <w:color w:val="auto"/>
                <w:spacing w:val="0"/>
              </w:rPr>
              <w:t xml:space="preserve"> appropriate decision aids and adapt their approach to individual needs, circumstances and preferences</w:t>
            </w:r>
            <w:r w:rsidRPr="003F412D">
              <w:rPr>
                <w:rStyle w:val="IntenseReference"/>
                <w:b w:val="0"/>
                <w:bCs w:val="0"/>
                <w:i w:val="0"/>
                <w:smallCaps w:val="0"/>
                <w:color w:val="auto"/>
              </w:rPr>
              <w:t xml:space="preserve"> is highlighted. P</w:t>
            </w:r>
            <w:r w:rsidRPr="003F412D">
              <w:rPr>
                <w:rStyle w:val="IntenseReference"/>
                <w:b w:val="0"/>
                <w:bCs w:val="0"/>
                <w:i w:val="0"/>
                <w:smallCaps w:val="0"/>
                <w:color w:val="auto"/>
                <w:spacing w:val="0"/>
              </w:rPr>
              <w:t xml:space="preserve">ublishers </w:t>
            </w:r>
            <w:r w:rsidRPr="003F412D">
              <w:rPr>
                <w:rStyle w:val="IntenseReference"/>
                <w:b w:val="0"/>
                <w:bCs w:val="0"/>
                <w:i w:val="0"/>
                <w:smallCaps w:val="0"/>
                <w:color w:val="auto"/>
              </w:rPr>
              <w:t xml:space="preserve">are also urged to </w:t>
            </w:r>
            <w:r w:rsidRPr="003F412D">
              <w:rPr>
                <w:rStyle w:val="IntenseReference"/>
                <w:b w:val="0"/>
                <w:bCs w:val="0"/>
                <w:i w:val="0"/>
                <w:smallCaps w:val="0"/>
                <w:color w:val="auto"/>
                <w:spacing w:val="0"/>
              </w:rPr>
              <w:t>raise the bar for authors to improve the usability of evidence</w:t>
            </w:r>
            <w:r w:rsidRPr="003F412D">
              <w:rPr>
                <w:rStyle w:val="IntenseReference"/>
                <w:b w:val="0"/>
                <w:bCs w:val="0"/>
                <w:i w:val="0"/>
                <w:smallCaps w:val="0"/>
                <w:color w:val="auto"/>
              </w:rPr>
              <w:t>.</w:t>
            </w:r>
          </w:p>
        </w:tc>
      </w:tr>
    </w:tbl>
    <w:p w:rsidR="00036D39" w:rsidRPr="000C09E7" w:rsidRDefault="00036D39" w:rsidP="00036D39">
      <w:pPr>
        <w:rPr>
          <w:lang w:val="en-AU"/>
        </w:rPr>
      </w:pPr>
    </w:p>
    <w:p w:rsidR="00720E0F" w:rsidRPr="00720E0F" w:rsidRDefault="00720E0F" w:rsidP="00720E0F">
      <w:pPr>
        <w:keepNext/>
        <w:keepLines/>
        <w:autoSpaceDE w:val="0"/>
        <w:autoSpaceDN w:val="0"/>
        <w:adjustRightInd w:val="0"/>
        <w:rPr>
          <w:i/>
          <w:lang w:val="en-AU"/>
        </w:rPr>
      </w:pPr>
      <w:r w:rsidRPr="00720E0F">
        <w:rPr>
          <w:i/>
          <w:lang w:val="en-AU"/>
        </w:rPr>
        <w:t xml:space="preserve">Effectiveness of the Surgical Safety Checklist in Correcting Errors: A Literature Review Applying Reason's Swiss </w:t>
      </w:r>
      <w:proofErr w:type="gramStart"/>
      <w:r w:rsidRPr="00720E0F">
        <w:rPr>
          <w:i/>
          <w:lang w:val="en-AU"/>
        </w:rPr>
        <w:t>Cheese</w:t>
      </w:r>
      <w:proofErr w:type="gramEnd"/>
      <w:r w:rsidRPr="00720E0F">
        <w:rPr>
          <w:i/>
          <w:lang w:val="en-AU"/>
        </w:rPr>
        <w:t xml:space="preserve"> Model</w:t>
      </w:r>
    </w:p>
    <w:p w:rsidR="00720E0F" w:rsidRDefault="00720E0F" w:rsidP="006A0F4E">
      <w:pPr>
        <w:keepNext/>
        <w:keepLines/>
        <w:autoSpaceDE w:val="0"/>
        <w:autoSpaceDN w:val="0"/>
        <w:adjustRightInd w:val="0"/>
        <w:rPr>
          <w:lang w:val="en-AU"/>
        </w:rPr>
      </w:pPr>
      <w:r w:rsidRPr="00720E0F">
        <w:rPr>
          <w:lang w:val="en-AU"/>
        </w:rPr>
        <w:t>Collins SJ, Newhouse R, Porter J, Talsma A</w:t>
      </w:r>
    </w:p>
    <w:p w:rsidR="006A0F4E" w:rsidRPr="000C09E7" w:rsidRDefault="00720E0F" w:rsidP="006A0F4E">
      <w:pPr>
        <w:keepNext/>
        <w:keepLines/>
        <w:autoSpaceDE w:val="0"/>
        <w:autoSpaceDN w:val="0"/>
        <w:adjustRightInd w:val="0"/>
        <w:rPr>
          <w:lang w:val="en-AU"/>
        </w:rPr>
      </w:pPr>
      <w:proofErr w:type="gramStart"/>
      <w:r w:rsidRPr="00720E0F">
        <w:rPr>
          <w:lang w:val="en-AU"/>
        </w:rPr>
        <w:t>AORN Journal.</w:t>
      </w:r>
      <w:proofErr w:type="gramEnd"/>
      <w:r w:rsidRPr="00720E0F">
        <w:rPr>
          <w:lang w:val="en-AU"/>
        </w:rPr>
        <w:t xml:space="preserve"> 2014</w:t>
      </w:r>
      <w:proofErr w:type="gramStart"/>
      <w:r w:rsidRPr="00720E0F">
        <w:rPr>
          <w:lang w:val="en-AU"/>
        </w:rPr>
        <w:t>;100</w:t>
      </w:r>
      <w:proofErr w:type="gramEnd"/>
      <w:r w:rsidRPr="00720E0F">
        <w:rPr>
          <w:lang w:val="en-AU"/>
        </w:rPr>
        <w:t>(1):65-79.e5.</w:t>
      </w:r>
    </w:p>
    <w:tbl>
      <w:tblPr>
        <w:tblStyle w:val="TableGrid"/>
        <w:tblW w:w="0" w:type="auto"/>
        <w:tblInd w:w="288" w:type="dxa"/>
        <w:tblLayout w:type="fixed"/>
        <w:tblLook w:val="01E0" w:firstRow="1" w:lastRow="1" w:firstColumn="1" w:lastColumn="1" w:noHBand="0" w:noVBand="0"/>
      </w:tblPr>
      <w:tblGrid>
        <w:gridCol w:w="1080"/>
        <w:gridCol w:w="8280"/>
      </w:tblGrid>
      <w:tr w:rsidR="006A0F4E" w:rsidRPr="000C09E7" w:rsidTr="00A059D8">
        <w:tc>
          <w:tcPr>
            <w:tcW w:w="1080" w:type="dxa"/>
            <w:tcBorders>
              <w:top w:val="single" w:sz="4" w:space="0" w:color="auto"/>
              <w:left w:val="single" w:sz="4" w:space="0" w:color="auto"/>
              <w:bottom w:val="single" w:sz="4" w:space="0" w:color="auto"/>
              <w:right w:val="single" w:sz="4" w:space="0" w:color="auto"/>
            </w:tcBorders>
            <w:vAlign w:val="center"/>
          </w:tcPr>
          <w:p w:rsidR="006A0F4E" w:rsidRPr="000C09E7" w:rsidRDefault="006A0F4E" w:rsidP="00A059D8">
            <w:pPr>
              <w:rPr>
                <w:lang w:val="en-AU"/>
              </w:rPr>
            </w:pPr>
            <w:r w:rsidRPr="000C09E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A0F4E" w:rsidRPr="000C09E7" w:rsidRDefault="00504108" w:rsidP="00A059D8">
            <w:pPr>
              <w:rPr>
                <w:lang w:val="en-AU"/>
              </w:rPr>
            </w:pPr>
            <w:hyperlink r:id="rId21" w:history="1">
              <w:r w:rsidR="00B67470" w:rsidRPr="0048508D">
                <w:rPr>
                  <w:rStyle w:val="Hyperlink"/>
                  <w:lang w:val="en-AU"/>
                </w:rPr>
                <w:t>http://dx.doi.org/10.1016/j.aorn.2013.07.024</w:t>
              </w:r>
            </w:hyperlink>
            <w:r w:rsidR="00B67470">
              <w:rPr>
                <w:lang w:val="en-AU"/>
              </w:rPr>
              <w:t xml:space="preserve"> </w:t>
            </w:r>
          </w:p>
        </w:tc>
      </w:tr>
      <w:tr w:rsidR="006A0F4E" w:rsidRPr="000C09E7" w:rsidTr="00A059D8">
        <w:tc>
          <w:tcPr>
            <w:tcW w:w="1080" w:type="dxa"/>
            <w:tcBorders>
              <w:top w:val="single" w:sz="4" w:space="0" w:color="auto"/>
              <w:left w:val="single" w:sz="4" w:space="0" w:color="auto"/>
              <w:bottom w:val="single" w:sz="4" w:space="0" w:color="auto"/>
              <w:right w:val="single" w:sz="4" w:space="0" w:color="auto"/>
            </w:tcBorders>
            <w:vAlign w:val="center"/>
          </w:tcPr>
          <w:p w:rsidR="006A0F4E" w:rsidRPr="000C09E7" w:rsidRDefault="006A0F4E" w:rsidP="00A059D8">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A0F4E" w:rsidRDefault="00665B3B" w:rsidP="00665B3B">
            <w:pPr>
              <w:rPr>
                <w:lang w:val="en-AU" w:eastAsia="en-AU"/>
              </w:rPr>
            </w:pPr>
            <w:r>
              <w:rPr>
                <w:lang w:val="en-AU" w:eastAsia="en-AU"/>
              </w:rPr>
              <w:t>In recent years checklists of various forms have become relatively commonplace as an element in safety efforts. This paper reviews the literature on the WHO surgical safety checklist – one of the more widely adopted checklists – using the Swiss cheese model as its framework.</w:t>
            </w:r>
          </w:p>
          <w:p w:rsidR="00665B3B" w:rsidRPr="000C09E7" w:rsidRDefault="00816E5E" w:rsidP="00816E5E">
            <w:pPr>
              <w:rPr>
                <w:lang w:val="en-AU" w:eastAsia="en-AU"/>
              </w:rPr>
            </w:pPr>
            <w:r>
              <w:rPr>
                <w:lang w:val="en-AU" w:eastAsia="en-AU"/>
              </w:rPr>
              <w:t>The authors report that their a</w:t>
            </w:r>
            <w:r w:rsidRPr="00816E5E">
              <w:rPr>
                <w:lang w:val="en-AU" w:eastAsia="en-AU"/>
              </w:rPr>
              <w:t xml:space="preserve">nalysis indicated </w:t>
            </w:r>
            <w:r>
              <w:rPr>
                <w:lang w:val="en-AU" w:eastAsia="en-AU"/>
              </w:rPr>
              <w:t>“</w:t>
            </w:r>
            <w:r w:rsidRPr="00816E5E">
              <w:rPr>
                <w:lang w:val="en-AU" w:eastAsia="en-AU"/>
              </w:rPr>
              <w:t xml:space="preserve">the </w:t>
            </w:r>
            <w:r w:rsidRPr="00816E5E">
              <w:rPr>
                <w:b/>
                <w:lang w:val="en-AU" w:eastAsia="en-AU"/>
              </w:rPr>
              <w:t>effectiveness of the surgical checklist</w:t>
            </w:r>
            <w:r w:rsidRPr="00816E5E">
              <w:rPr>
                <w:lang w:val="en-AU" w:eastAsia="en-AU"/>
              </w:rPr>
              <w:t xml:space="preserve"> in </w:t>
            </w:r>
            <w:r w:rsidRPr="00816E5E">
              <w:rPr>
                <w:b/>
                <w:lang w:val="en-AU" w:eastAsia="en-AU"/>
              </w:rPr>
              <w:t>reducing the incidence of wrong-site surgeries</w:t>
            </w:r>
            <w:r w:rsidRPr="00816E5E">
              <w:rPr>
                <w:lang w:val="en-AU" w:eastAsia="en-AU"/>
              </w:rPr>
              <w:t xml:space="preserve"> and other medical errors; </w:t>
            </w:r>
            <w:r w:rsidRPr="00816E5E">
              <w:rPr>
                <w:b/>
                <w:lang w:val="en-AU" w:eastAsia="en-AU"/>
              </w:rPr>
              <w:t>however, checklists alone will not prevent all errors</w:t>
            </w:r>
            <w:r w:rsidRPr="00816E5E">
              <w:rPr>
                <w:lang w:val="en-AU" w:eastAsia="en-AU"/>
              </w:rPr>
              <w:t xml:space="preserve">. </w:t>
            </w:r>
            <w:r w:rsidRPr="00816E5E">
              <w:rPr>
                <w:b/>
                <w:lang w:val="en-AU" w:eastAsia="en-AU"/>
              </w:rPr>
              <w:t>Successful implementation requires</w:t>
            </w:r>
            <w:r w:rsidRPr="00816E5E">
              <w:rPr>
                <w:lang w:val="en-AU" w:eastAsia="en-AU"/>
              </w:rPr>
              <w:t xml:space="preserve"> perioperative stakeholders to </w:t>
            </w:r>
            <w:r w:rsidRPr="00816E5E">
              <w:rPr>
                <w:b/>
                <w:lang w:val="en-AU" w:eastAsia="en-AU"/>
              </w:rPr>
              <w:t>understand the nature of errors</w:t>
            </w:r>
            <w:r w:rsidRPr="00816E5E">
              <w:rPr>
                <w:lang w:val="en-AU" w:eastAsia="en-AU"/>
              </w:rPr>
              <w:t xml:space="preserve">, </w:t>
            </w:r>
            <w:r w:rsidRPr="00816E5E">
              <w:rPr>
                <w:b/>
                <w:lang w:val="en-AU" w:eastAsia="en-AU"/>
              </w:rPr>
              <w:t>recognize the complex dynamic between systems and individuals</w:t>
            </w:r>
            <w:r w:rsidRPr="00816E5E">
              <w:rPr>
                <w:lang w:val="en-AU" w:eastAsia="en-AU"/>
              </w:rPr>
              <w:t xml:space="preserve">, and </w:t>
            </w:r>
            <w:r w:rsidRPr="00816E5E">
              <w:rPr>
                <w:b/>
                <w:lang w:val="en-AU" w:eastAsia="en-AU"/>
              </w:rPr>
              <w:t>create a just culture</w:t>
            </w:r>
            <w:r w:rsidRPr="00816E5E">
              <w:rPr>
                <w:lang w:val="en-AU" w:eastAsia="en-AU"/>
              </w:rPr>
              <w:t xml:space="preserve"> that encourages a shared vision of patient safety.</w:t>
            </w:r>
            <w:r>
              <w:rPr>
                <w:lang w:val="en-AU" w:eastAsia="en-AU"/>
              </w:rPr>
              <w:t>”</w:t>
            </w:r>
          </w:p>
        </w:tc>
      </w:tr>
    </w:tbl>
    <w:p w:rsidR="006A0F4E" w:rsidRPr="000C09E7" w:rsidRDefault="006A0F4E" w:rsidP="006A0F4E">
      <w:pPr>
        <w:rPr>
          <w:lang w:val="en-AU"/>
        </w:rPr>
      </w:pPr>
    </w:p>
    <w:p w:rsidR="00720E0F" w:rsidRPr="00720E0F" w:rsidRDefault="00720E0F" w:rsidP="00720E0F">
      <w:pPr>
        <w:keepNext/>
        <w:keepLines/>
        <w:autoSpaceDE w:val="0"/>
        <w:autoSpaceDN w:val="0"/>
        <w:adjustRightInd w:val="0"/>
        <w:rPr>
          <w:i/>
          <w:lang w:val="en-AU"/>
        </w:rPr>
      </w:pPr>
      <w:r w:rsidRPr="00720E0F">
        <w:rPr>
          <w:i/>
          <w:lang w:val="en-AU"/>
        </w:rPr>
        <w:lastRenderedPageBreak/>
        <w:t>The WHO surgical safety checklist: survey of patients’ views</w:t>
      </w:r>
    </w:p>
    <w:p w:rsidR="00720E0F" w:rsidRDefault="00720E0F" w:rsidP="006A0F4E">
      <w:pPr>
        <w:keepNext/>
        <w:keepLines/>
        <w:autoSpaceDE w:val="0"/>
        <w:autoSpaceDN w:val="0"/>
        <w:adjustRightInd w:val="0"/>
        <w:rPr>
          <w:lang w:val="en-AU"/>
        </w:rPr>
      </w:pPr>
      <w:r w:rsidRPr="00720E0F">
        <w:rPr>
          <w:lang w:val="en-AU"/>
        </w:rPr>
        <w:t>Russ SJ, Rout S, Caris J, Moorthy K, Mayer E, Darzi A, et al.</w:t>
      </w:r>
    </w:p>
    <w:p w:rsidR="006A0F4E" w:rsidRPr="000C09E7" w:rsidRDefault="00720E0F" w:rsidP="006A0F4E">
      <w:pPr>
        <w:keepNext/>
        <w:keepLines/>
        <w:autoSpaceDE w:val="0"/>
        <w:autoSpaceDN w:val="0"/>
        <w:adjustRightInd w:val="0"/>
        <w:rPr>
          <w:lang w:val="en-AU"/>
        </w:rPr>
      </w:pPr>
      <w:r w:rsidRPr="00720E0F">
        <w:rPr>
          <w:lang w:val="en-AU"/>
        </w:rPr>
        <w:t>BMJ Quality &amp; Safety</w:t>
      </w:r>
      <w:r>
        <w:rPr>
          <w:lang w:val="en-AU"/>
        </w:rPr>
        <w:t xml:space="preserve"> [epub]</w:t>
      </w:r>
      <w:r w:rsidRPr="00720E0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6A0F4E" w:rsidRPr="000C09E7" w:rsidTr="00A059D8">
        <w:tc>
          <w:tcPr>
            <w:tcW w:w="1080" w:type="dxa"/>
            <w:tcBorders>
              <w:top w:val="single" w:sz="4" w:space="0" w:color="auto"/>
              <w:left w:val="single" w:sz="4" w:space="0" w:color="auto"/>
              <w:bottom w:val="single" w:sz="4" w:space="0" w:color="auto"/>
              <w:right w:val="single" w:sz="4" w:space="0" w:color="auto"/>
            </w:tcBorders>
            <w:vAlign w:val="center"/>
          </w:tcPr>
          <w:p w:rsidR="006A0F4E" w:rsidRPr="000C09E7" w:rsidRDefault="006A0F4E" w:rsidP="00A059D8">
            <w:pPr>
              <w:rPr>
                <w:lang w:val="en-AU"/>
              </w:rPr>
            </w:pPr>
            <w:r w:rsidRPr="000C09E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A0F4E" w:rsidRPr="000C09E7" w:rsidRDefault="00504108" w:rsidP="00A059D8">
            <w:pPr>
              <w:rPr>
                <w:lang w:val="en-AU"/>
              </w:rPr>
            </w:pPr>
            <w:hyperlink r:id="rId22" w:history="1">
              <w:r w:rsidR="00720E0F" w:rsidRPr="0048508D">
                <w:rPr>
                  <w:rStyle w:val="Hyperlink"/>
                  <w:lang w:val="en-AU"/>
                </w:rPr>
                <w:t>http://dx.doi.org/10.1136/bmjqs-2013-002772</w:t>
              </w:r>
            </w:hyperlink>
            <w:r w:rsidR="00720E0F">
              <w:rPr>
                <w:lang w:val="en-AU"/>
              </w:rPr>
              <w:t xml:space="preserve"> </w:t>
            </w:r>
          </w:p>
        </w:tc>
      </w:tr>
      <w:tr w:rsidR="006A0F4E" w:rsidRPr="000C09E7" w:rsidTr="00A059D8">
        <w:tc>
          <w:tcPr>
            <w:tcW w:w="1080" w:type="dxa"/>
            <w:tcBorders>
              <w:top w:val="single" w:sz="4" w:space="0" w:color="auto"/>
              <w:left w:val="single" w:sz="4" w:space="0" w:color="auto"/>
              <w:bottom w:val="single" w:sz="4" w:space="0" w:color="auto"/>
              <w:right w:val="single" w:sz="4" w:space="0" w:color="auto"/>
            </w:tcBorders>
            <w:vAlign w:val="center"/>
          </w:tcPr>
          <w:p w:rsidR="006A0F4E" w:rsidRPr="000C09E7" w:rsidRDefault="006A0F4E" w:rsidP="00A059D8">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A7439" w:rsidRDefault="00665B3B" w:rsidP="00AA7439">
            <w:pPr>
              <w:rPr>
                <w:lang w:val="en-AU" w:eastAsia="en-AU"/>
              </w:rPr>
            </w:pPr>
            <w:r>
              <w:rPr>
                <w:lang w:val="en-AU" w:eastAsia="en-AU"/>
              </w:rPr>
              <w:t xml:space="preserve">Another item reflecting on the WHO surgical safety checklist, this time from the perspective of the patient. </w:t>
            </w:r>
            <w:r w:rsidR="00AA7439">
              <w:rPr>
                <w:lang w:val="en-AU" w:eastAsia="en-AU"/>
              </w:rPr>
              <w:t xml:space="preserve">This study interviewed 141 post-operative patients </w:t>
            </w:r>
            <w:r w:rsidR="00AA7439" w:rsidRPr="00AA7439">
              <w:rPr>
                <w:lang w:val="en-AU" w:eastAsia="en-AU"/>
              </w:rPr>
              <w:t>from surgical wards at two large London teaching hospitals</w:t>
            </w:r>
            <w:r w:rsidR="00AA7439">
              <w:rPr>
                <w:lang w:val="en-AU" w:eastAsia="en-AU"/>
              </w:rPr>
              <w:t xml:space="preserve"> who had been provided with information about the checklist and procedures prior to checklist implementation. The authors report that “</w:t>
            </w:r>
            <w:r w:rsidR="00AA7439" w:rsidRPr="00AA7439">
              <w:rPr>
                <w:b/>
                <w:lang w:val="en-AU" w:eastAsia="en-AU"/>
              </w:rPr>
              <w:t>Patients were positive</w:t>
            </w:r>
            <w:r w:rsidR="00AA7439" w:rsidRPr="00AA7439">
              <w:rPr>
                <w:lang w:val="en-AU" w:eastAsia="en-AU"/>
              </w:rPr>
              <w:t xml:space="preserve"> towards the checklist, </w:t>
            </w:r>
            <w:r w:rsidR="00AA7439" w:rsidRPr="00AA7439">
              <w:rPr>
                <w:b/>
                <w:lang w:val="en-AU" w:eastAsia="en-AU"/>
              </w:rPr>
              <w:t>strongly agreeing that it would impact positively on their safety and on surgical team performance</w:t>
            </w:r>
            <w:r w:rsidR="00AA7439" w:rsidRPr="00AA7439">
              <w:rPr>
                <w:lang w:val="en-AU" w:eastAsia="en-AU"/>
              </w:rPr>
              <w:t>. Those worried about coming to harm in hospital were particularly supportive.</w:t>
            </w:r>
            <w:r w:rsidR="00AA7439">
              <w:rPr>
                <w:lang w:val="en-AU" w:eastAsia="en-AU"/>
              </w:rPr>
              <w:t>” The authors suggest that this level of patient support can help overcome resistance to use of the checklist.</w:t>
            </w:r>
          </w:p>
          <w:p w:rsidR="00FE5C7C" w:rsidRPr="000C09E7" w:rsidRDefault="00FE5C7C" w:rsidP="00145DD3">
            <w:pPr>
              <w:rPr>
                <w:lang w:val="en-AU" w:eastAsia="en-AU"/>
              </w:rPr>
            </w:pPr>
            <w:r>
              <w:rPr>
                <w:lang w:val="en-AU" w:eastAsia="en-AU"/>
              </w:rPr>
              <w:t xml:space="preserve">The authors also note that the patients did not </w:t>
            </w:r>
            <w:r w:rsidRPr="00FE5C7C">
              <w:rPr>
                <w:lang w:val="en-AU" w:eastAsia="en-AU"/>
              </w:rPr>
              <w:t>feel they had a strong role to play in safety improvement more broadly.</w:t>
            </w:r>
          </w:p>
        </w:tc>
      </w:tr>
    </w:tbl>
    <w:p w:rsidR="006A0F4E" w:rsidRPr="000C09E7" w:rsidRDefault="006A0F4E" w:rsidP="006A0F4E">
      <w:pPr>
        <w:rPr>
          <w:lang w:val="en-AU"/>
        </w:rPr>
      </w:pPr>
    </w:p>
    <w:p w:rsidR="00B67470" w:rsidRPr="00B67470" w:rsidRDefault="00B67470" w:rsidP="00B67470">
      <w:pPr>
        <w:keepNext/>
        <w:keepLines/>
        <w:autoSpaceDE w:val="0"/>
        <w:autoSpaceDN w:val="0"/>
        <w:adjustRightInd w:val="0"/>
        <w:rPr>
          <w:i/>
          <w:lang w:val="en-AU"/>
        </w:rPr>
      </w:pPr>
      <w:r w:rsidRPr="00B67470">
        <w:rPr>
          <w:i/>
          <w:lang w:val="en-AU"/>
        </w:rPr>
        <w:t>The legibility of prescription medication labelling in Canada: Moving from pharmacy-centred to patient-centred labels</w:t>
      </w:r>
    </w:p>
    <w:p w:rsidR="00B67470" w:rsidRDefault="00B67470" w:rsidP="006A0F4E">
      <w:pPr>
        <w:keepNext/>
        <w:keepLines/>
        <w:autoSpaceDE w:val="0"/>
        <w:autoSpaceDN w:val="0"/>
        <w:adjustRightInd w:val="0"/>
        <w:rPr>
          <w:lang w:val="en-AU"/>
        </w:rPr>
      </w:pPr>
      <w:r w:rsidRPr="00B67470">
        <w:rPr>
          <w:lang w:val="en-AU"/>
        </w:rPr>
        <w:t>Leat SJ, Ahrens K, Krishnamoorthy A, Gold D, Rojas-Fernandez CH</w:t>
      </w:r>
    </w:p>
    <w:p w:rsidR="006A0F4E" w:rsidRPr="000C09E7" w:rsidRDefault="00B67470" w:rsidP="006A0F4E">
      <w:pPr>
        <w:keepNext/>
        <w:keepLines/>
        <w:autoSpaceDE w:val="0"/>
        <w:autoSpaceDN w:val="0"/>
        <w:adjustRightInd w:val="0"/>
        <w:rPr>
          <w:lang w:val="en-AU"/>
        </w:rPr>
      </w:pPr>
      <w:proofErr w:type="gramStart"/>
      <w:r w:rsidRPr="00B67470">
        <w:rPr>
          <w:lang w:val="en-AU"/>
        </w:rPr>
        <w:t>Canadian Pharmacists Journal / Revue des Pharmaciens du Canada.</w:t>
      </w:r>
      <w:proofErr w:type="gramEnd"/>
      <w:r w:rsidRPr="00B67470">
        <w:rPr>
          <w:lang w:val="en-AU"/>
        </w:rPr>
        <w:t xml:space="preserve"> 2014</w:t>
      </w:r>
      <w:proofErr w:type="gramStart"/>
      <w:r w:rsidRPr="00B67470">
        <w:rPr>
          <w:lang w:val="en-AU"/>
        </w:rPr>
        <w:t>;147</w:t>
      </w:r>
      <w:proofErr w:type="gramEnd"/>
      <w:r w:rsidRPr="00B67470">
        <w:rPr>
          <w:lang w:val="en-AU"/>
        </w:rPr>
        <w:t>(3):179-87.</w:t>
      </w:r>
    </w:p>
    <w:tbl>
      <w:tblPr>
        <w:tblStyle w:val="TableGrid"/>
        <w:tblW w:w="0" w:type="auto"/>
        <w:tblInd w:w="288" w:type="dxa"/>
        <w:tblLayout w:type="fixed"/>
        <w:tblLook w:val="01E0" w:firstRow="1" w:lastRow="1" w:firstColumn="1" w:lastColumn="1" w:noHBand="0" w:noVBand="0"/>
      </w:tblPr>
      <w:tblGrid>
        <w:gridCol w:w="1080"/>
        <w:gridCol w:w="8280"/>
      </w:tblGrid>
      <w:tr w:rsidR="006A0F4E" w:rsidRPr="000C09E7" w:rsidTr="00A059D8">
        <w:tc>
          <w:tcPr>
            <w:tcW w:w="1080" w:type="dxa"/>
            <w:tcBorders>
              <w:top w:val="single" w:sz="4" w:space="0" w:color="auto"/>
              <w:left w:val="single" w:sz="4" w:space="0" w:color="auto"/>
              <w:bottom w:val="single" w:sz="4" w:space="0" w:color="auto"/>
              <w:right w:val="single" w:sz="4" w:space="0" w:color="auto"/>
            </w:tcBorders>
            <w:vAlign w:val="center"/>
          </w:tcPr>
          <w:p w:rsidR="006A0F4E" w:rsidRPr="000C09E7" w:rsidRDefault="006A0F4E" w:rsidP="00A059D8">
            <w:pPr>
              <w:rPr>
                <w:lang w:val="en-AU"/>
              </w:rPr>
            </w:pPr>
            <w:r w:rsidRPr="000C09E7">
              <w:rPr>
                <w:lang w:val="en-AU"/>
              </w:rPr>
              <w:t>DOI</w:t>
            </w:r>
            <w:r w:rsidR="004F2499">
              <w:rPr>
                <w:lang w:val="en-AU"/>
              </w:rPr>
              <w:t xml:space="preserve"> / URL</w:t>
            </w:r>
          </w:p>
        </w:tc>
        <w:tc>
          <w:tcPr>
            <w:tcW w:w="8280" w:type="dxa"/>
            <w:tcBorders>
              <w:top w:val="single" w:sz="4" w:space="0" w:color="auto"/>
              <w:left w:val="single" w:sz="4" w:space="0" w:color="auto"/>
              <w:bottom w:val="single" w:sz="4" w:space="0" w:color="auto"/>
              <w:right w:val="single" w:sz="4" w:space="0" w:color="auto"/>
            </w:tcBorders>
            <w:vAlign w:val="center"/>
          </w:tcPr>
          <w:p w:rsidR="00B67470" w:rsidRDefault="00504108" w:rsidP="00A059D8">
            <w:pPr>
              <w:rPr>
                <w:lang w:val="en-AU"/>
              </w:rPr>
            </w:pPr>
            <w:hyperlink r:id="rId23" w:history="1">
              <w:r w:rsidR="00B67470" w:rsidRPr="0048508D">
                <w:rPr>
                  <w:rStyle w:val="Hyperlink"/>
                  <w:lang w:val="en-AU"/>
                </w:rPr>
                <w:t>http://dx.doi.org/10.1177/1715163514530094</w:t>
              </w:r>
            </w:hyperlink>
          </w:p>
          <w:p w:rsidR="00B67470" w:rsidRPr="000C09E7" w:rsidRDefault="00504108" w:rsidP="00B67470">
            <w:pPr>
              <w:rPr>
                <w:lang w:val="en-AU"/>
              </w:rPr>
            </w:pPr>
            <w:hyperlink r:id="rId24" w:history="1">
              <w:r w:rsidR="00B67470" w:rsidRPr="0048508D">
                <w:rPr>
                  <w:rStyle w:val="Hyperlink"/>
                  <w:lang w:val="en-AU"/>
                </w:rPr>
                <w:t>http://www.ncbi.nlm.nih.gov/pmc/articles/PMC4025884/</w:t>
              </w:r>
            </w:hyperlink>
          </w:p>
        </w:tc>
      </w:tr>
      <w:tr w:rsidR="006A0F4E" w:rsidRPr="000C09E7" w:rsidTr="00A059D8">
        <w:tc>
          <w:tcPr>
            <w:tcW w:w="1080" w:type="dxa"/>
            <w:tcBorders>
              <w:top w:val="single" w:sz="4" w:space="0" w:color="auto"/>
              <w:left w:val="single" w:sz="4" w:space="0" w:color="auto"/>
              <w:bottom w:val="single" w:sz="4" w:space="0" w:color="auto"/>
              <w:right w:val="single" w:sz="4" w:space="0" w:color="auto"/>
            </w:tcBorders>
            <w:vAlign w:val="center"/>
          </w:tcPr>
          <w:p w:rsidR="006A0F4E" w:rsidRPr="000C09E7" w:rsidRDefault="006A0F4E" w:rsidP="00A059D8">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A0F4E" w:rsidRDefault="00DB4D52" w:rsidP="00A059D8">
            <w:pPr>
              <w:rPr>
                <w:lang w:val="en-AU" w:eastAsia="en-AU"/>
              </w:rPr>
            </w:pPr>
            <w:r>
              <w:rPr>
                <w:lang w:val="en-AU" w:eastAsia="en-AU"/>
              </w:rPr>
              <w:t>There has been much interest in naming and labelling of medications in order to address issues of mis-identification, mis-selection and confusion. Often that has focussed on the health care worke</w:t>
            </w:r>
            <w:r w:rsidR="00AA7439">
              <w:rPr>
                <w:lang w:val="en-AU" w:eastAsia="en-AU"/>
              </w:rPr>
              <w:t>r</w:t>
            </w:r>
            <w:r>
              <w:rPr>
                <w:lang w:val="en-AU" w:eastAsia="en-AU"/>
              </w:rPr>
              <w:t>.</w:t>
            </w:r>
          </w:p>
          <w:p w:rsidR="00036D39" w:rsidRDefault="00816E5E" w:rsidP="00816E5E">
            <w:pPr>
              <w:rPr>
                <w:lang w:val="en-AU" w:eastAsia="en-AU"/>
              </w:rPr>
            </w:pPr>
            <w:r>
              <w:rPr>
                <w:lang w:val="en-AU" w:eastAsia="en-AU"/>
              </w:rPr>
              <w:t xml:space="preserve">This study examined labels provided for a hypothetical prescription from a sample of 45 pharmacies in a region in Ontario and compared these with </w:t>
            </w:r>
            <w:r w:rsidRPr="00816E5E">
              <w:rPr>
                <w:lang w:val="en-AU" w:eastAsia="en-AU"/>
              </w:rPr>
              <w:t>the recommendations for prescription labels by p</w:t>
            </w:r>
            <w:r>
              <w:rPr>
                <w:lang w:val="en-AU" w:eastAsia="en-AU"/>
              </w:rPr>
              <w:t>harmaceutical and health organis</w:t>
            </w:r>
            <w:r w:rsidRPr="00816E5E">
              <w:rPr>
                <w:lang w:val="en-AU" w:eastAsia="en-AU"/>
              </w:rPr>
              <w:t>ations and for print accessibility by non</w:t>
            </w:r>
            <w:r>
              <w:rPr>
                <w:lang w:val="en-AU" w:eastAsia="en-AU"/>
              </w:rPr>
              <w:t>-</w:t>
            </w:r>
            <w:r w:rsidRPr="00816E5E">
              <w:rPr>
                <w:lang w:val="en-AU" w:eastAsia="en-AU"/>
              </w:rPr>
              <w:t>governmental organi</w:t>
            </w:r>
            <w:r>
              <w:rPr>
                <w:lang w:val="en-AU" w:eastAsia="en-AU"/>
              </w:rPr>
              <w:t>s</w:t>
            </w:r>
            <w:r w:rsidRPr="00816E5E">
              <w:rPr>
                <w:lang w:val="en-AU" w:eastAsia="en-AU"/>
              </w:rPr>
              <w:t>ations.</w:t>
            </w:r>
          </w:p>
          <w:p w:rsidR="00816E5E" w:rsidRDefault="00816E5E" w:rsidP="00816E5E">
            <w:pPr>
              <w:rPr>
                <w:lang w:val="en-AU" w:eastAsia="en-AU"/>
              </w:rPr>
            </w:pPr>
            <w:r>
              <w:rPr>
                <w:lang w:val="en-AU" w:eastAsia="en-AU"/>
              </w:rPr>
              <w:t xml:space="preserve">While most labels </w:t>
            </w:r>
            <w:r w:rsidRPr="00816E5E">
              <w:rPr>
                <w:lang w:val="en-AU" w:eastAsia="en-AU"/>
              </w:rPr>
              <w:t>followed guidelines for font style, contrast, print colour and nonglossy paper</w:t>
            </w:r>
            <w:r>
              <w:rPr>
                <w:lang w:val="en-AU" w:eastAsia="en-AU"/>
              </w:rPr>
              <w:t xml:space="preserve"> many did not comply in terms of type size (</w:t>
            </w:r>
            <w:r w:rsidRPr="00816E5E">
              <w:rPr>
                <w:lang w:val="en-AU" w:eastAsia="en-AU"/>
              </w:rPr>
              <w:t xml:space="preserve">44% </w:t>
            </w:r>
            <w:r>
              <w:rPr>
                <w:lang w:val="en-AU" w:eastAsia="en-AU"/>
              </w:rPr>
              <w:t xml:space="preserve">complying for instructions and none for thee drug and patient name), best use of space (5%) or alignment (51%). None of the labels provided </w:t>
            </w:r>
            <w:r w:rsidRPr="00816E5E">
              <w:rPr>
                <w:lang w:val="en-AU" w:eastAsia="en-AU"/>
              </w:rPr>
              <w:t>instructions in sentence case, as is recommended.</w:t>
            </w:r>
          </w:p>
          <w:p w:rsidR="00F33CC0" w:rsidRPr="000C09E7" w:rsidRDefault="00F33CC0" w:rsidP="00816E5E">
            <w:pPr>
              <w:rPr>
                <w:lang w:val="en-AU" w:eastAsia="en-AU"/>
              </w:rPr>
            </w:pPr>
            <w:r>
              <w:rPr>
                <w:lang w:val="en-AU" w:eastAsia="en-AU"/>
              </w:rPr>
              <w:t>As the authors conclude, “</w:t>
            </w:r>
            <w:r w:rsidRPr="00F33CC0">
              <w:rPr>
                <w:b/>
                <w:lang w:val="en-AU" w:eastAsia="en-AU"/>
              </w:rPr>
              <w:t>Improvements in pharmacy labelling are possible without moving to new technologies or changing the size of labels and would be expected to enhance patient outcomes.</w:t>
            </w:r>
            <w:r>
              <w:rPr>
                <w:lang w:val="en-AU" w:eastAsia="en-AU"/>
              </w:rPr>
              <w:t>”</w:t>
            </w:r>
          </w:p>
        </w:tc>
      </w:tr>
    </w:tbl>
    <w:p w:rsidR="006A0F4E" w:rsidRDefault="006A0F4E" w:rsidP="006A0F4E">
      <w:pPr>
        <w:rPr>
          <w:lang w:val="en-AU"/>
        </w:rPr>
      </w:pPr>
    </w:p>
    <w:p w:rsidR="00DB4D52" w:rsidRDefault="00DB4D52" w:rsidP="00DB4D52">
      <w:pPr>
        <w:rPr>
          <w:lang w:val="en-AU"/>
        </w:rPr>
      </w:pPr>
      <w:r w:rsidRPr="000C09E7">
        <w:rPr>
          <w:lang w:val="en-AU"/>
        </w:rPr>
        <w:t>For information on the Commission’s work on</w:t>
      </w:r>
      <w:r>
        <w:rPr>
          <w:lang w:val="en-AU"/>
        </w:rPr>
        <w:t xml:space="preserve"> medication safety, including medication reconciliation and labelling, see </w:t>
      </w:r>
      <w:hyperlink r:id="rId25" w:history="1">
        <w:r w:rsidRPr="005D5A1A">
          <w:rPr>
            <w:rStyle w:val="Hyperlink"/>
            <w:lang w:val="en-AU"/>
          </w:rPr>
          <w:t>www.safetyandquality.gov.au/our-work/medication-safety/</w:t>
        </w:r>
      </w:hyperlink>
      <w:r>
        <w:rPr>
          <w:lang w:val="en-AU"/>
        </w:rPr>
        <w:t xml:space="preserve"> </w:t>
      </w:r>
    </w:p>
    <w:p w:rsidR="00DB4D52" w:rsidRPr="000C09E7" w:rsidRDefault="00DB4D52" w:rsidP="006A0F4E">
      <w:pPr>
        <w:rPr>
          <w:lang w:val="en-AU"/>
        </w:rPr>
      </w:pPr>
    </w:p>
    <w:p w:rsidR="00B67470" w:rsidRPr="00B67470" w:rsidRDefault="00B67470" w:rsidP="00B67470">
      <w:pPr>
        <w:keepNext/>
        <w:keepLines/>
        <w:autoSpaceDE w:val="0"/>
        <w:autoSpaceDN w:val="0"/>
        <w:adjustRightInd w:val="0"/>
        <w:rPr>
          <w:i/>
          <w:lang w:val="en-AU"/>
        </w:rPr>
      </w:pPr>
      <w:r w:rsidRPr="00B67470">
        <w:rPr>
          <w:i/>
          <w:lang w:val="en-AU"/>
        </w:rPr>
        <w:t>Interventions to Reduce Pediatric Medication Errors: A Systematic Review</w:t>
      </w:r>
    </w:p>
    <w:p w:rsidR="00B67470" w:rsidRDefault="00B67470" w:rsidP="006A0F4E">
      <w:pPr>
        <w:keepNext/>
        <w:keepLines/>
        <w:autoSpaceDE w:val="0"/>
        <w:autoSpaceDN w:val="0"/>
        <w:adjustRightInd w:val="0"/>
        <w:rPr>
          <w:lang w:val="en-AU"/>
        </w:rPr>
      </w:pPr>
      <w:r w:rsidRPr="00B67470">
        <w:rPr>
          <w:lang w:val="en-AU"/>
        </w:rPr>
        <w:t>Rinke ML, Bundy DG, Velasquez CA, Rao S, Zerhouni Y, Lobner K, et al</w:t>
      </w:r>
    </w:p>
    <w:p w:rsidR="00DB4D52" w:rsidRDefault="00DB4D52" w:rsidP="006A0F4E">
      <w:pPr>
        <w:keepNext/>
        <w:keepLines/>
        <w:autoSpaceDE w:val="0"/>
        <w:autoSpaceDN w:val="0"/>
        <w:adjustRightInd w:val="0"/>
        <w:rPr>
          <w:lang w:val="en-AU"/>
        </w:rPr>
      </w:pPr>
      <w:proofErr w:type="gramStart"/>
      <w:r w:rsidRPr="00B67470">
        <w:rPr>
          <w:lang w:val="en-AU"/>
        </w:rPr>
        <w:t>Pediatrics</w:t>
      </w:r>
      <w:r>
        <w:rPr>
          <w:lang w:val="en-AU"/>
        </w:rPr>
        <w:t xml:space="preserve"> [epub].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A0F4E" w:rsidRPr="000C09E7" w:rsidTr="00A059D8">
        <w:tc>
          <w:tcPr>
            <w:tcW w:w="1080" w:type="dxa"/>
            <w:tcBorders>
              <w:top w:val="single" w:sz="4" w:space="0" w:color="auto"/>
              <w:left w:val="single" w:sz="4" w:space="0" w:color="auto"/>
              <w:bottom w:val="single" w:sz="4" w:space="0" w:color="auto"/>
              <w:right w:val="single" w:sz="4" w:space="0" w:color="auto"/>
            </w:tcBorders>
            <w:vAlign w:val="center"/>
          </w:tcPr>
          <w:p w:rsidR="006A0F4E" w:rsidRPr="000C09E7" w:rsidRDefault="006A0F4E" w:rsidP="00A059D8">
            <w:pPr>
              <w:rPr>
                <w:lang w:val="en-AU"/>
              </w:rPr>
            </w:pPr>
            <w:r w:rsidRPr="000C09E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A0F4E" w:rsidRPr="000C09E7" w:rsidRDefault="00504108" w:rsidP="00A059D8">
            <w:pPr>
              <w:rPr>
                <w:lang w:val="en-AU"/>
              </w:rPr>
            </w:pPr>
            <w:hyperlink r:id="rId26" w:history="1">
              <w:r w:rsidR="00B67470" w:rsidRPr="0048508D">
                <w:rPr>
                  <w:rStyle w:val="Hyperlink"/>
                  <w:lang w:val="en-AU"/>
                </w:rPr>
                <w:t>http://dx.doi.org/10.1542/peds.2013-3531</w:t>
              </w:r>
            </w:hyperlink>
            <w:r w:rsidR="00B67470">
              <w:rPr>
                <w:lang w:val="en-AU"/>
              </w:rPr>
              <w:t xml:space="preserve"> </w:t>
            </w:r>
          </w:p>
        </w:tc>
      </w:tr>
      <w:tr w:rsidR="006A0F4E" w:rsidRPr="000C09E7" w:rsidTr="00A059D8">
        <w:tc>
          <w:tcPr>
            <w:tcW w:w="1080" w:type="dxa"/>
            <w:tcBorders>
              <w:top w:val="single" w:sz="4" w:space="0" w:color="auto"/>
              <w:left w:val="single" w:sz="4" w:space="0" w:color="auto"/>
              <w:bottom w:val="single" w:sz="4" w:space="0" w:color="auto"/>
              <w:right w:val="single" w:sz="4" w:space="0" w:color="auto"/>
            </w:tcBorders>
            <w:vAlign w:val="center"/>
          </w:tcPr>
          <w:p w:rsidR="006A0F4E" w:rsidRPr="000C09E7" w:rsidRDefault="006A0F4E" w:rsidP="00A059D8">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A0F4E" w:rsidRPr="000C09E7" w:rsidRDefault="00C21640" w:rsidP="00C21640">
            <w:pPr>
              <w:rPr>
                <w:lang w:val="en-AU" w:eastAsia="en-AU"/>
              </w:rPr>
            </w:pPr>
            <w:r w:rsidRPr="00C21640">
              <w:rPr>
                <w:lang w:val="en-AU" w:eastAsia="en-AU"/>
              </w:rPr>
              <w:t>This systematic review sought to determine the effectiveness of interventions to reduce p</w:t>
            </w:r>
            <w:r>
              <w:rPr>
                <w:lang w:val="en-AU" w:eastAsia="en-AU"/>
              </w:rPr>
              <w:t>ae</w:t>
            </w:r>
            <w:r w:rsidRPr="00C21640">
              <w:rPr>
                <w:lang w:val="en-AU" w:eastAsia="en-AU"/>
              </w:rPr>
              <w:t>diatric medication errors</w:t>
            </w:r>
            <w:r>
              <w:rPr>
                <w:lang w:val="en-AU" w:eastAsia="en-AU"/>
              </w:rPr>
              <w:t xml:space="preserve">. The study found many limitations of and gaps in </w:t>
            </w:r>
            <w:r w:rsidRPr="00C21640">
              <w:rPr>
                <w:lang w:val="en-AU" w:eastAsia="en-AU"/>
              </w:rPr>
              <w:t xml:space="preserve">the literature. The review did </w:t>
            </w:r>
            <w:r>
              <w:rPr>
                <w:lang w:val="en-AU" w:eastAsia="en-AU"/>
              </w:rPr>
              <w:t xml:space="preserve">note a number of </w:t>
            </w:r>
            <w:r w:rsidRPr="00C21640">
              <w:rPr>
                <w:lang w:val="en-AU" w:eastAsia="en-AU"/>
              </w:rPr>
              <w:t xml:space="preserve">interventions that improved medication safety, including </w:t>
            </w:r>
            <w:r w:rsidRPr="00C21640">
              <w:rPr>
                <w:b/>
                <w:lang w:val="en-AU" w:eastAsia="en-AU"/>
              </w:rPr>
              <w:t>clinical decision support tools</w:t>
            </w:r>
            <w:r w:rsidRPr="00C21640">
              <w:rPr>
                <w:lang w:val="en-AU" w:eastAsia="en-AU"/>
              </w:rPr>
              <w:t xml:space="preserve">, </w:t>
            </w:r>
            <w:r w:rsidRPr="00C21640">
              <w:rPr>
                <w:b/>
                <w:lang w:val="en-AU" w:eastAsia="en-AU"/>
              </w:rPr>
              <w:t>provider education programs</w:t>
            </w:r>
            <w:r w:rsidRPr="00C21640">
              <w:rPr>
                <w:lang w:val="en-AU" w:eastAsia="en-AU"/>
              </w:rPr>
              <w:t xml:space="preserve">, and </w:t>
            </w:r>
            <w:r w:rsidRPr="00C21640">
              <w:rPr>
                <w:b/>
                <w:lang w:val="en-AU" w:eastAsia="en-AU"/>
              </w:rPr>
              <w:t>pre-printed order sheets.</w:t>
            </w:r>
          </w:p>
        </w:tc>
      </w:tr>
    </w:tbl>
    <w:p w:rsidR="00B67470" w:rsidRPr="00B67470" w:rsidRDefault="00B67470" w:rsidP="00B67470">
      <w:pPr>
        <w:keepNext/>
        <w:keepLines/>
        <w:autoSpaceDE w:val="0"/>
        <w:autoSpaceDN w:val="0"/>
        <w:adjustRightInd w:val="0"/>
        <w:rPr>
          <w:i/>
          <w:lang w:val="en-AU"/>
        </w:rPr>
      </w:pPr>
      <w:r w:rsidRPr="00B67470">
        <w:rPr>
          <w:i/>
          <w:lang w:val="en-AU"/>
        </w:rPr>
        <w:lastRenderedPageBreak/>
        <w:t>Unit of Measurement Used and Parent Medication Dosing Errors</w:t>
      </w:r>
    </w:p>
    <w:p w:rsidR="00B67470" w:rsidRDefault="00B67470" w:rsidP="006A0F4E">
      <w:pPr>
        <w:keepNext/>
        <w:keepLines/>
        <w:autoSpaceDE w:val="0"/>
        <w:autoSpaceDN w:val="0"/>
        <w:adjustRightInd w:val="0"/>
        <w:rPr>
          <w:lang w:val="en-AU"/>
        </w:rPr>
      </w:pPr>
      <w:r w:rsidRPr="00B67470">
        <w:rPr>
          <w:lang w:val="en-AU"/>
        </w:rPr>
        <w:t>Yin HS, Dreyer BP, Ugboaja DC, Sanchez DC, Paul IM, Moreira HA, et al</w:t>
      </w:r>
    </w:p>
    <w:p w:rsidR="006A0F4E" w:rsidRPr="000C09E7" w:rsidRDefault="00B67470" w:rsidP="006A0F4E">
      <w:pPr>
        <w:keepNext/>
        <w:keepLines/>
        <w:autoSpaceDE w:val="0"/>
        <w:autoSpaceDN w:val="0"/>
        <w:adjustRightInd w:val="0"/>
        <w:rPr>
          <w:lang w:val="en-AU"/>
        </w:rPr>
      </w:pPr>
      <w:proofErr w:type="gramStart"/>
      <w:r w:rsidRPr="00B67470">
        <w:rPr>
          <w:lang w:val="en-AU"/>
        </w:rPr>
        <w:t>Pediatrics</w:t>
      </w:r>
      <w:r>
        <w:rPr>
          <w:lang w:val="en-AU"/>
        </w:rPr>
        <w:t xml:space="preserve"> [epub]</w:t>
      </w:r>
      <w:r w:rsidRPr="00B67470">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A0F4E" w:rsidRPr="000C09E7" w:rsidTr="00A059D8">
        <w:tc>
          <w:tcPr>
            <w:tcW w:w="1080" w:type="dxa"/>
            <w:tcBorders>
              <w:top w:val="single" w:sz="4" w:space="0" w:color="auto"/>
              <w:left w:val="single" w:sz="4" w:space="0" w:color="auto"/>
              <w:bottom w:val="single" w:sz="4" w:space="0" w:color="auto"/>
              <w:right w:val="single" w:sz="4" w:space="0" w:color="auto"/>
            </w:tcBorders>
            <w:vAlign w:val="center"/>
          </w:tcPr>
          <w:p w:rsidR="006A0F4E" w:rsidRPr="000C09E7" w:rsidRDefault="006A0F4E" w:rsidP="00A059D8">
            <w:pPr>
              <w:rPr>
                <w:lang w:val="en-AU"/>
              </w:rPr>
            </w:pPr>
            <w:r w:rsidRPr="000C09E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A0F4E" w:rsidRPr="000C09E7" w:rsidRDefault="00504108" w:rsidP="00B67470">
            <w:pPr>
              <w:rPr>
                <w:lang w:val="en-AU"/>
              </w:rPr>
            </w:pPr>
            <w:hyperlink r:id="rId27" w:history="1">
              <w:r w:rsidR="00B67470" w:rsidRPr="0048508D">
                <w:rPr>
                  <w:rStyle w:val="Hyperlink"/>
                  <w:lang w:val="en-AU"/>
                </w:rPr>
                <w:t>http://dx.doi.org/10.1542/peds.2014-0395</w:t>
              </w:r>
            </w:hyperlink>
          </w:p>
        </w:tc>
      </w:tr>
      <w:tr w:rsidR="006A0F4E" w:rsidRPr="000C09E7" w:rsidTr="00A059D8">
        <w:tc>
          <w:tcPr>
            <w:tcW w:w="1080" w:type="dxa"/>
            <w:tcBorders>
              <w:top w:val="single" w:sz="4" w:space="0" w:color="auto"/>
              <w:left w:val="single" w:sz="4" w:space="0" w:color="auto"/>
              <w:bottom w:val="single" w:sz="4" w:space="0" w:color="auto"/>
              <w:right w:val="single" w:sz="4" w:space="0" w:color="auto"/>
            </w:tcBorders>
            <w:vAlign w:val="center"/>
          </w:tcPr>
          <w:p w:rsidR="006A0F4E" w:rsidRPr="000C09E7" w:rsidRDefault="006A0F4E" w:rsidP="00A059D8">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A0F4E" w:rsidRDefault="00DB4D52" w:rsidP="00A059D8">
            <w:pPr>
              <w:rPr>
                <w:lang w:val="en-AU" w:eastAsia="en-AU"/>
              </w:rPr>
            </w:pPr>
            <w:r>
              <w:rPr>
                <w:lang w:val="en-AU" w:eastAsia="en-AU"/>
              </w:rPr>
              <w:t>Linking the issue of medication labelling and paediatric medication is this paper which specifically examined how the unit of measurement can contribute to errors when parents are giving their children medications.</w:t>
            </w:r>
          </w:p>
          <w:p w:rsidR="00DB4D52" w:rsidRDefault="00C21640" w:rsidP="00C21640">
            <w:pPr>
              <w:rPr>
                <w:lang w:val="en-AU" w:eastAsia="en-AU"/>
              </w:rPr>
            </w:pPr>
            <w:r>
              <w:rPr>
                <w:lang w:val="en-AU" w:eastAsia="en-AU"/>
              </w:rPr>
              <w:t xml:space="preserve">This study found that errors were common (of the 287 parents in the study, </w:t>
            </w:r>
            <w:r w:rsidRPr="00C21640">
              <w:rPr>
                <w:lang w:val="en-AU" w:eastAsia="en-AU"/>
              </w:rPr>
              <w:t xml:space="preserve">39.4% made an error in measurement of the intended dose, </w:t>
            </w:r>
            <w:proofErr w:type="gramStart"/>
            <w:r w:rsidRPr="00C21640">
              <w:rPr>
                <w:lang w:val="en-AU" w:eastAsia="en-AU"/>
              </w:rPr>
              <w:t>41.1</w:t>
            </w:r>
            <w:proofErr w:type="gramEnd"/>
            <w:r w:rsidRPr="00C21640">
              <w:rPr>
                <w:lang w:val="en-AU" w:eastAsia="en-AU"/>
              </w:rPr>
              <w:t>% made an error in the prescribed dose</w:t>
            </w:r>
            <w:r>
              <w:rPr>
                <w:lang w:val="en-AU" w:eastAsia="en-AU"/>
              </w:rPr>
              <w:t xml:space="preserve">). Further, parents using teaspoons or tablespoons had </w:t>
            </w:r>
            <w:r w:rsidRPr="00C21640">
              <w:rPr>
                <w:lang w:val="en-AU" w:eastAsia="en-AU"/>
              </w:rPr>
              <w:t>twice the odds of making an error</w:t>
            </w:r>
            <w:r>
              <w:rPr>
                <w:lang w:val="en-AU" w:eastAsia="en-AU"/>
              </w:rPr>
              <w:t>. Language and health literacy could also contribute.</w:t>
            </w:r>
          </w:p>
          <w:p w:rsidR="00C21640" w:rsidRPr="000C09E7" w:rsidRDefault="00C21640" w:rsidP="00C21640">
            <w:pPr>
              <w:rPr>
                <w:lang w:val="en-AU" w:eastAsia="en-AU"/>
              </w:rPr>
            </w:pPr>
            <w:r>
              <w:rPr>
                <w:lang w:val="en-AU" w:eastAsia="en-AU"/>
              </w:rPr>
              <w:t xml:space="preserve">The authors conclude that </w:t>
            </w:r>
            <w:r w:rsidRPr="00C21640">
              <w:rPr>
                <w:b/>
                <w:lang w:val="en-AU" w:eastAsia="en-AU"/>
              </w:rPr>
              <w:t>using only a millilitre measurement would aid in reducing such errors</w:t>
            </w:r>
            <w:r>
              <w:rPr>
                <w:lang w:val="en-AU" w:eastAsia="en-AU"/>
              </w:rPr>
              <w:t>.</w:t>
            </w:r>
          </w:p>
        </w:tc>
      </w:tr>
    </w:tbl>
    <w:p w:rsidR="006A0F4E" w:rsidRDefault="006A0F4E" w:rsidP="006A0F4E">
      <w:pPr>
        <w:rPr>
          <w:lang w:val="en-AU"/>
        </w:rPr>
      </w:pPr>
    </w:p>
    <w:p w:rsidR="00A8443B" w:rsidRPr="00B67470" w:rsidRDefault="00A8443B" w:rsidP="00A8443B">
      <w:pPr>
        <w:keepNext/>
        <w:keepLines/>
        <w:autoSpaceDE w:val="0"/>
        <w:autoSpaceDN w:val="0"/>
        <w:adjustRightInd w:val="0"/>
        <w:rPr>
          <w:i/>
          <w:lang w:val="en-AU"/>
        </w:rPr>
      </w:pPr>
      <w:r w:rsidRPr="00B67470">
        <w:rPr>
          <w:i/>
          <w:lang w:val="en-AU"/>
        </w:rPr>
        <w:t xml:space="preserve">Characteristics associated with </w:t>
      </w:r>
      <w:proofErr w:type="spellStart"/>
      <w:r w:rsidRPr="00B67470">
        <w:rPr>
          <w:i/>
          <w:lang w:val="en-AU"/>
        </w:rPr>
        <w:t>postdischarge</w:t>
      </w:r>
      <w:proofErr w:type="spellEnd"/>
      <w:r w:rsidRPr="00B67470">
        <w:rPr>
          <w:i/>
          <w:lang w:val="en-AU"/>
        </w:rPr>
        <w:t xml:space="preserve"> medication errors</w:t>
      </w:r>
    </w:p>
    <w:p w:rsidR="00A8443B" w:rsidRDefault="00A8443B" w:rsidP="00A8443B">
      <w:pPr>
        <w:keepNext/>
        <w:keepLines/>
        <w:autoSpaceDE w:val="0"/>
        <w:autoSpaceDN w:val="0"/>
        <w:adjustRightInd w:val="0"/>
        <w:rPr>
          <w:lang w:val="en-AU"/>
        </w:rPr>
      </w:pPr>
      <w:proofErr w:type="spellStart"/>
      <w:r w:rsidRPr="00B67470">
        <w:rPr>
          <w:lang w:val="en-AU"/>
        </w:rPr>
        <w:t>Mixon</w:t>
      </w:r>
      <w:proofErr w:type="spellEnd"/>
      <w:r w:rsidRPr="00B67470">
        <w:rPr>
          <w:lang w:val="en-AU"/>
        </w:rPr>
        <w:t xml:space="preserve"> AS, Myers AP, Leak CL, et al.</w:t>
      </w:r>
    </w:p>
    <w:p w:rsidR="00A8443B" w:rsidRPr="000C09E7" w:rsidRDefault="00A8443B" w:rsidP="00A8443B">
      <w:pPr>
        <w:keepNext/>
        <w:keepLines/>
        <w:autoSpaceDE w:val="0"/>
        <w:autoSpaceDN w:val="0"/>
        <w:adjustRightInd w:val="0"/>
        <w:rPr>
          <w:lang w:val="en-AU"/>
        </w:rPr>
      </w:pPr>
      <w:r w:rsidRPr="00B67470">
        <w:rPr>
          <w:lang w:val="en-AU"/>
        </w:rPr>
        <w:t>Mayo Clin</w:t>
      </w:r>
      <w:r>
        <w:rPr>
          <w:lang w:val="en-AU"/>
        </w:rPr>
        <w:t>ic</w:t>
      </w:r>
      <w:r w:rsidRPr="00B67470">
        <w:rPr>
          <w:lang w:val="en-AU"/>
        </w:rPr>
        <w:t xml:space="preserve"> Proc</w:t>
      </w:r>
      <w:r>
        <w:rPr>
          <w:lang w:val="en-AU"/>
        </w:rPr>
        <w:t>eedings [epub].</w:t>
      </w:r>
    </w:p>
    <w:tbl>
      <w:tblPr>
        <w:tblStyle w:val="TableGrid"/>
        <w:tblW w:w="0" w:type="auto"/>
        <w:tblInd w:w="288" w:type="dxa"/>
        <w:tblLayout w:type="fixed"/>
        <w:tblLook w:val="01E0" w:firstRow="1" w:lastRow="1" w:firstColumn="1" w:lastColumn="1" w:noHBand="0" w:noVBand="0"/>
      </w:tblPr>
      <w:tblGrid>
        <w:gridCol w:w="1080"/>
        <w:gridCol w:w="8280"/>
      </w:tblGrid>
      <w:tr w:rsidR="00A8443B" w:rsidRPr="000C09E7" w:rsidTr="00C853E5">
        <w:tc>
          <w:tcPr>
            <w:tcW w:w="1080" w:type="dxa"/>
            <w:tcBorders>
              <w:top w:val="single" w:sz="4" w:space="0" w:color="auto"/>
              <w:left w:val="single" w:sz="4" w:space="0" w:color="auto"/>
              <w:bottom w:val="single" w:sz="4" w:space="0" w:color="auto"/>
              <w:right w:val="single" w:sz="4" w:space="0" w:color="auto"/>
            </w:tcBorders>
            <w:vAlign w:val="center"/>
          </w:tcPr>
          <w:p w:rsidR="00A8443B" w:rsidRPr="000C09E7" w:rsidRDefault="00A8443B" w:rsidP="00C853E5">
            <w:pPr>
              <w:rPr>
                <w:lang w:val="en-AU"/>
              </w:rPr>
            </w:pPr>
            <w:r w:rsidRPr="000C09E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8443B" w:rsidRPr="000C09E7" w:rsidRDefault="00A8443B" w:rsidP="00C853E5">
            <w:pPr>
              <w:rPr>
                <w:lang w:val="en-AU"/>
              </w:rPr>
            </w:pPr>
            <w:hyperlink r:id="rId28" w:history="1">
              <w:r w:rsidRPr="0048508D">
                <w:rPr>
                  <w:rStyle w:val="Hyperlink"/>
                  <w:lang w:val="en-AU"/>
                </w:rPr>
                <w:t>http://dx.doi.org/10.1016/j.mayocp.2014.04.023</w:t>
              </w:r>
            </w:hyperlink>
            <w:r>
              <w:rPr>
                <w:lang w:val="en-AU"/>
              </w:rPr>
              <w:t xml:space="preserve"> </w:t>
            </w:r>
          </w:p>
        </w:tc>
      </w:tr>
      <w:tr w:rsidR="00A8443B" w:rsidRPr="000C09E7" w:rsidTr="00C853E5">
        <w:tc>
          <w:tcPr>
            <w:tcW w:w="1080" w:type="dxa"/>
            <w:tcBorders>
              <w:top w:val="single" w:sz="4" w:space="0" w:color="auto"/>
              <w:left w:val="single" w:sz="4" w:space="0" w:color="auto"/>
              <w:bottom w:val="single" w:sz="4" w:space="0" w:color="auto"/>
              <w:right w:val="single" w:sz="4" w:space="0" w:color="auto"/>
            </w:tcBorders>
            <w:vAlign w:val="center"/>
          </w:tcPr>
          <w:p w:rsidR="00A8443B" w:rsidRPr="000C09E7" w:rsidRDefault="00A8443B" w:rsidP="00C853E5">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8443B" w:rsidRDefault="00A8443B" w:rsidP="00C853E5">
            <w:pPr>
              <w:rPr>
                <w:lang w:val="en-AU" w:eastAsia="en-AU"/>
              </w:rPr>
            </w:pPr>
            <w:r>
              <w:rPr>
                <w:lang w:val="en-AU" w:eastAsia="en-AU"/>
              </w:rPr>
              <w:t>Medication errors are one of the most categories of error and a significant proportion happen ‘in the community’ or at home. This paper describes some of the characteristics of medication errors once a patient has been discharged.</w:t>
            </w:r>
          </w:p>
          <w:p w:rsidR="00A8443B" w:rsidRDefault="00A8443B" w:rsidP="00C853E5">
            <w:pPr>
              <w:rPr>
                <w:lang w:val="en-AU" w:eastAsia="en-AU"/>
              </w:rPr>
            </w:pPr>
            <w:r>
              <w:rPr>
                <w:lang w:val="en-AU" w:eastAsia="en-AU"/>
              </w:rPr>
              <w:t xml:space="preserve">This US study </w:t>
            </w:r>
            <w:r w:rsidRPr="00036D39">
              <w:rPr>
                <w:lang w:val="en-AU" w:eastAsia="en-AU"/>
              </w:rPr>
              <w:t>examine</w:t>
            </w:r>
            <w:r>
              <w:rPr>
                <w:lang w:val="en-AU" w:eastAsia="en-AU"/>
              </w:rPr>
              <w:t>d</w:t>
            </w:r>
            <w:r w:rsidRPr="00036D39">
              <w:rPr>
                <w:lang w:val="en-AU" w:eastAsia="en-AU"/>
              </w:rPr>
              <w:t xml:space="preserve"> the association of patient- and medication-related factors with post</w:t>
            </w:r>
            <w:r>
              <w:rPr>
                <w:lang w:val="en-AU" w:eastAsia="en-AU"/>
              </w:rPr>
              <w:t xml:space="preserve">-discharge medication errors by examining 471 patients in the </w:t>
            </w:r>
            <w:r w:rsidRPr="00036D39">
              <w:rPr>
                <w:lang w:val="en-AU" w:eastAsia="en-AU"/>
              </w:rPr>
              <w:t>Vanderbilt Inpatient Cohort Study</w:t>
            </w:r>
            <w:r>
              <w:rPr>
                <w:lang w:val="en-AU" w:eastAsia="en-AU"/>
              </w:rPr>
              <w:t xml:space="preserve"> hospitalis</w:t>
            </w:r>
            <w:r w:rsidRPr="00036D39">
              <w:rPr>
                <w:lang w:val="en-AU" w:eastAsia="en-AU"/>
              </w:rPr>
              <w:t>ed for acute coronary syndromes or congestive heart failure</w:t>
            </w:r>
            <w:r>
              <w:rPr>
                <w:lang w:val="en-AU" w:eastAsia="en-AU"/>
              </w:rPr>
              <w:t xml:space="preserve">. Among this patient group the study found that </w:t>
            </w:r>
            <w:r w:rsidRPr="00036D39">
              <w:rPr>
                <w:b/>
                <w:lang w:val="en-AU" w:eastAsia="en-AU"/>
              </w:rPr>
              <w:t>post-discharge medication errors</w:t>
            </w:r>
            <w:r>
              <w:rPr>
                <w:lang w:val="en-AU" w:eastAsia="en-AU"/>
              </w:rPr>
              <w:t xml:space="preserve"> occurred in almost </w:t>
            </w:r>
            <w:r w:rsidRPr="00036D39">
              <w:rPr>
                <w:b/>
                <w:lang w:val="en-AU" w:eastAsia="en-AU"/>
              </w:rPr>
              <w:t>half of all cases</w:t>
            </w:r>
            <w:r>
              <w:rPr>
                <w:lang w:val="en-AU" w:eastAsia="en-AU"/>
              </w:rPr>
              <w:t xml:space="preserve"> and were </w:t>
            </w:r>
            <w:r w:rsidRPr="00036D39">
              <w:rPr>
                <w:b/>
                <w:lang w:val="en-AU" w:eastAsia="en-AU"/>
              </w:rPr>
              <w:t>more common among patients with lower numeracy or health literacy</w:t>
            </w:r>
            <w:r w:rsidRPr="00036D39">
              <w:rPr>
                <w:lang w:val="en-AU" w:eastAsia="en-AU"/>
              </w:rPr>
              <w:t>.</w:t>
            </w:r>
          </w:p>
          <w:p w:rsidR="00A8443B" w:rsidRPr="000C09E7" w:rsidRDefault="00A8443B" w:rsidP="00C853E5">
            <w:pPr>
              <w:rPr>
                <w:lang w:val="en-AU" w:eastAsia="en-AU"/>
              </w:rPr>
            </w:pPr>
            <w:r>
              <w:rPr>
                <w:lang w:val="en-AU" w:eastAsia="en-AU"/>
              </w:rPr>
              <w:t>Medication reconciliation may be one strategy for preventing some of these post-discharge errors.</w:t>
            </w:r>
          </w:p>
        </w:tc>
      </w:tr>
    </w:tbl>
    <w:p w:rsidR="00A8443B" w:rsidRDefault="00A8443B" w:rsidP="00A8443B">
      <w:pPr>
        <w:rPr>
          <w:lang w:val="en-AU"/>
        </w:rPr>
      </w:pPr>
    </w:p>
    <w:p w:rsidR="00A8443B" w:rsidRDefault="00A8443B" w:rsidP="00A8443B">
      <w:pPr>
        <w:rPr>
          <w:lang w:val="en-AU"/>
        </w:rPr>
      </w:pPr>
      <w:r w:rsidRPr="000C09E7">
        <w:rPr>
          <w:lang w:val="en-AU"/>
        </w:rPr>
        <w:t>For information on the Commission’s work on</w:t>
      </w:r>
      <w:r>
        <w:rPr>
          <w:lang w:val="en-AU"/>
        </w:rPr>
        <w:t xml:space="preserve"> medication safety, including medication reconciliation and labelling, see </w:t>
      </w:r>
      <w:hyperlink r:id="rId29" w:history="1">
        <w:r w:rsidRPr="005D5A1A">
          <w:rPr>
            <w:rStyle w:val="Hyperlink"/>
            <w:lang w:val="en-AU"/>
          </w:rPr>
          <w:t>www.safetyandquality.gov.au/our-work/medication-safety/</w:t>
        </w:r>
      </w:hyperlink>
      <w:r>
        <w:rPr>
          <w:lang w:val="en-AU"/>
        </w:rPr>
        <w:t xml:space="preserve"> </w:t>
      </w:r>
    </w:p>
    <w:p w:rsidR="00A8443B" w:rsidRDefault="00A8443B" w:rsidP="00A8443B">
      <w:pPr>
        <w:keepNext/>
        <w:keepLines/>
        <w:autoSpaceDE w:val="0"/>
        <w:autoSpaceDN w:val="0"/>
        <w:adjustRightInd w:val="0"/>
        <w:rPr>
          <w:i/>
          <w:lang w:val="en-AU"/>
        </w:rPr>
      </w:pPr>
    </w:p>
    <w:p w:rsidR="00A8443B" w:rsidRPr="00B67470" w:rsidRDefault="00A8443B" w:rsidP="00A8443B">
      <w:pPr>
        <w:keepNext/>
        <w:keepLines/>
        <w:autoSpaceDE w:val="0"/>
        <w:autoSpaceDN w:val="0"/>
        <w:adjustRightInd w:val="0"/>
        <w:rPr>
          <w:i/>
          <w:lang w:val="en-AU"/>
        </w:rPr>
      </w:pPr>
      <w:r w:rsidRPr="00B67470">
        <w:rPr>
          <w:i/>
          <w:lang w:val="en-AU"/>
        </w:rPr>
        <w:t>Strategies to enhance adoption of ventilator-associated pneumonia prevention interventions: a systematic literature review</w:t>
      </w:r>
    </w:p>
    <w:p w:rsidR="00A8443B" w:rsidRDefault="00A8443B" w:rsidP="00A8443B">
      <w:pPr>
        <w:keepNext/>
        <w:keepLines/>
        <w:autoSpaceDE w:val="0"/>
        <w:autoSpaceDN w:val="0"/>
        <w:adjustRightInd w:val="0"/>
        <w:rPr>
          <w:lang w:val="en-AU"/>
        </w:rPr>
      </w:pPr>
      <w:r w:rsidRPr="00B67470">
        <w:rPr>
          <w:lang w:val="en-AU"/>
        </w:rPr>
        <w:t xml:space="preserve">Goutier JM, </w:t>
      </w:r>
      <w:proofErr w:type="spellStart"/>
      <w:r w:rsidRPr="00B67470">
        <w:rPr>
          <w:lang w:val="en-AU"/>
        </w:rPr>
        <w:t>Holzmueller</w:t>
      </w:r>
      <w:proofErr w:type="spellEnd"/>
      <w:r w:rsidRPr="00B67470">
        <w:rPr>
          <w:lang w:val="en-AU"/>
        </w:rPr>
        <w:t xml:space="preserve"> CG, Edwards KC, </w:t>
      </w:r>
      <w:proofErr w:type="spellStart"/>
      <w:r w:rsidRPr="00B67470">
        <w:rPr>
          <w:lang w:val="en-AU"/>
        </w:rPr>
        <w:t>Klompas</w:t>
      </w:r>
      <w:proofErr w:type="spellEnd"/>
      <w:r w:rsidRPr="00B67470">
        <w:rPr>
          <w:lang w:val="en-AU"/>
        </w:rPr>
        <w:t xml:space="preserve"> M, Speck K, </w:t>
      </w:r>
      <w:proofErr w:type="spellStart"/>
      <w:r w:rsidRPr="00B67470">
        <w:rPr>
          <w:lang w:val="en-AU"/>
        </w:rPr>
        <w:t>Berenholtz</w:t>
      </w:r>
      <w:proofErr w:type="spellEnd"/>
      <w:r w:rsidRPr="00B67470">
        <w:rPr>
          <w:lang w:val="en-AU"/>
        </w:rPr>
        <w:t xml:space="preserve"> SM</w:t>
      </w:r>
    </w:p>
    <w:p w:rsidR="00A8443B" w:rsidRPr="000C09E7" w:rsidRDefault="00A8443B" w:rsidP="00A8443B">
      <w:pPr>
        <w:keepNext/>
        <w:keepLines/>
        <w:autoSpaceDE w:val="0"/>
        <w:autoSpaceDN w:val="0"/>
        <w:adjustRightInd w:val="0"/>
        <w:rPr>
          <w:lang w:val="en-AU"/>
        </w:rPr>
      </w:pPr>
      <w:proofErr w:type="gramStart"/>
      <w:r w:rsidRPr="00B67470">
        <w:rPr>
          <w:lang w:val="en-AU"/>
        </w:rPr>
        <w:t>Infect</w:t>
      </w:r>
      <w:r>
        <w:rPr>
          <w:lang w:val="en-AU"/>
        </w:rPr>
        <w:t>ion</w:t>
      </w:r>
      <w:r w:rsidRPr="00B67470">
        <w:rPr>
          <w:lang w:val="en-AU"/>
        </w:rPr>
        <w:t xml:space="preserve"> Control </w:t>
      </w:r>
      <w:r>
        <w:rPr>
          <w:lang w:val="en-AU"/>
        </w:rPr>
        <w:t xml:space="preserve">and </w:t>
      </w:r>
      <w:r w:rsidRPr="00B67470">
        <w:rPr>
          <w:lang w:val="en-AU"/>
        </w:rPr>
        <w:t>Hosp</w:t>
      </w:r>
      <w:r>
        <w:rPr>
          <w:lang w:val="en-AU"/>
        </w:rPr>
        <w:t>ital</w:t>
      </w:r>
      <w:r w:rsidRPr="00B67470">
        <w:rPr>
          <w:lang w:val="en-AU"/>
        </w:rPr>
        <w:t xml:space="preserve"> Epidemiol</w:t>
      </w:r>
      <w:r>
        <w:rPr>
          <w:lang w:val="en-AU"/>
        </w:rPr>
        <w:t>ogy</w:t>
      </w:r>
      <w:r w:rsidRPr="00B67470">
        <w:rPr>
          <w:lang w:val="en-AU"/>
        </w:rPr>
        <w:t>.</w:t>
      </w:r>
      <w:proofErr w:type="gramEnd"/>
      <w:r w:rsidRPr="00B67470">
        <w:rPr>
          <w:lang w:val="en-AU"/>
        </w:rPr>
        <w:t xml:space="preserve"> 2014</w:t>
      </w:r>
      <w:proofErr w:type="gramStart"/>
      <w:r w:rsidRPr="00B67470">
        <w:rPr>
          <w:lang w:val="en-AU"/>
        </w:rPr>
        <w:t>;35:998</w:t>
      </w:r>
      <w:proofErr w:type="gramEnd"/>
      <w:r w:rsidRPr="00B67470">
        <w:rPr>
          <w:lang w:val="en-AU"/>
        </w:rPr>
        <w:t>-1005.</w:t>
      </w:r>
    </w:p>
    <w:tbl>
      <w:tblPr>
        <w:tblStyle w:val="TableGrid"/>
        <w:tblW w:w="0" w:type="auto"/>
        <w:tblInd w:w="288" w:type="dxa"/>
        <w:tblLayout w:type="fixed"/>
        <w:tblLook w:val="01E0" w:firstRow="1" w:lastRow="1" w:firstColumn="1" w:lastColumn="1" w:noHBand="0" w:noVBand="0"/>
      </w:tblPr>
      <w:tblGrid>
        <w:gridCol w:w="1080"/>
        <w:gridCol w:w="8280"/>
      </w:tblGrid>
      <w:tr w:rsidR="00A8443B" w:rsidRPr="000C09E7" w:rsidTr="00C853E5">
        <w:tc>
          <w:tcPr>
            <w:tcW w:w="1080" w:type="dxa"/>
            <w:tcBorders>
              <w:top w:val="single" w:sz="4" w:space="0" w:color="auto"/>
              <w:left w:val="single" w:sz="4" w:space="0" w:color="auto"/>
              <w:bottom w:val="single" w:sz="4" w:space="0" w:color="auto"/>
              <w:right w:val="single" w:sz="4" w:space="0" w:color="auto"/>
            </w:tcBorders>
            <w:vAlign w:val="center"/>
          </w:tcPr>
          <w:p w:rsidR="00A8443B" w:rsidRPr="000C09E7" w:rsidRDefault="00A8443B" w:rsidP="00C853E5">
            <w:pPr>
              <w:rPr>
                <w:lang w:val="en-AU"/>
              </w:rPr>
            </w:pPr>
            <w:r w:rsidRPr="000C09E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8443B" w:rsidRPr="000C09E7" w:rsidRDefault="00A8443B" w:rsidP="00C853E5">
            <w:pPr>
              <w:rPr>
                <w:lang w:val="en-AU"/>
              </w:rPr>
            </w:pPr>
            <w:hyperlink r:id="rId30" w:history="1">
              <w:r w:rsidRPr="0048508D">
                <w:rPr>
                  <w:rStyle w:val="Hyperlink"/>
                  <w:lang w:val="en-AU"/>
                </w:rPr>
                <w:t>http://dx.doi.org/10.1086/677152</w:t>
              </w:r>
            </w:hyperlink>
            <w:r>
              <w:rPr>
                <w:lang w:val="en-AU"/>
              </w:rPr>
              <w:t xml:space="preserve"> </w:t>
            </w:r>
          </w:p>
        </w:tc>
      </w:tr>
      <w:tr w:rsidR="00A8443B" w:rsidRPr="000C09E7" w:rsidTr="00C853E5">
        <w:tc>
          <w:tcPr>
            <w:tcW w:w="1080" w:type="dxa"/>
            <w:tcBorders>
              <w:top w:val="single" w:sz="4" w:space="0" w:color="auto"/>
              <w:left w:val="single" w:sz="4" w:space="0" w:color="auto"/>
              <w:bottom w:val="single" w:sz="4" w:space="0" w:color="auto"/>
              <w:right w:val="single" w:sz="4" w:space="0" w:color="auto"/>
            </w:tcBorders>
            <w:vAlign w:val="center"/>
          </w:tcPr>
          <w:p w:rsidR="00A8443B" w:rsidRPr="000C09E7" w:rsidRDefault="00A8443B" w:rsidP="00C853E5">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8443B" w:rsidRDefault="00A8443B" w:rsidP="00C853E5">
            <w:pPr>
              <w:rPr>
                <w:lang w:val="en-AU" w:eastAsia="en-AU"/>
              </w:rPr>
            </w:pPr>
            <w:r>
              <w:rPr>
                <w:lang w:val="en-AU" w:eastAsia="en-AU"/>
              </w:rPr>
              <w:t xml:space="preserve">Ventilator-associated pneumonia (VAP) is considered to be one of the more dangerous </w:t>
            </w:r>
            <w:r w:rsidRPr="00145DD3">
              <w:rPr>
                <w:lang w:val="en-AU" w:eastAsia="en-AU"/>
              </w:rPr>
              <w:t>healthcare</w:t>
            </w:r>
            <w:r>
              <w:rPr>
                <w:lang w:val="en-AU" w:eastAsia="en-AU"/>
              </w:rPr>
              <w:t xml:space="preserve"> </w:t>
            </w:r>
            <w:r w:rsidRPr="00145DD3">
              <w:rPr>
                <w:lang w:val="en-AU" w:eastAsia="en-AU"/>
              </w:rPr>
              <w:t>associated infections</w:t>
            </w:r>
            <w:r>
              <w:rPr>
                <w:lang w:val="en-AU" w:eastAsia="en-AU"/>
              </w:rPr>
              <w:t xml:space="preserve"> (HAI)</w:t>
            </w:r>
            <w:r w:rsidRPr="00145DD3">
              <w:rPr>
                <w:lang w:val="en-AU" w:eastAsia="en-AU"/>
              </w:rPr>
              <w:t>.</w:t>
            </w:r>
            <w:r>
              <w:rPr>
                <w:lang w:val="en-AU" w:eastAsia="en-AU"/>
              </w:rPr>
              <w:t xml:space="preserve"> This paper reports on a systematic literature review on the adoption of interventions to prevent VAP. Looking at recent (2002–2012) literature the authors report finding 27 studies.</w:t>
            </w:r>
          </w:p>
          <w:p w:rsidR="00A8443B" w:rsidRDefault="00A8443B" w:rsidP="00C853E5">
            <w:pPr>
              <w:rPr>
                <w:lang w:val="en-AU" w:eastAsia="en-AU"/>
              </w:rPr>
            </w:pPr>
            <w:r w:rsidRPr="00145DD3">
              <w:rPr>
                <w:b/>
                <w:lang w:val="en-AU" w:eastAsia="en-AU"/>
              </w:rPr>
              <w:t>Engagement strategies</w:t>
            </w:r>
            <w:r w:rsidRPr="00145DD3">
              <w:rPr>
                <w:lang w:val="en-AU" w:eastAsia="en-AU"/>
              </w:rPr>
              <w:t xml:space="preserve"> </w:t>
            </w:r>
            <w:r>
              <w:rPr>
                <w:lang w:val="en-AU" w:eastAsia="en-AU"/>
              </w:rPr>
              <w:t xml:space="preserve">reported </w:t>
            </w:r>
            <w:r w:rsidRPr="00145DD3">
              <w:rPr>
                <w:lang w:val="en-AU" w:eastAsia="en-AU"/>
              </w:rPr>
              <w:t xml:space="preserve">included multidisciplinary </w:t>
            </w:r>
            <w:r w:rsidRPr="00036D39">
              <w:rPr>
                <w:b/>
                <w:lang w:val="en-AU" w:eastAsia="en-AU"/>
              </w:rPr>
              <w:t>teamwork</w:t>
            </w:r>
            <w:r w:rsidRPr="00145DD3">
              <w:rPr>
                <w:lang w:val="en-AU" w:eastAsia="en-AU"/>
              </w:rPr>
              <w:t xml:space="preserve">, involvement of </w:t>
            </w:r>
            <w:r w:rsidRPr="00036D39">
              <w:rPr>
                <w:b/>
                <w:lang w:val="en-AU" w:eastAsia="en-AU"/>
              </w:rPr>
              <w:t>local champions</w:t>
            </w:r>
            <w:r>
              <w:rPr>
                <w:lang w:val="en-AU" w:eastAsia="en-AU"/>
              </w:rPr>
              <w:t xml:space="preserve">, and </w:t>
            </w:r>
            <w:r w:rsidRPr="00036D39">
              <w:rPr>
                <w:b/>
                <w:lang w:val="en-AU" w:eastAsia="en-AU"/>
              </w:rPr>
              <w:t>networking</w:t>
            </w:r>
            <w:r>
              <w:rPr>
                <w:lang w:val="en-AU" w:eastAsia="en-AU"/>
              </w:rPr>
              <w:t xml:space="preserve"> among peers.</w:t>
            </w:r>
          </w:p>
          <w:p w:rsidR="00A8443B" w:rsidRDefault="00A8443B" w:rsidP="00C853E5">
            <w:pPr>
              <w:rPr>
                <w:lang w:val="en-AU" w:eastAsia="en-AU"/>
              </w:rPr>
            </w:pPr>
            <w:r w:rsidRPr="00145DD3">
              <w:rPr>
                <w:b/>
                <w:lang w:val="en-AU" w:eastAsia="en-AU"/>
              </w:rPr>
              <w:t>Educational strategies</w:t>
            </w:r>
            <w:r w:rsidRPr="00145DD3">
              <w:rPr>
                <w:lang w:val="en-AU" w:eastAsia="en-AU"/>
              </w:rPr>
              <w:t xml:space="preserve"> </w:t>
            </w:r>
            <w:r>
              <w:rPr>
                <w:lang w:val="en-AU" w:eastAsia="en-AU"/>
              </w:rPr>
              <w:t xml:space="preserve">reported </w:t>
            </w:r>
            <w:r w:rsidRPr="00145DD3">
              <w:rPr>
                <w:lang w:val="en-AU" w:eastAsia="en-AU"/>
              </w:rPr>
              <w:t xml:space="preserve">included </w:t>
            </w:r>
            <w:r w:rsidRPr="00036D39">
              <w:rPr>
                <w:b/>
                <w:lang w:val="en-AU" w:eastAsia="en-AU"/>
              </w:rPr>
              <w:t>training</w:t>
            </w:r>
            <w:r w:rsidRPr="00145DD3">
              <w:rPr>
                <w:lang w:val="en-AU" w:eastAsia="en-AU"/>
              </w:rPr>
              <w:t xml:space="preserve"> sessions and developing </w:t>
            </w:r>
            <w:r w:rsidRPr="00036D39">
              <w:rPr>
                <w:b/>
                <w:lang w:val="en-AU" w:eastAsia="en-AU"/>
              </w:rPr>
              <w:t>succinct summaries</w:t>
            </w:r>
            <w:r w:rsidRPr="00145DD3">
              <w:rPr>
                <w:lang w:val="en-AU" w:eastAsia="en-AU"/>
              </w:rPr>
              <w:t xml:space="preserve"> of the evidence. </w:t>
            </w:r>
          </w:p>
          <w:p w:rsidR="00A8443B" w:rsidRDefault="00A8443B" w:rsidP="00C853E5">
            <w:pPr>
              <w:rPr>
                <w:lang w:val="en-AU" w:eastAsia="en-AU"/>
              </w:rPr>
            </w:pPr>
            <w:r w:rsidRPr="00145DD3">
              <w:rPr>
                <w:b/>
                <w:lang w:val="en-AU" w:eastAsia="en-AU"/>
              </w:rPr>
              <w:t>Execution strategies</w:t>
            </w:r>
            <w:r w:rsidRPr="00145DD3">
              <w:rPr>
                <w:lang w:val="en-AU" w:eastAsia="en-AU"/>
              </w:rPr>
              <w:t xml:space="preserve"> </w:t>
            </w:r>
            <w:r>
              <w:rPr>
                <w:lang w:val="en-AU" w:eastAsia="en-AU"/>
              </w:rPr>
              <w:t xml:space="preserve">reported included </w:t>
            </w:r>
            <w:r w:rsidRPr="00036D39">
              <w:rPr>
                <w:b/>
                <w:lang w:val="en-AU" w:eastAsia="en-AU"/>
              </w:rPr>
              <w:t>standardisation of care processes</w:t>
            </w:r>
            <w:r w:rsidRPr="00145DD3">
              <w:rPr>
                <w:lang w:val="en-AU" w:eastAsia="en-AU"/>
              </w:rPr>
              <w:t xml:space="preserve"> and </w:t>
            </w:r>
            <w:r w:rsidRPr="00036D39">
              <w:rPr>
                <w:b/>
                <w:lang w:val="en-AU" w:eastAsia="en-AU"/>
              </w:rPr>
              <w:t>building redundancies</w:t>
            </w:r>
            <w:r w:rsidRPr="00145DD3">
              <w:rPr>
                <w:lang w:val="en-AU" w:eastAsia="en-AU"/>
              </w:rPr>
              <w:t xml:space="preserve"> into routine care. </w:t>
            </w:r>
          </w:p>
          <w:p w:rsidR="00A8443B" w:rsidRPr="000C09E7" w:rsidRDefault="00A8443B" w:rsidP="00C853E5">
            <w:pPr>
              <w:rPr>
                <w:lang w:val="en-AU" w:eastAsia="en-AU"/>
              </w:rPr>
            </w:pPr>
            <w:r w:rsidRPr="00145DD3">
              <w:rPr>
                <w:b/>
                <w:lang w:val="en-AU" w:eastAsia="en-AU"/>
              </w:rPr>
              <w:t>Evaluation strategies</w:t>
            </w:r>
            <w:r w:rsidRPr="00145DD3">
              <w:rPr>
                <w:lang w:val="en-AU" w:eastAsia="en-AU"/>
              </w:rPr>
              <w:t xml:space="preserve"> included </w:t>
            </w:r>
            <w:r w:rsidRPr="00036D39">
              <w:rPr>
                <w:b/>
                <w:lang w:val="en-AU" w:eastAsia="en-AU"/>
              </w:rPr>
              <w:t>measuring performance</w:t>
            </w:r>
            <w:r w:rsidRPr="00145DD3">
              <w:rPr>
                <w:lang w:val="en-AU" w:eastAsia="en-AU"/>
              </w:rPr>
              <w:t xml:space="preserve"> and </w:t>
            </w:r>
            <w:r w:rsidRPr="004F2499">
              <w:rPr>
                <w:lang w:val="en-AU" w:eastAsia="en-AU"/>
              </w:rPr>
              <w:t>providing</w:t>
            </w:r>
            <w:r w:rsidRPr="00036D39">
              <w:rPr>
                <w:b/>
                <w:lang w:val="en-AU" w:eastAsia="en-AU"/>
              </w:rPr>
              <w:t xml:space="preserve"> feedback</w:t>
            </w:r>
            <w:r w:rsidRPr="00145DD3">
              <w:rPr>
                <w:lang w:val="en-AU" w:eastAsia="en-AU"/>
              </w:rPr>
              <w:t xml:space="preserve"> to staff.</w:t>
            </w:r>
          </w:p>
        </w:tc>
      </w:tr>
    </w:tbl>
    <w:p w:rsidR="00A8443B" w:rsidRDefault="00A8443B" w:rsidP="00A8443B">
      <w:pPr>
        <w:rPr>
          <w:lang w:val="en-AU"/>
        </w:rPr>
      </w:pPr>
    </w:p>
    <w:p w:rsidR="00A8443B" w:rsidRDefault="00A8443B" w:rsidP="00A8443B">
      <w:pPr>
        <w:rPr>
          <w:lang w:val="en-AU"/>
        </w:rPr>
      </w:pPr>
      <w:r w:rsidRPr="000C09E7">
        <w:rPr>
          <w:lang w:val="en-AU"/>
        </w:rPr>
        <w:t>For information on the Commission’s work on</w:t>
      </w:r>
      <w:r>
        <w:rPr>
          <w:lang w:val="en-AU"/>
        </w:rPr>
        <w:t xml:space="preserve"> healthcare associated infection, see </w:t>
      </w:r>
      <w:hyperlink r:id="rId31" w:history="1">
        <w:r w:rsidRPr="008828BA">
          <w:rPr>
            <w:rStyle w:val="Hyperlink"/>
            <w:lang w:val="en-AU"/>
          </w:rPr>
          <w:t>http://www.safetyandquality.gov.au/our-work/healthcare-associated-infection/</w:t>
        </w:r>
      </w:hyperlink>
    </w:p>
    <w:p w:rsidR="00A8443B" w:rsidRPr="000C09E7" w:rsidRDefault="00A8443B" w:rsidP="00A8443B">
      <w:pPr>
        <w:rPr>
          <w:lang w:val="en-AU"/>
        </w:rPr>
      </w:pPr>
      <w:bookmarkStart w:id="1" w:name="_GoBack"/>
      <w:bookmarkEnd w:id="1"/>
    </w:p>
    <w:p w:rsidR="00901324" w:rsidRPr="000C09E7" w:rsidRDefault="00901324" w:rsidP="00901324">
      <w:pPr>
        <w:keepNext/>
        <w:keepLines/>
        <w:autoSpaceDE w:val="0"/>
        <w:autoSpaceDN w:val="0"/>
        <w:adjustRightInd w:val="0"/>
        <w:rPr>
          <w:i/>
          <w:lang w:val="en-AU"/>
        </w:rPr>
      </w:pPr>
      <w:r w:rsidRPr="000C09E7">
        <w:rPr>
          <w:i/>
          <w:lang w:val="en-AU"/>
        </w:rPr>
        <w:t>Resilience and Resilience Engineering in Health Care</w:t>
      </w:r>
    </w:p>
    <w:p w:rsidR="00901324" w:rsidRDefault="00901324" w:rsidP="00901324">
      <w:pPr>
        <w:keepNext/>
        <w:keepLines/>
        <w:autoSpaceDE w:val="0"/>
        <w:autoSpaceDN w:val="0"/>
        <w:adjustRightInd w:val="0"/>
        <w:rPr>
          <w:lang w:val="en-AU"/>
        </w:rPr>
      </w:pPr>
      <w:r w:rsidRPr="000C09E7">
        <w:rPr>
          <w:lang w:val="en-AU"/>
        </w:rPr>
        <w:t>Fairbanks RJ, Wears RL, Woods DD, Hollnagel E, Plsek P, Cook RI</w:t>
      </w:r>
    </w:p>
    <w:p w:rsidR="00901324" w:rsidRPr="000C09E7" w:rsidRDefault="00901324" w:rsidP="00901324">
      <w:pPr>
        <w:keepNext/>
        <w:keepLines/>
        <w:autoSpaceDE w:val="0"/>
        <w:autoSpaceDN w:val="0"/>
        <w:adjustRightInd w:val="0"/>
        <w:rPr>
          <w:lang w:val="en-AU"/>
        </w:rPr>
      </w:pPr>
      <w:proofErr w:type="gramStart"/>
      <w:r w:rsidRPr="000C09E7">
        <w:rPr>
          <w:lang w:val="en-AU"/>
        </w:rPr>
        <w:t>Joint Commission Journal on Quality and Patient Safety.</w:t>
      </w:r>
      <w:proofErr w:type="gramEnd"/>
      <w:r w:rsidRPr="000C09E7">
        <w:rPr>
          <w:lang w:val="en-AU"/>
        </w:rPr>
        <w:t xml:space="preserve"> 2014</w:t>
      </w:r>
      <w:proofErr w:type="gramStart"/>
      <w:r w:rsidRPr="000C09E7">
        <w:rPr>
          <w:lang w:val="en-AU"/>
        </w:rPr>
        <w:t>;40</w:t>
      </w:r>
      <w:proofErr w:type="gramEnd"/>
      <w:r w:rsidRPr="000C09E7">
        <w:rPr>
          <w:lang w:val="en-AU"/>
        </w:rPr>
        <w:t>(8):376-83.</w:t>
      </w:r>
    </w:p>
    <w:tbl>
      <w:tblPr>
        <w:tblStyle w:val="TableGrid"/>
        <w:tblW w:w="0" w:type="auto"/>
        <w:tblInd w:w="288" w:type="dxa"/>
        <w:tblLayout w:type="fixed"/>
        <w:tblLook w:val="01E0" w:firstRow="1" w:lastRow="1" w:firstColumn="1" w:lastColumn="1" w:noHBand="0" w:noVBand="0"/>
      </w:tblPr>
      <w:tblGrid>
        <w:gridCol w:w="1080"/>
        <w:gridCol w:w="8280"/>
      </w:tblGrid>
      <w:tr w:rsidR="00901324" w:rsidRPr="000C09E7" w:rsidTr="00C853E5">
        <w:tc>
          <w:tcPr>
            <w:tcW w:w="1080" w:type="dxa"/>
            <w:tcBorders>
              <w:top w:val="single" w:sz="4" w:space="0" w:color="auto"/>
              <w:left w:val="single" w:sz="4" w:space="0" w:color="auto"/>
              <w:bottom w:val="single" w:sz="4" w:space="0" w:color="auto"/>
              <w:right w:val="single" w:sz="4" w:space="0" w:color="auto"/>
            </w:tcBorders>
            <w:vAlign w:val="center"/>
          </w:tcPr>
          <w:p w:rsidR="00901324" w:rsidRPr="000C09E7" w:rsidRDefault="00901324" w:rsidP="00C853E5">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01324" w:rsidRPr="000C09E7" w:rsidRDefault="00504108" w:rsidP="00C853E5">
            <w:pPr>
              <w:rPr>
                <w:lang w:val="en-AU"/>
              </w:rPr>
            </w:pPr>
            <w:hyperlink r:id="rId32" w:history="1">
              <w:r w:rsidR="00901324" w:rsidRPr="005D5A1A">
                <w:rPr>
                  <w:rStyle w:val="Hyperlink"/>
                  <w:lang w:val="en-AU"/>
                </w:rPr>
                <w:t>http://www.ingentaconnect.com/content/jcaho/jcjqs/2014/00000040/00000008/art00006</w:t>
              </w:r>
            </w:hyperlink>
          </w:p>
        </w:tc>
      </w:tr>
      <w:tr w:rsidR="00901324" w:rsidRPr="000C09E7" w:rsidTr="00C853E5">
        <w:tc>
          <w:tcPr>
            <w:tcW w:w="1080" w:type="dxa"/>
            <w:tcBorders>
              <w:top w:val="single" w:sz="4" w:space="0" w:color="auto"/>
              <w:left w:val="single" w:sz="4" w:space="0" w:color="auto"/>
              <w:bottom w:val="single" w:sz="4" w:space="0" w:color="auto"/>
              <w:right w:val="single" w:sz="4" w:space="0" w:color="auto"/>
            </w:tcBorders>
            <w:vAlign w:val="center"/>
          </w:tcPr>
          <w:p w:rsidR="00901324" w:rsidRPr="000C09E7" w:rsidRDefault="00901324" w:rsidP="00C853E5">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01324" w:rsidRPr="000C09E7" w:rsidRDefault="00901324" w:rsidP="00C853E5">
            <w:pPr>
              <w:rPr>
                <w:lang w:val="en-AU" w:eastAsia="en-AU"/>
              </w:rPr>
            </w:pPr>
            <w:r w:rsidRPr="000C09E7">
              <w:rPr>
                <w:lang w:val="en-AU" w:eastAsia="en-AU"/>
              </w:rPr>
              <w:t>Resilience has emerged in recent years as a trait to be developed – in both individuals and organisations.</w:t>
            </w:r>
            <w:r>
              <w:rPr>
                <w:lang w:val="en-AU" w:eastAsia="en-AU"/>
              </w:rPr>
              <w:t xml:space="preserve"> This paper summarises a workshop on resilience in healthcare held in Washington DC. The authors hope </w:t>
            </w:r>
            <w:r w:rsidRPr="006B7112">
              <w:rPr>
                <w:lang w:val="en-AU" w:eastAsia="en-AU"/>
              </w:rPr>
              <w:t>e to provide an overview of resilience and resilience engineering and to stimulate innovations in safety that might be produced by viewing health care safety through the lens of resilience engineering</w:t>
            </w:r>
            <w:r>
              <w:rPr>
                <w:lang w:val="en-AU" w:eastAsia="en-AU"/>
              </w:rPr>
              <w:t>. Staring from the premise that “</w:t>
            </w:r>
            <w:r w:rsidRPr="006B7112">
              <w:rPr>
                <w:lang w:val="en-AU" w:eastAsia="en-AU"/>
              </w:rPr>
              <w:t xml:space="preserve">A system is resilient if it can adjust its functioning before, during, or following events (changes, disturbances, or opportunities) and thereby sustain required operations </w:t>
            </w:r>
            <w:proofErr w:type="gramStart"/>
            <w:r w:rsidRPr="006B7112">
              <w:rPr>
                <w:lang w:val="en-AU" w:eastAsia="en-AU"/>
              </w:rPr>
              <w:t xml:space="preserve">under </w:t>
            </w:r>
            <w:r>
              <w:rPr>
                <w:lang w:val="en-AU" w:eastAsia="en-AU"/>
              </w:rPr>
              <w:t xml:space="preserve"> </w:t>
            </w:r>
            <w:r w:rsidRPr="006B7112">
              <w:rPr>
                <w:lang w:val="en-AU" w:eastAsia="en-AU"/>
              </w:rPr>
              <w:t>both</w:t>
            </w:r>
            <w:proofErr w:type="gramEnd"/>
            <w:r w:rsidRPr="006B7112">
              <w:rPr>
                <w:lang w:val="en-AU" w:eastAsia="en-AU"/>
              </w:rPr>
              <w:t xml:space="preserve"> expected and unexpected conditions</w:t>
            </w:r>
            <w:r>
              <w:rPr>
                <w:lang w:val="en-AU" w:eastAsia="en-AU"/>
              </w:rPr>
              <w:t>” the paper describes some examples in healthcare in addition to looking factors that build or erode resilience. They also caution resilience itself is not an actual endpoint, as “</w:t>
            </w:r>
            <w:r w:rsidRPr="006B7112">
              <w:rPr>
                <w:b/>
                <w:lang w:val="en-AU" w:eastAsia="en-AU"/>
              </w:rPr>
              <w:t>resilience does not invariably lead to success</w:t>
            </w:r>
            <w:r w:rsidRPr="006B7112">
              <w:rPr>
                <w:lang w:val="en-AU" w:eastAsia="en-AU"/>
              </w:rPr>
              <w:t xml:space="preserve">, and </w:t>
            </w:r>
            <w:r w:rsidRPr="006B7112">
              <w:rPr>
                <w:b/>
                <w:lang w:val="en-AU" w:eastAsia="en-AU"/>
              </w:rPr>
              <w:t>lack of resilience does not invariably lead to failure</w:t>
            </w:r>
            <w:r w:rsidRPr="006B7112">
              <w:rPr>
                <w:lang w:val="en-AU" w:eastAsia="en-AU"/>
              </w:rPr>
              <w:t xml:space="preserve">. Resilience may allow limited success in the face of severe disturbance, and the lack of resilience may lead to failure in the face of minor disturbance. The current exploration of resilience should prompt us to look more critically at success to build a more accurate picture of important systems in operation. The complex adaptive system that delivers care to patients is deploying resilience, mostly without being noticed. The surprising thing is not that there are so many accidents in health care but that there are not even more. Because our successes so regularly depend on it, </w:t>
            </w:r>
            <w:r w:rsidRPr="006B7112">
              <w:rPr>
                <w:b/>
                <w:lang w:val="en-AU" w:eastAsia="en-AU"/>
              </w:rPr>
              <w:t>finding ways to identify and enhance resilience is a critical need for patient safety</w:t>
            </w:r>
            <w:r>
              <w:rPr>
                <w:lang w:val="en-AU" w:eastAsia="en-AU"/>
              </w:rPr>
              <w:t>”</w:t>
            </w:r>
          </w:p>
        </w:tc>
      </w:tr>
    </w:tbl>
    <w:p w:rsidR="00901324" w:rsidRDefault="00901324" w:rsidP="00901324">
      <w:pPr>
        <w:keepNext/>
        <w:keepLines/>
        <w:autoSpaceDE w:val="0"/>
        <w:autoSpaceDN w:val="0"/>
        <w:adjustRightInd w:val="0"/>
        <w:rPr>
          <w:i/>
          <w:lang w:val="en-AU"/>
        </w:rPr>
      </w:pPr>
    </w:p>
    <w:p w:rsidR="001B0B9E" w:rsidRPr="001B0B9E" w:rsidRDefault="001B0B9E" w:rsidP="001B0B9E">
      <w:pPr>
        <w:keepNext/>
        <w:keepLines/>
        <w:autoSpaceDE w:val="0"/>
        <w:autoSpaceDN w:val="0"/>
        <w:adjustRightInd w:val="0"/>
        <w:rPr>
          <w:i/>
          <w:lang w:val="en-AU"/>
        </w:rPr>
      </w:pPr>
      <w:r w:rsidRPr="001B0B9E">
        <w:rPr>
          <w:i/>
          <w:lang w:val="en-AU"/>
        </w:rPr>
        <w:t>The “weekend effect” in pediatric surgery — increased mortality for children undergoing urgent surgery during the weekend</w:t>
      </w:r>
    </w:p>
    <w:p w:rsidR="001B0B9E" w:rsidRDefault="001B0B9E" w:rsidP="006A0F4E">
      <w:pPr>
        <w:keepNext/>
        <w:keepLines/>
        <w:autoSpaceDE w:val="0"/>
        <w:autoSpaceDN w:val="0"/>
        <w:adjustRightInd w:val="0"/>
        <w:rPr>
          <w:lang w:val="en-AU"/>
        </w:rPr>
      </w:pPr>
      <w:r w:rsidRPr="001B0B9E">
        <w:rPr>
          <w:lang w:val="en-AU"/>
        </w:rPr>
        <w:t>Goldstein SD, Papandria DJ, Aboagye J, Salazar JH, Van Arendonk K, Al-Omar K, et al</w:t>
      </w:r>
    </w:p>
    <w:p w:rsidR="006A0F4E" w:rsidRPr="000C09E7" w:rsidRDefault="001B0B9E" w:rsidP="006A0F4E">
      <w:pPr>
        <w:keepNext/>
        <w:keepLines/>
        <w:autoSpaceDE w:val="0"/>
        <w:autoSpaceDN w:val="0"/>
        <w:adjustRightInd w:val="0"/>
        <w:rPr>
          <w:lang w:val="en-AU"/>
        </w:rPr>
      </w:pPr>
      <w:proofErr w:type="gramStart"/>
      <w:r w:rsidRPr="001B0B9E">
        <w:rPr>
          <w:lang w:val="en-AU"/>
        </w:rPr>
        <w:t>Journal of Pediatric Surgery.</w:t>
      </w:r>
      <w:proofErr w:type="gramEnd"/>
      <w:r w:rsidRPr="001B0B9E">
        <w:rPr>
          <w:lang w:val="en-AU"/>
        </w:rPr>
        <w:t xml:space="preserve"> 2014</w:t>
      </w:r>
      <w:proofErr w:type="gramStart"/>
      <w:r w:rsidRPr="001B0B9E">
        <w:rPr>
          <w:lang w:val="en-AU"/>
        </w:rPr>
        <w:t>;49</w:t>
      </w:r>
      <w:proofErr w:type="gramEnd"/>
      <w:r w:rsidRPr="001B0B9E">
        <w:rPr>
          <w:lang w:val="en-AU"/>
        </w:rPr>
        <w:t>(7):1087-91.</w:t>
      </w:r>
    </w:p>
    <w:tbl>
      <w:tblPr>
        <w:tblStyle w:val="TableGrid"/>
        <w:tblW w:w="0" w:type="auto"/>
        <w:tblInd w:w="288" w:type="dxa"/>
        <w:tblLayout w:type="fixed"/>
        <w:tblLook w:val="01E0" w:firstRow="1" w:lastRow="1" w:firstColumn="1" w:lastColumn="1" w:noHBand="0" w:noVBand="0"/>
      </w:tblPr>
      <w:tblGrid>
        <w:gridCol w:w="1080"/>
        <w:gridCol w:w="8280"/>
      </w:tblGrid>
      <w:tr w:rsidR="006A0F4E" w:rsidRPr="000C09E7" w:rsidTr="00A059D8">
        <w:tc>
          <w:tcPr>
            <w:tcW w:w="1080" w:type="dxa"/>
            <w:tcBorders>
              <w:top w:val="single" w:sz="4" w:space="0" w:color="auto"/>
              <w:left w:val="single" w:sz="4" w:space="0" w:color="auto"/>
              <w:bottom w:val="single" w:sz="4" w:space="0" w:color="auto"/>
              <w:right w:val="single" w:sz="4" w:space="0" w:color="auto"/>
            </w:tcBorders>
            <w:vAlign w:val="center"/>
          </w:tcPr>
          <w:p w:rsidR="006A0F4E" w:rsidRPr="000C09E7" w:rsidRDefault="006A0F4E" w:rsidP="00A059D8">
            <w:pPr>
              <w:rPr>
                <w:lang w:val="en-AU"/>
              </w:rPr>
            </w:pPr>
            <w:r w:rsidRPr="000C09E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A0F4E" w:rsidRPr="000C09E7" w:rsidRDefault="00504108" w:rsidP="00A059D8">
            <w:pPr>
              <w:rPr>
                <w:lang w:val="en-AU"/>
              </w:rPr>
            </w:pPr>
            <w:hyperlink r:id="rId33" w:history="1">
              <w:r w:rsidR="001B0B9E" w:rsidRPr="0048508D">
                <w:rPr>
                  <w:rStyle w:val="Hyperlink"/>
                  <w:lang w:val="en-AU"/>
                </w:rPr>
                <w:t>http://dx.doi.org/10.1016/j.jpedsurg.2014.01.001</w:t>
              </w:r>
            </w:hyperlink>
            <w:r w:rsidR="001B0B9E">
              <w:rPr>
                <w:lang w:val="en-AU"/>
              </w:rPr>
              <w:t xml:space="preserve"> </w:t>
            </w:r>
          </w:p>
        </w:tc>
      </w:tr>
      <w:tr w:rsidR="006A0F4E" w:rsidRPr="000C09E7" w:rsidTr="00A059D8">
        <w:tc>
          <w:tcPr>
            <w:tcW w:w="1080" w:type="dxa"/>
            <w:tcBorders>
              <w:top w:val="single" w:sz="4" w:space="0" w:color="auto"/>
              <w:left w:val="single" w:sz="4" w:space="0" w:color="auto"/>
              <w:bottom w:val="single" w:sz="4" w:space="0" w:color="auto"/>
              <w:right w:val="single" w:sz="4" w:space="0" w:color="auto"/>
            </w:tcBorders>
            <w:vAlign w:val="center"/>
          </w:tcPr>
          <w:p w:rsidR="006A0F4E" w:rsidRPr="000C09E7" w:rsidRDefault="006A0F4E" w:rsidP="00A059D8">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A0F4E" w:rsidRDefault="00DB4D52" w:rsidP="00AA7439">
            <w:pPr>
              <w:rPr>
                <w:lang w:val="en-AU" w:eastAsia="en-AU"/>
              </w:rPr>
            </w:pPr>
            <w:r>
              <w:rPr>
                <w:lang w:val="en-AU" w:eastAsia="en-AU"/>
              </w:rPr>
              <w:t>It has been noted previously that there is often a ‘weekend’ or ‘after hours’ effect and that hospitals do not display a uniform level of performance/outcomes 24/7/365. This paper examined the issue in relation to paediatric surgery, particularly among children undergoing urgent surgery</w:t>
            </w:r>
            <w:r w:rsidR="00AA7439">
              <w:rPr>
                <w:lang w:val="en-AU" w:eastAsia="en-AU"/>
              </w:rPr>
              <w:t xml:space="preserve"> by </w:t>
            </w:r>
            <w:r w:rsidR="00AA7439" w:rsidRPr="00AA7439">
              <w:rPr>
                <w:lang w:val="en-AU" w:eastAsia="en-AU"/>
              </w:rPr>
              <w:t>compar</w:t>
            </w:r>
            <w:r w:rsidR="00AA7439">
              <w:rPr>
                <w:lang w:val="en-AU" w:eastAsia="en-AU"/>
              </w:rPr>
              <w:t>ing</w:t>
            </w:r>
            <w:r w:rsidR="00AA7439" w:rsidRPr="00AA7439">
              <w:rPr>
                <w:lang w:val="en-AU" w:eastAsia="en-AU"/>
              </w:rPr>
              <w:t xml:space="preserve"> p</w:t>
            </w:r>
            <w:r w:rsidR="00AA7439">
              <w:rPr>
                <w:lang w:val="en-AU" w:eastAsia="en-AU"/>
              </w:rPr>
              <w:t>a</w:t>
            </w:r>
            <w:r w:rsidR="00AA7439" w:rsidRPr="00AA7439">
              <w:rPr>
                <w:lang w:val="en-AU" w:eastAsia="en-AU"/>
              </w:rPr>
              <w:t>ediatric surgical outcomes following weekend versus weekday procedures.</w:t>
            </w:r>
          </w:p>
          <w:p w:rsidR="00AA7439" w:rsidRPr="000C09E7" w:rsidRDefault="00AA7439" w:rsidP="00AA7439">
            <w:pPr>
              <w:rPr>
                <w:lang w:val="en-AU" w:eastAsia="en-AU"/>
              </w:rPr>
            </w:pPr>
            <w:r>
              <w:rPr>
                <w:lang w:val="en-AU" w:eastAsia="en-AU"/>
              </w:rPr>
              <w:t xml:space="preserve">Examining US data of some </w:t>
            </w:r>
            <w:r w:rsidRPr="00AA7439">
              <w:rPr>
                <w:lang w:val="en-AU" w:eastAsia="en-AU"/>
              </w:rPr>
              <w:t>439,457 p</w:t>
            </w:r>
            <w:r>
              <w:rPr>
                <w:lang w:val="en-AU" w:eastAsia="en-AU"/>
              </w:rPr>
              <w:t>a</w:t>
            </w:r>
            <w:r w:rsidRPr="00AA7439">
              <w:rPr>
                <w:lang w:val="en-AU" w:eastAsia="en-AU"/>
              </w:rPr>
              <w:t>ediatric admissions from 1988 to 2010 that required a selected index surgical procedure (abscess drainage, appendectomy, inguinal hernia repair, open fracture reduction with internal fixation, or placement/revision of ventricular shunt) on the same day of admission</w:t>
            </w:r>
            <w:r>
              <w:rPr>
                <w:lang w:val="en-AU" w:eastAsia="en-AU"/>
              </w:rPr>
              <w:t xml:space="preserve"> the authors found “</w:t>
            </w:r>
            <w:r w:rsidRPr="00AA7439">
              <w:rPr>
                <w:lang w:val="en-AU" w:eastAsia="en-AU"/>
              </w:rPr>
              <w:t>Pediatric patients undergoing common urgent surgical procedures</w:t>
            </w:r>
            <w:r>
              <w:rPr>
                <w:lang w:val="en-AU" w:eastAsia="en-AU"/>
              </w:rPr>
              <w:t xml:space="preserve"> </w:t>
            </w:r>
            <w:r w:rsidRPr="00AA7439">
              <w:rPr>
                <w:lang w:val="en-AU" w:eastAsia="en-AU"/>
              </w:rPr>
              <w:t xml:space="preserve">during a </w:t>
            </w:r>
            <w:r w:rsidRPr="00AA7439">
              <w:rPr>
                <w:b/>
                <w:lang w:val="en-AU" w:eastAsia="en-AU"/>
              </w:rPr>
              <w:t>weekend admission</w:t>
            </w:r>
            <w:r w:rsidRPr="00AA7439">
              <w:rPr>
                <w:lang w:val="en-AU" w:eastAsia="en-AU"/>
              </w:rPr>
              <w:t xml:space="preserve"> have a </w:t>
            </w:r>
            <w:r w:rsidRPr="00AA7439">
              <w:rPr>
                <w:b/>
                <w:lang w:val="en-AU" w:eastAsia="en-AU"/>
              </w:rPr>
              <w:t>higher</w:t>
            </w:r>
            <w:r w:rsidRPr="00AA7439">
              <w:rPr>
                <w:lang w:val="en-AU" w:eastAsia="en-AU"/>
              </w:rPr>
              <w:t xml:space="preserve"> adjusted </w:t>
            </w:r>
            <w:r w:rsidRPr="00AA7439">
              <w:rPr>
                <w:b/>
                <w:lang w:val="en-AU" w:eastAsia="en-AU"/>
              </w:rPr>
              <w:t>risk of death</w:t>
            </w:r>
            <w:r w:rsidRPr="00AA7439">
              <w:rPr>
                <w:lang w:val="en-AU" w:eastAsia="en-AU"/>
              </w:rPr>
              <w:t xml:space="preserve">, </w:t>
            </w:r>
            <w:r w:rsidRPr="00AA7439">
              <w:rPr>
                <w:b/>
                <w:lang w:val="en-AU" w:eastAsia="en-AU"/>
              </w:rPr>
              <w:t>blood transfusion</w:t>
            </w:r>
            <w:r w:rsidRPr="00AA7439">
              <w:rPr>
                <w:lang w:val="en-AU" w:eastAsia="en-AU"/>
              </w:rPr>
              <w:t xml:space="preserve">, and </w:t>
            </w:r>
            <w:r w:rsidRPr="004F2499">
              <w:rPr>
                <w:lang w:val="en-AU" w:eastAsia="en-AU"/>
              </w:rPr>
              <w:t>procedural</w:t>
            </w:r>
            <w:r w:rsidRPr="00AA7439">
              <w:rPr>
                <w:b/>
                <w:lang w:val="en-AU" w:eastAsia="en-AU"/>
              </w:rPr>
              <w:t xml:space="preserve"> complications</w:t>
            </w:r>
            <w:r w:rsidRPr="00AA7439">
              <w:rPr>
                <w:lang w:val="en-AU" w:eastAsia="en-AU"/>
              </w:rPr>
              <w:t>.</w:t>
            </w:r>
            <w:r>
              <w:rPr>
                <w:lang w:val="en-AU" w:eastAsia="en-AU"/>
              </w:rPr>
              <w:t>”</w:t>
            </w:r>
          </w:p>
        </w:tc>
      </w:tr>
    </w:tbl>
    <w:p w:rsidR="00C258D4" w:rsidRPr="000C09E7" w:rsidRDefault="00C258D4" w:rsidP="00B31C8B">
      <w:pPr>
        <w:rPr>
          <w:i/>
          <w:lang w:val="en-AU"/>
        </w:rPr>
      </w:pPr>
    </w:p>
    <w:p w:rsidR="00DB5A06" w:rsidRPr="000C09E7" w:rsidRDefault="00DB5A06" w:rsidP="00DB5A06">
      <w:pPr>
        <w:keepNext/>
        <w:rPr>
          <w:lang w:val="en-AU"/>
        </w:rPr>
      </w:pPr>
      <w:r w:rsidRPr="000C09E7">
        <w:rPr>
          <w:i/>
          <w:lang w:val="en-AU"/>
        </w:rPr>
        <w:lastRenderedPageBreak/>
        <w:t xml:space="preserve">BMJ Quality and Safety </w:t>
      </w:r>
      <w:r w:rsidRPr="000C09E7">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0C09E7"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0C09E7" w:rsidRDefault="00DB5A06" w:rsidP="00E90086">
            <w:pPr>
              <w:rPr>
                <w:lang w:val="en-AU"/>
              </w:rPr>
            </w:pPr>
            <w:r w:rsidRPr="000C09E7">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0C09E7" w:rsidRDefault="00504108" w:rsidP="00E90086">
            <w:pPr>
              <w:rPr>
                <w:lang w:val="en-AU"/>
              </w:rPr>
            </w:pPr>
            <w:hyperlink r:id="rId34" w:history="1">
              <w:r w:rsidR="00DB5A06" w:rsidRPr="000C09E7">
                <w:rPr>
                  <w:rStyle w:val="Hyperlink"/>
                  <w:lang w:val="en-AU"/>
                </w:rPr>
                <w:t>http://qualitysafety.bmj.com/content/early/recent</w:t>
              </w:r>
            </w:hyperlink>
          </w:p>
        </w:tc>
      </w:tr>
      <w:tr w:rsidR="00DB5A06" w:rsidRPr="000C09E7"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0C09E7" w:rsidRDefault="00DB5A06" w:rsidP="00E90086">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0C09E7" w:rsidRDefault="00DB5A06" w:rsidP="00E90086">
            <w:pPr>
              <w:rPr>
                <w:lang w:val="en-AU"/>
              </w:rPr>
            </w:pPr>
            <w:r w:rsidRPr="000C09E7">
              <w:rPr>
                <w:i/>
                <w:lang w:val="en-AU"/>
              </w:rPr>
              <w:t>BMJ Quality and Safety</w:t>
            </w:r>
            <w:r w:rsidRPr="000C09E7">
              <w:rPr>
                <w:lang w:val="en-AU"/>
              </w:rPr>
              <w:t xml:space="preserve"> has published a number of ‘online first’ articles, including:</w:t>
            </w:r>
          </w:p>
          <w:p w:rsidR="00D61363" w:rsidRDefault="00E45889" w:rsidP="00E45889">
            <w:pPr>
              <w:pStyle w:val="ListParagraph"/>
              <w:numPr>
                <w:ilvl w:val="0"/>
                <w:numId w:val="14"/>
              </w:numPr>
              <w:rPr>
                <w:lang w:val="en-AU"/>
              </w:rPr>
            </w:pPr>
            <w:r w:rsidRPr="00E45889">
              <w:rPr>
                <w:lang w:val="en-AU"/>
              </w:rPr>
              <w:t xml:space="preserve">Use of non-indicated </w:t>
            </w:r>
            <w:r w:rsidRPr="00E45889">
              <w:rPr>
                <w:b/>
                <w:lang w:val="en-AU"/>
              </w:rPr>
              <w:t>cardiac testing in low-risk patients</w:t>
            </w:r>
            <w:r w:rsidRPr="00E45889">
              <w:rPr>
                <w:lang w:val="en-AU"/>
              </w:rPr>
              <w:t xml:space="preserve">: </w:t>
            </w:r>
            <w:r w:rsidRPr="00E45889">
              <w:rPr>
                <w:b/>
                <w:lang w:val="en-AU"/>
              </w:rPr>
              <w:t>Choosing Wisely</w:t>
            </w:r>
            <w:r w:rsidRPr="00E45889">
              <w:rPr>
                <w:lang w:val="en-AU"/>
              </w:rPr>
              <w:t xml:space="preserve"> </w:t>
            </w:r>
            <w:r>
              <w:rPr>
                <w:lang w:val="en-AU"/>
              </w:rPr>
              <w:t>(</w:t>
            </w:r>
            <w:r w:rsidRPr="00E45889">
              <w:rPr>
                <w:lang w:val="en-AU"/>
              </w:rPr>
              <w:t>Carrie H Colla, Thomas D Sequist, Meredith B Rosenthal, William L Schpero, Daniel J Gottlieb, Nancy E Morden</w:t>
            </w:r>
            <w:r>
              <w:rPr>
                <w:lang w:val="en-AU"/>
              </w:rPr>
              <w:t>)</w:t>
            </w:r>
          </w:p>
          <w:p w:rsidR="00C33447" w:rsidRPr="000C09E7" w:rsidRDefault="00C33447" w:rsidP="00C33447">
            <w:pPr>
              <w:pStyle w:val="ListParagraph"/>
              <w:numPr>
                <w:ilvl w:val="0"/>
                <w:numId w:val="14"/>
              </w:numPr>
              <w:rPr>
                <w:lang w:val="en-AU"/>
              </w:rPr>
            </w:pPr>
            <w:r w:rsidRPr="00C33447">
              <w:rPr>
                <w:lang w:val="en-AU"/>
              </w:rPr>
              <w:t xml:space="preserve">The </w:t>
            </w:r>
            <w:r w:rsidRPr="00C33447">
              <w:rPr>
                <w:b/>
                <w:lang w:val="en-AU"/>
              </w:rPr>
              <w:t>systems approach to medicine</w:t>
            </w:r>
            <w:r w:rsidRPr="00C33447">
              <w:rPr>
                <w:lang w:val="en-AU"/>
              </w:rPr>
              <w:t xml:space="preserve">: controversy and misconceptions </w:t>
            </w:r>
            <w:r>
              <w:rPr>
                <w:lang w:val="en-AU"/>
              </w:rPr>
              <w:t>(</w:t>
            </w:r>
            <w:r w:rsidRPr="00C33447">
              <w:rPr>
                <w:lang w:val="en-AU"/>
              </w:rPr>
              <w:t>Sidney W A Dekker, Nancy G Leveson</w:t>
            </w:r>
            <w:r>
              <w:rPr>
                <w:lang w:val="en-AU"/>
              </w:rPr>
              <w:t>)</w:t>
            </w:r>
          </w:p>
        </w:tc>
      </w:tr>
    </w:tbl>
    <w:p w:rsidR="00DB5A06" w:rsidRPr="000C09E7" w:rsidRDefault="00DB5A06" w:rsidP="0080436C">
      <w:pPr>
        <w:keepNext/>
        <w:keepLines/>
        <w:autoSpaceDE w:val="0"/>
        <w:autoSpaceDN w:val="0"/>
        <w:adjustRightInd w:val="0"/>
        <w:rPr>
          <w:lang w:val="en-AU"/>
        </w:rPr>
      </w:pPr>
    </w:p>
    <w:p w:rsidR="008C040D" w:rsidRPr="000C09E7" w:rsidRDefault="008C040D" w:rsidP="008C040D">
      <w:pPr>
        <w:keepNext/>
        <w:autoSpaceDE w:val="0"/>
        <w:autoSpaceDN w:val="0"/>
        <w:adjustRightInd w:val="0"/>
        <w:rPr>
          <w:lang w:val="en-AU"/>
        </w:rPr>
      </w:pPr>
      <w:r w:rsidRPr="000C09E7">
        <w:rPr>
          <w:i/>
          <w:lang w:val="en-AU"/>
        </w:rPr>
        <w:t>International Journal for Quality in Health Care</w:t>
      </w:r>
      <w:r w:rsidRPr="000C09E7">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C040D" w:rsidRPr="000C09E7" w:rsidTr="00EB4A39">
        <w:tc>
          <w:tcPr>
            <w:tcW w:w="1080" w:type="dxa"/>
            <w:tcBorders>
              <w:top w:val="single" w:sz="4" w:space="0" w:color="auto"/>
              <w:left w:val="single" w:sz="4" w:space="0" w:color="auto"/>
              <w:bottom w:val="single" w:sz="4" w:space="0" w:color="auto"/>
              <w:right w:val="single" w:sz="4" w:space="0" w:color="auto"/>
            </w:tcBorders>
            <w:vAlign w:val="center"/>
          </w:tcPr>
          <w:p w:rsidR="008C040D" w:rsidRPr="000C09E7" w:rsidRDefault="008C040D" w:rsidP="00EB4A39">
            <w:pPr>
              <w:rPr>
                <w:lang w:val="en-AU"/>
              </w:rPr>
            </w:pPr>
            <w:r w:rsidRPr="000C09E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C040D" w:rsidRPr="000C09E7" w:rsidRDefault="00504108" w:rsidP="00EB4A39">
            <w:pPr>
              <w:rPr>
                <w:lang w:val="en-AU"/>
              </w:rPr>
            </w:pPr>
            <w:hyperlink r:id="rId35" w:history="1">
              <w:r w:rsidR="008C040D" w:rsidRPr="000C09E7">
                <w:rPr>
                  <w:rStyle w:val="Hyperlink"/>
                  <w:lang w:val="en-AU"/>
                </w:rPr>
                <w:t>http://intqhc.oxfordjournals.org/content/early/recent?papetoc</w:t>
              </w:r>
            </w:hyperlink>
          </w:p>
        </w:tc>
      </w:tr>
      <w:tr w:rsidR="008C040D" w:rsidRPr="000C09E7" w:rsidTr="00EB4A39">
        <w:tc>
          <w:tcPr>
            <w:tcW w:w="1080" w:type="dxa"/>
            <w:tcBorders>
              <w:top w:val="single" w:sz="4" w:space="0" w:color="auto"/>
              <w:left w:val="single" w:sz="4" w:space="0" w:color="auto"/>
              <w:bottom w:val="single" w:sz="4" w:space="0" w:color="auto"/>
              <w:right w:val="single" w:sz="4" w:space="0" w:color="auto"/>
            </w:tcBorders>
            <w:vAlign w:val="center"/>
          </w:tcPr>
          <w:p w:rsidR="008C040D" w:rsidRPr="000C09E7" w:rsidRDefault="008C040D" w:rsidP="00EB4A39">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C040D" w:rsidRPr="000C09E7" w:rsidRDefault="008C040D" w:rsidP="00EB4A39">
            <w:pPr>
              <w:rPr>
                <w:lang w:val="en-AU"/>
              </w:rPr>
            </w:pPr>
            <w:r w:rsidRPr="000C09E7">
              <w:rPr>
                <w:i/>
                <w:lang w:val="en-AU"/>
              </w:rPr>
              <w:t>International Journal for Quality in Health Care</w:t>
            </w:r>
            <w:r w:rsidRPr="000C09E7">
              <w:rPr>
                <w:lang w:val="en-AU"/>
              </w:rPr>
              <w:t xml:space="preserve"> has published a number of ‘online first’ articles, including:</w:t>
            </w:r>
          </w:p>
          <w:p w:rsidR="008C040D" w:rsidRPr="000C09E7" w:rsidRDefault="00C33447" w:rsidP="00C33447">
            <w:pPr>
              <w:pStyle w:val="ListParagraph"/>
              <w:numPr>
                <w:ilvl w:val="0"/>
                <w:numId w:val="15"/>
              </w:numPr>
              <w:rPr>
                <w:lang w:val="en-AU"/>
              </w:rPr>
            </w:pPr>
            <w:r w:rsidRPr="00C33447">
              <w:rPr>
                <w:lang w:val="en-AU"/>
              </w:rPr>
              <w:t xml:space="preserve">Trends in </w:t>
            </w:r>
            <w:r w:rsidRPr="00C33447">
              <w:rPr>
                <w:b/>
                <w:lang w:val="en-AU"/>
              </w:rPr>
              <w:t>hospital performance in acute myocardial infarction</w:t>
            </w:r>
            <w:r w:rsidRPr="00C33447">
              <w:rPr>
                <w:lang w:val="en-AU"/>
              </w:rPr>
              <w:t xml:space="preserve"> care: a retrospective longitudinal study in Japan</w:t>
            </w:r>
            <w:r>
              <w:rPr>
                <w:lang w:val="en-AU"/>
              </w:rPr>
              <w:t xml:space="preserve"> (</w:t>
            </w:r>
            <w:r w:rsidRPr="00C33447">
              <w:rPr>
                <w:lang w:val="en-AU"/>
              </w:rPr>
              <w:t>Naoto Ukawa, Hiroshi Ikai, and Yuichi Imanaka</w:t>
            </w:r>
            <w:r>
              <w:rPr>
                <w:lang w:val="en-AU"/>
              </w:rPr>
              <w:t>)</w:t>
            </w:r>
          </w:p>
        </w:tc>
      </w:tr>
    </w:tbl>
    <w:p w:rsidR="008C040D" w:rsidRPr="000C09E7" w:rsidRDefault="008C040D" w:rsidP="008C040D">
      <w:pPr>
        <w:rPr>
          <w:i/>
          <w:lang w:val="en-AU"/>
        </w:rPr>
      </w:pPr>
    </w:p>
    <w:p w:rsidR="00DB5A06" w:rsidRPr="000C09E7" w:rsidRDefault="00DB5A06" w:rsidP="008C040D">
      <w:pPr>
        <w:rPr>
          <w:i/>
          <w:lang w:val="en-AU"/>
        </w:rPr>
      </w:pPr>
    </w:p>
    <w:p w:rsidR="00D80193" w:rsidRPr="000C09E7" w:rsidRDefault="00DB5A06" w:rsidP="0029518F">
      <w:pPr>
        <w:rPr>
          <w:b/>
          <w:lang w:val="en-AU"/>
        </w:rPr>
      </w:pPr>
      <w:r w:rsidRPr="000C09E7">
        <w:rPr>
          <w:b/>
          <w:lang w:val="en-AU"/>
        </w:rPr>
        <w:t>Online resources</w:t>
      </w:r>
    </w:p>
    <w:p w:rsidR="00DB5A06" w:rsidRDefault="00DB5A06" w:rsidP="0029518F">
      <w:pPr>
        <w:rPr>
          <w:lang w:val="en-AU"/>
        </w:rPr>
      </w:pPr>
    </w:p>
    <w:p w:rsidR="004119D4" w:rsidRPr="004119D4" w:rsidRDefault="004119D4" w:rsidP="00FC210F">
      <w:pPr>
        <w:keepNext/>
        <w:rPr>
          <w:i/>
          <w:lang w:val="en-AU"/>
        </w:rPr>
      </w:pPr>
      <w:r w:rsidRPr="004119D4">
        <w:rPr>
          <w:i/>
          <w:lang w:val="en-AU"/>
        </w:rPr>
        <w:t>Choosing Wisely</w:t>
      </w:r>
    </w:p>
    <w:p w:rsidR="004119D4" w:rsidRDefault="00504108" w:rsidP="00FC210F">
      <w:pPr>
        <w:keepNext/>
        <w:rPr>
          <w:lang w:val="en-AU"/>
        </w:rPr>
      </w:pPr>
      <w:hyperlink r:id="rId36" w:history="1">
        <w:r w:rsidR="004119D4" w:rsidRPr="0048508D">
          <w:rPr>
            <w:rStyle w:val="Hyperlink"/>
            <w:lang w:val="en-AU"/>
          </w:rPr>
          <w:t>https://www.youtube.com/watch?v=FqQ-JuRDkl8</w:t>
        </w:r>
      </w:hyperlink>
    </w:p>
    <w:p w:rsidR="004119D4" w:rsidRDefault="001369BB" w:rsidP="0029518F">
      <w:pPr>
        <w:rPr>
          <w:lang w:val="en-AU"/>
        </w:rPr>
      </w:pPr>
      <w:r>
        <w:rPr>
          <w:lang w:val="en-AU"/>
        </w:rPr>
        <w:t>A</w:t>
      </w:r>
      <w:r w:rsidR="004119D4">
        <w:rPr>
          <w:lang w:val="en-AU"/>
        </w:rPr>
        <w:t xml:space="preserve"> </w:t>
      </w:r>
      <w:r w:rsidR="004119D4" w:rsidRPr="004119D4">
        <w:rPr>
          <w:lang w:val="en-AU"/>
        </w:rPr>
        <w:t xml:space="preserve">parody of the infectious Pharrell Williams song "Happy" </w:t>
      </w:r>
      <w:r>
        <w:rPr>
          <w:lang w:val="en-AU"/>
        </w:rPr>
        <w:t>extolling the virtues of ‘choosing wisely’–</w:t>
      </w:r>
      <w:r w:rsidR="004119D4" w:rsidRPr="004119D4">
        <w:rPr>
          <w:lang w:val="en-AU"/>
        </w:rPr>
        <w:t xml:space="preserve"> choose wisely when it comes to making health care decisions and if you choose wisely it will make you happy</w:t>
      </w:r>
      <w:r w:rsidR="004119D4">
        <w:rPr>
          <w:lang w:val="en-AU"/>
        </w:rPr>
        <w:t>.</w:t>
      </w:r>
    </w:p>
    <w:p w:rsidR="004119D4" w:rsidRPr="000C09E7" w:rsidRDefault="004119D4" w:rsidP="0029518F">
      <w:pPr>
        <w:rPr>
          <w:lang w:val="en-AU"/>
        </w:rPr>
      </w:pPr>
    </w:p>
    <w:p w:rsidR="00705917" w:rsidRPr="00CE3942" w:rsidRDefault="00CE3942" w:rsidP="00D902EC">
      <w:pPr>
        <w:keepNext/>
        <w:rPr>
          <w:i/>
          <w:lang w:val="en-AU"/>
        </w:rPr>
      </w:pPr>
      <w:r w:rsidRPr="00CE3942">
        <w:rPr>
          <w:i/>
          <w:lang w:val="en-AU"/>
        </w:rPr>
        <w:t>Pharmacist guide to cultural responsiveness with Aboriginal and Torres Strait Islander people</w:t>
      </w:r>
    </w:p>
    <w:p w:rsidR="00CE3942" w:rsidRDefault="00504108" w:rsidP="0029518F">
      <w:pPr>
        <w:rPr>
          <w:lang w:val="en-AU"/>
        </w:rPr>
      </w:pPr>
      <w:hyperlink r:id="rId37" w:history="1">
        <w:r w:rsidR="00CE3942" w:rsidRPr="005D5A1A">
          <w:rPr>
            <w:rStyle w:val="Hyperlink"/>
            <w:lang w:val="en-AU"/>
          </w:rPr>
          <w:t>http://www.psa.org.au/wp-content/uploads/Guide-to-providing-pharmacy-services-to-Aboriginal-and-Torres-Strait-Islander-people-2014.pdf</w:t>
        </w:r>
      </w:hyperlink>
    </w:p>
    <w:p w:rsidR="00CE3942" w:rsidRDefault="00CE3942" w:rsidP="0029518F">
      <w:pPr>
        <w:rPr>
          <w:lang w:val="en-AU"/>
        </w:rPr>
      </w:pPr>
      <w:r>
        <w:rPr>
          <w:lang w:val="en-AU"/>
        </w:rPr>
        <w:t xml:space="preserve">The </w:t>
      </w:r>
      <w:r w:rsidRPr="00CE3942">
        <w:rPr>
          <w:lang w:val="en-AU"/>
        </w:rPr>
        <w:t>Phar</w:t>
      </w:r>
      <w:r>
        <w:rPr>
          <w:lang w:val="en-AU"/>
        </w:rPr>
        <w:t>maceutical Society of Australia has released this guide in recognition of t</w:t>
      </w:r>
      <w:r w:rsidRPr="00CE3942">
        <w:rPr>
          <w:lang w:val="en-AU"/>
        </w:rPr>
        <w:t>he importance of pharmacists and pharmacy staff being responsive to the health beliefs, practices, culture and linguistic needs of Aboriginal and Torres Strait Islander people, families and communities</w:t>
      </w:r>
      <w:r>
        <w:rPr>
          <w:lang w:val="en-AU"/>
        </w:rPr>
        <w:t>. The guide covers</w:t>
      </w:r>
      <w:r w:rsidRPr="00CE3942">
        <w:rPr>
          <w:lang w:val="en-AU"/>
        </w:rPr>
        <w:t xml:space="preserve"> cultural awareness and responsiveness, communication skills and relationship building</w:t>
      </w:r>
      <w:r>
        <w:rPr>
          <w:lang w:val="en-AU"/>
        </w:rPr>
        <w:t>.</w:t>
      </w:r>
      <w:r w:rsidR="00AB0D09">
        <w:rPr>
          <w:lang w:val="en-AU"/>
        </w:rPr>
        <w:t xml:space="preserve"> The guide also contains links to resources, including consumer and community resources, and checklists.</w:t>
      </w:r>
    </w:p>
    <w:p w:rsidR="00CE3942" w:rsidRPr="000C09E7" w:rsidRDefault="00CE3942" w:rsidP="0029518F">
      <w:pPr>
        <w:rPr>
          <w:lang w:val="en-AU"/>
        </w:rPr>
      </w:pPr>
    </w:p>
    <w:p w:rsidR="009951BA" w:rsidRPr="000C09E7" w:rsidRDefault="009951BA" w:rsidP="0029518F">
      <w:pPr>
        <w:rPr>
          <w:lang w:val="en-AU"/>
        </w:rPr>
      </w:pPr>
    </w:p>
    <w:p w:rsidR="00B160EF" w:rsidRPr="000C09E7" w:rsidRDefault="00B160EF" w:rsidP="00B160EF">
      <w:pPr>
        <w:keepNext/>
        <w:pBdr>
          <w:top w:val="single" w:sz="4" w:space="1" w:color="auto"/>
        </w:pBdr>
        <w:rPr>
          <w:b/>
          <w:lang w:val="en-AU"/>
        </w:rPr>
      </w:pPr>
      <w:r w:rsidRPr="000C09E7">
        <w:rPr>
          <w:b/>
          <w:lang w:val="en-AU"/>
        </w:rPr>
        <w:t>Disclaimer</w:t>
      </w:r>
    </w:p>
    <w:p w:rsidR="00E41D2F" w:rsidRPr="000C09E7" w:rsidRDefault="00B160EF" w:rsidP="00B160EF">
      <w:pPr>
        <w:rPr>
          <w:lang w:val="en-AU"/>
        </w:rPr>
      </w:pPr>
      <w:r w:rsidRPr="000C09E7">
        <w:rPr>
          <w:i/>
          <w:lang w:val="en-AU"/>
        </w:rPr>
        <w:t xml:space="preserve">On the </w:t>
      </w:r>
      <w:r w:rsidR="001A66F9" w:rsidRPr="000C09E7">
        <w:rPr>
          <w:i/>
          <w:lang w:val="en-AU"/>
        </w:rPr>
        <w:t>R</w:t>
      </w:r>
      <w:r w:rsidRPr="000C09E7">
        <w:rPr>
          <w:i/>
          <w:lang w:val="en-AU"/>
        </w:rPr>
        <w:t>adar</w:t>
      </w:r>
      <w:r w:rsidRPr="000C09E7">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0C09E7"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08" w:rsidRDefault="00504108">
      <w:r>
        <w:separator/>
      </w:r>
    </w:p>
  </w:endnote>
  <w:endnote w:type="continuationSeparator" w:id="0">
    <w:p w:rsidR="00504108" w:rsidRDefault="0050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8443B">
      <w:rPr>
        <w:rStyle w:val="PageNumber"/>
        <w:noProof/>
      </w:rPr>
      <w:t>6</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6A0F4E">
      <w:t xml:space="preserve"> Issue 186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443B">
      <w:rPr>
        <w:rStyle w:val="PageNumber"/>
        <w:noProof/>
      </w:rPr>
      <w:t>7</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6A0F4E">
      <w:t xml:space="preserve"> Issue 186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08" w:rsidRDefault="00504108">
      <w:r>
        <w:separator/>
      </w:r>
    </w:p>
  </w:footnote>
  <w:footnote w:type="continuationSeparator" w:id="0">
    <w:p w:rsidR="00504108" w:rsidRDefault="00504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390452"/>
    <w:multiLevelType w:val="hybridMultilevel"/>
    <w:tmpl w:val="E61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474E5D"/>
    <w:multiLevelType w:val="hybridMultilevel"/>
    <w:tmpl w:val="8A346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88F07A3"/>
    <w:multiLevelType w:val="hybridMultilevel"/>
    <w:tmpl w:val="E8E0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AD7984"/>
    <w:multiLevelType w:val="hybridMultilevel"/>
    <w:tmpl w:val="0A7A38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8">
    <w:nsid w:val="22C06B07"/>
    <w:multiLevelType w:val="hybridMultilevel"/>
    <w:tmpl w:val="6E42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2FF5B55"/>
    <w:multiLevelType w:val="hybridMultilevel"/>
    <w:tmpl w:val="0F2A2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4057BCD"/>
    <w:multiLevelType w:val="hybridMultilevel"/>
    <w:tmpl w:val="503A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26D4C4F"/>
    <w:multiLevelType w:val="hybridMultilevel"/>
    <w:tmpl w:val="606C9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7E748CA"/>
    <w:multiLevelType w:val="hybridMultilevel"/>
    <w:tmpl w:val="7B9EC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D372C0"/>
    <w:multiLevelType w:val="hybridMultilevel"/>
    <w:tmpl w:val="11040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F172F2"/>
    <w:multiLevelType w:val="hybridMultilevel"/>
    <w:tmpl w:val="E3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3B792B"/>
    <w:multiLevelType w:val="hybridMultilevel"/>
    <w:tmpl w:val="757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EB6CAD"/>
    <w:multiLevelType w:val="hybridMultilevel"/>
    <w:tmpl w:val="8578F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DC508C"/>
    <w:multiLevelType w:val="hybridMultilevel"/>
    <w:tmpl w:val="95FC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136CA9"/>
    <w:multiLevelType w:val="hybridMultilevel"/>
    <w:tmpl w:val="B6EC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3E6E8E"/>
    <w:multiLevelType w:val="hybridMultilevel"/>
    <w:tmpl w:val="470AC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5"/>
  </w:num>
  <w:num w:numId="15">
    <w:abstractNumId w:val="39"/>
  </w:num>
  <w:num w:numId="16">
    <w:abstractNumId w:val="15"/>
  </w:num>
  <w:num w:numId="17">
    <w:abstractNumId w:val="29"/>
  </w:num>
  <w:num w:numId="18">
    <w:abstractNumId w:val="14"/>
  </w:num>
  <w:num w:numId="19">
    <w:abstractNumId w:val="36"/>
  </w:num>
  <w:num w:numId="20">
    <w:abstractNumId w:val="21"/>
  </w:num>
  <w:num w:numId="21">
    <w:abstractNumId w:val="17"/>
  </w:num>
  <w:num w:numId="22">
    <w:abstractNumId w:val="10"/>
  </w:num>
  <w:num w:numId="23">
    <w:abstractNumId w:val="27"/>
  </w:num>
  <w:num w:numId="24">
    <w:abstractNumId w:val="11"/>
  </w:num>
  <w:num w:numId="25">
    <w:abstractNumId w:val="30"/>
  </w:num>
  <w:num w:numId="26">
    <w:abstractNumId w:val="22"/>
  </w:num>
  <w:num w:numId="27">
    <w:abstractNumId w:val="32"/>
  </w:num>
  <w:num w:numId="28">
    <w:abstractNumId w:val="23"/>
  </w:num>
  <w:num w:numId="29">
    <w:abstractNumId w:val="33"/>
  </w:num>
  <w:num w:numId="30">
    <w:abstractNumId w:val="16"/>
  </w:num>
  <w:num w:numId="31">
    <w:abstractNumId w:val="37"/>
  </w:num>
  <w:num w:numId="32">
    <w:abstractNumId w:val="38"/>
  </w:num>
  <w:num w:numId="33">
    <w:abstractNumId w:val="20"/>
  </w:num>
  <w:num w:numId="34">
    <w:abstractNumId w:val="12"/>
  </w:num>
  <w:num w:numId="35">
    <w:abstractNumId w:val="18"/>
  </w:num>
  <w:num w:numId="36">
    <w:abstractNumId w:val="13"/>
  </w:num>
  <w:num w:numId="37">
    <w:abstractNumId w:val="34"/>
  </w:num>
  <w:num w:numId="38">
    <w:abstractNumId w:val="31"/>
  </w:num>
  <w:num w:numId="39">
    <w:abstractNumId w:val="26"/>
  </w:num>
  <w:num w:numId="4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DA6"/>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797"/>
    <w:rsid w:val="00126FD4"/>
    <w:rsid w:val="00127226"/>
    <w:rsid w:val="001273B5"/>
    <w:rsid w:val="0012775E"/>
    <w:rsid w:val="00127795"/>
    <w:rsid w:val="00127D2C"/>
    <w:rsid w:val="00131221"/>
    <w:rsid w:val="00131BB6"/>
    <w:rsid w:val="00132070"/>
    <w:rsid w:val="001324C0"/>
    <w:rsid w:val="00132A3B"/>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B21"/>
    <w:rsid w:val="001B0B9E"/>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742"/>
    <w:rsid w:val="00576AFC"/>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948"/>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F0D"/>
    <w:rsid w:val="005A6FA8"/>
    <w:rsid w:val="005A706A"/>
    <w:rsid w:val="005A71F0"/>
    <w:rsid w:val="005A72BA"/>
    <w:rsid w:val="005A7426"/>
    <w:rsid w:val="005A78FA"/>
    <w:rsid w:val="005A7F94"/>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FD9"/>
    <w:rsid w:val="00664520"/>
    <w:rsid w:val="00664541"/>
    <w:rsid w:val="006655A9"/>
    <w:rsid w:val="00665B3B"/>
    <w:rsid w:val="00665D8A"/>
    <w:rsid w:val="0066628E"/>
    <w:rsid w:val="0066678E"/>
    <w:rsid w:val="00666AE4"/>
    <w:rsid w:val="00666B0B"/>
    <w:rsid w:val="006672B7"/>
    <w:rsid w:val="00667926"/>
    <w:rsid w:val="00667B0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1A2"/>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0C1"/>
    <w:rsid w:val="008012AB"/>
    <w:rsid w:val="00801658"/>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6E5E"/>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45F"/>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526"/>
    <w:rsid w:val="008B7A09"/>
    <w:rsid w:val="008B7BFF"/>
    <w:rsid w:val="008B7D4A"/>
    <w:rsid w:val="008C0208"/>
    <w:rsid w:val="008C0263"/>
    <w:rsid w:val="008C040D"/>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324"/>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2C7"/>
    <w:rsid w:val="00932843"/>
    <w:rsid w:val="00932B4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6D8"/>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789"/>
    <w:rsid w:val="00A568A1"/>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96D"/>
    <w:rsid w:val="00A82C96"/>
    <w:rsid w:val="00A834EB"/>
    <w:rsid w:val="00A83604"/>
    <w:rsid w:val="00A83A35"/>
    <w:rsid w:val="00A83E18"/>
    <w:rsid w:val="00A83F08"/>
    <w:rsid w:val="00A8405E"/>
    <w:rsid w:val="00A84250"/>
    <w:rsid w:val="00A8443B"/>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ACE"/>
    <w:rsid w:val="00AB76E9"/>
    <w:rsid w:val="00AB77A4"/>
    <w:rsid w:val="00AB7DFD"/>
    <w:rsid w:val="00AC0084"/>
    <w:rsid w:val="00AC045C"/>
    <w:rsid w:val="00AC0C25"/>
    <w:rsid w:val="00AC1362"/>
    <w:rsid w:val="00AC137D"/>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4D5F"/>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2B7D"/>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EFB"/>
    <w:rsid w:val="00B100DB"/>
    <w:rsid w:val="00B1016C"/>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A12"/>
    <w:rsid w:val="00BF2C0F"/>
    <w:rsid w:val="00BF2C45"/>
    <w:rsid w:val="00BF3B58"/>
    <w:rsid w:val="00BF3CCC"/>
    <w:rsid w:val="00BF3D49"/>
    <w:rsid w:val="00BF3D7B"/>
    <w:rsid w:val="00BF3DCD"/>
    <w:rsid w:val="00BF3F20"/>
    <w:rsid w:val="00BF48FF"/>
    <w:rsid w:val="00BF4D68"/>
    <w:rsid w:val="00BF55C7"/>
    <w:rsid w:val="00BF58E9"/>
    <w:rsid w:val="00BF5AF6"/>
    <w:rsid w:val="00BF5DB9"/>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868"/>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FD3"/>
    <w:rsid w:val="00C372BE"/>
    <w:rsid w:val="00C373D8"/>
    <w:rsid w:val="00C373E0"/>
    <w:rsid w:val="00C37458"/>
    <w:rsid w:val="00C3780D"/>
    <w:rsid w:val="00C379CE"/>
    <w:rsid w:val="00C40100"/>
    <w:rsid w:val="00C405E7"/>
    <w:rsid w:val="00C40824"/>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D61"/>
    <w:rsid w:val="00CB0EB8"/>
    <w:rsid w:val="00CB0F0C"/>
    <w:rsid w:val="00CB18B6"/>
    <w:rsid w:val="00CB1F70"/>
    <w:rsid w:val="00CB2656"/>
    <w:rsid w:val="00CB2ED0"/>
    <w:rsid w:val="00CB3081"/>
    <w:rsid w:val="00CB3155"/>
    <w:rsid w:val="00CB3214"/>
    <w:rsid w:val="00CB3983"/>
    <w:rsid w:val="00CB432B"/>
    <w:rsid w:val="00CB4765"/>
    <w:rsid w:val="00CB4CD1"/>
    <w:rsid w:val="00CB5760"/>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295D"/>
    <w:rsid w:val="00CE29BB"/>
    <w:rsid w:val="00CE2BB2"/>
    <w:rsid w:val="00CE2C08"/>
    <w:rsid w:val="00CE2C3E"/>
    <w:rsid w:val="00CE2D5B"/>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4D22"/>
    <w:rsid w:val="00D15927"/>
    <w:rsid w:val="00D15EEA"/>
    <w:rsid w:val="00D1602E"/>
    <w:rsid w:val="00D16155"/>
    <w:rsid w:val="00D164A1"/>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E3"/>
    <w:rsid w:val="00D43C81"/>
    <w:rsid w:val="00D43D5F"/>
    <w:rsid w:val="00D43DC0"/>
    <w:rsid w:val="00D43FA3"/>
    <w:rsid w:val="00D440FE"/>
    <w:rsid w:val="00D44265"/>
    <w:rsid w:val="00D44853"/>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63"/>
    <w:rsid w:val="00D613EA"/>
    <w:rsid w:val="00D61DCD"/>
    <w:rsid w:val="00D6226C"/>
    <w:rsid w:val="00D62454"/>
    <w:rsid w:val="00D6249C"/>
    <w:rsid w:val="00D6299D"/>
    <w:rsid w:val="00D62A26"/>
    <w:rsid w:val="00D62C3A"/>
    <w:rsid w:val="00D639C6"/>
    <w:rsid w:val="00D63CCB"/>
    <w:rsid w:val="00D6453B"/>
    <w:rsid w:val="00D64608"/>
    <w:rsid w:val="00D666B2"/>
    <w:rsid w:val="00D66BBB"/>
    <w:rsid w:val="00D66F4A"/>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A4B"/>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7E6"/>
    <w:rsid w:val="00E92859"/>
    <w:rsid w:val="00E929EE"/>
    <w:rsid w:val="00E92BAC"/>
    <w:rsid w:val="00E92C00"/>
    <w:rsid w:val="00E92CFF"/>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59CB"/>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health.org.uk/publications/building-capability-to-improve-safety/" TargetMode="External"/><Relationship Id="rId26" Type="http://schemas.openxmlformats.org/officeDocument/2006/relationships/hyperlink" Target="http://dx.doi.org/10.1542/peds.2013-3531"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x.doi.org/10.1016/j.aorn.2013.07.024" TargetMode="External"/><Relationship Id="rId34" Type="http://schemas.openxmlformats.org/officeDocument/2006/relationships/hyperlink" Target="http://qualitysafety.bmj.com/content/early/recent"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medicalpracticevariation@safetyandquality.gov.au" TargetMode="External"/><Relationship Id="rId25" Type="http://schemas.openxmlformats.org/officeDocument/2006/relationships/hyperlink" Target="http://www.safetyandquality.gov.au/our-work/medication-safety/" TargetMode="External"/><Relationship Id="rId33" Type="http://schemas.openxmlformats.org/officeDocument/2006/relationships/hyperlink" Target="http://dx.doi.org/10.1016/j.jpedsurg.2014.01.00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fetyandquality.gov.au/publications/exploring-healthcare-variation-in-australia/" TargetMode="External"/><Relationship Id="rId20" Type="http://schemas.openxmlformats.org/officeDocument/2006/relationships/hyperlink" Target="http://dx.doi.org/10.1136/bmj.g3725" TargetMode="External"/><Relationship Id="rId29" Type="http://schemas.openxmlformats.org/officeDocument/2006/relationships/hyperlink" Target="http://www.safetyandquality.gov.au/our-work/medication-safe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ncbi.nlm.nih.gov/pmc/articles/PMC4025884/" TargetMode="External"/><Relationship Id="rId32" Type="http://schemas.openxmlformats.org/officeDocument/2006/relationships/hyperlink" Target="http://www.ingentaconnect.com/content/jcaho/jcjqs/2014/00000040/00000008/art00006" TargetMode="External"/><Relationship Id="rId37" Type="http://schemas.openxmlformats.org/officeDocument/2006/relationships/hyperlink" Target="http://www.psa.org.au/wp-content/uploads/Guide-to-providing-pharmacy-services-to-Aboriginal-and-Torres-Strait-Islander-people-2014.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77/1715163514530094" TargetMode="External"/><Relationship Id="rId28" Type="http://schemas.openxmlformats.org/officeDocument/2006/relationships/hyperlink" Target="http://dx.doi.org/10.1016/j.mayocp.2014.04.023" TargetMode="External"/><Relationship Id="rId36" Type="http://schemas.openxmlformats.org/officeDocument/2006/relationships/hyperlink" Target="https://www.youtube.com/watch?v=FqQ-JuRDkl8"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image" Target="media/image2.png"/><Relationship Id="rId31" Type="http://schemas.openxmlformats.org/officeDocument/2006/relationships/hyperlink" Target="http://www.safetyandquality.gov.au/our-work/healthcare-associated-infectio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qs-2013-002772" TargetMode="External"/><Relationship Id="rId27" Type="http://schemas.openxmlformats.org/officeDocument/2006/relationships/hyperlink" Target="http://dx.doi.org/10.1542/peds.2014-0395" TargetMode="External"/><Relationship Id="rId30" Type="http://schemas.openxmlformats.org/officeDocument/2006/relationships/hyperlink" Target="http://dx.doi.org/10.1086/677152" TargetMode="External"/><Relationship Id="rId35" Type="http://schemas.openxmlformats.org/officeDocument/2006/relationships/hyperlink" Target="http://intqhc.oxfordjournals.org/content/early/recent?pape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5BDA-FDAC-4C68-8630-B2B1B9D8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7</Pages>
  <Words>2841</Words>
  <Characters>17730</Characters>
  <Application>Microsoft Office Word</Application>
  <DocSecurity>0</DocSecurity>
  <Lines>385</Lines>
  <Paragraphs>185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20386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24</cp:revision>
  <cp:lastPrinted>2013-06-06T03:47:00Z</cp:lastPrinted>
  <dcterms:created xsi:type="dcterms:W3CDTF">2014-08-03T22:55:00Z</dcterms:created>
  <dcterms:modified xsi:type="dcterms:W3CDTF">2014-08-10T06:57:00Z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