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C09E7" w:rsidRDefault="00824B99" w:rsidP="00A420BD">
      <w:pPr>
        <w:pStyle w:val="Heading1"/>
        <w:ind w:left="720" w:hanging="720"/>
        <w:jc w:val="both"/>
        <w:rPr>
          <w:rFonts w:ascii="Bookman Old Style" w:hAnsi="Bookman Old Style"/>
          <w:sz w:val="48"/>
          <w:szCs w:val="48"/>
          <w:lang w:val="en-AU"/>
        </w:rPr>
      </w:pPr>
      <w:bookmarkStart w:id="0" w:name="_GoBack"/>
      <w:bookmarkEnd w:id="0"/>
      <w:r w:rsidRPr="000C09E7">
        <w:rPr>
          <w:rFonts w:ascii="Bookman Old Style" w:hAnsi="Bookman Old Style"/>
          <w:noProof/>
          <w:sz w:val="48"/>
          <w:szCs w:val="48"/>
          <w:lang w:val="en-AU" w:eastAsia="en-AU"/>
        </w:rPr>
        <w:drawing>
          <wp:anchor distT="0" distB="0" distL="114300" distR="114300" simplePos="0" relativeHeight="251659264" behindDoc="1" locked="0" layoutInCell="1" allowOverlap="1" wp14:anchorId="2026C2E4" wp14:editId="0A0F79E0">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C09E7">
        <w:rPr>
          <w:rFonts w:ascii="Bookman Old Style" w:hAnsi="Bookman Old Style"/>
          <w:sz w:val="48"/>
          <w:szCs w:val="48"/>
          <w:lang w:val="en-AU"/>
        </w:rPr>
        <w:t>On the Radar</w:t>
      </w:r>
    </w:p>
    <w:p w:rsidR="00B160EF" w:rsidRPr="000C09E7" w:rsidRDefault="00715F47" w:rsidP="00B160EF">
      <w:pPr>
        <w:rPr>
          <w:color w:val="000000"/>
          <w:lang w:val="en-AU"/>
        </w:rPr>
      </w:pPr>
      <w:r w:rsidRPr="000C09E7">
        <w:rPr>
          <w:color w:val="000000"/>
          <w:lang w:val="en-AU"/>
        </w:rPr>
        <w:t xml:space="preserve">Issue </w:t>
      </w:r>
      <w:r w:rsidR="00ED198B" w:rsidRPr="000C09E7">
        <w:rPr>
          <w:color w:val="000000"/>
          <w:lang w:val="en-AU"/>
        </w:rPr>
        <w:t>1</w:t>
      </w:r>
      <w:r w:rsidR="00D61E57">
        <w:rPr>
          <w:color w:val="000000"/>
          <w:lang w:val="en-AU"/>
        </w:rPr>
        <w:t>87</w:t>
      </w:r>
    </w:p>
    <w:p w:rsidR="000F7901" w:rsidRPr="000C09E7" w:rsidRDefault="006A0F4E" w:rsidP="00B160EF">
      <w:pPr>
        <w:rPr>
          <w:lang w:val="en-AU"/>
        </w:rPr>
      </w:pPr>
      <w:r w:rsidRPr="000C09E7">
        <w:rPr>
          <w:lang w:val="en-AU"/>
        </w:rPr>
        <w:t>1</w:t>
      </w:r>
      <w:r w:rsidR="00D61E57">
        <w:rPr>
          <w:lang w:val="en-AU"/>
        </w:rPr>
        <w:t>8</w:t>
      </w:r>
      <w:r w:rsidR="008A25FD" w:rsidRPr="000C09E7">
        <w:rPr>
          <w:lang w:val="en-AU"/>
        </w:rPr>
        <w:t xml:space="preserve"> August </w:t>
      </w:r>
      <w:r w:rsidR="000F7901" w:rsidRPr="000C09E7">
        <w:rPr>
          <w:lang w:val="en-AU"/>
        </w:rPr>
        <w:t>2014</w:t>
      </w:r>
    </w:p>
    <w:p w:rsidR="00566895" w:rsidRPr="000C09E7" w:rsidRDefault="00566895" w:rsidP="00B160EF">
      <w:pPr>
        <w:rPr>
          <w:lang w:val="en-AU"/>
        </w:rPr>
      </w:pPr>
    </w:p>
    <w:p w:rsidR="00B160EF" w:rsidRPr="000C09E7" w:rsidRDefault="00B160EF" w:rsidP="00B160EF">
      <w:pPr>
        <w:rPr>
          <w:lang w:val="en-AU"/>
        </w:rPr>
      </w:pPr>
      <w:r w:rsidRPr="000C09E7">
        <w:rPr>
          <w:i/>
          <w:lang w:val="en-AU"/>
        </w:rPr>
        <w:t>On the Radar</w:t>
      </w:r>
      <w:r w:rsidRPr="000C09E7">
        <w:rPr>
          <w:lang w:val="en-AU"/>
        </w:rPr>
        <w:t xml:space="preserve"> is a summary of some of the recent publications in the areas of safety and quality in health care. Inclusion in this document is not an endorsement or recommendation of any publication or provider.</w:t>
      </w:r>
    </w:p>
    <w:p w:rsidR="00B160EF" w:rsidRPr="000C09E7" w:rsidRDefault="00B160EF" w:rsidP="00B160EF">
      <w:pPr>
        <w:rPr>
          <w:lang w:val="en-AU"/>
        </w:rPr>
      </w:pPr>
    </w:p>
    <w:p w:rsidR="00B160EF" w:rsidRPr="000C09E7" w:rsidRDefault="00B160EF" w:rsidP="00B160EF">
      <w:pPr>
        <w:rPr>
          <w:b/>
          <w:lang w:val="en-AU"/>
        </w:rPr>
      </w:pPr>
      <w:r w:rsidRPr="000C09E7">
        <w:rPr>
          <w:lang w:val="en-AU"/>
        </w:rPr>
        <w:t>Access to particular documents may depend on whether they are Open Access or not, and/or your individual or institutional access to subscription sites/services.</w:t>
      </w:r>
      <w:r w:rsidR="00F460A7" w:rsidRPr="000C09E7">
        <w:rPr>
          <w:lang w:val="en-AU"/>
        </w:rPr>
        <w:t xml:space="preserve"> Material that may require subscription is included as it is considered relevant.</w:t>
      </w:r>
    </w:p>
    <w:p w:rsidR="00B160EF" w:rsidRPr="000C09E7" w:rsidRDefault="00B160EF" w:rsidP="00B160EF">
      <w:pPr>
        <w:rPr>
          <w:lang w:val="en-AU"/>
        </w:rPr>
      </w:pPr>
    </w:p>
    <w:p w:rsidR="00230D83" w:rsidRPr="000C09E7" w:rsidRDefault="00B160EF" w:rsidP="0045757F">
      <w:pPr>
        <w:autoSpaceDE w:val="0"/>
        <w:rPr>
          <w:lang w:val="en-AU"/>
        </w:rPr>
      </w:pPr>
      <w:r w:rsidRPr="000C09E7">
        <w:rPr>
          <w:i/>
          <w:lang w:val="en-AU"/>
        </w:rPr>
        <w:t>On the Radar</w:t>
      </w:r>
      <w:r w:rsidRPr="000C09E7">
        <w:rPr>
          <w:lang w:val="en-AU"/>
        </w:rPr>
        <w:t xml:space="preserve"> is available </w:t>
      </w:r>
      <w:r w:rsidR="003D1E7A" w:rsidRPr="000C09E7">
        <w:rPr>
          <w:lang w:val="en-AU"/>
        </w:rPr>
        <w:t xml:space="preserve">online, </w:t>
      </w:r>
      <w:r w:rsidRPr="000C09E7">
        <w:rPr>
          <w:lang w:val="en-AU"/>
        </w:rPr>
        <w:t xml:space="preserve">via email or as a PDF document from </w:t>
      </w:r>
      <w:hyperlink r:id="rId10" w:history="1">
        <w:r w:rsidR="00230D83" w:rsidRPr="000C09E7">
          <w:rPr>
            <w:rStyle w:val="Hyperlink"/>
            <w:lang w:val="en-AU"/>
          </w:rPr>
          <w:t>http://www.safetyandquality.gov.au/publications-resources/on-the-radar/</w:t>
        </w:r>
      </w:hyperlink>
    </w:p>
    <w:p w:rsidR="0090536C" w:rsidRPr="000C09E7" w:rsidRDefault="0090536C" w:rsidP="0045757F">
      <w:pPr>
        <w:autoSpaceDE w:val="0"/>
        <w:rPr>
          <w:lang w:val="en-AU"/>
        </w:rPr>
      </w:pPr>
    </w:p>
    <w:p w:rsidR="00B160EF" w:rsidRPr="000C09E7" w:rsidRDefault="00B160EF" w:rsidP="0045757F">
      <w:pPr>
        <w:autoSpaceDE w:val="0"/>
        <w:rPr>
          <w:lang w:val="en-AU"/>
        </w:rPr>
      </w:pPr>
      <w:r w:rsidRPr="000C09E7">
        <w:rPr>
          <w:lang w:val="en-AU"/>
        </w:rPr>
        <w:t xml:space="preserve">If you would like to receive </w:t>
      </w:r>
      <w:r w:rsidRPr="000C09E7">
        <w:rPr>
          <w:i/>
          <w:lang w:val="en-AU"/>
        </w:rPr>
        <w:t>On the Radar</w:t>
      </w:r>
      <w:r w:rsidRPr="000C09E7">
        <w:rPr>
          <w:lang w:val="en-AU"/>
        </w:rPr>
        <w:t xml:space="preserve"> via email</w:t>
      </w:r>
      <w:r w:rsidR="003D7B9E" w:rsidRPr="000C09E7">
        <w:rPr>
          <w:lang w:val="en-AU"/>
        </w:rPr>
        <w:t>, you can</w:t>
      </w:r>
      <w:r w:rsidR="00F24F60" w:rsidRPr="000C09E7">
        <w:rPr>
          <w:lang w:val="en-AU"/>
        </w:rPr>
        <w:t xml:space="preserve"> subscribe on our website </w:t>
      </w:r>
      <w:hyperlink r:id="rId11" w:history="1">
        <w:r w:rsidR="00F24F60" w:rsidRPr="000C09E7">
          <w:rPr>
            <w:rStyle w:val="Hyperlink"/>
            <w:lang w:val="en-AU"/>
          </w:rPr>
          <w:t>http://www.safetyandquality.gov.au/</w:t>
        </w:r>
      </w:hyperlink>
      <w:r w:rsidR="003D7B9E" w:rsidRPr="000C09E7">
        <w:rPr>
          <w:lang w:val="en-AU"/>
        </w:rPr>
        <w:t xml:space="preserve"> or by emailing us at </w:t>
      </w:r>
      <w:r w:rsidR="003D7B9E" w:rsidRPr="000C09E7">
        <w:rPr>
          <w:rFonts w:ascii="ZWAdobeF" w:hAnsi="ZWAdobeF" w:cs="ZWAdobeF"/>
          <w:sz w:val="2"/>
          <w:szCs w:val="2"/>
          <w:lang w:val="en-AU"/>
        </w:rPr>
        <w:t>H</w:t>
      </w:r>
      <w:hyperlink r:id="rId12" w:history="1">
        <w:r w:rsidR="003D7B9E" w:rsidRPr="000C09E7">
          <w:rPr>
            <w:rFonts w:ascii="ZWAdobeF" w:hAnsi="ZWAdobeF" w:cs="ZWAdobeF"/>
            <w:sz w:val="2"/>
            <w:szCs w:val="2"/>
            <w:lang w:val="en-AU"/>
          </w:rPr>
          <w:t>U</w:t>
        </w:r>
        <w:r w:rsidR="003D7B9E" w:rsidRPr="000C09E7">
          <w:rPr>
            <w:rStyle w:val="Hyperlink"/>
            <w:lang w:val="en-AU"/>
          </w:rPr>
          <w:t>mail@safetyandquality.gov.au</w:t>
        </w:r>
        <w:r w:rsidR="003D7B9E" w:rsidRPr="000C09E7">
          <w:rPr>
            <w:rStyle w:val="Hyperlink"/>
            <w:rFonts w:ascii="ZWAdobeF" w:hAnsi="ZWAdobeF" w:cs="ZWAdobeF"/>
            <w:color w:val="auto"/>
            <w:sz w:val="2"/>
            <w:szCs w:val="2"/>
            <w:u w:val="none"/>
            <w:lang w:val="en-AU"/>
          </w:rPr>
          <w:t>U</w:t>
        </w:r>
      </w:hyperlink>
      <w:r w:rsidR="003D7B9E" w:rsidRPr="000C09E7">
        <w:rPr>
          <w:lang w:val="en-AU"/>
        </w:rPr>
        <w:t xml:space="preserve">. </w:t>
      </w:r>
      <w:r w:rsidR="00E51D23" w:rsidRPr="000C09E7">
        <w:rPr>
          <w:lang w:val="en-AU"/>
        </w:rPr>
        <w:br/>
      </w:r>
      <w:r w:rsidR="003D7B9E" w:rsidRPr="000C09E7">
        <w:rPr>
          <w:lang w:val="en-AU"/>
        </w:rPr>
        <w:t xml:space="preserve">You can also send feedback and comments to </w:t>
      </w:r>
      <w:r w:rsidR="003D7B9E" w:rsidRPr="000C09E7">
        <w:rPr>
          <w:rFonts w:ascii="ZWAdobeF" w:hAnsi="ZWAdobeF" w:cs="ZWAdobeF"/>
          <w:sz w:val="2"/>
          <w:szCs w:val="2"/>
          <w:lang w:val="en-AU"/>
        </w:rPr>
        <w:t>H</w:t>
      </w:r>
      <w:hyperlink r:id="rId13" w:history="1">
        <w:r w:rsidR="003D7B9E" w:rsidRPr="000C09E7">
          <w:rPr>
            <w:rFonts w:ascii="ZWAdobeF" w:hAnsi="ZWAdobeF" w:cs="ZWAdobeF"/>
            <w:sz w:val="2"/>
            <w:szCs w:val="2"/>
            <w:lang w:val="en-AU"/>
          </w:rPr>
          <w:t>U</w:t>
        </w:r>
        <w:r w:rsidR="003D7B9E" w:rsidRPr="000C09E7">
          <w:rPr>
            <w:rStyle w:val="Hyperlink"/>
            <w:lang w:val="en-AU"/>
          </w:rPr>
          <w:t>mail@safetyandquality.gov.au</w:t>
        </w:r>
        <w:r w:rsidR="003D7B9E" w:rsidRPr="000C09E7">
          <w:rPr>
            <w:rStyle w:val="Hyperlink"/>
            <w:rFonts w:ascii="ZWAdobeF" w:hAnsi="ZWAdobeF" w:cs="ZWAdobeF"/>
            <w:color w:val="auto"/>
            <w:sz w:val="2"/>
            <w:szCs w:val="2"/>
            <w:u w:val="none"/>
            <w:lang w:val="en-AU"/>
          </w:rPr>
          <w:t>U</w:t>
        </w:r>
      </w:hyperlink>
      <w:r w:rsidR="003D7B9E" w:rsidRPr="000C09E7">
        <w:rPr>
          <w:lang w:val="en-AU"/>
        </w:rPr>
        <w:t>.</w:t>
      </w:r>
    </w:p>
    <w:p w:rsidR="00B160EF" w:rsidRPr="000C09E7" w:rsidRDefault="00B160EF" w:rsidP="00837FC4">
      <w:pPr>
        <w:tabs>
          <w:tab w:val="left" w:pos="7773"/>
        </w:tabs>
        <w:rPr>
          <w:lang w:val="en-AU"/>
        </w:rPr>
      </w:pPr>
    </w:p>
    <w:p w:rsidR="00837FC4" w:rsidRPr="000C09E7" w:rsidRDefault="00B160EF" w:rsidP="004554DB">
      <w:pPr>
        <w:autoSpaceDE w:val="0"/>
        <w:rPr>
          <w:lang w:val="en-AU"/>
        </w:rPr>
      </w:pPr>
      <w:bookmarkStart w:id="1" w:name="OLE_LINK1"/>
      <w:r w:rsidRPr="000C09E7">
        <w:rPr>
          <w:lang w:val="en-AU"/>
        </w:rPr>
        <w:t xml:space="preserve">For information about the Commission and its programs and publications, please visit </w:t>
      </w:r>
      <w:hyperlink r:id="rId14" w:history="1">
        <w:r w:rsidR="00837FC4" w:rsidRPr="000C09E7">
          <w:rPr>
            <w:rStyle w:val="Hyperlink"/>
            <w:lang w:val="en-AU"/>
          </w:rPr>
          <w:t>http://www.safetyandquality.gov.au</w:t>
        </w:r>
      </w:hyperlink>
    </w:p>
    <w:p w:rsidR="00210235" w:rsidRPr="000C09E7" w:rsidRDefault="004554DB" w:rsidP="004554DB">
      <w:pPr>
        <w:autoSpaceDE w:val="0"/>
        <w:rPr>
          <w:lang w:val="en-AU"/>
        </w:rPr>
      </w:pPr>
      <w:r w:rsidRPr="000C09E7">
        <w:rPr>
          <w:lang w:val="en-AU"/>
        </w:rPr>
        <w:t>You can also follow us on Twitter @ACSQHC.</w:t>
      </w:r>
    </w:p>
    <w:p w:rsidR="00DD32E9" w:rsidRPr="000C09E7" w:rsidRDefault="00DD32E9" w:rsidP="004554DB">
      <w:pPr>
        <w:autoSpaceDE w:val="0"/>
        <w:rPr>
          <w:lang w:val="en-AU"/>
        </w:rPr>
      </w:pPr>
    </w:p>
    <w:p w:rsidR="00210235" w:rsidRPr="000C09E7" w:rsidRDefault="00210235" w:rsidP="00210235">
      <w:pPr>
        <w:keepNext/>
        <w:pBdr>
          <w:top w:val="single" w:sz="4" w:space="1" w:color="auto"/>
        </w:pBdr>
        <w:rPr>
          <w:b/>
          <w:lang w:val="en-AU"/>
        </w:rPr>
      </w:pPr>
      <w:r w:rsidRPr="000C09E7">
        <w:rPr>
          <w:b/>
          <w:lang w:val="en-AU"/>
        </w:rPr>
        <w:t>On the Radar</w:t>
      </w:r>
    </w:p>
    <w:p w:rsidR="00340157" w:rsidRPr="000C09E7" w:rsidRDefault="00340157" w:rsidP="00210235">
      <w:pPr>
        <w:keepNext/>
        <w:pBdr>
          <w:top w:val="single" w:sz="4" w:space="1" w:color="auto"/>
        </w:pBdr>
        <w:rPr>
          <w:bCs/>
          <w:lang w:val="en-AU"/>
        </w:rPr>
      </w:pPr>
      <w:r w:rsidRPr="000C09E7">
        <w:rPr>
          <w:bCs/>
          <w:lang w:val="en-AU"/>
        </w:rPr>
        <w:t xml:space="preserve">Editor: </w:t>
      </w:r>
      <w:r w:rsidR="00C8085B" w:rsidRPr="000C09E7">
        <w:rPr>
          <w:bCs/>
          <w:lang w:val="en-AU"/>
        </w:rPr>
        <w:t xml:space="preserve">Dr </w:t>
      </w:r>
      <w:r w:rsidRPr="000C09E7">
        <w:rPr>
          <w:bCs/>
          <w:lang w:val="en-AU"/>
        </w:rPr>
        <w:t xml:space="preserve">Niall Johnson </w:t>
      </w:r>
      <w:hyperlink r:id="rId15" w:history="1">
        <w:r w:rsidRPr="000C09E7">
          <w:rPr>
            <w:rStyle w:val="Hyperlink"/>
            <w:bCs/>
            <w:lang w:val="en-AU"/>
          </w:rPr>
          <w:t>niall.johnson@safetyandquality.gov.au</w:t>
        </w:r>
      </w:hyperlink>
    </w:p>
    <w:p w:rsidR="009A35BE" w:rsidRPr="000C09E7" w:rsidRDefault="00210235" w:rsidP="00A8296D">
      <w:pPr>
        <w:keepNext/>
        <w:pBdr>
          <w:top w:val="single" w:sz="4" w:space="1" w:color="auto"/>
        </w:pBdr>
        <w:rPr>
          <w:shd w:val="clear" w:color="auto" w:fill="FFFFFF"/>
          <w:lang w:val="en-AU"/>
        </w:rPr>
      </w:pPr>
      <w:r w:rsidRPr="000C09E7">
        <w:rPr>
          <w:bCs/>
          <w:lang w:val="en-AU"/>
        </w:rPr>
        <w:t xml:space="preserve">Contributors: </w:t>
      </w:r>
      <w:r w:rsidR="0056339A" w:rsidRPr="000C09E7">
        <w:rPr>
          <w:bCs/>
          <w:lang w:val="en-AU"/>
        </w:rPr>
        <w:t>Niall Johnson</w:t>
      </w:r>
      <w:bookmarkEnd w:id="1"/>
    </w:p>
    <w:p w:rsidR="00F34D09" w:rsidRPr="000C09E7" w:rsidRDefault="00F34D09" w:rsidP="00F34D09">
      <w:pPr>
        <w:rPr>
          <w:shd w:val="clear" w:color="auto" w:fill="FFFFFF"/>
          <w:lang w:val="en-AU"/>
        </w:rPr>
      </w:pPr>
    </w:p>
    <w:p w:rsidR="00F34D09" w:rsidRPr="000C09E7" w:rsidRDefault="00F34D09" w:rsidP="00F34D09">
      <w:pPr>
        <w:rPr>
          <w:b/>
          <w:lang w:val="en-AU"/>
        </w:rPr>
      </w:pPr>
      <w:r w:rsidRPr="000C09E7">
        <w:rPr>
          <w:b/>
          <w:lang w:val="en-AU"/>
        </w:rPr>
        <w:t>Consultation on Exploring Healthcare Variation in Australia: Analyses Resulting from an OECD Study</w:t>
      </w:r>
    </w:p>
    <w:p w:rsidR="00F34D09" w:rsidRPr="000C09E7" w:rsidRDefault="00F34D09" w:rsidP="00F34D09">
      <w:pPr>
        <w:rPr>
          <w:i/>
          <w:lang w:val="en-AU"/>
        </w:rPr>
      </w:pPr>
      <w:r w:rsidRPr="000C09E7">
        <w:rPr>
          <w:i/>
          <w:lang w:val="en-AU"/>
        </w:rPr>
        <w:t>Consultation extended to 22 August 2014</w:t>
      </w:r>
    </w:p>
    <w:p w:rsidR="00F34D09" w:rsidRPr="000C09E7" w:rsidRDefault="00F34D09" w:rsidP="00F34D09">
      <w:pPr>
        <w:rPr>
          <w:lang w:val="en-AU"/>
        </w:rPr>
      </w:pPr>
    </w:p>
    <w:p w:rsidR="00F34D09" w:rsidRPr="000C09E7" w:rsidRDefault="00F34D09" w:rsidP="00F34D09">
      <w:pPr>
        <w:rPr>
          <w:lang w:val="en-AU"/>
        </w:rPr>
      </w:pPr>
      <w:r w:rsidRPr="000C09E7">
        <w:rPr>
          <w:lang w:val="en-AU"/>
        </w:rPr>
        <w:t xml:space="preserve">The Australian results of an Organisation for Economic Co-operation and Development (OECD) study on healthcare variation were published in the </w:t>
      </w:r>
      <w:r w:rsidRPr="000C09E7">
        <w:rPr>
          <w:i/>
          <w:lang w:val="en-AU"/>
        </w:rPr>
        <w:t>Exploring Healthcare Variation in Australia: Analyses Resulting from an OECD Study</w:t>
      </w:r>
      <w:r w:rsidRPr="000C09E7">
        <w:rPr>
          <w:lang w:val="en-AU"/>
        </w:rPr>
        <w:t xml:space="preserve"> discussion paper authored by the Australian Commission on Safety and Quality in Health Care (the Commission) and the Australian Institute of Health and Welfare. The paper is available at </w:t>
      </w:r>
      <w:hyperlink r:id="rId16" w:history="1">
        <w:r w:rsidRPr="000C09E7">
          <w:rPr>
            <w:rStyle w:val="Hyperlink"/>
            <w:lang w:val="en-AU"/>
          </w:rPr>
          <w:t>http://www.safetyandquality.gov.au/publications/exploring-healthcare-variation-in-australia/</w:t>
        </w:r>
      </w:hyperlink>
    </w:p>
    <w:p w:rsidR="00F34D09" w:rsidRPr="000C09E7" w:rsidRDefault="00F34D09" w:rsidP="00F34D09">
      <w:pPr>
        <w:rPr>
          <w:lang w:val="en-AU"/>
        </w:rPr>
      </w:pPr>
    </w:p>
    <w:p w:rsidR="00F34D09" w:rsidRPr="000C09E7" w:rsidRDefault="00F34D09" w:rsidP="00F34D09">
      <w:pPr>
        <w:rPr>
          <w:lang w:val="en-AU"/>
        </w:rPr>
      </w:pPr>
      <w:r w:rsidRPr="000C09E7">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w:t>
      </w:r>
      <w:r w:rsidR="008B19AF">
        <w:rPr>
          <w:lang w:val="en-AU"/>
        </w:rPr>
        <w:t>–</w:t>
      </w:r>
      <w:r w:rsidRPr="000C09E7">
        <w:rPr>
          <w:lang w:val="en-AU"/>
        </w:rPr>
        <w:t>11. Variation was measured according to the Medicare Local area where patients lived, but the approach can be applied to any desired geographic scale.</w:t>
      </w:r>
    </w:p>
    <w:p w:rsidR="00F34D09" w:rsidRPr="000C09E7" w:rsidRDefault="00F34D09" w:rsidP="00F34D09">
      <w:pPr>
        <w:rPr>
          <w:lang w:val="en-AU"/>
        </w:rPr>
      </w:pPr>
    </w:p>
    <w:p w:rsidR="00F34D09" w:rsidRPr="000C09E7" w:rsidRDefault="00F34D09" w:rsidP="00F34D09">
      <w:pPr>
        <w:rPr>
          <w:lang w:val="en-AU"/>
        </w:rPr>
      </w:pPr>
      <w:r w:rsidRPr="000C09E7">
        <w:rPr>
          <w:lang w:val="en-AU"/>
        </w:rPr>
        <w:lastRenderedPageBreak/>
        <w:t xml:space="preserve">The Commission is inviting comment and feedback on the paper. Consultation has been extended until </w:t>
      </w:r>
      <w:r w:rsidR="00904D0E" w:rsidRPr="00904D0E">
        <w:rPr>
          <w:b/>
          <w:lang w:val="en-AU"/>
        </w:rPr>
        <w:t>Friday</w:t>
      </w:r>
      <w:r w:rsidR="00904D0E">
        <w:rPr>
          <w:lang w:val="en-AU"/>
        </w:rPr>
        <w:t xml:space="preserve"> </w:t>
      </w:r>
      <w:r w:rsidRPr="00904D0E">
        <w:rPr>
          <w:b/>
          <w:lang w:val="en-AU"/>
        </w:rPr>
        <w:t>22 August 2014</w:t>
      </w:r>
      <w:r w:rsidRPr="000C09E7">
        <w:rPr>
          <w:lang w:val="en-AU"/>
        </w:rPr>
        <w:t>. Details about how to make a submission are included in the paper.</w:t>
      </w:r>
    </w:p>
    <w:p w:rsidR="00F34D09" w:rsidRPr="000C09E7" w:rsidRDefault="00F34D09" w:rsidP="00F34D09">
      <w:pPr>
        <w:rPr>
          <w:lang w:val="en-AU"/>
        </w:rPr>
      </w:pPr>
    </w:p>
    <w:p w:rsidR="00F34D09" w:rsidRPr="000C09E7" w:rsidRDefault="00F34D09" w:rsidP="00F34D09">
      <w:pPr>
        <w:rPr>
          <w:lang w:val="en-AU"/>
        </w:rPr>
      </w:pPr>
      <w:r w:rsidRPr="000C09E7">
        <w:rPr>
          <w:lang w:val="en-AU"/>
        </w:rPr>
        <w:t xml:space="preserve">The contact person for this consultation is Mr Luke Slawomirski, Program Manager, </w:t>
      </w:r>
      <w:proofErr w:type="gramStart"/>
      <w:r w:rsidRPr="000C09E7">
        <w:rPr>
          <w:lang w:val="en-AU"/>
        </w:rPr>
        <w:t>Implementation</w:t>
      </w:r>
      <w:proofErr w:type="gramEnd"/>
      <w:r w:rsidRPr="000C09E7">
        <w:rPr>
          <w:lang w:val="en-AU"/>
        </w:rPr>
        <w:t xml:space="preserve"> Support. Mr Slawomirski can be contacted on (02) 9126 3600 or via email at </w:t>
      </w:r>
      <w:hyperlink r:id="rId17" w:history="1">
        <w:r w:rsidRPr="000C09E7">
          <w:rPr>
            <w:rStyle w:val="Hyperlink"/>
            <w:lang w:val="en-AU"/>
          </w:rPr>
          <w:t>medicalpracticevariation@safetyandquality.gov.au</w:t>
        </w:r>
      </w:hyperlink>
    </w:p>
    <w:p w:rsidR="00B31C8B" w:rsidRPr="000C09E7" w:rsidRDefault="00B31C8B" w:rsidP="00B31C8B">
      <w:pPr>
        <w:rPr>
          <w:b/>
          <w:lang w:val="en-AU"/>
        </w:rPr>
      </w:pPr>
    </w:p>
    <w:p w:rsidR="006A0F4E" w:rsidRPr="000C09E7" w:rsidRDefault="006A0F4E" w:rsidP="006A0F4E">
      <w:pPr>
        <w:keepNext/>
        <w:keepLines/>
        <w:autoSpaceDE w:val="0"/>
        <w:autoSpaceDN w:val="0"/>
        <w:adjustRightInd w:val="0"/>
        <w:rPr>
          <w:i/>
          <w:lang w:val="en-AU"/>
        </w:rPr>
      </w:pPr>
    </w:p>
    <w:p w:rsidR="00C372BE" w:rsidRPr="000C09E7" w:rsidRDefault="00C372BE" w:rsidP="00F87778">
      <w:pPr>
        <w:keepNext/>
        <w:rPr>
          <w:b/>
          <w:lang w:val="en-AU"/>
        </w:rPr>
      </w:pPr>
      <w:r w:rsidRPr="000C09E7">
        <w:rPr>
          <w:b/>
          <w:lang w:val="en-AU"/>
        </w:rPr>
        <w:t>Reports</w:t>
      </w:r>
    </w:p>
    <w:p w:rsidR="00AF36C9" w:rsidRDefault="00AF36C9" w:rsidP="00385E41">
      <w:pPr>
        <w:keepNext/>
        <w:keepLines/>
        <w:autoSpaceDE w:val="0"/>
        <w:autoSpaceDN w:val="0"/>
        <w:adjustRightInd w:val="0"/>
        <w:rPr>
          <w:i/>
          <w:lang w:val="en-AU"/>
        </w:rPr>
      </w:pPr>
    </w:p>
    <w:p w:rsidR="000B6425" w:rsidRPr="000B6425" w:rsidRDefault="000B6425" w:rsidP="00385E41">
      <w:pPr>
        <w:keepNext/>
        <w:keepLines/>
        <w:autoSpaceDE w:val="0"/>
        <w:autoSpaceDN w:val="0"/>
        <w:adjustRightInd w:val="0"/>
        <w:rPr>
          <w:i/>
          <w:lang w:val="en-AU"/>
        </w:rPr>
      </w:pPr>
      <w:r w:rsidRPr="000B6425">
        <w:rPr>
          <w:i/>
          <w:lang w:val="en-AU"/>
        </w:rPr>
        <w:t>Advances in the Prevention and Control of HAIs</w:t>
      </w:r>
    </w:p>
    <w:p w:rsidR="000B6425" w:rsidRDefault="000B6425" w:rsidP="00385E41">
      <w:pPr>
        <w:keepNext/>
        <w:keepLines/>
        <w:autoSpaceDE w:val="0"/>
        <w:autoSpaceDN w:val="0"/>
        <w:adjustRightInd w:val="0"/>
        <w:rPr>
          <w:lang w:val="en-AU"/>
        </w:rPr>
      </w:pPr>
      <w:r w:rsidRPr="000B6425">
        <w:rPr>
          <w:lang w:val="en-AU"/>
        </w:rPr>
        <w:t>AHRQ Publication No 14-0003 Prepared by IMPAQ International, LLC, Columbia, MD, under contract no HHSA290200710071T</w:t>
      </w:r>
    </w:p>
    <w:p w:rsidR="00BC0F75" w:rsidRPr="000C09E7" w:rsidRDefault="000B6425" w:rsidP="00385E41">
      <w:pPr>
        <w:keepNext/>
        <w:keepLines/>
        <w:autoSpaceDE w:val="0"/>
        <w:autoSpaceDN w:val="0"/>
        <w:adjustRightInd w:val="0"/>
        <w:rPr>
          <w:lang w:val="en-AU"/>
        </w:rPr>
      </w:pPr>
      <w:r w:rsidRPr="000B6425">
        <w:rPr>
          <w:lang w:val="en-AU"/>
        </w:rPr>
        <w:t xml:space="preserve">Rockville, MD: Agency for Healthcare Research and Quality; 2014. </w:t>
      </w:r>
      <w:proofErr w:type="gramStart"/>
      <w:r w:rsidRPr="000B6425">
        <w:rPr>
          <w:lang w:val="en-AU"/>
        </w:rPr>
        <w:t>p. 252.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C0F75" w:rsidRPr="000C09E7"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0C09E7" w:rsidRDefault="00BC0F75" w:rsidP="003644B3">
            <w:pPr>
              <w:rPr>
                <w:lang w:val="en-AU"/>
              </w:rPr>
            </w:pPr>
            <w:r w:rsidRPr="000C09E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0F75" w:rsidRPr="000C09E7" w:rsidRDefault="009604B7" w:rsidP="006A71A2">
            <w:pPr>
              <w:rPr>
                <w:lang w:val="en-AU"/>
              </w:rPr>
            </w:pPr>
            <w:hyperlink r:id="rId18" w:history="1">
              <w:r w:rsidR="000B6425" w:rsidRPr="00320E46">
                <w:rPr>
                  <w:rStyle w:val="Hyperlink"/>
                  <w:lang w:val="en-AU"/>
                </w:rPr>
                <w:t>http://www.ahrq.gov/professionals/quality-patient-safety/patient-safety-resources/resources/advances-in-hai/</w:t>
              </w:r>
            </w:hyperlink>
            <w:r w:rsidR="000B6425">
              <w:rPr>
                <w:lang w:val="en-AU"/>
              </w:rPr>
              <w:t xml:space="preserve"> </w:t>
            </w:r>
          </w:p>
        </w:tc>
      </w:tr>
      <w:tr w:rsidR="000B6425" w:rsidRPr="000C09E7" w:rsidTr="003644B3">
        <w:tc>
          <w:tcPr>
            <w:tcW w:w="1080" w:type="dxa"/>
            <w:tcBorders>
              <w:top w:val="single" w:sz="4" w:space="0" w:color="auto"/>
              <w:left w:val="single" w:sz="4" w:space="0" w:color="auto"/>
              <w:bottom w:val="single" w:sz="4" w:space="0" w:color="auto"/>
              <w:right w:val="single" w:sz="4" w:space="0" w:color="auto"/>
            </w:tcBorders>
            <w:vAlign w:val="center"/>
          </w:tcPr>
          <w:p w:rsidR="000B6425" w:rsidRPr="000C09E7" w:rsidRDefault="000B6425" w:rsidP="003644B3">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0B6425" w:rsidRPr="000C09E7" w:rsidRDefault="000B6425" w:rsidP="006A71A2">
            <w:pPr>
              <w:rPr>
                <w:lang w:val="en-AU"/>
              </w:rPr>
            </w:pPr>
            <w:r>
              <w:rPr>
                <w:lang w:val="en-AU"/>
              </w:rPr>
              <w:t>D14-28253</w:t>
            </w:r>
          </w:p>
        </w:tc>
      </w:tr>
      <w:tr w:rsidR="00BC0F75" w:rsidRPr="000C09E7" w:rsidTr="003644B3">
        <w:tc>
          <w:tcPr>
            <w:tcW w:w="1080" w:type="dxa"/>
            <w:tcBorders>
              <w:top w:val="single" w:sz="4" w:space="0" w:color="auto"/>
              <w:left w:val="single" w:sz="4" w:space="0" w:color="auto"/>
              <w:bottom w:val="single" w:sz="4" w:space="0" w:color="auto"/>
              <w:right w:val="single" w:sz="4" w:space="0" w:color="auto"/>
            </w:tcBorders>
            <w:vAlign w:val="center"/>
          </w:tcPr>
          <w:p w:rsidR="00BC0F75" w:rsidRPr="000C09E7" w:rsidRDefault="00BC0F75" w:rsidP="003644B3">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6425" w:rsidRPr="000B6425" w:rsidRDefault="000B6425" w:rsidP="000B6425">
            <w:pPr>
              <w:rPr>
                <w:lang w:val="en-AU"/>
              </w:rPr>
            </w:pPr>
            <w:r>
              <w:rPr>
                <w:lang w:val="en-AU"/>
              </w:rPr>
              <w:t xml:space="preserve">The (US) </w:t>
            </w:r>
            <w:r w:rsidRPr="000B6425">
              <w:rPr>
                <w:lang w:val="en-AU"/>
              </w:rPr>
              <w:t>Agency for Healthcare Research and Quality</w:t>
            </w:r>
            <w:r>
              <w:rPr>
                <w:lang w:val="en-AU"/>
              </w:rPr>
              <w:t xml:space="preserve"> has published this report that </w:t>
            </w:r>
            <w:r w:rsidRPr="000B6425">
              <w:rPr>
                <w:lang w:val="en-AU"/>
              </w:rPr>
              <w:t xml:space="preserve">contains 19 original articles focused on the methods and implementation approaches that AHRQ-funded researchers used in their projects aimed at HAI prevention and risk identification for quality improvement. </w:t>
            </w:r>
          </w:p>
          <w:p w:rsidR="005830CB" w:rsidRDefault="000B6425" w:rsidP="000B6425">
            <w:pPr>
              <w:rPr>
                <w:lang w:val="en-AU"/>
              </w:rPr>
            </w:pPr>
            <w:r>
              <w:rPr>
                <w:lang w:val="en-AU"/>
              </w:rPr>
              <w:t xml:space="preserve">The articles </w:t>
            </w:r>
            <w:r w:rsidR="005830CB">
              <w:rPr>
                <w:lang w:val="en-AU"/>
              </w:rPr>
              <w:t xml:space="preserve">are provided in two sections: </w:t>
            </w:r>
            <w:r w:rsidR="005830CB" w:rsidRPr="005830CB">
              <w:rPr>
                <w:lang w:val="en-AU"/>
              </w:rPr>
              <w:t>Development and Implementation of HAI Prevention Practices (11 papers) and HAI Risk Identification for Quality Improvement (eight papers).</w:t>
            </w:r>
          </w:p>
          <w:p w:rsidR="000B6425" w:rsidRPr="000B6425" w:rsidRDefault="005830CB" w:rsidP="000B6425">
            <w:pPr>
              <w:rPr>
                <w:lang w:val="en-AU"/>
              </w:rPr>
            </w:pPr>
            <w:r>
              <w:rPr>
                <w:lang w:val="en-AU"/>
              </w:rPr>
              <w:t xml:space="preserve">The articles cover various topics </w:t>
            </w:r>
            <w:r w:rsidR="000B6425">
              <w:rPr>
                <w:lang w:val="en-AU"/>
              </w:rPr>
              <w:t>including:</w:t>
            </w:r>
            <w:r w:rsidR="000B6425" w:rsidRPr="000B6425">
              <w:rPr>
                <w:lang w:val="en-AU"/>
              </w:rPr>
              <w:t xml:space="preserve"> </w:t>
            </w:r>
          </w:p>
          <w:p w:rsidR="000B6425" w:rsidRPr="000B6425" w:rsidRDefault="000B6425" w:rsidP="000B6425">
            <w:pPr>
              <w:pStyle w:val="ListParagraph"/>
              <w:numPr>
                <w:ilvl w:val="0"/>
                <w:numId w:val="41"/>
              </w:numPr>
              <w:rPr>
                <w:lang w:val="en-AU"/>
              </w:rPr>
            </w:pPr>
            <w:r w:rsidRPr="000B6425">
              <w:rPr>
                <w:lang w:val="en-AU"/>
              </w:rPr>
              <w:t xml:space="preserve">Reducing cardiac and surgical site infections (SSI), including surveillance techniques </w:t>
            </w:r>
          </w:p>
          <w:p w:rsidR="000B6425" w:rsidRPr="000B6425" w:rsidRDefault="000B6425" w:rsidP="000B6425">
            <w:pPr>
              <w:pStyle w:val="ListParagraph"/>
              <w:numPr>
                <w:ilvl w:val="0"/>
                <w:numId w:val="41"/>
              </w:numPr>
              <w:rPr>
                <w:lang w:val="en-AU"/>
              </w:rPr>
            </w:pPr>
            <w:r w:rsidRPr="000B6425">
              <w:rPr>
                <w:lang w:val="en-AU"/>
              </w:rPr>
              <w:t>Overcoming staff barriers in ICUs to prevent infections</w:t>
            </w:r>
          </w:p>
          <w:p w:rsidR="000B6425" w:rsidRPr="000B6425" w:rsidRDefault="000B6425" w:rsidP="000B6425">
            <w:pPr>
              <w:pStyle w:val="ListParagraph"/>
              <w:numPr>
                <w:ilvl w:val="0"/>
                <w:numId w:val="41"/>
              </w:numPr>
              <w:rPr>
                <w:lang w:val="en-AU"/>
              </w:rPr>
            </w:pPr>
            <w:r w:rsidRPr="000B6425">
              <w:rPr>
                <w:lang w:val="en-AU"/>
              </w:rPr>
              <w:t>Decreasing antibiotic overuse in primary care</w:t>
            </w:r>
          </w:p>
          <w:p w:rsidR="000B6425" w:rsidRPr="000B6425" w:rsidRDefault="000B6425" w:rsidP="000B6425">
            <w:pPr>
              <w:pStyle w:val="ListParagraph"/>
              <w:numPr>
                <w:ilvl w:val="0"/>
                <w:numId w:val="41"/>
              </w:numPr>
              <w:rPr>
                <w:lang w:val="en-AU"/>
              </w:rPr>
            </w:pPr>
            <w:r w:rsidRPr="000B6425">
              <w:rPr>
                <w:lang w:val="en-AU"/>
              </w:rPr>
              <w:t>Reducing HAIs in dialysis centres</w:t>
            </w:r>
          </w:p>
          <w:p w:rsidR="000B6425" w:rsidRPr="000B6425" w:rsidRDefault="000B6425" w:rsidP="000B6425">
            <w:pPr>
              <w:pStyle w:val="ListParagraph"/>
              <w:numPr>
                <w:ilvl w:val="0"/>
                <w:numId w:val="41"/>
              </w:numPr>
              <w:rPr>
                <w:lang w:val="en-AU"/>
              </w:rPr>
            </w:pPr>
            <w:r w:rsidRPr="000B6425">
              <w:rPr>
                <w:lang w:val="en-AU"/>
              </w:rPr>
              <w:t>Improving antibiotic use in nursing homes</w:t>
            </w:r>
          </w:p>
          <w:p w:rsidR="000B6425" w:rsidRPr="000B6425" w:rsidRDefault="000B6425" w:rsidP="000B6425">
            <w:pPr>
              <w:pStyle w:val="ListParagraph"/>
              <w:numPr>
                <w:ilvl w:val="0"/>
                <w:numId w:val="41"/>
              </w:numPr>
              <w:rPr>
                <w:lang w:val="en-AU"/>
              </w:rPr>
            </w:pPr>
            <w:r w:rsidRPr="000B6425">
              <w:rPr>
                <w:lang w:val="en-AU"/>
              </w:rPr>
              <w:t>Developing the capacity to implement antimicrobial stewardship</w:t>
            </w:r>
          </w:p>
          <w:p w:rsidR="000B6425" w:rsidRPr="000B6425" w:rsidRDefault="000B6425" w:rsidP="000B6425">
            <w:pPr>
              <w:pStyle w:val="ListParagraph"/>
              <w:numPr>
                <w:ilvl w:val="0"/>
                <w:numId w:val="41"/>
              </w:numPr>
              <w:rPr>
                <w:lang w:val="en-AU"/>
              </w:rPr>
            </w:pPr>
            <w:r w:rsidRPr="000B6425">
              <w:rPr>
                <w:lang w:val="en-AU"/>
              </w:rPr>
              <w:t>Detecting and treating MRSA in nursing homes and the community.</w:t>
            </w:r>
          </w:p>
        </w:tc>
      </w:tr>
    </w:tbl>
    <w:p w:rsidR="00385E41" w:rsidRPr="000C09E7" w:rsidRDefault="00385E41" w:rsidP="00385E41">
      <w:pPr>
        <w:keepNext/>
        <w:keepLines/>
        <w:autoSpaceDE w:val="0"/>
        <w:autoSpaceDN w:val="0"/>
        <w:adjustRightInd w:val="0"/>
        <w:rPr>
          <w:i/>
          <w:lang w:val="en-AU"/>
        </w:rPr>
      </w:pPr>
    </w:p>
    <w:p w:rsidR="005830CB" w:rsidRDefault="005830CB" w:rsidP="005830CB">
      <w:pPr>
        <w:rPr>
          <w:rStyle w:val="Hyperlink"/>
          <w:lang w:val="en-AU"/>
        </w:rPr>
      </w:pPr>
      <w:r w:rsidRPr="000C09E7">
        <w:rPr>
          <w:lang w:val="en-AU"/>
        </w:rPr>
        <w:t>For information on the Commission’s work on</w:t>
      </w:r>
      <w:r>
        <w:rPr>
          <w:lang w:val="en-AU"/>
        </w:rPr>
        <w:t xml:space="preserve"> healthcare associated infection, see </w:t>
      </w:r>
      <w:hyperlink r:id="rId19" w:history="1">
        <w:r w:rsidRPr="008828BA">
          <w:rPr>
            <w:rStyle w:val="Hyperlink"/>
            <w:lang w:val="en-AU"/>
          </w:rPr>
          <w:t>http://www.safetyandquality.gov.au/our-work/healthcare-associated-infection/</w:t>
        </w:r>
      </w:hyperlink>
    </w:p>
    <w:p w:rsidR="00E927E6" w:rsidRPr="000C09E7" w:rsidRDefault="00E927E6" w:rsidP="00385E41">
      <w:pPr>
        <w:keepNext/>
        <w:keepLines/>
        <w:autoSpaceDE w:val="0"/>
        <w:autoSpaceDN w:val="0"/>
        <w:adjustRightInd w:val="0"/>
        <w:rPr>
          <w:i/>
          <w:lang w:val="en-AU"/>
        </w:rPr>
      </w:pPr>
    </w:p>
    <w:p w:rsidR="00A30DF9" w:rsidRPr="000C09E7" w:rsidRDefault="00254636" w:rsidP="00771468">
      <w:pPr>
        <w:keepNext/>
        <w:rPr>
          <w:b/>
          <w:lang w:val="en-AU"/>
        </w:rPr>
      </w:pPr>
      <w:r w:rsidRPr="000C09E7">
        <w:rPr>
          <w:b/>
          <w:lang w:val="en-AU"/>
        </w:rPr>
        <w:t>Journal articles</w:t>
      </w:r>
    </w:p>
    <w:p w:rsidR="00036D39" w:rsidRPr="000C09E7" w:rsidRDefault="00036D39" w:rsidP="00036D39">
      <w:pPr>
        <w:rPr>
          <w:lang w:val="en-AU"/>
        </w:rPr>
      </w:pPr>
    </w:p>
    <w:p w:rsidR="00AF36C9" w:rsidRPr="00FE06A9" w:rsidRDefault="00AF36C9" w:rsidP="00AF36C9">
      <w:pPr>
        <w:keepNext/>
        <w:keepLines/>
        <w:autoSpaceDE w:val="0"/>
        <w:autoSpaceDN w:val="0"/>
        <w:adjustRightInd w:val="0"/>
        <w:rPr>
          <w:i/>
          <w:lang w:val="en-AU"/>
        </w:rPr>
      </w:pPr>
      <w:r w:rsidRPr="00FE06A9">
        <w:rPr>
          <w:i/>
          <w:lang w:val="en-AU"/>
        </w:rPr>
        <w:t>Risk factors for retained surgical items: a meta-analysis and proposed risk stratification system</w:t>
      </w:r>
    </w:p>
    <w:p w:rsidR="00AF36C9" w:rsidRDefault="00AF36C9" w:rsidP="00AF36C9">
      <w:pPr>
        <w:keepNext/>
        <w:keepLines/>
        <w:autoSpaceDE w:val="0"/>
        <w:autoSpaceDN w:val="0"/>
        <w:adjustRightInd w:val="0"/>
        <w:rPr>
          <w:lang w:val="en-AU"/>
        </w:rPr>
      </w:pPr>
      <w:r w:rsidRPr="00FE06A9">
        <w:rPr>
          <w:lang w:val="en-AU"/>
        </w:rPr>
        <w:t>Moffatt-Bruce SD, Cook CH, Steinberg SM, Stawicki SP</w:t>
      </w:r>
    </w:p>
    <w:p w:rsidR="00AF36C9" w:rsidRPr="000C09E7" w:rsidRDefault="00AF36C9" w:rsidP="00AF36C9">
      <w:pPr>
        <w:keepNext/>
        <w:keepLines/>
        <w:autoSpaceDE w:val="0"/>
        <w:autoSpaceDN w:val="0"/>
        <w:adjustRightInd w:val="0"/>
        <w:rPr>
          <w:lang w:val="en-AU"/>
        </w:rPr>
      </w:pPr>
      <w:proofErr w:type="gramStart"/>
      <w:r w:rsidRPr="00FE06A9">
        <w:rPr>
          <w:lang w:val="en-AU"/>
        </w:rPr>
        <w:t>Journal of Surgical Research.</w:t>
      </w:r>
      <w:proofErr w:type="gramEnd"/>
      <w:r w:rsidRPr="00FE06A9">
        <w:rPr>
          <w:lang w:val="en-AU"/>
        </w:rPr>
        <w:t xml:space="preserve"> 2014</w:t>
      </w:r>
      <w:proofErr w:type="gramStart"/>
      <w:r w:rsidRPr="00FE06A9">
        <w:rPr>
          <w:lang w:val="en-AU"/>
        </w:rPr>
        <w:t>;190</w:t>
      </w:r>
      <w:proofErr w:type="gramEnd"/>
      <w:r w:rsidRPr="00FE06A9">
        <w:rPr>
          <w:lang w:val="en-AU"/>
        </w:rPr>
        <w:t>(2):429-36.</w:t>
      </w:r>
    </w:p>
    <w:tbl>
      <w:tblPr>
        <w:tblStyle w:val="TableGrid"/>
        <w:tblW w:w="0" w:type="auto"/>
        <w:tblInd w:w="288" w:type="dxa"/>
        <w:tblLayout w:type="fixed"/>
        <w:tblLook w:val="01E0" w:firstRow="1" w:lastRow="1" w:firstColumn="1" w:lastColumn="1" w:noHBand="0" w:noVBand="0"/>
      </w:tblPr>
      <w:tblGrid>
        <w:gridCol w:w="1080"/>
        <w:gridCol w:w="8280"/>
      </w:tblGrid>
      <w:tr w:rsidR="00AF36C9" w:rsidRPr="000C09E7" w:rsidTr="003F528D">
        <w:tc>
          <w:tcPr>
            <w:tcW w:w="1080" w:type="dxa"/>
            <w:tcBorders>
              <w:top w:val="single" w:sz="4" w:space="0" w:color="auto"/>
              <w:left w:val="single" w:sz="4" w:space="0" w:color="auto"/>
              <w:bottom w:val="single" w:sz="4" w:space="0" w:color="auto"/>
              <w:right w:val="single" w:sz="4" w:space="0" w:color="auto"/>
            </w:tcBorders>
            <w:vAlign w:val="center"/>
          </w:tcPr>
          <w:p w:rsidR="00AF36C9" w:rsidRPr="000C09E7" w:rsidRDefault="00AF36C9" w:rsidP="003F528D">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F36C9" w:rsidRPr="000C09E7" w:rsidRDefault="009604B7" w:rsidP="003F528D">
            <w:pPr>
              <w:rPr>
                <w:lang w:val="en-AU"/>
              </w:rPr>
            </w:pPr>
            <w:hyperlink r:id="rId20" w:history="1">
              <w:r w:rsidR="00AF36C9" w:rsidRPr="00320E46">
                <w:rPr>
                  <w:rStyle w:val="Hyperlink"/>
                  <w:lang w:val="en-AU"/>
                </w:rPr>
                <w:t>http://dx.doi.org/10.1016/j.jss.2014.05.044</w:t>
              </w:r>
            </w:hyperlink>
          </w:p>
        </w:tc>
      </w:tr>
      <w:tr w:rsidR="00AF36C9" w:rsidRPr="000C09E7" w:rsidTr="003F528D">
        <w:tc>
          <w:tcPr>
            <w:tcW w:w="1080" w:type="dxa"/>
            <w:tcBorders>
              <w:top w:val="single" w:sz="4" w:space="0" w:color="auto"/>
              <w:left w:val="single" w:sz="4" w:space="0" w:color="auto"/>
              <w:bottom w:val="single" w:sz="4" w:space="0" w:color="auto"/>
              <w:right w:val="single" w:sz="4" w:space="0" w:color="auto"/>
            </w:tcBorders>
            <w:vAlign w:val="center"/>
          </w:tcPr>
          <w:p w:rsidR="00AF36C9" w:rsidRPr="000C09E7" w:rsidRDefault="00AF36C9" w:rsidP="003F528D">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36C9" w:rsidRDefault="00AF36C9" w:rsidP="003F528D">
            <w:pPr>
              <w:rPr>
                <w:lang w:val="en-AU" w:eastAsia="en-AU"/>
              </w:rPr>
            </w:pPr>
            <w:r>
              <w:rPr>
                <w:lang w:val="en-AU" w:eastAsia="en-AU"/>
              </w:rPr>
              <w:t xml:space="preserve">Retained surgical items (RSI) are often considered sentinel or ‘never’ events. This paper reports on a meta-analysis (albeit based on a small number of studies). The authors report finding a number of </w:t>
            </w:r>
            <w:r w:rsidRPr="00126C37">
              <w:rPr>
                <w:b/>
                <w:lang w:val="en-AU" w:eastAsia="en-AU"/>
              </w:rPr>
              <w:t>factors</w:t>
            </w:r>
            <w:r>
              <w:rPr>
                <w:lang w:val="en-AU" w:eastAsia="en-AU"/>
              </w:rPr>
              <w:t xml:space="preserve"> that were </w:t>
            </w:r>
            <w:r w:rsidRPr="00126C37">
              <w:rPr>
                <w:b/>
                <w:lang w:val="en-AU" w:eastAsia="en-AU"/>
              </w:rPr>
              <w:t>associated</w:t>
            </w:r>
            <w:r>
              <w:rPr>
                <w:lang w:val="en-AU" w:eastAsia="en-AU"/>
              </w:rPr>
              <w:t xml:space="preserve"> with </w:t>
            </w:r>
            <w:r w:rsidRPr="00126C37">
              <w:rPr>
                <w:b/>
                <w:lang w:val="en-AU" w:eastAsia="en-AU"/>
              </w:rPr>
              <w:t>increased risk</w:t>
            </w:r>
            <w:r>
              <w:rPr>
                <w:lang w:val="en-AU" w:eastAsia="en-AU"/>
              </w:rPr>
              <w:t xml:space="preserve"> of RSI: </w:t>
            </w:r>
            <w:r w:rsidRPr="00126C37">
              <w:rPr>
                <w:b/>
                <w:lang w:val="en-AU" w:eastAsia="en-AU"/>
              </w:rPr>
              <w:t>intraoperative blood loss</w:t>
            </w:r>
            <w:r w:rsidRPr="00BF565F">
              <w:rPr>
                <w:lang w:val="en-AU" w:eastAsia="en-AU"/>
              </w:rPr>
              <w:t xml:space="preserve"> &gt;500 mL (odds ratio [OR] 1.6); </w:t>
            </w:r>
            <w:r w:rsidRPr="00126C37">
              <w:rPr>
                <w:b/>
                <w:lang w:val="en-AU" w:eastAsia="en-AU"/>
              </w:rPr>
              <w:t>duration</w:t>
            </w:r>
            <w:r w:rsidRPr="00BF565F">
              <w:rPr>
                <w:lang w:val="en-AU" w:eastAsia="en-AU"/>
              </w:rPr>
              <w:t xml:space="preserve"> of operation (OR 1.7); </w:t>
            </w:r>
            <w:r w:rsidRPr="00126C37">
              <w:rPr>
                <w:b/>
                <w:lang w:val="en-AU" w:eastAsia="en-AU"/>
              </w:rPr>
              <w:t>&gt;1 sub-procedure</w:t>
            </w:r>
            <w:r w:rsidRPr="00BF565F">
              <w:rPr>
                <w:lang w:val="en-AU" w:eastAsia="en-AU"/>
              </w:rPr>
              <w:t xml:space="preserve"> (OR 2.1); </w:t>
            </w:r>
            <w:r w:rsidRPr="00126C37">
              <w:rPr>
                <w:b/>
                <w:lang w:val="en-AU" w:eastAsia="en-AU"/>
              </w:rPr>
              <w:t>lack of surgical counts</w:t>
            </w:r>
            <w:r w:rsidRPr="00BF565F">
              <w:rPr>
                <w:lang w:val="en-AU" w:eastAsia="en-AU"/>
              </w:rPr>
              <w:t xml:space="preserve"> (OR 2.5); </w:t>
            </w:r>
            <w:r w:rsidRPr="00126C37">
              <w:rPr>
                <w:b/>
                <w:lang w:val="en-AU" w:eastAsia="en-AU"/>
              </w:rPr>
              <w:t>&gt;1 surgical team</w:t>
            </w:r>
            <w:r w:rsidRPr="00BF565F">
              <w:rPr>
                <w:lang w:val="en-AU" w:eastAsia="en-AU"/>
              </w:rPr>
              <w:t xml:space="preserve"> (OR 3.0); </w:t>
            </w:r>
            <w:r w:rsidRPr="00126C37">
              <w:rPr>
                <w:b/>
                <w:lang w:val="en-AU" w:eastAsia="en-AU"/>
              </w:rPr>
              <w:t>unexpected intraoperative factors</w:t>
            </w:r>
            <w:r w:rsidRPr="00BF565F">
              <w:rPr>
                <w:lang w:val="en-AU" w:eastAsia="en-AU"/>
              </w:rPr>
              <w:t xml:space="preserve"> (OR 3.4); and </w:t>
            </w:r>
            <w:r w:rsidRPr="00126C37">
              <w:rPr>
                <w:b/>
                <w:lang w:val="en-AU" w:eastAsia="en-AU"/>
              </w:rPr>
              <w:t>incorrect surgical count</w:t>
            </w:r>
            <w:r w:rsidRPr="00BF565F">
              <w:rPr>
                <w:lang w:val="en-AU" w:eastAsia="en-AU"/>
              </w:rPr>
              <w:t xml:space="preserve"> (OR 6.1).</w:t>
            </w:r>
          </w:p>
          <w:p w:rsidR="00AF36C9" w:rsidRPr="000C09E7" w:rsidRDefault="00AF36C9" w:rsidP="003F528D">
            <w:pPr>
              <w:rPr>
                <w:lang w:val="en-AU" w:eastAsia="en-AU"/>
              </w:rPr>
            </w:pPr>
            <w:r>
              <w:rPr>
                <w:lang w:val="en-AU" w:eastAsia="en-AU"/>
              </w:rPr>
              <w:lastRenderedPageBreak/>
              <w:t>They also report that c</w:t>
            </w:r>
            <w:r w:rsidRPr="00FE06A9">
              <w:rPr>
                <w:lang w:val="en-AU" w:eastAsia="en-AU"/>
              </w:rPr>
              <w:t>hanges in nursing staff, emergency surgery, body-mass index, and operation “afterhours” were not significantly associated with increased RSI risk.</w:t>
            </w:r>
          </w:p>
        </w:tc>
      </w:tr>
    </w:tbl>
    <w:p w:rsidR="00AF36C9" w:rsidRPr="000C09E7" w:rsidRDefault="00AF36C9" w:rsidP="00AF36C9">
      <w:pPr>
        <w:rPr>
          <w:lang w:val="en-AU"/>
        </w:rPr>
      </w:pPr>
    </w:p>
    <w:p w:rsidR="00854D01" w:rsidRPr="00854D01" w:rsidRDefault="00854D01" w:rsidP="00854D01">
      <w:pPr>
        <w:keepNext/>
        <w:keepLines/>
        <w:autoSpaceDE w:val="0"/>
        <w:autoSpaceDN w:val="0"/>
        <w:adjustRightInd w:val="0"/>
        <w:rPr>
          <w:i/>
          <w:lang w:val="en-AU"/>
        </w:rPr>
      </w:pPr>
      <w:r w:rsidRPr="00854D01">
        <w:rPr>
          <w:i/>
          <w:lang w:val="en-AU"/>
        </w:rPr>
        <w:t>Identifying high-risk medication: a systematic literature review</w:t>
      </w:r>
    </w:p>
    <w:p w:rsidR="00854D01" w:rsidRDefault="00854D01" w:rsidP="00036D39">
      <w:pPr>
        <w:keepNext/>
        <w:keepLines/>
        <w:autoSpaceDE w:val="0"/>
        <w:autoSpaceDN w:val="0"/>
        <w:adjustRightInd w:val="0"/>
        <w:rPr>
          <w:lang w:val="en-AU"/>
        </w:rPr>
      </w:pPr>
      <w:r w:rsidRPr="00854D01">
        <w:rPr>
          <w:lang w:val="en-AU"/>
        </w:rPr>
        <w:t>Saedder E, Brock B, Nielsen L, Bonnerup D, Lisby M</w:t>
      </w:r>
    </w:p>
    <w:p w:rsidR="00036D39" w:rsidRPr="000C09E7" w:rsidRDefault="00854D01" w:rsidP="00036D39">
      <w:pPr>
        <w:keepNext/>
        <w:keepLines/>
        <w:autoSpaceDE w:val="0"/>
        <w:autoSpaceDN w:val="0"/>
        <w:adjustRightInd w:val="0"/>
        <w:rPr>
          <w:lang w:val="en-AU"/>
        </w:rPr>
      </w:pPr>
      <w:proofErr w:type="gramStart"/>
      <w:r w:rsidRPr="00854D01">
        <w:rPr>
          <w:lang w:val="en-AU"/>
        </w:rPr>
        <w:t>European Journal of Clinical Pharmacology.</w:t>
      </w:r>
      <w:proofErr w:type="gramEnd"/>
      <w:r w:rsidRPr="00854D01">
        <w:rPr>
          <w:lang w:val="en-AU"/>
        </w:rPr>
        <w:t xml:space="preserve"> 2014 2014/06/01</w:t>
      </w:r>
      <w:proofErr w:type="gramStart"/>
      <w:r w:rsidRPr="00854D01">
        <w:rPr>
          <w:lang w:val="en-AU"/>
        </w:rPr>
        <w:t>;70</w:t>
      </w:r>
      <w:proofErr w:type="gramEnd"/>
      <w:r w:rsidRPr="00854D01">
        <w:rPr>
          <w:lang w:val="en-AU"/>
        </w:rPr>
        <w:t>(6):637-45.</w:t>
      </w:r>
    </w:p>
    <w:tbl>
      <w:tblPr>
        <w:tblStyle w:val="TableGrid"/>
        <w:tblW w:w="0" w:type="auto"/>
        <w:tblInd w:w="288" w:type="dxa"/>
        <w:tblLayout w:type="fixed"/>
        <w:tblLook w:val="01E0" w:firstRow="1" w:lastRow="1" w:firstColumn="1" w:lastColumn="1" w:noHBand="0" w:noVBand="0"/>
      </w:tblPr>
      <w:tblGrid>
        <w:gridCol w:w="1080"/>
        <w:gridCol w:w="8280"/>
      </w:tblGrid>
      <w:tr w:rsidR="00036D39" w:rsidRPr="000C09E7" w:rsidTr="00F03C97">
        <w:tc>
          <w:tcPr>
            <w:tcW w:w="1080" w:type="dxa"/>
            <w:tcBorders>
              <w:top w:val="single" w:sz="4" w:space="0" w:color="auto"/>
              <w:left w:val="single" w:sz="4" w:space="0" w:color="auto"/>
              <w:bottom w:val="single" w:sz="4" w:space="0" w:color="auto"/>
              <w:right w:val="single" w:sz="4" w:space="0" w:color="auto"/>
            </w:tcBorders>
            <w:vAlign w:val="center"/>
          </w:tcPr>
          <w:p w:rsidR="00036D39" w:rsidRPr="000C09E7" w:rsidRDefault="00036D39" w:rsidP="00F03C97">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36D39" w:rsidRPr="000C09E7" w:rsidRDefault="009604B7" w:rsidP="00854D01">
            <w:pPr>
              <w:rPr>
                <w:lang w:val="en-AU"/>
              </w:rPr>
            </w:pPr>
            <w:hyperlink r:id="rId21" w:history="1">
              <w:r w:rsidR="00854D01" w:rsidRPr="00320E46">
                <w:rPr>
                  <w:rStyle w:val="Hyperlink"/>
                  <w:lang w:val="en-AU"/>
                </w:rPr>
                <w:t>http://dx.doi.org/10.1007/s00228-014-1668-z</w:t>
              </w:r>
            </w:hyperlink>
          </w:p>
        </w:tc>
      </w:tr>
      <w:tr w:rsidR="00036D39" w:rsidRPr="000C09E7" w:rsidTr="00F03C97">
        <w:tc>
          <w:tcPr>
            <w:tcW w:w="1080" w:type="dxa"/>
            <w:tcBorders>
              <w:top w:val="single" w:sz="4" w:space="0" w:color="auto"/>
              <w:left w:val="single" w:sz="4" w:space="0" w:color="auto"/>
              <w:bottom w:val="single" w:sz="4" w:space="0" w:color="auto"/>
              <w:right w:val="single" w:sz="4" w:space="0" w:color="auto"/>
            </w:tcBorders>
            <w:vAlign w:val="center"/>
          </w:tcPr>
          <w:p w:rsidR="00036D39" w:rsidRPr="000C09E7" w:rsidRDefault="00036D39" w:rsidP="00F03C97">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96B7B" w:rsidRDefault="00696B7B" w:rsidP="00696B7B">
            <w:pPr>
              <w:rPr>
                <w:lang w:val="en-AU" w:eastAsia="en-AU"/>
              </w:rPr>
            </w:pPr>
            <w:r>
              <w:rPr>
                <w:lang w:val="en-AU" w:eastAsia="en-AU"/>
              </w:rPr>
              <w:t xml:space="preserve">This systematic review of the literature on medication errors (augmented by analyses of Danish </w:t>
            </w:r>
            <w:r w:rsidRPr="00696B7B">
              <w:rPr>
                <w:lang w:val="en-AU" w:eastAsia="en-AU"/>
              </w:rPr>
              <w:t>patient complaints, patient compensation, and reported medication errors</w:t>
            </w:r>
            <w:r>
              <w:rPr>
                <w:lang w:val="en-AU" w:eastAsia="en-AU"/>
              </w:rPr>
              <w:t xml:space="preserve"> datasets) reports that the authors found </w:t>
            </w:r>
            <w:r w:rsidRPr="00696B7B">
              <w:rPr>
                <w:b/>
                <w:lang w:val="en-AU" w:eastAsia="en-AU"/>
              </w:rPr>
              <w:t>seven drugs or classes</w:t>
            </w:r>
            <w:r>
              <w:rPr>
                <w:lang w:val="en-AU" w:eastAsia="en-AU"/>
              </w:rPr>
              <w:t xml:space="preserve"> of medication </w:t>
            </w:r>
            <w:r w:rsidRPr="00696B7B">
              <w:rPr>
                <w:b/>
                <w:lang w:val="en-AU" w:eastAsia="en-AU"/>
              </w:rPr>
              <w:t>accounted for</w:t>
            </w:r>
            <w:r>
              <w:rPr>
                <w:lang w:val="en-AU" w:eastAsia="en-AU"/>
              </w:rPr>
              <w:t xml:space="preserve"> almost half (</w:t>
            </w:r>
            <w:r w:rsidRPr="00696B7B">
              <w:rPr>
                <w:b/>
                <w:lang w:val="en-AU" w:eastAsia="en-AU"/>
              </w:rPr>
              <w:t>47%</w:t>
            </w:r>
            <w:r>
              <w:rPr>
                <w:lang w:val="en-AU" w:eastAsia="en-AU"/>
              </w:rPr>
              <w:t xml:space="preserve">) of the </w:t>
            </w:r>
            <w:r w:rsidRPr="00696B7B">
              <w:rPr>
                <w:b/>
                <w:lang w:val="en-AU" w:eastAsia="en-AU"/>
              </w:rPr>
              <w:t>serious errors</w:t>
            </w:r>
            <w:r>
              <w:rPr>
                <w:lang w:val="en-AU" w:eastAsia="en-AU"/>
              </w:rPr>
              <w:t xml:space="preserve">. The seven identified were </w:t>
            </w:r>
            <w:r w:rsidRPr="00696B7B">
              <w:rPr>
                <w:b/>
                <w:lang w:val="en-AU" w:eastAsia="en-AU"/>
              </w:rPr>
              <w:t>methotrexate</w:t>
            </w:r>
            <w:r w:rsidRPr="00696B7B">
              <w:rPr>
                <w:lang w:val="en-AU" w:eastAsia="en-AU"/>
              </w:rPr>
              <w:t xml:space="preserve">, </w:t>
            </w:r>
            <w:r w:rsidRPr="00696B7B">
              <w:rPr>
                <w:b/>
                <w:lang w:val="en-AU" w:eastAsia="en-AU"/>
              </w:rPr>
              <w:t>warfarin</w:t>
            </w:r>
            <w:r w:rsidRPr="00696B7B">
              <w:rPr>
                <w:lang w:val="en-AU" w:eastAsia="en-AU"/>
              </w:rPr>
              <w:t>, nonsteroidal anti-inflammatory drugs (</w:t>
            </w:r>
            <w:r w:rsidRPr="00696B7B">
              <w:rPr>
                <w:b/>
                <w:lang w:val="en-AU" w:eastAsia="en-AU"/>
              </w:rPr>
              <w:t>NSAIDS</w:t>
            </w:r>
            <w:r w:rsidRPr="00696B7B">
              <w:rPr>
                <w:lang w:val="en-AU" w:eastAsia="en-AU"/>
              </w:rPr>
              <w:t xml:space="preserve">), </w:t>
            </w:r>
            <w:r w:rsidRPr="00696B7B">
              <w:rPr>
                <w:b/>
                <w:lang w:val="en-AU" w:eastAsia="en-AU"/>
              </w:rPr>
              <w:t>digoxin</w:t>
            </w:r>
            <w:r w:rsidRPr="00696B7B">
              <w:rPr>
                <w:lang w:val="en-AU" w:eastAsia="en-AU"/>
              </w:rPr>
              <w:t xml:space="preserve">, </w:t>
            </w:r>
            <w:r w:rsidRPr="00696B7B">
              <w:rPr>
                <w:b/>
                <w:lang w:val="en-AU" w:eastAsia="en-AU"/>
              </w:rPr>
              <w:t>opioids</w:t>
            </w:r>
            <w:r w:rsidRPr="00696B7B">
              <w:rPr>
                <w:lang w:val="en-AU" w:eastAsia="en-AU"/>
              </w:rPr>
              <w:t xml:space="preserve">, </w:t>
            </w:r>
            <w:r w:rsidRPr="00696B7B">
              <w:rPr>
                <w:b/>
                <w:lang w:val="en-AU" w:eastAsia="en-AU"/>
              </w:rPr>
              <w:t>acetylic salicylic acid</w:t>
            </w:r>
            <w:r w:rsidRPr="00696B7B">
              <w:rPr>
                <w:lang w:val="en-AU" w:eastAsia="en-AU"/>
              </w:rPr>
              <w:t xml:space="preserve">, and </w:t>
            </w:r>
            <w:r w:rsidRPr="00696B7B">
              <w:rPr>
                <w:b/>
                <w:lang w:val="en-AU" w:eastAsia="en-AU"/>
              </w:rPr>
              <w:t>beta-blockers</w:t>
            </w:r>
            <w:r>
              <w:rPr>
                <w:lang w:val="en-AU" w:eastAsia="en-AU"/>
              </w:rPr>
              <w:t xml:space="preserve">. It was also noted that </w:t>
            </w:r>
            <w:r w:rsidRPr="00696B7B">
              <w:rPr>
                <w:lang w:val="en-AU" w:eastAsia="en-AU"/>
              </w:rPr>
              <w:t xml:space="preserve">30 drugs or drug classes caused 82 % of all serious </w:t>
            </w:r>
            <w:r>
              <w:rPr>
                <w:lang w:val="en-AU" w:eastAsia="en-AU"/>
              </w:rPr>
              <w:t>medication error</w:t>
            </w:r>
            <w:r w:rsidRPr="00696B7B">
              <w:rPr>
                <w:lang w:val="en-AU" w:eastAsia="en-AU"/>
              </w:rPr>
              <w:t>s</w:t>
            </w:r>
            <w:r>
              <w:rPr>
                <w:lang w:val="en-AU" w:eastAsia="en-AU"/>
              </w:rPr>
              <w:t xml:space="preserve"> and that th</w:t>
            </w:r>
            <w:r w:rsidRPr="00696B7B">
              <w:rPr>
                <w:lang w:val="en-AU" w:eastAsia="en-AU"/>
              </w:rPr>
              <w:t>e top ten drugs involved in fatal events accounted for 73 % of all drugs identified.</w:t>
            </w:r>
          </w:p>
          <w:p w:rsidR="00696B7B" w:rsidRPr="000C09E7" w:rsidRDefault="00696B7B" w:rsidP="00696B7B">
            <w:pPr>
              <w:rPr>
                <w:lang w:val="en-AU" w:eastAsia="en-AU"/>
              </w:rPr>
            </w:pPr>
            <w:r>
              <w:rPr>
                <w:lang w:val="en-AU" w:eastAsia="en-AU"/>
              </w:rPr>
              <w:t xml:space="preserve">The authors suggest that by focusing efforts on the </w:t>
            </w:r>
            <w:r w:rsidRPr="00696B7B">
              <w:rPr>
                <w:lang w:val="en-AU" w:eastAsia="en-AU"/>
              </w:rPr>
              <w:t xml:space="preserve">seven drugs/drug classes </w:t>
            </w:r>
            <w:r>
              <w:rPr>
                <w:lang w:val="en-AU" w:eastAsia="en-AU"/>
              </w:rPr>
              <w:t>“</w:t>
            </w:r>
            <w:r w:rsidRPr="00696B7B">
              <w:rPr>
                <w:lang w:val="en-AU" w:eastAsia="en-AU"/>
              </w:rPr>
              <w:t>can potentially reduce hospitalizations, extended hospitalizations, disability, life-threatening conditions, and death by almost 50 %</w:t>
            </w:r>
            <w:r>
              <w:rPr>
                <w:lang w:val="en-AU" w:eastAsia="en-AU"/>
              </w:rPr>
              <w:t>”</w:t>
            </w:r>
            <w:r w:rsidRPr="00696B7B">
              <w:rPr>
                <w:lang w:val="en-AU" w:eastAsia="en-AU"/>
              </w:rPr>
              <w:t>.</w:t>
            </w:r>
          </w:p>
        </w:tc>
      </w:tr>
    </w:tbl>
    <w:p w:rsidR="00036D39" w:rsidRDefault="00036D39" w:rsidP="00036D39">
      <w:pPr>
        <w:rPr>
          <w:lang w:val="en-AU"/>
        </w:rPr>
      </w:pPr>
    </w:p>
    <w:p w:rsidR="00563647" w:rsidRDefault="00563647" w:rsidP="00563647">
      <w:pPr>
        <w:rPr>
          <w:lang w:val="en-AU"/>
        </w:rPr>
      </w:pPr>
      <w:r w:rsidRPr="000C09E7">
        <w:rPr>
          <w:lang w:val="en-AU"/>
        </w:rPr>
        <w:t>For information on the Commission’s work on</w:t>
      </w:r>
      <w:r>
        <w:rPr>
          <w:lang w:val="en-AU"/>
        </w:rPr>
        <w:t xml:space="preserve"> medication safety, see </w:t>
      </w:r>
      <w:hyperlink r:id="rId22" w:history="1">
        <w:r w:rsidRPr="005D5A1A">
          <w:rPr>
            <w:rStyle w:val="Hyperlink"/>
            <w:lang w:val="en-AU"/>
          </w:rPr>
          <w:t>www.safetyandquality.gov.au/our-work/medication-safety/</w:t>
        </w:r>
      </w:hyperlink>
      <w:r>
        <w:rPr>
          <w:lang w:val="en-AU"/>
        </w:rPr>
        <w:t xml:space="preserve"> </w:t>
      </w:r>
    </w:p>
    <w:p w:rsidR="00563647" w:rsidRPr="000C09E7" w:rsidRDefault="00563647" w:rsidP="00036D39">
      <w:pPr>
        <w:rPr>
          <w:lang w:val="en-AU"/>
        </w:rPr>
      </w:pPr>
    </w:p>
    <w:p w:rsidR="00AC2A39" w:rsidRPr="00AC2A39" w:rsidRDefault="00AC2A39" w:rsidP="00AC2A39">
      <w:pPr>
        <w:keepNext/>
        <w:keepLines/>
        <w:autoSpaceDE w:val="0"/>
        <w:autoSpaceDN w:val="0"/>
        <w:adjustRightInd w:val="0"/>
        <w:rPr>
          <w:i/>
          <w:lang w:val="en-AU"/>
        </w:rPr>
      </w:pPr>
      <w:r w:rsidRPr="00AC2A39">
        <w:rPr>
          <w:i/>
          <w:lang w:val="en-AU"/>
        </w:rPr>
        <w:t>Decreasing Handoff-Related Care Failures in Children’s Hospitals</w:t>
      </w:r>
    </w:p>
    <w:p w:rsidR="00AC2A39" w:rsidRDefault="00AC2A39" w:rsidP="00D61E57">
      <w:pPr>
        <w:keepNext/>
        <w:keepLines/>
        <w:autoSpaceDE w:val="0"/>
        <w:autoSpaceDN w:val="0"/>
        <w:adjustRightInd w:val="0"/>
        <w:rPr>
          <w:lang w:val="en-AU"/>
        </w:rPr>
      </w:pPr>
      <w:r w:rsidRPr="00AC2A39">
        <w:rPr>
          <w:lang w:val="en-AU"/>
        </w:rPr>
        <w:t>Bigham MT, Logsdon TR, Manicone PE, Landrigan CP, Hayes LW, Randall KH, et al</w:t>
      </w:r>
    </w:p>
    <w:p w:rsidR="00D61E57" w:rsidRPr="000C09E7" w:rsidRDefault="00AC2A39" w:rsidP="00D61E57">
      <w:pPr>
        <w:keepNext/>
        <w:keepLines/>
        <w:autoSpaceDE w:val="0"/>
        <w:autoSpaceDN w:val="0"/>
        <w:adjustRightInd w:val="0"/>
        <w:rPr>
          <w:lang w:val="en-AU"/>
        </w:rPr>
      </w:pPr>
      <w:proofErr w:type="gramStart"/>
      <w:r w:rsidRPr="00AC2A39">
        <w:rPr>
          <w:lang w:val="en-AU"/>
        </w:rPr>
        <w:t>Pediatrics.</w:t>
      </w:r>
      <w:proofErr w:type="gramEnd"/>
      <w:r w:rsidRPr="00AC2A39">
        <w:rPr>
          <w:lang w:val="en-AU"/>
        </w:rPr>
        <w:t xml:space="preserve"> 2014 August 1, 2014</w:t>
      </w:r>
      <w:proofErr w:type="gramStart"/>
      <w:r w:rsidRPr="00AC2A39">
        <w:rPr>
          <w:lang w:val="en-AU"/>
        </w:rPr>
        <w:t>;134</w:t>
      </w:r>
      <w:proofErr w:type="gramEnd"/>
      <w:r w:rsidRPr="00AC2A39">
        <w:rPr>
          <w:lang w:val="en-AU"/>
        </w:rPr>
        <w:t>(2):e572-e9.</w:t>
      </w:r>
    </w:p>
    <w:tbl>
      <w:tblPr>
        <w:tblStyle w:val="TableGrid"/>
        <w:tblW w:w="0" w:type="auto"/>
        <w:tblInd w:w="288" w:type="dxa"/>
        <w:tblLayout w:type="fixed"/>
        <w:tblLook w:val="01E0" w:firstRow="1" w:lastRow="1" w:firstColumn="1" w:lastColumn="1" w:noHBand="0" w:noVBand="0"/>
      </w:tblPr>
      <w:tblGrid>
        <w:gridCol w:w="1080"/>
        <w:gridCol w:w="8280"/>
      </w:tblGrid>
      <w:tr w:rsidR="00D61E57" w:rsidRPr="000C09E7" w:rsidTr="002B21D4">
        <w:tc>
          <w:tcPr>
            <w:tcW w:w="1080" w:type="dxa"/>
            <w:tcBorders>
              <w:top w:val="single" w:sz="4" w:space="0" w:color="auto"/>
              <w:left w:val="single" w:sz="4" w:space="0" w:color="auto"/>
              <w:bottom w:val="single" w:sz="4" w:space="0" w:color="auto"/>
              <w:right w:val="single" w:sz="4" w:space="0" w:color="auto"/>
            </w:tcBorders>
            <w:vAlign w:val="center"/>
          </w:tcPr>
          <w:p w:rsidR="00D61E57" w:rsidRPr="000C09E7" w:rsidRDefault="00D61E57" w:rsidP="002B21D4">
            <w:pPr>
              <w:rPr>
                <w:lang w:val="en-AU"/>
              </w:rPr>
            </w:pPr>
            <w:r w:rsidRPr="000C09E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61E57" w:rsidRPr="000C09E7" w:rsidRDefault="009604B7" w:rsidP="002B21D4">
            <w:pPr>
              <w:rPr>
                <w:lang w:val="en-AU"/>
              </w:rPr>
            </w:pPr>
            <w:hyperlink r:id="rId23" w:history="1">
              <w:r w:rsidR="00AC2A39" w:rsidRPr="00320E46">
                <w:rPr>
                  <w:rStyle w:val="Hyperlink"/>
                  <w:lang w:val="en-AU"/>
                </w:rPr>
                <w:t>http://dx.doi.org/10.1542/peds.2013-1844</w:t>
              </w:r>
            </w:hyperlink>
            <w:r w:rsidR="00AC2A39">
              <w:rPr>
                <w:lang w:val="en-AU"/>
              </w:rPr>
              <w:t xml:space="preserve"> </w:t>
            </w:r>
          </w:p>
        </w:tc>
      </w:tr>
      <w:tr w:rsidR="00D61E57" w:rsidRPr="000C09E7" w:rsidTr="002B21D4">
        <w:tc>
          <w:tcPr>
            <w:tcW w:w="1080" w:type="dxa"/>
            <w:tcBorders>
              <w:top w:val="single" w:sz="4" w:space="0" w:color="auto"/>
              <w:left w:val="single" w:sz="4" w:space="0" w:color="auto"/>
              <w:bottom w:val="single" w:sz="4" w:space="0" w:color="auto"/>
              <w:right w:val="single" w:sz="4" w:space="0" w:color="auto"/>
            </w:tcBorders>
            <w:vAlign w:val="center"/>
          </w:tcPr>
          <w:p w:rsidR="00D61E57" w:rsidRPr="000C09E7" w:rsidRDefault="00D61E57" w:rsidP="002B21D4">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61E57" w:rsidRPr="000C09E7" w:rsidRDefault="00AC2A39" w:rsidP="00AC2A39">
            <w:pPr>
              <w:rPr>
                <w:lang w:val="en-AU" w:eastAsia="en-AU"/>
              </w:rPr>
            </w:pPr>
            <w:r>
              <w:rPr>
                <w:lang w:val="en-AU" w:eastAsia="en-AU"/>
              </w:rPr>
              <w:t>In many of the efforts to improved handover (or handoff) the use of some form of standardised tool (or even of ‘flexible standardisation’) has been quite common. This paper describes how a standardis</w:t>
            </w:r>
            <w:r w:rsidRPr="00AC2A39">
              <w:rPr>
                <w:lang w:val="en-AU" w:eastAsia="en-AU"/>
              </w:rPr>
              <w:t xml:space="preserve">ed handoff process </w:t>
            </w:r>
            <w:r>
              <w:rPr>
                <w:lang w:val="en-AU" w:eastAsia="en-AU"/>
              </w:rPr>
              <w:t xml:space="preserve">was implemented </w:t>
            </w:r>
            <w:r w:rsidRPr="00AC2A39">
              <w:rPr>
                <w:lang w:val="en-AU" w:eastAsia="en-AU"/>
              </w:rPr>
              <w:t>across 23 children’s hospita</w:t>
            </w:r>
            <w:r>
              <w:rPr>
                <w:lang w:val="en-AU" w:eastAsia="en-AU"/>
              </w:rPr>
              <w:t>ls. Using evidence-based recommendations on aspects such as intent and content, standardis</w:t>
            </w:r>
            <w:r w:rsidRPr="00AC2A39">
              <w:rPr>
                <w:lang w:val="en-AU" w:eastAsia="en-AU"/>
              </w:rPr>
              <w:t>ed tools/methods, and clear transition of responsibility</w:t>
            </w:r>
            <w:r>
              <w:rPr>
                <w:lang w:val="en-AU" w:eastAsia="en-AU"/>
              </w:rPr>
              <w:t xml:space="preserve"> and then allowing the hospitals to tailor the processes and tools to local context led to improvements in handovers. The authors report “</w:t>
            </w:r>
            <w:r w:rsidRPr="00AC2A39">
              <w:rPr>
                <w:lang w:val="en-AU" w:eastAsia="en-AU"/>
              </w:rPr>
              <w:t>a significant decrease in handoff-related care failures, observed over all handoff types. Compliance to critical components of the handoff process improved, as did provider satisfaction.</w:t>
            </w:r>
            <w:r>
              <w:rPr>
                <w:lang w:val="en-AU" w:eastAsia="en-AU"/>
              </w:rPr>
              <w:t>”</w:t>
            </w:r>
          </w:p>
        </w:tc>
      </w:tr>
    </w:tbl>
    <w:p w:rsidR="00D61E57" w:rsidRPr="000C09E7" w:rsidRDefault="00D61E57" w:rsidP="00D61E57">
      <w:pPr>
        <w:rPr>
          <w:lang w:val="en-AU"/>
        </w:rPr>
      </w:pPr>
    </w:p>
    <w:p w:rsidR="00D61E57" w:rsidRDefault="00AC2A39" w:rsidP="00D61E57">
      <w:pPr>
        <w:keepNext/>
        <w:keepLines/>
        <w:autoSpaceDE w:val="0"/>
        <w:autoSpaceDN w:val="0"/>
        <w:adjustRightInd w:val="0"/>
        <w:rPr>
          <w:lang w:val="en-AU"/>
        </w:rPr>
      </w:pPr>
      <w:r w:rsidRPr="000C09E7">
        <w:rPr>
          <w:lang w:val="en-AU"/>
        </w:rPr>
        <w:t>For information on the Commission’s work on</w:t>
      </w:r>
      <w:r>
        <w:rPr>
          <w:lang w:val="en-AU"/>
        </w:rPr>
        <w:t xml:space="preserve"> clinical communications, including clinical handover, see </w:t>
      </w:r>
      <w:hyperlink r:id="rId24" w:history="1">
        <w:r w:rsidRPr="00320E46">
          <w:rPr>
            <w:rStyle w:val="Hyperlink"/>
            <w:lang w:val="en-AU"/>
          </w:rPr>
          <w:t>http://www.safetyandquality.gov.au/our-work/clinical-communications/</w:t>
        </w:r>
      </w:hyperlink>
    </w:p>
    <w:p w:rsidR="003D4A84" w:rsidRDefault="003D4A84" w:rsidP="00F16288">
      <w:pPr>
        <w:keepNext/>
        <w:rPr>
          <w:i/>
          <w:lang w:val="en-AU"/>
        </w:rPr>
      </w:pPr>
    </w:p>
    <w:p w:rsidR="00F16288" w:rsidRPr="0091691E" w:rsidRDefault="00F16288" w:rsidP="00F16288">
      <w:pPr>
        <w:keepNext/>
        <w:rPr>
          <w:i/>
          <w:lang w:val="en-AU"/>
        </w:rPr>
      </w:pPr>
      <w:r w:rsidRPr="0091691E">
        <w:rPr>
          <w:i/>
          <w:lang w:val="en-AU"/>
        </w:rPr>
        <w:t>BMJ Quality and Safety</w:t>
      </w:r>
    </w:p>
    <w:p w:rsidR="00F16288" w:rsidRPr="0091691E" w:rsidRDefault="00F16288" w:rsidP="00F16288">
      <w:pPr>
        <w:keepNext/>
        <w:rPr>
          <w:lang w:val="en-AU"/>
        </w:rPr>
      </w:pPr>
      <w:r>
        <w:rPr>
          <w:lang w:val="en-AU"/>
        </w:rPr>
        <w:t xml:space="preserve">September 2014, </w:t>
      </w:r>
      <w:r w:rsidR="00123096">
        <w:rPr>
          <w:lang w:val="en-AU"/>
        </w:rPr>
        <w:t>Vol.</w:t>
      </w:r>
      <w:r>
        <w:rPr>
          <w:lang w:val="en-AU"/>
        </w:rPr>
        <w:t xml:space="preserve"> 23, Issue 9</w:t>
      </w:r>
    </w:p>
    <w:tbl>
      <w:tblPr>
        <w:tblStyle w:val="TableGrid"/>
        <w:tblW w:w="9360" w:type="dxa"/>
        <w:tblInd w:w="288" w:type="dxa"/>
        <w:tblLayout w:type="fixed"/>
        <w:tblLook w:val="04A0" w:firstRow="1" w:lastRow="0" w:firstColumn="1" w:lastColumn="0" w:noHBand="0" w:noVBand="1"/>
      </w:tblPr>
      <w:tblGrid>
        <w:gridCol w:w="1080"/>
        <w:gridCol w:w="8280"/>
      </w:tblGrid>
      <w:tr w:rsidR="00F16288" w:rsidRPr="0091691E" w:rsidTr="0032286B">
        <w:tc>
          <w:tcPr>
            <w:tcW w:w="1080" w:type="dxa"/>
          </w:tcPr>
          <w:p w:rsidR="00F16288" w:rsidRPr="0091691E" w:rsidRDefault="00F16288" w:rsidP="0032286B">
            <w:pPr>
              <w:rPr>
                <w:lang w:val="en-AU"/>
              </w:rPr>
            </w:pPr>
            <w:r w:rsidRPr="0091691E">
              <w:rPr>
                <w:lang w:val="en-AU"/>
              </w:rPr>
              <w:t>URL</w:t>
            </w:r>
          </w:p>
        </w:tc>
        <w:tc>
          <w:tcPr>
            <w:tcW w:w="8280" w:type="dxa"/>
          </w:tcPr>
          <w:p w:rsidR="00F16288" w:rsidRPr="0091691E" w:rsidRDefault="009604B7" w:rsidP="00F16288">
            <w:pPr>
              <w:keepNext/>
              <w:rPr>
                <w:lang w:val="en-AU"/>
              </w:rPr>
            </w:pPr>
            <w:hyperlink r:id="rId25" w:history="1">
              <w:r w:rsidR="00F16288" w:rsidRPr="00320E46">
                <w:rPr>
                  <w:rStyle w:val="Hyperlink"/>
                  <w:lang w:val="en-AU"/>
                </w:rPr>
                <w:t>http://qualitysafety.bmj.com/content/23/9</w:t>
              </w:r>
            </w:hyperlink>
          </w:p>
        </w:tc>
      </w:tr>
      <w:tr w:rsidR="00F16288" w:rsidRPr="0091691E" w:rsidTr="0032286B">
        <w:tblPrEx>
          <w:tblLook w:val="01E0" w:firstRow="1" w:lastRow="1" w:firstColumn="1" w:lastColumn="1" w:noHBand="0" w:noVBand="0"/>
        </w:tblPrEx>
        <w:tc>
          <w:tcPr>
            <w:tcW w:w="1080" w:type="dxa"/>
            <w:vAlign w:val="center"/>
          </w:tcPr>
          <w:p w:rsidR="00F16288" w:rsidRPr="0091691E" w:rsidRDefault="00F16288" w:rsidP="0032286B">
            <w:pPr>
              <w:rPr>
                <w:lang w:val="en-AU"/>
              </w:rPr>
            </w:pPr>
            <w:r w:rsidRPr="0091691E">
              <w:rPr>
                <w:lang w:val="en-AU"/>
              </w:rPr>
              <w:t>Notes</w:t>
            </w:r>
          </w:p>
        </w:tc>
        <w:tc>
          <w:tcPr>
            <w:tcW w:w="8280" w:type="dxa"/>
            <w:vAlign w:val="center"/>
          </w:tcPr>
          <w:p w:rsidR="00F16288" w:rsidRPr="0091691E" w:rsidRDefault="00F16288" w:rsidP="0032286B">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F16288" w:rsidRPr="00F16288" w:rsidRDefault="00F16288" w:rsidP="00F16288">
            <w:pPr>
              <w:numPr>
                <w:ilvl w:val="0"/>
                <w:numId w:val="25"/>
              </w:numPr>
              <w:rPr>
                <w:lang w:val="en-AU"/>
              </w:rPr>
            </w:pPr>
            <w:r w:rsidRPr="00F16288">
              <w:rPr>
                <w:lang w:val="en-AU"/>
              </w:rPr>
              <w:t xml:space="preserve">Editorial: Simpson's paradox: how </w:t>
            </w:r>
            <w:r w:rsidRPr="00F16288">
              <w:rPr>
                <w:b/>
                <w:lang w:val="en-AU"/>
              </w:rPr>
              <w:t>performance measurement</w:t>
            </w:r>
            <w:r w:rsidRPr="00F16288">
              <w:rPr>
                <w:lang w:val="en-AU"/>
              </w:rPr>
              <w:t xml:space="preserve"> can fail even with perfect risk adjustment (Perla J Marang-van de Mheen, Kaveh G Shojania</w:t>
            </w:r>
            <w:r>
              <w:rPr>
                <w:lang w:val="en-AU"/>
              </w:rPr>
              <w:t>)</w:t>
            </w:r>
          </w:p>
          <w:p w:rsidR="00F16288" w:rsidRPr="00F16288" w:rsidRDefault="00F16288" w:rsidP="00F16288">
            <w:pPr>
              <w:numPr>
                <w:ilvl w:val="0"/>
                <w:numId w:val="25"/>
              </w:numPr>
              <w:rPr>
                <w:lang w:val="en-AU"/>
              </w:rPr>
            </w:pPr>
            <w:r w:rsidRPr="00F16288">
              <w:rPr>
                <w:lang w:val="en-AU"/>
              </w:rPr>
              <w:lastRenderedPageBreak/>
              <w:t xml:space="preserve">Editorial: After Mid Staffordshire: </w:t>
            </w:r>
            <w:r w:rsidRPr="00F16288">
              <w:rPr>
                <w:b/>
                <w:lang w:val="en-AU"/>
              </w:rPr>
              <w:t>from acknowledgement, through learning, to improvement</w:t>
            </w:r>
            <w:r w:rsidRPr="00F16288">
              <w:rPr>
                <w:lang w:val="en-AU"/>
              </w:rPr>
              <w:t xml:space="preserve"> (Graham P Martin, Mary Dixon-Woods</w:t>
            </w:r>
            <w:r>
              <w:rPr>
                <w:lang w:val="en-AU"/>
              </w:rPr>
              <w:t>)</w:t>
            </w:r>
          </w:p>
          <w:p w:rsidR="00F16288" w:rsidRPr="00F16288" w:rsidRDefault="00F16288" w:rsidP="00F16288">
            <w:pPr>
              <w:numPr>
                <w:ilvl w:val="0"/>
                <w:numId w:val="25"/>
              </w:numPr>
              <w:rPr>
                <w:lang w:val="en-AU"/>
              </w:rPr>
            </w:pPr>
            <w:r w:rsidRPr="00F16288">
              <w:rPr>
                <w:b/>
                <w:lang w:val="en-AU"/>
              </w:rPr>
              <w:t>Deafening silence?</w:t>
            </w:r>
            <w:r w:rsidRPr="00F16288">
              <w:rPr>
                <w:lang w:val="en-AU"/>
              </w:rPr>
              <w:t xml:space="preserve"> Time to reconsider whether organisations are silent or deaf when things go wrong (Aled Jones, Daniel Kelly</w:t>
            </w:r>
            <w:r>
              <w:rPr>
                <w:lang w:val="en-AU"/>
              </w:rPr>
              <w:t>)</w:t>
            </w:r>
          </w:p>
          <w:p w:rsidR="00F16288" w:rsidRPr="00F16288" w:rsidRDefault="00F16288" w:rsidP="00F16288">
            <w:pPr>
              <w:numPr>
                <w:ilvl w:val="0"/>
                <w:numId w:val="25"/>
              </w:numPr>
              <w:rPr>
                <w:lang w:val="en-AU"/>
              </w:rPr>
            </w:pPr>
            <w:r w:rsidRPr="00F16288">
              <w:rPr>
                <w:b/>
                <w:lang w:val="en-AU"/>
              </w:rPr>
              <w:t>‘Between the flags’</w:t>
            </w:r>
            <w:r w:rsidRPr="00F16288">
              <w:rPr>
                <w:lang w:val="en-AU"/>
              </w:rPr>
              <w:t xml:space="preserve">: implementing a </w:t>
            </w:r>
            <w:r w:rsidRPr="00F16288">
              <w:rPr>
                <w:b/>
                <w:lang w:val="en-AU"/>
              </w:rPr>
              <w:t>rapid response system</w:t>
            </w:r>
            <w:r w:rsidRPr="00F16288">
              <w:rPr>
                <w:lang w:val="en-AU"/>
              </w:rPr>
              <w:t xml:space="preserve"> at scale (Clifford Hughes, Charles Pain, Jeffrey Braithwaite, Kenneth Hillman</w:t>
            </w:r>
            <w:r>
              <w:rPr>
                <w:lang w:val="en-AU"/>
              </w:rPr>
              <w:t>)</w:t>
            </w:r>
          </w:p>
          <w:p w:rsidR="00F16288" w:rsidRPr="00F16288" w:rsidRDefault="00F16288" w:rsidP="00F16288">
            <w:pPr>
              <w:numPr>
                <w:ilvl w:val="0"/>
                <w:numId w:val="25"/>
              </w:numPr>
              <w:rPr>
                <w:lang w:val="en-AU"/>
              </w:rPr>
            </w:pPr>
            <w:r w:rsidRPr="00F16288">
              <w:rPr>
                <w:lang w:val="en-AU"/>
              </w:rPr>
              <w:t xml:space="preserve">Validation of a </w:t>
            </w:r>
            <w:r w:rsidRPr="00F16288">
              <w:rPr>
                <w:b/>
                <w:lang w:val="en-AU"/>
              </w:rPr>
              <w:t>teamwork perceptions</w:t>
            </w:r>
            <w:r w:rsidRPr="00F16288">
              <w:rPr>
                <w:lang w:val="en-AU"/>
              </w:rPr>
              <w:t xml:space="preserve"> measure to increase </w:t>
            </w:r>
            <w:r w:rsidRPr="00F16288">
              <w:rPr>
                <w:b/>
                <w:lang w:val="en-AU"/>
              </w:rPr>
              <w:t>patient safety</w:t>
            </w:r>
            <w:r w:rsidRPr="00F16288">
              <w:rPr>
                <w:lang w:val="en-AU"/>
              </w:rPr>
              <w:t xml:space="preserve"> (Joseph R Keebler, Aaron S Dietz, Elizabeth H Lazzara, Lauren E Benishek, Sandra A Almeida, Phyllis A Toor, Heidi B King, Eduardo Salas</w:t>
            </w:r>
            <w:r>
              <w:rPr>
                <w:lang w:val="en-AU"/>
              </w:rPr>
              <w:t>)</w:t>
            </w:r>
          </w:p>
          <w:p w:rsidR="00F16288" w:rsidRPr="00F16288" w:rsidRDefault="00F16288" w:rsidP="00F16288">
            <w:pPr>
              <w:numPr>
                <w:ilvl w:val="0"/>
                <w:numId w:val="25"/>
              </w:numPr>
              <w:rPr>
                <w:lang w:val="en-AU"/>
              </w:rPr>
            </w:pPr>
            <w:r w:rsidRPr="00F16288">
              <w:rPr>
                <w:lang w:val="en-AU"/>
              </w:rPr>
              <w:t xml:space="preserve">The frequency of </w:t>
            </w:r>
            <w:r w:rsidRPr="00F16288">
              <w:rPr>
                <w:b/>
                <w:lang w:val="en-AU"/>
              </w:rPr>
              <w:t>diagnostic errors in outpatient care</w:t>
            </w:r>
            <w:r w:rsidRPr="00F16288">
              <w:rPr>
                <w:lang w:val="en-AU"/>
              </w:rPr>
              <w:t>: estimations from three large observational studies involving US adult populations (Hardeep Singh, Ashley N D Meyer, Eric J Thomas</w:t>
            </w:r>
            <w:r>
              <w:rPr>
                <w:lang w:val="en-AU"/>
              </w:rPr>
              <w:t>)</w:t>
            </w:r>
          </w:p>
          <w:p w:rsidR="00F16288" w:rsidRPr="00F16288" w:rsidRDefault="00F16288" w:rsidP="00F16288">
            <w:pPr>
              <w:numPr>
                <w:ilvl w:val="0"/>
                <w:numId w:val="25"/>
              </w:numPr>
              <w:rPr>
                <w:lang w:val="en-AU"/>
              </w:rPr>
            </w:pPr>
            <w:r w:rsidRPr="00F16288">
              <w:rPr>
                <w:lang w:val="en-AU"/>
              </w:rPr>
              <w:t xml:space="preserve">A multicentre cohort study assessing </w:t>
            </w:r>
            <w:r w:rsidRPr="00F16288">
              <w:rPr>
                <w:b/>
                <w:lang w:val="en-AU"/>
              </w:rPr>
              <w:t>day of week effect and outcome</w:t>
            </w:r>
            <w:r w:rsidRPr="00F16288">
              <w:rPr>
                <w:lang w:val="en-AU"/>
              </w:rPr>
              <w:t xml:space="preserve"> from emergency appendicectomy (Henry JM Ferguson, Nigel J Hall, Aneel Bhangu</w:t>
            </w:r>
            <w:r>
              <w:rPr>
                <w:lang w:val="en-AU"/>
              </w:rPr>
              <w:t>)</w:t>
            </w:r>
          </w:p>
          <w:p w:rsidR="00F16288" w:rsidRPr="00F16288" w:rsidRDefault="00F16288" w:rsidP="00F16288">
            <w:pPr>
              <w:numPr>
                <w:ilvl w:val="0"/>
                <w:numId w:val="25"/>
              </w:numPr>
              <w:rPr>
                <w:lang w:val="en-AU"/>
              </w:rPr>
            </w:pPr>
            <w:r w:rsidRPr="00F16288">
              <w:rPr>
                <w:lang w:val="en-AU"/>
              </w:rPr>
              <w:t xml:space="preserve">Contribution of </w:t>
            </w:r>
            <w:r w:rsidRPr="00F16288">
              <w:rPr>
                <w:b/>
                <w:lang w:val="en-AU"/>
              </w:rPr>
              <w:t>hospital mortality variations</w:t>
            </w:r>
            <w:r w:rsidRPr="00F16288">
              <w:rPr>
                <w:lang w:val="en-AU"/>
              </w:rPr>
              <w:t xml:space="preserve"> to </w:t>
            </w:r>
            <w:r w:rsidRPr="00F16288">
              <w:rPr>
                <w:b/>
                <w:lang w:val="en-AU"/>
              </w:rPr>
              <w:t>socioeconomic disparities</w:t>
            </w:r>
            <w:r w:rsidRPr="00F16288">
              <w:rPr>
                <w:lang w:val="en-AU"/>
              </w:rPr>
              <w:t xml:space="preserve"> in in-hospital mortality (Yoon Kim, Juhwan Oh, Ashish Jha</w:t>
            </w:r>
            <w:r>
              <w:rPr>
                <w:lang w:val="en-AU"/>
              </w:rPr>
              <w:t>)</w:t>
            </w:r>
          </w:p>
          <w:p w:rsidR="00F16288" w:rsidRPr="00F16288" w:rsidRDefault="00F16288" w:rsidP="00F16288">
            <w:pPr>
              <w:numPr>
                <w:ilvl w:val="0"/>
                <w:numId w:val="25"/>
              </w:numPr>
              <w:rPr>
                <w:lang w:val="en-AU"/>
              </w:rPr>
            </w:pPr>
            <w:r w:rsidRPr="00F16288">
              <w:rPr>
                <w:lang w:val="en-AU"/>
              </w:rPr>
              <w:t xml:space="preserve">Dissemination of a simulation-based mastery learning intervention reduces </w:t>
            </w:r>
            <w:r w:rsidRPr="00F16288">
              <w:rPr>
                <w:b/>
                <w:lang w:val="en-AU"/>
              </w:rPr>
              <w:t>central line-associated bloodstream infections</w:t>
            </w:r>
            <w:r w:rsidRPr="00F16288">
              <w:rPr>
                <w:lang w:val="en-AU"/>
              </w:rPr>
              <w:t xml:space="preserve"> (Jeffrey H Barsuk, Elaine R Cohen, Steven Potts, Hany Demo, Shanu Gupta, Joe Feinglass, William C McGaghie, Diane B Wayne</w:t>
            </w:r>
            <w:r>
              <w:rPr>
                <w:lang w:val="en-AU"/>
              </w:rPr>
              <w:t>)</w:t>
            </w:r>
          </w:p>
          <w:p w:rsidR="00F16288" w:rsidRPr="00F16288" w:rsidRDefault="00F16288" w:rsidP="00F16288">
            <w:pPr>
              <w:numPr>
                <w:ilvl w:val="0"/>
                <w:numId w:val="25"/>
              </w:numPr>
              <w:rPr>
                <w:lang w:val="en-AU"/>
              </w:rPr>
            </w:pPr>
            <w:r w:rsidRPr="00F16288">
              <w:rPr>
                <w:lang w:val="en-AU"/>
              </w:rPr>
              <w:t xml:space="preserve">An observational study: associations between </w:t>
            </w:r>
            <w:r w:rsidRPr="00F16288">
              <w:rPr>
                <w:b/>
                <w:lang w:val="en-AU"/>
              </w:rPr>
              <w:t>nurse-reported hospital characteristics</w:t>
            </w:r>
            <w:r w:rsidRPr="00F16288">
              <w:rPr>
                <w:lang w:val="en-AU"/>
              </w:rPr>
              <w:t xml:space="preserve"> and estimated </w:t>
            </w:r>
            <w:r w:rsidRPr="00F16288">
              <w:rPr>
                <w:b/>
                <w:lang w:val="en-AU"/>
              </w:rPr>
              <w:t>30-day survival</w:t>
            </w:r>
            <w:r w:rsidRPr="00F16288">
              <w:rPr>
                <w:lang w:val="en-AU"/>
              </w:rPr>
              <w:t xml:space="preserve"> probabilities (Christine Tvedt, Ingeborg Strømseng Sjetne, Jon Helgeland, Geir Bukholm</w:t>
            </w:r>
            <w:r>
              <w:rPr>
                <w:lang w:val="en-AU"/>
              </w:rPr>
              <w:t>)</w:t>
            </w:r>
          </w:p>
          <w:p w:rsidR="00F16288" w:rsidRPr="00F16288" w:rsidRDefault="00F16288" w:rsidP="00F16288">
            <w:pPr>
              <w:numPr>
                <w:ilvl w:val="0"/>
                <w:numId w:val="25"/>
              </w:numPr>
              <w:rPr>
                <w:lang w:val="en-AU"/>
              </w:rPr>
            </w:pPr>
            <w:r w:rsidRPr="00F16288">
              <w:rPr>
                <w:lang w:val="en-AU"/>
              </w:rPr>
              <w:t xml:space="preserve">Identifying </w:t>
            </w:r>
            <w:r w:rsidRPr="00F16288">
              <w:rPr>
                <w:b/>
                <w:lang w:val="en-AU"/>
              </w:rPr>
              <w:t>systems failures</w:t>
            </w:r>
            <w:r w:rsidRPr="00F16288">
              <w:rPr>
                <w:lang w:val="en-AU"/>
              </w:rPr>
              <w:t xml:space="preserve"> in the pathway to a catastrophic event: an analysis of national incident report data relating to </w:t>
            </w:r>
            <w:r w:rsidRPr="00F16288">
              <w:rPr>
                <w:b/>
                <w:lang w:val="en-AU"/>
              </w:rPr>
              <w:t>vinca alkaloids</w:t>
            </w:r>
            <w:r w:rsidRPr="00F16288">
              <w:rPr>
                <w:lang w:val="en-AU"/>
              </w:rPr>
              <w:t xml:space="preserve"> (Bryony Dean Franklin, Sukhmeet S Panesar, Charles Vincent, Liam J Donaldson</w:t>
            </w:r>
            <w:r>
              <w:rPr>
                <w:lang w:val="en-AU"/>
              </w:rPr>
              <w:t>)</w:t>
            </w:r>
          </w:p>
          <w:p w:rsidR="00F16288" w:rsidRPr="00F16288" w:rsidRDefault="00F16288" w:rsidP="00F16288">
            <w:pPr>
              <w:numPr>
                <w:ilvl w:val="0"/>
                <w:numId w:val="25"/>
              </w:numPr>
              <w:rPr>
                <w:lang w:val="en-AU"/>
              </w:rPr>
            </w:pPr>
            <w:r w:rsidRPr="00F16288">
              <w:rPr>
                <w:b/>
                <w:lang w:val="en-AU"/>
              </w:rPr>
              <w:t>Computerised provider order entry</w:t>
            </w:r>
            <w:r w:rsidRPr="00F16288">
              <w:rPr>
                <w:lang w:val="en-AU"/>
              </w:rPr>
              <w:t xml:space="preserve"> combined with </w:t>
            </w:r>
            <w:r w:rsidRPr="00F16288">
              <w:rPr>
                <w:b/>
                <w:lang w:val="en-AU"/>
              </w:rPr>
              <w:t>clinical decision support</w:t>
            </w:r>
            <w:r w:rsidRPr="00F16288">
              <w:rPr>
                <w:lang w:val="en-AU"/>
              </w:rPr>
              <w:t xml:space="preserve"> systems to improve </w:t>
            </w:r>
            <w:r w:rsidRPr="00F16288">
              <w:rPr>
                <w:b/>
                <w:lang w:val="en-AU"/>
              </w:rPr>
              <w:t>medication safety</w:t>
            </w:r>
            <w:r w:rsidRPr="00F16288">
              <w:rPr>
                <w:lang w:val="en-AU"/>
              </w:rPr>
              <w:t>: a narrative review (Sumant R Ranji, Stephanie Rennke, Robert M Wachter</w:t>
            </w:r>
            <w:r>
              <w:rPr>
                <w:lang w:val="en-AU"/>
              </w:rPr>
              <w:t>)</w:t>
            </w:r>
          </w:p>
          <w:p w:rsidR="00F16288" w:rsidRPr="0091691E" w:rsidRDefault="00F16288" w:rsidP="00F16288">
            <w:pPr>
              <w:numPr>
                <w:ilvl w:val="0"/>
                <w:numId w:val="25"/>
              </w:numPr>
              <w:rPr>
                <w:lang w:val="en-AU"/>
              </w:rPr>
            </w:pPr>
            <w:r w:rsidRPr="00F16288">
              <w:rPr>
                <w:lang w:val="en-AU"/>
              </w:rPr>
              <w:t xml:space="preserve">Differences in case-mix can influence the comparison of </w:t>
            </w:r>
            <w:r w:rsidRPr="00F16288">
              <w:rPr>
                <w:b/>
                <w:lang w:val="en-AU"/>
              </w:rPr>
              <w:t>standardised mortality ratios</w:t>
            </w:r>
            <w:r w:rsidRPr="00F16288">
              <w:rPr>
                <w:lang w:val="en-AU"/>
              </w:rPr>
              <w:t xml:space="preserve"> even with optimal risk adjustment: an analysis of data from paediatric intensive care </w:t>
            </w:r>
            <w:r>
              <w:rPr>
                <w:lang w:val="en-AU"/>
              </w:rPr>
              <w:t>(</w:t>
            </w:r>
            <w:r w:rsidRPr="00F16288">
              <w:rPr>
                <w:lang w:val="en-AU"/>
              </w:rPr>
              <w:t>Bradley N Manktelow, T Alun Evans, Elizabeth S Draper</w:t>
            </w:r>
            <w:r>
              <w:rPr>
                <w:lang w:val="en-AU"/>
              </w:rPr>
              <w:t>)</w:t>
            </w:r>
          </w:p>
        </w:tc>
      </w:tr>
    </w:tbl>
    <w:p w:rsidR="00F16288" w:rsidRDefault="00F16288" w:rsidP="00A8443B">
      <w:pPr>
        <w:rPr>
          <w:lang w:val="en-AU"/>
        </w:rPr>
      </w:pPr>
    </w:p>
    <w:p w:rsidR="003D4A84" w:rsidRDefault="003D4A84" w:rsidP="00A8443B">
      <w:pPr>
        <w:rPr>
          <w:lang w:val="en-AU"/>
        </w:rPr>
      </w:pPr>
    </w:p>
    <w:p w:rsidR="00F36B17" w:rsidRPr="00737BFB" w:rsidRDefault="00F36B17" w:rsidP="00F36B17">
      <w:pPr>
        <w:rPr>
          <w:i/>
          <w:lang w:val="en-AU"/>
        </w:rPr>
      </w:pPr>
      <w:r w:rsidRPr="00737BFB">
        <w:rPr>
          <w:i/>
          <w:lang w:val="en-AU"/>
        </w:rPr>
        <w:t>International Journal for Quality in Health Care</w:t>
      </w:r>
    </w:p>
    <w:p w:rsidR="00F36B17" w:rsidRPr="00737BFB" w:rsidRDefault="00F36B17" w:rsidP="00F36B17">
      <w:pPr>
        <w:keepNext/>
        <w:autoSpaceDE w:val="0"/>
        <w:autoSpaceDN w:val="0"/>
        <w:adjustRightInd w:val="0"/>
        <w:rPr>
          <w:lang w:val="en-AU"/>
        </w:rPr>
      </w:pPr>
      <w:r>
        <w:rPr>
          <w:lang w:val="en-AU"/>
        </w:rPr>
        <w:t>Vol. 26, No. 4, August 2014</w:t>
      </w:r>
    </w:p>
    <w:tbl>
      <w:tblPr>
        <w:tblStyle w:val="TableGrid"/>
        <w:tblW w:w="0" w:type="auto"/>
        <w:tblInd w:w="288" w:type="dxa"/>
        <w:tblLayout w:type="fixed"/>
        <w:tblLook w:val="01E0" w:firstRow="1" w:lastRow="1" w:firstColumn="1" w:lastColumn="1" w:noHBand="0" w:noVBand="0"/>
      </w:tblPr>
      <w:tblGrid>
        <w:gridCol w:w="1080"/>
        <w:gridCol w:w="8280"/>
      </w:tblGrid>
      <w:tr w:rsidR="00F36B17" w:rsidRPr="00737BFB" w:rsidTr="002B21D4">
        <w:tc>
          <w:tcPr>
            <w:tcW w:w="1080" w:type="dxa"/>
            <w:tcBorders>
              <w:top w:val="single" w:sz="4" w:space="0" w:color="auto"/>
              <w:left w:val="single" w:sz="4" w:space="0" w:color="auto"/>
              <w:bottom w:val="single" w:sz="4" w:space="0" w:color="auto"/>
              <w:right w:val="single" w:sz="4" w:space="0" w:color="auto"/>
            </w:tcBorders>
            <w:vAlign w:val="center"/>
          </w:tcPr>
          <w:p w:rsidR="00F36B17" w:rsidRPr="00737BFB" w:rsidRDefault="00F36B17" w:rsidP="002B21D4">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6B17" w:rsidRPr="00737BFB" w:rsidRDefault="009604B7" w:rsidP="00F36B17">
            <w:pPr>
              <w:rPr>
                <w:lang w:val="en-AU"/>
              </w:rPr>
            </w:pPr>
            <w:hyperlink r:id="rId26" w:history="1">
              <w:r w:rsidR="00F36B17" w:rsidRPr="00767417">
                <w:rPr>
                  <w:rStyle w:val="Hyperlink"/>
                  <w:lang w:val="en-AU"/>
                </w:rPr>
                <w:t>http://intqhc.oxfordjournals.org/content/26/4?etoc</w:t>
              </w:r>
            </w:hyperlink>
          </w:p>
        </w:tc>
      </w:tr>
      <w:tr w:rsidR="00F36B17" w:rsidRPr="00737BFB" w:rsidTr="002B21D4">
        <w:tc>
          <w:tcPr>
            <w:tcW w:w="1080" w:type="dxa"/>
            <w:tcBorders>
              <w:top w:val="single" w:sz="4" w:space="0" w:color="auto"/>
              <w:left w:val="single" w:sz="4" w:space="0" w:color="auto"/>
              <w:bottom w:val="single" w:sz="4" w:space="0" w:color="auto"/>
              <w:right w:val="single" w:sz="4" w:space="0" w:color="auto"/>
            </w:tcBorders>
            <w:vAlign w:val="center"/>
          </w:tcPr>
          <w:p w:rsidR="00F36B17" w:rsidRPr="00737BFB" w:rsidRDefault="00F36B17" w:rsidP="002B21D4">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6B17" w:rsidRDefault="00F36B17" w:rsidP="002B21D4">
            <w:pPr>
              <w:rPr>
                <w:lang w:val="en-AU"/>
              </w:rPr>
            </w:pPr>
            <w:r>
              <w:rPr>
                <w:lang w:val="en-AU"/>
              </w:rPr>
              <w:t xml:space="preserve">A new issue of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On the Radar (when they released online). Articles in this issue of </w:t>
            </w:r>
            <w:r w:rsidRPr="00737BFB">
              <w:rPr>
                <w:i/>
                <w:lang w:val="en-AU"/>
              </w:rPr>
              <w:t>International Journal for Quality in Health Care</w:t>
            </w:r>
            <w:r>
              <w:rPr>
                <w:lang w:val="en-AU"/>
              </w:rPr>
              <w:t xml:space="preserve"> include:</w:t>
            </w:r>
          </w:p>
          <w:p w:rsidR="00F36B17" w:rsidRPr="00F36B17" w:rsidRDefault="00F36B17" w:rsidP="00F36B17">
            <w:pPr>
              <w:pStyle w:val="ListParagraph"/>
              <w:numPr>
                <w:ilvl w:val="0"/>
                <w:numId w:val="22"/>
              </w:numPr>
              <w:rPr>
                <w:lang w:val="en-AU"/>
              </w:rPr>
            </w:pPr>
            <w:r w:rsidRPr="00F36B17">
              <w:rPr>
                <w:lang w:val="en-AU"/>
              </w:rPr>
              <w:t xml:space="preserve">Editor's choice: </w:t>
            </w:r>
            <w:r w:rsidRPr="000C0693">
              <w:rPr>
                <w:b/>
                <w:lang w:val="en-AU"/>
              </w:rPr>
              <w:t>Patient care transitions</w:t>
            </w:r>
            <w:r w:rsidRPr="00F36B17">
              <w:rPr>
                <w:lang w:val="en-AU"/>
              </w:rPr>
              <w:t xml:space="preserve"> from the emergency department to the medicine ward: evaluation of a </w:t>
            </w:r>
            <w:r w:rsidRPr="000C0693">
              <w:rPr>
                <w:b/>
                <w:lang w:val="en-AU"/>
              </w:rPr>
              <w:t>standardized electronic signout tool</w:t>
            </w:r>
            <w:r w:rsidRPr="00F36B17">
              <w:rPr>
                <w:lang w:val="en-AU"/>
              </w:rPr>
              <w:t xml:space="preserve"> (Jed D Gonzalo, Julius J Yang, Heather L Stuckey, Christopher M Fischer, Leon D Sanchez, and Shoshana J Herzig</w:t>
            </w:r>
          </w:p>
          <w:p w:rsidR="00F36B17" w:rsidRPr="000C0693" w:rsidRDefault="00F36B17" w:rsidP="00F36B17">
            <w:pPr>
              <w:pStyle w:val="ListParagraph"/>
              <w:numPr>
                <w:ilvl w:val="0"/>
                <w:numId w:val="22"/>
              </w:numPr>
              <w:rPr>
                <w:lang w:val="en-AU"/>
              </w:rPr>
            </w:pPr>
            <w:r w:rsidRPr="000C0693">
              <w:rPr>
                <w:lang w:val="en-AU"/>
              </w:rPr>
              <w:t xml:space="preserve">Assessing the </w:t>
            </w:r>
            <w:r w:rsidRPr="000C0693">
              <w:rPr>
                <w:b/>
                <w:lang w:val="en-AU"/>
              </w:rPr>
              <w:t>role of regulatory bodies</w:t>
            </w:r>
            <w:r w:rsidRPr="000C0693">
              <w:rPr>
                <w:lang w:val="en-AU"/>
              </w:rPr>
              <w:t xml:space="preserve"> in managing health professional issues and errors in Europe</w:t>
            </w:r>
            <w:r w:rsidR="000C0693" w:rsidRPr="000C0693">
              <w:rPr>
                <w:lang w:val="en-AU"/>
              </w:rPr>
              <w:t xml:space="preserve"> (</w:t>
            </w:r>
            <w:r w:rsidRPr="000C0693">
              <w:rPr>
                <w:lang w:val="en-AU"/>
              </w:rPr>
              <w:t>Isabelle Risso-Gill, H Legido-Quigley, D Panteli, and M Mckee</w:t>
            </w:r>
            <w:r w:rsidR="000C0693">
              <w:rPr>
                <w:lang w:val="en-AU"/>
              </w:rPr>
              <w:t>)</w:t>
            </w:r>
          </w:p>
          <w:p w:rsidR="00F36B17" w:rsidRPr="000C0693" w:rsidRDefault="00F36B17" w:rsidP="00F36B17">
            <w:pPr>
              <w:pStyle w:val="ListParagraph"/>
              <w:numPr>
                <w:ilvl w:val="0"/>
                <w:numId w:val="22"/>
              </w:numPr>
              <w:rPr>
                <w:lang w:val="en-AU"/>
              </w:rPr>
            </w:pPr>
            <w:r w:rsidRPr="000C0693">
              <w:rPr>
                <w:lang w:val="en-AU"/>
              </w:rPr>
              <w:lastRenderedPageBreak/>
              <w:t xml:space="preserve">Feasibility and evaluation of a pilot community health worker intervention to </w:t>
            </w:r>
            <w:r w:rsidRPr="000C0693">
              <w:rPr>
                <w:b/>
                <w:lang w:val="en-AU"/>
              </w:rPr>
              <w:t>reduce hospital readmissions</w:t>
            </w:r>
            <w:r w:rsidR="000C0693" w:rsidRPr="000C0693">
              <w:rPr>
                <w:lang w:val="en-AU"/>
              </w:rPr>
              <w:t xml:space="preserve"> (</w:t>
            </w:r>
            <w:r w:rsidRPr="000C0693">
              <w:rPr>
                <w:lang w:val="en-AU"/>
              </w:rPr>
              <w:t>Marguerite E Burns, Alison A Galbraith, Dennis Ross-Degnan, and Richard</w:t>
            </w:r>
            <w:r w:rsidR="000C0693" w:rsidRPr="000C0693">
              <w:rPr>
                <w:lang w:val="en-AU"/>
              </w:rPr>
              <w:t xml:space="preserve"> </w:t>
            </w:r>
            <w:r w:rsidRPr="000C0693">
              <w:rPr>
                <w:lang w:val="en-AU"/>
              </w:rPr>
              <w:t>B. Balaban</w:t>
            </w:r>
            <w:r w:rsidR="000C0693">
              <w:rPr>
                <w:lang w:val="en-AU"/>
              </w:rPr>
              <w:t>)</w:t>
            </w:r>
          </w:p>
          <w:p w:rsidR="00F36B17" w:rsidRPr="000C0693" w:rsidRDefault="00F36B17" w:rsidP="00F36B17">
            <w:pPr>
              <w:pStyle w:val="ListParagraph"/>
              <w:numPr>
                <w:ilvl w:val="0"/>
                <w:numId w:val="22"/>
              </w:numPr>
              <w:rPr>
                <w:lang w:val="en-AU"/>
              </w:rPr>
            </w:pPr>
            <w:r w:rsidRPr="000C0693">
              <w:rPr>
                <w:b/>
                <w:lang w:val="en-AU"/>
              </w:rPr>
              <w:t>Patient safety in the operating theatre</w:t>
            </w:r>
            <w:r w:rsidRPr="000C0693">
              <w:rPr>
                <w:lang w:val="en-AU"/>
              </w:rPr>
              <w:t>: how A3 thinking can help reduce door movement</w:t>
            </w:r>
            <w:r w:rsidR="000C0693" w:rsidRPr="000C0693">
              <w:rPr>
                <w:lang w:val="en-AU"/>
              </w:rPr>
              <w:t xml:space="preserve"> (</w:t>
            </w:r>
            <w:r w:rsidRPr="000C0693">
              <w:rPr>
                <w:lang w:val="en-AU"/>
              </w:rPr>
              <w:t>Frederique Elisabeth Simons, Kjeld Harald Aij, Guy A</w:t>
            </w:r>
            <w:r w:rsidR="000C0693" w:rsidRPr="000C0693">
              <w:rPr>
                <w:lang w:val="en-AU"/>
              </w:rPr>
              <w:t xml:space="preserve"> </w:t>
            </w:r>
            <w:r w:rsidRPr="000C0693">
              <w:rPr>
                <w:lang w:val="en-AU"/>
              </w:rPr>
              <w:t>M Widdershoven, and Merel Visse</w:t>
            </w:r>
            <w:r w:rsidR="000C0693">
              <w:rPr>
                <w:lang w:val="en-AU"/>
              </w:rPr>
              <w:t>)</w:t>
            </w:r>
          </w:p>
          <w:p w:rsidR="00F36B17" w:rsidRPr="000C0693" w:rsidRDefault="00F36B17" w:rsidP="00F36B17">
            <w:pPr>
              <w:pStyle w:val="ListParagraph"/>
              <w:numPr>
                <w:ilvl w:val="0"/>
                <w:numId w:val="22"/>
              </w:numPr>
              <w:rPr>
                <w:lang w:val="en-AU"/>
              </w:rPr>
            </w:pPr>
            <w:r w:rsidRPr="000C0693">
              <w:rPr>
                <w:b/>
                <w:lang w:val="en-AU"/>
              </w:rPr>
              <w:t>Health service accreditation</w:t>
            </w:r>
            <w:r w:rsidRPr="000C0693">
              <w:rPr>
                <w:lang w:val="en-AU"/>
              </w:rPr>
              <w:t xml:space="preserve"> reinforces a mindset of high-performance </w:t>
            </w:r>
            <w:r w:rsidR="000C0693" w:rsidRPr="000C0693">
              <w:rPr>
                <w:lang w:val="en-AU"/>
              </w:rPr>
              <w:t xml:space="preserve"> </w:t>
            </w:r>
            <w:r w:rsidRPr="000C0693">
              <w:rPr>
                <w:lang w:val="en-AU"/>
              </w:rPr>
              <w:t>human resource management: lessons from an Australian study</w:t>
            </w:r>
            <w:r w:rsidR="000C0693" w:rsidRPr="000C0693">
              <w:rPr>
                <w:lang w:val="en-AU"/>
              </w:rPr>
              <w:t xml:space="preserve"> (</w:t>
            </w:r>
            <w:r w:rsidRPr="000C0693">
              <w:rPr>
                <w:lang w:val="en-AU"/>
              </w:rPr>
              <w:t>D Greenfield, A Kellner, K Townsend, A Wilkinson, and S A Lawrence</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 xml:space="preserve">The influence of corporate structure and quality improvement activities on outcome improvement in </w:t>
            </w:r>
            <w:r w:rsidRPr="000C0693">
              <w:rPr>
                <w:b/>
                <w:lang w:val="en-AU"/>
              </w:rPr>
              <w:t>residential care homes</w:t>
            </w:r>
            <w:r w:rsidR="000C0693" w:rsidRPr="000C0693">
              <w:rPr>
                <w:lang w:val="en-AU"/>
              </w:rPr>
              <w:t xml:space="preserve"> (</w:t>
            </w:r>
            <w:r w:rsidRPr="000C0693">
              <w:rPr>
                <w:lang w:val="en-AU"/>
              </w:rPr>
              <w:t>S Winters, R</w:t>
            </w:r>
            <w:r w:rsidR="000C0693">
              <w:rPr>
                <w:lang w:val="en-AU"/>
              </w:rPr>
              <w:t xml:space="preserve"> </w:t>
            </w:r>
            <w:r w:rsidRPr="000C0693">
              <w:rPr>
                <w:lang w:val="en-AU"/>
              </w:rPr>
              <w:t>B</w:t>
            </w:r>
            <w:r w:rsidR="000C0693">
              <w:rPr>
                <w:lang w:val="en-AU"/>
              </w:rPr>
              <w:t xml:space="preserve"> </w:t>
            </w:r>
            <w:r w:rsidRPr="000C0693">
              <w:rPr>
                <w:lang w:val="en-AU"/>
              </w:rPr>
              <w:t>Kool, N</w:t>
            </w:r>
            <w:r w:rsidR="000C0693">
              <w:rPr>
                <w:lang w:val="en-AU"/>
              </w:rPr>
              <w:t xml:space="preserve"> </w:t>
            </w:r>
            <w:r w:rsidRPr="000C0693">
              <w:rPr>
                <w:lang w:val="en-AU"/>
              </w:rPr>
              <w:t>S</w:t>
            </w:r>
            <w:r w:rsidR="000C0693">
              <w:rPr>
                <w:lang w:val="en-AU"/>
              </w:rPr>
              <w:t xml:space="preserve"> </w:t>
            </w:r>
            <w:r w:rsidRPr="000C0693">
              <w:rPr>
                <w:lang w:val="en-AU"/>
              </w:rPr>
              <w:t>Klazinga, and R Huijsman</w:t>
            </w:r>
            <w:r w:rsidR="000C0693">
              <w:rPr>
                <w:lang w:val="en-AU"/>
              </w:rPr>
              <w:t>)</w:t>
            </w:r>
          </w:p>
          <w:p w:rsidR="00F36B17" w:rsidRPr="000C0693" w:rsidRDefault="00F36B17" w:rsidP="00F36B17">
            <w:pPr>
              <w:pStyle w:val="ListParagraph"/>
              <w:numPr>
                <w:ilvl w:val="0"/>
                <w:numId w:val="22"/>
              </w:numPr>
              <w:rPr>
                <w:lang w:val="en-AU"/>
              </w:rPr>
            </w:pPr>
            <w:r w:rsidRPr="000C0693">
              <w:rPr>
                <w:b/>
                <w:lang w:val="en-AU"/>
              </w:rPr>
              <w:t>Does stewardship make a difference</w:t>
            </w:r>
            <w:r w:rsidRPr="000C0693">
              <w:rPr>
                <w:lang w:val="en-AU"/>
              </w:rPr>
              <w:t xml:space="preserve"> in the quality of care? Evidence from </w:t>
            </w:r>
            <w:r w:rsidR="000C0693" w:rsidRPr="000C0693">
              <w:rPr>
                <w:lang w:val="en-AU"/>
              </w:rPr>
              <w:t xml:space="preserve"> </w:t>
            </w:r>
            <w:r w:rsidRPr="000C0693">
              <w:rPr>
                <w:lang w:val="en-AU"/>
              </w:rPr>
              <w:t>clinics and pharmacies in Kenya and Ghana</w:t>
            </w:r>
            <w:r w:rsidR="000C0693" w:rsidRPr="000C0693">
              <w:rPr>
                <w:lang w:val="en-AU"/>
              </w:rPr>
              <w:t xml:space="preserve"> (</w:t>
            </w:r>
            <w:r w:rsidRPr="000C0693">
              <w:rPr>
                <w:lang w:val="en-AU"/>
              </w:rPr>
              <w:t>Connor P Spreng, Ifelayo P Ojo, Nicholas E Burger, Neeraj Sood, J W Peabody, and L M Demaria</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 xml:space="preserve">Medication Safety: an </w:t>
            </w:r>
            <w:r w:rsidRPr="000C0693">
              <w:rPr>
                <w:b/>
                <w:lang w:val="en-AU"/>
              </w:rPr>
              <w:t>audit of medication discrepancies</w:t>
            </w:r>
            <w:r w:rsidRPr="000C0693">
              <w:rPr>
                <w:lang w:val="en-AU"/>
              </w:rPr>
              <w:t xml:space="preserve"> in transferring</w:t>
            </w:r>
            <w:r w:rsidR="000C0693" w:rsidRPr="000C0693">
              <w:rPr>
                <w:lang w:val="en-AU"/>
              </w:rPr>
              <w:t xml:space="preserve"> </w:t>
            </w:r>
            <w:r w:rsidRPr="000C0693">
              <w:rPr>
                <w:lang w:val="en-AU"/>
              </w:rPr>
              <w:t>type 2 diabetes mellitus (T2DM) patients from Australian primary care to tertiary ambulatory care</w:t>
            </w:r>
            <w:r w:rsidR="000C0693" w:rsidRPr="000C0693">
              <w:rPr>
                <w:lang w:val="en-AU"/>
              </w:rPr>
              <w:t xml:space="preserve"> (</w:t>
            </w:r>
            <w:r w:rsidRPr="000C0693">
              <w:rPr>
                <w:lang w:val="en-AU"/>
              </w:rPr>
              <w:t>Madonna Azzi, Maria Constantino, Lisa Pont, Margaret Mcgill, Stephen</w:t>
            </w:r>
            <w:r w:rsidR="000C0693">
              <w:rPr>
                <w:lang w:val="en-AU"/>
              </w:rPr>
              <w:t xml:space="preserve"> </w:t>
            </w:r>
            <w:r w:rsidRPr="000C0693">
              <w:rPr>
                <w:lang w:val="en-AU"/>
              </w:rPr>
              <w:t>Twigg, and Ines Krass</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 xml:space="preserve">Failure mode and effects analysis applied to the </w:t>
            </w:r>
            <w:r w:rsidRPr="000C0693">
              <w:rPr>
                <w:b/>
                <w:lang w:val="en-AU"/>
              </w:rPr>
              <w:t>maintenance and repair</w:t>
            </w:r>
            <w:r w:rsidR="000C0693" w:rsidRPr="000C0693">
              <w:rPr>
                <w:b/>
                <w:lang w:val="en-AU"/>
              </w:rPr>
              <w:t xml:space="preserve"> </w:t>
            </w:r>
            <w:r w:rsidRPr="000C0693">
              <w:rPr>
                <w:b/>
                <w:lang w:val="en-AU"/>
              </w:rPr>
              <w:t>of anesthetic equipment</w:t>
            </w:r>
            <w:r w:rsidRPr="000C0693">
              <w:rPr>
                <w:lang w:val="en-AU"/>
              </w:rPr>
              <w:t xml:space="preserve"> in an austere medical environment</w:t>
            </w:r>
            <w:r w:rsidR="000C0693" w:rsidRPr="000C0693">
              <w:rPr>
                <w:lang w:val="en-AU"/>
              </w:rPr>
              <w:t xml:space="preserve"> (</w:t>
            </w:r>
            <w:r w:rsidRPr="000C0693">
              <w:rPr>
                <w:lang w:val="en-AU"/>
              </w:rPr>
              <w:t>Michael A Rosen, Benjamin H Lee, John B Sampson, Rahul Koka, A M</w:t>
            </w:r>
            <w:r w:rsidR="000C0693" w:rsidRPr="000C0693">
              <w:rPr>
                <w:lang w:val="en-AU"/>
              </w:rPr>
              <w:t xml:space="preserve"> </w:t>
            </w:r>
            <w:r w:rsidRPr="000C0693">
              <w:rPr>
                <w:lang w:val="en-AU"/>
              </w:rPr>
              <w:t>Chima, O U Ogbuagu, M K Marx, T B. Kamara, M Koroma, and E V Jackson, Jr</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 xml:space="preserve">The eCollaborative: using a </w:t>
            </w:r>
            <w:r w:rsidRPr="000C0693">
              <w:rPr>
                <w:b/>
                <w:lang w:val="en-AU"/>
              </w:rPr>
              <w:t>quality improvement collaborative</w:t>
            </w:r>
            <w:r w:rsidRPr="000C0693">
              <w:rPr>
                <w:lang w:val="en-AU"/>
              </w:rPr>
              <w:t xml:space="preserve"> to implement the </w:t>
            </w:r>
            <w:r w:rsidRPr="000C0693">
              <w:rPr>
                <w:b/>
                <w:lang w:val="en-AU"/>
              </w:rPr>
              <w:t>National eHealth Record System</w:t>
            </w:r>
            <w:r w:rsidRPr="000C0693">
              <w:rPr>
                <w:lang w:val="en-AU"/>
              </w:rPr>
              <w:t xml:space="preserve"> in Australian primary care practices</w:t>
            </w:r>
            <w:r w:rsidR="000C0693" w:rsidRPr="000C0693">
              <w:rPr>
                <w:lang w:val="en-AU"/>
              </w:rPr>
              <w:t xml:space="preserve"> (</w:t>
            </w:r>
            <w:r w:rsidRPr="000C0693">
              <w:rPr>
                <w:lang w:val="en-AU"/>
              </w:rPr>
              <w:t>Andrew W Knight, Craig Szucs, Mia Dhillon, Tony Lembke, and Chris Mitchell</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Barriers and success factors to the implementation of a multi-site</w:t>
            </w:r>
            <w:r w:rsidR="000C0693" w:rsidRPr="000C0693">
              <w:rPr>
                <w:lang w:val="en-AU"/>
              </w:rPr>
              <w:t xml:space="preserve"> </w:t>
            </w:r>
            <w:r w:rsidRPr="000C0693">
              <w:rPr>
                <w:b/>
                <w:lang w:val="en-AU"/>
              </w:rPr>
              <w:t>prospective adverse event surveillance system</w:t>
            </w:r>
            <w:r w:rsidR="000C0693" w:rsidRPr="000C0693">
              <w:rPr>
                <w:lang w:val="en-AU"/>
              </w:rPr>
              <w:t xml:space="preserve"> (</w:t>
            </w:r>
            <w:r w:rsidRPr="000C0693">
              <w:rPr>
                <w:lang w:val="en-AU"/>
              </w:rPr>
              <w:t>Chantal Backman, Alan J Forster, and Saskia Vanderloo</w:t>
            </w:r>
            <w:r w:rsidR="000C0693">
              <w:rPr>
                <w:lang w:val="en-AU"/>
              </w:rPr>
              <w:t>)</w:t>
            </w:r>
          </w:p>
          <w:p w:rsidR="00F36B17" w:rsidRPr="000C0693" w:rsidRDefault="00F36B17" w:rsidP="00F36B17">
            <w:pPr>
              <w:pStyle w:val="ListParagraph"/>
              <w:numPr>
                <w:ilvl w:val="0"/>
                <w:numId w:val="22"/>
              </w:numPr>
              <w:rPr>
                <w:lang w:val="en-AU"/>
              </w:rPr>
            </w:pPr>
            <w:r w:rsidRPr="000C0693">
              <w:rPr>
                <w:lang w:val="en-AU"/>
              </w:rPr>
              <w:t xml:space="preserve">The impact of </w:t>
            </w:r>
            <w:r w:rsidRPr="000C0693">
              <w:rPr>
                <w:b/>
                <w:lang w:val="en-AU"/>
              </w:rPr>
              <w:t>clinicians' personality</w:t>
            </w:r>
            <w:r w:rsidRPr="000C0693">
              <w:rPr>
                <w:lang w:val="en-AU"/>
              </w:rPr>
              <w:t xml:space="preserve"> and their interpersonal </w:t>
            </w:r>
            <w:r w:rsidRPr="000C0693">
              <w:rPr>
                <w:b/>
                <w:lang w:val="en-AU"/>
              </w:rPr>
              <w:t>behaviors</w:t>
            </w:r>
            <w:r w:rsidRPr="000C0693">
              <w:rPr>
                <w:lang w:val="en-AU"/>
              </w:rPr>
              <w:t xml:space="preserve"> on the </w:t>
            </w:r>
            <w:r w:rsidRPr="000C0693">
              <w:rPr>
                <w:b/>
                <w:lang w:val="en-AU"/>
              </w:rPr>
              <w:t>quality of patient care</w:t>
            </w:r>
            <w:r w:rsidRPr="000C0693">
              <w:rPr>
                <w:lang w:val="en-AU"/>
              </w:rPr>
              <w:t>: a systematic review</w:t>
            </w:r>
            <w:r w:rsidR="000C0693" w:rsidRPr="000C0693">
              <w:rPr>
                <w:lang w:val="en-AU"/>
              </w:rPr>
              <w:t xml:space="preserve"> (</w:t>
            </w:r>
            <w:r w:rsidRPr="000C0693">
              <w:rPr>
                <w:lang w:val="en-AU"/>
              </w:rPr>
              <w:t>Benjamin C</w:t>
            </w:r>
            <w:r w:rsidR="000C0693" w:rsidRPr="000C0693">
              <w:rPr>
                <w:lang w:val="en-AU"/>
              </w:rPr>
              <w:t xml:space="preserve"> </w:t>
            </w:r>
            <w:r w:rsidRPr="000C0693">
              <w:rPr>
                <w:lang w:val="en-AU"/>
              </w:rPr>
              <w:t>M Boerebach, Renée A Scheepers, Renée M van der Leeuw, Maas</w:t>
            </w:r>
            <w:r w:rsidR="000C0693" w:rsidRPr="000C0693">
              <w:rPr>
                <w:lang w:val="en-AU"/>
              </w:rPr>
              <w:t xml:space="preserve"> </w:t>
            </w:r>
            <w:r w:rsidRPr="000C0693">
              <w:rPr>
                <w:lang w:val="en-AU"/>
              </w:rPr>
              <w:t>Jan Heineman, Onyebuchi A. Arah, and Kiki M</w:t>
            </w:r>
            <w:r w:rsidR="000C0693">
              <w:rPr>
                <w:lang w:val="en-AU"/>
              </w:rPr>
              <w:t xml:space="preserve"> </w:t>
            </w:r>
            <w:r w:rsidRPr="000C0693">
              <w:rPr>
                <w:lang w:val="en-AU"/>
              </w:rPr>
              <w:t>J</w:t>
            </w:r>
            <w:r w:rsidR="000C0693">
              <w:rPr>
                <w:lang w:val="en-AU"/>
              </w:rPr>
              <w:t xml:space="preserve"> </w:t>
            </w:r>
            <w:r w:rsidRPr="000C0693">
              <w:rPr>
                <w:lang w:val="en-AU"/>
              </w:rPr>
              <w:t>M</w:t>
            </w:r>
            <w:r w:rsidR="000C0693">
              <w:rPr>
                <w:lang w:val="en-AU"/>
              </w:rPr>
              <w:t xml:space="preserve"> </w:t>
            </w:r>
            <w:r w:rsidRPr="000C0693">
              <w:rPr>
                <w:lang w:val="en-AU"/>
              </w:rPr>
              <w:t>H</w:t>
            </w:r>
            <w:r w:rsidR="000C0693">
              <w:rPr>
                <w:lang w:val="en-AU"/>
              </w:rPr>
              <w:t xml:space="preserve"> </w:t>
            </w:r>
            <w:r w:rsidRPr="000C0693">
              <w:rPr>
                <w:lang w:val="en-AU"/>
              </w:rPr>
              <w:t>Lombarts</w:t>
            </w:r>
            <w:r w:rsidR="000C0693">
              <w:rPr>
                <w:lang w:val="en-AU"/>
              </w:rPr>
              <w:t>)</w:t>
            </w:r>
          </w:p>
          <w:p w:rsidR="00F36B17" w:rsidRPr="000C0693" w:rsidRDefault="00F36B17" w:rsidP="00F36B17">
            <w:pPr>
              <w:pStyle w:val="ListParagraph"/>
              <w:numPr>
                <w:ilvl w:val="0"/>
                <w:numId w:val="22"/>
              </w:numPr>
              <w:rPr>
                <w:lang w:val="en-AU"/>
              </w:rPr>
            </w:pPr>
            <w:r w:rsidRPr="000C0693">
              <w:rPr>
                <w:b/>
                <w:lang w:val="en-AU"/>
              </w:rPr>
              <w:t>Healthcare service problems</w:t>
            </w:r>
            <w:r w:rsidRPr="000C0693">
              <w:rPr>
                <w:lang w:val="en-AU"/>
              </w:rPr>
              <w:t xml:space="preserve"> reported in a national survey of </w:t>
            </w:r>
            <w:r w:rsidRPr="000C0693">
              <w:rPr>
                <w:b/>
                <w:lang w:val="en-AU"/>
              </w:rPr>
              <w:t>South Africans</w:t>
            </w:r>
            <w:r w:rsidR="000C0693" w:rsidRPr="000C0693">
              <w:rPr>
                <w:lang w:val="en-AU"/>
              </w:rPr>
              <w:t xml:space="preserve"> (</w:t>
            </w:r>
            <w:r w:rsidRPr="000C0693">
              <w:rPr>
                <w:lang w:val="en-AU"/>
              </w:rPr>
              <w:t>Takahiro Hasumi and Kathryn H. Jacobsen</w:t>
            </w:r>
            <w:r w:rsidR="000C0693">
              <w:rPr>
                <w:lang w:val="en-AU"/>
              </w:rPr>
              <w:t>)</w:t>
            </w:r>
          </w:p>
          <w:p w:rsidR="00F36B17" w:rsidRPr="00BE3C51" w:rsidRDefault="00F36B17" w:rsidP="000C0693">
            <w:pPr>
              <w:pStyle w:val="ListParagraph"/>
              <w:numPr>
                <w:ilvl w:val="0"/>
                <w:numId w:val="22"/>
              </w:numPr>
              <w:rPr>
                <w:lang w:val="en-AU"/>
              </w:rPr>
            </w:pPr>
            <w:r w:rsidRPr="000C0693">
              <w:rPr>
                <w:b/>
                <w:lang w:val="en-AU"/>
              </w:rPr>
              <w:t>Non-surgical care</w:t>
            </w:r>
            <w:r w:rsidRPr="000C0693">
              <w:rPr>
                <w:lang w:val="en-AU"/>
              </w:rPr>
              <w:t xml:space="preserve"> in patients with </w:t>
            </w:r>
            <w:r w:rsidRPr="000C0693">
              <w:rPr>
                <w:b/>
                <w:lang w:val="en-AU"/>
              </w:rPr>
              <w:t>hip or knee osteoarthritis</w:t>
            </w:r>
            <w:r w:rsidRPr="000C0693">
              <w:rPr>
                <w:lang w:val="en-AU"/>
              </w:rPr>
              <w:t xml:space="preserve"> is modestly</w:t>
            </w:r>
            <w:r w:rsidR="000C0693" w:rsidRPr="000C0693">
              <w:rPr>
                <w:lang w:val="en-AU"/>
              </w:rPr>
              <w:t xml:space="preserve"> </w:t>
            </w:r>
            <w:r w:rsidRPr="000C0693">
              <w:rPr>
                <w:lang w:val="en-AU"/>
              </w:rPr>
              <w:t>consistent with a stepped care strategy after its implementation</w:t>
            </w:r>
            <w:r w:rsidR="000C0693" w:rsidRPr="000C0693">
              <w:rPr>
                <w:lang w:val="en-AU"/>
              </w:rPr>
              <w:t xml:space="preserve"> (</w:t>
            </w:r>
            <w:r w:rsidRPr="000C0693">
              <w:rPr>
                <w:lang w:val="en-AU"/>
              </w:rPr>
              <w:t>Agnes J Smink, Sita M</w:t>
            </w:r>
            <w:r w:rsidR="000C0693" w:rsidRPr="000C0693">
              <w:rPr>
                <w:lang w:val="en-AU"/>
              </w:rPr>
              <w:t xml:space="preserve"> </w:t>
            </w:r>
            <w:r w:rsidRPr="000C0693">
              <w:rPr>
                <w:lang w:val="en-AU"/>
              </w:rPr>
              <w:t>A</w:t>
            </w:r>
            <w:r w:rsidR="000C0693" w:rsidRPr="000C0693">
              <w:rPr>
                <w:lang w:val="en-AU"/>
              </w:rPr>
              <w:t xml:space="preserve"> </w:t>
            </w:r>
            <w:r w:rsidRPr="000C0693">
              <w:rPr>
                <w:lang w:val="en-AU"/>
              </w:rPr>
              <w:t>Bierma-Zeinstra, Henk J Schers, Bart A Swierstra, Joke H Kortland, Johannes W</w:t>
            </w:r>
            <w:r w:rsidR="000C0693" w:rsidRPr="000C0693">
              <w:rPr>
                <w:lang w:val="en-AU"/>
              </w:rPr>
              <w:t xml:space="preserve"> </w:t>
            </w:r>
            <w:r w:rsidRPr="000C0693">
              <w:rPr>
                <w:lang w:val="en-AU"/>
              </w:rPr>
              <w:t>J Bijlsma, Steven Teerenstra, Theo B Voorn, Joost Dekker, Thea P</w:t>
            </w:r>
            <w:r w:rsidR="000C0693" w:rsidRPr="000C0693">
              <w:rPr>
                <w:lang w:val="en-AU"/>
              </w:rPr>
              <w:t xml:space="preserve"> </w:t>
            </w:r>
            <w:r w:rsidRPr="000C0693">
              <w:rPr>
                <w:lang w:val="en-AU"/>
              </w:rPr>
              <w:t>M</w:t>
            </w:r>
            <w:r w:rsidR="000C0693" w:rsidRPr="000C0693">
              <w:rPr>
                <w:lang w:val="en-AU"/>
              </w:rPr>
              <w:t xml:space="preserve"> </w:t>
            </w:r>
            <w:r w:rsidRPr="000C0693">
              <w:rPr>
                <w:lang w:val="en-AU"/>
              </w:rPr>
              <w:t>Vliet Vlieland, and Cornelia H</w:t>
            </w:r>
            <w:r w:rsidR="000C0693">
              <w:rPr>
                <w:lang w:val="en-AU"/>
              </w:rPr>
              <w:t xml:space="preserve"> </w:t>
            </w:r>
            <w:r w:rsidRPr="000C0693">
              <w:rPr>
                <w:lang w:val="en-AU"/>
              </w:rPr>
              <w:t>M van den Ende</w:t>
            </w:r>
            <w:r w:rsidR="000C0693">
              <w:rPr>
                <w:lang w:val="en-AU"/>
              </w:rPr>
              <w:t>)</w:t>
            </w:r>
          </w:p>
        </w:tc>
      </w:tr>
    </w:tbl>
    <w:p w:rsidR="00A8443B" w:rsidRPr="000C09E7" w:rsidRDefault="00A8443B" w:rsidP="00A8443B">
      <w:pPr>
        <w:rPr>
          <w:lang w:val="en-AU"/>
        </w:rPr>
      </w:pPr>
    </w:p>
    <w:p w:rsidR="00DB5A06" w:rsidRPr="000C09E7" w:rsidRDefault="00DB5A06" w:rsidP="00DB5A06">
      <w:pPr>
        <w:keepNext/>
        <w:rPr>
          <w:lang w:val="en-AU"/>
        </w:rPr>
      </w:pPr>
      <w:r w:rsidRPr="000C09E7">
        <w:rPr>
          <w:i/>
          <w:lang w:val="en-AU"/>
        </w:rPr>
        <w:t xml:space="preserve">BMJ Quality and Safety </w:t>
      </w:r>
      <w:r w:rsidRPr="000C09E7">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0C09E7"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0C09E7" w:rsidRDefault="009604B7" w:rsidP="00E90086">
            <w:pPr>
              <w:rPr>
                <w:lang w:val="en-AU"/>
              </w:rPr>
            </w:pPr>
            <w:hyperlink r:id="rId27" w:history="1">
              <w:r w:rsidR="00DB5A06" w:rsidRPr="000C09E7">
                <w:rPr>
                  <w:rStyle w:val="Hyperlink"/>
                  <w:lang w:val="en-AU"/>
                </w:rPr>
                <w:t>http://qualitysafety.bmj.com/content/early/recent</w:t>
              </w:r>
            </w:hyperlink>
          </w:p>
        </w:tc>
      </w:tr>
      <w:tr w:rsidR="00DB5A06" w:rsidRPr="000C09E7"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0C09E7" w:rsidRDefault="00DB5A06" w:rsidP="00E90086">
            <w:pPr>
              <w:rPr>
                <w:lang w:val="en-AU"/>
              </w:rPr>
            </w:pPr>
            <w:r w:rsidRPr="000C09E7">
              <w:rPr>
                <w:i/>
                <w:lang w:val="en-AU"/>
              </w:rPr>
              <w:t>BMJ Quality and Safety</w:t>
            </w:r>
            <w:r w:rsidRPr="000C09E7">
              <w:rPr>
                <w:lang w:val="en-AU"/>
              </w:rPr>
              <w:t xml:space="preserve"> has published a number of ‘online first’ articles, including:</w:t>
            </w:r>
          </w:p>
          <w:p w:rsidR="00C33447" w:rsidRPr="000C09E7" w:rsidRDefault="00234740" w:rsidP="00234740">
            <w:pPr>
              <w:pStyle w:val="ListParagraph"/>
              <w:numPr>
                <w:ilvl w:val="0"/>
                <w:numId w:val="14"/>
              </w:numPr>
              <w:rPr>
                <w:lang w:val="en-AU"/>
              </w:rPr>
            </w:pPr>
            <w:r w:rsidRPr="00234740">
              <w:rPr>
                <w:lang w:val="en-AU"/>
              </w:rPr>
              <w:t xml:space="preserve">Read-back improves </w:t>
            </w:r>
            <w:r w:rsidRPr="00234740">
              <w:rPr>
                <w:b/>
                <w:lang w:val="en-AU"/>
              </w:rPr>
              <w:t xml:space="preserve">information transfer in </w:t>
            </w:r>
            <w:r w:rsidRPr="00234740">
              <w:rPr>
                <w:lang w:val="en-AU"/>
              </w:rPr>
              <w:t>simulated</w:t>
            </w:r>
            <w:r w:rsidRPr="00234740">
              <w:rPr>
                <w:b/>
                <w:lang w:val="en-AU"/>
              </w:rPr>
              <w:t xml:space="preserve"> clinical crises</w:t>
            </w:r>
            <w:r w:rsidRPr="00234740">
              <w:rPr>
                <w:lang w:val="en-AU"/>
              </w:rPr>
              <w:t xml:space="preserve"> </w:t>
            </w:r>
            <w:r>
              <w:rPr>
                <w:lang w:val="en-AU"/>
              </w:rPr>
              <w:t>(</w:t>
            </w:r>
            <w:r w:rsidRPr="00234740">
              <w:rPr>
                <w:lang w:val="en-AU"/>
              </w:rPr>
              <w:t>Matt Boyd, David Cumin, Braam Lombard, Jane Torrie, N Civil, J Weller</w:t>
            </w:r>
            <w:r>
              <w:rPr>
                <w:lang w:val="en-AU"/>
              </w:rPr>
              <w:t>)</w:t>
            </w:r>
          </w:p>
        </w:tc>
      </w:tr>
    </w:tbl>
    <w:p w:rsidR="00DB5A06" w:rsidRPr="000C09E7" w:rsidRDefault="00DB5A06" w:rsidP="0080436C">
      <w:pPr>
        <w:keepNext/>
        <w:keepLines/>
        <w:autoSpaceDE w:val="0"/>
        <w:autoSpaceDN w:val="0"/>
        <w:adjustRightInd w:val="0"/>
        <w:rPr>
          <w:lang w:val="en-AU"/>
        </w:rPr>
      </w:pPr>
    </w:p>
    <w:p w:rsidR="00DB5A06" w:rsidRPr="000C09E7" w:rsidRDefault="00DB5A06" w:rsidP="008C040D">
      <w:pPr>
        <w:rPr>
          <w:i/>
          <w:lang w:val="en-AU"/>
        </w:rPr>
      </w:pPr>
    </w:p>
    <w:p w:rsidR="00517A0E" w:rsidRDefault="00517A0E">
      <w:pPr>
        <w:rPr>
          <w:b/>
          <w:lang w:val="en-AU"/>
        </w:rPr>
      </w:pPr>
      <w:r>
        <w:rPr>
          <w:b/>
          <w:lang w:val="en-AU"/>
        </w:rPr>
        <w:br w:type="page"/>
      </w:r>
    </w:p>
    <w:p w:rsidR="00D80193" w:rsidRPr="000C09E7" w:rsidRDefault="00DB5A06" w:rsidP="0029518F">
      <w:pPr>
        <w:rPr>
          <w:b/>
          <w:lang w:val="en-AU"/>
        </w:rPr>
      </w:pPr>
      <w:r w:rsidRPr="000C09E7">
        <w:rPr>
          <w:b/>
          <w:lang w:val="en-AU"/>
        </w:rPr>
        <w:lastRenderedPageBreak/>
        <w:t>Online resources</w:t>
      </w:r>
    </w:p>
    <w:p w:rsidR="00DB5A06" w:rsidRDefault="00DB5A06" w:rsidP="0029518F">
      <w:pPr>
        <w:rPr>
          <w:lang w:val="en-AU"/>
        </w:rPr>
      </w:pPr>
    </w:p>
    <w:p w:rsidR="00854D01" w:rsidRPr="00AF36C9" w:rsidRDefault="00AF36C9" w:rsidP="0029518F">
      <w:pPr>
        <w:rPr>
          <w:i/>
          <w:lang w:val="en-AU"/>
        </w:rPr>
      </w:pPr>
      <w:r w:rsidRPr="00AF36C9">
        <w:rPr>
          <w:i/>
          <w:lang w:val="en-AU"/>
        </w:rPr>
        <w:t>[Canada] Paper to Electronic MedRec Implementation Toolkit</w:t>
      </w:r>
    </w:p>
    <w:p w:rsidR="00AF36C9" w:rsidRDefault="009604B7" w:rsidP="0029518F">
      <w:pPr>
        <w:rPr>
          <w:lang w:val="en-AU"/>
        </w:rPr>
      </w:pPr>
      <w:hyperlink r:id="rId28" w:history="1">
        <w:r w:rsidR="00AF36C9" w:rsidRPr="005F777E">
          <w:rPr>
            <w:rStyle w:val="Hyperlink"/>
            <w:lang w:val="en-AU"/>
          </w:rPr>
          <w:t>http://www.saferhealthcarenow.ca/EN/Interventions/medrec/Pages/Paper-to-Electronic-MedRec-Implementation-Toolkit.aspx</w:t>
        </w:r>
      </w:hyperlink>
    </w:p>
    <w:p w:rsidR="00AF36C9" w:rsidRDefault="00AF36C9" w:rsidP="0029518F">
      <w:pPr>
        <w:rPr>
          <w:lang w:val="en-AU"/>
        </w:rPr>
      </w:pPr>
      <w:r w:rsidRPr="00AF36C9">
        <w:rPr>
          <w:lang w:val="en-AU"/>
        </w:rPr>
        <w:t>This toolkit</w:t>
      </w:r>
      <w:r>
        <w:rPr>
          <w:lang w:val="en-AU"/>
        </w:rPr>
        <w:t xml:space="preserve">, including checklists, examines </w:t>
      </w:r>
      <w:r w:rsidRPr="00AF36C9">
        <w:rPr>
          <w:lang w:val="en-AU"/>
        </w:rPr>
        <w:t>current electronic Med</w:t>
      </w:r>
      <w:r>
        <w:rPr>
          <w:lang w:val="en-AU"/>
        </w:rPr>
        <w:t xml:space="preserve">ication </w:t>
      </w:r>
      <w:r w:rsidRPr="00AF36C9">
        <w:rPr>
          <w:lang w:val="en-AU"/>
        </w:rPr>
        <w:t>Re</w:t>
      </w:r>
      <w:r>
        <w:rPr>
          <w:lang w:val="en-AU"/>
        </w:rPr>
        <w:t>conciliation</w:t>
      </w:r>
      <w:r w:rsidRPr="00AF36C9">
        <w:rPr>
          <w:lang w:val="en-AU"/>
        </w:rPr>
        <w:t xml:space="preserve"> (eMedRec) practices in Canada and provides guidance for organi</w:t>
      </w:r>
      <w:r>
        <w:rPr>
          <w:lang w:val="en-AU"/>
        </w:rPr>
        <w:t>s</w:t>
      </w:r>
      <w:r w:rsidRPr="00AF36C9">
        <w:rPr>
          <w:lang w:val="en-AU"/>
        </w:rPr>
        <w:t xml:space="preserve">ations </w:t>
      </w:r>
      <w:r>
        <w:rPr>
          <w:lang w:val="en-AU"/>
        </w:rPr>
        <w:t xml:space="preserve">on </w:t>
      </w:r>
      <w:r w:rsidRPr="00AF36C9">
        <w:rPr>
          <w:lang w:val="en-AU"/>
        </w:rPr>
        <w:t>migrat</w:t>
      </w:r>
      <w:r>
        <w:rPr>
          <w:lang w:val="en-AU"/>
        </w:rPr>
        <w:t>ing</w:t>
      </w:r>
      <w:r w:rsidRPr="00AF36C9">
        <w:rPr>
          <w:lang w:val="en-AU"/>
        </w:rPr>
        <w:t xml:space="preserve"> from a paper-based system to an electronic system for Med</w:t>
      </w:r>
      <w:r>
        <w:rPr>
          <w:lang w:val="en-AU"/>
        </w:rPr>
        <w:t xml:space="preserve">ication </w:t>
      </w:r>
      <w:r w:rsidRPr="00AF36C9">
        <w:rPr>
          <w:lang w:val="en-AU"/>
        </w:rPr>
        <w:t>Re</w:t>
      </w:r>
      <w:r>
        <w:rPr>
          <w:lang w:val="en-AU"/>
        </w:rPr>
        <w:t>conciliation.</w:t>
      </w:r>
    </w:p>
    <w:p w:rsidR="00CE3942" w:rsidRDefault="00CE3942" w:rsidP="0029518F">
      <w:pPr>
        <w:rPr>
          <w:lang w:val="en-AU"/>
        </w:rPr>
      </w:pPr>
    </w:p>
    <w:p w:rsidR="00AF36C9" w:rsidRDefault="00AF36C9" w:rsidP="00AF36C9">
      <w:pPr>
        <w:rPr>
          <w:lang w:val="en-AU"/>
        </w:rPr>
      </w:pPr>
      <w:r w:rsidRPr="000C09E7">
        <w:rPr>
          <w:lang w:val="en-AU"/>
        </w:rPr>
        <w:t>For information on the Commission’s work on</w:t>
      </w:r>
      <w:r>
        <w:rPr>
          <w:lang w:val="en-AU"/>
        </w:rPr>
        <w:t xml:space="preserve"> medication safety, including medication reconciliation, see </w:t>
      </w:r>
      <w:hyperlink r:id="rId29" w:history="1">
        <w:r w:rsidRPr="005D5A1A">
          <w:rPr>
            <w:rStyle w:val="Hyperlink"/>
            <w:lang w:val="en-AU"/>
          </w:rPr>
          <w:t>www.safetyandquality.gov.au/our-work/medication-safety/</w:t>
        </w:r>
      </w:hyperlink>
      <w:r>
        <w:rPr>
          <w:lang w:val="en-AU"/>
        </w:rPr>
        <w:t xml:space="preserve"> </w:t>
      </w:r>
    </w:p>
    <w:p w:rsidR="00AF36C9" w:rsidRPr="000C09E7" w:rsidRDefault="00AF36C9" w:rsidP="0029518F">
      <w:pPr>
        <w:rPr>
          <w:lang w:val="en-AU"/>
        </w:rPr>
      </w:pPr>
    </w:p>
    <w:p w:rsidR="009951BA" w:rsidRPr="00AF36C9" w:rsidRDefault="00AF36C9" w:rsidP="0029518F">
      <w:pPr>
        <w:rPr>
          <w:i/>
          <w:lang w:val="en-AU"/>
        </w:rPr>
      </w:pPr>
      <w:r w:rsidRPr="00AF36C9">
        <w:rPr>
          <w:i/>
          <w:lang w:val="en-AU"/>
        </w:rPr>
        <w:t>[Canada] Medication Bar Code System Implementation Planning – a Resource Guide</w:t>
      </w:r>
    </w:p>
    <w:p w:rsidR="00AF36C9" w:rsidRDefault="009604B7" w:rsidP="0029518F">
      <w:pPr>
        <w:rPr>
          <w:lang w:val="en-AU"/>
        </w:rPr>
      </w:pPr>
      <w:hyperlink r:id="rId30" w:history="1">
        <w:r w:rsidR="00AF36C9" w:rsidRPr="005F777E">
          <w:rPr>
            <w:rStyle w:val="Hyperlink"/>
            <w:lang w:val="en-AU"/>
          </w:rPr>
          <w:t>http://www.patientsafetyinstitute.ca/English/toolsResources/MedicationBarCodeSystem/Pages/default.aspx</w:t>
        </w:r>
      </w:hyperlink>
    </w:p>
    <w:p w:rsidR="00AF36C9" w:rsidRDefault="00AF36C9" w:rsidP="0029518F">
      <w:pPr>
        <w:rPr>
          <w:lang w:val="en-AU"/>
        </w:rPr>
      </w:pPr>
      <w:r w:rsidRPr="00AF36C9">
        <w:rPr>
          <w:lang w:val="en-AU"/>
        </w:rPr>
        <w:t xml:space="preserve">This resource has been written for use by senior practice leaders involved with medication management and system development, and by their executive leadership colleagues responsible for strategic funding and system acquisition. </w:t>
      </w:r>
    </w:p>
    <w:p w:rsidR="00AF36C9" w:rsidRDefault="00AF36C9" w:rsidP="0029518F">
      <w:pPr>
        <w:rPr>
          <w:lang w:val="en-AU"/>
        </w:rPr>
      </w:pPr>
      <w:r w:rsidRPr="00AF36C9">
        <w:rPr>
          <w:lang w:val="en-AU"/>
        </w:rPr>
        <w:t>The purpose of this document is to review the need for automated identification (e.g., bar coding) of medications within both community</w:t>
      </w:r>
      <w:r w:rsidRPr="00AF36C9">
        <w:rPr>
          <w:rFonts w:ascii="Cambria Math" w:hAnsi="Cambria Math" w:cs="Cambria Math"/>
          <w:lang w:val="en-AU"/>
        </w:rPr>
        <w:t>‐</w:t>
      </w:r>
      <w:r w:rsidRPr="00AF36C9">
        <w:rPr>
          <w:lang w:val="en-AU"/>
        </w:rPr>
        <w:t>based (e.g., nursing homes) and institutional (e.g.,</w:t>
      </w:r>
      <w:r>
        <w:rPr>
          <w:lang w:val="en-AU"/>
        </w:rPr>
        <w:t xml:space="preserve"> hospital and ambulatory) care.</w:t>
      </w:r>
    </w:p>
    <w:p w:rsidR="00AF36C9" w:rsidRPr="000C09E7" w:rsidRDefault="00AF36C9" w:rsidP="0029518F">
      <w:pPr>
        <w:rPr>
          <w:lang w:val="en-AU"/>
        </w:rPr>
      </w:pPr>
    </w:p>
    <w:p w:rsidR="00B160EF" w:rsidRPr="000C09E7" w:rsidRDefault="00B160EF" w:rsidP="00B160EF">
      <w:pPr>
        <w:keepNext/>
        <w:pBdr>
          <w:top w:val="single" w:sz="4" w:space="1" w:color="auto"/>
        </w:pBdr>
        <w:rPr>
          <w:b/>
          <w:lang w:val="en-AU"/>
        </w:rPr>
      </w:pPr>
      <w:r w:rsidRPr="000C09E7">
        <w:rPr>
          <w:b/>
          <w:lang w:val="en-AU"/>
        </w:rPr>
        <w:t>Disclaimer</w:t>
      </w:r>
    </w:p>
    <w:p w:rsidR="00E41D2F" w:rsidRPr="000C09E7" w:rsidRDefault="00B160EF" w:rsidP="00B160EF">
      <w:pPr>
        <w:rPr>
          <w:lang w:val="en-AU"/>
        </w:rPr>
      </w:pPr>
      <w:r w:rsidRPr="000C09E7">
        <w:rPr>
          <w:i/>
          <w:lang w:val="en-AU"/>
        </w:rPr>
        <w:t xml:space="preserve">On the </w:t>
      </w:r>
      <w:r w:rsidR="001A66F9" w:rsidRPr="000C09E7">
        <w:rPr>
          <w:i/>
          <w:lang w:val="en-AU"/>
        </w:rPr>
        <w:t>R</w:t>
      </w:r>
      <w:r w:rsidRPr="000C09E7">
        <w:rPr>
          <w:i/>
          <w:lang w:val="en-AU"/>
        </w:rPr>
        <w:t>adar</w:t>
      </w:r>
      <w:r w:rsidRPr="000C09E7">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0C09E7"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B7" w:rsidRDefault="009604B7">
      <w:r>
        <w:separator/>
      </w:r>
    </w:p>
  </w:endnote>
  <w:endnote w:type="continuationSeparator" w:id="0">
    <w:p w:rsidR="009604B7" w:rsidRDefault="0096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23096">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61E57">
      <w:t xml:space="preserve"> Issue 187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096">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D61E57">
      <w:t xml:space="preserve"> Issue 187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B7" w:rsidRDefault="009604B7">
      <w:r>
        <w:separator/>
      </w:r>
    </w:p>
  </w:footnote>
  <w:footnote w:type="continuationSeparator" w:id="0">
    <w:p w:rsidR="009604B7" w:rsidRDefault="00960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nsid w:val="20AA47D6"/>
    <w:multiLevelType w:val="hybridMultilevel"/>
    <w:tmpl w:val="61DA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9">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6"/>
  </w:num>
  <w:num w:numId="15">
    <w:abstractNumId w:val="40"/>
  </w:num>
  <w:num w:numId="16">
    <w:abstractNumId w:val="15"/>
  </w:num>
  <w:num w:numId="17">
    <w:abstractNumId w:val="30"/>
  </w:num>
  <w:num w:numId="18">
    <w:abstractNumId w:val="14"/>
  </w:num>
  <w:num w:numId="19">
    <w:abstractNumId w:val="37"/>
  </w:num>
  <w:num w:numId="20">
    <w:abstractNumId w:val="22"/>
  </w:num>
  <w:num w:numId="21">
    <w:abstractNumId w:val="18"/>
  </w:num>
  <w:num w:numId="22">
    <w:abstractNumId w:val="10"/>
  </w:num>
  <w:num w:numId="23">
    <w:abstractNumId w:val="28"/>
  </w:num>
  <w:num w:numId="24">
    <w:abstractNumId w:val="11"/>
  </w:num>
  <w:num w:numId="25">
    <w:abstractNumId w:val="31"/>
  </w:num>
  <w:num w:numId="26">
    <w:abstractNumId w:val="23"/>
  </w:num>
  <w:num w:numId="27">
    <w:abstractNumId w:val="33"/>
  </w:num>
  <w:num w:numId="28">
    <w:abstractNumId w:val="24"/>
  </w:num>
  <w:num w:numId="29">
    <w:abstractNumId w:val="34"/>
  </w:num>
  <w:num w:numId="30">
    <w:abstractNumId w:val="16"/>
  </w:num>
  <w:num w:numId="31">
    <w:abstractNumId w:val="38"/>
  </w:num>
  <w:num w:numId="32">
    <w:abstractNumId w:val="39"/>
  </w:num>
  <w:num w:numId="33">
    <w:abstractNumId w:val="21"/>
  </w:num>
  <w:num w:numId="34">
    <w:abstractNumId w:val="12"/>
  </w:num>
  <w:num w:numId="35">
    <w:abstractNumId w:val="19"/>
  </w:num>
  <w:num w:numId="36">
    <w:abstractNumId w:val="13"/>
  </w:num>
  <w:num w:numId="37">
    <w:abstractNumId w:val="35"/>
  </w:num>
  <w:num w:numId="38">
    <w:abstractNumId w:val="32"/>
  </w:num>
  <w:num w:numId="39">
    <w:abstractNumId w:val="27"/>
  </w:num>
  <w:num w:numId="40">
    <w:abstractNumId w:val="20"/>
  </w:num>
  <w:num w:numId="4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B3B"/>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6E5E"/>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4EB"/>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ahrq.gov/professionals/quality-patient-safety/patient-safety-resources/resources/advances-in-hai/" TargetMode="External"/><Relationship Id="rId26" Type="http://schemas.openxmlformats.org/officeDocument/2006/relationships/hyperlink" Target="http://intqhc.oxfordjournals.org/content/26/4?etoc" TargetMode="External"/><Relationship Id="rId3" Type="http://schemas.openxmlformats.org/officeDocument/2006/relationships/styles" Target="styles.xml"/><Relationship Id="rId21" Type="http://schemas.openxmlformats.org/officeDocument/2006/relationships/hyperlink" Target="http://dx.doi.org/10.1007/s00228-014-1668-z"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qualitysafety.bmj.com/content/23/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dx.doi.org/10.1016/j.jss.2014.05.044" TargetMode="External"/><Relationship Id="rId29" Type="http://schemas.openxmlformats.org/officeDocument/2006/relationships/hyperlink" Target="http://www.safetyandquality.gov.au/our-work/medication-safe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clinical-communication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542/peds.2013-1844" TargetMode="External"/><Relationship Id="rId28" Type="http://schemas.openxmlformats.org/officeDocument/2006/relationships/hyperlink" Target="http://www.saferhealthcarenow.ca/EN/Interventions/medrec/Pages/Paper-to-Electronic-MedRec-Implementation-Toolkit.aspx"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healthcare-associated-infectio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medication-safety/"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patientsafetyinstitute.ca/English/toolsResources/MedicationBarCodeSyste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D3A76-F861-44B5-A6EA-F282CD99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6</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17472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16</cp:revision>
  <cp:lastPrinted>2013-06-06T03:47:00Z</cp:lastPrinted>
  <dcterms:created xsi:type="dcterms:W3CDTF">2014-08-10T22:09:00Z</dcterms:created>
  <dcterms:modified xsi:type="dcterms:W3CDTF">2014-08-17T06:05:00Z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