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D0398E" w:rsidRDefault="00824B99" w:rsidP="00A420BD">
      <w:pPr>
        <w:pStyle w:val="Heading1"/>
        <w:ind w:left="720" w:hanging="720"/>
        <w:jc w:val="both"/>
        <w:rPr>
          <w:rFonts w:ascii="Bookman Old Style" w:hAnsi="Bookman Old Style"/>
          <w:sz w:val="48"/>
          <w:szCs w:val="48"/>
          <w:lang w:val="en-AU"/>
        </w:rPr>
      </w:pPr>
      <w:bookmarkStart w:id="0" w:name="_GoBack"/>
      <w:bookmarkEnd w:id="0"/>
      <w:r w:rsidRPr="00D0398E">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074C03F" wp14:editId="0A000E40">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0398E">
        <w:rPr>
          <w:rFonts w:ascii="Bookman Old Style" w:hAnsi="Bookman Old Style"/>
          <w:sz w:val="48"/>
          <w:szCs w:val="48"/>
          <w:lang w:val="en-AU"/>
        </w:rPr>
        <w:t>On the Radar</w:t>
      </w:r>
    </w:p>
    <w:p w:rsidR="00B160EF" w:rsidRPr="00D0398E" w:rsidRDefault="00715F47" w:rsidP="00B160EF">
      <w:pPr>
        <w:rPr>
          <w:color w:val="000000"/>
          <w:lang w:val="en-AU"/>
        </w:rPr>
      </w:pPr>
      <w:r w:rsidRPr="00D0398E">
        <w:rPr>
          <w:color w:val="000000"/>
          <w:lang w:val="en-AU"/>
        </w:rPr>
        <w:t xml:space="preserve">Issue </w:t>
      </w:r>
      <w:r w:rsidR="00ED198B" w:rsidRPr="00D0398E">
        <w:rPr>
          <w:color w:val="000000"/>
          <w:lang w:val="en-AU"/>
        </w:rPr>
        <w:t>1</w:t>
      </w:r>
      <w:r w:rsidR="00243193">
        <w:rPr>
          <w:color w:val="000000"/>
          <w:lang w:val="en-AU"/>
        </w:rPr>
        <w:t>9</w:t>
      </w:r>
      <w:r w:rsidR="00F46A65">
        <w:rPr>
          <w:color w:val="000000"/>
          <w:lang w:val="en-AU"/>
        </w:rPr>
        <w:t>0</w:t>
      </w:r>
    </w:p>
    <w:p w:rsidR="000F7901" w:rsidRPr="00D0398E" w:rsidRDefault="00F46A65" w:rsidP="00B160EF">
      <w:pPr>
        <w:rPr>
          <w:lang w:val="en-AU"/>
        </w:rPr>
      </w:pPr>
      <w:r>
        <w:rPr>
          <w:lang w:val="en-AU"/>
        </w:rPr>
        <w:t>8</w:t>
      </w:r>
      <w:r w:rsidR="00243193">
        <w:rPr>
          <w:lang w:val="en-AU"/>
        </w:rPr>
        <w:t xml:space="preserve"> September</w:t>
      </w:r>
      <w:r w:rsidR="008A25FD" w:rsidRPr="00D0398E">
        <w:rPr>
          <w:lang w:val="en-AU"/>
        </w:rPr>
        <w:t xml:space="preserve"> </w:t>
      </w:r>
      <w:r w:rsidR="000F7901" w:rsidRPr="00D0398E">
        <w:rPr>
          <w:lang w:val="en-AU"/>
        </w:rPr>
        <w:t>2014</w:t>
      </w:r>
    </w:p>
    <w:p w:rsidR="00566895" w:rsidRPr="00D0398E" w:rsidRDefault="00566895" w:rsidP="00B160EF">
      <w:pPr>
        <w:rPr>
          <w:lang w:val="en-AU"/>
        </w:rPr>
      </w:pPr>
    </w:p>
    <w:p w:rsidR="00B160EF" w:rsidRPr="00D0398E" w:rsidRDefault="00B160EF" w:rsidP="00B160EF">
      <w:pPr>
        <w:rPr>
          <w:lang w:val="en-AU"/>
        </w:rPr>
      </w:pPr>
      <w:r w:rsidRPr="00D0398E">
        <w:rPr>
          <w:i/>
          <w:lang w:val="en-AU"/>
        </w:rPr>
        <w:t>On the Radar</w:t>
      </w:r>
      <w:r w:rsidRPr="00D0398E">
        <w:rPr>
          <w:lang w:val="en-AU"/>
        </w:rPr>
        <w:t xml:space="preserve"> is a summary of some of the recent publications in the areas of safety and quality in health care. Inclusion in this document is not an endorsement or recommendation of any publication or provider.</w:t>
      </w:r>
    </w:p>
    <w:p w:rsidR="00B160EF" w:rsidRPr="00D0398E" w:rsidRDefault="00B160EF" w:rsidP="00B160EF">
      <w:pPr>
        <w:rPr>
          <w:lang w:val="en-AU"/>
        </w:rPr>
      </w:pPr>
    </w:p>
    <w:p w:rsidR="00B160EF" w:rsidRPr="00D0398E" w:rsidRDefault="00B160EF" w:rsidP="00B160EF">
      <w:pPr>
        <w:rPr>
          <w:b/>
          <w:lang w:val="en-AU"/>
        </w:rPr>
      </w:pPr>
      <w:r w:rsidRPr="00D0398E">
        <w:rPr>
          <w:lang w:val="en-AU"/>
        </w:rPr>
        <w:t>Access to particular documents may depend on whether they are Open Access or not, and/or your individual or institutional access to subscription sites/services.</w:t>
      </w:r>
      <w:r w:rsidR="00F460A7" w:rsidRPr="00D0398E">
        <w:rPr>
          <w:lang w:val="en-AU"/>
        </w:rPr>
        <w:t xml:space="preserve"> Material that may require subscription is included as it is considered relevant.</w:t>
      </w:r>
    </w:p>
    <w:p w:rsidR="00B160EF" w:rsidRPr="00D0398E" w:rsidRDefault="00B160EF" w:rsidP="00B160EF">
      <w:pPr>
        <w:rPr>
          <w:lang w:val="en-AU"/>
        </w:rPr>
      </w:pPr>
    </w:p>
    <w:p w:rsidR="00230D83" w:rsidRPr="00D0398E" w:rsidRDefault="00B160EF" w:rsidP="0045757F">
      <w:pPr>
        <w:autoSpaceDE w:val="0"/>
        <w:rPr>
          <w:lang w:val="en-AU"/>
        </w:rPr>
      </w:pPr>
      <w:r w:rsidRPr="00D0398E">
        <w:rPr>
          <w:i/>
          <w:lang w:val="en-AU"/>
        </w:rPr>
        <w:t>On the Radar</w:t>
      </w:r>
      <w:r w:rsidRPr="00D0398E">
        <w:rPr>
          <w:lang w:val="en-AU"/>
        </w:rPr>
        <w:t xml:space="preserve"> is available </w:t>
      </w:r>
      <w:r w:rsidR="003D1E7A" w:rsidRPr="00D0398E">
        <w:rPr>
          <w:lang w:val="en-AU"/>
        </w:rPr>
        <w:t xml:space="preserve">online, </w:t>
      </w:r>
      <w:r w:rsidRPr="00D0398E">
        <w:rPr>
          <w:lang w:val="en-AU"/>
        </w:rPr>
        <w:t xml:space="preserve">via email or as a PDF document from </w:t>
      </w:r>
      <w:hyperlink r:id="rId10" w:history="1">
        <w:r w:rsidR="00230D83" w:rsidRPr="00D0398E">
          <w:rPr>
            <w:rStyle w:val="Hyperlink"/>
            <w:lang w:val="en-AU"/>
          </w:rPr>
          <w:t>http://www.safetyandquality.gov.au/publications-resources/on-the-radar/</w:t>
        </w:r>
      </w:hyperlink>
    </w:p>
    <w:p w:rsidR="0090536C" w:rsidRPr="00D0398E" w:rsidRDefault="0090536C" w:rsidP="0045757F">
      <w:pPr>
        <w:autoSpaceDE w:val="0"/>
        <w:rPr>
          <w:lang w:val="en-AU"/>
        </w:rPr>
      </w:pPr>
    </w:p>
    <w:p w:rsidR="00B160EF" w:rsidRPr="00D0398E" w:rsidRDefault="00B160EF" w:rsidP="0045757F">
      <w:pPr>
        <w:autoSpaceDE w:val="0"/>
        <w:rPr>
          <w:lang w:val="en-AU"/>
        </w:rPr>
      </w:pPr>
      <w:r w:rsidRPr="00D0398E">
        <w:rPr>
          <w:lang w:val="en-AU"/>
        </w:rPr>
        <w:t xml:space="preserve">If you would like to receive </w:t>
      </w:r>
      <w:r w:rsidRPr="00D0398E">
        <w:rPr>
          <w:i/>
          <w:lang w:val="en-AU"/>
        </w:rPr>
        <w:t>On the Radar</w:t>
      </w:r>
      <w:r w:rsidRPr="00D0398E">
        <w:rPr>
          <w:lang w:val="en-AU"/>
        </w:rPr>
        <w:t xml:space="preserve"> via email</w:t>
      </w:r>
      <w:r w:rsidR="003D7B9E" w:rsidRPr="00D0398E">
        <w:rPr>
          <w:lang w:val="en-AU"/>
        </w:rPr>
        <w:t>, you can</w:t>
      </w:r>
      <w:r w:rsidR="00F24F60" w:rsidRPr="00D0398E">
        <w:rPr>
          <w:lang w:val="en-AU"/>
        </w:rPr>
        <w:t xml:space="preserve"> subscribe on our website </w:t>
      </w:r>
      <w:hyperlink r:id="rId11" w:history="1">
        <w:r w:rsidR="00F24F60" w:rsidRPr="00D0398E">
          <w:rPr>
            <w:rStyle w:val="Hyperlink"/>
            <w:lang w:val="en-AU"/>
          </w:rPr>
          <w:t>http://www.safetyandquality.gov.au/</w:t>
        </w:r>
      </w:hyperlink>
      <w:r w:rsidR="003D7B9E" w:rsidRPr="00D0398E">
        <w:rPr>
          <w:lang w:val="en-AU"/>
        </w:rPr>
        <w:t xml:space="preserve"> or by emailing us at </w:t>
      </w:r>
      <w:r w:rsidR="003D7B9E" w:rsidRPr="00D0398E">
        <w:rPr>
          <w:rFonts w:ascii="ZWAdobeF" w:hAnsi="ZWAdobeF" w:cs="ZWAdobeF"/>
          <w:sz w:val="2"/>
          <w:szCs w:val="2"/>
          <w:lang w:val="en-AU"/>
        </w:rPr>
        <w:t>H</w:t>
      </w:r>
      <w:hyperlink r:id="rId12" w:history="1">
        <w:r w:rsidR="003D7B9E" w:rsidRPr="00D0398E">
          <w:rPr>
            <w:rFonts w:ascii="ZWAdobeF" w:hAnsi="ZWAdobeF" w:cs="ZWAdobeF"/>
            <w:sz w:val="2"/>
            <w:szCs w:val="2"/>
            <w:lang w:val="en-AU"/>
          </w:rPr>
          <w:t>U</w:t>
        </w:r>
        <w:r w:rsidR="003D7B9E" w:rsidRPr="00D0398E">
          <w:rPr>
            <w:rStyle w:val="Hyperlink"/>
            <w:lang w:val="en-AU"/>
          </w:rPr>
          <w:t>mail@safetyandquality.gov.au</w:t>
        </w:r>
        <w:r w:rsidR="003D7B9E" w:rsidRPr="00D0398E">
          <w:rPr>
            <w:rStyle w:val="Hyperlink"/>
            <w:rFonts w:ascii="ZWAdobeF" w:hAnsi="ZWAdobeF" w:cs="ZWAdobeF"/>
            <w:color w:val="auto"/>
            <w:sz w:val="2"/>
            <w:szCs w:val="2"/>
            <w:u w:val="none"/>
            <w:lang w:val="en-AU"/>
          </w:rPr>
          <w:t>U</w:t>
        </w:r>
      </w:hyperlink>
      <w:r w:rsidR="003D7B9E" w:rsidRPr="00D0398E">
        <w:rPr>
          <w:lang w:val="en-AU"/>
        </w:rPr>
        <w:t xml:space="preserve">. </w:t>
      </w:r>
      <w:r w:rsidR="00E51D23" w:rsidRPr="00D0398E">
        <w:rPr>
          <w:lang w:val="en-AU"/>
        </w:rPr>
        <w:br/>
      </w:r>
      <w:r w:rsidR="003D7B9E" w:rsidRPr="00D0398E">
        <w:rPr>
          <w:lang w:val="en-AU"/>
        </w:rPr>
        <w:t xml:space="preserve">You can also send feedback and comments to </w:t>
      </w:r>
      <w:r w:rsidR="003D7B9E" w:rsidRPr="00D0398E">
        <w:rPr>
          <w:rFonts w:ascii="ZWAdobeF" w:hAnsi="ZWAdobeF" w:cs="ZWAdobeF"/>
          <w:sz w:val="2"/>
          <w:szCs w:val="2"/>
          <w:lang w:val="en-AU"/>
        </w:rPr>
        <w:t>H</w:t>
      </w:r>
      <w:hyperlink r:id="rId13" w:history="1">
        <w:r w:rsidR="003D7B9E" w:rsidRPr="00D0398E">
          <w:rPr>
            <w:rFonts w:ascii="ZWAdobeF" w:hAnsi="ZWAdobeF" w:cs="ZWAdobeF"/>
            <w:sz w:val="2"/>
            <w:szCs w:val="2"/>
            <w:lang w:val="en-AU"/>
          </w:rPr>
          <w:t>U</w:t>
        </w:r>
        <w:r w:rsidR="003D7B9E" w:rsidRPr="00D0398E">
          <w:rPr>
            <w:rStyle w:val="Hyperlink"/>
            <w:lang w:val="en-AU"/>
          </w:rPr>
          <w:t>mail@safetyandquality.gov.au</w:t>
        </w:r>
        <w:r w:rsidR="003D7B9E" w:rsidRPr="00D0398E">
          <w:rPr>
            <w:rStyle w:val="Hyperlink"/>
            <w:rFonts w:ascii="ZWAdobeF" w:hAnsi="ZWAdobeF" w:cs="ZWAdobeF"/>
            <w:color w:val="auto"/>
            <w:sz w:val="2"/>
            <w:szCs w:val="2"/>
            <w:u w:val="none"/>
            <w:lang w:val="en-AU"/>
          </w:rPr>
          <w:t>U</w:t>
        </w:r>
      </w:hyperlink>
      <w:r w:rsidR="003D7B9E" w:rsidRPr="00D0398E">
        <w:rPr>
          <w:lang w:val="en-AU"/>
        </w:rPr>
        <w:t>.</w:t>
      </w:r>
    </w:p>
    <w:p w:rsidR="00B160EF" w:rsidRPr="00D0398E" w:rsidRDefault="00B160EF" w:rsidP="00837FC4">
      <w:pPr>
        <w:tabs>
          <w:tab w:val="left" w:pos="7773"/>
        </w:tabs>
        <w:rPr>
          <w:lang w:val="en-AU"/>
        </w:rPr>
      </w:pPr>
    </w:p>
    <w:p w:rsidR="00837FC4" w:rsidRPr="00D0398E" w:rsidRDefault="00B160EF" w:rsidP="004554DB">
      <w:pPr>
        <w:autoSpaceDE w:val="0"/>
        <w:rPr>
          <w:lang w:val="en-AU"/>
        </w:rPr>
      </w:pPr>
      <w:bookmarkStart w:id="1" w:name="OLE_LINK1"/>
      <w:r w:rsidRPr="00D0398E">
        <w:rPr>
          <w:lang w:val="en-AU"/>
        </w:rPr>
        <w:t xml:space="preserve">For information about the Commission and its programs and publications, please visit </w:t>
      </w:r>
      <w:hyperlink r:id="rId14" w:history="1">
        <w:r w:rsidR="00837FC4" w:rsidRPr="00D0398E">
          <w:rPr>
            <w:rStyle w:val="Hyperlink"/>
            <w:lang w:val="en-AU"/>
          </w:rPr>
          <w:t>http://www.safetyandquality.gov.au</w:t>
        </w:r>
      </w:hyperlink>
    </w:p>
    <w:p w:rsidR="00210235" w:rsidRPr="00D0398E" w:rsidRDefault="004554DB" w:rsidP="004554DB">
      <w:pPr>
        <w:autoSpaceDE w:val="0"/>
        <w:rPr>
          <w:lang w:val="en-AU"/>
        </w:rPr>
      </w:pPr>
      <w:r w:rsidRPr="00D0398E">
        <w:rPr>
          <w:lang w:val="en-AU"/>
        </w:rPr>
        <w:t>You can also follow us on Twitter @ACSQHC.</w:t>
      </w:r>
    </w:p>
    <w:p w:rsidR="00DD32E9" w:rsidRPr="00D0398E" w:rsidRDefault="00DD32E9" w:rsidP="004554DB">
      <w:pPr>
        <w:autoSpaceDE w:val="0"/>
        <w:rPr>
          <w:lang w:val="en-AU"/>
        </w:rPr>
      </w:pPr>
    </w:p>
    <w:p w:rsidR="00210235" w:rsidRPr="00D0398E" w:rsidRDefault="00210235" w:rsidP="00210235">
      <w:pPr>
        <w:keepNext/>
        <w:pBdr>
          <w:top w:val="single" w:sz="4" w:space="1" w:color="auto"/>
        </w:pBdr>
        <w:rPr>
          <w:b/>
          <w:lang w:val="en-AU"/>
        </w:rPr>
      </w:pPr>
      <w:r w:rsidRPr="00D0398E">
        <w:rPr>
          <w:b/>
          <w:lang w:val="en-AU"/>
        </w:rPr>
        <w:t>On the Radar</w:t>
      </w:r>
    </w:p>
    <w:p w:rsidR="00340157" w:rsidRPr="00D0398E" w:rsidRDefault="00340157" w:rsidP="00210235">
      <w:pPr>
        <w:keepNext/>
        <w:pBdr>
          <w:top w:val="single" w:sz="4" w:space="1" w:color="auto"/>
        </w:pBdr>
        <w:rPr>
          <w:bCs/>
          <w:lang w:val="en-AU"/>
        </w:rPr>
      </w:pPr>
      <w:r w:rsidRPr="00D0398E">
        <w:rPr>
          <w:bCs/>
          <w:lang w:val="en-AU"/>
        </w:rPr>
        <w:t xml:space="preserve">Editor: </w:t>
      </w:r>
      <w:r w:rsidR="00C8085B" w:rsidRPr="00D0398E">
        <w:rPr>
          <w:bCs/>
          <w:lang w:val="en-AU"/>
        </w:rPr>
        <w:t xml:space="preserve">Dr </w:t>
      </w:r>
      <w:r w:rsidRPr="00D0398E">
        <w:rPr>
          <w:bCs/>
          <w:lang w:val="en-AU"/>
        </w:rPr>
        <w:t xml:space="preserve">Niall Johnson </w:t>
      </w:r>
      <w:hyperlink r:id="rId15" w:history="1">
        <w:r w:rsidRPr="00D0398E">
          <w:rPr>
            <w:rStyle w:val="Hyperlink"/>
            <w:bCs/>
            <w:lang w:val="en-AU"/>
          </w:rPr>
          <w:t>niall.johnson@safetyandquality.gov.au</w:t>
        </w:r>
      </w:hyperlink>
    </w:p>
    <w:p w:rsidR="009A35BE" w:rsidRPr="00D0398E" w:rsidRDefault="00210235" w:rsidP="00A8296D">
      <w:pPr>
        <w:keepNext/>
        <w:pBdr>
          <w:top w:val="single" w:sz="4" w:space="1" w:color="auto"/>
        </w:pBdr>
        <w:rPr>
          <w:shd w:val="clear" w:color="auto" w:fill="FFFFFF"/>
          <w:lang w:val="en-AU"/>
        </w:rPr>
      </w:pPr>
      <w:r w:rsidRPr="00D0398E">
        <w:rPr>
          <w:bCs/>
          <w:lang w:val="en-AU"/>
        </w:rPr>
        <w:t xml:space="preserve">Contributors: </w:t>
      </w:r>
      <w:r w:rsidR="0056339A" w:rsidRPr="00D0398E">
        <w:rPr>
          <w:bCs/>
          <w:lang w:val="en-AU"/>
        </w:rPr>
        <w:t>Niall Johnson</w:t>
      </w:r>
      <w:bookmarkEnd w:id="1"/>
      <w:r w:rsidR="00C23CED">
        <w:rPr>
          <w:bCs/>
          <w:lang w:val="en-AU"/>
        </w:rPr>
        <w:t>, Luke Slawomirski</w:t>
      </w:r>
    </w:p>
    <w:p w:rsidR="00F34D09" w:rsidRPr="00D0398E" w:rsidRDefault="00F34D09" w:rsidP="00F34D09">
      <w:pPr>
        <w:rPr>
          <w:shd w:val="clear" w:color="auto" w:fill="FFFFFF"/>
          <w:lang w:val="en-AU"/>
        </w:rPr>
      </w:pPr>
    </w:p>
    <w:p w:rsidR="00C372BE" w:rsidRPr="00D0398E" w:rsidRDefault="00C372BE" w:rsidP="00F87778">
      <w:pPr>
        <w:keepNext/>
        <w:rPr>
          <w:b/>
          <w:lang w:val="en-AU"/>
        </w:rPr>
      </w:pPr>
      <w:r w:rsidRPr="00D0398E">
        <w:rPr>
          <w:b/>
          <w:lang w:val="en-AU"/>
        </w:rPr>
        <w:t>Reports</w:t>
      </w:r>
    </w:p>
    <w:p w:rsidR="00AF36C9" w:rsidRDefault="00AF36C9" w:rsidP="00385E41">
      <w:pPr>
        <w:keepNext/>
        <w:keepLines/>
        <w:autoSpaceDE w:val="0"/>
        <w:autoSpaceDN w:val="0"/>
        <w:adjustRightInd w:val="0"/>
        <w:rPr>
          <w:i/>
          <w:lang w:val="en-AU"/>
        </w:rPr>
      </w:pPr>
    </w:p>
    <w:p w:rsidR="00E93164" w:rsidRDefault="00E93164" w:rsidP="00E93164">
      <w:pPr>
        <w:keepNext/>
        <w:keepLines/>
        <w:autoSpaceDE w:val="0"/>
        <w:autoSpaceDN w:val="0"/>
        <w:adjustRightInd w:val="0"/>
        <w:rPr>
          <w:i/>
          <w:lang w:val="en-AU" w:eastAsia="en-AU"/>
        </w:rPr>
      </w:pPr>
      <w:r w:rsidRPr="009C106C">
        <w:rPr>
          <w:i/>
          <w:lang w:val="en-AU" w:eastAsia="en-AU"/>
        </w:rPr>
        <w:t>National Statement on Health Literacy</w:t>
      </w:r>
    </w:p>
    <w:p w:rsidR="00E93164" w:rsidRPr="009C106C" w:rsidRDefault="00E93164" w:rsidP="00E93164">
      <w:pPr>
        <w:keepNext/>
        <w:keepLines/>
        <w:autoSpaceDE w:val="0"/>
        <w:autoSpaceDN w:val="0"/>
        <w:adjustRightInd w:val="0"/>
        <w:rPr>
          <w:lang w:val="en-AU"/>
        </w:rPr>
      </w:pPr>
      <w:r w:rsidRPr="009C106C">
        <w:rPr>
          <w:lang w:val="en-AU" w:eastAsia="en-AU"/>
        </w:rPr>
        <w:t>Sydney, Australian Commission on Safety and Quality in Health Care, 2014.</w:t>
      </w:r>
    </w:p>
    <w:tbl>
      <w:tblPr>
        <w:tblStyle w:val="TableGrid"/>
        <w:tblW w:w="0" w:type="auto"/>
        <w:tblInd w:w="288" w:type="dxa"/>
        <w:tblLayout w:type="fixed"/>
        <w:tblLook w:val="01E0" w:firstRow="1" w:lastRow="1" w:firstColumn="1" w:lastColumn="1" w:noHBand="0" w:noVBand="0"/>
      </w:tblPr>
      <w:tblGrid>
        <w:gridCol w:w="1080"/>
        <w:gridCol w:w="8280"/>
      </w:tblGrid>
      <w:tr w:rsidR="00E93164" w:rsidRPr="00D0398E" w:rsidTr="004A0BDC">
        <w:tc>
          <w:tcPr>
            <w:tcW w:w="1080" w:type="dxa"/>
            <w:tcBorders>
              <w:top w:val="single" w:sz="4" w:space="0" w:color="auto"/>
              <w:left w:val="single" w:sz="4" w:space="0" w:color="auto"/>
              <w:bottom w:val="single" w:sz="4" w:space="0" w:color="auto"/>
              <w:right w:val="single" w:sz="4" w:space="0" w:color="auto"/>
            </w:tcBorders>
            <w:vAlign w:val="center"/>
          </w:tcPr>
          <w:p w:rsidR="00E93164" w:rsidRPr="00D0398E" w:rsidRDefault="00E93164" w:rsidP="004A0BD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93164" w:rsidRPr="00D0398E" w:rsidRDefault="00F00EA7" w:rsidP="004A0BDC">
            <w:pPr>
              <w:rPr>
                <w:lang w:val="en-AU"/>
              </w:rPr>
            </w:pPr>
            <w:hyperlink r:id="rId16" w:history="1">
              <w:r w:rsidR="00E93164" w:rsidRPr="007F0493">
                <w:rPr>
                  <w:rStyle w:val="Hyperlink"/>
                  <w:lang w:val="en-AU"/>
                </w:rPr>
                <w:t>http://www.safetyandquality.gov.au/publications/health-literacy-national-statement/</w:t>
              </w:r>
            </w:hyperlink>
            <w:r w:rsidR="00E93164">
              <w:rPr>
                <w:lang w:val="en-AU"/>
              </w:rPr>
              <w:t xml:space="preserve"> </w:t>
            </w:r>
          </w:p>
        </w:tc>
      </w:tr>
      <w:tr w:rsidR="00E93164" w:rsidRPr="00D0398E" w:rsidTr="004A0BDC">
        <w:tc>
          <w:tcPr>
            <w:tcW w:w="1080" w:type="dxa"/>
            <w:tcBorders>
              <w:top w:val="single" w:sz="4" w:space="0" w:color="auto"/>
              <w:left w:val="single" w:sz="4" w:space="0" w:color="auto"/>
              <w:bottom w:val="single" w:sz="4" w:space="0" w:color="auto"/>
              <w:right w:val="single" w:sz="4" w:space="0" w:color="auto"/>
            </w:tcBorders>
            <w:vAlign w:val="center"/>
          </w:tcPr>
          <w:p w:rsidR="00E93164" w:rsidRPr="00D0398E" w:rsidRDefault="00E93164" w:rsidP="004A0BDC">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3164" w:rsidRDefault="00E93164" w:rsidP="004A0BDC">
            <w:pPr>
              <w:keepNext/>
              <w:keepLines/>
              <w:autoSpaceDE w:val="0"/>
              <w:autoSpaceDN w:val="0"/>
              <w:adjustRightInd w:val="0"/>
              <w:rPr>
                <w:lang w:val="en-AU" w:eastAsia="en-AU"/>
              </w:rPr>
            </w:pPr>
            <w:r>
              <w:rPr>
                <w:lang w:val="en-AU" w:eastAsia="en-AU"/>
              </w:rPr>
              <w:t xml:space="preserve">The Australian Commission on Safety and Quality in Health Care has released the </w:t>
            </w:r>
            <w:r w:rsidRPr="009C106C">
              <w:rPr>
                <w:i/>
                <w:lang w:val="en-AU" w:eastAsia="en-AU"/>
              </w:rPr>
              <w:t>National Statement on Health Literacy</w:t>
            </w:r>
            <w:r>
              <w:rPr>
                <w:lang w:val="en-AU" w:eastAsia="en-AU"/>
              </w:rPr>
              <w:t>.</w:t>
            </w:r>
          </w:p>
          <w:p w:rsidR="00E93164" w:rsidRPr="009C106C" w:rsidRDefault="00E93164" w:rsidP="004A0BDC">
            <w:pPr>
              <w:keepNext/>
              <w:keepLines/>
              <w:autoSpaceDE w:val="0"/>
              <w:autoSpaceDN w:val="0"/>
              <w:adjustRightInd w:val="0"/>
              <w:rPr>
                <w:lang w:val="en-AU" w:eastAsia="en-AU"/>
              </w:rPr>
            </w:pPr>
            <w:r w:rsidRPr="009C106C">
              <w:rPr>
                <w:lang w:val="en-AU" w:eastAsia="en-AU"/>
              </w:rPr>
              <w:t>Almost 60% of Australians have a low level of individual health literacy. This is important to the safety, quality and effectiveness of health care.</w:t>
            </w:r>
            <w:r>
              <w:rPr>
                <w:lang w:val="en-AU" w:eastAsia="en-AU"/>
              </w:rPr>
              <w:t xml:space="preserve"> </w:t>
            </w:r>
            <w:r w:rsidRPr="009C106C">
              <w:rPr>
                <w:lang w:val="en-AU" w:eastAsia="en-AU"/>
              </w:rPr>
              <w:t>Low levels of individual health literacy contribute to poorer health outcomes, increased risk of an adverse event and higher healthcare costs. People with low levels of health literacy may not understand their medication instructions, be able to interpret nutrition labels on food, or be able to understand the risks associated with different treatment options enough to make an informed choice.</w:t>
            </w:r>
          </w:p>
          <w:p w:rsidR="00E93164" w:rsidRPr="009C106C" w:rsidRDefault="00E93164" w:rsidP="004A0BDC">
            <w:pPr>
              <w:keepNext/>
              <w:keepLines/>
              <w:autoSpaceDE w:val="0"/>
              <w:autoSpaceDN w:val="0"/>
              <w:adjustRightInd w:val="0"/>
              <w:rPr>
                <w:lang w:val="en-AU" w:eastAsia="en-AU"/>
              </w:rPr>
            </w:pPr>
            <w:r w:rsidRPr="009C106C">
              <w:rPr>
                <w:lang w:val="en-AU" w:eastAsia="en-AU"/>
              </w:rPr>
              <w:t>The Commission has been working with healthcare professionals, consumers, policy makers and researchers to explore the role that health literacy plays in safe and high-quality care and to develop a national approach as a basis for coordinated and collaborative action.</w:t>
            </w:r>
          </w:p>
          <w:p w:rsidR="00E93164" w:rsidRPr="009C106C" w:rsidRDefault="00E93164" w:rsidP="004A0BDC">
            <w:pPr>
              <w:keepNext/>
              <w:keepLines/>
              <w:autoSpaceDE w:val="0"/>
              <w:autoSpaceDN w:val="0"/>
              <w:adjustRightInd w:val="0"/>
              <w:rPr>
                <w:lang w:val="en-AU" w:eastAsia="en-AU"/>
              </w:rPr>
            </w:pPr>
            <w:r>
              <w:rPr>
                <w:lang w:val="en-AU" w:eastAsia="en-AU"/>
              </w:rPr>
              <w:lastRenderedPageBreak/>
              <w:t>T</w:t>
            </w:r>
            <w:r w:rsidRPr="009C106C">
              <w:rPr>
                <w:lang w:val="en-AU" w:eastAsia="en-AU"/>
              </w:rPr>
              <w:t>he National Statement on Health Literacy proposes a coordinated approach to health literacy based on:</w:t>
            </w:r>
          </w:p>
          <w:p w:rsidR="00E93164" w:rsidRPr="009C106C" w:rsidRDefault="00E93164" w:rsidP="004A0BDC">
            <w:pPr>
              <w:pStyle w:val="ListParagraph"/>
              <w:keepNext/>
              <w:keepLines/>
              <w:numPr>
                <w:ilvl w:val="0"/>
                <w:numId w:val="42"/>
              </w:numPr>
              <w:autoSpaceDE w:val="0"/>
              <w:autoSpaceDN w:val="0"/>
              <w:adjustRightInd w:val="0"/>
              <w:rPr>
                <w:lang w:val="en-AU" w:eastAsia="en-AU"/>
              </w:rPr>
            </w:pPr>
            <w:r w:rsidRPr="009C106C">
              <w:rPr>
                <w:lang w:val="en-AU" w:eastAsia="en-AU"/>
              </w:rPr>
              <w:t xml:space="preserve">embedding health literacy into systems </w:t>
            </w:r>
          </w:p>
          <w:p w:rsidR="00E93164" w:rsidRPr="009C106C" w:rsidRDefault="00E93164" w:rsidP="004A0BDC">
            <w:pPr>
              <w:pStyle w:val="ListParagraph"/>
              <w:keepNext/>
              <w:keepLines/>
              <w:numPr>
                <w:ilvl w:val="0"/>
                <w:numId w:val="42"/>
              </w:numPr>
              <w:autoSpaceDE w:val="0"/>
              <w:autoSpaceDN w:val="0"/>
              <w:adjustRightInd w:val="0"/>
              <w:rPr>
                <w:lang w:val="en-AU" w:eastAsia="en-AU"/>
              </w:rPr>
            </w:pPr>
            <w:r w:rsidRPr="009C106C">
              <w:rPr>
                <w:lang w:val="en-AU" w:eastAsia="en-AU"/>
              </w:rPr>
              <w:t xml:space="preserve">ensuring effective communication </w:t>
            </w:r>
          </w:p>
          <w:p w:rsidR="00E93164" w:rsidRPr="009C106C" w:rsidRDefault="00E93164" w:rsidP="004A0BDC">
            <w:pPr>
              <w:pStyle w:val="ListParagraph"/>
              <w:keepNext/>
              <w:keepLines/>
              <w:numPr>
                <w:ilvl w:val="0"/>
                <w:numId w:val="42"/>
              </w:numPr>
              <w:autoSpaceDE w:val="0"/>
              <w:autoSpaceDN w:val="0"/>
              <w:adjustRightInd w:val="0"/>
              <w:rPr>
                <w:lang w:val="en-AU" w:eastAsia="en-AU"/>
              </w:rPr>
            </w:pPr>
            <w:r w:rsidRPr="009C106C">
              <w:rPr>
                <w:lang w:val="en-AU" w:eastAsia="en-AU"/>
              </w:rPr>
              <w:t>integrating health literacy into education.</w:t>
            </w:r>
          </w:p>
          <w:p w:rsidR="00E93164" w:rsidRPr="00D0398E" w:rsidRDefault="00E93164" w:rsidP="004A0BDC">
            <w:pPr>
              <w:keepNext/>
              <w:keepLines/>
              <w:autoSpaceDE w:val="0"/>
              <w:autoSpaceDN w:val="0"/>
              <w:adjustRightInd w:val="0"/>
              <w:rPr>
                <w:lang w:val="en-AU" w:eastAsia="en-AU"/>
              </w:rPr>
            </w:pPr>
            <w:r w:rsidRPr="009C106C">
              <w:rPr>
                <w:lang w:val="en-AU" w:eastAsia="en-AU"/>
              </w:rPr>
              <w:t>This has now been endorsed by Australian, state and territory Health Ministers as the national approach to health literacy.</w:t>
            </w:r>
          </w:p>
        </w:tc>
      </w:tr>
    </w:tbl>
    <w:p w:rsidR="00E93164" w:rsidRPr="00D0398E" w:rsidRDefault="00E93164" w:rsidP="00E93164">
      <w:pPr>
        <w:keepNext/>
        <w:keepLines/>
        <w:autoSpaceDE w:val="0"/>
        <w:autoSpaceDN w:val="0"/>
        <w:adjustRightInd w:val="0"/>
        <w:rPr>
          <w:i/>
          <w:lang w:val="en-AU"/>
        </w:rPr>
      </w:pPr>
    </w:p>
    <w:p w:rsidR="00243193" w:rsidRDefault="00243193" w:rsidP="00F65BB9">
      <w:pPr>
        <w:keepNext/>
        <w:keepLines/>
        <w:autoSpaceDE w:val="0"/>
        <w:autoSpaceDN w:val="0"/>
        <w:adjustRightInd w:val="0"/>
        <w:rPr>
          <w:i/>
          <w:lang w:val="en-AU"/>
        </w:rPr>
      </w:pPr>
    </w:p>
    <w:p w:rsidR="00A30DF9" w:rsidRPr="00D0398E" w:rsidRDefault="00254636" w:rsidP="00771468">
      <w:pPr>
        <w:keepNext/>
        <w:rPr>
          <w:b/>
          <w:lang w:val="en-AU"/>
        </w:rPr>
      </w:pPr>
      <w:r w:rsidRPr="00D0398E">
        <w:rPr>
          <w:b/>
          <w:lang w:val="en-AU"/>
        </w:rPr>
        <w:t>Journal articles</w:t>
      </w:r>
    </w:p>
    <w:p w:rsidR="004B37A8" w:rsidRDefault="004B37A8" w:rsidP="00047DE3">
      <w:pPr>
        <w:keepNext/>
        <w:keepLines/>
        <w:autoSpaceDE w:val="0"/>
        <w:autoSpaceDN w:val="0"/>
        <w:adjustRightInd w:val="0"/>
        <w:rPr>
          <w:i/>
          <w:lang w:val="en-AU"/>
        </w:rPr>
      </w:pPr>
    </w:p>
    <w:p w:rsidR="00047DE3" w:rsidRPr="00BF2938" w:rsidRDefault="00BF2938" w:rsidP="00047DE3">
      <w:pPr>
        <w:keepNext/>
        <w:keepLines/>
        <w:autoSpaceDE w:val="0"/>
        <w:autoSpaceDN w:val="0"/>
        <w:adjustRightInd w:val="0"/>
        <w:rPr>
          <w:i/>
          <w:lang w:val="en-AU"/>
        </w:rPr>
      </w:pPr>
      <w:r w:rsidRPr="00BF2938">
        <w:rPr>
          <w:i/>
          <w:lang w:val="en-AU"/>
        </w:rPr>
        <w:t>Adverse events in healthcare: learning from mistakes</w:t>
      </w:r>
    </w:p>
    <w:p w:rsidR="00BF2938" w:rsidRDefault="00BF2938" w:rsidP="00047DE3">
      <w:pPr>
        <w:keepNext/>
        <w:keepLines/>
        <w:autoSpaceDE w:val="0"/>
        <w:autoSpaceDN w:val="0"/>
        <w:adjustRightInd w:val="0"/>
        <w:rPr>
          <w:lang w:val="en-AU"/>
        </w:rPr>
      </w:pPr>
      <w:r w:rsidRPr="00BF2938">
        <w:rPr>
          <w:lang w:val="en-AU"/>
        </w:rPr>
        <w:t>Rafter N, Hickey A, Condell S, Conroy R, O'Connor P, Vaughan D, et al</w:t>
      </w:r>
    </w:p>
    <w:p w:rsidR="00BF2938" w:rsidRPr="00D0398E" w:rsidRDefault="00BF2938" w:rsidP="00047DE3">
      <w:pPr>
        <w:keepNext/>
        <w:keepLines/>
        <w:autoSpaceDE w:val="0"/>
        <w:autoSpaceDN w:val="0"/>
        <w:adjustRightInd w:val="0"/>
        <w:rPr>
          <w:lang w:val="en-AU"/>
        </w:rPr>
      </w:pPr>
      <w:r w:rsidRPr="00BF2938">
        <w:rPr>
          <w:lang w:val="en-AU"/>
        </w:rPr>
        <w:t xml:space="preserve">QJM. 2014 </w:t>
      </w:r>
      <w:r>
        <w:rPr>
          <w:lang w:val="en-AU"/>
        </w:rPr>
        <w:t>[epub]</w:t>
      </w:r>
    </w:p>
    <w:tbl>
      <w:tblPr>
        <w:tblStyle w:val="TableGrid"/>
        <w:tblW w:w="0" w:type="auto"/>
        <w:tblInd w:w="288" w:type="dxa"/>
        <w:tblLayout w:type="fixed"/>
        <w:tblLook w:val="01E0" w:firstRow="1" w:lastRow="1" w:firstColumn="1" w:lastColumn="1" w:noHBand="0" w:noVBand="0"/>
      </w:tblPr>
      <w:tblGrid>
        <w:gridCol w:w="1080"/>
        <w:gridCol w:w="8280"/>
      </w:tblGrid>
      <w:tr w:rsidR="00047DE3"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047DE3" w:rsidRPr="00D0398E" w:rsidRDefault="00047DE3" w:rsidP="007B4848">
            <w:pPr>
              <w:rPr>
                <w:lang w:val="en-AU"/>
              </w:rPr>
            </w:pPr>
            <w:r w:rsidRPr="00D0398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7DE3" w:rsidRPr="00D0398E" w:rsidRDefault="00F00EA7" w:rsidP="007B4848">
            <w:pPr>
              <w:rPr>
                <w:lang w:val="en-AU"/>
              </w:rPr>
            </w:pPr>
            <w:hyperlink r:id="rId17" w:history="1">
              <w:r w:rsidR="00BF2938" w:rsidRPr="004E1DA3">
                <w:rPr>
                  <w:rStyle w:val="Hyperlink"/>
                  <w:lang w:val="en-AU"/>
                </w:rPr>
                <w:t>http://dx.doi.org/10.1093/qjmed/hcu145</w:t>
              </w:r>
            </w:hyperlink>
          </w:p>
        </w:tc>
      </w:tr>
      <w:tr w:rsidR="00047DE3" w:rsidRPr="00D0398E" w:rsidTr="007B4848">
        <w:tc>
          <w:tcPr>
            <w:tcW w:w="1080" w:type="dxa"/>
            <w:tcBorders>
              <w:top w:val="single" w:sz="4" w:space="0" w:color="auto"/>
              <w:left w:val="single" w:sz="4" w:space="0" w:color="auto"/>
              <w:bottom w:val="single" w:sz="4" w:space="0" w:color="auto"/>
              <w:right w:val="single" w:sz="4" w:space="0" w:color="auto"/>
            </w:tcBorders>
            <w:vAlign w:val="center"/>
          </w:tcPr>
          <w:p w:rsidR="00047DE3" w:rsidRPr="00D0398E" w:rsidRDefault="00047DE3" w:rsidP="007B4848">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2938" w:rsidRDefault="00BF2938" w:rsidP="00BF2938">
            <w:pPr>
              <w:rPr>
                <w:lang w:val="en-AU" w:eastAsia="en-AU"/>
              </w:rPr>
            </w:pPr>
            <w:r>
              <w:rPr>
                <w:lang w:val="en-AU" w:eastAsia="en-AU"/>
              </w:rPr>
              <w:t xml:space="preserve">In this review article the authors remind us that it is estimated that approximately </w:t>
            </w:r>
            <w:r w:rsidRPr="00BF2938">
              <w:rPr>
                <w:lang w:val="en-AU" w:eastAsia="en-AU"/>
              </w:rPr>
              <w:t>10% of hospital admissions are associated with an adverse event (an injury resulting in prolonged hospitali</w:t>
            </w:r>
            <w:r w:rsidR="00633DBF">
              <w:rPr>
                <w:lang w:val="en-AU" w:eastAsia="en-AU"/>
              </w:rPr>
              <w:t>s</w:t>
            </w:r>
            <w:r w:rsidRPr="00BF2938">
              <w:rPr>
                <w:lang w:val="en-AU" w:eastAsia="en-AU"/>
              </w:rPr>
              <w:t>ation, disability or death, caused by healthcare management)</w:t>
            </w:r>
            <w:r>
              <w:rPr>
                <w:lang w:val="en-AU" w:eastAsia="en-AU"/>
              </w:rPr>
              <w:t>. Also noting that many of these are preventable, they discuss how identification and reporting of events is an important step in addressing them.</w:t>
            </w:r>
            <w:r w:rsidR="00633DBF">
              <w:rPr>
                <w:lang w:val="en-AU" w:eastAsia="en-AU"/>
              </w:rPr>
              <w:t xml:space="preserve"> In discussing various ways of measuring events, they also cover some of the limitations.</w:t>
            </w:r>
          </w:p>
          <w:p w:rsidR="00BF2938" w:rsidRPr="00D0398E" w:rsidRDefault="00633DBF" w:rsidP="00633DBF">
            <w:pPr>
              <w:rPr>
                <w:lang w:val="en-AU" w:eastAsia="en-AU"/>
              </w:rPr>
            </w:pPr>
            <w:r>
              <w:rPr>
                <w:lang w:val="en-AU" w:eastAsia="en-AU"/>
              </w:rPr>
              <w:t xml:space="preserve">The authors also </w:t>
            </w:r>
            <w:r w:rsidR="00BF2938" w:rsidRPr="00BF2938">
              <w:rPr>
                <w:lang w:val="en-AU" w:eastAsia="en-AU"/>
              </w:rPr>
              <w:t xml:space="preserve">discuss the need for a </w:t>
            </w:r>
            <w:r w:rsidRPr="00633DBF">
              <w:rPr>
                <w:b/>
                <w:lang w:val="en-AU" w:eastAsia="en-AU"/>
              </w:rPr>
              <w:t xml:space="preserve">learning </w:t>
            </w:r>
            <w:r w:rsidR="00BF2938" w:rsidRPr="00633DBF">
              <w:rPr>
                <w:b/>
                <w:lang w:val="en-AU" w:eastAsia="en-AU"/>
              </w:rPr>
              <w:t>safety culture</w:t>
            </w:r>
            <w:r w:rsidR="00BF2938" w:rsidRPr="00BF2938">
              <w:rPr>
                <w:lang w:val="en-AU" w:eastAsia="en-AU"/>
              </w:rPr>
              <w:t xml:space="preserve">, describe ways to </w:t>
            </w:r>
            <w:r w:rsidR="00BF2938" w:rsidRPr="00633DBF">
              <w:rPr>
                <w:b/>
                <w:lang w:val="en-AU" w:eastAsia="en-AU"/>
              </w:rPr>
              <w:t>measure adverse events</w:t>
            </w:r>
            <w:r w:rsidR="00BF2938" w:rsidRPr="00BF2938">
              <w:rPr>
                <w:lang w:val="en-AU" w:eastAsia="en-AU"/>
              </w:rPr>
              <w:t xml:space="preserve">, and comment on why current adverse event monitoring </w:t>
            </w:r>
            <w:r>
              <w:rPr>
                <w:lang w:val="en-AU" w:eastAsia="en-AU"/>
              </w:rPr>
              <w:t xml:space="preserve">in limited in showing </w:t>
            </w:r>
            <w:r w:rsidR="00BF2938" w:rsidRPr="00BF2938">
              <w:rPr>
                <w:lang w:val="en-AU" w:eastAsia="en-AU"/>
              </w:rPr>
              <w:t>trends in patient safety.</w:t>
            </w:r>
          </w:p>
        </w:tc>
      </w:tr>
    </w:tbl>
    <w:p w:rsidR="00F46A65" w:rsidRDefault="00F46A65" w:rsidP="005A3345">
      <w:pPr>
        <w:rPr>
          <w:i/>
          <w:lang w:val="en-AU"/>
        </w:rPr>
      </w:pPr>
    </w:p>
    <w:p w:rsidR="00F46A65" w:rsidRPr="00BF2938" w:rsidRDefault="00BF2938" w:rsidP="00F46A65">
      <w:pPr>
        <w:keepNext/>
        <w:keepLines/>
        <w:autoSpaceDE w:val="0"/>
        <w:autoSpaceDN w:val="0"/>
        <w:adjustRightInd w:val="0"/>
        <w:rPr>
          <w:i/>
          <w:lang w:val="en-AU"/>
        </w:rPr>
      </w:pPr>
      <w:r w:rsidRPr="00BF2938">
        <w:rPr>
          <w:i/>
          <w:lang w:val="en-AU"/>
        </w:rPr>
        <w:t>Older folks in hospitals: the contributing factors and recommendations for incident prevention</w:t>
      </w:r>
    </w:p>
    <w:p w:rsidR="00633DBF" w:rsidRDefault="00633DBF" w:rsidP="00F46A65">
      <w:pPr>
        <w:keepNext/>
        <w:keepLines/>
        <w:autoSpaceDE w:val="0"/>
        <w:autoSpaceDN w:val="0"/>
        <w:adjustRightInd w:val="0"/>
        <w:rPr>
          <w:lang w:val="en-AU"/>
        </w:rPr>
      </w:pPr>
      <w:r w:rsidRPr="00633DBF">
        <w:rPr>
          <w:lang w:val="en-AU"/>
        </w:rPr>
        <w:t>Mansah M, Griffiths R, Fernandez R, Chang E, Thuy Tran D</w:t>
      </w:r>
    </w:p>
    <w:p w:rsidR="00BF2938" w:rsidRPr="00D0398E" w:rsidRDefault="00633DBF" w:rsidP="00F46A65">
      <w:pPr>
        <w:keepNext/>
        <w:keepLines/>
        <w:autoSpaceDE w:val="0"/>
        <w:autoSpaceDN w:val="0"/>
        <w:adjustRightInd w:val="0"/>
        <w:rPr>
          <w:lang w:val="en-AU"/>
        </w:rPr>
      </w:pPr>
      <w:r w:rsidRPr="00633DBF">
        <w:rPr>
          <w:lang w:val="en-AU"/>
        </w:rPr>
        <w:t>Journal of Patient Safety. 2014 Sep;10(3):146-53.</w:t>
      </w:r>
    </w:p>
    <w:tbl>
      <w:tblPr>
        <w:tblStyle w:val="TableGrid"/>
        <w:tblW w:w="0" w:type="auto"/>
        <w:tblInd w:w="288" w:type="dxa"/>
        <w:tblLayout w:type="fixed"/>
        <w:tblLook w:val="01E0" w:firstRow="1" w:lastRow="1" w:firstColumn="1" w:lastColumn="1" w:noHBand="0" w:noVBand="0"/>
      </w:tblPr>
      <w:tblGrid>
        <w:gridCol w:w="1080"/>
        <w:gridCol w:w="8280"/>
      </w:tblGrid>
      <w:tr w:rsidR="00F46A65" w:rsidRPr="00D0398E" w:rsidTr="00535CC6">
        <w:tc>
          <w:tcPr>
            <w:tcW w:w="1080" w:type="dxa"/>
            <w:tcBorders>
              <w:top w:val="single" w:sz="4" w:space="0" w:color="auto"/>
              <w:left w:val="single" w:sz="4" w:space="0" w:color="auto"/>
              <w:bottom w:val="single" w:sz="4" w:space="0" w:color="auto"/>
              <w:right w:val="single" w:sz="4" w:space="0" w:color="auto"/>
            </w:tcBorders>
            <w:vAlign w:val="center"/>
          </w:tcPr>
          <w:p w:rsidR="00F46A65" w:rsidRPr="00D0398E" w:rsidRDefault="00F46A65" w:rsidP="00535CC6">
            <w:pPr>
              <w:rPr>
                <w:lang w:val="en-AU"/>
              </w:rPr>
            </w:pPr>
            <w:r w:rsidRPr="00D0398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6A65" w:rsidRPr="00D0398E" w:rsidRDefault="00F00EA7" w:rsidP="00535CC6">
            <w:pPr>
              <w:rPr>
                <w:lang w:val="en-AU"/>
              </w:rPr>
            </w:pPr>
            <w:hyperlink r:id="rId18" w:history="1">
              <w:r w:rsidR="00BF2938" w:rsidRPr="004E1DA3">
                <w:rPr>
                  <w:rStyle w:val="Hyperlink"/>
                  <w:lang w:val="en-AU"/>
                </w:rPr>
                <w:t>http://dx.doi.org/10.1097/PTS.0b013e31829954fd</w:t>
              </w:r>
            </w:hyperlink>
          </w:p>
        </w:tc>
      </w:tr>
      <w:tr w:rsidR="00F46A65" w:rsidRPr="00D0398E" w:rsidTr="00535CC6">
        <w:tc>
          <w:tcPr>
            <w:tcW w:w="1080" w:type="dxa"/>
            <w:tcBorders>
              <w:top w:val="single" w:sz="4" w:space="0" w:color="auto"/>
              <w:left w:val="single" w:sz="4" w:space="0" w:color="auto"/>
              <w:bottom w:val="single" w:sz="4" w:space="0" w:color="auto"/>
              <w:right w:val="single" w:sz="4" w:space="0" w:color="auto"/>
            </w:tcBorders>
            <w:vAlign w:val="center"/>
          </w:tcPr>
          <w:p w:rsidR="00F46A65" w:rsidRPr="00D0398E" w:rsidRDefault="00F46A65" w:rsidP="00535CC6">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3DBF" w:rsidRDefault="00633DBF" w:rsidP="00633DBF">
            <w:pPr>
              <w:rPr>
                <w:lang w:val="en-AU" w:eastAsia="en-AU"/>
              </w:rPr>
            </w:pPr>
            <w:r>
              <w:rPr>
                <w:lang w:val="en-AU" w:eastAsia="en-AU"/>
              </w:rPr>
              <w:t xml:space="preserve">This paper offers a </w:t>
            </w:r>
            <w:r w:rsidRPr="00633DBF">
              <w:rPr>
                <w:lang w:val="en-AU" w:eastAsia="en-AU"/>
              </w:rPr>
              <w:t xml:space="preserve">retrospective review of incident reports at a tertiary care hospital </w:t>
            </w:r>
            <w:r>
              <w:rPr>
                <w:lang w:val="en-AU" w:eastAsia="en-AU"/>
              </w:rPr>
              <w:t xml:space="preserve">in Sydney relating to older patients. The study examined </w:t>
            </w:r>
            <w:r w:rsidRPr="00633DBF">
              <w:rPr>
                <w:lang w:val="en-AU" w:eastAsia="en-AU"/>
              </w:rPr>
              <w:t xml:space="preserve">the Incident Information Management System and Root Cause Analysis databases </w:t>
            </w:r>
            <w:r>
              <w:rPr>
                <w:lang w:val="en-AU" w:eastAsia="en-AU"/>
              </w:rPr>
              <w:t xml:space="preserve">covering the period 1 </w:t>
            </w:r>
            <w:r w:rsidRPr="00633DBF">
              <w:rPr>
                <w:lang w:val="en-AU" w:eastAsia="en-AU"/>
              </w:rPr>
              <w:t xml:space="preserve">July 2005 to </w:t>
            </w:r>
            <w:r>
              <w:rPr>
                <w:lang w:val="en-AU" w:eastAsia="en-AU"/>
              </w:rPr>
              <w:t xml:space="preserve">30 </w:t>
            </w:r>
            <w:r w:rsidRPr="00633DBF">
              <w:rPr>
                <w:lang w:val="en-AU" w:eastAsia="en-AU"/>
              </w:rPr>
              <w:t>June 2006,</w:t>
            </w:r>
          </w:p>
          <w:p w:rsidR="00633DBF" w:rsidRPr="00D0398E" w:rsidRDefault="00633DBF" w:rsidP="00AD4408">
            <w:pPr>
              <w:rPr>
                <w:lang w:val="en-AU" w:eastAsia="en-AU"/>
              </w:rPr>
            </w:pPr>
            <w:r>
              <w:rPr>
                <w:lang w:val="en-AU" w:eastAsia="en-AU"/>
              </w:rPr>
              <w:t xml:space="preserve">The most common adverse events in the 643 reported incidents were, unsurprisingly, </w:t>
            </w:r>
            <w:r w:rsidRPr="00633DBF">
              <w:rPr>
                <w:lang w:val="en-AU" w:eastAsia="en-AU"/>
              </w:rPr>
              <w:t xml:space="preserve">related to </w:t>
            </w:r>
            <w:r w:rsidRPr="00633DBF">
              <w:rPr>
                <w:b/>
                <w:lang w:val="en-AU" w:eastAsia="en-AU"/>
              </w:rPr>
              <w:t>falls</w:t>
            </w:r>
            <w:r>
              <w:rPr>
                <w:b/>
                <w:lang w:val="en-AU" w:eastAsia="en-AU"/>
              </w:rPr>
              <w:t xml:space="preserve"> </w:t>
            </w:r>
            <w:r w:rsidRPr="00633DBF">
              <w:rPr>
                <w:lang w:val="en-AU" w:eastAsia="en-AU"/>
              </w:rPr>
              <w:t xml:space="preserve">(309), </w:t>
            </w:r>
            <w:r w:rsidRPr="00633DBF">
              <w:rPr>
                <w:b/>
                <w:lang w:val="en-AU" w:eastAsia="en-AU"/>
              </w:rPr>
              <w:t>medication</w:t>
            </w:r>
            <w:r w:rsidRPr="00633DBF">
              <w:rPr>
                <w:lang w:val="en-AU" w:eastAsia="en-AU"/>
              </w:rPr>
              <w:t xml:space="preserve"> </w:t>
            </w:r>
            <w:r>
              <w:rPr>
                <w:lang w:val="en-AU" w:eastAsia="en-AU"/>
              </w:rPr>
              <w:t>errors (136)</w:t>
            </w:r>
            <w:r w:rsidRPr="00633DBF">
              <w:rPr>
                <w:lang w:val="en-AU" w:eastAsia="en-AU"/>
              </w:rPr>
              <w:t xml:space="preserve">, and </w:t>
            </w:r>
            <w:r w:rsidRPr="00633DBF">
              <w:rPr>
                <w:b/>
                <w:lang w:val="en-AU" w:eastAsia="en-AU"/>
              </w:rPr>
              <w:t xml:space="preserve">clinical </w:t>
            </w:r>
            <w:r>
              <w:rPr>
                <w:b/>
                <w:lang w:val="en-AU" w:eastAsia="en-AU"/>
              </w:rPr>
              <w:t xml:space="preserve">management </w:t>
            </w:r>
            <w:r w:rsidRPr="00633DBF">
              <w:rPr>
                <w:lang w:val="en-AU" w:eastAsia="en-AU"/>
              </w:rPr>
              <w:t>(104)</w:t>
            </w:r>
            <w:r w:rsidR="00AD4408">
              <w:rPr>
                <w:lang w:val="en-AU" w:eastAsia="en-AU"/>
              </w:rPr>
              <w:t>.</w:t>
            </w:r>
            <w:r w:rsidRPr="00633DBF">
              <w:rPr>
                <w:lang w:val="en-AU" w:eastAsia="en-AU"/>
              </w:rPr>
              <w:t xml:space="preserve"> </w:t>
            </w:r>
            <w:r w:rsidR="00AD4408">
              <w:rPr>
                <w:lang w:val="en-AU" w:eastAsia="en-AU"/>
              </w:rPr>
              <w:t>T</w:t>
            </w:r>
            <w:r>
              <w:rPr>
                <w:lang w:val="en-AU" w:eastAsia="en-AU"/>
              </w:rPr>
              <w:t>he authors note</w:t>
            </w:r>
            <w:r w:rsidRPr="00633DBF">
              <w:rPr>
                <w:lang w:val="en-AU" w:eastAsia="en-AU"/>
              </w:rPr>
              <w:t xml:space="preserve"> </w:t>
            </w:r>
            <w:r>
              <w:rPr>
                <w:lang w:val="en-AU" w:eastAsia="en-AU"/>
              </w:rPr>
              <w:t>“</w:t>
            </w:r>
            <w:r w:rsidRPr="00633DBF">
              <w:rPr>
                <w:lang w:val="en-AU" w:eastAsia="en-AU"/>
              </w:rPr>
              <w:t>the failure of clinicians to follow policies and procedures and poor communication between clinicians contributed to these incidents</w:t>
            </w:r>
            <w:r>
              <w:rPr>
                <w:lang w:val="en-AU" w:eastAsia="en-AU"/>
              </w:rPr>
              <w:t>”</w:t>
            </w:r>
            <w:r w:rsidRPr="00633DBF">
              <w:rPr>
                <w:lang w:val="en-AU" w:eastAsia="en-AU"/>
              </w:rPr>
              <w:t>.</w:t>
            </w:r>
          </w:p>
        </w:tc>
      </w:tr>
    </w:tbl>
    <w:p w:rsidR="00F46A65" w:rsidRDefault="00F46A65" w:rsidP="00F46A65">
      <w:pPr>
        <w:rPr>
          <w:i/>
          <w:lang w:val="en-AU"/>
        </w:rPr>
      </w:pPr>
    </w:p>
    <w:p w:rsidR="0010174D" w:rsidRDefault="0010174D" w:rsidP="00F46A65">
      <w:pPr>
        <w:rPr>
          <w:i/>
          <w:lang w:val="en-AU"/>
        </w:rPr>
      </w:pPr>
    </w:p>
    <w:p w:rsidR="0010174D" w:rsidRDefault="0010174D" w:rsidP="00F46A65">
      <w:pPr>
        <w:rPr>
          <w:i/>
          <w:lang w:val="en-AU"/>
        </w:rPr>
      </w:pPr>
    </w:p>
    <w:p w:rsidR="00361F95" w:rsidRPr="004B0E69" w:rsidRDefault="00361F95" w:rsidP="00361F95">
      <w:pPr>
        <w:keepNext/>
        <w:keepLines/>
        <w:autoSpaceDE w:val="0"/>
        <w:autoSpaceDN w:val="0"/>
        <w:adjustRightInd w:val="0"/>
        <w:rPr>
          <w:i/>
          <w:lang w:val="en-AU"/>
        </w:rPr>
      </w:pPr>
      <w:r w:rsidRPr="004B0E69">
        <w:rPr>
          <w:i/>
          <w:lang w:val="en-AU"/>
        </w:rPr>
        <w:t>Australian Health Review</w:t>
      </w:r>
    </w:p>
    <w:p w:rsidR="00361F95" w:rsidRPr="0048169F" w:rsidRDefault="00361F95" w:rsidP="00361F95">
      <w:pPr>
        <w:keepNext/>
        <w:keepLines/>
        <w:autoSpaceDE w:val="0"/>
        <w:autoSpaceDN w:val="0"/>
        <w:adjustRightInd w:val="0"/>
        <w:rPr>
          <w:lang w:val="en-AU"/>
        </w:rPr>
      </w:pPr>
      <w:r>
        <w:rPr>
          <w:lang w:val="en-AU"/>
        </w:rPr>
        <w:t>Vol. 38, No. 4. 2014</w:t>
      </w:r>
    </w:p>
    <w:tbl>
      <w:tblPr>
        <w:tblStyle w:val="TableGrid"/>
        <w:tblW w:w="0" w:type="auto"/>
        <w:tblInd w:w="288" w:type="dxa"/>
        <w:tblLayout w:type="fixed"/>
        <w:tblLook w:val="01E0" w:firstRow="1" w:lastRow="1" w:firstColumn="1" w:lastColumn="1" w:noHBand="0" w:noVBand="0"/>
      </w:tblPr>
      <w:tblGrid>
        <w:gridCol w:w="1080"/>
        <w:gridCol w:w="8280"/>
      </w:tblGrid>
      <w:tr w:rsidR="00361F95" w:rsidRPr="0048169F" w:rsidTr="004A0BDC">
        <w:tc>
          <w:tcPr>
            <w:tcW w:w="1080" w:type="dxa"/>
            <w:tcBorders>
              <w:top w:val="single" w:sz="4" w:space="0" w:color="auto"/>
              <w:left w:val="single" w:sz="4" w:space="0" w:color="auto"/>
              <w:bottom w:val="single" w:sz="4" w:space="0" w:color="auto"/>
              <w:right w:val="single" w:sz="4" w:space="0" w:color="auto"/>
            </w:tcBorders>
            <w:vAlign w:val="center"/>
          </w:tcPr>
          <w:p w:rsidR="00361F95" w:rsidRPr="0048169F" w:rsidRDefault="00361F95" w:rsidP="004A0BD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61F95" w:rsidRPr="0048169F" w:rsidRDefault="00F00EA7" w:rsidP="004A0BDC">
            <w:pPr>
              <w:rPr>
                <w:lang w:val="en-AU"/>
              </w:rPr>
            </w:pPr>
            <w:hyperlink r:id="rId19" w:history="1">
              <w:r w:rsidR="00361F95" w:rsidRPr="004E1DA3">
                <w:rPr>
                  <w:rStyle w:val="Hyperlink"/>
                  <w:lang w:val="en-AU"/>
                </w:rPr>
                <w:t>http://www.publish.csiro.au/nid/270/issue/7057.htm</w:t>
              </w:r>
            </w:hyperlink>
            <w:r w:rsidR="00361F95">
              <w:rPr>
                <w:lang w:val="en-AU"/>
              </w:rPr>
              <w:t xml:space="preserve"> </w:t>
            </w:r>
          </w:p>
        </w:tc>
      </w:tr>
      <w:tr w:rsidR="00361F95" w:rsidRPr="0048169F" w:rsidTr="004A0BDC">
        <w:tc>
          <w:tcPr>
            <w:tcW w:w="1080" w:type="dxa"/>
            <w:tcBorders>
              <w:top w:val="single" w:sz="4" w:space="0" w:color="auto"/>
              <w:left w:val="single" w:sz="4" w:space="0" w:color="auto"/>
              <w:bottom w:val="single" w:sz="4" w:space="0" w:color="auto"/>
              <w:right w:val="single" w:sz="4" w:space="0" w:color="auto"/>
            </w:tcBorders>
            <w:vAlign w:val="center"/>
          </w:tcPr>
          <w:p w:rsidR="00361F95" w:rsidRPr="0048169F" w:rsidRDefault="00361F95" w:rsidP="004A0BDC">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1F95" w:rsidRDefault="00361F95" w:rsidP="004A0BDC">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361F95" w:rsidRPr="00361F95" w:rsidRDefault="00361F95" w:rsidP="00361F95">
            <w:pPr>
              <w:pStyle w:val="ListParagraph"/>
              <w:numPr>
                <w:ilvl w:val="0"/>
                <w:numId w:val="23"/>
              </w:numPr>
              <w:rPr>
                <w:lang w:val="en-AU"/>
              </w:rPr>
            </w:pPr>
            <w:r w:rsidRPr="00361F95">
              <w:rPr>
                <w:b/>
                <w:lang w:val="en-AU"/>
              </w:rPr>
              <w:t>Synthesised Geriatric Assessment</w:t>
            </w:r>
            <w:r w:rsidRPr="00361F95">
              <w:rPr>
                <w:lang w:val="en-AU"/>
              </w:rPr>
              <w:t xml:space="preserve"> in the Emergency Department setting: is it NEAT? (</w:t>
            </w:r>
            <w:r>
              <w:rPr>
                <w:lang w:val="en-AU"/>
              </w:rPr>
              <w:t>Alan Nguyen, Lahn Straney</w:t>
            </w:r>
            <w:r w:rsidRPr="00361F95">
              <w:rPr>
                <w:lang w:val="en-AU"/>
              </w:rPr>
              <w:t>, P</w:t>
            </w:r>
            <w:r>
              <w:rPr>
                <w:lang w:val="en-AU"/>
              </w:rPr>
              <w:t>eter Cameron and Judy Lowthian)</w:t>
            </w:r>
          </w:p>
          <w:p w:rsidR="00361F95" w:rsidRPr="00361F95" w:rsidRDefault="00361F95" w:rsidP="00361F95">
            <w:pPr>
              <w:pStyle w:val="ListParagraph"/>
              <w:numPr>
                <w:ilvl w:val="0"/>
                <w:numId w:val="23"/>
              </w:numPr>
              <w:rPr>
                <w:lang w:val="en-AU"/>
              </w:rPr>
            </w:pPr>
            <w:r w:rsidRPr="00361F95">
              <w:rPr>
                <w:lang w:val="en-AU"/>
              </w:rPr>
              <w:lastRenderedPageBreak/>
              <w:t xml:space="preserve">Predicting </w:t>
            </w:r>
            <w:r w:rsidRPr="00361F95">
              <w:rPr>
                <w:b/>
                <w:lang w:val="en-AU"/>
              </w:rPr>
              <w:t>unplanned readmission after myocardial infarction</w:t>
            </w:r>
            <w:r w:rsidRPr="00361F95">
              <w:rPr>
                <w:lang w:val="en-AU"/>
              </w:rPr>
              <w:t xml:space="preserve"> from routinely collected administrative hospital data (</w:t>
            </w:r>
            <w:r>
              <w:rPr>
                <w:lang w:val="en-AU"/>
              </w:rPr>
              <w:t>Santu Rana</w:t>
            </w:r>
            <w:r w:rsidRPr="00361F95">
              <w:rPr>
                <w:lang w:val="en-AU"/>
              </w:rPr>
              <w:t>, Truyen Tran</w:t>
            </w:r>
            <w:r>
              <w:rPr>
                <w:lang w:val="en-AU"/>
              </w:rPr>
              <w:t>, Wei Luo, Dinh Phung</w:t>
            </w:r>
            <w:r w:rsidRPr="00361F95">
              <w:rPr>
                <w:lang w:val="en-AU"/>
              </w:rPr>
              <w:t>, Richard L</w:t>
            </w:r>
            <w:r>
              <w:rPr>
                <w:lang w:val="en-AU"/>
              </w:rPr>
              <w:t xml:space="preserve"> Kennedy and Svetha Venkatesh)</w:t>
            </w:r>
          </w:p>
          <w:p w:rsidR="00361F95" w:rsidRPr="00361F95" w:rsidRDefault="00361F95" w:rsidP="00361F95">
            <w:pPr>
              <w:pStyle w:val="ListParagraph"/>
              <w:numPr>
                <w:ilvl w:val="0"/>
                <w:numId w:val="23"/>
              </w:numPr>
              <w:rPr>
                <w:lang w:val="en-AU"/>
              </w:rPr>
            </w:pPr>
            <w:r w:rsidRPr="00361F95">
              <w:rPr>
                <w:lang w:val="en-AU"/>
              </w:rPr>
              <w:t xml:space="preserve">A case study in the use of evidence in a changing political context: an Aboriginal and Torres Strait Islander health service re-examines </w:t>
            </w:r>
            <w:r w:rsidRPr="00361F95">
              <w:rPr>
                <w:b/>
                <w:lang w:val="en-AU"/>
              </w:rPr>
              <w:t>practice models, governance and financing</w:t>
            </w:r>
            <w:r w:rsidRPr="00361F95">
              <w:rPr>
                <w:lang w:val="en-AU"/>
              </w:rPr>
              <w:t xml:space="preserve"> (Deepa Gajjar, Anthony B Zwi, Peter S</w:t>
            </w:r>
            <w:r>
              <w:rPr>
                <w:lang w:val="en-AU"/>
              </w:rPr>
              <w:t xml:space="preserve"> Hill and Cindy Shannon)</w:t>
            </w:r>
          </w:p>
          <w:p w:rsidR="00361F95" w:rsidRPr="00361F95" w:rsidRDefault="00361F95" w:rsidP="00361F95">
            <w:pPr>
              <w:pStyle w:val="ListParagraph"/>
              <w:numPr>
                <w:ilvl w:val="0"/>
                <w:numId w:val="23"/>
              </w:numPr>
              <w:rPr>
                <w:lang w:val="en-AU"/>
              </w:rPr>
            </w:pPr>
            <w:r w:rsidRPr="00361F95">
              <w:rPr>
                <w:lang w:val="en-AU"/>
              </w:rPr>
              <w:t xml:space="preserve">Does delivery of a training program for healthcare professionals increase access to </w:t>
            </w:r>
            <w:r w:rsidRPr="00361F95">
              <w:rPr>
                <w:b/>
                <w:lang w:val="en-AU"/>
              </w:rPr>
              <w:t>pulmonary rehabilitation</w:t>
            </w:r>
            <w:r w:rsidRPr="00361F95">
              <w:rPr>
                <w:lang w:val="en-AU"/>
              </w:rPr>
              <w:t xml:space="preserve"> and improve outcomes for people with </w:t>
            </w:r>
            <w:r w:rsidRPr="00361F95">
              <w:rPr>
                <w:b/>
                <w:lang w:val="en-AU"/>
              </w:rPr>
              <w:t>chronic lung disease</w:t>
            </w:r>
            <w:r w:rsidRPr="00361F95">
              <w:rPr>
                <w:lang w:val="en-AU"/>
              </w:rPr>
              <w:t xml:space="preserve"> in rural and remote Australia? (Catherine L</w:t>
            </w:r>
            <w:r>
              <w:rPr>
                <w:lang w:val="en-AU"/>
              </w:rPr>
              <w:t xml:space="preserve"> Johnston</w:t>
            </w:r>
            <w:r w:rsidRPr="00361F95">
              <w:rPr>
                <w:lang w:val="en-AU"/>
              </w:rPr>
              <w:t>, Lyndal J</w:t>
            </w:r>
            <w:r>
              <w:rPr>
                <w:lang w:val="en-AU"/>
              </w:rPr>
              <w:t xml:space="preserve"> Maxwell</w:t>
            </w:r>
            <w:r w:rsidRPr="00361F95">
              <w:rPr>
                <w:lang w:val="en-AU"/>
              </w:rPr>
              <w:t>, Graeme P Maguire and Jennifer A</w:t>
            </w:r>
            <w:r>
              <w:rPr>
                <w:lang w:val="en-AU"/>
              </w:rPr>
              <w:t xml:space="preserve"> Alison)</w:t>
            </w:r>
          </w:p>
          <w:p w:rsidR="00361F95" w:rsidRPr="00361F95" w:rsidRDefault="00361F95" w:rsidP="00361F95">
            <w:pPr>
              <w:pStyle w:val="ListParagraph"/>
              <w:numPr>
                <w:ilvl w:val="0"/>
                <w:numId w:val="23"/>
              </w:numPr>
              <w:rPr>
                <w:lang w:val="en-AU"/>
              </w:rPr>
            </w:pPr>
            <w:r w:rsidRPr="00361F95">
              <w:rPr>
                <w:lang w:val="en-AU"/>
              </w:rPr>
              <w:t xml:space="preserve">Impact of </w:t>
            </w:r>
            <w:r w:rsidRPr="00361F95">
              <w:rPr>
                <w:b/>
                <w:lang w:val="en-AU"/>
              </w:rPr>
              <w:t>care coordination</w:t>
            </w:r>
            <w:r w:rsidRPr="00361F95">
              <w:rPr>
                <w:lang w:val="en-AU"/>
              </w:rPr>
              <w:t xml:space="preserve"> on Australia's </w:t>
            </w:r>
            <w:r w:rsidRPr="00361F95">
              <w:rPr>
                <w:b/>
                <w:lang w:val="en-AU"/>
              </w:rPr>
              <w:t>mental health service delivery</w:t>
            </w:r>
            <w:r w:rsidRPr="00361F95">
              <w:rPr>
                <w:lang w:val="en-AU"/>
              </w:rPr>
              <w:t xml:space="preserve"> system (</w:t>
            </w:r>
            <w:r>
              <w:rPr>
                <w:lang w:val="en-AU"/>
              </w:rPr>
              <w:t>Lisa Brophy, Craig Hodges, Kieran Halloran</w:t>
            </w:r>
            <w:r w:rsidRPr="00361F95">
              <w:rPr>
                <w:lang w:val="en-AU"/>
              </w:rPr>
              <w:t>,</w:t>
            </w:r>
            <w:r>
              <w:rPr>
                <w:lang w:val="en-AU"/>
              </w:rPr>
              <w:t xml:space="preserve"> Margaret Grigg and Mary Swift)</w:t>
            </w:r>
          </w:p>
          <w:p w:rsidR="00361F95" w:rsidRPr="00361F95" w:rsidRDefault="00361F95" w:rsidP="00361F95">
            <w:pPr>
              <w:pStyle w:val="ListParagraph"/>
              <w:numPr>
                <w:ilvl w:val="0"/>
                <w:numId w:val="23"/>
              </w:numPr>
              <w:rPr>
                <w:lang w:val="en-AU"/>
              </w:rPr>
            </w:pPr>
            <w:r w:rsidRPr="00361F95">
              <w:rPr>
                <w:b/>
                <w:lang w:val="en-AU"/>
              </w:rPr>
              <w:t>Models of care for musculoskeletal health</w:t>
            </w:r>
            <w:r w:rsidRPr="00361F95">
              <w:rPr>
                <w:lang w:val="en-AU"/>
              </w:rPr>
              <w:t xml:space="preserve"> in Australia: now more than ever to drive evidence into health policy and practice (</w:t>
            </w:r>
            <w:r>
              <w:rPr>
                <w:lang w:val="en-AU"/>
              </w:rPr>
              <w:t>Andrew M Briggs</w:t>
            </w:r>
            <w:r w:rsidRPr="00361F95">
              <w:rPr>
                <w:lang w:val="en-AU"/>
              </w:rPr>
              <w:t>, Simon C B</w:t>
            </w:r>
            <w:r>
              <w:rPr>
                <w:lang w:val="en-AU"/>
              </w:rPr>
              <w:t xml:space="preserve"> Towler</w:t>
            </w:r>
            <w:r w:rsidRPr="00361F95">
              <w:rPr>
                <w:lang w:val="en-AU"/>
              </w:rPr>
              <w:t xml:space="preserve">, </w:t>
            </w:r>
            <w:r>
              <w:rPr>
                <w:lang w:val="en-AU"/>
              </w:rPr>
              <w:t>Robyn Speerin and Lyn M March)</w:t>
            </w:r>
          </w:p>
          <w:p w:rsidR="00361F95" w:rsidRPr="00361F95" w:rsidRDefault="00361F95" w:rsidP="00361F95">
            <w:pPr>
              <w:pStyle w:val="ListParagraph"/>
              <w:numPr>
                <w:ilvl w:val="0"/>
                <w:numId w:val="23"/>
              </w:numPr>
              <w:rPr>
                <w:lang w:val="en-AU"/>
              </w:rPr>
            </w:pPr>
            <w:r w:rsidRPr="00361F95">
              <w:rPr>
                <w:b/>
                <w:lang w:val="en-AU"/>
              </w:rPr>
              <w:t>Orthopaedic triaging by podiatrists</w:t>
            </w:r>
            <w:r w:rsidRPr="00361F95">
              <w:rPr>
                <w:lang w:val="en-AU"/>
              </w:rPr>
              <w:t>: a prospective study of patient satisfaction and service efficiency (Tom P</w:t>
            </w:r>
            <w:r>
              <w:rPr>
                <w:lang w:val="en-AU"/>
              </w:rPr>
              <w:t xml:space="preserve"> Walsh</w:t>
            </w:r>
            <w:r w:rsidRPr="00361F95">
              <w:rPr>
                <w:lang w:val="en-AU"/>
              </w:rPr>
              <w:t>, Dolores C</w:t>
            </w:r>
            <w:r>
              <w:rPr>
                <w:lang w:val="en-AU"/>
              </w:rPr>
              <w:t xml:space="preserve"> Pilkington</w:t>
            </w:r>
            <w:r w:rsidRPr="00361F95">
              <w:rPr>
                <w:lang w:val="en-AU"/>
              </w:rPr>
              <w:t>, Esther J Wong, Christopher H Brown and Graham E</w:t>
            </w:r>
            <w:r>
              <w:rPr>
                <w:lang w:val="en-AU"/>
              </w:rPr>
              <w:t xml:space="preserve"> Mercer)</w:t>
            </w:r>
          </w:p>
          <w:p w:rsidR="00361F95" w:rsidRPr="00361F95" w:rsidRDefault="00361F95" w:rsidP="00361F95">
            <w:pPr>
              <w:pStyle w:val="ListParagraph"/>
              <w:numPr>
                <w:ilvl w:val="0"/>
                <w:numId w:val="23"/>
              </w:numPr>
              <w:rPr>
                <w:lang w:val="en-AU"/>
              </w:rPr>
            </w:pPr>
            <w:r w:rsidRPr="00361F95">
              <w:rPr>
                <w:b/>
                <w:lang w:val="en-AU"/>
              </w:rPr>
              <w:t>Rural general physicians</w:t>
            </w:r>
            <w:r w:rsidRPr="00361F95">
              <w:rPr>
                <w:lang w:val="en-AU"/>
              </w:rPr>
              <w:t>: improving access and reducing costs of health care in the bush (</w:t>
            </w:r>
            <w:r>
              <w:rPr>
                <w:lang w:val="en-AU"/>
              </w:rPr>
              <w:t>Simon Quilty</w:t>
            </w:r>
            <w:r w:rsidRPr="00361F95">
              <w:rPr>
                <w:lang w:val="en-AU"/>
              </w:rPr>
              <w:t xml:space="preserve">, </w:t>
            </w:r>
            <w:r>
              <w:rPr>
                <w:lang w:val="en-AU"/>
              </w:rPr>
              <w:t>Danielle Valler and John Attia)</w:t>
            </w:r>
          </w:p>
          <w:p w:rsidR="00361F95" w:rsidRPr="00361F95" w:rsidRDefault="00361F95" w:rsidP="00361F95">
            <w:pPr>
              <w:pStyle w:val="ListParagraph"/>
              <w:numPr>
                <w:ilvl w:val="0"/>
                <w:numId w:val="23"/>
              </w:numPr>
              <w:rPr>
                <w:lang w:val="en-AU"/>
              </w:rPr>
            </w:pPr>
            <w:r w:rsidRPr="00361F95">
              <w:rPr>
                <w:lang w:val="en-AU"/>
              </w:rPr>
              <w:t xml:space="preserve">Walan Girri: developing a </w:t>
            </w:r>
            <w:r w:rsidRPr="00361F95">
              <w:rPr>
                <w:b/>
                <w:lang w:val="en-AU"/>
              </w:rPr>
              <w:t>culturally mediated case management</w:t>
            </w:r>
            <w:r w:rsidRPr="00361F95">
              <w:rPr>
                <w:lang w:val="en-AU"/>
              </w:rPr>
              <w:t xml:space="preserve"> model for problematic alcohol use among urban Indigenous people (Ray L</w:t>
            </w:r>
            <w:r>
              <w:rPr>
                <w:lang w:val="en-AU"/>
              </w:rPr>
              <w:t>ovett, Phyll Dance, Jill Guthrie, Roxie Brown and Julie Tongs)</w:t>
            </w:r>
          </w:p>
          <w:p w:rsidR="00361F95" w:rsidRPr="00361F95" w:rsidRDefault="00361F95" w:rsidP="00361F95">
            <w:pPr>
              <w:pStyle w:val="ListParagraph"/>
              <w:numPr>
                <w:ilvl w:val="0"/>
                <w:numId w:val="23"/>
              </w:numPr>
              <w:rPr>
                <w:lang w:val="en-AU"/>
              </w:rPr>
            </w:pPr>
            <w:r w:rsidRPr="00361F95">
              <w:rPr>
                <w:b/>
                <w:lang w:val="en-AU"/>
              </w:rPr>
              <w:t>Indigenous Respiratory Outreach Care</w:t>
            </w:r>
            <w:r w:rsidRPr="00361F95">
              <w:rPr>
                <w:lang w:val="en-AU"/>
              </w:rPr>
              <w:t>: the first 18 months of a specialist respiratory outreach service to rural and remote Indigenous communities in Queensland, Australia (Linda G</w:t>
            </w:r>
            <w:r>
              <w:rPr>
                <w:lang w:val="en-AU"/>
              </w:rPr>
              <w:t xml:space="preserve"> Medlin</w:t>
            </w:r>
            <w:r w:rsidRPr="00361F95">
              <w:rPr>
                <w:lang w:val="en-AU"/>
              </w:rPr>
              <w:t>, Anne B</w:t>
            </w:r>
            <w:r>
              <w:rPr>
                <w:lang w:val="en-AU"/>
              </w:rPr>
              <w:t xml:space="preserve"> Chang, Kwun Fong, R Jackson, P Bishop, A Dent</w:t>
            </w:r>
            <w:r w:rsidRPr="00361F95">
              <w:rPr>
                <w:lang w:val="en-AU"/>
              </w:rPr>
              <w:t>, D C</w:t>
            </w:r>
            <w:r>
              <w:rPr>
                <w:lang w:val="en-AU"/>
              </w:rPr>
              <w:t xml:space="preserve"> Hill</w:t>
            </w:r>
            <w:r w:rsidRPr="00361F95">
              <w:rPr>
                <w:lang w:val="en-AU"/>
              </w:rPr>
              <w:t>, S Vincent and K-A F</w:t>
            </w:r>
            <w:r>
              <w:rPr>
                <w:lang w:val="en-AU"/>
              </w:rPr>
              <w:t xml:space="preserve"> O’Grady)</w:t>
            </w:r>
          </w:p>
          <w:p w:rsidR="00361F95" w:rsidRPr="00361F95" w:rsidRDefault="00361F95" w:rsidP="00361F95">
            <w:pPr>
              <w:pStyle w:val="ListParagraph"/>
              <w:numPr>
                <w:ilvl w:val="0"/>
                <w:numId w:val="23"/>
              </w:numPr>
              <w:rPr>
                <w:lang w:val="en-AU"/>
              </w:rPr>
            </w:pPr>
            <w:r w:rsidRPr="00361F95">
              <w:rPr>
                <w:lang w:val="en-AU"/>
              </w:rPr>
              <w:t xml:space="preserve">Exploring </w:t>
            </w:r>
            <w:r w:rsidRPr="00361F95">
              <w:rPr>
                <w:b/>
                <w:lang w:val="en-AU"/>
              </w:rPr>
              <w:t>in-hospital adverse drug events</w:t>
            </w:r>
            <w:r w:rsidRPr="00361F95">
              <w:rPr>
                <w:lang w:val="en-AU"/>
              </w:rPr>
              <w:t xml:space="preserve"> using ICD-10 codes (</w:t>
            </w:r>
            <w:r>
              <w:rPr>
                <w:lang w:val="en-AU"/>
              </w:rPr>
              <w:t>Sumit Parikh, Donna Christensen, Peter Stuchbery, Jenny Peterson</w:t>
            </w:r>
            <w:r w:rsidRPr="00361F95">
              <w:rPr>
                <w:lang w:val="en-AU"/>
              </w:rPr>
              <w:t>, Anastasi</w:t>
            </w:r>
            <w:r>
              <w:rPr>
                <w:lang w:val="en-AU"/>
              </w:rPr>
              <w:t>a Hutchinson and Terri Jackson)</w:t>
            </w:r>
          </w:p>
          <w:p w:rsidR="00361F95" w:rsidRPr="004B0E69" w:rsidRDefault="00361F95" w:rsidP="00AD4408">
            <w:pPr>
              <w:pStyle w:val="ListParagraph"/>
              <w:numPr>
                <w:ilvl w:val="0"/>
                <w:numId w:val="23"/>
              </w:numPr>
              <w:rPr>
                <w:lang w:val="en-AU"/>
              </w:rPr>
            </w:pPr>
            <w:r w:rsidRPr="00361F95">
              <w:rPr>
                <w:lang w:val="en-AU"/>
              </w:rPr>
              <w:t xml:space="preserve">Development of </w:t>
            </w:r>
            <w:r w:rsidRPr="00361F95">
              <w:rPr>
                <w:b/>
                <w:lang w:val="en-AU"/>
              </w:rPr>
              <w:t>nutrition standards</w:t>
            </w:r>
            <w:r w:rsidRPr="00361F95">
              <w:rPr>
                <w:lang w:val="en-AU"/>
              </w:rPr>
              <w:t xml:space="preserve"> and therapeutic diet specifications for public hospitals in New South Wales (</w:t>
            </w:r>
            <w:r w:rsidR="00AD4408">
              <w:rPr>
                <w:lang w:val="en-AU"/>
              </w:rPr>
              <w:t>Peter Williams,</w:t>
            </w:r>
            <w:r>
              <w:rPr>
                <w:lang w:val="en-AU"/>
              </w:rPr>
              <w:t xml:space="preserve"> Tanya Hazlewood and Glen Pang)</w:t>
            </w:r>
          </w:p>
        </w:tc>
      </w:tr>
    </w:tbl>
    <w:p w:rsidR="00361F95" w:rsidRDefault="00361F95" w:rsidP="003F23EF">
      <w:pPr>
        <w:keepNext/>
        <w:keepLines/>
        <w:autoSpaceDE w:val="0"/>
        <w:autoSpaceDN w:val="0"/>
        <w:adjustRightInd w:val="0"/>
        <w:rPr>
          <w:i/>
          <w:lang w:val="en-AU"/>
        </w:rPr>
      </w:pPr>
    </w:p>
    <w:p w:rsidR="0010174D" w:rsidRDefault="0010174D" w:rsidP="003F23EF">
      <w:pPr>
        <w:keepNext/>
        <w:keepLines/>
        <w:autoSpaceDE w:val="0"/>
        <w:autoSpaceDN w:val="0"/>
        <w:adjustRightInd w:val="0"/>
        <w:rPr>
          <w:i/>
          <w:lang w:val="en-AU"/>
        </w:rPr>
      </w:pPr>
    </w:p>
    <w:p w:rsidR="003F23EF" w:rsidRPr="00FF6501" w:rsidRDefault="003F23EF" w:rsidP="003F23EF">
      <w:pPr>
        <w:keepNext/>
        <w:keepLines/>
        <w:autoSpaceDE w:val="0"/>
        <w:autoSpaceDN w:val="0"/>
        <w:adjustRightInd w:val="0"/>
        <w:rPr>
          <w:i/>
          <w:lang w:val="en-AU"/>
        </w:rPr>
      </w:pPr>
      <w:r w:rsidRPr="00FF6501">
        <w:rPr>
          <w:i/>
          <w:lang w:val="en-AU"/>
        </w:rPr>
        <w:t>Healthcare Infection</w:t>
      </w:r>
    </w:p>
    <w:p w:rsidR="003F23EF" w:rsidRPr="0048169F" w:rsidRDefault="003F23EF" w:rsidP="003F23EF">
      <w:pPr>
        <w:keepNext/>
        <w:keepLines/>
        <w:autoSpaceDE w:val="0"/>
        <w:autoSpaceDN w:val="0"/>
        <w:adjustRightInd w:val="0"/>
        <w:rPr>
          <w:lang w:val="en-AU"/>
        </w:rPr>
      </w:pPr>
      <w:r>
        <w:rPr>
          <w:lang w:val="en-AU"/>
        </w:rPr>
        <w:t>Vol 19(3) 2014.</w:t>
      </w:r>
    </w:p>
    <w:tbl>
      <w:tblPr>
        <w:tblStyle w:val="TableGrid"/>
        <w:tblW w:w="0" w:type="auto"/>
        <w:tblInd w:w="288" w:type="dxa"/>
        <w:tblLayout w:type="fixed"/>
        <w:tblLook w:val="01E0" w:firstRow="1" w:lastRow="1" w:firstColumn="1" w:lastColumn="1" w:noHBand="0" w:noVBand="0"/>
      </w:tblPr>
      <w:tblGrid>
        <w:gridCol w:w="1080"/>
        <w:gridCol w:w="8280"/>
      </w:tblGrid>
      <w:tr w:rsidR="003F23EF" w:rsidRPr="0048169F" w:rsidTr="004A0BDC">
        <w:tc>
          <w:tcPr>
            <w:tcW w:w="1080" w:type="dxa"/>
            <w:tcBorders>
              <w:top w:val="single" w:sz="4" w:space="0" w:color="auto"/>
              <w:left w:val="single" w:sz="4" w:space="0" w:color="auto"/>
              <w:bottom w:val="single" w:sz="4" w:space="0" w:color="auto"/>
              <w:right w:val="single" w:sz="4" w:space="0" w:color="auto"/>
            </w:tcBorders>
            <w:vAlign w:val="center"/>
          </w:tcPr>
          <w:p w:rsidR="003F23EF" w:rsidRPr="0048169F" w:rsidRDefault="003F23EF" w:rsidP="004A0BD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23EF" w:rsidRPr="0048169F" w:rsidRDefault="00F00EA7" w:rsidP="003F23EF">
            <w:pPr>
              <w:rPr>
                <w:lang w:val="en-AU"/>
              </w:rPr>
            </w:pPr>
            <w:hyperlink r:id="rId20" w:history="1">
              <w:r w:rsidR="003F23EF" w:rsidRPr="004E1DA3">
                <w:rPr>
                  <w:rStyle w:val="Hyperlink"/>
                  <w:lang w:val="en-AU"/>
                </w:rPr>
                <w:t>http://www.publish.csiro.au/nid/242/issue/7115.htm</w:t>
              </w:r>
            </w:hyperlink>
          </w:p>
        </w:tc>
      </w:tr>
      <w:tr w:rsidR="003F23EF" w:rsidRPr="0048169F" w:rsidTr="004A0BDC">
        <w:tc>
          <w:tcPr>
            <w:tcW w:w="1080" w:type="dxa"/>
            <w:tcBorders>
              <w:top w:val="single" w:sz="4" w:space="0" w:color="auto"/>
              <w:left w:val="single" w:sz="4" w:space="0" w:color="auto"/>
              <w:bottom w:val="single" w:sz="4" w:space="0" w:color="auto"/>
              <w:right w:val="single" w:sz="4" w:space="0" w:color="auto"/>
            </w:tcBorders>
            <w:vAlign w:val="center"/>
          </w:tcPr>
          <w:p w:rsidR="003F23EF" w:rsidRPr="0048169F" w:rsidRDefault="003F23EF" w:rsidP="004A0BDC">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3EF" w:rsidRDefault="003F23EF" w:rsidP="004A0BDC">
            <w:pPr>
              <w:rPr>
                <w:lang w:val="en-AU"/>
              </w:rPr>
            </w:pPr>
            <w:r>
              <w:rPr>
                <w:lang w:val="en-AU"/>
              </w:rPr>
              <w:t>A new issue of Healthcare Infection has been published. Articles in this issue include:</w:t>
            </w:r>
          </w:p>
          <w:p w:rsidR="003F23EF" w:rsidRPr="003F23EF" w:rsidRDefault="003F23EF" w:rsidP="003F23EF">
            <w:pPr>
              <w:pStyle w:val="ListParagraph"/>
              <w:numPr>
                <w:ilvl w:val="0"/>
                <w:numId w:val="21"/>
              </w:numPr>
              <w:rPr>
                <w:lang w:val="en-AU"/>
              </w:rPr>
            </w:pPr>
            <w:r w:rsidRPr="003F23EF">
              <w:rPr>
                <w:lang w:val="en-AU"/>
              </w:rPr>
              <w:t xml:space="preserve">How can implementing an </w:t>
            </w:r>
            <w:r w:rsidRPr="003F23EF">
              <w:rPr>
                <w:b/>
                <w:lang w:val="en-AU"/>
              </w:rPr>
              <w:t>infection prevention and control</w:t>
            </w:r>
            <w:r w:rsidRPr="003F23EF">
              <w:rPr>
                <w:lang w:val="en-AU"/>
              </w:rPr>
              <w:t xml:space="preserve"> (IPC) technology </w:t>
            </w:r>
            <w:r w:rsidRPr="003F23EF">
              <w:rPr>
                <w:b/>
                <w:lang w:val="en-AU"/>
              </w:rPr>
              <w:t>transform healthcare</w:t>
            </w:r>
            <w:r w:rsidRPr="003F23EF">
              <w:rPr>
                <w:lang w:val="en-AU"/>
              </w:rPr>
              <w:t xml:space="preserve"> practices and outcomes for patients? (Randa Attieh, Marie-Pi</w:t>
            </w:r>
            <w:r>
              <w:rPr>
                <w:lang w:val="en-AU"/>
              </w:rPr>
              <w:t>erre Gagnon and Sarah L. Krein)</w:t>
            </w:r>
          </w:p>
          <w:p w:rsidR="003F23EF" w:rsidRPr="003F23EF" w:rsidRDefault="003F23EF" w:rsidP="003F23EF">
            <w:pPr>
              <w:pStyle w:val="ListParagraph"/>
              <w:numPr>
                <w:ilvl w:val="0"/>
                <w:numId w:val="21"/>
              </w:numPr>
              <w:rPr>
                <w:lang w:val="en-AU"/>
              </w:rPr>
            </w:pPr>
            <w:r w:rsidRPr="003F23EF">
              <w:rPr>
                <w:lang w:val="en-AU"/>
              </w:rPr>
              <w:t xml:space="preserve">Attitudes towards </w:t>
            </w:r>
            <w:r w:rsidRPr="003F23EF">
              <w:rPr>
                <w:b/>
                <w:lang w:val="en-AU"/>
              </w:rPr>
              <w:t>antimicrobial stewardship</w:t>
            </w:r>
            <w:r w:rsidRPr="003F23EF">
              <w:rPr>
                <w:lang w:val="en-AU"/>
              </w:rPr>
              <w:t>: results from a large private hospital in Australia (Menino</w:t>
            </w:r>
            <w:r>
              <w:rPr>
                <w:lang w:val="en-AU"/>
              </w:rPr>
              <w:t xml:space="preserve"> O. Cotta</w:t>
            </w:r>
            <w:r w:rsidRPr="003F23EF">
              <w:rPr>
                <w:lang w:val="en-AU"/>
              </w:rPr>
              <w:t>, Megan S Robertson,</w:t>
            </w:r>
            <w:r>
              <w:rPr>
                <w:lang w:val="en-AU"/>
              </w:rPr>
              <w:t xml:space="preserve"> Mark Tacey, Caroline Marshall</w:t>
            </w:r>
            <w:r w:rsidRPr="003F23EF">
              <w:rPr>
                <w:lang w:val="en-AU"/>
              </w:rPr>
              <w:t>, Karin A Thursky, Danny Liew and Kirsty L</w:t>
            </w:r>
            <w:r>
              <w:rPr>
                <w:lang w:val="en-AU"/>
              </w:rPr>
              <w:t xml:space="preserve"> Buising)</w:t>
            </w:r>
          </w:p>
          <w:p w:rsidR="003F23EF" w:rsidRPr="003F23EF" w:rsidRDefault="003F23EF" w:rsidP="003F23EF">
            <w:pPr>
              <w:pStyle w:val="ListParagraph"/>
              <w:numPr>
                <w:ilvl w:val="0"/>
                <w:numId w:val="21"/>
              </w:numPr>
              <w:rPr>
                <w:lang w:val="en-AU"/>
              </w:rPr>
            </w:pPr>
            <w:r w:rsidRPr="003F23EF">
              <w:rPr>
                <w:lang w:val="en-AU"/>
              </w:rPr>
              <w:t xml:space="preserve">Frequency of use and activation of safety-engineered </w:t>
            </w:r>
            <w:r w:rsidRPr="003F23EF">
              <w:rPr>
                <w:b/>
                <w:lang w:val="en-AU"/>
              </w:rPr>
              <w:t>sharps devices</w:t>
            </w:r>
            <w:r w:rsidRPr="003F23EF">
              <w:rPr>
                <w:lang w:val="en-AU"/>
              </w:rPr>
              <w:t>: a sharps container audit in five Australian capital cities (</w:t>
            </w:r>
            <w:r>
              <w:rPr>
                <w:lang w:val="en-AU"/>
              </w:rPr>
              <w:t>Terry Grimmond)</w:t>
            </w:r>
          </w:p>
          <w:p w:rsidR="003F23EF" w:rsidRPr="003F23EF" w:rsidRDefault="003F23EF" w:rsidP="003F23EF">
            <w:pPr>
              <w:pStyle w:val="ListParagraph"/>
              <w:numPr>
                <w:ilvl w:val="0"/>
                <w:numId w:val="21"/>
              </w:numPr>
              <w:rPr>
                <w:lang w:val="en-AU"/>
              </w:rPr>
            </w:pPr>
            <w:r w:rsidRPr="003F23EF">
              <w:rPr>
                <w:lang w:val="en-AU"/>
              </w:rPr>
              <w:lastRenderedPageBreak/>
              <w:t xml:space="preserve">Evaluation of the relationship between </w:t>
            </w:r>
            <w:r w:rsidRPr="003F23EF">
              <w:rPr>
                <w:b/>
                <w:lang w:val="en-AU"/>
              </w:rPr>
              <w:t>ATP bioluminescence assay</w:t>
            </w:r>
            <w:r w:rsidRPr="003F23EF">
              <w:rPr>
                <w:lang w:val="en-AU"/>
              </w:rPr>
              <w:t xml:space="preserve"> and the presence of organisms associated with healthcare-associated infections (Shawn G</w:t>
            </w:r>
            <w:r>
              <w:rPr>
                <w:lang w:val="en-AU"/>
              </w:rPr>
              <w:t xml:space="preserve"> Gibbs, Harlan Sayles, Oleg Chaika, Angela Hewlett, Erica M Colbert and Philip W Smith)</w:t>
            </w:r>
          </w:p>
          <w:p w:rsidR="003F23EF" w:rsidRPr="003F23EF" w:rsidRDefault="003F23EF" w:rsidP="003F23EF">
            <w:pPr>
              <w:pStyle w:val="ListParagraph"/>
              <w:numPr>
                <w:ilvl w:val="0"/>
                <w:numId w:val="21"/>
              </w:numPr>
              <w:rPr>
                <w:lang w:val="en-AU"/>
              </w:rPr>
            </w:pPr>
            <w:r w:rsidRPr="003F23EF">
              <w:rPr>
                <w:lang w:val="en-AU"/>
              </w:rPr>
              <w:t xml:space="preserve">Improving </w:t>
            </w:r>
            <w:r w:rsidRPr="003F23EF">
              <w:rPr>
                <w:b/>
                <w:lang w:val="en-AU"/>
              </w:rPr>
              <w:t>hand hygiene compliance</w:t>
            </w:r>
            <w:r w:rsidRPr="003F23EF">
              <w:rPr>
                <w:lang w:val="en-AU"/>
              </w:rPr>
              <w:t>: harnessing the effect of advertised auditing (</w:t>
            </w:r>
            <w:r>
              <w:rPr>
                <w:lang w:val="en-AU"/>
              </w:rPr>
              <w:t>Siong Hui, John Ng, Nancy Santiano, Heather-Marie Schmidt, Jennifer Caldwell, Emina Ryan and Michael Maley)</w:t>
            </w:r>
          </w:p>
          <w:p w:rsidR="003F23EF" w:rsidRPr="00FF6501" w:rsidRDefault="003F23EF" w:rsidP="003F23EF">
            <w:pPr>
              <w:pStyle w:val="ListParagraph"/>
              <w:numPr>
                <w:ilvl w:val="0"/>
                <w:numId w:val="21"/>
              </w:numPr>
              <w:rPr>
                <w:lang w:val="en-AU"/>
              </w:rPr>
            </w:pPr>
            <w:r w:rsidRPr="003F23EF">
              <w:rPr>
                <w:b/>
                <w:lang w:val="en-AU"/>
              </w:rPr>
              <w:t>Mandatory influenza vaccination</w:t>
            </w:r>
            <w:r w:rsidRPr="003F23EF">
              <w:rPr>
                <w:lang w:val="en-AU"/>
              </w:rPr>
              <w:t xml:space="preserve"> of healthcare workers: is it necessary or sufficient to protect patients? (Allen C</w:t>
            </w:r>
            <w:r>
              <w:rPr>
                <w:lang w:val="en-AU"/>
              </w:rPr>
              <w:t xml:space="preserve"> Cheng and Leon J</w:t>
            </w:r>
            <w:r w:rsidRPr="003F23EF">
              <w:rPr>
                <w:lang w:val="en-AU"/>
              </w:rPr>
              <w:t xml:space="preserve"> Worth</w:t>
            </w:r>
            <w:r>
              <w:rPr>
                <w:lang w:val="en-AU"/>
              </w:rPr>
              <w:t>)</w:t>
            </w:r>
          </w:p>
        </w:tc>
      </w:tr>
    </w:tbl>
    <w:p w:rsidR="003F23EF" w:rsidRDefault="003F23EF" w:rsidP="003F23EF">
      <w:pPr>
        <w:rPr>
          <w:i/>
          <w:lang w:val="en-AU"/>
        </w:rPr>
      </w:pPr>
    </w:p>
    <w:p w:rsidR="003F23EF" w:rsidRPr="0048169F" w:rsidRDefault="003F23EF" w:rsidP="003F23EF">
      <w:pPr>
        <w:rPr>
          <w:i/>
          <w:lang w:val="en-AU"/>
        </w:rPr>
      </w:pPr>
      <w:r w:rsidRPr="00D0398E">
        <w:rPr>
          <w:lang w:val="en-AU"/>
        </w:rPr>
        <w:t>For information on the Commission’s work on</w:t>
      </w:r>
      <w:r>
        <w:rPr>
          <w:lang w:val="en-AU"/>
        </w:rPr>
        <w:t xml:space="preserve"> healthcare associated infection, see </w:t>
      </w:r>
      <w:hyperlink r:id="rId21" w:history="1">
        <w:r w:rsidRPr="004E1DA3">
          <w:rPr>
            <w:rStyle w:val="Hyperlink"/>
            <w:lang w:val="en-AU"/>
          </w:rPr>
          <w:t>http://www.safetyandquality.gov.au/our-work/healthcare-associated-infection/</w:t>
        </w:r>
      </w:hyperlink>
    </w:p>
    <w:p w:rsidR="00CE109C" w:rsidRDefault="00CE109C" w:rsidP="00243193">
      <w:pPr>
        <w:keepNext/>
        <w:keepLines/>
        <w:autoSpaceDE w:val="0"/>
        <w:autoSpaceDN w:val="0"/>
        <w:adjustRightInd w:val="0"/>
        <w:rPr>
          <w:lang w:val="en-AU"/>
        </w:rPr>
      </w:pPr>
    </w:p>
    <w:p w:rsidR="00DB5A06" w:rsidRPr="00D0398E" w:rsidRDefault="00DB5A06" w:rsidP="00DB5A06">
      <w:pPr>
        <w:keepNext/>
        <w:rPr>
          <w:lang w:val="en-AU"/>
        </w:rPr>
      </w:pPr>
      <w:r w:rsidRPr="00D0398E">
        <w:rPr>
          <w:i/>
          <w:lang w:val="en-AU"/>
        </w:rPr>
        <w:t xml:space="preserve">BMJ Quality and Safety </w:t>
      </w:r>
      <w:r w:rsidRPr="00D0398E">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B5A06" w:rsidRPr="00D0398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D0398E" w:rsidRDefault="00DB5A06" w:rsidP="00E90086">
            <w:pPr>
              <w:rPr>
                <w:lang w:val="en-AU"/>
              </w:rPr>
            </w:pPr>
            <w:r w:rsidRPr="00D0398E">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D0398E" w:rsidRDefault="00F00EA7" w:rsidP="00E90086">
            <w:pPr>
              <w:rPr>
                <w:lang w:val="en-AU"/>
              </w:rPr>
            </w:pPr>
            <w:hyperlink r:id="rId22" w:history="1">
              <w:r w:rsidR="00DB5A06" w:rsidRPr="00D0398E">
                <w:rPr>
                  <w:rStyle w:val="Hyperlink"/>
                  <w:lang w:val="en-AU"/>
                </w:rPr>
                <w:t>http://qualitysafety.bmj.com/content/early/recent</w:t>
              </w:r>
            </w:hyperlink>
          </w:p>
        </w:tc>
      </w:tr>
      <w:tr w:rsidR="00DB5A06" w:rsidRPr="00D0398E" w:rsidTr="00E90086">
        <w:tc>
          <w:tcPr>
            <w:tcW w:w="1080" w:type="dxa"/>
            <w:tcBorders>
              <w:top w:val="single" w:sz="4" w:space="0" w:color="auto"/>
              <w:left w:val="single" w:sz="4" w:space="0" w:color="auto"/>
              <w:bottom w:val="single" w:sz="4" w:space="0" w:color="auto"/>
              <w:right w:val="single" w:sz="4" w:space="0" w:color="auto"/>
            </w:tcBorders>
            <w:vAlign w:val="center"/>
          </w:tcPr>
          <w:p w:rsidR="00DB5A06" w:rsidRPr="00D0398E" w:rsidRDefault="00DB5A06" w:rsidP="00E90086">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5A06" w:rsidRPr="00D0398E" w:rsidRDefault="00DB5A06" w:rsidP="00E90086">
            <w:pPr>
              <w:rPr>
                <w:lang w:val="en-AU"/>
              </w:rPr>
            </w:pPr>
            <w:r w:rsidRPr="00D0398E">
              <w:rPr>
                <w:i/>
                <w:lang w:val="en-AU"/>
              </w:rPr>
              <w:t>BMJ Quality and Safety</w:t>
            </w:r>
            <w:r w:rsidRPr="00D0398E">
              <w:rPr>
                <w:lang w:val="en-AU"/>
              </w:rPr>
              <w:t xml:space="preserve"> has published a number of ‘online first’ articles, including:</w:t>
            </w:r>
          </w:p>
          <w:p w:rsidR="00B752DC" w:rsidRPr="00D0398E" w:rsidRDefault="001C7B00" w:rsidP="001C7B00">
            <w:pPr>
              <w:pStyle w:val="ListParagraph"/>
              <w:numPr>
                <w:ilvl w:val="0"/>
                <w:numId w:val="14"/>
              </w:numPr>
              <w:rPr>
                <w:lang w:val="en-AU"/>
              </w:rPr>
            </w:pPr>
            <w:r w:rsidRPr="001C7B00">
              <w:rPr>
                <w:lang w:val="en-AU"/>
              </w:rPr>
              <w:t xml:space="preserve">Insights from staff nurses and managers on unit-specific </w:t>
            </w:r>
            <w:r w:rsidRPr="001C7B00">
              <w:rPr>
                <w:b/>
                <w:lang w:val="en-AU"/>
              </w:rPr>
              <w:t>nursing performance</w:t>
            </w:r>
            <w:r w:rsidRPr="001C7B00">
              <w:rPr>
                <w:lang w:val="en-AU"/>
              </w:rPr>
              <w:t xml:space="preserve"> dashboards: a qualitative study </w:t>
            </w:r>
            <w:r>
              <w:rPr>
                <w:lang w:val="en-AU"/>
              </w:rPr>
              <w:t>(</w:t>
            </w:r>
            <w:r w:rsidRPr="001C7B00">
              <w:rPr>
                <w:lang w:val="en-AU"/>
              </w:rPr>
              <w:t>Lianne Jeffs, Susan Beswick, Joyce Lo, Yonda Lai, Aline Chhun, Heather Campbell</w:t>
            </w:r>
            <w:r>
              <w:rPr>
                <w:lang w:val="en-AU"/>
              </w:rPr>
              <w:t>)</w:t>
            </w:r>
          </w:p>
        </w:tc>
      </w:tr>
    </w:tbl>
    <w:p w:rsidR="00F46A65" w:rsidRPr="00D0398E" w:rsidRDefault="00F46A65" w:rsidP="00F46A65">
      <w:pPr>
        <w:keepNext/>
        <w:keepLines/>
        <w:autoSpaceDE w:val="0"/>
        <w:autoSpaceDN w:val="0"/>
        <w:adjustRightInd w:val="0"/>
        <w:rPr>
          <w:lang w:val="en-AU"/>
        </w:rPr>
      </w:pPr>
    </w:p>
    <w:p w:rsidR="00F46A65" w:rsidRPr="00D0398E" w:rsidRDefault="00F46A65" w:rsidP="00F46A65">
      <w:pPr>
        <w:keepNext/>
        <w:autoSpaceDE w:val="0"/>
        <w:autoSpaceDN w:val="0"/>
        <w:adjustRightInd w:val="0"/>
        <w:rPr>
          <w:lang w:val="en-AU"/>
        </w:rPr>
      </w:pPr>
      <w:r w:rsidRPr="00D0398E">
        <w:rPr>
          <w:i/>
          <w:lang w:val="en-AU"/>
        </w:rPr>
        <w:t>International Journal for Quality in Health Care</w:t>
      </w:r>
      <w:r w:rsidRPr="00D0398E">
        <w:rPr>
          <w:lang w:val="en-AU"/>
        </w:rPr>
        <w:t xml:space="preserve"> 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46A65" w:rsidRPr="00D0398E" w:rsidTr="00535CC6">
        <w:tc>
          <w:tcPr>
            <w:tcW w:w="1080" w:type="dxa"/>
            <w:tcBorders>
              <w:top w:val="single" w:sz="4" w:space="0" w:color="auto"/>
              <w:left w:val="single" w:sz="4" w:space="0" w:color="auto"/>
              <w:bottom w:val="single" w:sz="4" w:space="0" w:color="auto"/>
              <w:right w:val="single" w:sz="4" w:space="0" w:color="auto"/>
            </w:tcBorders>
            <w:vAlign w:val="center"/>
          </w:tcPr>
          <w:p w:rsidR="00F46A65" w:rsidRPr="00D0398E" w:rsidRDefault="00F46A65" w:rsidP="00535CC6">
            <w:pPr>
              <w:rPr>
                <w:lang w:val="en-AU"/>
              </w:rPr>
            </w:pPr>
            <w:r w:rsidRPr="00D0398E">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6A65" w:rsidRPr="00D0398E" w:rsidRDefault="00F00EA7" w:rsidP="00535CC6">
            <w:pPr>
              <w:rPr>
                <w:lang w:val="en-AU"/>
              </w:rPr>
            </w:pPr>
            <w:hyperlink r:id="rId23" w:history="1">
              <w:r w:rsidR="00F46A65" w:rsidRPr="00D0398E">
                <w:rPr>
                  <w:rStyle w:val="Hyperlink"/>
                  <w:lang w:val="en-AU"/>
                </w:rPr>
                <w:t>http://intqhc.oxfordjournals.org/content/early/recent?papetoc</w:t>
              </w:r>
            </w:hyperlink>
          </w:p>
        </w:tc>
      </w:tr>
      <w:tr w:rsidR="00F46A65" w:rsidRPr="00D0398E" w:rsidTr="00535CC6">
        <w:tc>
          <w:tcPr>
            <w:tcW w:w="1080" w:type="dxa"/>
            <w:tcBorders>
              <w:top w:val="single" w:sz="4" w:space="0" w:color="auto"/>
              <w:left w:val="single" w:sz="4" w:space="0" w:color="auto"/>
              <w:bottom w:val="single" w:sz="4" w:space="0" w:color="auto"/>
              <w:right w:val="single" w:sz="4" w:space="0" w:color="auto"/>
            </w:tcBorders>
            <w:vAlign w:val="center"/>
          </w:tcPr>
          <w:p w:rsidR="00F46A65" w:rsidRPr="00D0398E" w:rsidRDefault="00F46A65" w:rsidP="00535CC6">
            <w:pPr>
              <w:rPr>
                <w:lang w:val="en-AU"/>
              </w:rPr>
            </w:pPr>
            <w:r w:rsidRPr="00D0398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6A65" w:rsidRPr="00D0398E" w:rsidRDefault="00F46A65" w:rsidP="00535CC6">
            <w:pPr>
              <w:rPr>
                <w:lang w:val="en-AU"/>
              </w:rPr>
            </w:pPr>
            <w:r w:rsidRPr="00D0398E">
              <w:rPr>
                <w:i/>
                <w:lang w:val="en-AU"/>
              </w:rPr>
              <w:t>International Journal for Quality in Health Care</w:t>
            </w:r>
            <w:r w:rsidRPr="00D0398E">
              <w:rPr>
                <w:lang w:val="en-AU"/>
              </w:rPr>
              <w:t xml:space="preserve"> has published a number of ‘online first’ articles, including:</w:t>
            </w:r>
          </w:p>
          <w:p w:rsidR="00F46A65" w:rsidRPr="00D0398E" w:rsidRDefault="00ED6E3D" w:rsidP="00ED6E3D">
            <w:pPr>
              <w:pStyle w:val="ListParagraph"/>
              <w:numPr>
                <w:ilvl w:val="0"/>
                <w:numId w:val="15"/>
              </w:numPr>
              <w:rPr>
                <w:lang w:val="en-AU"/>
              </w:rPr>
            </w:pPr>
            <w:r w:rsidRPr="00ED6E3D">
              <w:rPr>
                <w:lang w:val="en-AU"/>
              </w:rPr>
              <w:t xml:space="preserve">Influence of </w:t>
            </w:r>
            <w:r w:rsidRPr="00ED6E3D">
              <w:rPr>
                <w:b/>
                <w:lang w:val="en-AU"/>
              </w:rPr>
              <w:t>adverse drug events</w:t>
            </w:r>
            <w:r w:rsidRPr="00ED6E3D">
              <w:rPr>
                <w:lang w:val="en-AU"/>
              </w:rPr>
              <w:t xml:space="preserve"> on morbidity and mortality in </w:t>
            </w:r>
            <w:r w:rsidRPr="00ED6E3D">
              <w:rPr>
                <w:b/>
                <w:lang w:val="en-AU"/>
              </w:rPr>
              <w:t>intensive care units</w:t>
            </w:r>
            <w:r w:rsidRPr="00ED6E3D">
              <w:rPr>
                <w:lang w:val="en-AU"/>
              </w:rPr>
              <w:t>: the JADE study (Yoshinori Ohta, Mio Sakuma, Kaoru Koike, David W. Bates, and Takeshi Morimoto</w:t>
            </w:r>
            <w:r>
              <w:rPr>
                <w:lang w:val="en-AU"/>
              </w:rPr>
              <w:t>)</w:t>
            </w:r>
          </w:p>
        </w:tc>
      </w:tr>
    </w:tbl>
    <w:p w:rsidR="00F46A65" w:rsidRPr="00D0398E" w:rsidRDefault="00F46A65" w:rsidP="00F46A65">
      <w:pPr>
        <w:keepNext/>
        <w:keepLines/>
        <w:autoSpaceDE w:val="0"/>
        <w:autoSpaceDN w:val="0"/>
        <w:adjustRightInd w:val="0"/>
        <w:rPr>
          <w:lang w:val="en-AU"/>
        </w:rPr>
      </w:pPr>
    </w:p>
    <w:p w:rsidR="00DA7A90" w:rsidRDefault="00DA7A90" w:rsidP="0029518F">
      <w:pPr>
        <w:rPr>
          <w:b/>
          <w:lang w:val="en-AU"/>
        </w:rPr>
      </w:pPr>
    </w:p>
    <w:p w:rsidR="00F65BB9" w:rsidRPr="00D0398E" w:rsidRDefault="00DB5A06" w:rsidP="0029518F">
      <w:pPr>
        <w:rPr>
          <w:b/>
          <w:lang w:val="en-AU"/>
        </w:rPr>
      </w:pPr>
      <w:r w:rsidRPr="00D0398E">
        <w:rPr>
          <w:b/>
          <w:lang w:val="en-AU"/>
        </w:rPr>
        <w:t>Online resources</w:t>
      </w:r>
    </w:p>
    <w:p w:rsidR="00F65BB9" w:rsidRDefault="00F65BB9" w:rsidP="0029518F">
      <w:pPr>
        <w:rPr>
          <w:lang w:val="en-AU"/>
        </w:rPr>
      </w:pPr>
    </w:p>
    <w:p w:rsidR="004D255A" w:rsidRDefault="00555BF8" w:rsidP="0029518F">
      <w:pPr>
        <w:rPr>
          <w:i/>
          <w:lang w:val="en-AU"/>
        </w:rPr>
      </w:pPr>
      <w:r w:rsidRPr="00555BF8">
        <w:rPr>
          <w:i/>
          <w:lang w:val="en-AU"/>
        </w:rPr>
        <w:t>Medical Devices Safety Update</w:t>
      </w:r>
    </w:p>
    <w:p w:rsidR="00555BF8" w:rsidRPr="004D255A" w:rsidRDefault="00555BF8" w:rsidP="0029518F">
      <w:pPr>
        <w:rPr>
          <w:lang w:val="en-AU"/>
        </w:rPr>
      </w:pPr>
      <w:r w:rsidRPr="004D255A">
        <w:rPr>
          <w:lang w:val="en-AU"/>
        </w:rPr>
        <w:t>Volume 2, Number 5, September 2014</w:t>
      </w:r>
    </w:p>
    <w:p w:rsidR="00555BF8" w:rsidRDefault="00F00EA7" w:rsidP="0029518F">
      <w:pPr>
        <w:rPr>
          <w:lang w:val="en-AU"/>
        </w:rPr>
      </w:pPr>
      <w:hyperlink r:id="rId24" w:history="1">
        <w:r w:rsidR="00555BF8" w:rsidRPr="000E059B">
          <w:rPr>
            <w:rStyle w:val="Hyperlink"/>
            <w:lang w:val="en-AU"/>
          </w:rPr>
          <w:t>http://www.tga.gov.au/hp/mdsu-2014-05.htm</w:t>
        </w:r>
      </w:hyperlink>
    </w:p>
    <w:p w:rsidR="00555BF8" w:rsidRDefault="00555BF8" w:rsidP="0029518F">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555BF8" w:rsidRPr="00555BF8" w:rsidRDefault="00555BF8" w:rsidP="00555BF8">
      <w:pPr>
        <w:pStyle w:val="ListParagraph"/>
        <w:numPr>
          <w:ilvl w:val="0"/>
          <w:numId w:val="15"/>
        </w:numPr>
        <w:rPr>
          <w:lang w:val="en-AU"/>
        </w:rPr>
      </w:pPr>
      <w:r w:rsidRPr="00555BF8">
        <w:rPr>
          <w:lang w:val="en-AU"/>
        </w:rPr>
        <w:t>Risk of electric shock during defibrillator check</w:t>
      </w:r>
    </w:p>
    <w:p w:rsidR="00555BF8" w:rsidRPr="00555BF8" w:rsidRDefault="00555BF8" w:rsidP="00555BF8">
      <w:pPr>
        <w:pStyle w:val="ListParagraph"/>
        <w:numPr>
          <w:ilvl w:val="0"/>
          <w:numId w:val="15"/>
        </w:numPr>
        <w:rPr>
          <w:lang w:val="en-AU"/>
        </w:rPr>
      </w:pPr>
      <w:r w:rsidRPr="00555BF8">
        <w:rPr>
          <w:lang w:val="en-AU"/>
        </w:rPr>
        <w:t>Endoscopes reprocessing procedures</w:t>
      </w:r>
    </w:p>
    <w:p w:rsidR="00555BF8" w:rsidRPr="00555BF8" w:rsidRDefault="00555BF8" w:rsidP="00555BF8">
      <w:pPr>
        <w:pStyle w:val="ListParagraph"/>
        <w:numPr>
          <w:ilvl w:val="0"/>
          <w:numId w:val="15"/>
        </w:numPr>
        <w:rPr>
          <w:lang w:val="en-AU"/>
        </w:rPr>
      </w:pPr>
      <w:r w:rsidRPr="00555BF8">
        <w:rPr>
          <w:lang w:val="en-AU"/>
        </w:rPr>
        <w:t>Recent safety alerts</w:t>
      </w:r>
    </w:p>
    <w:p w:rsidR="00555BF8" w:rsidRPr="00555BF8" w:rsidRDefault="00555BF8" w:rsidP="00555BF8">
      <w:pPr>
        <w:pStyle w:val="ListParagraph"/>
        <w:numPr>
          <w:ilvl w:val="0"/>
          <w:numId w:val="15"/>
        </w:numPr>
        <w:rPr>
          <w:lang w:val="en-AU"/>
        </w:rPr>
      </w:pPr>
      <w:r w:rsidRPr="00555BF8">
        <w:rPr>
          <w:lang w:val="en-AU"/>
        </w:rPr>
        <w:t>Following Instructions for Use and maintenance key to safe use of slings and patient lifters</w:t>
      </w:r>
    </w:p>
    <w:p w:rsidR="00555BF8" w:rsidRDefault="00555BF8" w:rsidP="0029518F">
      <w:pPr>
        <w:rPr>
          <w:lang w:val="en-AU"/>
        </w:rPr>
      </w:pPr>
    </w:p>
    <w:p w:rsidR="00C23CED" w:rsidRPr="00C23CED" w:rsidRDefault="00C23CED" w:rsidP="00C23CED">
      <w:pPr>
        <w:keepNext/>
        <w:rPr>
          <w:i/>
          <w:lang w:val="en-AU"/>
        </w:rPr>
      </w:pPr>
      <w:r w:rsidRPr="00C23CED">
        <w:rPr>
          <w:i/>
          <w:lang w:val="en-AU"/>
        </w:rPr>
        <w:t>[Irel</w:t>
      </w:r>
      <w:r>
        <w:rPr>
          <w:i/>
          <w:lang w:val="en-AU"/>
        </w:rPr>
        <w:t>and] ‘Sorry’ — the hardest word?</w:t>
      </w:r>
    </w:p>
    <w:p w:rsidR="00C23CED" w:rsidRPr="00C23CED" w:rsidRDefault="00C23CED" w:rsidP="00C23CED">
      <w:pPr>
        <w:keepNext/>
        <w:rPr>
          <w:b/>
          <w:lang w:val="en-AU"/>
        </w:rPr>
      </w:pPr>
      <w:hyperlink r:id="rId25" w:history="1">
        <w:r w:rsidRPr="00C23CED">
          <w:rPr>
            <w:rStyle w:val="Hyperlink"/>
            <w:lang w:val="en-AU"/>
          </w:rPr>
          <w:t>http://www.medicalindependent.ie/52646/sorry_%E2%80%94_the_hardest_</w:t>
        </w:r>
        <w:r w:rsidRPr="00C23CED">
          <w:rPr>
            <w:rStyle w:val="Hyperlink"/>
            <w:lang w:val="en-AU"/>
          </w:rPr>
          <w:t>w</w:t>
        </w:r>
        <w:r w:rsidRPr="00C23CED">
          <w:rPr>
            <w:rStyle w:val="Hyperlink"/>
            <w:lang w:val="en-AU"/>
          </w:rPr>
          <w:t>ord</w:t>
        </w:r>
      </w:hyperlink>
      <w:r w:rsidRPr="00C23CED">
        <w:rPr>
          <w:rFonts w:ascii="Helv" w:hAnsi="Helv" w:cs="Helv"/>
          <w:color w:val="000000"/>
          <w:sz w:val="20"/>
          <w:szCs w:val="20"/>
          <w:lang w:val="en-AU" w:eastAsia="en-AU"/>
        </w:rPr>
        <w:t xml:space="preserve"> </w:t>
      </w:r>
    </w:p>
    <w:p w:rsidR="00C23CED" w:rsidRPr="00586BA9" w:rsidRDefault="00C23CED" w:rsidP="00C23CED">
      <w:pPr>
        <w:rPr>
          <w:lang w:val="en-AU"/>
        </w:rPr>
      </w:pPr>
      <w:r w:rsidRPr="00C23CED">
        <w:rPr>
          <w:lang w:val="en-AU"/>
        </w:rPr>
        <w:t>This feature article in the</w:t>
      </w:r>
      <w:r>
        <w:rPr>
          <w:lang w:val="en-AU"/>
        </w:rPr>
        <w:t xml:space="preserve"> (Irish)</w:t>
      </w:r>
      <w:r w:rsidRPr="00C23CED">
        <w:rPr>
          <w:lang w:val="en-AU"/>
        </w:rPr>
        <w:t xml:space="preserve"> </w:t>
      </w:r>
      <w:r w:rsidRPr="00C23CED">
        <w:rPr>
          <w:i/>
          <w:lang w:val="en-AU"/>
        </w:rPr>
        <w:t>Medical Independent</w:t>
      </w:r>
      <w:r w:rsidRPr="00C23CED">
        <w:rPr>
          <w:lang w:val="en-AU"/>
        </w:rPr>
        <w:t xml:space="preserve"> examines open disclosure in light of </w:t>
      </w:r>
      <w:r>
        <w:rPr>
          <w:lang w:val="en-AU"/>
        </w:rPr>
        <w:t xml:space="preserve">the (Irish) </w:t>
      </w:r>
      <w:r w:rsidRPr="00C23CED">
        <w:rPr>
          <w:lang w:val="en-AU"/>
        </w:rPr>
        <w:t>H</w:t>
      </w:r>
      <w:r>
        <w:rPr>
          <w:lang w:val="en-AU"/>
        </w:rPr>
        <w:t xml:space="preserve">ealth </w:t>
      </w:r>
      <w:r w:rsidRPr="00C23CED">
        <w:rPr>
          <w:lang w:val="en-AU"/>
        </w:rPr>
        <w:t>S</w:t>
      </w:r>
      <w:r>
        <w:rPr>
          <w:lang w:val="en-AU"/>
        </w:rPr>
        <w:t xml:space="preserve">ervices </w:t>
      </w:r>
      <w:r w:rsidRPr="00C23CED">
        <w:rPr>
          <w:lang w:val="en-AU"/>
        </w:rPr>
        <w:t>E</w:t>
      </w:r>
      <w:r>
        <w:rPr>
          <w:lang w:val="en-AU"/>
        </w:rPr>
        <w:t>xecutive release of its</w:t>
      </w:r>
      <w:r w:rsidRPr="00C23CED">
        <w:rPr>
          <w:lang w:val="en-AU"/>
        </w:rPr>
        <w:t xml:space="preserve"> Open Disclosure Policy and Guidelines, focusing on the legal aspects of open disclosure. The article contains reflections of the </w:t>
      </w:r>
      <w:r>
        <w:rPr>
          <w:lang w:val="en-AU"/>
        </w:rPr>
        <w:t xml:space="preserve">Australian </w:t>
      </w:r>
      <w:r w:rsidRPr="00C23CED">
        <w:rPr>
          <w:lang w:val="en-AU"/>
        </w:rPr>
        <w:t xml:space="preserve">Commission </w:t>
      </w:r>
      <w:r>
        <w:rPr>
          <w:lang w:val="en-AU"/>
        </w:rPr>
        <w:t xml:space="preserve">on Safety and Quality in Health Care </w:t>
      </w:r>
      <w:r w:rsidRPr="00C23CED">
        <w:rPr>
          <w:lang w:val="en-AU"/>
        </w:rPr>
        <w:t>CEO, Prof</w:t>
      </w:r>
      <w:r>
        <w:rPr>
          <w:lang w:val="en-AU"/>
        </w:rPr>
        <w:t>essor</w:t>
      </w:r>
      <w:r w:rsidRPr="00C23CED">
        <w:rPr>
          <w:lang w:val="en-AU"/>
        </w:rPr>
        <w:t xml:space="preserve"> Debora Picone AM, on the Australian experience with open disclosure and the development of the </w:t>
      </w:r>
      <w:hyperlink r:id="rId26" w:history="1">
        <w:r w:rsidRPr="00C23CED">
          <w:rPr>
            <w:rStyle w:val="Hyperlink"/>
            <w:lang w:val="en-AU"/>
          </w:rPr>
          <w:t>Australian Open Disclosure Framework</w:t>
        </w:r>
      </w:hyperlink>
      <w:r>
        <w:rPr>
          <w:lang w:val="en-AU"/>
        </w:rPr>
        <w:t>.</w:t>
      </w:r>
    </w:p>
    <w:p w:rsidR="00C23CED" w:rsidRDefault="00C23CED" w:rsidP="00C23CED">
      <w:pPr>
        <w:rPr>
          <w:i/>
          <w:lang w:val="en-AU"/>
        </w:rPr>
      </w:pPr>
    </w:p>
    <w:p w:rsidR="003F69D2" w:rsidRPr="003F69D2" w:rsidRDefault="003F69D2" w:rsidP="00C23CED">
      <w:pPr>
        <w:rPr>
          <w:i/>
          <w:lang w:val="en-AU"/>
        </w:rPr>
      </w:pPr>
      <w:r w:rsidRPr="003F69D2">
        <w:rPr>
          <w:i/>
          <w:lang w:val="en-AU"/>
        </w:rPr>
        <w:lastRenderedPageBreak/>
        <w:t>[UK] Good Surgical Practice</w:t>
      </w:r>
    </w:p>
    <w:p w:rsidR="003F69D2" w:rsidRDefault="00F00EA7" w:rsidP="0029518F">
      <w:pPr>
        <w:rPr>
          <w:lang w:val="en-AU"/>
        </w:rPr>
      </w:pPr>
      <w:hyperlink r:id="rId27" w:history="1">
        <w:r w:rsidR="003F69D2" w:rsidRPr="000E059B">
          <w:rPr>
            <w:rStyle w:val="Hyperlink"/>
            <w:lang w:val="en-AU"/>
          </w:rPr>
          <w:t>http://www.rcseng.ac.uk/surgeons/surgical-standards/professionalism-surgery/gsp</w:t>
        </w:r>
      </w:hyperlink>
    </w:p>
    <w:p w:rsidR="003F69D2" w:rsidRDefault="003F69D2" w:rsidP="0029518F">
      <w:pPr>
        <w:rPr>
          <w:lang w:val="en-AU"/>
        </w:rPr>
      </w:pPr>
      <w:r w:rsidRPr="003F69D2">
        <w:rPr>
          <w:lang w:val="en-AU"/>
        </w:rPr>
        <w:t xml:space="preserve">The Royal College of Surgeons of England </w:t>
      </w:r>
      <w:r>
        <w:rPr>
          <w:lang w:val="en-AU"/>
        </w:rPr>
        <w:t xml:space="preserve">has </w:t>
      </w:r>
      <w:r w:rsidRPr="003F69D2">
        <w:rPr>
          <w:lang w:val="en-AU"/>
        </w:rPr>
        <w:t xml:space="preserve">launched </w:t>
      </w:r>
      <w:r w:rsidRPr="003F69D2">
        <w:rPr>
          <w:i/>
          <w:lang w:val="en-AU"/>
        </w:rPr>
        <w:t>Good Surgical Practice</w:t>
      </w:r>
      <w:r w:rsidRPr="003F69D2">
        <w:rPr>
          <w:lang w:val="en-AU"/>
        </w:rPr>
        <w:t xml:space="preserve"> outlining clear standards expected of all </w:t>
      </w:r>
      <w:r>
        <w:rPr>
          <w:lang w:val="en-AU"/>
        </w:rPr>
        <w:t xml:space="preserve">English </w:t>
      </w:r>
      <w:r w:rsidRPr="003F69D2">
        <w:rPr>
          <w:lang w:val="en-AU"/>
        </w:rPr>
        <w:t xml:space="preserve">surgeons. The guide outlines the skills, values and attitudes that underpin the profession and has been developed with surgeons and patient groups. </w:t>
      </w:r>
      <w:r w:rsidRPr="003F69D2">
        <w:rPr>
          <w:i/>
          <w:lang w:val="en-AU"/>
        </w:rPr>
        <w:t>Good Surgical Practice</w:t>
      </w:r>
      <w:r w:rsidRPr="003F69D2">
        <w:rPr>
          <w:lang w:val="en-AU"/>
        </w:rPr>
        <w:t xml:space="preserve"> has been updated following the recent release of the General Medical Council’s re-working of </w:t>
      </w:r>
      <w:r w:rsidRPr="003F69D2">
        <w:rPr>
          <w:i/>
          <w:lang w:val="en-AU"/>
        </w:rPr>
        <w:t>Good Medical Practice</w:t>
      </w:r>
      <w:r w:rsidRPr="003F69D2">
        <w:rPr>
          <w:lang w:val="en-AU"/>
        </w:rPr>
        <w:t xml:space="preserve"> and addresses some of the key challenges facing the profession.</w:t>
      </w:r>
    </w:p>
    <w:p w:rsidR="00E35974" w:rsidRDefault="00E35974" w:rsidP="0029518F">
      <w:pPr>
        <w:rPr>
          <w:lang w:val="en-AU"/>
        </w:rPr>
      </w:pPr>
      <w:r w:rsidRPr="00E35974">
        <w:rPr>
          <w:b/>
          <w:lang w:val="en-AU"/>
        </w:rPr>
        <w:t>Collaborative working</w:t>
      </w:r>
      <w:r w:rsidRPr="00E35974">
        <w:rPr>
          <w:lang w:val="en-AU"/>
        </w:rPr>
        <w:t xml:space="preserve"> and </w:t>
      </w:r>
      <w:r w:rsidRPr="00E35974">
        <w:rPr>
          <w:b/>
          <w:lang w:val="en-AU"/>
        </w:rPr>
        <w:t>patient safety</w:t>
      </w:r>
      <w:r w:rsidRPr="00E35974">
        <w:rPr>
          <w:lang w:val="en-AU"/>
        </w:rPr>
        <w:t xml:space="preserve"> </w:t>
      </w:r>
      <w:r>
        <w:rPr>
          <w:lang w:val="en-AU"/>
        </w:rPr>
        <w:t xml:space="preserve">are </w:t>
      </w:r>
      <w:r w:rsidRPr="00E35974">
        <w:rPr>
          <w:lang w:val="en-AU"/>
        </w:rPr>
        <w:t xml:space="preserve">a core message in the guide. </w:t>
      </w:r>
      <w:r>
        <w:rPr>
          <w:lang w:val="en-AU"/>
        </w:rPr>
        <w:t>T</w:t>
      </w:r>
      <w:r w:rsidRPr="00E35974">
        <w:rPr>
          <w:lang w:val="en-AU"/>
        </w:rPr>
        <w:t xml:space="preserve">he guide recommends surgeons should ensure they are effectively working in multidisciplinary teams to improve </w:t>
      </w:r>
      <w:r w:rsidRPr="00E35974">
        <w:rPr>
          <w:b/>
          <w:lang w:val="en-AU"/>
        </w:rPr>
        <w:t>communication</w:t>
      </w:r>
      <w:r w:rsidRPr="00E35974">
        <w:rPr>
          <w:lang w:val="en-AU"/>
        </w:rPr>
        <w:t xml:space="preserve"> with patients an</w:t>
      </w:r>
      <w:r>
        <w:rPr>
          <w:lang w:val="en-AU"/>
        </w:rPr>
        <w:t xml:space="preserve">d the decision making process. </w:t>
      </w:r>
      <w:r w:rsidRPr="00E35974">
        <w:rPr>
          <w:lang w:val="en-AU"/>
        </w:rPr>
        <w:t xml:space="preserve">Surgical </w:t>
      </w:r>
      <w:r w:rsidRPr="00E35974">
        <w:rPr>
          <w:b/>
          <w:lang w:val="en-AU"/>
        </w:rPr>
        <w:t>leadership</w:t>
      </w:r>
      <w:r w:rsidRPr="00E35974">
        <w:rPr>
          <w:lang w:val="en-AU"/>
        </w:rPr>
        <w:t xml:space="preserve"> and </w:t>
      </w:r>
      <w:r w:rsidRPr="00E35974">
        <w:rPr>
          <w:b/>
          <w:lang w:val="en-AU"/>
        </w:rPr>
        <w:t>teamwork</w:t>
      </w:r>
      <w:r w:rsidRPr="00E35974">
        <w:rPr>
          <w:lang w:val="en-AU"/>
        </w:rPr>
        <w:t xml:space="preserve"> are crucial for achieving high-quality patient care and this guide provides surgeons with a model that they should aspire to in day to day practice</w:t>
      </w:r>
      <w:r>
        <w:rPr>
          <w:lang w:val="en-AU"/>
        </w:rPr>
        <w:t>.</w:t>
      </w:r>
    </w:p>
    <w:p w:rsidR="003F69D2" w:rsidRPr="008B72FB" w:rsidRDefault="003F69D2" w:rsidP="0029518F">
      <w:pPr>
        <w:rPr>
          <w:lang w:val="en-AU"/>
        </w:rPr>
      </w:pPr>
    </w:p>
    <w:p w:rsidR="008B72FB" w:rsidRPr="008B72FB" w:rsidRDefault="008B72FB" w:rsidP="00AC1FD6">
      <w:pPr>
        <w:keepNext/>
        <w:rPr>
          <w:i/>
          <w:lang w:val="en-AU"/>
        </w:rPr>
      </w:pPr>
      <w:r w:rsidRPr="008B72FB">
        <w:rPr>
          <w:i/>
          <w:lang w:val="en-AU"/>
        </w:rPr>
        <w:t xml:space="preserve">Building a Curriculum </w:t>
      </w:r>
      <w:r w:rsidR="004D255A">
        <w:rPr>
          <w:i/>
          <w:lang w:val="en-AU"/>
        </w:rPr>
        <w:t>in Quality and Safety Education</w:t>
      </w:r>
    </w:p>
    <w:p w:rsidR="008B72FB" w:rsidRDefault="00F00EA7" w:rsidP="0029518F">
      <w:pPr>
        <w:rPr>
          <w:lang w:val="en-AU"/>
        </w:rPr>
      </w:pPr>
      <w:hyperlink r:id="rId28" w:history="1">
        <w:r w:rsidR="008B72FB" w:rsidRPr="000E059B">
          <w:rPr>
            <w:rStyle w:val="Hyperlink"/>
            <w:lang w:val="en-AU"/>
          </w:rPr>
          <w:t>http://www.isqua.org/education/resource-centre/building-a-curriculum-in-quality-and-safety-education-with-kim-oates</w:t>
        </w:r>
      </w:hyperlink>
    </w:p>
    <w:p w:rsidR="008B72FB" w:rsidRDefault="008B72FB" w:rsidP="0029518F">
      <w:pPr>
        <w:rPr>
          <w:lang w:val="en-AU"/>
        </w:rPr>
      </w:pPr>
      <w:r>
        <w:rPr>
          <w:lang w:val="en-AU"/>
        </w:rPr>
        <w:t xml:space="preserve">Webinar presented by </w:t>
      </w:r>
      <w:r w:rsidRPr="008B72FB">
        <w:rPr>
          <w:lang w:val="en-AU"/>
        </w:rPr>
        <w:t>Kim Oates</w:t>
      </w:r>
      <w:r>
        <w:rPr>
          <w:lang w:val="en-AU"/>
        </w:rPr>
        <w:t xml:space="preserve"> (</w:t>
      </w:r>
      <w:r w:rsidRPr="008B72FB">
        <w:rPr>
          <w:lang w:val="en-AU"/>
        </w:rPr>
        <w:t xml:space="preserve">Director of Undergraduate Quality and Safety at the </w:t>
      </w:r>
      <w:r>
        <w:rPr>
          <w:lang w:val="en-AU"/>
        </w:rPr>
        <w:t xml:space="preserve">NSW </w:t>
      </w:r>
      <w:r w:rsidRPr="008B72FB">
        <w:rPr>
          <w:lang w:val="en-AU"/>
        </w:rPr>
        <w:t>Clinical Excellence Commission, Sydney</w:t>
      </w:r>
      <w:r>
        <w:rPr>
          <w:lang w:val="en-AU"/>
        </w:rPr>
        <w:t>) for ISQua covering quality and safety education in the medical curriculum, including:</w:t>
      </w:r>
    </w:p>
    <w:p w:rsidR="008B72FB" w:rsidRPr="008B72FB" w:rsidRDefault="008B72FB" w:rsidP="008B72FB">
      <w:pPr>
        <w:pStyle w:val="ListParagraph"/>
        <w:numPr>
          <w:ilvl w:val="0"/>
          <w:numId w:val="15"/>
        </w:numPr>
        <w:rPr>
          <w:lang w:val="en-AU"/>
        </w:rPr>
      </w:pPr>
      <w:r w:rsidRPr="008B72FB">
        <w:rPr>
          <w:lang w:val="en-AU"/>
        </w:rPr>
        <w:t>What resources are available to incorporate into a patient safety curriculum?</w:t>
      </w:r>
    </w:p>
    <w:p w:rsidR="008B72FB" w:rsidRPr="008B72FB" w:rsidRDefault="008B72FB" w:rsidP="008B72FB">
      <w:pPr>
        <w:pStyle w:val="ListParagraph"/>
        <w:numPr>
          <w:ilvl w:val="0"/>
          <w:numId w:val="15"/>
        </w:numPr>
        <w:rPr>
          <w:lang w:val="en-AU"/>
        </w:rPr>
      </w:pPr>
      <w:r w:rsidRPr="008B72FB">
        <w:rPr>
          <w:lang w:val="en-AU"/>
        </w:rPr>
        <w:t>Effective teaching requires students to be involved as active learners rathe</w:t>
      </w:r>
      <w:r>
        <w:rPr>
          <w:lang w:val="en-AU"/>
        </w:rPr>
        <w:t xml:space="preserve">r than as passive recipients. </w:t>
      </w:r>
      <w:r w:rsidRPr="008B72FB">
        <w:rPr>
          <w:lang w:val="en-AU"/>
        </w:rPr>
        <w:t>How can this be done?</w:t>
      </w:r>
    </w:p>
    <w:p w:rsidR="008B72FB" w:rsidRPr="008B72FB" w:rsidRDefault="008B72FB" w:rsidP="008B72FB">
      <w:pPr>
        <w:pStyle w:val="ListParagraph"/>
        <w:numPr>
          <w:ilvl w:val="0"/>
          <w:numId w:val="15"/>
        </w:numPr>
        <w:rPr>
          <w:lang w:val="en-AU"/>
        </w:rPr>
      </w:pPr>
      <w:r w:rsidRPr="008B72FB">
        <w:rPr>
          <w:lang w:val="en-AU"/>
        </w:rPr>
        <w:t xml:space="preserve">Should teaching be on-line </w:t>
      </w:r>
      <w:r>
        <w:rPr>
          <w:lang w:val="en-AU"/>
        </w:rPr>
        <w:t>or</w:t>
      </w:r>
      <w:r w:rsidRPr="008B72FB">
        <w:rPr>
          <w:lang w:val="en-AU"/>
        </w:rPr>
        <w:t xml:space="preserve"> face</w:t>
      </w:r>
      <w:r>
        <w:rPr>
          <w:lang w:val="en-AU"/>
        </w:rPr>
        <w:t>-</w:t>
      </w:r>
      <w:r w:rsidRPr="008B72FB">
        <w:rPr>
          <w:lang w:val="en-AU"/>
        </w:rPr>
        <w:t>to</w:t>
      </w:r>
      <w:r>
        <w:rPr>
          <w:lang w:val="en-AU"/>
        </w:rPr>
        <w:t>-</w:t>
      </w:r>
      <w:r w:rsidRPr="008B72FB">
        <w:rPr>
          <w:lang w:val="en-AU"/>
        </w:rPr>
        <w:t>face?</w:t>
      </w:r>
    </w:p>
    <w:p w:rsidR="008B72FB" w:rsidRPr="008B72FB" w:rsidRDefault="008B72FB" w:rsidP="008B72FB">
      <w:pPr>
        <w:pStyle w:val="ListParagraph"/>
        <w:numPr>
          <w:ilvl w:val="0"/>
          <w:numId w:val="15"/>
        </w:numPr>
        <w:rPr>
          <w:lang w:val="en-AU"/>
        </w:rPr>
      </w:pPr>
      <w:r w:rsidRPr="008B72FB">
        <w:rPr>
          <w:lang w:val="en-AU"/>
        </w:rPr>
        <w:t>How can we evaluate the impact of patient safety teaching?</w:t>
      </w:r>
    </w:p>
    <w:p w:rsidR="008B72FB" w:rsidRPr="008B72FB" w:rsidRDefault="008B72FB" w:rsidP="008B72FB">
      <w:pPr>
        <w:pStyle w:val="ListParagraph"/>
        <w:numPr>
          <w:ilvl w:val="0"/>
          <w:numId w:val="15"/>
        </w:numPr>
        <w:rPr>
          <w:lang w:val="en-AU"/>
        </w:rPr>
      </w:pPr>
      <w:r w:rsidRPr="008B72FB">
        <w:rPr>
          <w:lang w:val="en-AU"/>
        </w:rPr>
        <w:t>Should patient safety teaching be available to all or kept as an elective area for interested students?</w:t>
      </w:r>
    </w:p>
    <w:p w:rsidR="008B72FB" w:rsidRPr="008B72FB" w:rsidRDefault="008B72FB" w:rsidP="008B72FB">
      <w:pPr>
        <w:pStyle w:val="ListParagraph"/>
        <w:numPr>
          <w:ilvl w:val="0"/>
          <w:numId w:val="15"/>
        </w:numPr>
        <w:rPr>
          <w:lang w:val="en-AU"/>
        </w:rPr>
      </w:pPr>
      <w:r w:rsidRPr="008B72FB">
        <w:rPr>
          <w:lang w:val="en-AU"/>
        </w:rPr>
        <w:t>How can multidisciplinary teaching be achieved in patient safety?</w:t>
      </w:r>
    </w:p>
    <w:p w:rsidR="00F46A65" w:rsidRDefault="00F46A65" w:rsidP="0029518F">
      <w:pPr>
        <w:rPr>
          <w:lang w:val="en-AU"/>
        </w:rPr>
      </w:pPr>
    </w:p>
    <w:p w:rsidR="009516EE" w:rsidRPr="009516EE" w:rsidRDefault="009516EE" w:rsidP="004D255A">
      <w:pPr>
        <w:keepNext/>
        <w:rPr>
          <w:i/>
          <w:lang w:val="en-AU"/>
        </w:rPr>
      </w:pPr>
      <w:r w:rsidRPr="009516EE">
        <w:rPr>
          <w:i/>
          <w:lang w:val="en-AU"/>
        </w:rPr>
        <w:t>Why applying human factors and ergonomics is important to patient safety</w:t>
      </w:r>
    </w:p>
    <w:p w:rsidR="008B72FB" w:rsidRDefault="00F00EA7" w:rsidP="004D255A">
      <w:pPr>
        <w:keepNext/>
        <w:rPr>
          <w:lang w:val="en-AU"/>
        </w:rPr>
      </w:pPr>
      <w:hyperlink r:id="rId29" w:history="1">
        <w:r w:rsidR="009516EE" w:rsidRPr="000E059B">
          <w:rPr>
            <w:rStyle w:val="Hyperlink"/>
            <w:lang w:val="en-AU"/>
          </w:rPr>
          <w:t>http://isqua.org/education/webinars/agnes-leotsakos</w:t>
        </w:r>
      </w:hyperlink>
    </w:p>
    <w:p w:rsidR="009516EE" w:rsidRDefault="009516EE" w:rsidP="0029518F">
      <w:pPr>
        <w:rPr>
          <w:lang w:val="en-AU"/>
        </w:rPr>
      </w:pPr>
      <w:r>
        <w:rPr>
          <w:lang w:val="en-AU"/>
        </w:rPr>
        <w:t xml:space="preserve">Webinar presented by </w:t>
      </w:r>
      <w:r w:rsidRPr="009516EE">
        <w:rPr>
          <w:lang w:val="en-AU"/>
        </w:rPr>
        <w:t>Agnès Leotsakos</w:t>
      </w:r>
      <w:r>
        <w:rPr>
          <w:lang w:val="en-AU"/>
        </w:rPr>
        <w:t xml:space="preserve"> (</w:t>
      </w:r>
      <w:r w:rsidRPr="009516EE">
        <w:rPr>
          <w:lang w:val="en-AU"/>
        </w:rPr>
        <w:t>Programme Lead, Education and Global Capacity Building, Safety and Quality of Care in Service Delivery, World Health Organization</w:t>
      </w:r>
      <w:r>
        <w:rPr>
          <w:lang w:val="en-AU"/>
        </w:rPr>
        <w:t>) for ISQua covering how human factors and ergonomics can</w:t>
      </w:r>
      <w:r w:rsidR="004D255A">
        <w:rPr>
          <w:lang w:val="en-AU"/>
        </w:rPr>
        <w:t xml:space="preserve"> address patient safety issues.</w:t>
      </w:r>
    </w:p>
    <w:p w:rsidR="00586BA9" w:rsidRDefault="00586BA9" w:rsidP="0029518F">
      <w:pPr>
        <w:rPr>
          <w:lang w:val="en-AU"/>
        </w:rPr>
      </w:pPr>
    </w:p>
    <w:p w:rsidR="00AF36C9" w:rsidRDefault="00AF36C9" w:rsidP="0029518F">
      <w:pPr>
        <w:rPr>
          <w:lang w:val="en-AU"/>
        </w:rPr>
      </w:pPr>
    </w:p>
    <w:p w:rsidR="00294271" w:rsidRPr="009516EE" w:rsidRDefault="00294271" w:rsidP="0029518F">
      <w:pPr>
        <w:rPr>
          <w:lang w:val="en-AU"/>
        </w:rPr>
      </w:pPr>
    </w:p>
    <w:p w:rsidR="00B160EF" w:rsidRPr="00D0398E" w:rsidRDefault="00B160EF" w:rsidP="00B160EF">
      <w:pPr>
        <w:keepNext/>
        <w:pBdr>
          <w:top w:val="single" w:sz="4" w:space="1" w:color="auto"/>
        </w:pBdr>
        <w:rPr>
          <w:b/>
          <w:lang w:val="en-AU"/>
        </w:rPr>
      </w:pPr>
      <w:r w:rsidRPr="00D0398E">
        <w:rPr>
          <w:b/>
          <w:lang w:val="en-AU"/>
        </w:rPr>
        <w:t>Disclaimer</w:t>
      </w:r>
    </w:p>
    <w:p w:rsidR="00E41D2F" w:rsidRPr="00D0398E" w:rsidRDefault="00B160EF" w:rsidP="00B160EF">
      <w:pPr>
        <w:rPr>
          <w:lang w:val="en-AU"/>
        </w:rPr>
      </w:pPr>
      <w:r w:rsidRPr="00D0398E">
        <w:rPr>
          <w:i/>
          <w:lang w:val="en-AU"/>
        </w:rPr>
        <w:t xml:space="preserve">On the </w:t>
      </w:r>
      <w:r w:rsidR="001A66F9" w:rsidRPr="00D0398E">
        <w:rPr>
          <w:i/>
          <w:lang w:val="en-AU"/>
        </w:rPr>
        <w:t>R</w:t>
      </w:r>
      <w:r w:rsidRPr="00D0398E">
        <w:rPr>
          <w:i/>
          <w:lang w:val="en-AU"/>
        </w:rPr>
        <w:t>adar</w:t>
      </w:r>
      <w:r w:rsidRPr="00D0398E">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D0398E"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A7" w:rsidRDefault="00F00EA7">
      <w:r>
        <w:separator/>
      </w:r>
    </w:p>
  </w:endnote>
  <w:endnote w:type="continuationSeparator" w:id="0">
    <w:p w:rsidR="00F00EA7" w:rsidRDefault="00F0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01B66">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F46A65">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1B66">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F46A65">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A7" w:rsidRDefault="00F00EA7">
      <w:r>
        <w:separator/>
      </w:r>
    </w:p>
  </w:footnote>
  <w:footnote w:type="continuationSeparator" w:id="0">
    <w:p w:rsidR="00F00EA7" w:rsidRDefault="00F00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390452"/>
    <w:multiLevelType w:val="hybridMultilevel"/>
    <w:tmpl w:val="E612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474E5D"/>
    <w:multiLevelType w:val="hybridMultilevel"/>
    <w:tmpl w:val="8A346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8F07A3"/>
    <w:multiLevelType w:val="hybridMultilevel"/>
    <w:tmpl w:val="E8E0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89D1AB3"/>
    <w:multiLevelType w:val="hybridMultilevel"/>
    <w:tmpl w:val="EBDAC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1E6613"/>
    <w:multiLevelType w:val="hybridMultilevel"/>
    <w:tmpl w:val="89841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49E286C"/>
    <w:multiLevelType w:val="hybridMultilevel"/>
    <w:tmpl w:val="07F46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7AD7984"/>
    <w:multiLevelType w:val="hybridMultilevel"/>
    <w:tmpl w:val="0A7A38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8">
    <w:nsid w:val="20AA47D6"/>
    <w:multiLevelType w:val="hybridMultilevel"/>
    <w:tmpl w:val="61DA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B91AE2"/>
    <w:multiLevelType w:val="hybridMultilevel"/>
    <w:tmpl w:val="FD0A230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0">
    <w:nsid w:val="22C06B07"/>
    <w:multiLevelType w:val="hybridMultilevel"/>
    <w:tmpl w:val="6E424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2FF5B55"/>
    <w:multiLevelType w:val="hybridMultilevel"/>
    <w:tmpl w:val="0F2A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4057BCD"/>
    <w:multiLevelType w:val="hybridMultilevel"/>
    <w:tmpl w:val="503A1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AAC5133"/>
    <w:multiLevelType w:val="hybridMultilevel"/>
    <w:tmpl w:val="CE808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6D4C4F"/>
    <w:multiLevelType w:val="hybridMultilevel"/>
    <w:tmpl w:val="606C9A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E748CA"/>
    <w:multiLevelType w:val="hybridMultilevel"/>
    <w:tmpl w:val="7B9EC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D372C0"/>
    <w:multiLevelType w:val="hybridMultilevel"/>
    <w:tmpl w:val="11040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061C5"/>
    <w:multiLevelType w:val="hybridMultilevel"/>
    <w:tmpl w:val="3A7E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F172F2"/>
    <w:multiLevelType w:val="hybridMultilevel"/>
    <w:tmpl w:val="E3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3B792B"/>
    <w:multiLevelType w:val="hybridMultilevel"/>
    <w:tmpl w:val="757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EB6CAD"/>
    <w:multiLevelType w:val="hybridMultilevel"/>
    <w:tmpl w:val="8578F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97305D"/>
    <w:multiLevelType w:val="hybridMultilevel"/>
    <w:tmpl w:val="2B08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C508C"/>
    <w:multiLevelType w:val="hybridMultilevel"/>
    <w:tmpl w:val="95FC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136CA9"/>
    <w:multiLevelType w:val="hybridMultilevel"/>
    <w:tmpl w:val="B6EC0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97AE8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7"/>
  </w:num>
  <w:num w:numId="15">
    <w:abstractNumId w:val="41"/>
  </w:num>
  <w:num w:numId="16">
    <w:abstractNumId w:val="16"/>
  </w:num>
  <w:num w:numId="17">
    <w:abstractNumId w:val="31"/>
  </w:num>
  <w:num w:numId="18">
    <w:abstractNumId w:val="14"/>
  </w:num>
  <w:num w:numId="19">
    <w:abstractNumId w:val="38"/>
  </w:num>
  <w:num w:numId="20">
    <w:abstractNumId w:val="23"/>
  </w:num>
  <w:num w:numId="21">
    <w:abstractNumId w:val="19"/>
  </w:num>
  <w:num w:numId="22">
    <w:abstractNumId w:val="10"/>
  </w:num>
  <w:num w:numId="23">
    <w:abstractNumId w:val="29"/>
  </w:num>
  <w:num w:numId="24">
    <w:abstractNumId w:val="11"/>
  </w:num>
  <w:num w:numId="25">
    <w:abstractNumId w:val="32"/>
  </w:num>
  <w:num w:numId="26">
    <w:abstractNumId w:val="24"/>
  </w:num>
  <w:num w:numId="27">
    <w:abstractNumId w:val="34"/>
  </w:num>
  <w:num w:numId="28">
    <w:abstractNumId w:val="25"/>
  </w:num>
  <w:num w:numId="29">
    <w:abstractNumId w:val="35"/>
  </w:num>
  <w:num w:numId="30">
    <w:abstractNumId w:val="17"/>
  </w:num>
  <w:num w:numId="31">
    <w:abstractNumId w:val="39"/>
  </w:num>
  <w:num w:numId="32">
    <w:abstractNumId w:val="40"/>
  </w:num>
  <w:num w:numId="33">
    <w:abstractNumId w:val="22"/>
  </w:num>
  <w:num w:numId="34">
    <w:abstractNumId w:val="12"/>
  </w:num>
  <w:num w:numId="35">
    <w:abstractNumId w:val="20"/>
  </w:num>
  <w:num w:numId="36">
    <w:abstractNumId w:val="13"/>
  </w:num>
  <w:num w:numId="37">
    <w:abstractNumId w:val="36"/>
  </w:num>
  <w:num w:numId="38">
    <w:abstractNumId w:val="33"/>
  </w:num>
  <w:num w:numId="39">
    <w:abstractNumId w:val="28"/>
  </w:num>
  <w:num w:numId="40">
    <w:abstractNumId w:val="21"/>
  </w:num>
  <w:num w:numId="41">
    <w:abstractNumId w:val="18"/>
  </w:num>
  <w:num w:numId="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DF2"/>
    <w:rsid w:val="00337FAA"/>
    <w:rsid w:val="00340157"/>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6C9F"/>
    <w:rsid w:val="00367786"/>
    <w:rsid w:val="00367A4C"/>
    <w:rsid w:val="00367C9F"/>
    <w:rsid w:val="00370114"/>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134"/>
    <w:rsid w:val="003E723E"/>
    <w:rsid w:val="003E7674"/>
    <w:rsid w:val="003E7685"/>
    <w:rsid w:val="003E7902"/>
    <w:rsid w:val="003E7AB5"/>
    <w:rsid w:val="003E7B37"/>
    <w:rsid w:val="003F08AC"/>
    <w:rsid w:val="003F08EC"/>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240"/>
    <w:rsid w:val="004B22E4"/>
    <w:rsid w:val="004B2ACD"/>
    <w:rsid w:val="004B3128"/>
    <w:rsid w:val="004B37A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92"/>
    <w:rsid w:val="00572FCE"/>
    <w:rsid w:val="00573725"/>
    <w:rsid w:val="00573A0F"/>
    <w:rsid w:val="00573A56"/>
    <w:rsid w:val="00573D4A"/>
    <w:rsid w:val="00574395"/>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460"/>
    <w:rsid w:val="00586619"/>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69A"/>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F0D"/>
    <w:rsid w:val="005A6FA8"/>
    <w:rsid w:val="005A706A"/>
    <w:rsid w:val="005A71F0"/>
    <w:rsid w:val="005A72BA"/>
    <w:rsid w:val="005A7426"/>
    <w:rsid w:val="005A78FA"/>
    <w:rsid w:val="005A7F94"/>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54B1"/>
    <w:rsid w:val="005D5E64"/>
    <w:rsid w:val="005D5F65"/>
    <w:rsid w:val="005D6244"/>
    <w:rsid w:val="005D6308"/>
    <w:rsid w:val="005D6647"/>
    <w:rsid w:val="005D6B61"/>
    <w:rsid w:val="005D7506"/>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E9C"/>
    <w:rsid w:val="00652A67"/>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FD9"/>
    <w:rsid w:val="00664520"/>
    <w:rsid w:val="00664541"/>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1A2"/>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EAC"/>
    <w:rsid w:val="006D40DD"/>
    <w:rsid w:val="006D4255"/>
    <w:rsid w:val="006D444C"/>
    <w:rsid w:val="006D4589"/>
    <w:rsid w:val="006D466C"/>
    <w:rsid w:val="006D49FB"/>
    <w:rsid w:val="006D4E15"/>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3CC"/>
    <w:rsid w:val="00740746"/>
    <w:rsid w:val="00740794"/>
    <w:rsid w:val="0074095B"/>
    <w:rsid w:val="0074096A"/>
    <w:rsid w:val="00740B8D"/>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857"/>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E4"/>
    <w:rsid w:val="0080071E"/>
    <w:rsid w:val="0080095E"/>
    <w:rsid w:val="008010C1"/>
    <w:rsid w:val="008012AB"/>
    <w:rsid w:val="00801658"/>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402C"/>
    <w:rsid w:val="00824035"/>
    <w:rsid w:val="00824564"/>
    <w:rsid w:val="00824B99"/>
    <w:rsid w:val="0082545F"/>
    <w:rsid w:val="00825A32"/>
    <w:rsid w:val="00825CD1"/>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3204"/>
    <w:rsid w:val="00853503"/>
    <w:rsid w:val="008536C5"/>
    <w:rsid w:val="008540F0"/>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0E8"/>
    <w:rsid w:val="008772D8"/>
    <w:rsid w:val="00877A05"/>
    <w:rsid w:val="00877A20"/>
    <w:rsid w:val="00877F05"/>
    <w:rsid w:val="00880962"/>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D68"/>
    <w:rsid w:val="00A07F83"/>
    <w:rsid w:val="00A1055C"/>
    <w:rsid w:val="00A108C9"/>
    <w:rsid w:val="00A10FB7"/>
    <w:rsid w:val="00A1122B"/>
    <w:rsid w:val="00A116D1"/>
    <w:rsid w:val="00A11D44"/>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EFB"/>
    <w:rsid w:val="00B100DB"/>
    <w:rsid w:val="00B1016C"/>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43"/>
    <w:rsid w:val="00C04FB0"/>
    <w:rsid w:val="00C04FC6"/>
    <w:rsid w:val="00C05992"/>
    <w:rsid w:val="00C05D9B"/>
    <w:rsid w:val="00C060C5"/>
    <w:rsid w:val="00C0650F"/>
    <w:rsid w:val="00C0713D"/>
    <w:rsid w:val="00C07AF7"/>
    <w:rsid w:val="00C07DBC"/>
    <w:rsid w:val="00C10821"/>
    <w:rsid w:val="00C10868"/>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D61"/>
    <w:rsid w:val="00CB0EB8"/>
    <w:rsid w:val="00CB0F0C"/>
    <w:rsid w:val="00CB18B6"/>
    <w:rsid w:val="00CB1F70"/>
    <w:rsid w:val="00CB2656"/>
    <w:rsid w:val="00CB2ED0"/>
    <w:rsid w:val="00CB3081"/>
    <w:rsid w:val="00CB3155"/>
    <w:rsid w:val="00CB3214"/>
    <w:rsid w:val="00CB3983"/>
    <w:rsid w:val="00CB432B"/>
    <w:rsid w:val="00CB4765"/>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376"/>
    <w:rsid w:val="00D11748"/>
    <w:rsid w:val="00D119C0"/>
    <w:rsid w:val="00D122CF"/>
    <w:rsid w:val="00D12943"/>
    <w:rsid w:val="00D1296D"/>
    <w:rsid w:val="00D12BEC"/>
    <w:rsid w:val="00D13EA5"/>
    <w:rsid w:val="00D14197"/>
    <w:rsid w:val="00D146B6"/>
    <w:rsid w:val="00D14CC8"/>
    <w:rsid w:val="00D14D22"/>
    <w:rsid w:val="00D15927"/>
    <w:rsid w:val="00D15EEA"/>
    <w:rsid w:val="00D1602E"/>
    <w:rsid w:val="00D16155"/>
    <w:rsid w:val="00D164A1"/>
    <w:rsid w:val="00D168E9"/>
    <w:rsid w:val="00D16ADC"/>
    <w:rsid w:val="00D16B3E"/>
    <w:rsid w:val="00D16D3A"/>
    <w:rsid w:val="00D171CC"/>
    <w:rsid w:val="00D17769"/>
    <w:rsid w:val="00D17EF8"/>
    <w:rsid w:val="00D2101C"/>
    <w:rsid w:val="00D21100"/>
    <w:rsid w:val="00D21AC0"/>
    <w:rsid w:val="00D21F47"/>
    <w:rsid w:val="00D2206A"/>
    <w:rsid w:val="00D22EFE"/>
    <w:rsid w:val="00D23556"/>
    <w:rsid w:val="00D236EB"/>
    <w:rsid w:val="00D2372E"/>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E3"/>
    <w:rsid w:val="00D43C81"/>
    <w:rsid w:val="00D43D5F"/>
    <w:rsid w:val="00D43DC0"/>
    <w:rsid w:val="00D43FA3"/>
    <w:rsid w:val="00D440FE"/>
    <w:rsid w:val="00D44265"/>
    <w:rsid w:val="00D44853"/>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C0B"/>
    <w:rsid w:val="00D54DC6"/>
    <w:rsid w:val="00D553FB"/>
    <w:rsid w:val="00D55905"/>
    <w:rsid w:val="00D566A3"/>
    <w:rsid w:val="00D56A7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6BA0"/>
    <w:rsid w:val="00DA72CB"/>
    <w:rsid w:val="00DA7A90"/>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9A0"/>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97/PTS.0b013e31829954fd" TargetMode="External"/><Relationship Id="rId26" Type="http://schemas.openxmlformats.org/officeDocument/2006/relationships/hyperlink" Target="http://www.safetyandquality.gov.au/our-work/open-disclosure/the-open-disclosure-framework/" TargetMode="External"/><Relationship Id="rId3" Type="http://schemas.openxmlformats.org/officeDocument/2006/relationships/styles" Target="styles.xml"/><Relationship Id="rId21" Type="http://schemas.openxmlformats.org/officeDocument/2006/relationships/hyperlink" Target="http://www.safetyandquality.gov.au/our-work/healthcare-associated-infection/"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093/qjmed/hcu145" TargetMode="External"/><Relationship Id="rId25" Type="http://schemas.openxmlformats.org/officeDocument/2006/relationships/hyperlink" Target="http://www.medicalindependent.ie/52646/sorry_%E2%80%94_the_hardest_wor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publications/health-literacy-national-statement/" TargetMode="External"/><Relationship Id="rId20" Type="http://schemas.openxmlformats.org/officeDocument/2006/relationships/hyperlink" Target="http://www.publish.csiro.au/nid/242/issue/7115.htm" TargetMode="External"/><Relationship Id="rId29" Type="http://schemas.openxmlformats.org/officeDocument/2006/relationships/hyperlink" Target="http://isqua.org/education/webinars/agnes-leotsak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tga.gov.au/hp/mdsu-2014-05.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intqhc.oxfordjournals.org/content/early/recent?papetoc" TargetMode="External"/><Relationship Id="rId28" Type="http://schemas.openxmlformats.org/officeDocument/2006/relationships/hyperlink" Target="http://www.isqua.org/education/resource-centre/building-a-curriculum-in-quality-and-safety-education-with-kim-oates"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publish.csiro.au/nid/270/issue/7057.ht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qualitysafety.bmj.com/content/early/recent" TargetMode="External"/><Relationship Id="rId27" Type="http://schemas.openxmlformats.org/officeDocument/2006/relationships/hyperlink" Target="http://www.rcseng.ac.uk/surgeons/surgical-standards/professionalism-surgery/gs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3EB5-0533-4E0E-87DA-8F493E4A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14690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2013-06-06T03:47:00Z</cp:lastPrinted>
  <dcterms:created xsi:type="dcterms:W3CDTF">2014-08-31T22:14:00Z</dcterms:created>
  <dcterms:modified xsi:type="dcterms:W3CDTF">2014-09-07T06:39:00Z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