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95520C" w:rsidRDefault="00824B99" w:rsidP="00A420BD">
      <w:pPr>
        <w:pStyle w:val="Heading1"/>
        <w:ind w:left="720" w:hanging="720"/>
        <w:jc w:val="both"/>
        <w:rPr>
          <w:rFonts w:ascii="Bookman Old Style" w:hAnsi="Bookman Old Style"/>
          <w:sz w:val="48"/>
          <w:szCs w:val="48"/>
          <w:lang w:val="en-AU"/>
        </w:rPr>
      </w:pPr>
      <w:r w:rsidRPr="0095520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A50CB79" wp14:editId="389ADAF1">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95520C">
        <w:rPr>
          <w:rFonts w:ascii="Bookman Old Style" w:hAnsi="Bookman Old Style"/>
          <w:sz w:val="48"/>
          <w:szCs w:val="48"/>
          <w:lang w:val="en-AU"/>
        </w:rPr>
        <w:t>On the Radar</w:t>
      </w:r>
    </w:p>
    <w:p w:rsidR="00B160EF" w:rsidRPr="0095520C" w:rsidRDefault="00715F47" w:rsidP="00B160EF">
      <w:pPr>
        <w:rPr>
          <w:color w:val="000000"/>
          <w:lang w:val="en-AU"/>
        </w:rPr>
      </w:pPr>
      <w:r w:rsidRPr="0095520C">
        <w:rPr>
          <w:color w:val="000000"/>
          <w:lang w:val="en-AU"/>
        </w:rPr>
        <w:t xml:space="preserve">Issue </w:t>
      </w:r>
      <w:r w:rsidR="00ED198B" w:rsidRPr="0095520C">
        <w:rPr>
          <w:color w:val="000000"/>
          <w:lang w:val="en-AU"/>
        </w:rPr>
        <w:t>1</w:t>
      </w:r>
      <w:r w:rsidR="00243193" w:rsidRPr="0095520C">
        <w:rPr>
          <w:color w:val="000000"/>
          <w:lang w:val="en-AU"/>
        </w:rPr>
        <w:t>9</w:t>
      </w:r>
      <w:r w:rsidR="00F967BC">
        <w:rPr>
          <w:color w:val="000000"/>
          <w:lang w:val="en-AU"/>
        </w:rPr>
        <w:t>9</w:t>
      </w:r>
    </w:p>
    <w:p w:rsidR="000F7901" w:rsidRPr="0095520C" w:rsidRDefault="00F967BC" w:rsidP="00B160EF">
      <w:pPr>
        <w:rPr>
          <w:lang w:val="en-AU"/>
        </w:rPr>
      </w:pPr>
      <w:r>
        <w:rPr>
          <w:lang w:val="en-AU"/>
        </w:rPr>
        <w:t>10</w:t>
      </w:r>
      <w:r w:rsidR="0067684C">
        <w:rPr>
          <w:lang w:val="en-AU"/>
        </w:rPr>
        <w:t xml:space="preserve"> Novem</w:t>
      </w:r>
      <w:r w:rsidR="00243193" w:rsidRPr="0095520C">
        <w:rPr>
          <w:lang w:val="en-AU"/>
        </w:rPr>
        <w:t>ber</w:t>
      </w:r>
      <w:r w:rsidR="008A25FD" w:rsidRPr="0095520C">
        <w:rPr>
          <w:lang w:val="en-AU"/>
        </w:rPr>
        <w:t xml:space="preserve"> </w:t>
      </w:r>
      <w:r w:rsidR="000F7901" w:rsidRPr="0095520C">
        <w:rPr>
          <w:lang w:val="en-AU"/>
        </w:rPr>
        <w:t>2014</w:t>
      </w:r>
    </w:p>
    <w:p w:rsidR="00566895" w:rsidRPr="0095520C" w:rsidRDefault="00566895" w:rsidP="00B160EF">
      <w:pPr>
        <w:rPr>
          <w:lang w:val="en-AU"/>
        </w:rPr>
      </w:pPr>
    </w:p>
    <w:p w:rsidR="00B160EF" w:rsidRPr="0095520C" w:rsidRDefault="00B160EF" w:rsidP="00B160EF">
      <w:pPr>
        <w:rPr>
          <w:lang w:val="en-AU"/>
        </w:rPr>
      </w:pPr>
      <w:r w:rsidRPr="0095520C">
        <w:rPr>
          <w:i/>
          <w:lang w:val="en-AU"/>
        </w:rPr>
        <w:t>On the Radar</w:t>
      </w:r>
      <w:r w:rsidRPr="0095520C">
        <w:rPr>
          <w:lang w:val="en-AU"/>
        </w:rPr>
        <w:t xml:space="preserve"> is a summary of some of the recent publications in the areas of safety and quality in health care. Inclusion in this document is not an endorsement or recommendation of any publication or provider.</w:t>
      </w:r>
    </w:p>
    <w:p w:rsidR="00B160EF" w:rsidRPr="0095520C" w:rsidRDefault="00B160EF" w:rsidP="00B160EF">
      <w:pPr>
        <w:rPr>
          <w:lang w:val="en-AU"/>
        </w:rPr>
      </w:pPr>
    </w:p>
    <w:p w:rsidR="00B160EF" w:rsidRPr="0095520C" w:rsidRDefault="00B160EF" w:rsidP="00B160EF">
      <w:pPr>
        <w:rPr>
          <w:b/>
          <w:lang w:val="en-AU"/>
        </w:rPr>
      </w:pPr>
      <w:r w:rsidRPr="0095520C">
        <w:rPr>
          <w:lang w:val="en-AU"/>
        </w:rPr>
        <w:t>Access to particular documents may depend on whether they are Open Access or not, and/or your individual or institutional access to subscription sites/services.</w:t>
      </w:r>
      <w:r w:rsidR="00F460A7" w:rsidRPr="0095520C">
        <w:rPr>
          <w:lang w:val="en-AU"/>
        </w:rPr>
        <w:t xml:space="preserve"> Material that may require subscription is included as it is considered relevant.</w:t>
      </w:r>
    </w:p>
    <w:p w:rsidR="00B160EF" w:rsidRPr="0095520C" w:rsidRDefault="00B160EF" w:rsidP="00B160EF">
      <w:pPr>
        <w:rPr>
          <w:lang w:val="en-AU"/>
        </w:rPr>
      </w:pPr>
    </w:p>
    <w:p w:rsidR="00230D83" w:rsidRPr="0095520C" w:rsidRDefault="00B160EF" w:rsidP="0045757F">
      <w:pPr>
        <w:autoSpaceDE w:val="0"/>
        <w:rPr>
          <w:lang w:val="en-AU"/>
        </w:rPr>
      </w:pPr>
      <w:r w:rsidRPr="0095520C">
        <w:rPr>
          <w:i/>
          <w:lang w:val="en-AU"/>
        </w:rPr>
        <w:t>On the Radar</w:t>
      </w:r>
      <w:r w:rsidRPr="0095520C">
        <w:rPr>
          <w:lang w:val="en-AU"/>
        </w:rPr>
        <w:t xml:space="preserve"> is available </w:t>
      </w:r>
      <w:r w:rsidR="003D1E7A" w:rsidRPr="0095520C">
        <w:rPr>
          <w:lang w:val="en-AU"/>
        </w:rPr>
        <w:t xml:space="preserve">online, </w:t>
      </w:r>
      <w:r w:rsidRPr="0095520C">
        <w:rPr>
          <w:lang w:val="en-AU"/>
        </w:rPr>
        <w:t xml:space="preserve">via email or as a PDF document from </w:t>
      </w:r>
      <w:hyperlink r:id="rId10" w:history="1">
        <w:r w:rsidR="00230D83" w:rsidRPr="0095520C">
          <w:rPr>
            <w:rStyle w:val="Hyperlink"/>
            <w:lang w:val="en-AU"/>
          </w:rPr>
          <w:t>http://www.safetyandquality.gov.au/publications-resources/on-the-radar/</w:t>
        </w:r>
      </w:hyperlink>
    </w:p>
    <w:p w:rsidR="0090536C" w:rsidRPr="0095520C" w:rsidRDefault="0090536C" w:rsidP="0045757F">
      <w:pPr>
        <w:autoSpaceDE w:val="0"/>
        <w:rPr>
          <w:lang w:val="en-AU"/>
        </w:rPr>
      </w:pPr>
    </w:p>
    <w:p w:rsidR="00B160EF" w:rsidRPr="0095520C" w:rsidRDefault="00B160EF" w:rsidP="0045757F">
      <w:pPr>
        <w:autoSpaceDE w:val="0"/>
        <w:rPr>
          <w:lang w:val="en-AU"/>
        </w:rPr>
      </w:pPr>
      <w:r w:rsidRPr="0095520C">
        <w:rPr>
          <w:lang w:val="en-AU"/>
        </w:rPr>
        <w:t xml:space="preserve">If you would like to receive </w:t>
      </w:r>
      <w:r w:rsidRPr="0095520C">
        <w:rPr>
          <w:i/>
          <w:lang w:val="en-AU"/>
        </w:rPr>
        <w:t>On the Radar</w:t>
      </w:r>
      <w:r w:rsidRPr="0095520C">
        <w:rPr>
          <w:lang w:val="en-AU"/>
        </w:rPr>
        <w:t xml:space="preserve"> via email</w:t>
      </w:r>
      <w:r w:rsidR="003D7B9E" w:rsidRPr="0095520C">
        <w:rPr>
          <w:lang w:val="en-AU"/>
        </w:rPr>
        <w:t>, you can</w:t>
      </w:r>
      <w:r w:rsidR="00F24F60" w:rsidRPr="0095520C">
        <w:rPr>
          <w:lang w:val="en-AU"/>
        </w:rPr>
        <w:t xml:space="preserve"> subscribe on our website </w:t>
      </w:r>
      <w:hyperlink r:id="rId11" w:history="1">
        <w:r w:rsidR="00F24F60" w:rsidRPr="0095520C">
          <w:rPr>
            <w:rStyle w:val="Hyperlink"/>
            <w:lang w:val="en-AU"/>
          </w:rPr>
          <w:t>http://www.safetyandquality.gov.au/</w:t>
        </w:r>
      </w:hyperlink>
      <w:r w:rsidR="003D7B9E" w:rsidRPr="0095520C">
        <w:rPr>
          <w:lang w:val="en-AU"/>
        </w:rPr>
        <w:t xml:space="preserve"> or by emailing us at </w:t>
      </w:r>
      <w:r w:rsidR="003D7B9E" w:rsidRPr="0095520C">
        <w:rPr>
          <w:rFonts w:ascii="ZWAdobeF" w:hAnsi="ZWAdobeF" w:cs="ZWAdobeF"/>
          <w:sz w:val="2"/>
          <w:szCs w:val="2"/>
          <w:lang w:val="en-AU"/>
        </w:rPr>
        <w:t>H</w:t>
      </w:r>
      <w:hyperlink r:id="rId12"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 xml:space="preserve">. </w:t>
      </w:r>
      <w:r w:rsidR="00E51D23" w:rsidRPr="0095520C">
        <w:rPr>
          <w:lang w:val="en-AU"/>
        </w:rPr>
        <w:br/>
      </w:r>
      <w:r w:rsidR="003D7B9E" w:rsidRPr="0095520C">
        <w:rPr>
          <w:lang w:val="en-AU"/>
        </w:rPr>
        <w:t xml:space="preserve">You can also send feedback and comments to </w:t>
      </w:r>
      <w:r w:rsidR="003D7B9E" w:rsidRPr="0095520C">
        <w:rPr>
          <w:rFonts w:ascii="ZWAdobeF" w:hAnsi="ZWAdobeF" w:cs="ZWAdobeF"/>
          <w:sz w:val="2"/>
          <w:szCs w:val="2"/>
          <w:lang w:val="en-AU"/>
        </w:rPr>
        <w:t>H</w:t>
      </w:r>
      <w:hyperlink r:id="rId13"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w:t>
      </w:r>
    </w:p>
    <w:p w:rsidR="00B160EF" w:rsidRPr="0095520C" w:rsidRDefault="00B160EF" w:rsidP="00837FC4">
      <w:pPr>
        <w:tabs>
          <w:tab w:val="left" w:pos="7773"/>
        </w:tabs>
        <w:rPr>
          <w:lang w:val="en-AU"/>
        </w:rPr>
      </w:pPr>
    </w:p>
    <w:p w:rsidR="00837FC4" w:rsidRPr="0095520C" w:rsidRDefault="00B160EF" w:rsidP="004554DB">
      <w:pPr>
        <w:autoSpaceDE w:val="0"/>
        <w:rPr>
          <w:lang w:val="en-AU"/>
        </w:rPr>
      </w:pPr>
      <w:bookmarkStart w:id="0" w:name="OLE_LINK1"/>
      <w:r w:rsidRPr="0095520C">
        <w:rPr>
          <w:lang w:val="en-AU"/>
        </w:rPr>
        <w:t xml:space="preserve">For information about the Commission and its programs and publications, please visit </w:t>
      </w:r>
      <w:hyperlink r:id="rId14" w:history="1">
        <w:r w:rsidR="00837FC4" w:rsidRPr="0095520C">
          <w:rPr>
            <w:rStyle w:val="Hyperlink"/>
            <w:lang w:val="en-AU"/>
          </w:rPr>
          <w:t>http://www.safetyandquality.gov.au</w:t>
        </w:r>
      </w:hyperlink>
    </w:p>
    <w:p w:rsidR="00210235" w:rsidRPr="0095520C" w:rsidRDefault="004554DB" w:rsidP="004554DB">
      <w:pPr>
        <w:autoSpaceDE w:val="0"/>
        <w:rPr>
          <w:lang w:val="en-AU"/>
        </w:rPr>
      </w:pPr>
      <w:r w:rsidRPr="0095520C">
        <w:rPr>
          <w:lang w:val="en-AU"/>
        </w:rPr>
        <w:t>You can also follow us on Twitter @ACSQHC.</w:t>
      </w:r>
    </w:p>
    <w:p w:rsidR="00210235" w:rsidRPr="0095520C" w:rsidRDefault="00210235" w:rsidP="00210235">
      <w:pPr>
        <w:keepNext/>
        <w:pBdr>
          <w:top w:val="single" w:sz="4" w:space="1" w:color="auto"/>
        </w:pBdr>
        <w:rPr>
          <w:b/>
          <w:lang w:val="en-AU"/>
        </w:rPr>
      </w:pPr>
      <w:r w:rsidRPr="0095520C">
        <w:rPr>
          <w:b/>
          <w:lang w:val="en-AU"/>
        </w:rPr>
        <w:t>On the Radar</w:t>
      </w:r>
    </w:p>
    <w:p w:rsidR="00340157" w:rsidRPr="0095520C" w:rsidRDefault="00340157" w:rsidP="00210235">
      <w:pPr>
        <w:keepNext/>
        <w:pBdr>
          <w:top w:val="single" w:sz="4" w:space="1" w:color="auto"/>
        </w:pBdr>
        <w:rPr>
          <w:bCs/>
          <w:lang w:val="en-AU"/>
        </w:rPr>
      </w:pPr>
      <w:r w:rsidRPr="0095520C">
        <w:rPr>
          <w:bCs/>
          <w:lang w:val="en-AU"/>
        </w:rPr>
        <w:t xml:space="preserve">Editor: </w:t>
      </w:r>
      <w:r w:rsidR="00C8085B" w:rsidRPr="0095520C">
        <w:rPr>
          <w:bCs/>
          <w:lang w:val="en-AU"/>
        </w:rPr>
        <w:t xml:space="preserve">Dr </w:t>
      </w:r>
      <w:r w:rsidRPr="0095520C">
        <w:rPr>
          <w:bCs/>
          <w:lang w:val="en-AU"/>
        </w:rPr>
        <w:t xml:space="preserve">Niall Johnson </w:t>
      </w:r>
      <w:hyperlink r:id="rId15" w:history="1">
        <w:r w:rsidRPr="0095520C">
          <w:rPr>
            <w:rStyle w:val="Hyperlink"/>
            <w:bCs/>
            <w:lang w:val="en-AU"/>
          </w:rPr>
          <w:t>niall.johnson@safetyandquality.gov.au</w:t>
        </w:r>
      </w:hyperlink>
    </w:p>
    <w:p w:rsidR="009A35BE" w:rsidRPr="0095520C" w:rsidRDefault="00210235" w:rsidP="00A8296D">
      <w:pPr>
        <w:keepNext/>
        <w:pBdr>
          <w:top w:val="single" w:sz="4" w:space="1" w:color="auto"/>
        </w:pBdr>
        <w:rPr>
          <w:shd w:val="clear" w:color="auto" w:fill="FFFFFF"/>
          <w:lang w:val="en-AU"/>
        </w:rPr>
      </w:pPr>
      <w:r w:rsidRPr="0095520C">
        <w:rPr>
          <w:bCs/>
          <w:lang w:val="en-AU"/>
        </w:rPr>
        <w:t xml:space="preserve">Contributors: </w:t>
      </w:r>
      <w:r w:rsidR="0056339A" w:rsidRPr="0095520C">
        <w:rPr>
          <w:bCs/>
          <w:lang w:val="en-AU"/>
        </w:rPr>
        <w:t>Niall Johnson</w:t>
      </w:r>
      <w:bookmarkEnd w:id="0"/>
      <w:r w:rsidR="008004BC">
        <w:rPr>
          <w:bCs/>
          <w:lang w:val="en-AU"/>
        </w:rPr>
        <w:t>, Helen Stark</w:t>
      </w:r>
      <w:r w:rsidR="00C55E44">
        <w:rPr>
          <w:bCs/>
          <w:lang w:val="en-AU"/>
        </w:rPr>
        <w:t>, Lucia Tapsall, Alice Bhasale</w:t>
      </w:r>
    </w:p>
    <w:p w:rsidR="00F34D09" w:rsidRDefault="00F34D09" w:rsidP="00F34D09">
      <w:pPr>
        <w:rPr>
          <w:shd w:val="clear" w:color="auto" w:fill="FFFFFF"/>
          <w:lang w:val="en-AU"/>
        </w:rPr>
      </w:pPr>
    </w:p>
    <w:p w:rsidR="002032BF" w:rsidRPr="002032BF" w:rsidRDefault="002032BF" w:rsidP="002032BF">
      <w:pPr>
        <w:rPr>
          <w:b/>
          <w:shd w:val="clear" w:color="auto" w:fill="FFFFFF"/>
          <w:lang w:val="en-AU"/>
        </w:rPr>
      </w:pPr>
      <w:r w:rsidRPr="002032BF">
        <w:rPr>
          <w:b/>
          <w:shd w:val="clear" w:color="auto" w:fill="FFFFFF"/>
          <w:lang w:val="en-AU"/>
        </w:rPr>
        <w:t>Webcast: Medication Reconciliation Seminar</w:t>
      </w:r>
    </w:p>
    <w:p w:rsidR="00D4629D" w:rsidRPr="002032BF" w:rsidRDefault="00E302EA" w:rsidP="00D4629D">
      <w:pPr>
        <w:rPr>
          <w:shd w:val="clear" w:color="auto" w:fill="FFFFFF"/>
          <w:lang w:val="en-AU"/>
        </w:rPr>
      </w:pPr>
      <w:hyperlink r:id="rId16" w:history="1">
        <w:r w:rsidR="00D4629D" w:rsidRPr="008A1B44">
          <w:rPr>
            <w:rStyle w:val="Hyperlink"/>
            <w:shd w:val="clear" w:color="auto" w:fill="FFFFFF"/>
            <w:lang w:val="en-AU"/>
          </w:rPr>
          <w:t>http://www.blueshadowgroup.com.au/clients/ACSQHC/high5/index.html</w:t>
        </w:r>
      </w:hyperlink>
    </w:p>
    <w:p w:rsidR="002032BF" w:rsidRPr="002032BF" w:rsidRDefault="002032BF" w:rsidP="002032BF">
      <w:pPr>
        <w:rPr>
          <w:shd w:val="clear" w:color="auto" w:fill="FFFFFF"/>
          <w:lang w:val="en-AU"/>
        </w:rPr>
      </w:pPr>
      <w:r w:rsidRPr="002032BF">
        <w:rPr>
          <w:shd w:val="clear" w:color="auto" w:fill="FFFFFF"/>
          <w:lang w:val="en-AU"/>
        </w:rPr>
        <w:t>You are invited to attend a free live webcast on Friday, 14 November 2014 (9.15 – 4.00pm AEDT).</w:t>
      </w:r>
    </w:p>
    <w:p w:rsidR="002032BF" w:rsidRPr="002032BF" w:rsidRDefault="002032BF" w:rsidP="002032BF">
      <w:pPr>
        <w:rPr>
          <w:shd w:val="clear" w:color="auto" w:fill="FFFFFF"/>
          <w:lang w:val="en-AU"/>
        </w:rPr>
      </w:pPr>
      <w:r w:rsidRPr="002032BF">
        <w:rPr>
          <w:shd w:val="clear" w:color="auto" w:fill="FFFFFF"/>
          <w:lang w:val="en-AU"/>
        </w:rPr>
        <w:t>The Medication Reconciliation Seminar, hosted by the Commission, aims to share the results from the Australian arm of the World Health Organization’s (WHO) High 5s Project.</w:t>
      </w:r>
    </w:p>
    <w:p w:rsidR="002032BF" w:rsidRPr="002032BF" w:rsidRDefault="002032BF" w:rsidP="002032BF">
      <w:pPr>
        <w:rPr>
          <w:shd w:val="clear" w:color="auto" w:fill="FFFFFF"/>
          <w:lang w:val="en-AU"/>
        </w:rPr>
      </w:pPr>
      <w:r>
        <w:rPr>
          <w:shd w:val="clear" w:color="auto" w:fill="FFFFFF"/>
          <w:lang w:val="en-AU"/>
        </w:rPr>
        <w:t>T</w:t>
      </w:r>
      <w:r w:rsidRPr="002032BF">
        <w:rPr>
          <w:shd w:val="clear" w:color="auto" w:fill="FFFFFF"/>
          <w:lang w:val="en-AU"/>
        </w:rPr>
        <w:t>he program is divided into two sessions:</w:t>
      </w:r>
    </w:p>
    <w:p w:rsidR="002032BF" w:rsidRPr="002032BF" w:rsidRDefault="002032BF" w:rsidP="002032BF">
      <w:pPr>
        <w:pStyle w:val="ListParagraph"/>
        <w:numPr>
          <w:ilvl w:val="0"/>
          <w:numId w:val="31"/>
        </w:numPr>
        <w:rPr>
          <w:shd w:val="clear" w:color="auto" w:fill="FFFFFF"/>
          <w:lang w:val="en-AU"/>
        </w:rPr>
      </w:pPr>
      <w:r w:rsidRPr="002032BF">
        <w:rPr>
          <w:shd w:val="clear" w:color="auto" w:fill="FFFFFF"/>
          <w:lang w:val="en-AU"/>
        </w:rPr>
        <w:t xml:space="preserve">The morning session will showcase the results from the WHO High 5s Ensuring Medication Accuracy at Transitions of Care project, the lessons learned and resources developed. </w:t>
      </w:r>
      <w:r>
        <w:rPr>
          <w:shd w:val="clear" w:color="auto" w:fill="FFFFFF"/>
          <w:lang w:val="en-AU"/>
        </w:rPr>
        <w:br/>
      </w:r>
      <w:r w:rsidRPr="002032BF">
        <w:rPr>
          <w:shd w:val="clear" w:color="auto" w:fill="FFFFFF"/>
          <w:lang w:val="en-AU"/>
        </w:rPr>
        <w:t>The session will also provide a forum for discussing the challenges to implementing medication reconciliation in different health environments, including a discussion on using the High 5s Medication Reconciliation Standing Operating Protocol to meet relevant action items in the NSQHS Standard 4 - Medication Safety.</w:t>
      </w:r>
    </w:p>
    <w:p w:rsidR="002032BF" w:rsidRPr="002032BF" w:rsidRDefault="002032BF" w:rsidP="002032BF">
      <w:pPr>
        <w:pStyle w:val="ListParagraph"/>
        <w:numPr>
          <w:ilvl w:val="0"/>
          <w:numId w:val="31"/>
        </w:numPr>
        <w:rPr>
          <w:shd w:val="clear" w:color="auto" w:fill="FFFFFF"/>
          <w:lang w:val="en-AU"/>
        </w:rPr>
      </w:pPr>
      <w:r w:rsidRPr="002032BF">
        <w:rPr>
          <w:shd w:val="clear" w:color="auto" w:fill="FFFFFF"/>
          <w:lang w:val="en-AU"/>
        </w:rPr>
        <w:t>The afternoon session will focus on moving from paper-based to electronic systems for medication reconciliation.</w:t>
      </w:r>
    </w:p>
    <w:p w:rsidR="002032BF" w:rsidRPr="002032BF" w:rsidRDefault="002032BF" w:rsidP="002032BF">
      <w:pPr>
        <w:rPr>
          <w:shd w:val="clear" w:color="auto" w:fill="FFFFFF"/>
          <w:lang w:val="en-AU"/>
        </w:rPr>
      </w:pPr>
      <w:r w:rsidRPr="002032BF">
        <w:rPr>
          <w:shd w:val="clear" w:color="auto" w:fill="FFFFFF"/>
          <w:lang w:val="en-AU"/>
        </w:rPr>
        <w:t xml:space="preserve"> </w:t>
      </w:r>
    </w:p>
    <w:p w:rsidR="002032BF" w:rsidRPr="002032BF" w:rsidRDefault="002032BF" w:rsidP="002032BF">
      <w:pPr>
        <w:rPr>
          <w:shd w:val="clear" w:color="auto" w:fill="FFFFFF"/>
          <w:lang w:val="en-AU"/>
        </w:rPr>
      </w:pPr>
      <w:r w:rsidRPr="002032BF">
        <w:rPr>
          <w:shd w:val="clear" w:color="auto" w:fill="FFFFFF"/>
          <w:lang w:val="en-AU"/>
        </w:rPr>
        <w:t xml:space="preserve">For more information and access to the </w:t>
      </w:r>
      <w:proofErr w:type="gramStart"/>
      <w:r w:rsidRPr="002032BF">
        <w:rPr>
          <w:shd w:val="clear" w:color="auto" w:fill="FFFFFF"/>
          <w:lang w:val="en-AU"/>
        </w:rPr>
        <w:t>webcast</w:t>
      </w:r>
      <w:r>
        <w:rPr>
          <w:shd w:val="clear" w:color="auto" w:fill="FFFFFF"/>
          <w:lang w:val="en-AU"/>
        </w:rPr>
        <w:t xml:space="preserve"> ,</w:t>
      </w:r>
      <w:proofErr w:type="gramEnd"/>
      <w:r>
        <w:rPr>
          <w:shd w:val="clear" w:color="auto" w:fill="FFFFFF"/>
          <w:lang w:val="en-AU"/>
        </w:rPr>
        <w:t xml:space="preserve"> see </w:t>
      </w:r>
      <w:hyperlink r:id="rId17" w:history="1">
        <w:r w:rsidRPr="008A1B44">
          <w:rPr>
            <w:rStyle w:val="Hyperlink"/>
            <w:shd w:val="clear" w:color="auto" w:fill="FFFFFF"/>
            <w:lang w:val="en-AU"/>
          </w:rPr>
          <w:t>http://www.blueshadowgroup.com.au/clients/ACSQHC/high5/index.html</w:t>
        </w:r>
      </w:hyperlink>
    </w:p>
    <w:p w:rsidR="002032BF" w:rsidRDefault="002032BF" w:rsidP="002032BF">
      <w:pPr>
        <w:rPr>
          <w:shd w:val="clear" w:color="auto" w:fill="FFFFFF"/>
          <w:lang w:val="en-AU"/>
        </w:rPr>
      </w:pPr>
      <w:r w:rsidRPr="002032BF">
        <w:rPr>
          <w:shd w:val="clear" w:color="auto" w:fill="FFFFFF"/>
          <w:lang w:val="en-AU"/>
        </w:rPr>
        <w:t>Not available to watch the webcast live? A recording of the seminar will be available on the Commission's web site after the event.</w:t>
      </w:r>
    </w:p>
    <w:p w:rsidR="00403C11" w:rsidRPr="008A3E31" w:rsidRDefault="008A3E31" w:rsidP="00403C11">
      <w:pPr>
        <w:rPr>
          <w:b/>
          <w:lang w:val="en-AU"/>
        </w:rPr>
      </w:pPr>
      <w:r w:rsidRPr="008A3E31">
        <w:rPr>
          <w:b/>
          <w:lang w:val="en-AU"/>
        </w:rPr>
        <w:lastRenderedPageBreak/>
        <w:t>Consultation: Guide for health service organisation boards implementing the National Safety and Quality Health Service Standards</w:t>
      </w:r>
    </w:p>
    <w:p w:rsidR="008A3E31" w:rsidRPr="008A3E31" w:rsidRDefault="00E302EA" w:rsidP="008A3E31">
      <w:pPr>
        <w:rPr>
          <w:lang w:val="en-AU"/>
        </w:rPr>
      </w:pPr>
      <w:hyperlink r:id="rId18" w:history="1">
        <w:r w:rsidR="008A3E31" w:rsidRPr="00B359DB">
          <w:rPr>
            <w:rStyle w:val="Hyperlink"/>
            <w:lang w:val="en-AU"/>
          </w:rPr>
          <w:t>http://www.safetyandquality.gov.au/our-work/accreditation-and-the-nsqhs-standards/consultation-guide-for-health-service-organisation-boards-implementing-the-national-safety-and-quality-health-service-nsqhs/</w:t>
        </w:r>
      </w:hyperlink>
    </w:p>
    <w:p w:rsidR="008A3E31" w:rsidRPr="008A3E31" w:rsidRDefault="008A3E31" w:rsidP="008A3E31">
      <w:pPr>
        <w:rPr>
          <w:i/>
          <w:lang w:val="en-AU"/>
        </w:rPr>
      </w:pPr>
      <w:r w:rsidRPr="008A3E31">
        <w:rPr>
          <w:i/>
          <w:lang w:val="en-AU"/>
        </w:rPr>
        <w:t>Now open</w:t>
      </w:r>
    </w:p>
    <w:p w:rsidR="008A3E31" w:rsidRPr="008A3E31" w:rsidRDefault="008A3E31" w:rsidP="008A3E31">
      <w:pPr>
        <w:rPr>
          <w:lang w:val="en-AU"/>
        </w:rPr>
      </w:pPr>
    </w:p>
    <w:p w:rsidR="008A3E31" w:rsidRPr="008A3E31" w:rsidRDefault="008A3E31" w:rsidP="008A3E31">
      <w:pPr>
        <w:rPr>
          <w:lang w:val="en-AU"/>
        </w:rPr>
      </w:pPr>
      <w:r w:rsidRPr="008A3E31">
        <w:rPr>
          <w:lang w:val="en-AU"/>
        </w:rPr>
        <w:t xml:space="preserve">The Commission is seeking feedback on the draft </w:t>
      </w:r>
      <w:r w:rsidRPr="008A3E31">
        <w:rPr>
          <w:i/>
          <w:lang w:val="en-AU"/>
        </w:rPr>
        <w:t>Guide for health service organisation boards implementing the National Safety and Quality Health Service (NSQHS) Standards</w:t>
      </w:r>
      <w:r w:rsidRPr="008A3E31">
        <w:rPr>
          <w:lang w:val="en-AU"/>
        </w:rPr>
        <w:t>.</w:t>
      </w:r>
    </w:p>
    <w:p w:rsidR="008A3E31" w:rsidRPr="008A3E31" w:rsidRDefault="008A3E31" w:rsidP="008A3E31">
      <w:pPr>
        <w:rPr>
          <w:lang w:val="en-AU"/>
        </w:rPr>
      </w:pPr>
    </w:p>
    <w:p w:rsidR="008A3E31" w:rsidRPr="008A3E31" w:rsidRDefault="008A3E31" w:rsidP="008A3E31">
      <w:pPr>
        <w:rPr>
          <w:lang w:val="en-AU"/>
        </w:rPr>
      </w:pPr>
      <w:r w:rsidRPr="008A3E31">
        <w:rPr>
          <w:lang w:val="en-AU"/>
        </w:rPr>
        <w:t>The draft Guide has been developed to assist the boards of health service organisations and local health networks implementing the NSQHS Standards, with guidance provided for the 10 NSQHS Standards.</w:t>
      </w:r>
    </w:p>
    <w:p w:rsidR="008A3E31" w:rsidRPr="008A3E31" w:rsidRDefault="008A3E31" w:rsidP="008A3E31">
      <w:pPr>
        <w:rPr>
          <w:lang w:val="en-AU"/>
        </w:rPr>
      </w:pPr>
    </w:p>
    <w:p w:rsidR="008A3E31" w:rsidRPr="008A3E31" w:rsidRDefault="008A3E31" w:rsidP="008A3E31">
      <w:pPr>
        <w:rPr>
          <w:lang w:val="en-AU"/>
        </w:rPr>
      </w:pPr>
      <w:r w:rsidRPr="008A3E31">
        <w:rPr>
          <w:lang w:val="en-AU"/>
        </w:rPr>
        <w:t>The Commission encourages board members, senior managers and directors of clinical governance of public hospitals and local health networks and private health service organisations, to provide feedback on the draft Guide.</w:t>
      </w:r>
    </w:p>
    <w:p w:rsidR="008A3E31" w:rsidRPr="008A3E31" w:rsidRDefault="008A3E31" w:rsidP="008A3E31">
      <w:pPr>
        <w:rPr>
          <w:lang w:val="en-AU"/>
        </w:rPr>
      </w:pPr>
    </w:p>
    <w:p w:rsidR="008A3E31" w:rsidRPr="008A3E31" w:rsidRDefault="008A3E31" w:rsidP="008A3E31">
      <w:pPr>
        <w:rPr>
          <w:lang w:val="en-AU"/>
        </w:rPr>
      </w:pPr>
      <w:r w:rsidRPr="008A3E31">
        <w:rPr>
          <w:lang w:val="en-AU"/>
        </w:rPr>
        <w:t>Feedback is sought by close of business 19 December 2014, by post or email.</w:t>
      </w:r>
    </w:p>
    <w:p w:rsidR="008A3E31" w:rsidRDefault="008A3E31" w:rsidP="008A3E31">
      <w:pPr>
        <w:rPr>
          <w:lang w:val="en-AU"/>
        </w:rPr>
      </w:pPr>
      <w:r w:rsidRPr="008A3E31">
        <w:rPr>
          <w:lang w:val="en-AU"/>
        </w:rPr>
        <w:t xml:space="preserve">Any queries regarding this consultation process can be directed to </w:t>
      </w:r>
      <w:hyperlink r:id="rId19" w:history="1">
        <w:r w:rsidRPr="00B359DB">
          <w:rPr>
            <w:rStyle w:val="Hyperlink"/>
            <w:lang w:val="en-AU"/>
          </w:rPr>
          <w:t>NSQHSStandards@safetyandquality.gov.au</w:t>
        </w:r>
      </w:hyperlink>
      <w:r>
        <w:rPr>
          <w:lang w:val="en-AU"/>
        </w:rPr>
        <w:t xml:space="preserve"> </w:t>
      </w:r>
      <w:r w:rsidRPr="008A3E31">
        <w:rPr>
          <w:lang w:val="en-AU"/>
        </w:rPr>
        <w:t>or (02) 9126 3600.</w:t>
      </w:r>
    </w:p>
    <w:p w:rsidR="008A3E31" w:rsidRDefault="008A3E31" w:rsidP="00403C11">
      <w:pPr>
        <w:rPr>
          <w:lang w:val="en-AU"/>
        </w:rPr>
      </w:pPr>
    </w:p>
    <w:p w:rsidR="00C372BE" w:rsidRPr="0095520C" w:rsidRDefault="00C372BE" w:rsidP="00F87778">
      <w:pPr>
        <w:keepNext/>
        <w:rPr>
          <w:b/>
          <w:lang w:val="en-AU"/>
        </w:rPr>
      </w:pPr>
      <w:r w:rsidRPr="0095520C">
        <w:rPr>
          <w:b/>
          <w:lang w:val="en-AU"/>
        </w:rPr>
        <w:t>Reports</w:t>
      </w:r>
    </w:p>
    <w:p w:rsidR="00BC6509" w:rsidRDefault="00BC6509" w:rsidP="00024FCC">
      <w:pPr>
        <w:keepNext/>
        <w:keepLines/>
        <w:autoSpaceDE w:val="0"/>
        <w:autoSpaceDN w:val="0"/>
        <w:adjustRightInd w:val="0"/>
        <w:rPr>
          <w:lang w:val="en-AU"/>
        </w:rPr>
      </w:pPr>
    </w:p>
    <w:p w:rsidR="00BC6509" w:rsidRPr="00BC6509" w:rsidRDefault="00BC6509" w:rsidP="00BC6509">
      <w:pPr>
        <w:keepNext/>
        <w:keepLines/>
        <w:autoSpaceDE w:val="0"/>
        <w:autoSpaceDN w:val="0"/>
        <w:adjustRightInd w:val="0"/>
        <w:rPr>
          <w:i/>
          <w:lang w:val="en-AU"/>
        </w:rPr>
      </w:pPr>
      <w:r w:rsidRPr="00BC6509">
        <w:rPr>
          <w:i/>
          <w:lang w:val="en-AU"/>
        </w:rPr>
        <w:t>Person-centred care made simple: What everyone should know about person-centred care</w:t>
      </w:r>
    </w:p>
    <w:p w:rsidR="00BC6509" w:rsidRDefault="00BC6509" w:rsidP="00024FCC">
      <w:pPr>
        <w:keepNext/>
        <w:keepLines/>
        <w:autoSpaceDE w:val="0"/>
        <w:autoSpaceDN w:val="0"/>
        <w:adjustRightInd w:val="0"/>
        <w:rPr>
          <w:lang w:val="en-AU"/>
        </w:rPr>
      </w:pPr>
      <w:r w:rsidRPr="00BC6509">
        <w:rPr>
          <w:lang w:val="en-AU"/>
        </w:rPr>
        <w:t>The Health Foundation</w:t>
      </w:r>
    </w:p>
    <w:p w:rsidR="00024FCC" w:rsidRPr="0095520C" w:rsidRDefault="00BC6509" w:rsidP="00024FCC">
      <w:pPr>
        <w:keepNext/>
        <w:keepLines/>
        <w:autoSpaceDE w:val="0"/>
        <w:autoSpaceDN w:val="0"/>
        <w:adjustRightInd w:val="0"/>
        <w:rPr>
          <w:lang w:val="en-AU"/>
        </w:rPr>
      </w:pPr>
      <w:r w:rsidRPr="00BC6509">
        <w:rPr>
          <w:lang w:val="en-AU"/>
        </w:rPr>
        <w:t xml:space="preserve">London: The Health Foundation; 2014 October 2014. </w:t>
      </w:r>
      <w:proofErr w:type="gramStart"/>
      <w:r w:rsidRPr="00BC6509">
        <w:rPr>
          <w:lang w:val="en-AU"/>
        </w:rPr>
        <w:t>40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024FCC" w:rsidRPr="0095520C" w:rsidTr="0081210C">
        <w:tc>
          <w:tcPr>
            <w:tcW w:w="1080" w:type="dxa"/>
            <w:tcBorders>
              <w:top w:val="single" w:sz="4" w:space="0" w:color="auto"/>
              <w:left w:val="single" w:sz="4" w:space="0" w:color="auto"/>
              <w:bottom w:val="single" w:sz="4" w:space="0" w:color="auto"/>
              <w:right w:val="single" w:sz="4" w:space="0" w:color="auto"/>
            </w:tcBorders>
            <w:vAlign w:val="center"/>
          </w:tcPr>
          <w:p w:rsidR="00024FCC" w:rsidRPr="0095520C" w:rsidRDefault="00024FCC" w:rsidP="0081210C">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24FCC" w:rsidRPr="0095520C" w:rsidRDefault="00E302EA" w:rsidP="0081210C">
            <w:pPr>
              <w:rPr>
                <w:lang w:val="en-AU"/>
              </w:rPr>
            </w:pPr>
            <w:hyperlink r:id="rId20" w:history="1">
              <w:r w:rsidR="00BC6509" w:rsidRPr="00810180">
                <w:rPr>
                  <w:rStyle w:val="Hyperlink"/>
                  <w:lang w:val="en-AU"/>
                </w:rPr>
                <w:t>http://personcentredcare.health.org.uk/resources/person-centred-care-made-simple</w:t>
              </w:r>
            </w:hyperlink>
          </w:p>
        </w:tc>
      </w:tr>
      <w:tr w:rsidR="00024FCC" w:rsidRPr="0095520C" w:rsidTr="0081210C">
        <w:tc>
          <w:tcPr>
            <w:tcW w:w="1080" w:type="dxa"/>
            <w:tcBorders>
              <w:top w:val="single" w:sz="4" w:space="0" w:color="auto"/>
              <w:left w:val="single" w:sz="4" w:space="0" w:color="auto"/>
              <w:bottom w:val="single" w:sz="4" w:space="0" w:color="auto"/>
              <w:right w:val="single" w:sz="4" w:space="0" w:color="auto"/>
            </w:tcBorders>
            <w:vAlign w:val="center"/>
          </w:tcPr>
          <w:p w:rsidR="00024FCC" w:rsidRDefault="00024FCC" w:rsidP="0081210C">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024FCC" w:rsidRDefault="00F94032" w:rsidP="00024FCC">
            <w:r w:rsidRPr="00F94032">
              <w:t>D14-38244</w:t>
            </w:r>
          </w:p>
        </w:tc>
      </w:tr>
      <w:tr w:rsidR="00024FCC" w:rsidRPr="0095520C" w:rsidTr="0081210C">
        <w:tc>
          <w:tcPr>
            <w:tcW w:w="1080" w:type="dxa"/>
            <w:tcBorders>
              <w:top w:val="single" w:sz="4" w:space="0" w:color="auto"/>
              <w:left w:val="single" w:sz="4" w:space="0" w:color="auto"/>
              <w:bottom w:val="single" w:sz="4" w:space="0" w:color="auto"/>
              <w:right w:val="single" w:sz="4" w:space="0" w:color="auto"/>
            </w:tcBorders>
            <w:vAlign w:val="center"/>
          </w:tcPr>
          <w:p w:rsidR="00024FCC" w:rsidRPr="0095520C" w:rsidRDefault="00024FCC" w:rsidP="0081210C">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84EC5" w:rsidRPr="0095520C" w:rsidRDefault="00BC6509" w:rsidP="00E50EAF">
            <w:pPr>
              <w:rPr>
                <w:lang w:val="en-AU" w:eastAsia="en-AU"/>
              </w:rPr>
            </w:pPr>
            <w:r>
              <w:rPr>
                <w:lang w:val="en-AU" w:eastAsia="en-AU"/>
              </w:rPr>
              <w:t xml:space="preserve">The (UK) Health Foundation has added to their output on patient-centred care with this guide. The </w:t>
            </w:r>
            <w:r w:rsidRPr="00BC6509">
              <w:rPr>
                <w:lang w:val="en-AU" w:eastAsia="en-AU"/>
              </w:rPr>
              <w:t>guide seeks to provide a quick overview of person-centred care. It offers a clear explanation of the principles of person-centred care, why it is important, how it has developed, and provides some examples to help those considering putting person-centred care into practice.</w:t>
            </w:r>
          </w:p>
        </w:tc>
      </w:tr>
    </w:tbl>
    <w:p w:rsidR="00024FCC" w:rsidRDefault="00024FCC" w:rsidP="00024FCC">
      <w:pPr>
        <w:keepNext/>
        <w:rPr>
          <w:lang w:val="en-AU"/>
        </w:rPr>
      </w:pPr>
    </w:p>
    <w:p w:rsidR="00E24EDB" w:rsidRDefault="00FE4A0A" w:rsidP="00B56D29">
      <w:pPr>
        <w:rPr>
          <w:lang w:val="en-AU"/>
        </w:rPr>
      </w:pPr>
      <w:r w:rsidRPr="0095520C">
        <w:rPr>
          <w:lang w:val="en-AU"/>
        </w:rPr>
        <w:t>For information on the Commission’s work on</w:t>
      </w:r>
      <w:r>
        <w:rPr>
          <w:lang w:val="en-AU"/>
        </w:rPr>
        <w:t xml:space="preserve"> patient and consumer centred care,</w:t>
      </w:r>
      <w:r w:rsidRPr="0095520C">
        <w:rPr>
          <w:lang w:val="en-AU"/>
        </w:rPr>
        <w:t xml:space="preserve"> </w:t>
      </w:r>
      <w:r>
        <w:rPr>
          <w:lang w:val="en-AU"/>
        </w:rPr>
        <w:t>s</w:t>
      </w:r>
      <w:r w:rsidRPr="0095520C">
        <w:rPr>
          <w:lang w:val="en-AU"/>
        </w:rPr>
        <w:t>ee</w:t>
      </w:r>
      <w:r>
        <w:rPr>
          <w:lang w:val="en-AU"/>
        </w:rPr>
        <w:t xml:space="preserve"> </w:t>
      </w:r>
      <w:hyperlink r:id="rId21" w:history="1">
        <w:r w:rsidRPr="00782F74">
          <w:rPr>
            <w:rStyle w:val="Hyperlink"/>
            <w:lang w:val="en-AU"/>
          </w:rPr>
          <w:t>http://www.safetyandquality.gov.au/our-work/patient-and-consumer-centred-care/</w:t>
        </w:r>
      </w:hyperlink>
    </w:p>
    <w:p w:rsidR="00FE4A0A" w:rsidRDefault="00FE4A0A" w:rsidP="00B56D29">
      <w:pPr>
        <w:rPr>
          <w:lang w:val="en-AU"/>
        </w:rPr>
      </w:pPr>
    </w:p>
    <w:p w:rsidR="00CC3281" w:rsidRPr="00CC3281" w:rsidRDefault="00CC3281" w:rsidP="00CC3281">
      <w:pPr>
        <w:rPr>
          <w:i/>
          <w:lang w:val="en-AU"/>
        </w:rPr>
      </w:pPr>
      <w:r w:rsidRPr="00CC3281">
        <w:rPr>
          <w:i/>
          <w:lang w:val="en-AU"/>
        </w:rPr>
        <w:t>Improving the delivery of adult diabetes care through integration</w:t>
      </w:r>
    </w:p>
    <w:p w:rsidR="00CC3281" w:rsidRDefault="00CC3281" w:rsidP="00B56D29">
      <w:pPr>
        <w:rPr>
          <w:lang w:val="en-AU"/>
        </w:rPr>
      </w:pPr>
      <w:r w:rsidRPr="00CC3281">
        <w:rPr>
          <w:lang w:val="en-AU"/>
        </w:rPr>
        <w:t>Diabetes UK</w:t>
      </w:r>
    </w:p>
    <w:p w:rsidR="00FE4A0A" w:rsidRPr="00902108" w:rsidRDefault="00CC3281" w:rsidP="00B56D29">
      <w:pPr>
        <w:rPr>
          <w:lang w:val="en-AU"/>
        </w:rPr>
      </w:pPr>
      <w:r w:rsidRPr="00CC3281">
        <w:rPr>
          <w:lang w:val="en-AU"/>
        </w:rPr>
        <w:t>London: Diabetes UK; 2014.</w:t>
      </w:r>
    </w:p>
    <w:tbl>
      <w:tblPr>
        <w:tblStyle w:val="TableGrid"/>
        <w:tblW w:w="0" w:type="auto"/>
        <w:tblInd w:w="288" w:type="dxa"/>
        <w:tblLayout w:type="fixed"/>
        <w:tblLook w:val="01E0" w:firstRow="1" w:lastRow="1" w:firstColumn="1" w:lastColumn="1" w:noHBand="0" w:noVBand="0"/>
      </w:tblPr>
      <w:tblGrid>
        <w:gridCol w:w="1080"/>
        <w:gridCol w:w="8280"/>
      </w:tblGrid>
      <w:tr w:rsidR="00E24EDB" w:rsidRPr="0095520C" w:rsidTr="004E2DD6">
        <w:tc>
          <w:tcPr>
            <w:tcW w:w="1080" w:type="dxa"/>
            <w:tcBorders>
              <w:top w:val="single" w:sz="4" w:space="0" w:color="auto"/>
              <w:left w:val="single" w:sz="4" w:space="0" w:color="auto"/>
              <w:bottom w:val="single" w:sz="4" w:space="0" w:color="auto"/>
              <w:right w:val="single" w:sz="4" w:space="0" w:color="auto"/>
            </w:tcBorders>
            <w:vAlign w:val="center"/>
          </w:tcPr>
          <w:p w:rsidR="00E24EDB" w:rsidRPr="0095520C" w:rsidRDefault="00E24EDB" w:rsidP="004E2DD6">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24EDB" w:rsidRPr="0095520C" w:rsidRDefault="00E302EA" w:rsidP="00CC3281">
            <w:pPr>
              <w:rPr>
                <w:lang w:val="en-AU"/>
              </w:rPr>
            </w:pPr>
            <w:hyperlink r:id="rId22" w:history="1">
              <w:r w:rsidR="00CC3281" w:rsidRPr="008A1B44">
                <w:rPr>
                  <w:rStyle w:val="Hyperlink"/>
                  <w:lang w:val="en-AU"/>
                </w:rPr>
                <w:t>http://www.diabetes.org.uk/Professionals/Service-improvement/Integrated-diabetes-care/</w:t>
              </w:r>
            </w:hyperlink>
          </w:p>
        </w:tc>
      </w:tr>
      <w:tr w:rsidR="00E24EDB" w:rsidRPr="0095520C" w:rsidTr="004E2DD6">
        <w:tc>
          <w:tcPr>
            <w:tcW w:w="1080" w:type="dxa"/>
            <w:tcBorders>
              <w:top w:val="single" w:sz="4" w:space="0" w:color="auto"/>
              <w:left w:val="single" w:sz="4" w:space="0" w:color="auto"/>
              <w:bottom w:val="single" w:sz="4" w:space="0" w:color="auto"/>
              <w:right w:val="single" w:sz="4" w:space="0" w:color="auto"/>
            </w:tcBorders>
            <w:vAlign w:val="center"/>
          </w:tcPr>
          <w:p w:rsidR="00E24EDB" w:rsidRPr="0095520C" w:rsidRDefault="00E24EDB" w:rsidP="004E2DD6">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C3281" w:rsidRPr="00CC3281" w:rsidRDefault="00CC3281" w:rsidP="00CC3281">
            <w:pPr>
              <w:rPr>
                <w:lang w:val="en-AU" w:eastAsia="en-AU"/>
              </w:rPr>
            </w:pPr>
            <w:r w:rsidRPr="00CC3281">
              <w:rPr>
                <w:lang w:val="en-AU" w:eastAsia="en-AU"/>
              </w:rPr>
              <w:t xml:space="preserve">Diabetes UK </w:t>
            </w:r>
            <w:r>
              <w:rPr>
                <w:lang w:val="en-AU" w:eastAsia="en-AU"/>
              </w:rPr>
              <w:t xml:space="preserve">has published this describing </w:t>
            </w:r>
            <w:r w:rsidRPr="00CC3281">
              <w:rPr>
                <w:lang w:val="en-AU" w:eastAsia="en-AU"/>
              </w:rPr>
              <w:t xml:space="preserve">how diabetes care can be improved to achieve better outcomes for people with diabetes. The challenge for </w:t>
            </w:r>
            <w:r>
              <w:rPr>
                <w:lang w:val="en-AU" w:eastAsia="en-AU"/>
              </w:rPr>
              <w:t xml:space="preserve">funders </w:t>
            </w:r>
            <w:r w:rsidRPr="00CC3281">
              <w:rPr>
                <w:lang w:val="en-AU" w:eastAsia="en-AU"/>
              </w:rPr>
              <w:t xml:space="preserve">and providers </w:t>
            </w:r>
            <w:r>
              <w:rPr>
                <w:lang w:val="en-AU" w:eastAsia="en-AU"/>
              </w:rPr>
              <w:t>at the local level</w:t>
            </w:r>
            <w:r w:rsidRPr="00CC3281">
              <w:rPr>
                <w:lang w:val="en-AU" w:eastAsia="en-AU"/>
              </w:rPr>
              <w:t xml:space="preserve"> is to make the system work to support that.</w:t>
            </w:r>
          </w:p>
          <w:p w:rsidR="008F16A5" w:rsidRPr="008C2914" w:rsidRDefault="00CC3281" w:rsidP="00CC3281">
            <w:pPr>
              <w:rPr>
                <w:lang w:val="en-AU" w:eastAsia="en-AU"/>
              </w:rPr>
            </w:pPr>
            <w:r>
              <w:rPr>
                <w:lang w:val="en-AU" w:eastAsia="en-AU"/>
              </w:rPr>
              <w:t xml:space="preserve">The report brings together information about </w:t>
            </w:r>
            <w:r w:rsidRPr="00CC3281">
              <w:rPr>
                <w:lang w:val="en-AU" w:eastAsia="en-AU"/>
              </w:rPr>
              <w:t xml:space="preserve">what the various aspects of good diabetes care should look like. The report </w:t>
            </w:r>
            <w:r>
              <w:rPr>
                <w:lang w:val="en-AU" w:eastAsia="en-AU"/>
              </w:rPr>
              <w:t xml:space="preserve">also provides </w:t>
            </w:r>
            <w:r w:rsidRPr="00CC3281">
              <w:rPr>
                <w:lang w:val="en-AU" w:eastAsia="en-AU"/>
              </w:rPr>
              <w:t xml:space="preserve">shares examples of what </w:t>
            </w:r>
            <w:r>
              <w:rPr>
                <w:lang w:val="en-AU" w:eastAsia="en-AU"/>
              </w:rPr>
              <w:t xml:space="preserve">is being done in parts of England </w:t>
            </w:r>
            <w:r w:rsidRPr="00CC3281">
              <w:rPr>
                <w:lang w:val="en-AU" w:eastAsia="en-AU"/>
              </w:rPr>
              <w:t>to make the system work for people with diabetes and clinicians.</w:t>
            </w:r>
          </w:p>
        </w:tc>
      </w:tr>
    </w:tbl>
    <w:p w:rsidR="00A30DF9" w:rsidRPr="0095520C" w:rsidRDefault="00254636" w:rsidP="00771468">
      <w:pPr>
        <w:keepNext/>
        <w:rPr>
          <w:b/>
          <w:lang w:val="en-AU"/>
        </w:rPr>
      </w:pPr>
      <w:r w:rsidRPr="0095520C">
        <w:rPr>
          <w:b/>
          <w:lang w:val="en-AU"/>
        </w:rPr>
        <w:lastRenderedPageBreak/>
        <w:t>Journal articles</w:t>
      </w:r>
    </w:p>
    <w:p w:rsidR="004B37A8" w:rsidRDefault="004B37A8" w:rsidP="00047DE3">
      <w:pPr>
        <w:keepNext/>
        <w:keepLines/>
        <w:autoSpaceDE w:val="0"/>
        <w:autoSpaceDN w:val="0"/>
        <w:adjustRightInd w:val="0"/>
        <w:rPr>
          <w:i/>
          <w:lang w:val="en-AU"/>
        </w:rPr>
      </w:pPr>
    </w:p>
    <w:p w:rsidR="00620625" w:rsidRPr="00620625" w:rsidRDefault="00620625" w:rsidP="00620625">
      <w:pPr>
        <w:keepNext/>
        <w:keepLines/>
        <w:autoSpaceDE w:val="0"/>
        <w:autoSpaceDN w:val="0"/>
        <w:adjustRightInd w:val="0"/>
        <w:rPr>
          <w:i/>
          <w:lang w:val="en-AU"/>
        </w:rPr>
      </w:pPr>
      <w:r w:rsidRPr="00620625">
        <w:rPr>
          <w:i/>
          <w:lang w:val="en-AU"/>
        </w:rPr>
        <w:t>A personal reflection on staff experiences after critical incidents</w:t>
      </w:r>
    </w:p>
    <w:p w:rsidR="00620625" w:rsidRDefault="00620625" w:rsidP="00910180">
      <w:pPr>
        <w:keepNext/>
        <w:keepLines/>
        <w:autoSpaceDE w:val="0"/>
        <w:autoSpaceDN w:val="0"/>
        <w:adjustRightInd w:val="0"/>
        <w:rPr>
          <w:lang w:val="en-AU"/>
        </w:rPr>
      </w:pPr>
      <w:r w:rsidRPr="00620625">
        <w:rPr>
          <w:lang w:val="en-AU"/>
        </w:rPr>
        <w:t>Knott C</w:t>
      </w:r>
    </w:p>
    <w:p w:rsidR="00D126AA" w:rsidRDefault="00620625" w:rsidP="00910180">
      <w:pPr>
        <w:keepNext/>
        <w:keepLines/>
        <w:autoSpaceDE w:val="0"/>
        <w:autoSpaceDN w:val="0"/>
        <w:adjustRightInd w:val="0"/>
        <w:rPr>
          <w:lang w:val="en-AU"/>
        </w:rPr>
      </w:pPr>
      <w:proofErr w:type="gramStart"/>
      <w:r w:rsidRPr="00620625">
        <w:rPr>
          <w:lang w:val="en-AU"/>
        </w:rPr>
        <w:t>Medical Journal of Australia.</w:t>
      </w:r>
      <w:proofErr w:type="gramEnd"/>
      <w:r w:rsidRPr="00620625">
        <w:rPr>
          <w:lang w:val="en-AU"/>
        </w:rPr>
        <w:t xml:space="preserve"> 2014</w:t>
      </w:r>
      <w:proofErr w:type="gramStart"/>
      <w:r w:rsidRPr="00620625">
        <w:rPr>
          <w:lang w:val="en-AU"/>
        </w:rPr>
        <w:t>;201</w:t>
      </w:r>
      <w:proofErr w:type="gramEnd"/>
      <w:r w:rsidRPr="00620625">
        <w:rPr>
          <w:lang w:val="en-AU"/>
        </w:rPr>
        <w:t>(9):550-1.</w:t>
      </w:r>
    </w:p>
    <w:p w:rsidR="003F6D06" w:rsidRDefault="003F6D06" w:rsidP="00910180">
      <w:pPr>
        <w:keepNext/>
        <w:keepLines/>
        <w:autoSpaceDE w:val="0"/>
        <w:autoSpaceDN w:val="0"/>
        <w:adjustRightInd w:val="0"/>
        <w:rPr>
          <w:lang w:val="en-AU"/>
        </w:rPr>
      </w:pPr>
    </w:p>
    <w:p w:rsidR="003F6D06" w:rsidRPr="003F6D06" w:rsidRDefault="003F6D06" w:rsidP="003F6D06">
      <w:pPr>
        <w:keepNext/>
        <w:keepLines/>
        <w:autoSpaceDE w:val="0"/>
        <w:autoSpaceDN w:val="0"/>
        <w:adjustRightInd w:val="0"/>
        <w:rPr>
          <w:i/>
          <w:lang w:val="en-AU"/>
        </w:rPr>
      </w:pPr>
      <w:r w:rsidRPr="003F6D06">
        <w:rPr>
          <w:i/>
          <w:lang w:val="en-AU"/>
        </w:rPr>
        <w:t>Sometimes a doctor can’t help but kill a patient</w:t>
      </w:r>
    </w:p>
    <w:p w:rsidR="003F6D06" w:rsidRDefault="003F6D06" w:rsidP="00910180">
      <w:pPr>
        <w:keepNext/>
        <w:keepLines/>
        <w:autoSpaceDE w:val="0"/>
        <w:autoSpaceDN w:val="0"/>
        <w:adjustRightInd w:val="0"/>
        <w:rPr>
          <w:lang w:val="en-AU"/>
        </w:rPr>
      </w:pPr>
      <w:r w:rsidRPr="003F6D06">
        <w:rPr>
          <w:lang w:val="en-AU"/>
        </w:rPr>
        <w:t>Hitchcock K</w:t>
      </w:r>
    </w:p>
    <w:p w:rsidR="003F6D06" w:rsidRPr="0095520C" w:rsidRDefault="003F6D06" w:rsidP="00910180">
      <w:pPr>
        <w:keepNext/>
        <w:keepLines/>
        <w:autoSpaceDE w:val="0"/>
        <w:autoSpaceDN w:val="0"/>
        <w:adjustRightInd w:val="0"/>
        <w:rPr>
          <w:lang w:val="en-AU"/>
        </w:rPr>
      </w:pPr>
      <w:proofErr w:type="gramStart"/>
      <w:r w:rsidRPr="003F6D06">
        <w:rPr>
          <w:lang w:val="en-AU"/>
        </w:rPr>
        <w:t>The Monthly.</w:t>
      </w:r>
      <w:proofErr w:type="gramEnd"/>
      <w:r w:rsidRPr="003F6D06">
        <w:rPr>
          <w:lang w:val="en-AU"/>
        </w:rPr>
        <w:t xml:space="preserve"> November 2014.</w:t>
      </w:r>
    </w:p>
    <w:tbl>
      <w:tblPr>
        <w:tblStyle w:val="TableGrid"/>
        <w:tblW w:w="0" w:type="auto"/>
        <w:tblInd w:w="288" w:type="dxa"/>
        <w:tblLayout w:type="fixed"/>
        <w:tblLook w:val="01E0" w:firstRow="1" w:lastRow="1" w:firstColumn="1" w:lastColumn="1" w:noHBand="0" w:noVBand="0"/>
      </w:tblPr>
      <w:tblGrid>
        <w:gridCol w:w="1080"/>
        <w:gridCol w:w="8280"/>
      </w:tblGrid>
      <w:tr w:rsidR="00910180" w:rsidRPr="0095520C" w:rsidTr="007737CF">
        <w:tc>
          <w:tcPr>
            <w:tcW w:w="1080" w:type="dxa"/>
            <w:tcBorders>
              <w:top w:val="single" w:sz="4" w:space="0" w:color="auto"/>
              <w:left w:val="single" w:sz="4" w:space="0" w:color="auto"/>
              <w:bottom w:val="single" w:sz="4" w:space="0" w:color="auto"/>
              <w:right w:val="single" w:sz="4" w:space="0" w:color="auto"/>
            </w:tcBorders>
            <w:vAlign w:val="center"/>
          </w:tcPr>
          <w:p w:rsidR="00910180" w:rsidRPr="0095520C" w:rsidRDefault="00910180" w:rsidP="007737CF">
            <w:pPr>
              <w:rPr>
                <w:lang w:val="en-AU"/>
              </w:rPr>
            </w:pPr>
            <w:r w:rsidRPr="0095520C">
              <w:rPr>
                <w:lang w:val="en-AU"/>
              </w:rPr>
              <w:t>DOI</w:t>
            </w:r>
            <w:r w:rsidR="003F6D06">
              <w:rPr>
                <w:lang w:val="en-AU"/>
              </w:rPr>
              <w:t xml:space="preserve"> / URL</w:t>
            </w:r>
          </w:p>
        </w:tc>
        <w:tc>
          <w:tcPr>
            <w:tcW w:w="8280" w:type="dxa"/>
            <w:tcBorders>
              <w:top w:val="single" w:sz="4" w:space="0" w:color="auto"/>
              <w:left w:val="single" w:sz="4" w:space="0" w:color="auto"/>
              <w:bottom w:val="single" w:sz="4" w:space="0" w:color="auto"/>
              <w:right w:val="single" w:sz="4" w:space="0" w:color="auto"/>
            </w:tcBorders>
            <w:vAlign w:val="center"/>
          </w:tcPr>
          <w:p w:rsidR="003F6D06" w:rsidRDefault="00E302EA" w:rsidP="009939BF">
            <w:pPr>
              <w:rPr>
                <w:lang w:val="en-AU"/>
              </w:rPr>
            </w:pPr>
            <w:hyperlink r:id="rId23" w:history="1">
              <w:r w:rsidR="003F6D06" w:rsidRPr="00782F74">
                <w:rPr>
                  <w:rStyle w:val="Hyperlink"/>
                  <w:lang w:val="en-AU"/>
                </w:rPr>
                <w:t>http://dx.doi.org/10.5694/mja14.00681</w:t>
              </w:r>
            </w:hyperlink>
            <w:r w:rsidR="003F6D06">
              <w:rPr>
                <w:lang w:val="en-AU"/>
              </w:rPr>
              <w:t xml:space="preserve"> (Knott)</w:t>
            </w:r>
          </w:p>
          <w:p w:rsidR="00910180" w:rsidRPr="0095520C" w:rsidRDefault="00E302EA" w:rsidP="003F6D06">
            <w:pPr>
              <w:rPr>
                <w:lang w:val="en-AU"/>
              </w:rPr>
            </w:pPr>
            <w:hyperlink r:id="rId24" w:history="1">
              <w:r w:rsidR="003F6D06" w:rsidRPr="00782F74">
                <w:rPr>
                  <w:rStyle w:val="Hyperlink"/>
                  <w:lang w:val="en-AU"/>
                </w:rPr>
                <w:t>http://www.themonthly.com.au/issue/2014/november/1414760400/karen-hitchcock/medicine</w:t>
              </w:r>
            </w:hyperlink>
            <w:r w:rsidR="003F6D06">
              <w:rPr>
                <w:lang w:val="en-AU"/>
              </w:rPr>
              <w:t xml:space="preserve"> (Hitchcock) </w:t>
            </w:r>
          </w:p>
        </w:tc>
      </w:tr>
      <w:tr w:rsidR="00910180" w:rsidRPr="0095520C" w:rsidTr="007737CF">
        <w:tc>
          <w:tcPr>
            <w:tcW w:w="1080" w:type="dxa"/>
            <w:tcBorders>
              <w:top w:val="single" w:sz="4" w:space="0" w:color="auto"/>
              <w:left w:val="single" w:sz="4" w:space="0" w:color="auto"/>
              <w:bottom w:val="single" w:sz="4" w:space="0" w:color="auto"/>
              <w:right w:val="single" w:sz="4" w:space="0" w:color="auto"/>
            </w:tcBorders>
            <w:vAlign w:val="center"/>
          </w:tcPr>
          <w:p w:rsidR="00910180" w:rsidRPr="0095520C" w:rsidRDefault="00910180" w:rsidP="007737CF">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939BF" w:rsidRDefault="00620625" w:rsidP="003F6D06">
            <w:pPr>
              <w:rPr>
                <w:lang w:val="en-AU" w:eastAsia="en-AU"/>
              </w:rPr>
            </w:pPr>
            <w:r>
              <w:rPr>
                <w:lang w:val="en-AU" w:eastAsia="en-AU"/>
              </w:rPr>
              <w:t>A pair of items offering a personal perspective on what it is like to be a ‘</w:t>
            </w:r>
            <w:r w:rsidRPr="00FE4A0A">
              <w:rPr>
                <w:b/>
                <w:lang w:val="en-AU" w:eastAsia="en-AU"/>
              </w:rPr>
              <w:t>second victim</w:t>
            </w:r>
            <w:r>
              <w:rPr>
                <w:lang w:val="en-AU" w:eastAsia="en-AU"/>
              </w:rPr>
              <w:t xml:space="preserve">’ – </w:t>
            </w:r>
            <w:r w:rsidR="003F6D06">
              <w:rPr>
                <w:lang w:val="en-AU" w:eastAsia="en-AU"/>
              </w:rPr>
              <w:t xml:space="preserve">as an individual or as </w:t>
            </w:r>
            <w:r>
              <w:rPr>
                <w:lang w:val="en-AU" w:eastAsia="en-AU"/>
              </w:rPr>
              <w:t>part of the healthcare</w:t>
            </w:r>
            <w:r w:rsidR="003F6D06">
              <w:rPr>
                <w:lang w:val="en-AU" w:eastAsia="en-AU"/>
              </w:rPr>
              <w:t xml:space="preserve"> team involved in a serious adve</w:t>
            </w:r>
            <w:r>
              <w:rPr>
                <w:lang w:val="en-AU" w:eastAsia="en-AU"/>
              </w:rPr>
              <w:t>r</w:t>
            </w:r>
            <w:r w:rsidR="003F6D06">
              <w:rPr>
                <w:lang w:val="en-AU" w:eastAsia="en-AU"/>
              </w:rPr>
              <w:t>s</w:t>
            </w:r>
            <w:r>
              <w:rPr>
                <w:lang w:val="en-AU" w:eastAsia="en-AU"/>
              </w:rPr>
              <w:t>e event</w:t>
            </w:r>
            <w:r w:rsidR="003F6D06">
              <w:rPr>
                <w:lang w:val="en-AU" w:eastAsia="en-AU"/>
              </w:rPr>
              <w:t xml:space="preserve">. In both these </w:t>
            </w:r>
            <w:r w:rsidR="00FE4A0A">
              <w:rPr>
                <w:lang w:val="en-AU" w:eastAsia="en-AU"/>
              </w:rPr>
              <w:t xml:space="preserve">instances </w:t>
            </w:r>
            <w:r w:rsidR="003F6D06">
              <w:rPr>
                <w:lang w:val="en-AU" w:eastAsia="en-AU"/>
              </w:rPr>
              <w:t xml:space="preserve">the author was involved in </w:t>
            </w:r>
            <w:r w:rsidR="00FE4A0A">
              <w:rPr>
                <w:lang w:val="en-AU" w:eastAsia="en-AU"/>
              </w:rPr>
              <w:t xml:space="preserve">a </w:t>
            </w:r>
            <w:r w:rsidR="003F6D06">
              <w:rPr>
                <w:lang w:val="en-AU" w:eastAsia="en-AU"/>
              </w:rPr>
              <w:t xml:space="preserve">case where </w:t>
            </w:r>
            <w:r w:rsidR="00FE4A0A">
              <w:rPr>
                <w:lang w:val="en-AU" w:eastAsia="en-AU"/>
              </w:rPr>
              <w:t xml:space="preserve">a </w:t>
            </w:r>
            <w:r w:rsidR="003F6D06">
              <w:rPr>
                <w:lang w:val="en-AU" w:eastAsia="en-AU"/>
              </w:rPr>
              <w:t>patient died. Indeed, Hitchcock’s opening line reads “A few weeks ago I killed a patient.” Given the contemporary interest in issues of euthanasia the reader may expect a story along those lines. But this is not the case. Hitchcock and Knott both reflect on the experience of being a clinician where the care they deliver contributes to the worst possible outcome.</w:t>
            </w:r>
          </w:p>
          <w:p w:rsidR="00101255" w:rsidRDefault="00101255" w:rsidP="00101255">
            <w:pPr>
              <w:rPr>
                <w:lang w:val="en-AU" w:eastAsia="en-AU"/>
              </w:rPr>
            </w:pPr>
            <w:r>
              <w:rPr>
                <w:lang w:val="en-AU" w:eastAsia="en-AU"/>
              </w:rPr>
              <w:t>Knott confirms that much of the experience is accurately captured in the literature and that much can be done for the patient’s family and the ‘second victims’. However, that final term does not sit comfortably, as Knott insists “</w:t>
            </w:r>
            <w:r w:rsidRPr="00101255">
              <w:rPr>
                <w:lang w:val="en-AU" w:eastAsia="en-AU"/>
              </w:rPr>
              <w:t>I do not believe I am a second victim. Rather, I am a member of a responsible team. We have learned and helped others by conceptually placing the bereaved family at the centre of our own recovery. This long and challenging process demonstrates the power and importance of patient-centred quality and safety initiatives.</w:t>
            </w:r>
            <w:r>
              <w:rPr>
                <w:lang w:val="en-AU" w:eastAsia="en-AU"/>
              </w:rPr>
              <w:t xml:space="preserve">” </w:t>
            </w:r>
          </w:p>
          <w:p w:rsidR="00101255" w:rsidRPr="00590FB6" w:rsidRDefault="00101255" w:rsidP="00101255">
            <w:pPr>
              <w:rPr>
                <w:lang w:val="en-AU" w:eastAsia="en-AU"/>
              </w:rPr>
            </w:pPr>
            <w:r>
              <w:rPr>
                <w:lang w:val="en-AU" w:eastAsia="en-AU"/>
              </w:rPr>
              <w:t>Knott goes on to argue that health care organisations need to be ‘</w:t>
            </w:r>
            <w:r w:rsidRPr="00FE4A0A">
              <w:rPr>
                <w:b/>
                <w:lang w:val="en-AU" w:eastAsia="en-AU"/>
              </w:rPr>
              <w:t>high-reliability organisations</w:t>
            </w:r>
            <w:r>
              <w:rPr>
                <w:lang w:val="en-AU" w:eastAsia="en-AU"/>
              </w:rPr>
              <w:t>’ (HROs). HROs have an organisational performance that “i</w:t>
            </w:r>
            <w:r w:rsidRPr="00101255">
              <w:rPr>
                <w:lang w:val="en-AU" w:eastAsia="en-AU"/>
              </w:rPr>
              <w:t>s often matched by an ability to expand capacity in a crisis. This is achieved through planning for variability in human performance by accepting the possibility of failure. HROs have evolved multiple redundant preventive and adaptive systems that integrate safety, quality and workplace learning.</w:t>
            </w:r>
            <w:r>
              <w:rPr>
                <w:lang w:val="en-AU" w:eastAsia="en-AU"/>
              </w:rPr>
              <w:t>” He is also sanguine enough to recognise that “critical incidents will still occur”.</w:t>
            </w:r>
          </w:p>
        </w:tc>
      </w:tr>
    </w:tbl>
    <w:p w:rsidR="002032BF" w:rsidRDefault="002032BF" w:rsidP="000D5F0F">
      <w:pPr>
        <w:keepNext/>
        <w:keepLines/>
        <w:autoSpaceDE w:val="0"/>
        <w:autoSpaceDN w:val="0"/>
        <w:adjustRightInd w:val="0"/>
        <w:rPr>
          <w:i/>
          <w:lang w:val="en-AU"/>
        </w:rPr>
      </w:pPr>
    </w:p>
    <w:p w:rsidR="002032BF" w:rsidRPr="00CC3281" w:rsidRDefault="002032BF" w:rsidP="002032BF">
      <w:pPr>
        <w:keepNext/>
        <w:keepLines/>
        <w:autoSpaceDE w:val="0"/>
        <w:autoSpaceDN w:val="0"/>
        <w:adjustRightInd w:val="0"/>
        <w:rPr>
          <w:i/>
          <w:lang w:val="en-AU"/>
        </w:rPr>
      </w:pPr>
      <w:r w:rsidRPr="00CC3281">
        <w:rPr>
          <w:i/>
          <w:lang w:val="en-AU"/>
        </w:rPr>
        <w:t>Integrated care programmes for adults with chronic conditions: a meta-review</w:t>
      </w:r>
    </w:p>
    <w:p w:rsidR="002032BF" w:rsidRDefault="002032BF" w:rsidP="002032BF">
      <w:pPr>
        <w:keepNext/>
        <w:keepLines/>
        <w:autoSpaceDE w:val="0"/>
        <w:autoSpaceDN w:val="0"/>
        <w:adjustRightInd w:val="0"/>
        <w:rPr>
          <w:lang w:val="en-AU"/>
        </w:rPr>
      </w:pPr>
      <w:r w:rsidRPr="00CC3281">
        <w:rPr>
          <w:lang w:val="en-AU"/>
        </w:rPr>
        <w:t>Martínez-González NA, Berchtold P, Ullman K, Busato A, Egger M</w:t>
      </w:r>
    </w:p>
    <w:p w:rsidR="002032BF" w:rsidRPr="0095520C" w:rsidRDefault="002032BF" w:rsidP="002032BF">
      <w:pPr>
        <w:keepNext/>
        <w:keepLines/>
        <w:autoSpaceDE w:val="0"/>
        <w:autoSpaceDN w:val="0"/>
        <w:adjustRightInd w:val="0"/>
        <w:rPr>
          <w:lang w:val="en-AU"/>
        </w:rPr>
      </w:pPr>
      <w:proofErr w:type="gramStart"/>
      <w:r w:rsidRPr="00CC3281">
        <w:rPr>
          <w:lang w:val="en-AU"/>
        </w:rPr>
        <w:t>International Journal for Quality in Health Care.</w:t>
      </w:r>
      <w:proofErr w:type="gramEnd"/>
      <w:r w:rsidRPr="00CC3281">
        <w:rPr>
          <w:lang w:val="en-AU"/>
        </w:rPr>
        <w:t xml:space="preserve"> 2014 October 1, 2014</w:t>
      </w:r>
      <w:proofErr w:type="gramStart"/>
      <w:r w:rsidRPr="00CC3281">
        <w:rPr>
          <w:lang w:val="en-AU"/>
        </w:rPr>
        <w:t>;26</w:t>
      </w:r>
      <w:proofErr w:type="gramEnd"/>
      <w:r w:rsidRPr="00CC3281">
        <w:rPr>
          <w:lang w:val="en-AU"/>
        </w:rPr>
        <w:t>(5):561-70.</w:t>
      </w:r>
    </w:p>
    <w:tbl>
      <w:tblPr>
        <w:tblStyle w:val="TableGrid"/>
        <w:tblW w:w="0" w:type="auto"/>
        <w:tblInd w:w="288" w:type="dxa"/>
        <w:tblLayout w:type="fixed"/>
        <w:tblLook w:val="01E0" w:firstRow="1" w:lastRow="1" w:firstColumn="1" w:lastColumn="1" w:noHBand="0" w:noVBand="0"/>
      </w:tblPr>
      <w:tblGrid>
        <w:gridCol w:w="1080"/>
        <w:gridCol w:w="8280"/>
      </w:tblGrid>
      <w:tr w:rsidR="002032BF" w:rsidRPr="0095520C" w:rsidTr="009F6BB7">
        <w:tc>
          <w:tcPr>
            <w:tcW w:w="1080" w:type="dxa"/>
            <w:tcBorders>
              <w:top w:val="single" w:sz="4" w:space="0" w:color="auto"/>
              <w:left w:val="single" w:sz="4" w:space="0" w:color="auto"/>
              <w:bottom w:val="single" w:sz="4" w:space="0" w:color="auto"/>
              <w:right w:val="single" w:sz="4" w:space="0" w:color="auto"/>
            </w:tcBorders>
            <w:vAlign w:val="center"/>
          </w:tcPr>
          <w:p w:rsidR="002032BF" w:rsidRPr="0095520C" w:rsidRDefault="002032BF" w:rsidP="009F6BB7">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032BF" w:rsidRPr="0095520C" w:rsidRDefault="00E302EA" w:rsidP="009F6BB7">
            <w:pPr>
              <w:rPr>
                <w:lang w:val="en-AU"/>
              </w:rPr>
            </w:pPr>
            <w:hyperlink r:id="rId25" w:history="1">
              <w:r w:rsidR="002032BF" w:rsidRPr="008A1B44">
                <w:rPr>
                  <w:rStyle w:val="Hyperlink"/>
                  <w:lang w:val="en-AU"/>
                </w:rPr>
                <w:t>http://dx.doi.org/10.1093/intqhc/mzu071</w:t>
              </w:r>
            </w:hyperlink>
          </w:p>
        </w:tc>
      </w:tr>
      <w:tr w:rsidR="002032BF" w:rsidRPr="0095520C" w:rsidTr="009F6BB7">
        <w:tc>
          <w:tcPr>
            <w:tcW w:w="1080" w:type="dxa"/>
            <w:tcBorders>
              <w:top w:val="single" w:sz="4" w:space="0" w:color="auto"/>
              <w:left w:val="single" w:sz="4" w:space="0" w:color="auto"/>
              <w:bottom w:val="single" w:sz="4" w:space="0" w:color="auto"/>
              <w:right w:val="single" w:sz="4" w:space="0" w:color="auto"/>
            </w:tcBorders>
            <w:vAlign w:val="center"/>
          </w:tcPr>
          <w:p w:rsidR="002032BF" w:rsidRPr="0095520C" w:rsidRDefault="002032BF" w:rsidP="009F6BB7">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032BF" w:rsidRDefault="002032BF" w:rsidP="009F6BB7">
            <w:pPr>
              <w:rPr>
                <w:lang w:val="en-AU" w:eastAsia="en-AU"/>
              </w:rPr>
            </w:pPr>
            <w:r>
              <w:rPr>
                <w:lang w:val="en-AU" w:eastAsia="en-AU"/>
              </w:rPr>
              <w:t xml:space="preserve">This meta-review of </w:t>
            </w:r>
            <w:r w:rsidRPr="00CC3281">
              <w:rPr>
                <w:lang w:val="en-AU" w:eastAsia="en-AU"/>
              </w:rPr>
              <w:t>systematic reviews and meta-analyses of integrated care programmes in chronically ill patients</w:t>
            </w:r>
            <w:r>
              <w:rPr>
                <w:lang w:val="en-AU" w:eastAsia="en-AU"/>
              </w:rPr>
              <w:t xml:space="preserve"> identified 27 </w:t>
            </w:r>
            <w:r w:rsidRPr="00CC3281">
              <w:rPr>
                <w:lang w:val="en-AU" w:eastAsia="en-AU"/>
              </w:rPr>
              <w:t>systematic reviews</w:t>
            </w:r>
            <w:r>
              <w:rPr>
                <w:lang w:val="en-AU" w:eastAsia="en-AU"/>
              </w:rPr>
              <w:t xml:space="preserve">. Conditions covered </w:t>
            </w:r>
            <w:r w:rsidRPr="00CC3281">
              <w:rPr>
                <w:lang w:val="en-AU" w:eastAsia="en-AU"/>
              </w:rPr>
              <w:t>included chronic heart failure (CHF; 12 reviews), diabetes mellitus (DM; seven reviews), chronic obstructive pulmonary disease (COPD; seven reviews) and asthma (five reviews)</w:t>
            </w:r>
            <w:r>
              <w:rPr>
                <w:lang w:val="en-AU" w:eastAsia="en-AU"/>
              </w:rPr>
              <w:t>.</w:t>
            </w:r>
          </w:p>
          <w:p w:rsidR="002032BF" w:rsidRPr="00590FB6" w:rsidRDefault="002032BF" w:rsidP="009F6BB7">
            <w:pPr>
              <w:rPr>
                <w:lang w:val="en-AU" w:eastAsia="en-AU"/>
              </w:rPr>
            </w:pPr>
            <w:r>
              <w:rPr>
                <w:lang w:val="en-AU" w:eastAsia="en-AU"/>
              </w:rPr>
              <w:t>The authors report that “</w:t>
            </w:r>
            <w:r w:rsidRPr="00CC3281">
              <w:rPr>
                <w:lang w:val="en-AU" w:eastAsia="en-AU"/>
              </w:rPr>
              <w:t xml:space="preserve">A majority of </w:t>
            </w:r>
            <w:r>
              <w:rPr>
                <w:lang w:val="en-AU" w:eastAsia="en-AU"/>
              </w:rPr>
              <w:t xml:space="preserve">the </w:t>
            </w:r>
            <w:r w:rsidRPr="00CC3281">
              <w:rPr>
                <w:lang w:val="en-AU" w:eastAsia="en-AU"/>
              </w:rPr>
              <w:t xml:space="preserve">reviews found </w:t>
            </w:r>
            <w:r w:rsidRPr="00CC3281">
              <w:rPr>
                <w:b/>
                <w:lang w:val="en-AU" w:eastAsia="en-AU"/>
              </w:rPr>
              <w:t>beneficial effects</w:t>
            </w:r>
            <w:r w:rsidRPr="00CC3281">
              <w:rPr>
                <w:lang w:val="en-AU" w:eastAsia="en-AU"/>
              </w:rPr>
              <w:t xml:space="preserve"> of integration, including </w:t>
            </w:r>
            <w:r w:rsidRPr="00CC3281">
              <w:rPr>
                <w:b/>
                <w:lang w:val="en-AU" w:eastAsia="en-AU"/>
              </w:rPr>
              <w:t>reduced hospital admissions and re-admissions</w:t>
            </w:r>
            <w:r w:rsidRPr="00CC3281">
              <w:rPr>
                <w:lang w:val="en-AU" w:eastAsia="en-AU"/>
              </w:rPr>
              <w:t xml:space="preserve"> (in CHF and DM), improved </w:t>
            </w:r>
            <w:r w:rsidRPr="00CC3281">
              <w:rPr>
                <w:b/>
                <w:lang w:val="en-AU" w:eastAsia="en-AU"/>
              </w:rPr>
              <w:t>adherence to treatment guidelines</w:t>
            </w:r>
            <w:r w:rsidRPr="00CC3281">
              <w:rPr>
                <w:lang w:val="en-AU" w:eastAsia="en-AU"/>
              </w:rPr>
              <w:t xml:space="preserve"> (DM, COPD and asthma) or </w:t>
            </w:r>
            <w:r w:rsidRPr="00CC3281">
              <w:rPr>
                <w:b/>
                <w:lang w:val="en-AU" w:eastAsia="en-AU"/>
              </w:rPr>
              <w:t>quality of life</w:t>
            </w:r>
            <w:r w:rsidRPr="00CC3281">
              <w:rPr>
                <w:lang w:val="en-AU" w:eastAsia="en-AU"/>
              </w:rPr>
              <w:t xml:space="preserve"> (DM). Few reviews showed reductions in costs.</w:t>
            </w:r>
            <w:r>
              <w:rPr>
                <w:lang w:val="en-AU" w:eastAsia="en-AU"/>
              </w:rPr>
              <w:t>”</w:t>
            </w:r>
          </w:p>
        </w:tc>
      </w:tr>
    </w:tbl>
    <w:p w:rsidR="000D5F0F" w:rsidRPr="00F3147F" w:rsidRDefault="000D5F0F" w:rsidP="000D5F0F">
      <w:pPr>
        <w:keepNext/>
        <w:keepLines/>
        <w:autoSpaceDE w:val="0"/>
        <w:autoSpaceDN w:val="0"/>
        <w:adjustRightInd w:val="0"/>
        <w:rPr>
          <w:i/>
          <w:lang w:val="en-AU"/>
        </w:rPr>
      </w:pPr>
      <w:r w:rsidRPr="00F3147F">
        <w:rPr>
          <w:i/>
          <w:lang w:val="en-AU"/>
        </w:rPr>
        <w:lastRenderedPageBreak/>
        <w:t>Association of weekend continuity of care with hospital length of stay</w:t>
      </w:r>
    </w:p>
    <w:p w:rsidR="000D5F0F" w:rsidRDefault="000D5F0F" w:rsidP="000D5F0F">
      <w:pPr>
        <w:keepNext/>
        <w:keepLines/>
        <w:autoSpaceDE w:val="0"/>
        <w:autoSpaceDN w:val="0"/>
        <w:adjustRightInd w:val="0"/>
        <w:rPr>
          <w:lang w:val="en-AU"/>
        </w:rPr>
      </w:pPr>
      <w:r w:rsidRPr="00F3147F">
        <w:rPr>
          <w:lang w:val="en-AU"/>
        </w:rPr>
        <w:t xml:space="preserve">Blecker S, Shine D, Park N, Goldfeld K, Braithwaite RS, Radford MJ, et al. </w:t>
      </w:r>
    </w:p>
    <w:p w:rsidR="000D5F0F" w:rsidRPr="0095520C" w:rsidRDefault="000D5F0F" w:rsidP="000D5F0F">
      <w:pPr>
        <w:keepNext/>
        <w:keepLines/>
        <w:autoSpaceDE w:val="0"/>
        <w:autoSpaceDN w:val="0"/>
        <w:adjustRightInd w:val="0"/>
        <w:rPr>
          <w:lang w:val="en-AU"/>
        </w:rPr>
      </w:pPr>
      <w:proofErr w:type="gramStart"/>
      <w:r w:rsidRPr="00F3147F">
        <w:rPr>
          <w:lang w:val="en-AU"/>
        </w:rPr>
        <w:t>International Journal for Quality and Safety in Health Care.</w:t>
      </w:r>
      <w:proofErr w:type="gramEnd"/>
      <w:r w:rsidRPr="00F3147F">
        <w:rPr>
          <w:lang w:val="en-AU"/>
        </w:rPr>
        <w:t xml:space="preserve"> 2014 2014-10-01 00:00:00</w:t>
      </w:r>
      <w:proofErr w:type="gramStart"/>
      <w:r w:rsidRPr="00F3147F">
        <w:rPr>
          <w:lang w:val="en-AU"/>
        </w:rPr>
        <w:t>;26</w:t>
      </w:r>
      <w:proofErr w:type="gramEnd"/>
      <w:r w:rsidRPr="00F3147F">
        <w:rPr>
          <w:lang w:val="en-AU"/>
        </w:rPr>
        <w:t>(5):530-7.</w:t>
      </w:r>
    </w:p>
    <w:tbl>
      <w:tblPr>
        <w:tblStyle w:val="TableGrid"/>
        <w:tblW w:w="0" w:type="auto"/>
        <w:tblInd w:w="288" w:type="dxa"/>
        <w:tblLayout w:type="fixed"/>
        <w:tblLook w:val="01E0" w:firstRow="1" w:lastRow="1" w:firstColumn="1" w:lastColumn="1" w:noHBand="0" w:noVBand="0"/>
      </w:tblPr>
      <w:tblGrid>
        <w:gridCol w:w="1080"/>
        <w:gridCol w:w="8280"/>
      </w:tblGrid>
      <w:tr w:rsidR="000D5F0F" w:rsidRPr="0095520C" w:rsidTr="009F6BB7">
        <w:tc>
          <w:tcPr>
            <w:tcW w:w="1080" w:type="dxa"/>
            <w:tcBorders>
              <w:top w:val="single" w:sz="4" w:space="0" w:color="auto"/>
              <w:left w:val="single" w:sz="4" w:space="0" w:color="auto"/>
              <w:bottom w:val="single" w:sz="4" w:space="0" w:color="auto"/>
              <w:right w:val="single" w:sz="4" w:space="0" w:color="auto"/>
            </w:tcBorders>
            <w:vAlign w:val="center"/>
          </w:tcPr>
          <w:p w:rsidR="000D5F0F" w:rsidRPr="0095520C" w:rsidRDefault="000D5F0F" w:rsidP="009F6BB7">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D5F0F" w:rsidRPr="0095520C" w:rsidRDefault="00E302EA" w:rsidP="009F6BB7">
            <w:pPr>
              <w:rPr>
                <w:lang w:val="en-AU"/>
              </w:rPr>
            </w:pPr>
            <w:hyperlink r:id="rId26" w:history="1">
              <w:r w:rsidR="000D5F0F" w:rsidRPr="008A1B44">
                <w:rPr>
                  <w:rStyle w:val="Hyperlink"/>
                  <w:lang w:val="en-AU"/>
                </w:rPr>
                <w:t>http://dx.doi.org/10.1093/intqhc/mzu065</w:t>
              </w:r>
            </w:hyperlink>
          </w:p>
        </w:tc>
      </w:tr>
      <w:tr w:rsidR="000D5F0F" w:rsidRPr="0095520C" w:rsidTr="009F6BB7">
        <w:tc>
          <w:tcPr>
            <w:tcW w:w="1080" w:type="dxa"/>
            <w:tcBorders>
              <w:top w:val="single" w:sz="4" w:space="0" w:color="auto"/>
              <w:left w:val="single" w:sz="4" w:space="0" w:color="auto"/>
              <w:bottom w:val="single" w:sz="4" w:space="0" w:color="auto"/>
              <w:right w:val="single" w:sz="4" w:space="0" w:color="auto"/>
            </w:tcBorders>
            <w:vAlign w:val="center"/>
          </w:tcPr>
          <w:p w:rsidR="000D5F0F" w:rsidRPr="0095520C" w:rsidRDefault="000D5F0F" w:rsidP="009F6BB7">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D5F0F" w:rsidRPr="00590FB6" w:rsidRDefault="000D5F0F" w:rsidP="009F6BB7">
            <w:pPr>
              <w:rPr>
                <w:lang w:val="en-AU" w:eastAsia="en-AU"/>
              </w:rPr>
            </w:pPr>
            <w:r>
              <w:rPr>
                <w:lang w:val="en-AU" w:eastAsia="en-AU"/>
              </w:rPr>
              <w:t xml:space="preserve">Paper reporting on a study covering 33391 patients undertaken in a single ‘academic medical center’ (teaching hospital) to examine </w:t>
            </w:r>
            <w:r w:rsidRPr="00F3147F">
              <w:rPr>
                <w:lang w:val="en-AU" w:eastAsia="en-AU"/>
              </w:rPr>
              <w:t>the association of continuity of care with length of stay, likelihood of weekend discharge, in-hospital mortality and 30-day readmission</w:t>
            </w:r>
            <w:r>
              <w:rPr>
                <w:lang w:val="en-AU" w:eastAsia="en-AU"/>
              </w:rPr>
              <w:t>.  From their observations the authors suggest that “</w:t>
            </w:r>
            <w:r w:rsidRPr="000D5F0F">
              <w:rPr>
                <w:b/>
                <w:lang w:val="en-AU" w:eastAsia="en-AU"/>
              </w:rPr>
              <w:t>Increased weekend continuity of care</w:t>
            </w:r>
            <w:r w:rsidRPr="00F3147F">
              <w:rPr>
                <w:lang w:val="en-AU" w:eastAsia="en-AU"/>
              </w:rPr>
              <w:t xml:space="preserve"> is </w:t>
            </w:r>
            <w:r w:rsidRPr="000D5F0F">
              <w:rPr>
                <w:b/>
                <w:lang w:val="en-AU" w:eastAsia="en-AU"/>
              </w:rPr>
              <w:t>associated</w:t>
            </w:r>
            <w:r w:rsidRPr="00F3147F">
              <w:rPr>
                <w:lang w:val="en-AU" w:eastAsia="en-AU"/>
              </w:rPr>
              <w:t xml:space="preserve"> with </w:t>
            </w:r>
            <w:r w:rsidRPr="000D5F0F">
              <w:rPr>
                <w:b/>
                <w:lang w:val="en-AU" w:eastAsia="en-AU"/>
              </w:rPr>
              <w:t>reduced length of stay</w:t>
            </w:r>
            <w:r w:rsidRPr="00F3147F">
              <w:rPr>
                <w:lang w:val="en-AU" w:eastAsia="en-AU"/>
              </w:rPr>
              <w:t>. Improvement in weekend cross-coverage and patient handoffs may be useful to improve clinical outcomes.</w:t>
            </w:r>
            <w:r>
              <w:rPr>
                <w:lang w:val="en-AU" w:eastAsia="en-AU"/>
              </w:rPr>
              <w:t>”</w:t>
            </w:r>
          </w:p>
        </w:tc>
      </w:tr>
    </w:tbl>
    <w:p w:rsidR="000D5F0F" w:rsidRDefault="000D5F0F" w:rsidP="000D5F0F">
      <w:pPr>
        <w:keepNext/>
        <w:rPr>
          <w:i/>
          <w:lang w:val="en-AU"/>
        </w:rPr>
      </w:pPr>
    </w:p>
    <w:p w:rsidR="00D4629D" w:rsidRDefault="00736940" w:rsidP="00736940">
      <w:pPr>
        <w:keepNext/>
        <w:keepLines/>
        <w:autoSpaceDE w:val="0"/>
        <w:autoSpaceDN w:val="0"/>
        <w:adjustRightInd w:val="0"/>
        <w:rPr>
          <w:i/>
          <w:lang w:val="en-AU"/>
        </w:rPr>
      </w:pPr>
      <w:r w:rsidRPr="00736940">
        <w:rPr>
          <w:i/>
          <w:lang w:val="en-AU"/>
        </w:rPr>
        <w:t xml:space="preserve">Increases in Emergency Department Occupancy Are Associated </w:t>
      </w:r>
      <w:proofErr w:type="gramStart"/>
      <w:r w:rsidRPr="00736940">
        <w:rPr>
          <w:i/>
          <w:lang w:val="en-AU"/>
        </w:rPr>
        <w:t>With</w:t>
      </w:r>
      <w:proofErr w:type="gramEnd"/>
      <w:r w:rsidRPr="00736940">
        <w:rPr>
          <w:i/>
          <w:lang w:val="en-AU"/>
        </w:rPr>
        <w:t xml:space="preserve"> Adverse 30-day Outcomes</w:t>
      </w:r>
    </w:p>
    <w:p w:rsidR="00736940" w:rsidRDefault="00736940" w:rsidP="00736940">
      <w:pPr>
        <w:keepNext/>
        <w:keepLines/>
        <w:autoSpaceDE w:val="0"/>
        <w:autoSpaceDN w:val="0"/>
        <w:adjustRightInd w:val="0"/>
        <w:rPr>
          <w:lang w:val="en-AU"/>
        </w:rPr>
      </w:pPr>
      <w:r w:rsidRPr="00736940">
        <w:rPr>
          <w:lang w:val="en-AU"/>
        </w:rPr>
        <w:t>McCusker J, Vadeboncoeur A, Lévesque J-F, Ciampi A, Belzile E</w:t>
      </w:r>
    </w:p>
    <w:p w:rsidR="004C7A99" w:rsidRPr="0095520C" w:rsidRDefault="00736940" w:rsidP="00736940">
      <w:pPr>
        <w:keepNext/>
        <w:keepLines/>
        <w:autoSpaceDE w:val="0"/>
        <w:autoSpaceDN w:val="0"/>
        <w:adjustRightInd w:val="0"/>
        <w:rPr>
          <w:lang w:val="en-AU"/>
        </w:rPr>
      </w:pPr>
      <w:proofErr w:type="gramStart"/>
      <w:r w:rsidRPr="00736940">
        <w:rPr>
          <w:lang w:val="en-AU"/>
        </w:rPr>
        <w:t>Academic Emergency Medicine.</w:t>
      </w:r>
      <w:proofErr w:type="gramEnd"/>
      <w:r w:rsidRPr="00736940">
        <w:rPr>
          <w:lang w:val="en-AU"/>
        </w:rPr>
        <w:t xml:space="preserve"> 2014</w:t>
      </w:r>
      <w:proofErr w:type="gramStart"/>
      <w:r w:rsidRPr="00736940">
        <w:rPr>
          <w:lang w:val="en-AU"/>
        </w:rPr>
        <w:t>;21</w:t>
      </w:r>
      <w:proofErr w:type="gramEnd"/>
      <w:r w:rsidRPr="00736940">
        <w:rPr>
          <w:lang w:val="en-AU"/>
        </w:rPr>
        <w:t>(10):1092-100.</w:t>
      </w:r>
    </w:p>
    <w:tbl>
      <w:tblPr>
        <w:tblStyle w:val="TableGrid"/>
        <w:tblW w:w="0" w:type="auto"/>
        <w:tblInd w:w="288" w:type="dxa"/>
        <w:tblLayout w:type="fixed"/>
        <w:tblLook w:val="01E0" w:firstRow="1" w:lastRow="1" w:firstColumn="1" w:lastColumn="1" w:noHBand="0" w:noVBand="0"/>
      </w:tblPr>
      <w:tblGrid>
        <w:gridCol w:w="1080"/>
        <w:gridCol w:w="8280"/>
      </w:tblGrid>
      <w:tr w:rsidR="00F967BC" w:rsidRPr="0095520C" w:rsidTr="00D762BA">
        <w:tc>
          <w:tcPr>
            <w:tcW w:w="1080" w:type="dxa"/>
            <w:tcBorders>
              <w:top w:val="single" w:sz="4" w:space="0" w:color="auto"/>
              <w:left w:val="single" w:sz="4" w:space="0" w:color="auto"/>
              <w:bottom w:val="single" w:sz="4" w:space="0" w:color="auto"/>
              <w:right w:val="single" w:sz="4" w:space="0" w:color="auto"/>
            </w:tcBorders>
            <w:vAlign w:val="center"/>
          </w:tcPr>
          <w:p w:rsidR="00F967BC" w:rsidRPr="0095520C" w:rsidRDefault="00F967BC" w:rsidP="00D762BA">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967BC" w:rsidRPr="0095520C" w:rsidRDefault="00E302EA" w:rsidP="00D762BA">
            <w:pPr>
              <w:rPr>
                <w:lang w:val="en-AU"/>
              </w:rPr>
            </w:pPr>
            <w:hyperlink r:id="rId27" w:history="1">
              <w:r w:rsidR="00736940" w:rsidRPr="00562BFA">
                <w:rPr>
                  <w:rStyle w:val="Hyperlink"/>
                  <w:lang w:val="en-AU"/>
                </w:rPr>
                <w:t>http://dx.doi..org/10.1111/acem.12480</w:t>
              </w:r>
            </w:hyperlink>
          </w:p>
        </w:tc>
      </w:tr>
      <w:tr w:rsidR="00F967BC" w:rsidRPr="0095520C" w:rsidTr="00D762BA">
        <w:tc>
          <w:tcPr>
            <w:tcW w:w="1080" w:type="dxa"/>
            <w:tcBorders>
              <w:top w:val="single" w:sz="4" w:space="0" w:color="auto"/>
              <w:left w:val="single" w:sz="4" w:space="0" w:color="auto"/>
              <w:bottom w:val="single" w:sz="4" w:space="0" w:color="auto"/>
              <w:right w:val="single" w:sz="4" w:space="0" w:color="auto"/>
            </w:tcBorders>
            <w:vAlign w:val="center"/>
          </w:tcPr>
          <w:p w:rsidR="00F967BC" w:rsidRPr="0095520C" w:rsidRDefault="00F967BC" w:rsidP="00D762BA">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967BC" w:rsidRDefault="00736940" w:rsidP="00736940">
            <w:pPr>
              <w:rPr>
                <w:lang w:val="en-AU" w:eastAsia="en-AU"/>
              </w:rPr>
            </w:pPr>
            <w:r>
              <w:rPr>
                <w:lang w:val="en-AU" w:eastAsia="en-AU"/>
              </w:rPr>
              <w:t xml:space="preserve">This Canadian paper used administrative data covering </w:t>
            </w:r>
            <w:r w:rsidRPr="00736940">
              <w:rPr>
                <w:lang w:val="en-AU" w:eastAsia="en-AU"/>
              </w:rPr>
              <w:t xml:space="preserve">a cohort of 677,475 patients </w:t>
            </w:r>
            <w:r>
              <w:rPr>
                <w:lang w:val="en-AU" w:eastAsia="en-AU"/>
              </w:rPr>
              <w:t xml:space="preserve">visiting </w:t>
            </w:r>
            <w:r w:rsidRPr="00736940">
              <w:rPr>
                <w:lang w:val="en-AU" w:eastAsia="en-AU"/>
              </w:rPr>
              <w:t xml:space="preserve">one of 42 hospital </w:t>
            </w:r>
            <w:r>
              <w:rPr>
                <w:lang w:val="en-AU" w:eastAsia="en-AU"/>
              </w:rPr>
              <w:t>emergency departments (</w:t>
            </w:r>
            <w:r w:rsidRPr="00736940">
              <w:rPr>
                <w:lang w:val="en-AU" w:eastAsia="en-AU"/>
              </w:rPr>
              <w:t>EDs</w:t>
            </w:r>
            <w:r>
              <w:rPr>
                <w:lang w:val="en-AU" w:eastAsia="en-AU"/>
              </w:rPr>
              <w:t>)</w:t>
            </w:r>
            <w:r w:rsidRPr="00736940">
              <w:rPr>
                <w:lang w:val="en-AU" w:eastAsia="en-AU"/>
              </w:rPr>
              <w:t xml:space="preserve"> </w:t>
            </w:r>
            <w:r>
              <w:rPr>
                <w:lang w:val="en-AU" w:eastAsia="en-AU"/>
              </w:rPr>
              <w:t xml:space="preserve">in </w:t>
            </w:r>
            <w:r w:rsidRPr="00736940">
              <w:rPr>
                <w:lang w:val="en-AU" w:eastAsia="en-AU"/>
              </w:rPr>
              <w:t>2005</w:t>
            </w:r>
            <w:r>
              <w:rPr>
                <w:lang w:val="en-AU" w:eastAsia="en-AU"/>
              </w:rPr>
              <w:t xml:space="preserve"> to examine the relationship of </w:t>
            </w:r>
            <w:r w:rsidRPr="00736940">
              <w:rPr>
                <w:lang w:val="en-AU" w:eastAsia="en-AU"/>
              </w:rPr>
              <w:t xml:space="preserve">ED occupancy </w:t>
            </w:r>
            <w:r>
              <w:rPr>
                <w:lang w:val="en-AU" w:eastAsia="en-AU"/>
              </w:rPr>
              <w:t xml:space="preserve">(crowding) </w:t>
            </w:r>
            <w:r w:rsidRPr="00736940">
              <w:rPr>
                <w:lang w:val="en-AU" w:eastAsia="en-AU"/>
              </w:rPr>
              <w:t>with patient outcomes</w:t>
            </w:r>
            <w:r>
              <w:rPr>
                <w:lang w:val="en-AU" w:eastAsia="en-AU"/>
              </w:rPr>
              <w:t>.</w:t>
            </w:r>
          </w:p>
          <w:p w:rsidR="00736940" w:rsidRDefault="00736940" w:rsidP="00736940">
            <w:pPr>
              <w:rPr>
                <w:lang w:val="en-AU" w:eastAsia="en-AU"/>
              </w:rPr>
            </w:pPr>
            <w:r>
              <w:rPr>
                <w:lang w:val="en-AU" w:eastAsia="en-AU"/>
              </w:rPr>
              <w:t>The authors report finding that “</w:t>
            </w:r>
            <w:r w:rsidRPr="00736940">
              <w:rPr>
                <w:lang w:val="en-AU" w:eastAsia="en-AU"/>
              </w:rPr>
              <w:t xml:space="preserve">After adjustment for ED and patient characteristics, a </w:t>
            </w:r>
            <w:r w:rsidRPr="00736940">
              <w:rPr>
                <w:b/>
                <w:lang w:val="en-AU" w:eastAsia="en-AU"/>
              </w:rPr>
              <w:t>10% increase</w:t>
            </w:r>
            <w:r w:rsidRPr="00736940">
              <w:rPr>
                <w:lang w:val="en-AU" w:eastAsia="en-AU"/>
              </w:rPr>
              <w:t xml:space="preserve"> in ED bed</w:t>
            </w:r>
            <w:r w:rsidRPr="00736940">
              <w:rPr>
                <w:b/>
                <w:lang w:val="en-AU" w:eastAsia="en-AU"/>
              </w:rPr>
              <w:t xml:space="preserve"> relative occupancy</w:t>
            </w:r>
            <w:r w:rsidRPr="00736940">
              <w:rPr>
                <w:lang w:val="en-AU" w:eastAsia="en-AU"/>
              </w:rPr>
              <w:t xml:space="preserve"> ratio was </w:t>
            </w:r>
            <w:r w:rsidRPr="00736940">
              <w:rPr>
                <w:b/>
                <w:lang w:val="en-AU" w:eastAsia="en-AU"/>
              </w:rPr>
              <w:t>associated with 3% increases in death and hospital admission</w:t>
            </w:r>
            <w:r w:rsidRPr="00736940">
              <w:rPr>
                <w:lang w:val="en-AU" w:eastAsia="en-AU"/>
              </w:rPr>
              <w:t xml:space="preserve"> at a return visit. A 10% increase in ED waiting room crowding was associated with a small decrease in return visits. There was a stronger </w:t>
            </w:r>
            <w:r w:rsidRPr="00736940">
              <w:rPr>
                <w:b/>
                <w:lang w:val="en-AU" w:eastAsia="en-AU"/>
              </w:rPr>
              <w:t>association between bed crowding and mortality among larger EDs</w:t>
            </w:r>
            <w:r w:rsidRPr="00736940">
              <w:rPr>
                <w:lang w:val="en-AU" w:eastAsia="en-AU"/>
              </w:rPr>
              <w:t>.</w:t>
            </w:r>
            <w:r>
              <w:rPr>
                <w:lang w:val="en-AU" w:eastAsia="en-AU"/>
              </w:rPr>
              <w:t>”</w:t>
            </w:r>
          </w:p>
          <w:p w:rsidR="00736940" w:rsidRDefault="00736940" w:rsidP="00736940">
            <w:pPr>
              <w:rPr>
                <w:lang w:val="en-AU" w:eastAsia="en-AU"/>
              </w:rPr>
            </w:pPr>
            <w:r w:rsidRPr="00736940">
              <w:rPr>
                <w:lang w:val="en-AU" w:eastAsia="en-AU"/>
              </w:rPr>
              <w:t>As the authors conclude, “In Quebec EDs, increases in bed occupancy are associated with an increase in the rates of 30-day adverse outcomes, even after adjustment for patient and ED characteristics. The results raise important concerns about the quality of care during periods of ED crowding.</w:t>
            </w:r>
            <w:r>
              <w:rPr>
                <w:lang w:val="en-AU" w:eastAsia="en-AU"/>
              </w:rPr>
              <w:t>”</w:t>
            </w:r>
          </w:p>
          <w:p w:rsidR="00736940" w:rsidRPr="00736940" w:rsidRDefault="00736940" w:rsidP="00736940">
            <w:pPr>
              <w:rPr>
                <w:b/>
                <w:lang w:val="en-AU" w:eastAsia="en-AU"/>
              </w:rPr>
            </w:pPr>
            <w:r>
              <w:rPr>
                <w:lang w:val="en-AU" w:eastAsia="en-AU"/>
              </w:rPr>
              <w:t>In some ways this echoes Knott’s call for health care organisation to be high-reliability organisations that can grow their capacity (broadly defined) when under pressure.</w:t>
            </w:r>
          </w:p>
        </w:tc>
      </w:tr>
    </w:tbl>
    <w:p w:rsidR="002032BF" w:rsidRPr="00971618" w:rsidRDefault="002032BF" w:rsidP="002032BF">
      <w:pPr>
        <w:keepNext/>
        <w:rPr>
          <w:lang w:val="en-AU"/>
        </w:rPr>
      </w:pPr>
    </w:p>
    <w:p w:rsidR="00B2638C" w:rsidRPr="00971618" w:rsidRDefault="00B2638C" w:rsidP="00B2638C">
      <w:pPr>
        <w:keepNext/>
        <w:keepLines/>
        <w:autoSpaceDE w:val="0"/>
        <w:autoSpaceDN w:val="0"/>
        <w:adjustRightInd w:val="0"/>
        <w:rPr>
          <w:i/>
          <w:lang w:val="en-AU"/>
        </w:rPr>
      </w:pPr>
      <w:r w:rsidRPr="00971618">
        <w:rPr>
          <w:i/>
          <w:lang w:val="en-AU"/>
        </w:rPr>
        <w:t>Systematic derivation of an Australian standard for Tall Man lettering to distinguish similar drug names</w:t>
      </w:r>
    </w:p>
    <w:p w:rsidR="00B2638C" w:rsidRDefault="00B2638C" w:rsidP="00B2638C">
      <w:pPr>
        <w:keepNext/>
        <w:keepLines/>
        <w:autoSpaceDE w:val="0"/>
        <w:autoSpaceDN w:val="0"/>
        <w:adjustRightInd w:val="0"/>
        <w:rPr>
          <w:lang w:val="en-AU"/>
        </w:rPr>
      </w:pPr>
      <w:r w:rsidRPr="00971618">
        <w:rPr>
          <w:lang w:val="en-AU"/>
        </w:rPr>
        <w:t>Emmerton L, Rizk MFS, Bedford G, Lalor D</w:t>
      </w:r>
    </w:p>
    <w:p w:rsidR="00B2638C" w:rsidRPr="0095520C" w:rsidRDefault="00B2638C" w:rsidP="00B2638C">
      <w:pPr>
        <w:keepNext/>
        <w:keepLines/>
        <w:autoSpaceDE w:val="0"/>
        <w:autoSpaceDN w:val="0"/>
        <w:adjustRightInd w:val="0"/>
        <w:rPr>
          <w:lang w:val="en-AU"/>
        </w:rPr>
      </w:pPr>
      <w:proofErr w:type="gramStart"/>
      <w:r w:rsidRPr="00971618">
        <w:rPr>
          <w:lang w:val="en-AU"/>
        </w:rPr>
        <w:t>Journal of Evaluation in Clinical Practice.</w:t>
      </w:r>
      <w:proofErr w:type="gramEnd"/>
      <w:r w:rsidRPr="00971618">
        <w:rPr>
          <w:lang w:val="en-AU"/>
        </w:rPr>
        <w:t xml:space="preserve"> </w:t>
      </w:r>
      <w:proofErr w:type="gramStart"/>
      <w:r w:rsidRPr="00971618">
        <w:rPr>
          <w:lang w:val="en-AU"/>
        </w:rPr>
        <w:t>2014</w:t>
      </w:r>
      <w:r>
        <w:rPr>
          <w:lang w:val="en-AU"/>
        </w:rPr>
        <w:t xml:space="preserve"> [epub]</w:t>
      </w:r>
      <w:r w:rsidRPr="00971618">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2638C" w:rsidRPr="0095520C" w:rsidTr="009F6BB7">
        <w:tc>
          <w:tcPr>
            <w:tcW w:w="1080" w:type="dxa"/>
            <w:tcBorders>
              <w:top w:val="single" w:sz="4" w:space="0" w:color="auto"/>
              <w:left w:val="single" w:sz="4" w:space="0" w:color="auto"/>
              <w:bottom w:val="single" w:sz="4" w:space="0" w:color="auto"/>
              <w:right w:val="single" w:sz="4" w:space="0" w:color="auto"/>
            </w:tcBorders>
            <w:vAlign w:val="center"/>
          </w:tcPr>
          <w:p w:rsidR="00B2638C" w:rsidRPr="0095520C" w:rsidRDefault="00B2638C" w:rsidP="009F6BB7">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2638C" w:rsidRPr="0095520C" w:rsidRDefault="00E302EA" w:rsidP="009F6BB7">
            <w:pPr>
              <w:rPr>
                <w:lang w:val="en-AU"/>
              </w:rPr>
            </w:pPr>
            <w:hyperlink r:id="rId28" w:history="1">
              <w:r w:rsidR="00B2638C" w:rsidRPr="005E5A1E">
                <w:rPr>
                  <w:rStyle w:val="Hyperlink"/>
                  <w:lang w:val="en-AU"/>
                </w:rPr>
                <w:t>http://dx.doi.org/10.1111/jep.12247</w:t>
              </w:r>
            </w:hyperlink>
          </w:p>
        </w:tc>
      </w:tr>
      <w:tr w:rsidR="00B2638C" w:rsidRPr="0095520C" w:rsidTr="009F6BB7">
        <w:tc>
          <w:tcPr>
            <w:tcW w:w="1080" w:type="dxa"/>
            <w:tcBorders>
              <w:top w:val="single" w:sz="4" w:space="0" w:color="auto"/>
              <w:left w:val="single" w:sz="4" w:space="0" w:color="auto"/>
              <w:bottom w:val="single" w:sz="4" w:space="0" w:color="auto"/>
              <w:right w:val="single" w:sz="4" w:space="0" w:color="auto"/>
            </w:tcBorders>
            <w:vAlign w:val="center"/>
          </w:tcPr>
          <w:p w:rsidR="00B2638C" w:rsidRPr="0095520C" w:rsidRDefault="00B2638C" w:rsidP="009F6BB7">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2638C" w:rsidRPr="00590FB6" w:rsidRDefault="00B2638C" w:rsidP="009F6BB7">
            <w:pPr>
              <w:rPr>
                <w:lang w:val="en-AU" w:eastAsia="en-AU"/>
              </w:rPr>
            </w:pPr>
            <w:r>
              <w:rPr>
                <w:lang w:val="en-AU" w:eastAsia="en-AU"/>
              </w:rPr>
              <w:t>Paper describing the systematic processes undertaken for identifying confusable drug names and the derivation of a risk-</w:t>
            </w:r>
            <w:proofErr w:type="gramStart"/>
            <w:r>
              <w:rPr>
                <w:lang w:val="en-AU" w:eastAsia="en-AU"/>
              </w:rPr>
              <w:t>based ,</w:t>
            </w:r>
            <w:proofErr w:type="gramEnd"/>
            <w:r>
              <w:rPr>
                <w:lang w:val="en-AU" w:eastAsia="en-AU"/>
              </w:rPr>
              <w:t xml:space="preserve"> standardised approach for the production of a national list of Tall Man lettering conventions for those drugs.  This process has led to a standard now endorsed for use in clinical settings in Australia.</w:t>
            </w:r>
          </w:p>
        </w:tc>
      </w:tr>
    </w:tbl>
    <w:p w:rsidR="00B2638C" w:rsidRDefault="00B2638C" w:rsidP="00B2638C">
      <w:pPr>
        <w:rPr>
          <w:i/>
          <w:lang w:val="en-AU"/>
        </w:rPr>
      </w:pPr>
    </w:p>
    <w:p w:rsidR="00B2638C" w:rsidRDefault="00B2638C" w:rsidP="00B2638C">
      <w:pPr>
        <w:keepLines/>
        <w:autoSpaceDE w:val="0"/>
        <w:autoSpaceDN w:val="0"/>
        <w:adjustRightInd w:val="0"/>
        <w:rPr>
          <w:rStyle w:val="Hyperlink"/>
          <w:lang w:val="en-AU"/>
        </w:rPr>
      </w:pPr>
      <w:r w:rsidRPr="00971618">
        <w:rPr>
          <w:lang w:val="en-AU"/>
        </w:rPr>
        <w:t xml:space="preserve">For information on the Australian National Tall Man Lettering, see </w:t>
      </w:r>
      <w:hyperlink r:id="rId29" w:history="1">
        <w:r w:rsidRPr="005E5A1E">
          <w:rPr>
            <w:rStyle w:val="Hyperlink"/>
            <w:lang w:val="en-AU"/>
          </w:rPr>
          <w:t>http://www.safetyandquality.gov.au/our-work/medication-safety/safer-naming-labelling-and-packaging-of-medicines/national-tall-man-lettering/</w:t>
        </w:r>
      </w:hyperlink>
    </w:p>
    <w:p w:rsidR="00B2638C" w:rsidRDefault="00B2638C" w:rsidP="00B2638C">
      <w:pPr>
        <w:keepLines/>
        <w:autoSpaceDE w:val="0"/>
        <w:autoSpaceDN w:val="0"/>
        <w:adjustRightInd w:val="0"/>
        <w:rPr>
          <w:i/>
          <w:lang w:val="en-AU"/>
        </w:rPr>
      </w:pPr>
    </w:p>
    <w:p w:rsidR="00B2638C" w:rsidRPr="00041B2D" w:rsidRDefault="00B2638C" w:rsidP="00B2638C">
      <w:pPr>
        <w:keepNext/>
        <w:keepLines/>
        <w:autoSpaceDE w:val="0"/>
        <w:autoSpaceDN w:val="0"/>
        <w:adjustRightInd w:val="0"/>
        <w:rPr>
          <w:i/>
          <w:lang w:val="en-AU"/>
        </w:rPr>
      </w:pPr>
      <w:r w:rsidRPr="00041B2D">
        <w:rPr>
          <w:i/>
          <w:lang w:val="en-AU"/>
        </w:rPr>
        <w:lastRenderedPageBreak/>
        <w:t>Changes in Medical Errors after Implementation of a Handoff Program</w:t>
      </w:r>
    </w:p>
    <w:p w:rsidR="00B2638C" w:rsidRDefault="00B2638C" w:rsidP="00B2638C">
      <w:pPr>
        <w:keepNext/>
        <w:keepLines/>
        <w:autoSpaceDE w:val="0"/>
        <w:autoSpaceDN w:val="0"/>
        <w:adjustRightInd w:val="0"/>
        <w:rPr>
          <w:lang w:val="en-AU"/>
        </w:rPr>
      </w:pPr>
      <w:r w:rsidRPr="00041B2D">
        <w:rPr>
          <w:lang w:val="en-AU"/>
        </w:rPr>
        <w:t>Starmer AJ, Spector ND, Srivastava R, West DC, Rosenbluth G, Allen AD, et al.</w:t>
      </w:r>
    </w:p>
    <w:p w:rsidR="00B2638C" w:rsidRPr="0095520C" w:rsidRDefault="00B2638C" w:rsidP="00B2638C">
      <w:pPr>
        <w:keepNext/>
        <w:keepLines/>
        <w:autoSpaceDE w:val="0"/>
        <w:autoSpaceDN w:val="0"/>
        <w:adjustRightInd w:val="0"/>
        <w:rPr>
          <w:lang w:val="en-AU"/>
        </w:rPr>
      </w:pPr>
      <w:proofErr w:type="gramStart"/>
      <w:r w:rsidRPr="00041B2D">
        <w:rPr>
          <w:lang w:val="en-AU"/>
        </w:rPr>
        <w:t>New England Journal of Medicine.</w:t>
      </w:r>
      <w:proofErr w:type="gramEnd"/>
      <w:r w:rsidRPr="00041B2D">
        <w:rPr>
          <w:lang w:val="en-AU"/>
        </w:rPr>
        <w:t xml:space="preserve"> 2014</w:t>
      </w:r>
      <w:proofErr w:type="gramStart"/>
      <w:r w:rsidRPr="00041B2D">
        <w:rPr>
          <w:lang w:val="en-AU"/>
        </w:rPr>
        <w:t>;371</w:t>
      </w:r>
      <w:proofErr w:type="gramEnd"/>
      <w:r w:rsidRPr="00041B2D">
        <w:rPr>
          <w:lang w:val="en-AU"/>
        </w:rPr>
        <w:t>(19):1803-12.</w:t>
      </w:r>
    </w:p>
    <w:tbl>
      <w:tblPr>
        <w:tblStyle w:val="TableGrid"/>
        <w:tblW w:w="0" w:type="auto"/>
        <w:tblInd w:w="288" w:type="dxa"/>
        <w:tblLayout w:type="fixed"/>
        <w:tblLook w:val="01E0" w:firstRow="1" w:lastRow="1" w:firstColumn="1" w:lastColumn="1" w:noHBand="0" w:noVBand="0"/>
      </w:tblPr>
      <w:tblGrid>
        <w:gridCol w:w="1080"/>
        <w:gridCol w:w="8280"/>
      </w:tblGrid>
      <w:tr w:rsidR="00B2638C" w:rsidRPr="0095520C" w:rsidTr="009F6BB7">
        <w:tc>
          <w:tcPr>
            <w:tcW w:w="1080" w:type="dxa"/>
            <w:tcBorders>
              <w:top w:val="single" w:sz="4" w:space="0" w:color="auto"/>
              <w:left w:val="single" w:sz="4" w:space="0" w:color="auto"/>
              <w:bottom w:val="single" w:sz="4" w:space="0" w:color="auto"/>
              <w:right w:val="single" w:sz="4" w:space="0" w:color="auto"/>
            </w:tcBorders>
            <w:vAlign w:val="center"/>
          </w:tcPr>
          <w:p w:rsidR="00B2638C" w:rsidRPr="0095520C" w:rsidRDefault="00B2638C" w:rsidP="009F6BB7">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2638C" w:rsidRPr="0095520C" w:rsidRDefault="00E302EA" w:rsidP="009F6BB7">
            <w:pPr>
              <w:rPr>
                <w:lang w:val="en-AU"/>
              </w:rPr>
            </w:pPr>
            <w:hyperlink r:id="rId30" w:history="1">
              <w:r w:rsidR="00B2638C" w:rsidRPr="00562BFA">
                <w:rPr>
                  <w:rStyle w:val="Hyperlink"/>
                  <w:lang w:val="en-AU"/>
                </w:rPr>
                <w:t>http://dx.doi.org/10.1056/NEJMsa1405556</w:t>
              </w:r>
            </w:hyperlink>
          </w:p>
        </w:tc>
      </w:tr>
      <w:tr w:rsidR="00B2638C" w:rsidRPr="0095520C" w:rsidTr="009F6BB7">
        <w:tc>
          <w:tcPr>
            <w:tcW w:w="1080" w:type="dxa"/>
            <w:tcBorders>
              <w:top w:val="single" w:sz="4" w:space="0" w:color="auto"/>
              <w:left w:val="single" w:sz="4" w:space="0" w:color="auto"/>
              <w:bottom w:val="single" w:sz="4" w:space="0" w:color="auto"/>
              <w:right w:val="single" w:sz="4" w:space="0" w:color="auto"/>
            </w:tcBorders>
            <w:vAlign w:val="center"/>
          </w:tcPr>
          <w:p w:rsidR="00B2638C" w:rsidRPr="0095520C" w:rsidRDefault="00B2638C" w:rsidP="009F6BB7">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2638C" w:rsidRPr="00590FB6" w:rsidRDefault="00B2638C" w:rsidP="009F6BB7">
            <w:pPr>
              <w:rPr>
                <w:lang w:val="en-AU" w:eastAsia="en-AU"/>
              </w:rPr>
            </w:pPr>
            <w:r>
              <w:rPr>
                <w:lang w:val="en-AU" w:eastAsia="en-AU"/>
              </w:rPr>
              <w:t xml:space="preserve">Paper describing a </w:t>
            </w:r>
            <w:r w:rsidRPr="004C7A99">
              <w:rPr>
                <w:lang w:val="en-AU" w:eastAsia="en-AU"/>
              </w:rPr>
              <w:t xml:space="preserve">prospective intervention study of a resident handoff-improvement program in nine </w:t>
            </w:r>
            <w:r>
              <w:rPr>
                <w:lang w:val="en-AU" w:eastAsia="en-AU"/>
              </w:rPr>
              <w:t xml:space="preserve">US </w:t>
            </w:r>
            <w:r w:rsidRPr="004C7A99">
              <w:rPr>
                <w:lang w:val="en-AU" w:eastAsia="en-AU"/>
              </w:rPr>
              <w:t>hospitals, measuring rates of medical errors, preventable adverse events, and miscommunications, as well as resident workflow.</w:t>
            </w:r>
            <w:r>
              <w:rPr>
                <w:lang w:val="en-AU" w:eastAsia="en-AU"/>
              </w:rPr>
              <w:t xml:space="preserve"> Covering </w:t>
            </w:r>
            <w:r w:rsidRPr="004C7A99">
              <w:rPr>
                <w:lang w:val="en-AU" w:eastAsia="en-AU"/>
              </w:rPr>
              <w:t xml:space="preserve">10,740 patient admissions, the </w:t>
            </w:r>
            <w:r w:rsidRPr="007D3D72">
              <w:rPr>
                <w:b/>
                <w:lang w:val="en-AU" w:eastAsia="en-AU"/>
              </w:rPr>
              <w:t>medical</w:t>
            </w:r>
            <w:r>
              <w:rPr>
                <w:lang w:val="en-AU" w:eastAsia="en-AU"/>
              </w:rPr>
              <w:t xml:space="preserve"> </w:t>
            </w:r>
            <w:r w:rsidRPr="004C7A99">
              <w:rPr>
                <w:b/>
                <w:lang w:val="en-AU" w:eastAsia="en-AU"/>
              </w:rPr>
              <w:t>error rate decreased by 23%</w:t>
            </w:r>
            <w:r w:rsidRPr="004C7A99">
              <w:rPr>
                <w:lang w:val="en-AU" w:eastAsia="en-AU"/>
              </w:rPr>
              <w:t xml:space="preserve"> from the pre</w:t>
            </w:r>
            <w:r>
              <w:rPr>
                <w:lang w:val="en-AU" w:eastAsia="en-AU"/>
              </w:rPr>
              <w:t>-</w:t>
            </w:r>
            <w:r w:rsidRPr="004C7A99">
              <w:rPr>
                <w:lang w:val="en-AU" w:eastAsia="en-AU"/>
              </w:rPr>
              <w:t>intervention period to the post</w:t>
            </w:r>
            <w:r>
              <w:rPr>
                <w:lang w:val="en-AU" w:eastAsia="en-AU"/>
              </w:rPr>
              <w:t>-</w:t>
            </w:r>
            <w:r w:rsidRPr="004C7A99">
              <w:rPr>
                <w:lang w:val="en-AU" w:eastAsia="en-AU"/>
              </w:rPr>
              <w:t xml:space="preserve">intervention period (24.5 vs. 18.8 per 100 admissions), and the rate of </w:t>
            </w:r>
            <w:r w:rsidRPr="004C7A99">
              <w:rPr>
                <w:b/>
                <w:lang w:val="en-AU" w:eastAsia="en-AU"/>
              </w:rPr>
              <w:t>preventable adverse events decreased by 30%</w:t>
            </w:r>
            <w:r w:rsidRPr="004C7A99">
              <w:rPr>
                <w:lang w:val="en-AU" w:eastAsia="en-AU"/>
              </w:rPr>
              <w:t xml:space="preserve"> (4.7 vs. 3.3 events per 100 admissions). The rate of non</w:t>
            </w:r>
            <w:r>
              <w:rPr>
                <w:lang w:val="en-AU" w:eastAsia="en-AU"/>
              </w:rPr>
              <w:t>-</w:t>
            </w:r>
            <w:r w:rsidRPr="004C7A99">
              <w:rPr>
                <w:lang w:val="en-AU" w:eastAsia="en-AU"/>
              </w:rPr>
              <w:t>preventable adverse events did not change significantly (3.0 and 2.8 events per 100 admissions).</w:t>
            </w:r>
            <w:r>
              <w:rPr>
                <w:lang w:val="en-AU" w:eastAsia="en-AU"/>
              </w:rPr>
              <w:t xml:space="preserve"> The authors conclude that the </w:t>
            </w:r>
            <w:r w:rsidRPr="004C7A99">
              <w:rPr>
                <w:b/>
                <w:lang w:val="en-AU" w:eastAsia="en-AU"/>
              </w:rPr>
              <w:t>implementation</w:t>
            </w:r>
            <w:r w:rsidRPr="004C7A99">
              <w:rPr>
                <w:lang w:val="en-AU" w:eastAsia="en-AU"/>
              </w:rPr>
              <w:t xml:space="preserve"> of the handoff program </w:t>
            </w:r>
            <w:r w:rsidRPr="004C7A99">
              <w:rPr>
                <w:b/>
                <w:lang w:val="en-AU" w:eastAsia="en-AU"/>
              </w:rPr>
              <w:t>was associated with reductions in medical errors and in preventable adverse events and with improvements in communication, without a negative effect on workflow</w:t>
            </w:r>
            <w:r w:rsidRPr="004C7A99">
              <w:rPr>
                <w:lang w:val="en-AU" w:eastAsia="en-AU"/>
              </w:rPr>
              <w:t>.</w:t>
            </w:r>
          </w:p>
        </w:tc>
      </w:tr>
    </w:tbl>
    <w:p w:rsidR="00B2638C" w:rsidRDefault="00B2638C" w:rsidP="00B2638C">
      <w:pPr>
        <w:keepNext/>
        <w:rPr>
          <w:lang w:val="en-AU"/>
        </w:rPr>
      </w:pPr>
    </w:p>
    <w:p w:rsidR="00B2638C" w:rsidRDefault="00B2638C" w:rsidP="00B2638C">
      <w:pPr>
        <w:keepNext/>
        <w:rPr>
          <w:i/>
          <w:lang w:val="en-AU"/>
        </w:rPr>
      </w:pPr>
      <w:r w:rsidRPr="0095520C">
        <w:rPr>
          <w:lang w:val="en-AU"/>
        </w:rPr>
        <w:t xml:space="preserve">For information on the Commission’s work on </w:t>
      </w:r>
      <w:r>
        <w:rPr>
          <w:lang w:val="en-AU"/>
        </w:rPr>
        <w:t>clinical communications, including clinical handover,</w:t>
      </w:r>
      <w:r w:rsidRPr="0095520C">
        <w:rPr>
          <w:lang w:val="en-AU"/>
        </w:rPr>
        <w:t xml:space="preserve"> </w:t>
      </w:r>
      <w:r>
        <w:rPr>
          <w:lang w:val="en-AU"/>
        </w:rPr>
        <w:t>s</w:t>
      </w:r>
      <w:r w:rsidRPr="0095520C">
        <w:rPr>
          <w:lang w:val="en-AU"/>
        </w:rPr>
        <w:t>ee</w:t>
      </w:r>
      <w:r>
        <w:rPr>
          <w:lang w:val="en-AU"/>
        </w:rPr>
        <w:t xml:space="preserve"> </w:t>
      </w:r>
      <w:hyperlink r:id="rId31" w:history="1">
        <w:r w:rsidRPr="00562BFA">
          <w:rPr>
            <w:rStyle w:val="Hyperlink"/>
            <w:lang w:val="en-AU"/>
          </w:rPr>
          <w:t>http://www.safetyandquality.gov.au/our-work/clinical-communications/</w:t>
        </w:r>
      </w:hyperlink>
    </w:p>
    <w:p w:rsidR="002032BF" w:rsidRDefault="002032BF" w:rsidP="002032BF">
      <w:pPr>
        <w:keepNext/>
        <w:keepLines/>
        <w:autoSpaceDE w:val="0"/>
        <w:autoSpaceDN w:val="0"/>
        <w:adjustRightInd w:val="0"/>
        <w:rPr>
          <w:lang w:val="en-AU"/>
        </w:rPr>
      </w:pPr>
    </w:p>
    <w:p w:rsidR="00CC3281" w:rsidRPr="00CC3281" w:rsidRDefault="00CC3281" w:rsidP="00CC3281">
      <w:pPr>
        <w:keepNext/>
        <w:keepLines/>
        <w:autoSpaceDE w:val="0"/>
        <w:autoSpaceDN w:val="0"/>
        <w:adjustRightInd w:val="0"/>
        <w:rPr>
          <w:i/>
          <w:lang w:val="en-AU"/>
        </w:rPr>
      </w:pPr>
      <w:r w:rsidRPr="00CC3281">
        <w:rPr>
          <w:i/>
          <w:lang w:val="en-AU"/>
        </w:rPr>
        <w:t>Quality improvement in practice: improving diabetes care and patient outcomes in Aboriginal Community Controlled Health Services</w:t>
      </w:r>
    </w:p>
    <w:p w:rsidR="00CC3281" w:rsidRDefault="00CC3281" w:rsidP="00F967BC">
      <w:pPr>
        <w:keepNext/>
        <w:keepLines/>
        <w:autoSpaceDE w:val="0"/>
        <w:autoSpaceDN w:val="0"/>
        <w:adjustRightInd w:val="0"/>
        <w:rPr>
          <w:lang w:val="en-AU"/>
        </w:rPr>
      </w:pPr>
      <w:r w:rsidRPr="00CC3281">
        <w:rPr>
          <w:lang w:val="en-AU"/>
        </w:rPr>
        <w:t>Stoneman A, Atkinson D, Davey M, Marley JV</w:t>
      </w:r>
    </w:p>
    <w:p w:rsidR="00F967BC" w:rsidRPr="0095520C" w:rsidRDefault="00CC3281" w:rsidP="00F967BC">
      <w:pPr>
        <w:keepNext/>
        <w:keepLines/>
        <w:autoSpaceDE w:val="0"/>
        <w:autoSpaceDN w:val="0"/>
        <w:adjustRightInd w:val="0"/>
        <w:rPr>
          <w:lang w:val="en-AU"/>
        </w:rPr>
      </w:pPr>
      <w:proofErr w:type="gramStart"/>
      <w:r w:rsidRPr="00CC3281">
        <w:rPr>
          <w:lang w:val="en-AU"/>
        </w:rPr>
        <w:t>BMC Health Services Research.</w:t>
      </w:r>
      <w:proofErr w:type="gramEnd"/>
      <w:r w:rsidRPr="00CC3281">
        <w:rPr>
          <w:lang w:val="en-AU"/>
        </w:rPr>
        <w:t xml:space="preserve"> 2014</w:t>
      </w:r>
      <w:proofErr w:type="gramStart"/>
      <w:r w:rsidRPr="00CC3281">
        <w:rPr>
          <w:lang w:val="en-AU"/>
        </w:rPr>
        <w:t>;14:481</w:t>
      </w:r>
      <w:proofErr w:type="gramEnd"/>
      <w:r w:rsidRPr="00CC3281">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F967BC" w:rsidRPr="0095520C" w:rsidTr="00D762BA">
        <w:tc>
          <w:tcPr>
            <w:tcW w:w="1080" w:type="dxa"/>
            <w:tcBorders>
              <w:top w:val="single" w:sz="4" w:space="0" w:color="auto"/>
              <w:left w:val="single" w:sz="4" w:space="0" w:color="auto"/>
              <w:bottom w:val="single" w:sz="4" w:space="0" w:color="auto"/>
              <w:right w:val="single" w:sz="4" w:space="0" w:color="auto"/>
            </w:tcBorders>
            <w:vAlign w:val="center"/>
          </w:tcPr>
          <w:p w:rsidR="00F967BC" w:rsidRPr="0095520C" w:rsidRDefault="00F967BC" w:rsidP="00D762BA">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967BC" w:rsidRPr="0095520C" w:rsidRDefault="00E302EA" w:rsidP="00D762BA">
            <w:pPr>
              <w:rPr>
                <w:lang w:val="en-AU"/>
              </w:rPr>
            </w:pPr>
            <w:hyperlink r:id="rId32" w:history="1">
              <w:r w:rsidR="00CC3281" w:rsidRPr="008A1B44">
                <w:rPr>
                  <w:rStyle w:val="Hyperlink"/>
                  <w:lang w:val="en-AU"/>
                </w:rPr>
                <w:t>http://dx.doi.org/10.1186/1472-6963-14-481</w:t>
              </w:r>
            </w:hyperlink>
          </w:p>
        </w:tc>
      </w:tr>
      <w:tr w:rsidR="00F967BC" w:rsidRPr="0095520C" w:rsidTr="00D762BA">
        <w:tc>
          <w:tcPr>
            <w:tcW w:w="1080" w:type="dxa"/>
            <w:tcBorders>
              <w:top w:val="single" w:sz="4" w:space="0" w:color="auto"/>
              <w:left w:val="single" w:sz="4" w:space="0" w:color="auto"/>
              <w:bottom w:val="single" w:sz="4" w:space="0" w:color="auto"/>
              <w:right w:val="single" w:sz="4" w:space="0" w:color="auto"/>
            </w:tcBorders>
            <w:vAlign w:val="center"/>
          </w:tcPr>
          <w:p w:rsidR="00F967BC" w:rsidRPr="0095520C" w:rsidRDefault="00F967BC" w:rsidP="00D762BA">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967BC" w:rsidRDefault="00E9722D" w:rsidP="00D762BA">
            <w:pPr>
              <w:rPr>
                <w:lang w:val="en-AU" w:eastAsia="en-AU"/>
              </w:rPr>
            </w:pPr>
            <w:r>
              <w:rPr>
                <w:lang w:val="en-AU" w:eastAsia="en-AU"/>
              </w:rPr>
              <w:t xml:space="preserve">Paper describing how a continuous quality improvement approach has enhanced diabetes care (and patient outcomes) in </w:t>
            </w:r>
            <w:r w:rsidRPr="00E9722D">
              <w:rPr>
                <w:lang w:val="en-AU" w:eastAsia="en-AU"/>
              </w:rPr>
              <w:t>Aboriginal Community Controlled Health Services (ACCHSs)</w:t>
            </w:r>
            <w:r>
              <w:rPr>
                <w:lang w:val="en-AU" w:eastAsia="en-AU"/>
              </w:rPr>
              <w:t xml:space="preserve"> in </w:t>
            </w:r>
            <w:r w:rsidRPr="00E9722D">
              <w:rPr>
                <w:lang w:val="en-AU" w:eastAsia="en-AU"/>
              </w:rPr>
              <w:t>the remote Kimberley region of north Western Australia</w:t>
            </w:r>
            <w:r>
              <w:rPr>
                <w:lang w:val="en-AU" w:eastAsia="en-AU"/>
              </w:rPr>
              <w:t>.</w:t>
            </w:r>
          </w:p>
          <w:p w:rsidR="00E9722D" w:rsidRDefault="00F3147F" w:rsidP="00F3147F">
            <w:pPr>
              <w:rPr>
                <w:lang w:val="en-AU" w:eastAsia="en-AU"/>
              </w:rPr>
            </w:pPr>
            <w:r>
              <w:rPr>
                <w:lang w:val="en-AU" w:eastAsia="en-AU"/>
              </w:rPr>
              <w:t>The study included r</w:t>
            </w:r>
            <w:r w:rsidRPr="00F3147F">
              <w:rPr>
                <w:lang w:val="en-AU" w:eastAsia="en-AU"/>
              </w:rPr>
              <w:t xml:space="preserve">etrospective audit of records for </w:t>
            </w:r>
            <w:r>
              <w:rPr>
                <w:lang w:val="en-AU" w:eastAsia="en-AU"/>
              </w:rPr>
              <w:t xml:space="preserve">348 </w:t>
            </w:r>
            <w:r w:rsidRPr="00F3147F">
              <w:rPr>
                <w:lang w:val="en-AU" w:eastAsia="en-AU"/>
              </w:rPr>
              <w:t>Aboriginal and Torres Strait Islander primary care patients aged ≥15 years with a confirmed diagnosis of type 2 diabetes mellitus at four Kimberley ACCHSs</w:t>
            </w:r>
            <w:r>
              <w:rPr>
                <w:lang w:val="en-AU" w:eastAsia="en-AU"/>
              </w:rPr>
              <w:t xml:space="preserve">. The main </w:t>
            </w:r>
            <w:r w:rsidRPr="00F3147F">
              <w:rPr>
                <w:lang w:val="en-AU" w:eastAsia="en-AU"/>
              </w:rPr>
              <w:t>outcome measures</w:t>
            </w:r>
            <w:r>
              <w:rPr>
                <w:lang w:val="en-AU" w:eastAsia="en-AU"/>
              </w:rPr>
              <w:t xml:space="preserve"> included </w:t>
            </w:r>
            <w:r w:rsidRPr="00F3147F">
              <w:rPr>
                <w:lang w:val="en-AU" w:eastAsia="en-AU"/>
              </w:rPr>
              <w:t>diabetes care related activities, clinical outcome measures and factors influencing good diabetes related care and effective CQI</w:t>
            </w:r>
            <w:r>
              <w:rPr>
                <w:lang w:val="en-AU" w:eastAsia="en-AU"/>
              </w:rPr>
              <w:t>.</w:t>
            </w:r>
          </w:p>
          <w:p w:rsidR="00F3147F" w:rsidRDefault="00F3147F" w:rsidP="00F3147F">
            <w:pPr>
              <w:rPr>
                <w:lang w:val="en-AU" w:eastAsia="en-AU"/>
              </w:rPr>
            </w:pPr>
            <w:r>
              <w:rPr>
                <w:lang w:val="en-AU" w:eastAsia="en-AU"/>
              </w:rPr>
              <w:t xml:space="preserve">The </w:t>
            </w:r>
            <w:proofErr w:type="gramStart"/>
            <w:r>
              <w:rPr>
                <w:lang w:val="en-AU" w:eastAsia="en-AU"/>
              </w:rPr>
              <w:t>authors</w:t>
            </w:r>
            <w:proofErr w:type="gramEnd"/>
            <w:r>
              <w:rPr>
                <w:lang w:val="en-AU" w:eastAsia="en-AU"/>
              </w:rPr>
              <w:t xml:space="preserve"> report that f</w:t>
            </w:r>
            <w:r w:rsidRPr="00F3147F">
              <w:rPr>
                <w:lang w:val="en-AU" w:eastAsia="en-AU"/>
              </w:rPr>
              <w:t xml:space="preserve">eatures that facilitated good care included </w:t>
            </w:r>
            <w:r>
              <w:rPr>
                <w:lang w:val="en-AU" w:eastAsia="en-AU"/>
              </w:rPr>
              <w:t>“</w:t>
            </w:r>
            <w:r w:rsidRPr="00F3147F">
              <w:rPr>
                <w:lang w:val="en-AU" w:eastAsia="en-AU"/>
              </w:rPr>
              <w:t xml:space="preserve">clearly </w:t>
            </w:r>
            <w:r w:rsidRPr="00F3147F">
              <w:rPr>
                <w:b/>
                <w:lang w:val="en-AU" w:eastAsia="en-AU"/>
              </w:rPr>
              <w:t>defined staff roles</w:t>
            </w:r>
            <w:r w:rsidRPr="00F3147F">
              <w:rPr>
                <w:lang w:val="en-AU" w:eastAsia="en-AU"/>
              </w:rPr>
              <w:t xml:space="preserve"> for diabetes management, support and involvement of </w:t>
            </w:r>
            <w:r w:rsidRPr="00F3147F">
              <w:rPr>
                <w:b/>
                <w:lang w:val="en-AU" w:eastAsia="en-AU"/>
              </w:rPr>
              <w:t>Aboriginal Health Workers</w:t>
            </w:r>
            <w:r w:rsidRPr="00F3147F">
              <w:rPr>
                <w:lang w:val="en-AU" w:eastAsia="en-AU"/>
              </w:rPr>
              <w:t xml:space="preserve">, </w:t>
            </w:r>
            <w:r w:rsidRPr="00F3147F">
              <w:rPr>
                <w:b/>
                <w:lang w:val="en-AU" w:eastAsia="en-AU"/>
              </w:rPr>
              <w:t>efficient recall</w:t>
            </w:r>
            <w:r w:rsidRPr="00F3147F">
              <w:rPr>
                <w:lang w:val="en-AU" w:eastAsia="en-AU"/>
              </w:rPr>
              <w:t xml:space="preserve"> systems, and </w:t>
            </w:r>
            <w:r w:rsidRPr="00F3147F">
              <w:rPr>
                <w:b/>
                <w:lang w:val="en-AU" w:eastAsia="en-AU"/>
              </w:rPr>
              <w:t>well-coordinated allied health services</w:t>
            </w:r>
            <w:r w:rsidRPr="00F3147F">
              <w:rPr>
                <w:lang w:val="en-AU" w:eastAsia="en-AU"/>
              </w:rPr>
              <w:t>. Effective CQI features included seamless and timely data collection, local ownership of the process, openness to admitting deficiencies and willingness to embrace change.</w:t>
            </w:r>
            <w:r>
              <w:rPr>
                <w:lang w:val="en-AU" w:eastAsia="en-AU"/>
              </w:rPr>
              <w:t xml:space="preserve">” </w:t>
            </w:r>
          </w:p>
          <w:p w:rsidR="00F3147F" w:rsidRPr="00590FB6" w:rsidRDefault="00F3147F" w:rsidP="00F3147F">
            <w:pPr>
              <w:rPr>
                <w:lang w:val="en-AU" w:eastAsia="en-AU"/>
              </w:rPr>
            </w:pPr>
            <w:r>
              <w:rPr>
                <w:lang w:val="en-AU" w:eastAsia="en-AU"/>
              </w:rPr>
              <w:t>It was concluded that “</w:t>
            </w:r>
            <w:r w:rsidRPr="00F3147F">
              <w:rPr>
                <w:lang w:val="en-AU" w:eastAsia="en-AU"/>
              </w:rPr>
              <w:t>Well-designed health care delivery and CQI systems, with a strong sense of ownership over diabetes management led to increased service delivery rates and improved clinical outcome measures in ACCHSs.</w:t>
            </w:r>
            <w:r>
              <w:rPr>
                <w:lang w:val="en-AU" w:eastAsia="en-AU"/>
              </w:rPr>
              <w:t>”</w:t>
            </w:r>
          </w:p>
        </w:tc>
      </w:tr>
    </w:tbl>
    <w:p w:rsidR="00F967BC" w:rsidRDefault="00F967BC" w:rsidP="00F967BC">
      <w:pPr>
        <w:keepNext/>
        <w:rPr>
          <w:i/>
          <w:lang w:val="en-AU"/>
        </w:rPr>
      </w:pPr>
    </w:p>
    <w:p w:rsidR="00CC3281" w:rsidRPr="000742DC" w:rsidRDefault="00CC3281" w:rsidP="00CC3281">
      <w:pPr>
        <w:keepNext/>
        <w:keepLines/>
        <w:autoSpaceDE w:val="0"/>
        <w:autoSpaceDN w:val="0"/>
        <w:adjustRightInd w:val="0"/>
        <w:rPr>
          <w:i/>
          <w:lang w:val="en-AU"/>
        </w:rPr>
      </w:pPr>
      <w:r w:rsidRPr="000742DC">
        <w:rPr>
          <w:i/>
          <w:lang w:val="en-AU"/>
        </w:rPr>
        <w:t>The connection between evidence-based medicine and shared decision making</w:t>
      </w:r>
    </w:p>
    <w:p w:rsidR="00CC3281" w:rsidRDefault="00CC3281" w:rsidP="00CC3281">
      <w:pPr>
        <w:keepNext/>
        <w:keepLines/>
        <w:autoSpaceDE w:val="0"/>
        <w:autoSpaceDN w:val="0"/>
        <w:adjustRightInd w:val="0"/>
        <w:rPr>
          <w:lang w:val="en-AU"/>
        </w:rPr>
      </w:pPr>
      <w:r w:rsidRPr="000742DC">
        <w:rPr>
          <w:lang w:val="en-AU"/>
        </w:rPr>
        <w:t>Hoffmann TC, Montori VM, Del Mar C</w:t>
      </w:r>
    </w:p>
    <w:p w:rsidR="00CC3281" w:rsidRPr="0095520C" w:rsidRDefault="00CC3281" w:rsidP="00CC3281">
      <w:pPr>
        <w:keepNext/>
        <w:keepLines/>
        <w:autoSpaceDE w:val="0"/>
        <w:autoSpaceDN w:val="0"/>
        <w:adjustRightInd w:val="0"/>
        <w:rPr>
          <w:lang w:val="en-AU"/>
        </w:rPr>
      </w:pPr>
      <w:proofErr w:type="gramStart"/>
      <w:r w:rsidRPr="000742DC">
        <w:rPr>
          <w:lang w:val="en-AU"/>
        </w:rPr>
        <w:t>Journal of the American Medical Association.</w:t>
      </w:r>
      <w:proofErr w:type="gramEnd"/>
      <w:r w:rsidRPr="000742DC">
        <w:rPr>
          <w:lang w:val="en-AU"/>
        </w:rPr>
        <w:t xml:space="preserve"> 2014</w:t>
      </w:r>
      <w:proofErr w:type="gramStart"/>
      <w:r w:rsidRPr="000742DC">
        <w:rPr>
          <w:lang w:val="en-AU"/>
        </w:rPr>
        <w:t>;312</w:t>
      </w:r>
      <w:proofErr w:type="gramEnd"/>
      <w:r w:rsidRPr="000742DC">
        <w:rPr>
          <w:lang w:val="en-AU"/>
        </w:rPr>
        <w:t>(13):1295-6.</w:t>
      </w:r>
    </w:p>
    <w:tbl>
      <w:tblPr>
        <w:tblStyle w:val="TableGrid"/>
        <w:tblW w:w="0" w:type="auto"/>
        <w:tblInd w:w="288" w:type="dxa"/>
        <w:tblLayout w:type="fixed"/>
        <w:tblLook w:val="01E0" w:firstRow="1" w:lastRow="1" w:firstColumn="1" w:lastColumn="1" w:noHBand="0" w:noVBand="0"/>
      </w:tblPr>
      <w:tblGrid>
        <w:gridCol w:w="1080"/>
        <w:gridCol w:w="8280"/>
      </w:tblGrid>
      <w:tr w:rsidR="00CC3281" w:rsidRPr="0095520C" w:rsidTr="009F6BB7">
        <w:tc>
          <w:tcPr>
            <w:tcW w:w="1080" w:type="dxa"/>
            <w:tcBorders>
              <w:top w:val="single" w:sz="4" w:space="0" w:color="auto"/>
              <w:left w:val="single" w:sz="4" w:space="0" w:color="auto"/>
              <w:bottom w:val="single" w:sz="4" w:space="0" w:color="auto"/>
              <w:right w:val="single" w:sz="4" w:space="0" w:color="auto"/>
            </w:tcBorders>
            <w:vAlign w:val="center"/>
          </w:tcPr>
          <w:p w:rsidR="00CC3281" w:rsidRPr="0095520C" w:rsidRDefault="00CC3281" w:rsidP="009F6BB7">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C3281" w:rsidRPr="0095520C" w:rsidRDefault="00E302EA" w:rsidP="009F6BB7">
            <w:pPr>
              <w:rPr>
                <w:lang w:val="en-AU"/>
              </w:rPr>
            </w:pPr>
            <w:hyperlink r:id="rId33" w:history="1">
              <w:r w:rsidR="00CC3281" w:rsidRPr="00084F36">
                <w:rPr>
                  <w:rStyle w:val="Hyperlink"/>
                  <w:lang w:val="en-AU"/>
                </w:rPr>
                <w:t>http://dx.doi.org/10.1001/jama.2014.10186</w:t>
              </w:r>
            </w:hyperlink>
          </w:p>
        </w:tc>
      </w:tr>
      <w:tr w:rsidR="00CC3281" w:rsidRPr="0095520C" w:rsidTr="009F6BB7">
        <w:tc>
          <w:tcPr>
            <w:tcW w:w="1080" w:type="dxa"/>
            <w:tcBorders>
              <w:top w:val="single" w:sz="4" w:space="0" w:color="auto"/>
              <w:left w:val="single" w:sz="4" w:space="0" w:color="auto"/>
              <w:bottom w:val="single" w:sz="4" w:space="0" w:color="auto"/>
              <w:right w:val="single" w:sz="4" w:space="0" w:color="auto"/>
            </w:tcBorders>
            <w:vAlign w:val="center"/>
          </w:tcPr>
          <w:p w:rsidR="00CC3281" w:rsidRPr="0095520C" w:rsidRDefault="00CC3281" w:rsidP="009F6BB7">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55E44" w:rsidRPr="00C55E44" w:rsidRDefault="00C55E44" w:rsidP="00C55E44">
            <w:pPr>
              <w:rPr>
                <w:lang w:val="en-AU" w:eastAsia="en-AU"/>
              </w:rPr>
            </w:pPr>
            <w:r w:rsidRPr="00C55E44">
              <w:rPr>
                <w:lang w:val="en-AU" w:eastAsia="en-AU"/>
              </w:rPr>
              <w:t xml:space="preserve">In this paper, Hoffman </w:t>
            </w:r>
            <w:r>
              <w:rPr>
                <w:lang w:val="en-AU" w:eastAsia="en-AU"/>
              </w:rPr>
              <w:t xml:space="preserve">and colleagues suggest </w:t>
            </w:r>
            <w:r w:rsidRPr="00C55E44">
              <w:rPr>
                <w:lang w:val="en-AU" w:eastAsia="en-AU"/>
              </w:rPr>
              <w:t xml:space="preserve">that the </w:t>
            </w:r>
            <w:r w:rsidR="00DA02B2">
              <w:rPr>
                <w:lang w:val="en-AU" w:eastAsia="en-AU"/>
              </w:rPr>
              <w:t>“</w:t>
            </w:r>
            <w:r w:rsidRPr="00C55E44">
              <w:rPr>
                <w:lang w:val="en-AU" w:eastAsia="en-AU"/>
              </w:rPr>
              <w:t>pinnacle of good patient care</w:t>
            </w:r>
            <w:r w:rsidR="00DA02B2">
              <w:rPr>
                <w:lang w:val="en-AU" w:eastAsia="en-AU"/>
              </w:rPr>
              <w:t>”</w:t>
            </w:r>
            <w:r w:rsidRPr="00C55E44">
              <w:rPr>
                <w:lang w:val="en-AU" w:eastAsia="en-AU"/>
              </w:rPr>
              <w:t xml:space="preserve"> lies at the intersection of evidence-based medicine (EBM) and shared decision making (SDM).</w:t>
            </w:r>
            <w:r>
              <w:rPr>
                <w:lang w:val="en-AU" w:eastAsia="en-AU"/>
              </w:rPr>
              <w:t xml:space="preserve"> </w:t>
            </w:r>
            <w:r w:rsidRPr="00C55E44">
              <w:rPr>
                <w:lang w:val="en-AU" w:eastAsia="en-AU"/>
              </w:rPr>
              <w:t xml:space="preserve">The interdependency of EBM and SDM is explored: without SDM there can be </w:t>
            </w:r>
            <w:r w:rsidR="00DA02B2">
              <w:rPr>
                <w:lang w:val="en-AU" w:eastAsia="en-AU"/>
              </w:rPr>
              <w:t>“</w:t>
            </w:r>
            <w:r w:rsidRPr="00C55E44">
              <w:rPr>
                <w:lang w:val="en-AU" w:eastAsia="en-AU"/>
              </w:rPr>
              <w:t>evidence tyranny</w:t>
            </w:r>
            <w:r w:rsidR="00DA02B2">
              <w:rPr>
                <w:lang w:val="en-AU" w:eastAsia="en-AU"/>
              </w:rPr>
              <w:t>”</w:t>
            </w:r>
            <w:r w:rsidRPr="00C55E44">
              <w:rPr>
                <w:lang w:val="en-AU" w:eastAsia="en-AU"/>
              </w:rPr>
              <w:t xml:space="preserve"> and clinicians may erroneously </w:t>
            </w:r>
            <w:r w:rsidRPr="00C55E44">
              <w:rPr>
                <w:lang w:val="en-AU" w:eastAsia="en-AU"/>
              </w:rPr>
              <w:lastRenderedPageBreak/>
              <w:t>guess the preferences of the patient; and without EBM, the patient cannot construct evidence-informed preferences and decision making.</w:t>
            </w:r>
          </w:p>
          <w:p w:rsidR="00C55E44" w:rsidRPr="00C55E44" w:rsidRDefault="00C55E44" w:rsidP="00C55E44">
            <w:pPr>
              <w:rPr>
                <w:lang w:val="en-AU" w:eastAsia="en-AU"/>
              </w:rPr>
            </w:pPr>
            <w:r w:rsidRPr="00C55E44">
              <w:rPr>
                <w:lang w:val="en-AU" w:eastAsia="en-AU"/>
              </w:rPr>
              <w:t xml:space="preserve">The authors </w:t>
            </w:r>
            <w:r>
              <w:rPr>
                <w:lang w:val="en-AU" w:eastAsia="en-AU"/>
              </w:rPr>
              <w:t>argue</w:t>
            </w:r>
            <w:r w:rsidRPr="00C55E44">
              <w:rPr>
                <w:lang w:val="en-AU" w:eastAsia="en-AU"/>
              </w:rPr>
              <w:t xml:space="preserve"> that the connection between EBM and SDM can be reali</w:t>
            </w:r>
            <w:r>
              <w:rPr>
                <w:lang w:val="en-AU" w:eastAsia="en-AU"/>
              </w:rPr>
              <w:t>sed through:</w:t>
            </w:r>
          </w:p>
          <w:p w:rsidR="00C55E44" w:rsidRPr="00C55E44" w:rsidRDefault="00C55E44" w:rsidP="00C55E44">
            <w:pPr>
              <w:pStyle w:val="ListParagraph"/>
              <w:numPr>
                <w:ilvl w:val="0"/>
                <w:numId w:val="32"/>
              </w:numPr>
              <w:rPr>
                <w:lang w:val="en-AU" w:eastAsia="en-AU"/>
              </w:rPr>
            </w:pPr>
            <w:r>
              <w:rPr>
                <w:lang w:val="en-AU" w:eastAsia="en-AU"/>
              </w:rPr>
              <w:t>r</w:t>
            </w:r>
            <w:r w:rsidRPr="00C55E44">
              <w:rPr>
                <w:lang w:val="en-AU" w:eastAsia="en-AU"/>
              </w:rPr>
              <w:t>outinely incorporating SDM into EBM training within medical education;</w:t>
            </w:r>
          </w:p>
          <w:p w:rsidR="00C55E44" w:rsidRDefault="00C55E44" w:rsidP="00C55E44">
            <w:pPr>
              <w:pStyle w:val="ListParagraph"/>
              <w:numPr>
                <w:ilvl w:val="0"/>
                <w:numId w:val="32"/>
              </w:numPr>
              <w:rPr>
                <w:lang w:val="en-AU" w:eastAsia="en-AU"/>
              </w:rPr>
            </w:pPr>
            <w:r>
              <w:rPr>
                <w:lang w:val="en-AU" w:eastAsia="en-AU"/>
              </w:rPr>
              <w:t>i</w:t>
            </w:r>
            <w:r w:rsidRPr="00C55E44">
              <w:rPr>
                <w:lang w:val="en-AU" w:eastAsia="en-AU"/>
              </w:rPr>
              <w:t xml:space="preserve">ncorporating SDM into clinical practice guidelines; and </w:t>
            </w:r>
          </w:p>
          <w:p w:rsidR="00C55E44" w:rsidRPr="00C55E44" w:rsidRDefault="00C55E44" w:rsidP="00C55E44">
            <w:pPr>
              <w:pStyle w:val="ListParagraph"/>
              <w:numPr>
                <w:ilvl w:val="0"/>
                <w:numId w:val="32"/>
              </w:numPr>
              <w:rPr>
                <w:lang w:val="en-AU" w:eastAsia="en-AU"/>
              </w:rPr>
            </w:pPr>
            <w:proofErr w:type="gramStart"/>
            <w:r>
              <w:rPr>
                <w:lang w:val="en-AU" w:eastAsia="en-AU"/>
              </w:rPr>
              <w:t>s</w:t>
            </w:r>
            <w:r w:rsidRPr="00C55E44">
              <w:rPr>
                <w:lang w:val="en-AU" w:eastAsia="en-AU"/>
              </w:rPr>
              <w:t>trongly</w:t>
            </w:r>
            <w:proofErr w:type="gramEnd"/>
            <w:r w:rsidRPr="00C55E44">
              <w:rPr>
                <w:lang w:val="en-AU" w:eastAsia="en-AU"/>
              </w:rPr>
              <w:t xml:space="preserve"> recommending SDM in guidelines when options are closely matched, uncertainty in the evidence impairs the determination of a clearly superior approach or when the balance of benefits and risks depends on patient action or preferences.</w:t>
            </w:r>
          </w:p>
          <w:p w:rsidR="00CC3281" w:rsidRPr="00590FB6" w:rsidRDefault="00C55E44" w:rsidP="00C55E44">
            <w:pPr>
              <w:rPr>
                <w:lang w:val="en-AU" w:eastAsia="en-AU"/>
              </w:rPr>
            </w:pPr>
            <w:r w:rsidRPr="00C55E44">
              <w:rPr>
                <w:lang w:val="en-AU" w:eastAsia="en-AU"/>
              </w:rPr>
              <w:t xml:space="preserve">The Commission is currently working with key clinical colleges to develop an online training module in risk communication and is a major sponsor of the 7th International Shared Decision Making Conference and the 4th International Society for Evidence-Based Health Care Conference </w:t>
            </w:r>
            <w:r>
              <w:rPr>
                <w:lang w:val="en-AU" w:eastAsia="en-AU"/>
              </w:rPr>
              <w:t xml:space="preserve">to be held </w:t>
            </w:r>
            <w:r w:rsidRPr="00C55E44">
              <w:rPr>
                <w:lang w:val="en-AU" w:eastAsia="en-AU"/>
              </w:rPr>
              <w:t>in Sydney on 19</w:t>
            </w:r>
            <w:r>
              <w:rPr>
                <w:lang w:val="en-AU" w:eastAsia="en-AU"/>
              </w:rPr>
              <w:t>–</w:t>
            </w:r>
            <w:r w:rsidRPr="00C55E44">
              <w:rPr>
                <w:lang w:val="en-AU" w:eastAsia="en-AU"/>
              </w:rPr>
              <w:t xml:space="preserve">22 July 2014.  Further information about the Commission’s work in SDM can be found at: </w:t>
            </w:r>
            <w:hyperlink r:id="rId34" w:history="1">
              <w:r w:rsidRPr="00927A80">
                <w:rPr>
                  <w:rStyle w:val="Hyperlink"/>
                  <w:lang w:val="en-AU" w:eastAsia="en-AU"/>
                </w:rPr>
                <w:t>http://www.safetyandquality.gov.au/our-work/shared-decision-making/</w:t>
              </w:r>
            </w:hyperlink>
          </w:p>
        </w:tc>
      </w:tr>
    </w:tbl>
    <w:p w:rsidR="00CC3281" w:rsidRDefault="00CC3281" w:rsidP="00CC3281">
      <w:pPr>
        <w:keepNext/>
        <w:rPr>
          <w:i/>
          <w:lang w:val="en-AU"/>
        </w:rPr>
      </w:pPr>
    </w:p>
    <w:p w:rsidR="00D7585D" w:rsidRDefault="00D7585D" w:rsidP="00CC3281">
      <w:pPr>
        <w:keepNext/>
        <w:rPr>
          <w:i/>
          <w:lang w:val="en-AU"/>
        </w:rPr>
      </w:pPr>
    </w:p>
    <w:p w:rsidR="00DA02B2" w:rsidRPr="006C1645" w:rsidRDefault="00DA02B2" w:rsidP="00DA02B2">
      <w:pPr>
        <w:keepNext/>
        <w:keepLines/>
        <w:autoSpaceDE w:val="0"/>
        <w:autoSpaceDN w:val="0"/>
        <w:adjustRightInd w:val="0"/>
        <w:rPr>
          <w:b/>
          <w:lang w:val="en-AU"/>
        </w:rPr>
      </w:pPr>
      <w:r w:rsidRPr="006C1645">
        <w:rPr>
          <w:b/>
          <w:lang w:val="en-AU"/>
        </w:rPr>
        <w:t>Recognising and responding to the acutely deteriorating patient</w:t>
      </w:r>
    </w:p>
    <w:p w:rsidR="00DA02B2" w:rsidRDefault="00DA02B2" w:rsidP="00DA02B2">
      <w:pPr>
        <w:keepNext/>
        <w:keepLines/>
        <w:autoSpaceDE w:val="0"/>
        <w:autoSpaceDN w:val="0"/>
        <w:adjustRightInd w:val="0"/>
        <w:rPr>
          <w:i/>
          <w:lang w:val="en-AU"/>
        </w:rPr>
      </w:pPr>
    </w:p>
    <w:p w:rsidR="00DA02B2" w:rsidRPr="006C1645" w:rsidRDefault="0082431B" w:rsidP="00DA02B2">
      <w:pPr>
        <w:keepNext/>
        <w:keepLines/>
        <w:autoSpaceDE w:val="0"/>
        <w:autoSpaceDN w:val="0"/>
        <w:adjustRightInd w:val="0"/>
        <w:rPr>
          <w:i/>
          <w:lang w:val="en-AU"/>
        </w:rPr>
      </w:pPr>
      <w:r>
        <w:rPr>
          <w:i/>
          <w:lang w:val="en-AU"/>
        </w:rPr>
        <w:t>Rapid response system</w:t>
      </w:r>
    </w:p>
    <w:p w:rsidR="00DA02B2" w:rsidRDefault="00DA02B2" w:rsidP="00DA02B2">
      <w:pPr>
        <w:keepNext/>
        <w:keepLines/>
        <w:autoSpaceDE w:val="0"/>
        <w:autoSpaceDN w:val="0"/>
        <w:adjustRightInd w:val="0"/>
        <w:rPr>
          <w:lang w:val="en-AU"/>
        </w:rPr>
      </w:pPr>
      <w:r w:rsidRPr="006C1645">
        <w:rPr>
          <w:lang w:val="en-AU"/>
        </w:rPr>
        <w:t xml:space="preserve">Hillman KM, Chen J, Jones D. </w:t>
      </w:r>
    </w:p>
    <w:p w:rsidR="00DA02B2" w:rsidRDefault="00DA02B2" w:rsidP="00DA02B2">
      <w:pPr>
        <w:keepNext/>
        <w:keepLines/>
        <w:autoSpaceDE w:val="0"/>
        <w:autoSpaceDN w:val="0"/>
        <w:adjustRightInd w:val="0"/>
        <w:rPr>
          <w:lang w:val="en-AU"/>
        </w:rPr>
      </w:pPr>
      <w:r w:rsidRPr="006C1645">
        <w:rPr>
          <w:lang w:val="en-AU"/>
        </w:rPr>
        <w:t>Med</w:t>
      </w:r>
      <w:r>
        <w:rPr>
          <w:lang w:val="en-AU"/>
        </w:rPr>
        <w:t xml:space="preserve">ical </w:t>
      </w:r>
      <w:r w:rsidRPr="006C1645">
        <w:rPr>
          <w:lang w:val="en-AU"/>
        </w:rPr>
        <w:t>J</w:t>
      </w:r>
      <w:r>
        <w:rPr>
          <w:lang w:val="en-AU"/>
        </w:rPr>
        <w:t>ournal of</w:t>
      </w:r>
      <w:r w:rsidRPr="006C1645">
        <w:rPr>
          <w:lang w:val="en-AU"/>
        </w:rPr>
        <w:t xml:space="preserve"> Aust</w:t>
      </w:r>
      <w:r>
        <w:rPr>
          <w:lang w:val="en-AU"/>
        </w:rPr>
        <w:t>ralia</w:t>
      </w:r>
      <w:r w:rsidRPr="006C1645">
        <w:rPr>
          <w:lang w:val="en-AU"/>
        </w:rPr>
        <w:t xml:space="preserve"> 2014</w:t>
      </w:r>
      <w:proofErr w:type="gramStart"/>
      <w:r w:rsidRPr="006C1645">
        <w:rPr>
          <w:lang w:val="en-AU"/>
        </w:rPr>
        <w:t>;201</w:t>
      </w:r>
      <w:proofErr w:type="gramEnd"/>
      <w:r w:rsidRPr="006C1645">
        <w:rPr>
          <w:lang w:val="en-AU"/>
        </w:rPr>
        <w:t>(9):519-521.</w:t>
      </w:r>
    </w:p>
    <w:p w:rsidR="00A343D8" w:rsidRDefault="00A343D8" w:rsidP="00DA02B2">
      <w:pPr>
        <w:keepNext/>
        <w:keepLines/>
        <w:autoSpaceDE w:val="0"/>
        <w:autoSpaceDN w:val="0"/>
        <w:adjustRightInd w:val="0"/>
        <w:rPr>
          <w:lang w:val="en-AU"/>
        </w:rPr>
      </w:pPr>
    </w:p>
    <w:p w:rsidR="00DA02B2" w:rsidRPr="006C1645" w:rsidRDefault="00DA02B2" w:rsidP="00DA02B2">
      <w:pPr>
        <w:keepNext/>
        <w:keepLines/>
        <w:autoSpaceDE w:val="0"/>
        <w:autoSpaceDN w:val="0"/>
        <w:adjustRightInd w:val="0"/>
        <w:rPr>
          <w:i/>
          <w:lang w:val="en-AU"/>
        </w:rPr>
      </w:pPr>
      <w:r w:rsidRPr="006C1645">
        <w:rPr>
          <w:i/>
          <w:lang w:val="en-AU"/>
        </w:rPr>
        <w:t>Incidents resulting from staff leaving normal duties to atte</w:t>
      </w:r>
      <w:r w:rsidR="0082431B">
        <w:rPr>
          <w:i/>
          <w:lang w:val="en-AU"/>
        </w:rPr>
        <w:t>nd medical emergency team calls</w:t>
      </w:r>
    </w:p>
    <w:p w:rsidR="00DA02B2" w:rsidRDefault="00DA02B2" w:rsidP="00DA02B2">
      <w:pPr>
        <w:keepNext/>
        <w:keepLines/>
        <w:autoSpaceDE w:val="0"/>
        <w:autoSpaceDN w:val="0"/>
        <w:adjustRightInd w:val="0"/>
        <w:rPr>
          <w:lang w:val="en-AU"/>
        </w:rPr>
      </w:pPr>
      <w:r w:rsidRPr="006C1645">
        <w:rPr>
          <w:lang w:val="en-AU"/>
        </w:rPr>
        <w:t xml:space="preserve">Concord Medical Emergency Team (MET) Incidents Study Investigators. </w:t>
      </w:r>
    </w:p>
    <w:p w:rsidR="00DA02B2" w:rsidRDefault="00DA02B2" w:rsidP="00DA02B2">
      <w:pPr>
        <w:keepNext/>
        <w:keepLines/>
        <w:autoSpaceDE w:val="0"/>
        <w:autoSpaceDN w:val="0"/>
        <w:adjustRightInd w:val="0"/>
        <w:rPr>
          <w:lang w:val="en-AU"/>
        </w:rPr>
      </w:pPr>
      <w:r w:rsidRPr="00840D02">
        <w:rPr>
          <w:lang w:val="en-AU"/>
        </w:rPr>
        <w:t>Medical Journal of Australia</w:t>
      </w:r>
      <w:r w:rsidRPr="006C1645">
        <w:rPr>
          <w:lang w:val="en-AU"/>
        </w:rPr>
        <w:t xml:space="preserve"> 2014</w:t>
      </w:r>
      <w:proofErr w:type="gramStart"/>
      <w:r w:rsidRPr="006C1645">
        <w:rPr>
          <w:lang w:val="en-AU"/>
        </w:rPr>
        <w:t>;201</w:t>
      </w:r>
      <w:proofErr w:type="gramEnd"/>
      <w:r w:rsidRPr="006C1645">
        <w:rPr>
          <w:lang w:val="en-AU"/>
        </w:rPr>
        <w:t>(9):528-531.</w:t>
      </w:r>
    </w:p>
    <w:p w:rsidR="00A343D8" w:rsidRDefault="00A343D8" w:rsidP="00DA02B2">
      <w:pPr>
        <w:keepNext/>
        <w:keepLines/>
        <w:autoSpaceDE w:val="0"/>
        <w:autoSpaceDN w:val="0"/>
        <w:adjustRightInd w:val="0"/>
        <w:rPr>
          <w:lang w:val="en-AU"/>
        </w:rPr>
      </w:pPr>
    </w:p>
    <w:p w:rsidR="00DA02B2" w:rsidRPr="006C1645" w:rsidRDefault="00DA02B2" w:rsidP="00DA02B2">
      <w:pPr>
        <w:keepNext/>
        <w:keepLines/>
        <w:autoSpaceDE w:val="0"/>
        <w:autoSpaceDN w:val="0"/>
        <w:adjustRightInd w:val="0"/>
        <w:rPr>
          <w:i/>
          <w:lang w:val="en-AU"/>
        </w:rPr>
      </w:pPr>
      <w:r w:rsidRPr="006C1645">
        <w:rPr>
          <w:i/>
          <w:lang w:val="en-AU"/>
        </w:rPr>
        <w:t xml:space="preserve">Factors influencing escalation of </w:t>
      </w:r>
      <w:r w:rsidR="0082431B">
        <w:rPr>
          <w:i/>
          <w:lang w:val="en-AU"/>
        </w:rPr>
        <w:t>care by junior medical officers</w:t>
      </w:r>
    </w:p>
    <w:p w:rsidR="00DA02B2" w:rsidRDefault="00DA02B2" w:rsidP="00DA02B2">
      <w:pPr>
        <w:keepNext/>
        <w:keepLines/>
        <w:autoSpaceDE w:val="0"/>
        <w:autoSpaceDN w:val="0"/>
        <w:adjustRightInd w:val="0"/>
        <w:rPr>
          <w:lang w:val="en-AU"/>
        </w:rPr>
      </w:pPr>
      <w:proofErr w:type="gramStart"/>
      <w:r w:rsidRPr="006C1645">
        <w:rPr>
          <w:lang w:val="en-AU"/>
        </w:rPr>
        <w:t>Rotella JA, Yu W, Ferguson J, Jones D.</w:t>
      </w:r>
      <w:proofErr w:type="gramEnd"/>
      <w:r w:rsidRPr="006C1645">
        <w:rPr>
          <w:lang w:val="en-AU"/>
        </w:rPr>
        <w:t xml:space="preserve"> </w:t>
      </w:r>
    </w:p>
    <w:p w:rsidR="00DA02B2" w:rsidRDefault="00DA02B2" w:rsidP="00DA02B2">
      <w:pPr>
        <w:keepNext/>
        <w:keepLines/>
        <w:autoSpaceDE w:val="0"/>
        <w:autoSpaceDN w:val="0"/>
        <w:adjustRightInd w:val="0"/>
        <w:rPr>
          <w:lang w:val="en-AU"/>
        </w:rPr>
      </w:pPr>
      <w:r w:rsidRPr="00840D02">
        <w:rPr>
          <w:lang w:val="en-AU"/>
        </w:rPr>
        <w:t xml:space="preserve">Anaesthesia </w:t>
      </w:r>
      <w:r>
        <w:rPr>
          <w:lang w:val="en-AU"/>
        </w:rPr>
        <w:t xml:space="preserve">and </w:t>
      </w:r>
      <w:r w:rsidRPr="006C1645">
        <w:rPr>
          <w:lang w:val="en-AU"/>
        </w:rPr>
        <w:t>Intensive Care 2014</w:t>
      </w:r>
      <w:proofErr w:type="gramStart"/>
      <w:r w:rsidRPr="006C1645">
        <w:rPr>
          <w:lang w:val="en-AU"/>
        </w:rPr>
        <w:t>;42</w:t>
      </w:r>
      <w:proofErr w:type="gramEnd"/>
      <w:r w:rsidRPr="006C1645">
        <w:rPr>
          <w:lang w:val="en-AU"/>
        </w:rPr>
        <w:t>(6):723-9.</w:t>
      </w:r>
    </w:p>
    <w:tbl>
      <w:tblPr>
        <w:tblStyle w:val="TableGrid"/>
        <w:tblW w:w="0" w:type="auto"/>
        <w:tblInd w:w="288" w:type="dxa"/>
        <w:tblLayout w:type="fixed"/>
        <w:tblLook w:val="01E0" w:firstRow="1" w:lastRow="1" w:firstColumn="1" w:lastColumn="1" w:noHBand="0" w:noVBand="0"/>
      </w:tblPr>
      <w:tblGrid>
        <w:gridCol w:w="1080"/>
        <w:gridCol w:w="8280"/>
      </w:tblGrid>
      <w:tr w:rsidR="00DA02B2" w:rsidRPr="0095520C" w:rsidTr="00133160">
        <w:tc>
          <w:tcPr>
            <w:tcW w:w="1080" w:type="dxa"/>
            <w:tcBorders>
              <w:top w:val="single" w:sz="4" w:space="0" w:color="auto"/>
              <w:left w:val="single" w:sz="4" w:space="0" w:color="auto"/>
              <w:bottom w:val="single" w:sz="4" w:space="0" w:color="auto"/>
              <w:right w:val="single" w:sz="4" w:space="0" w:color="auto"/>
            </w:tcBorders>
            <w:vAlign w:val="center"/>
          </w:tcPr>
          <w:p w:rsidR="00DA02B2" w:rsidRPr="0095520C" w:rsidRDefault="00DA02B2" w:rsidP="00133160">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A02B2" w:rsidRDefault="00E302EA" w:rsidP="00133160">
            <w:pPr>
              <w:rPr>
                <w:lang w:val="en-AU"/>
              </w:rPr>
            </w:pPr>
            <w:hyperlink r:id="rId35" w:history="1">
              <w:r w:rsidR="00DA02B2" w:rsidRPr="00742BB6">
                <w:rPr>
                  <w:rStyle w:val="Hyperlink"/>
                  <w:lang w:val="en-AU"/>
                </w:rPr>
                <w:t>http://dx.doi.org/10.5694/mja14.01088</w:t>
              </w:r>
            </w:hyperlink>
            <w:r w:rsidR="00DA02B2">
              <w:rPr>
                <w:lang w:val="en-AU"/>
              </w:rPr>
              <w:t xml:space="preserve"> (Hillman et al)</w:t>
            </w:r>
          </w:p>
          <w:p w:rsidR="00DA02B2" w:rsidRDefault="00E302EA" w:rsidP="00133160">
            <w:pPr>
              <w:rPr>
                <w:lang w:val="en-AU"/>
              </w:rPr>
            </w:pPr>
            <w:hyperlink r:id="rId36" w:history="1">
              <w:r w:rsidR="00DA02B2" w:rsidRPr="00742BB6">
                <w:rPr>
                  <w:rStyle w:val="Hyperlink"/>
                  <w:lang w:val="en-AU"/>
                </w:rPr>
                <w:t>http://dx.doi.org/10.5694/mja14.00647</w:t>
              </w:r>
            </w:hyperlink>
            <w:r w:rsidR="00DA02B2">
              <w:rPr>
                <w:lang w:val="en-AU"/>
              </w:rPr>
              <w:t xml:space="preserve"> (Concord MET investigators)</w:t>
            </w:r>
          </w:p>
          <w:p w:rsidR="00DA02B2" w:rsidRPr="0095520C" w:rsidRDefault="00E302EA" w:rsidP="00133160">
            <w:pPr>
              <w:rPr>
                <w:lang w:val="en-AU"/>
              </w:rPr>
            </w:pPr>
            <w:hyperlink r:id="rId37" w:history="1">
              <w:r w:rsidR="00DA02B2" w:rsidRPr="00742BB6">
                <w:rPr>
                  <w:rStyle w:val="Hyperlink"/>
                  <w:lang w:val="en-AU"/>
                </w:rPr>
                <w:t>http://www.aaic.net.au/Document/?D=20140162</w:t>
              </w:r>
            </w:hyperlink>
            <w:r w:rsidR="00DA02B2">
              <w:rPr>
                <w:lang w:val="en-AU"/>
              </w:rPr>
              <w:t xml:space="preserve"> (</w:t>
            </w:r>
            <w:proofErr w:type="spellStart"/>
            <w:r w:rsidR="00DA02B2">
              <w:rPr>
                <w:lang w:val="en-AU"/>
              </w:rPr>
              <w:t>Rotella</w:t>
            </w:r>
            <w:proofErr w:type="spellEnd"/>
            <w:r w:rsidR="00DA02B2">
              <w:rPr>
                <w:lang w:val="en-AU"/>
              </w:rPr>
              <w:t xml:space="preserve"> et al)</w:t>
            </w:r>
          </w:p>
        </w:tc>
      </w:tr>
      <w:tr w:rsidR="00DA02B2" w:rsidRPr="0095520C" w:rsidTr="00133160">
        <w:tc>
          <w:tcPr>
            <w:tcW w:w="1080" w:type="dxa"/>
            <w:tcBorders>
              <w:top w:val="single" w:sz="4" w:space="0" w:color="auto"/>
              <w:left w:val="single" w:sz="4" w:space="0" w:color="auto"/>
              <w:bottom w:val="single" w:sz="4" w:space="0" w:color="auto"/>
              <w:right w:val="single" w:sz="4" w:space="0" w:color="auto"/>
            </w:tcBorders>
            <w:vAlign w:val="center"/>
          </w:tcPr>
          <w:p w:rsidR="00DA02B2" w:rsidRPr="0095520C" w:rsidRDefault="00DA02B2" w:rsidP="00133160">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02B2" w:rsidRPr="006E09E0" w:rsidRDefault="00DA02B2" w:rsidP="00133160">
            <w:pPr>
              <w:rPr>
                <w:b/>
                <w:lang w:val="en-AU" w:eastAsia="en-AU"/>
              </w:rPr>
            </w:pPr>
            <w:r w:rsidRPr="006E09E0">
              <w:rPr>
                <w:b/>
                <w:lang w:val="en-AU" w:eastAsia="en-AU"/>
              </w:rPr>
              <w:t>What are rapid response systems and what strategies help them succeed?</w:t>
            </w:r>
          </w:p>
          <w:p w:rsidR="00DA02B2" w:rsidRDefault="00DA02B2" w:rsidP="00133160">
            <w:pPr>
              <w:rPr>
                <w:lang w:val="en-AU" w:eastAsia="en-AU"/>
              </w:rPr>
            </w:pPr>
            <w:r>
              <w:rPr>
                <w:lang w:val="en-AU" w:eastAsia="en-AU"/>
              </w:rPr>
              <w:t xml:space="preserve">In a succinct summary of essential ‘need to knows’, </w:t>
            </w:r>
            <w:r w:rsidRPr="002E79B9">
              <w:rPr>
                <w:lang w:val="en-AU" w:eastAsia="en-AU"/>
              </w:rPr>
              <w:t xml:space="preserve">Hillman et al </w:t>
            </w:r>
            <w:r>
              <w:rPr>
                <w:lang w:val="en-AU" w:eastAsia="en-AU"/>
              </w:rPr>
              <w:t xml:space="preserve">describe the critical features, purpose and benefits of a </w:t>
            </w:r>
            <w:r w:rsidRPr="002E79B9">
              <w:rPr>
                <w:lang w:val="en-AU" w:eastAsia="en-AU"/>
              </w:rPr>
              <w:t>rapid response system</w:t>
            </w:r>
            <w:r>
              <w:rPr>
                <w:lang w:val="en-AU" w:eastAsia="en-AU"/>
              </w:rPr>
              <w:t xml:space="preserve">. More importantly they provide ‘real world’ strategies for maximising the impact of a hospital rapid response system noting that </w:t>
            </w:r>
            <w:r w:rsidRPr="00A343D8">
              <w:rPr>
                <w:lang w:val="en-AU" w:eastAsia="en-AU"/>
              </w:rPr>
              <w:t>“implementing an organisation-wide system such as an RRS involves challenging the way clinicians interact, bypassing entrenched hierarchies and constructing a system centred on patient needs”</w:t>
            </w:r>
            <w:r>
              <w:rPr>
                <w:lang w:val="en-AU" w:eastAsia="en-AU"/>
              </w:rPr>
              <w:t xml:space="preserve"> and requires more than calling criteria and a rapid response. </w:t>
            </w:r>
          </w:p>
          <w:p w:rsidR="00D7585D" w:rsidRDefault="00D7585D" w:rsidP="00133160">
            <w:pPr>
              <w:rPr>
                <w:b/>
                <w:lang w:val="en-AU" w:eastAsia="en-AU"/>
              </w:rPr>
            </w:pPr>
          </w:p>
          <w:p w:rsidR="00DA02B2" w:rsidRPr="000B2720" w:rsidRDefault="00DA02B2" w:rsidP="00133160">
            <w:pPr>
              <w:rPr>
                <w:b/>
                <w:lang w:val="en-AU" w:eastAsia="en-AU"/>
              </w:rPr>
            </w:pPr>
            <w:r w:rsidRPr="000B2720">
              <w:rPr>
                <w:b/>
                <w:lang w:val="en-AU" w:eastAsia="en-AU"/>
              </w:rPr>
              <w:t>How do MET calls affect routine provision of care?</w:t>
            </w:r>
          </w:p>
          <w:p w:rsidR="00D7585D" w:rsidRDefault="00DA02B2" w:rsidP="00133160">
            <w:pPr>
              <w:rPr>
                <w:lang w:val="en-AU" w:eastAsia="en-AU"/>
              </w:rPr>
            </w:pPr>
            <w:r>
              <w:rPr>
                <w:lang w:val="en-AU" w:eastAsia="en-AU"/>
              </w:rPr>
              <w:t xml:space="preserve">In the same issue of MJA, the potential adverse consequences of superimposing MET team responsibilities on other duties are explored in an incident monitoring study. Investigators catalogued incidents occurring in patients as a result of staff attending MET calls for other patients in a large NSW hospital. The study found no </w:t>
            </w:r>
            <w:r w:rsidRPr="002E79B9">
              <w:rPr>
                <w:lang w:val="en-AU" w:eastAsia="en-AU"/>
              </w:rPr>
              <w:t xml:space="preserve">major harm </w:t>
            </w:r>
            <w:r>
              <w:rPr>
                <w:lang w:val="en-AU" w:eastAsia="en-AU"/>
              </w:rPr>
              <w:t xml:space="preserve">to patients </w:t>
            </w:r>
            <w:r w:rsidRPr="002E79B9">
              <w:rPr>
                <w:lang w:val="en-AU" w:eastAsia="en-AU"/>
              </w:rPr>
              <w:t>but significant disruption to normal routines</w:t>
            </w:r>
            <w:r>
              <w:rPr>
                <w:lang w:val="en-AU" w:eastAsia="en-AU"/>
              </w:rPr>
              <w:t>— which could theoretically impact on the quality of care.</w:t>
            </w:r>
          </w:p>
          <w:p w:rsidR="00DA02B2" w:rsidRDefault="00DA02B2" w:rsidP="00133160">
            <w:pPr>
              <w:rPr>
                <w:lang w:val="en-AU" w:eastAsia="en-AU"/>
              </w:rPr>
            </w:pPr>
            <w:r w:rsidRPr="002E79B9">
              <w:rPr>
                <w:lang w:val="en-AU" w:eastAsia="en-AU"/>
              </w:rPr>
              <w:lastRenderedPageBreak/>
              <w:t>In the 18 week study period there were</w:t>
            </w:r>
            <w:r>
              <w:rPr>
                <w:lang w:val="en-AU" w:eastAsia="en-AU"/>
              </w:rPr>
              <w:t xml:space="preserve"> </w:t>
            </w:r>
            <w:r w:rsidRPr="002E79B9">
              <w:rPr>
                <w:lang w:val="en-AU" w:eastAsia="en-AU"/>
              </w:rPr>
              <w:t>19 MET calls per 1000 admissions</w:t>
            </w:r>
            <w:r>
              <w:rPr>
                <w:lang w:val="en-AU" w:eastAsia="en-AU"/>
              </w:rPr>
              <w:t xml:space="preserve"> and </w:t>
            </w:r>
            <w:r w:rsidRPr="002E79B9">
              <w:rPr>
                <w:lang w:val="en-AU" w:eastAsia="en-AU"/>
              </w:rPr>
              <w:t>an average 1.1 incidents per MET call. A mean of 8 staff members were recorded at each MET call</w:t>
            </w:r>
            <w:r>
              <w:rPr>
                <w:lang w:val="en-AU" w:eastAsia="en-AU"/>
              </w:rPr>
              <w:t xml:space="preserve">, with incidents arising in </w:t>
            </w:r>
            <w:r w:rsidRPr="002E79B9">
              <w:rPr>
                <w:lang w:val="en-AU" w:eastAsia="en-AU"/>
              </w:rPr>
              <w:t xml:space="preserve">213.7 incidents per 1000 MET </w:t>
            </w:r>
            <w:r>
              <w:rPr>
                <w:lang w:val="en-AU" w:eastAsia="en-AU"/>
              </w:rPr>
              <w:t xml:space="preserve">staff </w:t>
            </w:r>
            <w:r w:rsidRPr="002E79B9">
              <w:rPr>
                <w:lang w:val="en-AU" w:eastAsia="en-AU"/>
              </w:rPr>
              <w:t xml:space="preserve">attendances. The majority (99.5%) </w:t>
            </w:r>
            <w:r>
              <w:rPr>
                <w:lang w:val="en-AU" w:eastAsia="en-AU"/>
              </w:rPr>
              <w:t xml:space="preserve">of incidents had </w:t>
            </w:r>
            <w:r w:rsidRPr="002E79B9">
              <w:rPr>
                <w:lang w:val="en-AU" w:eastAsia="en-AU"/>
              </w:rPr>
              <w:t>‘minimum’</w:t>
            </w:r>
            <w:r>
              <w:rPr>
                <w:lang w:val="en-AU" w:eastAsia="en-AU"/>
              </w:rPr>
              <w:t xml:space="preserve"> consequences. Less than </w:t>
            </w:r>
            <w:r w:rsidRPr="002E79B9">
              <w:rPr>
                <w:lang w:val="en-AU" w:eastAsia="en-AU"/>
              </w:rPr>
              <w:t xml:space="preserve">1% of incidents </w:t>
            </w:r>
            <w:r>
              <w:rPr>
                <w:lang w:val="en-AU" w:eastAsia="en-AU"/>
              </w:rPr>
              <w:t xml:space="preserve">collected </w:t>
            </w:r>
            <w:r w:rsidRPr="002E79B9">
              <w:rPr>
                <w:lang w:val="en-AU" w:eastAsia="en-AU"/>
              </w:rPr>
              <w:t xml:space="preserve">were reported on the institution’s usual incident reporting system. </w:t>
            </w:r>
          </w:p>
          <w:p w:rsidR="00DA02B2" w:rsidRDefault="00DA02B2" w:rsidP="00133160">
            <w:pPr>
              <w:rPr>
                <w:lang w:val="en-AU" w:eastAsia="en-AU"/>
              </w:rPr>
            </w:pPr>
          </w:p>
          <w:p w:rsidR="00DA02B2" w:rsidRDefault="00DA02B2" w:rsidP="00133160">
            <w:pPr>
              <w:rPr>
                <w:b/>
                <w:lang w:val="en-AU" w:eastAsia="en-AU"/>
              </w:rPr>
            </w:pPr>
            <w:r>
              <w:rPr>
                <w:b/>
                <w:lang w:val="en-AU" w:eastAsia="en-AU"/>
              </w:rPr>
              <w:t xml:space="preserve">What influences </w:t>
            </w:r>
            <w:r w:rsidRPr="006E09E0">
              <w:rPr>
                <w:b/>
                <w:lang w:val="en-AU" w:eastAsia="en-AU"/>
              </w:rPr>
              <w:t>JMOs</w:t>
            </w:r>
            <w:r>
              <w:rPr>
                <w:b/>
                <w:lang w:val="en-AU" w:eastAsia="en-AU"/>
              </w:rPr>
              <w:t>’</w:t>
            </w:r>
            <w:r w:rsidRPr="006E09E0">
              <w:rPr>
                <w:b/>
                <w:lang w:val="en-AU" w:eastAsia="en-AU"/>
              </w:rPr>
              <w:t xml:space="preserve"> </w:t>
            </w:r>
            <w:r>
              <w:rPr>
                <w:b/>
                <w:lang w:val="en-AU" w:eastAsia="en-AU"/>
              </w:rPr>
              <w:t>escalation of care?</w:t>
            </w:r>
          </w:p>
          <w:p w:rsidR="00DA02B2" w:rsidRPr="006E09E0" w:rsidRDefault="00DA02B2" w:rsidP="00D7585D">
            <w:pPr>
              <w:rPr>
                <w:b/>
                <w:lang w:val="en-AU" w:eastAsia="en-AU"/>
              </w:rPr>
            </w:pPr>
            <w:r>
              <w:rPr>
                <w:lang w:val="en-AU" w:eastAsia="en-AU"/>
              </w:rPr>
              <w:t>This small, self-report study of junior medical officers (n=50) found that only 30% of</w:t>
            </w:r>
            <w:r w:rsidRPr="00947739">
              <w:rPr>
                <w:lang w:val="en-AU" w:eastAsia="en-AU"/>
              </w:rPr>
              <w:t xml:space="preserve"> JMOs agreed </w:t>
            </w:r>
            <w:r>
              <w:rPr>
                <w:lang w:val="en-AU" w:eastAsia="en-AU"/>
              </w:rPr>
              <w:t xml:space="preserve">that </w:t>
            </w:r>
            <w:r w:rsidRPr="00947739">
              <w:rPr>
                <w:lang w:val="en-AU" w:eastAsia="en-AU"/>
              </w:rPr>
              <w:t>they had not escalated care</w:t>
            </w:r>
            <w:r>
              <w:rPr>
                <w:lang w:val="en-AU" w:eastAsia="en-AU"/>
              </w:rPr>
              <w:t xml:space="preserve"> </w:t>
            </w:r>
            <w:r w:rsidRPr="00947739">
              <w:rPr>
                <w:lang w:val="en-AU" w:eastAsia="en-AU"/>
              </w:rPr>
              <w:t xml:space="preserve">because </w:t>
            </w:r>
            <w:r>
              <w:rPr>
                <w:lang w:val="en-AU" w:eastAsia="en-AU"/>
              </w:rPr>
              <w:t xml:space="preserve">of </w:t>
            </w:r>
            <w:r w:rsidRPr="00947739">
              <w:rPr>
                <w:lang w:val="en-AU" w:eastAsia="en-AU"/>
              </w:rPr>
              <w:t>fail</w:t>
            </w:r>
            <w:r>
              <w:rPr>
                <w:lang w:val="en-AU" w:eastAsia="en-AU"/>
              </w:rPr>
              <w:t>ing</w:t>
            </w:r>
            <w:r w:rsidRPr="00947739">
              <w:rPr>
                <w:lang w:val="en-AU" w:eastAsia="en-AU"/>
              </w:rPr>
              <w:t xml:space="preserve"> to recognise clinical deterioration</w:t>
            </w:r>
            <w:r>
              <w:rPr>
                <w:lang w:val="en-AU" w:eastAsia="en-AU"/>
              </w:rPr>
              <w:t xml:space="preserve">. In an apparent contradiction, </w:t>
            </w:r>
            <w:r w:rsidRPr="00947739">
              <w:rPr>
                <w:lang w:val="en-AU" w:eastAsia="en-AU"/>
              </w:rPr>
              <w:t>64% agreed that they had not escalated care of a patient</w:t>
            </w:r>
            <w:r>
              <w:rPr>
                <w:lang w:val="en-AU" w:eastAsia="en-AU"/>
              </w:rPr>
              <w:t xml:space="preserve"> </w:t>
            </w:r>
            <w:r w:rsidRPr="00947739">
              <w:rPr>
                <w:lang w:val="en-AU" w:eastAsia="en-AU"/>
              </w:rPr>
              <w:t>previously because they did not seem sick enough</w:t>
            </w:r>
            <w:r>
              <w:rPr>
                <w:lang w:val="en-AU" w:eastAsia="en-AU"/>
              </w:rPr>
              <w:t>. Workload, time of day and fear of criticism did not seem to prevent escalation of care, but 36% were reluctant to escalate if it meant waking a senior consultant. A lack of knowledge about the patient’s clinical condition or limitations of therapy made escalation more likely. Approximately equal numbers of JMOs stated they would escalate if a patient was dying as those who would not.</w:t>
            </w:r>
          </w:p>
        </w:tc>
      </w:tr>
    </w:tbl>
    <w:p w:rsidR="00DA02B2" w:rsidRDefault="00DA02B2" w:rsidP="00CC3281">
      <w:pPr>
        <w:keepNext/>
        <w:rPr>
          <w:i/>
          <w:lang w:val="en-AU"/>
        </w:rPr>
      </w:pPr>
    </w:p>
    <w:p w:rsidR="00D7585D" w:rsidRDefault="0082431B" w:rsidP="00CC3281">
      <w:pPr>
        <w:keepNext/>
        <w:rPr>
          <w:i/>
          <w:lang w:val="en-AU"/>
        </w:rPr>
      </w:pPr>
      <w:r w:rsidRPr="0095520C">
        <w:rPr>
          <w:lang w:val="en-AU"/>
        </w:rPr>
        <w:t>For information on the Commission’s work on</w:t>
      </w:r>
      <w:r>
        <w:rPr>
          <w:lang w:val="en-AU"/>
        </w:rPr>
        <w:t xml:space="preserve"> </w:t>
      </w:r>
      <w:r>
        <w:rPr>
          <w:lang w:val="en-AU"/>
        </w:rPr>
        <w:t>recognising and responding to clinical deterioration</w:t>
      </w:r>
      <w:r>
        <w:rPr>
          <w:lang w:val="en-AU"/>
        </w:rPr>
        <w:t>,</w:t>
      </w:r>
      <w:r w:rsidRPr="0095520C">
        <w:rPr>
          <w:lang w:val="en-AU"/>
        </w:rPr>
        <w:t xml:space="preserve"> </w:t>
      </w:r>
      <w:r>
        <w:rPr>
          <w:lang w:val="en-AU"/>
        </w:rPr>
        <w:t>s</w:t>
      </w:r>
      <w:r w:rsidRPr="0095520C">
        <w:rPr>
          <w:lang w:val="en-AU"/>
        </w:rPr>
        <w:t>ee</w:t>
      </w:r>
      <w:r>
        <w:rPr>
          <w:lang w:val="en-AU"/>
        </w:rPr>
        <w:t xml:space="preserve"> </w:t>
      </w:r>
      <w:hyperlink r:id="rId38" w:history="1">
        <w:r w:rsidRPr="00927A80">
          <w:rPr>
            <w:rStyle w:val="Hyperlink"/>
            <w:lang w:val="en-AU"/>
          </w:rPr>
          <w:t>www.safetyandquality.gov.au/our-work/recognition-and-response-to-clinical-deterioration/</w:t>
        </w:r>
      </w:hyperlink>
      <w:r>
        <w:rPr>
          <w:lang w:val="en-AU"/>
        </w:rPr>
        <w:t xml:space="preserve"> </w:t>
      </w:r>
    </w:p>
    <w:p w:rsidR="00D7585D" w:rsidRDefault="00D7585D" w:rsidP="00CC3281">
      <w:pPr>
        <w:keepNext/>
        <w:rPr>
          <w:i/>
          <w:lang w:val="en-AU"/>
        </w:rPr>
      </w:pPr>
    </w:p>
    <w:p w:rsidR="0082431B" w:rsidRDefault="0082431B" w:rsidP="00CC3281">
      <w:pPr>
        <w:keepNext/>
        <w:rPr>
          <w:i/>
          <w:lang w:val="en-AU"/>
        </w:rPr>
      </w:pPr>
    </w:p>
    <w:p w:rsidR="0082431B" w:rsidRDefault="0082431B" w:rsidP="00CC3281">
      <w:pPr>
        <w:keepNext/>
        <w:rPr>
          <w:i/>
          <w:lang w:val="en-AU"/>
        </w:rPr>
      </w:pPr>
    </w:p>
    <w:p w:rsidR="0011793C" w:rsidRPr="004B0E69" w:rsidRDefault="0011793C" w:rsidP="0011793C">
      <w:pPr>
        <w:keepNext/>
        <w:keepLines/>
        <w:autoSpaceDE w:val="0"/>
        <w:autoSpaceDN w:val="0"/>
        <w:adjustRightInd w:val="0"/>
        <w:rPr>
          <w:i/>
          <w:lang w:val="en-AU"/>
        </w:rPr>
      </w:pPr>
      <w:r w:rsidRPr="004B0E69">
        <w:rPr>
          <w:i/>
          <w:lang w:val="en-AU"/>
        </w:rPr>
        <w:t>Australian Health Review</w:t>
      </w:r>
    </w:p>
    <w:p w:rsidR="0011793C" w:rsidRPr="0048169F" w:rsidRDefault="0011793C" w:rsidP="0011793C">
      <w:pPr>
        <w:keepNext/>
        <w:keepLines/>
        <w:autoSpaceDE w:val="0"/>
        <w:autoSpaceDN w:val="0"/>
        <w:adjustRightInd w:val="0"/>
        <w:rPr>
          <w:lang w:val="en-AU"/>
        </w:rPr>
      </w:pPr>
      <w:proofErr w:type="gramStart"/>
      <w:r>
        <w:rPr>
          <w:lang w:val="en-AU"/>
        </w:rPr>
        <w:t>Vol. 38, No. 5.</w:t>
      </w:r>
      <w:proofErr w:type="gramEnd"/>
      <w:r>
        <w:rPr>
          <w:lang w:val="en-AU"/>
        </w:rPr>
        <w:t xml:space="preserve"> 2014</w:t>
      </w:r>
    </w:p>
    <w:tbl>
      <w:tblPr>
        <w:tblStyle w:val="TableGrid"/>
        <w:tblW w:w="0" w:type="auto"/>
        <w:tblInd w:w="288" w:type="dxa"/>
        <w:tblLayout w:type="fixed"/>
        <w:tblLook w:val="01E0" w:firstRow="1" w:lastRow="1" w:firstColumn="1" w:lastColumn="1" w:noHBand="0" w:noVBand="0"/>
      </w:tblPr>
      <w:tblGrid>
        <w:gridCol w:w="1080"/>
        <w:gridCol w:w="8280"/>
      </w:tblGrid>
      <w:tr w:rsidR="0011793C" w:rsidRPr="0048169F" w:rsidTr="009F6BB7">
        <w:tc>
          <w:tcPr>
            <w:tcW w:w="1080" w:type="dxa"/>
            <w:tcBorders>
              <w:top w:val="single" w:sz="4" w:space="0" w:color="auto"/>
              <w:left w:val="single" w:sz="4" w:space="0" w:color="auto"/>
              <w:bottom w:val="single" w:sz="4" w:space="0" w:color="auto"/>
              <w:right w:val="single" w:sz="4" w:space="0" w:color="auto"/>
            </w:tcBorders>
            <w:vAlign w:val="center"/>
          </w:tcPr>
          <w:p w:rsidR="0011793C" w:rsidRPr="0048169F" w:rsidRDefault="0011793C" w:rsidP="009F6BB7">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1793C" w:rsidRPr="0048169F" w:rsidRDefault="00E302EA" w:rsidP="009F6BB7">
            <w:pPr>
              <w:rPr>
                <w:lang w:val="en-AU"/>
              </w:rPr>
            </w:pPr>
            <w:hyperlink r:id="rId39" w:history="1">
              <w:r w:rsidR="0011793C" w:rsidRPr="008A1B44">
                <w:rPr>
                  <w:rStyle w:val="Hyperlink"/>
                  <w:lang w:val="en-AU"/>
                </w:rPr>
                <w:t>http://www.publish.csiro.au/nid/271/issue/7059.htm</w:t>
              </w:r>
            </w:hyperlink>
          </w:p>
        </w:tc>
      </w:tr>
      <w:tr w:rsidR="0011793C" w:rsidRPr="0048169F" w:rsidTr="009F6BB7">
        <w:tc>
          <w:tcPr>
            <w:tcW w:w="1080" w:type="dxa"/>
            <w:tcBorders>
              <w:top w:val="single" w:sz="4" w:space="0" w:color="auto"/>
              <w:left w:val="single" w:sz="4" w:space="0" w:color="auto"/>
              <w:bottom w:val="single" w:sz="4" w:space="0" w:color="auto"/>
              <w:right w:val="single" w:sz="4" w:space="0" w:color="auto"/>
            </w:tcBorders>
            <w:vAlign w:val="center"/>
          </w:tcPr>
          <w:p w:rsidR="0011793C" w:rsidRPr="0048169F" w:rsidRDefault="0011793C" w:rsidP="009F6BB7">
            <w:pPr>
              <w:rPr>
                <w:lang w:val="en-AU"/>
              </w:rPr>
            </w:pPr>
            <w:r w:rsidRPr="0048169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1793C" w:rsidRDefault="0011793C" w:rsidP="009F6BB7">
            <w:pPr>
              <w:rPr>
                <w:lang w:val="en-AU"/>
              </w:rPr>
            </w:pPr>
            <w:r>
              <w:rPr>
                <w:lang w:val="en-AU"/>
              </w:rPr>
              <w:t xml:space="preserve">A new issue of </w:t>
            </w:r>
            <w:r w:rsidRPr="004B0E69">
              <w:rPr>
                <w:i/>
                <w:lang w:val="en-AU"/>
              </w:rPr>
              <w:t>Australian Health Review</w:t>
            </w:r>
            <w:r>
              <w:rPr>
                <w:lang w:val="en-AU"/>
              </w:rPr>
              <w:t xml:space="preserve"> has been published. Articles in this issue of </w:t>
            </w:r>
            <w:r w:rsidRPr="004B0E69">
              <w:rPr>
                <w:i/>
                <w:lang w:val="en-AU"/>
              </w:rPr>
              <w:t>Australian Health Review</w:t>
            </w:r>
            <w:r>
              <w:rPr>
                <w:lang w:val="en-AU"/>
              </w:rPr>
              <w:t xml:space="preserve"> include:</w:t>
            </w:r>
          </w:p>
          <w:p w:rsidR="0011793C" w:rsidRPr="0011793C" w:rsidRDefault="0011793C" w:rsidP="0011793C">
            <w:pPr>
              <w:pStyle w:val="ListParagraph"/>
              <w:numPr>
                <w:ilvl w:val="0"/>
                <w:numId w:val="30"/>
              </w:numPr>
              <w:rPr>
                <w:lang w:val="en-AU"/>
              </w:rPr>
            </w:pPr>
            <w:r w:rsidRPr="0011793C">
              <w:rPr>
                <w:lang w:val="en-AU"/>
              </w:rPr>
              <w:t xml:space="preserve">Capricornia Allied Health Partnership (CAHP): a case study of an </w:t>
            </w:r>
            <w:r w:rsidRPr="0011793C">
              <w:rPr>
                <w:b/>
                <w:lang w:val="en-AU"/>
              </w:rPr>
              <w:t>innovative model of care addressing chronic disease</w:t>
            </w:r>
            <w:r w:rsidRPr="0011793C">
              <w:rPr>
                <w:lang w:val="en-AU"/>
              </w:rPr>
              <w:t xml:space="preserve"> through a regional student-assisted clinic (Kerrie-anne Frakes, Sharon Brownie, Lauren Davies, Janelle B Thomas, Mary-Ellen Miller and Zephanie Tyack</w:t>
            </w:r>
            <w:r>
              <w:rPr>
                <w:lang w:val="en-AU"/>
              </w:rPr>
              <w:t>)</w:t>
            </w:r>
          </w:p>
          <w:p w:rsidR="0011793C" w:rsidRPr="0011793C" w:rsidRDefault="0011793C" w:rsidP="0011793C">
            <w:pPr>
              <w:pStyle w:val="ListParagraph"/>
              <w:numPr>
                <w:ilvl w:val="0"/>
                <w:numId w:val="30"/>
              </w:numPr>
              <w:rPr>
                <w:lang w:val="en-AU"/>
              </w:rPr>
            </w:pPr>
            <w:r w:rsidRPr="0011793C">
              <w:rPr>
                <w:lang w:val="en-AU"/>
              </w:rPr>
              <w:t xml:space="preserve">An evaluation of the </w:t>
            </w:r>
            <w:r w:rsidRPr="007D3D72">
              <w:rPr>
                <w:lang w:val="en-AU"/>
              </w:rPr>
              <w:t>quality of evidence</w:t>
            </w:r>
            <w:r w:rsidRPr="0011793C">
              <w:rPr>
                <w:lang w:val="en-AU"/>
              </w:rPr>
              <w:t xml:space="preserve"> underpinning </w:t>
            </w:r>
            <w:r w:rsidRPr="0011793C">
              <w:rPr>
                <w:b/>
                <w:lang w:val="en-AU"/>
              </w:rPr>
              <w:t>diabetes management models</w:t>
            </w:r>
            <w:r w:rsidRPr="0011793C">
              <w:rPr>
                <w:lang w:val="en-AU"/>
              </w:rPr>
              <w:t>: a review of the literature (</w:t>
            </w:r>
            <w:r>
              <w:rPr>
                <w:lang w:val="en-AU"/>
              </w:rPr>
              <w:t>Deborah Schofield, Michelle M</w:t>
            </w:r>
            <w:r w:rsidRPr="0011793C">
              <w:rPr>
                <w:lang w:val="en-AU"/>
              </w:rPr>
              <w:t xml:space="preserve"> Cunich and Lucio Naccarella</w:t>
            </w:r>
            <w:r>
              <w:rPr>
                <w:lang w:val="en-AU"/>
              </w:rPr>
              <w:t>)</w:t>
            </w:r>
          </w:p>
          <w:p w:rsidR="0011793C" w:rsidRPr="0011793C" w:rsidRDefault="0011793C" w:rsidP="0011793C">
            <w:pPr>
              <w:pStyle w:val="ListParagraph"/>
              <w:numPr>
                <w:ilvl w:val="0"/>
                <w:numId w:val="30"/>
              </w:numPr>
              <w:rPr>
                <w:lang w:val="en-AU"/>
              </w:rPr>
            </w:pPr>
            <w:r w:rsidRPr="0011793C">
              <w:rPr>
                <w:b/>
                <w:lang w:val="en-AU"/>
              </w:rPr>
              <w:t>Effectiveness of 'rehabilitation in the home'</w:t>
            </w:r>
            <w:r w:rsidRPr="0011793C">
              <w:rPr>
                <w:lang w:val="en-AU"/>
              </w:rPr>
              <w:t xml:space="preserve"> service (Sneha Bharadwaj and David Bruce</w:t>
            </w:r>
            <w:r>
              <w:rPr>
                <w:lang w:val="en-AU"/>
              </w:rPr>
              <w:t>)</w:t>
            </w:r>
          </w:p>
          <w:p w:rsidR="0011793C" w:rsidRPr="0011793C" w:rsidRDefault="0011793C" w:rsidP="0011793C">
            <w:pPr>
              <w:pStyle w:val="ListParagraph"/>
              <w:numPr>
                <w:ilvl w:val="0"/>
                <w:numId w:val="30"/>
              </w:numPr>
              <w:rPr>
                <w:lang w:val="en-AU"/>
              </w:rPr>
            </w:pPr>
            <w:r w:rsidRPr="0011793C">
              <w:rPr>
                <w:lang w:val="en-AU"/>
              </w:rPr>
              <w:t xml:space="preserve">Physiotherapy-led </w:t>
            </w:r>
            <w:r w:rsidRPr="0011793C">
              <w:rPr>
                <w:b/>
                <w:lang w:val="en-AU"/>
              </w:rPr>
              <w:t>arthroplasty review clinic</w:t>
            </w:r>
            <w:r w:rsidRPr="0011793C">
              <w:rPr>
                <w:lang w:val="en-AU"/>
              </w:rPr>
              <w:t>: a preliminary outcomes analysis (Kate E Large, Carolyn J Page, Kim</w:t>
            </w:r>
            <w:r>
              <w:rPr>
                <w:lang w:val="en-AU"/>
              </w:rPr>
              <w:t xml:space="preserve"> Brock, Michelle M</w:t>
            </w:r>
            <w:r w:rsidRPr="0011793C">
              <w:rPr>
                <w:lang w:val="en-AU"/>
              </w:rPr>
              <w:t xml:space="preserve"> Dowsey and Peter F M Choong</w:t>
            </w:r>
            <w:r>
              <w:rPr>
                <w:lang w:val="en-AU"/>
              </w:rPr>
              <w:t>)</w:t>
            </w:r>
          </w:p>
          <w:p w:rsidR="0011793C" w:rsidRPr="0011793C" w:rsidRDefault="0011793C" w:rsidP="0011793C">
            <w:pPr>
              <w:pStyle w:val="ListParagraph"/>
              <w:numPr>
                <w:ilvl w:val="0"/>
                <w:numId w:val="30"/>
              </w:numPr>
              <w:rPr>
                <w:lang w:val="en-AU"/>
              </w:rPr>
            </w:pPr>
            <w:r w:rsidRPr="0011793C">
              <w:rPr>
                <w:b/>
                <w:lang w:val="en-AU"/>
              </w:rPr>
              <w:t>Hospitals caring for rural Aboriginal patients</w:t>
            </w:r>
            <w:r w:rsidRPr="0011793C">
              <w:rPr>
                <w:lang w:val="en-AU"/>
              </w:rPr>
              <w:t>: holding response and denial (Judith Dwyer, Eileen Willis and Janet Kelly</w:t>
            </w:r>
            <w:r>
              <w:rPr>
                <w:lang w:val="en-AU"/>
              </w:rPr>
              <w:t>)</w:t>
            </w:r>
          </w:p>
          <w:p w:rsidR="0011793C" w:rsidRPr="0011793C" w:rsidRDefault="0011793C" w:rsidP="0011793C">
            <w:pPr>
              <w:pStyle w:val="ListParagraph"/>
              <w:numPr>
                <w:ilvl w:val="0"/>
                <w:numId w:val="30"/>
              </w:numPr>
              <w:rPr>
                <w:lang w:val="en-AU"/>
              </w:rPr>
            </w:pPr>
            <w:r w:rsidRPr="0011793C">
              <w:rPr>
                <w:b/>
                <w:lang w:val="en-AU"/>
              </w:rPr>
              <w:t>Implementing a working together model for Aboriginal patients with acute coronary syndrome</w:t>
            </w:r>
            <w:r w:rsidRPr="0011793C">
              <w:rPr>
                <w:lang w:val="en-AU"/>
              </w:rPr>
              <w:t>: an Aboriginal Hospital Liaison Officer and a specialist cardiac nurse working together to improve hospital care (Karen Daws, Amanda Punch, Michelle Winters, Sonia Posenelli, John Willis, Andrew MacIsaac, Muhammad Aziz Rahman and Linda Worrall-Carter</w:t>
            </w:r>
            <w:r>
              <w:rPr>
                <w:lang w:val="en-AU"/>
              </w:rPr>
              <w:t>)</w:t>
            </w:r>
          </w:p>
          <w:p w:rsidR="0011793C" w:rsidRPr="0011793C" w:rsidRDefault="0011793C" w:rsidP="0011793C">
            <w:pPr>
              <w:pStyle w:val="ListParagraph"/>
              <w:numPr>
                <w:ilvl w:val="0"/>
                <w:numId w:val="30"/>
              </w:numPr>
              <w:rPr>
                <w:lang w:val="en-AU"/>
              </w:rPr>
            </w:pPr>
            <w:r w:rsidRPr="0011793C">
              <w:rPr>
                <w:b/>
                <w:lang w:val="en-AU"/>
              </w:rPr>
              <w:t>Antimicrobial stewardship</w:t>
            </w:r>
            <w:r w:rsidRPr="0011793C">
              <w:rPr>
                <w:lang w:val="en-AU"/>
              </w:rPr>
              <w:t xml:space="preserve"> activities: a survey of Queensland hospitals (Minyon L Avent, Lisa Hall, Louise Davis, Michelle Allen, Jason A Roberts, S Unwin, K A McIntosh, K Thursky, K Buising and D L Paterson</w:t>
            </w:r>
            <w:r>
              <w:rPr>
                <w:lang w:val="en-AU"/>
              </w:rPr>
              <w:t>)</w:t>
            </w:r>
          </w:p>
          <w:p w:rsidR="0011793C" w:rsidRPr="0011793C" w:rsidRDefault="0011793C" w:rsidP="0011793C">
            <w:pPr>
              <w:pStyle w:val="ListParagraph"/>
              <w:numPr>
                <w:ilvl w:val="0"/>
                <w:numId w:val="30"/>
              </w:numPr>
              <w:rPr>
                <w:lang w:val="en-AU"/>
              </w:rPr>
            </w:pPr>
            <w:r w:rsidRPr="0011793C">
              <w:rPr>
                <w:lang w:val="en-AU"/>
              </w:rPr>
              <w:lastRenderedPageBreak/>
              <w:t xml:space="preserve">Aiming to be NEAT: </w:t>
            </w:r>
            <w:r w:rsidRPr="0011793C">
              <w:rPr>
                <w:b/>
                <w:lang w:val="en-AU"/>
              </w:rPr>
              <w:t>safely improving and sustaining access</w:t>
            </w:r>
            <w:r w:rsidRPr="0011793C">
              <w:rPr>
                <w:lang w:val="en-AU"/>
              </w:rPr>
              <w:t xml:space="preserve"> to emergency care in a tertiary referral hospital (Clair M Sullivan, Andrew Staib, Judy Flores, Leena Aggarwal, A Scanlon, J H Martin and I A Scott</w:t>
            </w:r>
            <w:r>
              <w:rPr>
                <w:lang w:val="en-AU"/>
              </w:rPr>
              <w:t>)</w:t>
            </w:r>
          </w:p>
          <w:p w:rsidR="0011793C" w:rsidRPr="0011793C" w:rsidRDefault="0011793C" w:rsidP="0011793C">
            <w:pPr>
              <w:pStyle w:val="ListParagraph"/>
              <w:numPr>
                <w:ilvl w:val="0"/>
                <w:numId w:val="30"/>
              </w:numPr>
              <w:rPr>
                <w:lang w:val="en-AU"/>
              </w:rPr>
            </w:pPr>
            <w:r w:rsidRPr="0011793C">
              <w:rPr>
                <w:lang w:val="en-AU"/>
              </w:rPr>
              <w:t xml:space="preserve">Staff perceptions of </w:t>
            </w:r>
            <w:r w:rsidRPr="0011793C">
              <w:rPr>
                <w:b/>
                <w:lang w:val="en-AU"/>
              </w:rPr>
              <w:t>primary healthcare service change</w:t>
            </w:r>
            <w:r w:rsidRPr="0011793C">
              <w:rPr>
                <w:lang w:val="en-AU"/>
              </w:rPr>
              <w:t>: influences on staff satisfaction (Rachel Tham, Penny Buykx, Leigh Kinsman, Bernadette Ward, John S. Humphreys, Adel Asaid, Kathy Tuohey and Rohan Jenner</w:t>
            </w:r>
            <w:r>
              <w:rPr>
                <w:lang w:val="en-AU"/>
              </w:rPr>
              <w:t>)</w:t>
            </w:r>
          </w:p>
          <w:p w:rsidR="0011793C" w:rsidRPr="0011793C" w:rsidRDefault="0011793C" w:rsidP="0011793C">
            <w:pPr>
              <w:pStyle w:val="ListParagraph"/>
              <w:numPr>
                <w:ilvl w:val="0"/>
                <w:numId w:val="30"/>
              </w:numPr>
              <w:rPr>
                <w:lang w:val="en-AU"/>
              </w:rPr>
            </w:pPr>
            <w:r w:rsidRPr="0011793C">
              <w:rPr>
                <w:lang w:val="en-AU"/>
              </w:rPr>
              <w:t xml:space="preserve">Reflecting on the tensions faced by a community-based </w:t>
            </w:r>
            <w:r w:rsidRPr="0011793C">
              <w:rPr>
                <w:b/>
                <w:lang w:val="en-AU"/>
              </w:rPr>
              <w:t>multicultural health navigator service</w:t>
            </w:r>
            <w:r w:rsidRPr="0011793C">
              <w:rPr>
                <w:lang w:val="en-AU"/>
              </w:rPr>
              <w:t xml:space="preserve"> (Saras Henderson and Elizabeth Kendall</w:t>
            </w:r>
            <w:r>
              <w:rPr>
                <w:lang w:val="en-AU"/>
              </w:rPr>
              <w:t>)</w:t>
            </w:r>
          </w:p>
          <w:p w:rsidR="0011793C" w:rsidRPr="004B0E69" w:rsidRDefault="0011793C" w:rsidP="0011793C">
            <w:pPr>
              <w:pStyle w:val="ListParagraph"/>
              <w:numPr>
                <w:ilvl w:val="0"/>
                <w:numId w:val="30"/>
              </w:numPr>
              <w:rPr>
                <w:lang w:val="en-AU"/>
              </w:rPr>
            </w:pPr>
            <w:r w:rsidRPr="0011793C">
              <w:rPr>
                <w:lang w:val="en-AU"/>
              </w:rPr>
              <w:t>The use of social media as a '</w:t>
            </w:r>
            <w:r w:rsidRPr="0011793C">
              <w:rPr>
                <w:b/>
                <w:lang w:val="en-AU"/>
              </w:rPr>
              <w:t>leadership behaviour'</w:t>
            </w:r>
            <w:r w:rsidRPr="0011793C">
              <w:rPr>
                <w:lang w:val="en-AU"/>
              </w:rPr>
              <w:t xml:space="preserve"> in medicine (Harris Eyre, Malcolm Forbes and Gemma Robertson</w:t>
            </w:r>
            <w:r>
              <w:rPr>
                <w:lang w:val="en-AU"/>
              </w:rPr>
              <w:t>)</w:t>
            </w:r>
          </w:p>
        </w:tc>
      </w:tr>
    </w:tbl>
    <w:p w:rsidR="0011793C" w:rsidRDefault="0011793C" w:rsidP="00CC3281">
      <w:pPr>
        <w:keepNext/>
        <w:rPr>
          <w:i/>
          <w:lang w:val="en-AU"/>
        </w:rPr>
      </w:pPr>
    </w:p>
    <w:p w:rsidR="00F967BC" w:rsidRPr="0095520C" w:rsidRDefault="00F967BC" w:rsidP="00F967BC">
      <w:pPr>
        <w:keepNext/>
        <w:rPr>
          <w:lang w:val="en-AU"/>
        </w:rPr>
      </w:pPr>
      <w:r w:rsidRPr="0095520C">
        <w:rPr>
          <w:i/>
          <w:lang w:val="en-AU"/>
        </w:rPr>
        <w:t xml:space="preserve">BMJ Quality and Safety </w:t>
      </w:r>
      <w:r w:rsidRPr="0095520C">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967BC" w:rsidRPr="0095520C" w:rsidTr="00D762BA">
        <w:tc>
          <w:tcPr>
            <w:tcW w:w="1080" w:type="dxa"/>
            <w:tcBorders>
              <w:top w:val="single" w:sz="4" w:space="0" w:color="auto"/>
              <w:left w:val="single" w:sz="4" w:space="0" w:color="auto"/>
              <w:bottom w:val="single" w:sz="4" w:space="0" w:color="auto"/>
              <w:right w:val="single" w:sz="4" w:space="0" w:color="auto"/>
            </w:tcBorders>
            <w:vAlign w:val="center"/>
          </w:tcPr>
          <w:p w:rsidR="00F967BC" w:rsidRPr="0095520C" w:rsidRDefault="00F967BC" w:rsidP="00D762BA">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967BC" w:rsidRPr="0095520C" w:rsidRDefault="00E302EA" w:rsidP="00D762BA">
            <w:pPr>
              <w:rPr>
                <w:lang w:val="en-AU"/>
              </w:rPr>
            </w:pPr>
            <w:hyperlink r:id="rId40" w:history="1">
              <w:r w:rsidR="00F967BC" w:rsidRPr="0095520C">
                <w:rPr>
                  <w:rStyle w:val="Hyperlink"/>
                  <w:lang w:val="en-AU"/>
                </w:rPr>
                <w:t>http://qualitysafety.bmj.com/content/early/recent</w:t>
              </w:r>
            </w:hyperlink>
          </w:p>
        </w:tc>
      </w:tr>
      <w:tr w:rsidR="00F967BC" w:rsidRPr="0095520C" w:rsidTr="00D762BA">
        <w:tc>
          <w:tcPr>
            <w:tcW w:w="1080" w:type="dxa"/>
            <w:tcBorders>
              <w:top w:val="single" w:sz="4" w:space="0" w:color="auto"/>
              <w:left w:val="single" w:sz="4" w:space="0" w:color="auto"/>
              <w:bottom w:val="single" w:sz="4" w:space="0" w:color="auto"/>
              <w:right w:val="single" w:sz="4" w:space="0" w:color="auto"/>
            </w:tcBorders>
            <w:vAlign w:val="center"/>
          </w:tcPr>
          <w:p w:rsidR="00F967BC" w:rsidRPr="0095520C" w:rsidRDefault="00F967BC" w:rsidP="00D762BA">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967BC" w:rsidRPr="0095520C" w:rsidRDefault="00F967BC" w:rsidP="00D762BA">
            <w:pPr>
              <w:rPr>
                <w:lang w:val="en-AU"/>
              </w:rPr>
            </w:pPr>
            <w:r w:rsidRPr="0095520C">
              <w:rPr>
                <w:i/>
                <w:lang w:val="en-AU"/>
              </w:rPr>
              <w:t>BMJ Quality and Safety</w:t>
            </w:r>
            <w:r w:rsidRPr="0095520C">
              <w:rPr>
                <w:lang w:val="en-AU"/>
              </w:rPr>
              <w:t xml:space="preserve"> has published a number of ‘online first’ articles, including:</w:t>
            </w:r>
          </w:p>
          <w:p w:rsidR="007941A5" w:rsidRPr="007941A5" w:rsidRDefault="007941A5" w:rsidP="007941A5">
            <w:pPr>
              <w:pStyle w:val="ListParagraph"/>
              <w:numPr>
                <w:ilvl w:val="0"/>
                <w:numId w:val="14"/>
              </w:numPr>
              <w:rPr>
                <w:lang w:val="en-AU"/>
              </w:rPr>
            </w:pPr>
            <w:r w:rsidRPr="007941A5">
              <w:rPr>
                <w:lang w:val="en-AU"/>
              </w:rPr>
              <w:t xml:space="preserve">Effectiveness of facilitated introduction of a </w:t>
            </w:r>
            <w:r w:rsidRPr="007941A5">
              <w:rPr>
                <w:b/>
                <w:lang w:val="en-AU"/>
              </w:rPr>
              <w:t>standard operating procedure</w:t>
            </w:r>
            <w:r w:rsidRPr="007941A5">
              <w:rPr>
                <w:lang w:val="en-AU"/>
              </w:rPr>
              <w:t xml:space="preserve"> into routine processes in the </w:t>
            </w:r>
            <w:r w:rsidRPr="007941A5">
              <w:rPr>
                <w:b/>
                <w:lang w:val="en-AU"/>
              </w:rPr>
              <w:t>operating theatre</w:t>
            </w:r>
            <w:r w:rsidRPr="007941A5">
              <w:rPr>
                <w:lang w:val="en-AU"/>
              </w:rPr>
              <w:t>: a controlled interrupted time series (Lauren Morgan, Steve New, Eleanor Robertson, Gary Collins, Oliver Rivero-Arias, Ken Catchpole, Sharon P Pickering, Mohammed Hadi, Damian Griffin, Peter McCulloch</w:t>
            </w:r>
            <w:r>
              <w:rPr>
                <w:lang w:val="en-AU"/>
              </w:rPr>
              <w:t>)</w:t>
            </w:r>
          </w:p>
          <w:p w:rsidR="00F967BC" w:rsidRDefault="007941A5" w:rsidP="007941A5">
            <w:pPr>
              <w:pStyle w:val="ListParagraph"/>
              <w:numPr>
                <w:ilvl w:val="0"/>
                <w:numId w:val="14"/>
              </w:numPr>
              <w:rPr>
                <w:lang w:val="en-AU"/>
              </w:rPr>
            </w:pPr>
            <w:r w:rsidRPr="007941A5">
              <w:rPr>
                <w:lang w:val="en-AU"/>
              </w:rPr>
              <w:t xml:space="preserve">Do </w:t>
            </w:r>
            <w:r w:rsidRPr="007941A5">
              <w:rPr>
                <w:b/>
                <w:lang w:val="en-AU"/>
              </w:rPr>
              <w:t>patient-reported outcomes</w:t>
            </w:r>
            <w:r w:rsidRPr="007941A5">
              <w:rPr>
                <w:lang w:val="en-AU"/>
              </w:rPr>
              <w:t xml:space="preserve"> offer a more sensitive method for comparing the outcomes of consultants than mortality? A multilevel analysis of routine data </w:t>
            </w:r>
            <w:r>
              <w:rPr>
                <w:lang w:val="en-AU"/>
              </w:rPr>
              <w:t xml:space="preserve"> (</w:t>
            </w:r>
            <w:r w:rsidRPr="007941A5">
              <w:rPr>
                <w:lang w:val="en-AU"/>
              </w:rPr>
              <w:t>Mira Varagunam, Andrew Hutchings, Nick Black</w:t>
            </w:r>
            <w:r>
              <w:rPr>
                <w:lang w:val="en-AU"/>
              </w:rPr>
              <w:t>)</w:t>
            </w:r>
          </w:p>
          <w:p w:rsidR="00CC32B1" w:rsidRDefault="00CC32B1" w:rsidP="00CC32B1">
            <w:pPr>
              <w:pStyle w:val="ListParagraph"/>
              <w:numPr>
                <w:ilvl w:val="0"/>
                <w:numId w:val="14"/>
              </w:numPr>
              <w:rPr>
                <w:lang w:val="en-AU"/>
              </w:rPr>
            </w:pPr>
            <w:r w:rsidRPr="00CC32B1">
              <w:rPr>
                <w:lang w:val="en-AU"/>
              </w:rPr>
              <w:t xml:space="preserve">Project JOINTS: What factors affect bundle adoption in a </w:t>
            </w:r>
            <w:r w:rsidRPr="00CC32B1">
              <w:rPr>
                <w:b/>
                <w:lang w:val="en-AU"/>
              </w:rPr>
              <w:t>voluntary quality improvement campaign</w:t>
            </w:r>
            <w:r w:rsidRPr="00CC32B1">
              <w:rPr>
                <w:lang w:val="en-AU"/>
              </w:rPr>
              <w:t xml:space="preserve">? </w:t>
            </w:r>
            <w:r>
              <w:rPr>
                <w:lang w:val="en-AU"/>
              </w:rPr>
              <w:t>(</w:t>
            </w:r>
            <w:r w:rsidRPr="00CC32B1">
              <w:rPr>
                <w:lang w:val="en-AU"/>
              </w:rPr>
              <w:t>Dmitry Khodyakov, M Susan Ridgely, Christina Huang, Katherine O DeBartolo, M E Sorbero, E C Schneider</w:t>
            </w:r>
            <w:r>
              <w:rPr>
                <w:lang w:val="en-AU"/>
              </w:rPr>
              <w:t>)</w:t>
            </w:r>
          </w:p>
          <w:p w:rsidR="00C55E44" w:rsidRPr="0095520C" w:rsidRDefault="00C55E44" w:rsidP="00C55E44">
            <w:pPr>
              <w:pStyle w:val="ListParagraph"/>
              <w:numPr>
                <w:ilvl w:val="0"/>
                <w:numId w:val="14"/>
              </w:numPr>
              <w:rPr>
                <w:lang w:val="en-AU"/>
              </w:rPr>
            </w:pPr>
            <w:r w:rsidRPr="00C55E44">
              <w:rPr>
                <w:lang w:val="en-AU"/>
              </w:rPr>
              <w:t xml:space="preserve">Am I my brother's keeper? A survey of 10 healthcare professions in the Netherlands about experiences with </w:t>
            </w:r>
            <w:r w:rsidRPr="00C55E44">
              <w:rPr>
                <w:b/>
                <w:lang w:val="en-AU"/>
              </w:rPr>
              <w:t>impaired and incompetent colleagues</w:t>
            </w:r>
            <w:r>
              <w:rPr>
                <w:lang w:val="en-AU"/>
              </w:rPr>
              <w:t xml:space="preserve"> (</w:t>
            </w:r>
            <w:r w:rsidRPr="00C55E44">
              <w:rPr>
                <w:lang w:val="en-AU"/>
              </w:rPr>
              <w:t xml:space="preserve">Jan Willem </w:t>
            </w:r>
            <w:proofErr w:type="spellStart"/>
            <w:r w:rsidRPr="00C55E44">
              <w:rPr>
                <w:lang w:val="en-AU"/>
              </w:rPr>
              <w:t>Weenink</w:t>
            </w:r>
            <w:proofErr w:type="spellEnd"/>
            <w:r w:rsidRPr="00C55E44">
              <w:rPr>
                <w:lang w:val="en-AU"/>
              </w:rPr>
              <w:t xml:space="preserve">, </w:t>
            </w:r>
            <w:proofErr w:type="spellStart"/>
            <w:r w:rsidRPr="00C55E44">
              <w:rPr>
                <w:lang w:val="en-AU"/>
              </w:rPr>
              <w:t>Gert</w:t>
            </w:r>
            <w:proofErr w:type="spellEnd"/>
            <w:r w:rsidRPr="00C55E44">
              <w:rPr>
                <w:lang w:val="en-AU"/>
              </w:rPr>
              <w:t xml:space="preserve"> P </w:t>
            </w:r>
            <w:proofErr w:type="spellStart"/>
            <w:r w:rsidRPr="00C55E44">
              <w:rPr>
                <w:lang w:val="en-AU"/>
              </w:rPr>
              <w:t>Westert</w:t>
            </w:r>
            <w:proofErr w:type="spellEnd"/>
            <w:r w:rsidRPr="00C55E44">
              <w:rPr>
                <w:lang w:val="en-AU"/>
              </w:rPr>
              <w:t xml:space="preserve">, Lisette </w:t>
            </w:r>
            <w:proofErr w:type="spellStart"/>
            <w:r w:rsidRPr="00C55E44">
              <w:rPr>
                <w:lang w:val="en-AU"/>
              </w:rPr>
              <w:t>Schoonhoven</w:t>
            </w:r>
            <w:proofErr w:type="spellEnd"/>
            <w:r w:rsidRPr="00C55E44">
              <w:rPr>
                <w:lang w:val="en-AU"/>
              </w:rPr>
              <w:t xml:space="preserve">, Hub </w:t>
            </w:r>
            <w:proofErr w:type="spellStart"/>
            <w:r w:rsidRPr="00C55E44">
              <w:rPr>
                <w:lang w:val="en-AU"/>
              </w:rPr>
              <w:t>Wollersheim</w:t>
            </w:r>
            <w:proofErr w:type="spellEnd"/>
            <w:r w:rsidRPr="00C55E44">
              <w:rPr>
                <w:lang w:val="en-AU"/>
              </w:rPr>
              <w:t>, Rudolf B Kool</w:t>
            </w:r>
            <w:r>
              <w:rPr>
                <w:lang w:val="en-AU"/>
              </w:rPr>
              <w:t>)</w:t>
            </w:r>
          </w:p>
        </w:tc>
      </w:tr>
    </w:tbl>
    <w:p w:rsidR="00F967BC" w:rsidRDefault="00F967BC" w:rsidP="00F967BC">
      <w:pPr>
        <w:rPr>
          <w:lang w:val="en-AU"/>
        </w:rPr>
      </w:pPr>
    </w:p>
    <w:p w:rsidR="00590FB6" w:rsidRDefault="00590FB6" w:rsidP="0029518F">
      <w:pPr>
        <w:rPr>
          <w:b/>
          <w:lang w:val="en-AU"/>
        </w:rPr>
      </w:pPr>
      <w:bookmarkStart w:id="1" w:name="_GoBack"/>
      <w:bookmarkEnd w:id="1"/>
      <w:r>
        <w:rPr>
          <w:b/>
          <w:lang w:val="en-AU"/>
        </w:rPr>
        <w:t>Online resources</w:t>
      </w:r>
    </w:p>
    <w:p w:rsidR="001A1145" w:rsidRDefault="001A1145" w:rsidP="001A1145">
      <w:pPr>
        <w:rPr>
          <w:i/>
          <w:lang w:val="en-AU"/>
        </w:rPr>
      </w:pPr>
      <w:r w:rsidRPr="00555BF8">
        <w:rPr>
          <w:i/>
          <w:lang w:val="en-AU"/>
        </w:rPr>
        <w:t>Medical Devices Safety Update</w:t>
      </w:r>
    </w:p>
    <w:p w:rsidR="001A1145" w:rsidRPr="004D255A" w:rsidRDefault="001A1145" w:rsidP="001A1145">
      <w:pPr>
        <w:rPr>
          <w:lang w:val="en-AU"/>
        </w:rPr>
      </w:pPr>
      <w:r w:rsidRPr="004D255A">
        <w:rPr>
          <w:lang w:val="en-AU"/>
        </w:rPr>
        <w:t xml:space="preserve">Volume 2, Number </w:t>
      </w:r>
      <w:r>
        <w:rPr>
          <w:lang w:val="en-AU"/>
        </w:rPr>
        <w:t>6</w:t>
      </w:r>
      <w:r w:rsidRPr="004D255A">
        <w:rPr>
          <w:lang w:val="en-AU"/>
        </w:rPr>
        <w:t xml:space="preserve">, </w:t>
      </w:r>
      <w:r>
        <w:rPr>
          <w:lang w:val="en-AU"/>
        </w:rPr>
        <w:t>Nov</w:t>
      </w:r>
      <w:r w:rsidRPr="004D255A">
        <w:rPr>
          <w:lang w:val="en-AU"/>
        </w:rPr>
        <w:t>ember 2014</w:t>
      </w:r>
    </w:p>
    <w:p w:rsidR="001A1145" w:rsidRDefault="00E302EA" w:rsidP="001A1145">
      <w:pPr>
        <w:rPr>
          <w:lang w:val="en-AU"/>
        </w:rPr>
      </w:pPr>
      <w:hyperlink r:id="rId41" w:history="1">
        <w:r w:rsidR="001A1145" w:rsidRPr="00782F74">
          <w:rPr>
            <w:rStyle w:val="Hyperlink"/>
            <w:lang w:val="en-AU"/>
          </w:rPr>
          <w:t>http://www.tga.gov.au/publication-issue/medical-devices-safety-update-volume-2-number-6-november-2014</w:t>
        </w:r>
      </w:hyperlink>
      <w:r w:rsidR="001A1145">
        <w:rPr>
          <w:lang w:val="en-AU"/>
        </w:rPr>
        <w:t xml:space="preserve"> </w:t>
      </w:r>
    </w:p>
    <w:p w:rsidR="001A1145" w:rsidRDefault="001A1145" w:rsidP="001A1145">
      <w:pPr>
        <w:rPr>
          <w:lang w:val="en-AU"/>
        </w:rPr>
      </w:pPr>
      <w:r>
        <w:rPr>
          <w:lang w:val="en-AU"/>
        </w:rPr>
        <w:t xml:space="preserve">The </w:t>
      </w:r>
      <w:r w:rsidRPr="00555BF8">
        <w:rPr>
          <w:lang w:val="en-AU"/>
        </w:rPr>
        <w:t>Therapeutic Goods Administration (TGA)</w:t>
      </w:r>
      <w:r>
        <w:rPr>
          <w:lang w:val="en-AU"/>
        </w:rPr>
        <w:t xml:space="preserve"> has released the latest edition of its </w:t>
      </w:r>
      <w:r w:rsidRPr="00555BF8">
        <w:rPr>
          <w:lang w:val="en-AU"/>
        </w:rPr>
        <w:t>medical device safety bulletin</w:t>
      </w:r>
      <w:r>
        <w:rPr>
          <w:lang w:val="en-AU"/>
        </w:rPr>
        <w:t>. Topics covered in this issue include:</w:t>
      </w:r>
    </w:p>
    <w:p w:rsidR="001A1145" w:rsidRPr="001A1145" w:rsidRDefault="001A1145" w:rsidP="001A1145">
      <w:pPr>
        <w:pStyle w:val="ListParagraph"/>
        <w:numPr>
          <w:ilvl w:val="0"/>
          <w:numId w:val="15"/>
        </w:numPr>
        <w:rPr>
          <w:lang w:val="en-AU"/>
        </w:rPr>
      </w:pPr>
      <w:r w:rsidRPr="001A1145">
        <w:rPr>
          <w:lang w:val="en-AU"/>
        </w:rPr>
        <w:t>Urogynaecological surgical mesh implants review –</w:t>
      </w:r>
      <w:r>
        <w:rPr>
          <w:lang w:val="en-AU"/>
        </w:rPr>
        <w:t xml:space="preserve"> </w:t>
      </w:r>
      <w:r w:rsidRPr="001A1145">
        <w:rPr>
          <w:lang w:val="en-AU"/>
        </w:rPr>
        <w:t>highlight</w:t>
      </w:r>
      <w:r>
        <w:rPr>
          <w:lang w:val="en-AU"/>
        </w:rPr>
        <w:t>s</w:t>
      </w:r>
      <w:r w:rsidRPr="001A1145">
        <w:rPr>
          <w:lang w:val="en-AU"/>
        </w:rPr>
        <w:t xml:space="preserve"> the importance of appropriate patient selection, surgeon experience and the need for fully informed patient consent.</w:t>
      </w:r>
    </w:p>
    <w:p w:rsidR="001A1145" w:rsidRPr="001A1145" w:rsidRDefault="001A1145" w:rsidP="001A1145">
      <w:pPr>
        <w:pStyle w:val="ListParagraph"/>
        <w:numPr>
          <w:ilvl w:val="0"/>
          <w:numId w:val="15"/>
        </w:numPr>
        <w:rPr>
          <w:lang w:val="en-AU"/>
        </w:rPr>
      </w:pPr>
      <w:r w:rsidRPr="001A1145">
        <w:rPr>
          <w:lang w:val="en-AU"/>
        </w:rPr>
        <w:t>National Joint Replacement Registry data offers insight into orthopaedic implants</w:t>
      </w:r>
    </w:p>
    <w:p w:rsidR="001A1145" w:rsidRPr="001A1145" w:rsidRDefault="001A1145" w:rsidP="001A1145">
      <w:pPr>
        <w:pStyle w:val="ListParagraph"/>
        <w:numPr>
          <w:ilvl w:val="0"/>
          <w:numId w:val="15"/>
        </w:numPr>
        <w:rPr>
          <w:lang w:val="en-AU"/>
        </w:rPr>
      </w:pPr>
      <w:r w:rsidRPr="001A1145">
        <w:rPr>
          <w:lang w:val="en-AU"/>
        </w:rPr>
        <w:t>Warning – incidents relating to use of walking frames as wheelchairs</w:t>
      </w:r>
    </w:p>
    <w:p w:rsidR="001A1145" w:rsidRPr="001A1145" w:rsidRDefault="001A1145" w:rsidP="001A1145">
      <w:pPr>
        <w:pStyle w:val="ListParagraph"/>
        <w:numPr>
          <w:ilvl w:val="0"/>
          <w:numId w:val="15"/>
        </w:numPr>
        <w:rPr>
          <w:lang w:val="en-AU"/>
        </w:rPr>
      </w:pPr>
      <w:r w:rsidRPr="001A1145">
        <w:rPr>
          <w:lang w:val="en-AU"/>
        </w:rPr>
        <w:t>Recent safety alerts</w:t>
      </w:r>
      <w:r>
        <w:rPr>
          <w:lang w:val="en-AU"/>
        </w:rPr>
        <w:t>.</w:t>
      </w:r>
    </w:p>
    <w:p w:rsidR="00E9722D" w:rsidRPr="0095520C" w:rsidRDefault="00E9722D" w:rsidP="0029518F">
      <w:pPr>
        <w:rPr>
          <w:lang w:val="en-AU"/>
        </w:rPr>
      </w:pPr>
    </w:p>
    <w:p w:rsidR="00B160EF" w:rsidRPr="0095520C" w:rsidRDefault="00B160EF" w:rsidP="00B160EF">
      <w:pPr>
        <w:keepNext/>
        <w:pBdr>
          <w:top w:val="single" w:sz="4" w:space="1" w:color="auto"/>
        </w:pBdr>
        <w:rPr>
          <w:b/>
          <w:lang w:val="en-AU"/>
        </w:rPr>
      </w:pPr>
      <w:r w:rsidRPr="0095520C">
        <w:rPr>
          <w:b/>
          <w:lang w:val="en-AU"/>
        </w:rPr>
        <w:t>Disclaimer</w:t>
      </w:r>
    </w:p>
    <w:p w:rsidR="00E41D2F" w:rsidRPr="0095520C" w:rsidRDefault="00B160EF" w:rsidP="00B160EF">
      <w:pPr>
        <w:rPr>
          <w:lang w:val="en-AU"/>
        </w:rPr>
      </w:pPr>
      <w:r w:rsidRPr="0095520C">
        <w:rPr>
          <w:i/>
          <w:lang w:val="en-AU"/>
        </w:rPr>
        <w:t xml:space="preserve">On the </w:t>
      </w:r>
      <w:r w:rsidR="001A66F9" w:rsidRPr="0095520C">
        <w:rPr>
          <w:i/>
          <w:lang w:val="en-AU"/>
        </w:rPr>
        <w:t>R</w:t>
      </w:r>
      <w:r w:rsidRPr="0095520C">
        <w:rPr>
          <w:i/>
          <w:lang w:val="en-AU"/>
        </w:rPr>
        <w:t>adar</w:t>
      </w:r>
      <w:r w:rsidRPr="0095520C">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95520C" w:rsidSect="005C5ABC">
      <w:footerReference w:type="even" r:id="rId42"/>
      <w:footerReference w:type="default" r:id="rId4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2EA" w:rsidRDefault="00E302EA">
      <w:r>
        <w:separator/>
      </w:r>
    </w:p>
  </w:endnote>
  <w:endnote w:type="continuationSeparator" w:id="0">
    <w:p w:rsidR="00E302EA" w:rsidRDefault="00E3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C4A3A">
      <w:rPr>
        <w:rStyle w:val="PageNumber"/>
        <w:noProof/>
      </w:rPr>
      <w:t>8</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F46A65">
      <w:t xml:space="preserve"> Issue 1</w:t>
    </w:r>
    <w:r w:rsidR="00243193">
      <w:t>9</w:t>
    </w:r>
    <w:r w:rsidR="00F967BC">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4A3A">
      <w:rPr>
        <w:rStyle w:val="PageNumber"/>
        <w:noProof/>
      </w:rPr>
      <w:t>7</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F46A65">
      <w:t xml:space="preserve"> Issue 1</w:t>
    </w:r>
    <w:r w:rsidR="00243193">
      <w:t>9</w:t>
    </w:r>
    <w:r w:rsidR="00F967BC">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2EA" w:rsidRDefault="00E302EA">
      <w:r>
        <w:separator/>
      </w:r>
    </w:p>
  </w:footnote>
  <w:footnote w:type="continuationSeparator" w:id="0">
    <w:p w:rsidR="00E302EA" w:rsidRDefault="00E30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AA432E"/>
    <w:multiLevelType w:val="hybridMultilevel"/>
    <w:tmpl w:val="EE72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6F7C5C"/>
    <w:multiLevelType w:val="multilevel"/>
    <w:tmpl w:val="31EC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7020CD"/>
    <w:multiLevelType w:val="hybridMultilevel"/>
    <w:tmpl w:val="9CCE1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FC1334"/>
    <w:multiLevelType w:val="hybridMultilevel"/>
    <w:tmpl w:val="E19C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B8276A"/>
    <w:multiLevelType w:val="hybridMultilevel"/>
    <w:tmpl w:val="B47A2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3F5"/>
    <w:multiLevelType w:val="hybridMultilevel"/>
    <w:tmpl w:val="D528E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0B1980"/>
    <w:multiLevelType w:val="hybridMultilevel"/>
    <w:tmpl w:val="E9E0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E9684C"/>
    <w:multiLevelType w:val="hybridMultilevel"/>
    <w:tmpl w:val="D6F4F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FC5EC0"/>
    <w:multiLevelType w:val="hybridMultilevel"/>
    <w:tmpl w:val="88F8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430F37"/>
    <w:multiLevelType w:val="hybridMultilevel"/>
    <w:tmpl w:val="BD3E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7B0A59"/>
    <w:multiLevelType w:val="hybridMultilevel"/>
    <w:tmpl w:val="5D563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A8F4433"/>
    <w:multiLevelType w:val="hybridMultilevel"/>
    <w:tmpl w:val="3F7E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B991320"/>
    <w:multiLevelType w:val="hybridMultilevel"/>
    <w:tmpl w:val="B33E0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F0F6774"/>
    <w:multiLevelType w:val="hybridMultilevel"/>
    <w:tmpl w:val="349A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B4C5950"/>
    <w:multiLevelType w:val="hybridMultilevel"/>
    <w:tmpl w:val="B104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7"/>
  </w:num>
  <w:num w:numId="15">
    <w:abstractNumId w:val="31"/>
  </w:num>
  <w:num w:numId="16">
    <w:abstractNumId w:val="18"/>
  </w:num>
  <w:num w:numId="17">
    <w:abstractNumId w:val="14"/>
  </w:num>
  <w:num w:numId="18">
    <w:abstractNumId w:val="11"/>
  </w:num>
  <w:num w:numId="19">
    <w:abstractNumId w:val="23"/>
  </w:num>
  <w:num w:numId="20">
    <w:abstractNumId w:val="12"/>
  </w:num>
  <w:num w:numId="21">
    <w:abstractNumId w:val="26"/>
  </w:num>
  <w:num w:numId="22">
    <w:abstractNumId w:val="30"/>
  </w:num>
  <w:num w:numId="23">
    <w:abstractNumId w:val="20"/>
  </w:num>
  <w:num w:numId="24">
    <w:abstractNumId w:val="10"/>
  </w:num>
  <w:num w:numId="25">
    <w:abstractNumId w:val="24"/>
  </w:num>
  <w:num w:numId="26">
    <w:abstractNumId w:val="28"/>
  </w:num>
  <w:num w:numId="27">
    <w:abstractNumId w:val="13"/>
  </w:num>
  <w:num w:numId="28">
    <w:abstractNumId w:val="27"/>
  </w:num>
  <w:num w:numId="29">
    <w:abstractNumId w:val="15"/>
  </w:num>
  <w:num w:numId="30">
    <w:abstractNumId w:val="21"/>
  </w:num>
  <w:num w:numId="31">
    <w:abstractNumId w:val="19"/>
  </w:num>
  <w:num w:numId="32">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2DDC"/>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67F1"/>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41C"/>
    <w:rsid w:val="000B39B1"/>
    <w:rsid w:val="000B3AAB"/>
    <w:rsid w:val="000B3E98"/>
    <w:rsid w:val="000B41A3"/>
    <w:rsid w:val="000B424F"/>
    <w:rsid w:val="000B42C1"/>
    <w:rsid w:val="000B47B8"/>
    <w:rsid w:val="000B4CD7"/>
    <w:rsid w:val="000B5CEA"/>
    <w:rsid w:val="000B5D1E"/>
    <w:rsid w:val="000B5DA6"/>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4BB0"/>
    <w:rsid w:val="000D54A0"/>
    <w:rsid w:val="000D569F"/>
    <w:rsid w:val="000D5C93"/>
    <w:rsid w:val="000D5F0F"/>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1789C"/>
    <w:rsid w:val="0011793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69DA"/>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3E05"/>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73E"/>
    <w:rsid w:val="001B0A78"/>
    <w:rsid w:val="001B0B21"/>
    <w:rsid w:val="001B0B9E"/>
    <w:rsid w:val="001B0CDD"/>
    <w:rsid w:val="001B1900"/>
    <w:rsid w:val="001B1E1E"/>
    <w:rsid w:val="001B1E8E"/>
    <w:rsid w:val="001B214E"/>
    <w:rsid w:val="001B2236"/>
    <w:rsid w:val="001B2FF5"/>
    <w:rsid w:val="001B3177"/>
    <w:rsid w:val="001B3455"/>
    <w:rsid w:val="001B37F1"/>
    <w:rsid w:val="001B3CDF"/>
    <w:rsid w:val="001B3DE3"/>
    <w:rsid w:val="001B3F64"/>
    <w:rsid w:val="001B49B3"/>
    <w:rsid w:val="001B4C12"/>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223"/>
    <w:rsid w:val="001D6426"/>
    <w:rsid w:val="001D6861"/>
    <w:rsid w:val="001D6B57"/>
    <w:rsid w:val="001D7192"/>
    <w:rsid w:val="001D7200"/>
    <w:rsid w:val="001D7487"/>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93B"/>
    <w:rsid w:val="001E70CC"/>
    <w:rsid w:val="001E74BF"/>
    <w:rsid w:val="001E75AC"/>
    <w:rsid w:val="001E76FD"/>
    <w:rsid w:val="001E786A"/>
    <w:rsid w:val="001E7EAC"/>
    <w:rsid w:val="001F01DE"/>
    <w:rsid w:val="001F01DF"/>
    <w:rsid w:val="001F04A1"/>
    <w:rsid w:val="001F06F3"/>
    <w:rsid w:val="001F0748"/>
    <w:rsid w:val="001F0887"/>
    <w:rsid w:val="001F09EB"/>
    <w:rsid w:val="001F12A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0D4"/>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F80"/>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0C21"/>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27D"/>
    <w:rsid w:val="00311416"/>
    <w:rsid w:val="00311441"/>
    <w:rsid w:val="00312194"/>
    <w:rsid w:val="003125D7"/>
    <w:rsid w:val="00312842"/>
    <w:rsid w:val="0031289B"/>
    <w:rsid w:val="0031331B"/>
    <w:rsid w:val="00313534"/>
    <w:rsid w:val="003136EB"/>
    <w:rsid w:val="00313DF7"/>
    <w:rsid w:val="0031406B"/>
    <w:rsid w:val="0031450E"/>
    <w:rsid w:val="003145C5"/>
    <w:rsid w:val="003146AC"/>
    <w:rsid w:val="003148D1"/>
    <w:rsid w:val="00315229"/>
    <w:rsid w:val="00315B49"/>
    <w:rsid w:val="00315F18"/>
    <w:rsid w:val="00316878"/>
    <w:rsid w:val="00317017"/>
    <w:rsid w:val="00317070"/>
    <w:rsid w:val="0031757B"/>
    <w:rsid w:val="003178C0"/>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E9"/>
    <w:rsid w:val="00326A09"/>
    <w:rsid w:val="00326C4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6DF"/>
    <w:rsid w:val="00337718"/>
    <w:rsid w:val="0033796F"/>
    <w:rsid w:val="00337DF2"/>
    <w:rsid w:val="00337FAA"/>
    <w:rsid w:val="00340157"/>
    <w:rsid w:val="0034028A"/>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090"/>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78B"/>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4A84"/>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75DB"/>
    <w:rsid w:val="00407DC7"/>
    <w:rsid w:val="004104E0"/>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4FF"/>
    <w:rsid w:val="0047478C"/>
    <w:rsid w:val="00475124"/>
    <w:rsid w:val="0047560D"/>
    <w:rsid w:val="0047606C"/>
    <w:rsid w:val="0047663A"/>
    <w:rsid w:val="00477900"/>
    <w:rsid w:val="00477C6C"/>
    <w:rsid w:val="00480137"/>
    <w:rsid w:val="004804DC"/>
    <w:rsid w:val="0048081E"/>
    <w:rsid w:val="00480B6E"/>
    <w:rsid w:val="00480D73"/>
    <w:rsid w:val="00480D9D"/>
    <w:rsid w:val="0048169F"/>
    <w:rsid w:val="00481791"/>
    <w:rsid w:val="004818A6"/>
    <w:rsid w:val="00481D45"/>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534"/>
    <w:rsid w:val="004A2069"/>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1EE"/>
    <w:rsid w:val="004B2240"/>
    <w:rsid w:val="004B22E4"/>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277"/>
    <w:rsid w:val="004C2534"/>
    <w:rsid w:val="004C323D"/>
    <w:rsid w:val="004C33AE"/>
    <w:rsid w:val="004C3D42"/>
    <w:rsid w:val="004C40B0"/>
    <w:rsid w:val="004C453D"/>
    <w:rsid w:val="004C4A68"/>
    <w:rsid w:val="004C566D"/>
    <w:rsid w:val="004C589D"/>
    <w:rsid w:val="004C5DBB"/>
    <w:rsid w:val="004C6184"/>
    <w:rsid w:val="004C61D9"/>
    <w:rsid w:val="004C63BF"/>
    <w:rsid w:val="004C6495"/>
    <w:rsid w:val="004C6933"/>
    <w:rsid w:val="004C6A00"/>
    <w:rsid w:val="004C7A99"/>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D5A"/>
    <w:rsid w:val="005031DD"/>
    <w:rsid w:val="00503824"/>
    <w:rsid w:val="00503AAD"/>
    <w:rsid w:val="00503CF4"/>
    <w:rsid w:val="00503DA0"/>
    <w:rsid w:val="00504108"/>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D39"/>
    <w:rsid w:val="00516D71"/>
    <w:rsid w:val="00516E60"/>
    <w:rsid w:val="005170D2"/>
    <w:rsid w:val="00517355"/>
    <w:rsid w:val="00517495"/>
    <w:rsid w:val="0051777C"/>
    <w:rsid w:val="005178C8"/>
    <w:rsid w:val="00517A0E"/>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3E"/>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AA"/>
    <w:rsid w:val="005604F3"/>
    <w:rsid w:val="00560DF0"/>
    <w:rsid w:val="00561062"/>
    <w:rsid w:val="0056110A"/>
    <w:rsid w:val="00561338"/>
    <w:rsid w:val="00561395"/>
    <w:rsid w:val="005614E9"/>
    <w:rsid w:val="00561D5F"/>
    <w:rsid w:val="005623FF"/>
    <w:rsid w:val="00562528"/>
    <w:rsid w:val="00562AC2"/>
    <w:rsid w:val="00562D16"/>
    <w:rsid w:val="0056339A"/>
    <w:rsid w:val="00563647"/>
    <w:rsid w:val="00563767"/>
    <w:rsid w:val="005638E8"/>
    <w:rsid w:val="0056406C"/>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8A3"/>
    <w:rsid w:val="0058491C"/>
    <w:rsid w:val="00584A41"/>
    <w:rsid w:val="00584CE5"/>
    <w:rsid w:val="00585316"/>
    <w:rsid w:val="00585685"/>
    <w:rsid w:val="00585732"/>
    <w:rsid w:val="00585780"/>
    <w:rsid w:val="00585948"/>
    <w:rsid w:val="00585B0D"/>
    <w:rsid w:val="00585FDB"/>
    <w:rsid w:val="0058628C"/>
    <w:rsid w:val="005862E6"/>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4A7A"/>
    <w:rsid w:val="00594C79"/>
    <w:rsid w:val="00594E0C"/>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671"/>
    <w:rsid w:val="005B2845"/>
    <w:rsid w:val="005B2CA0"/>
    <w:rsid w:val="005B3728"/>
    <w:rsid w:val="005B37B8"/>
    <w:rsid w:val="005B3A94"/>
    <w:rsid w:val="005B3D19"/>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4F5E"/>
    <w:rsid w:val="005D514F"/>
    <w:rsid w:val="005D54B1"/>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5FC"/>
    <w:rsid w:val="006B3639"/>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9DC"/>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680"/>
    <w:rsid w:val="00716AC5"/>
    <w:rsid w:val="00716B22"/>
    <w:rsid w:val="007209DD"/>
    <w:rsid w:val="00720C2A"/>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A5F"/>
    <w:rsid w:val="00741C23"/>
    <w:rsid w:val="007425FF"/>
    <w:rsid w:val="007427AA"/>
    <w:rsid w:val="00742D5A"/>
    <w:rsid w:val="0074369F"/>
    <w:rsid w:val="00743AF2"/>
    <w:rsid w:val="007442A3"/>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2DA"/>
    <w:rsid w:val="00771468"/>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2B7"/>
    <w:rsid w:val="00790174"/>
    <w:rsid w:val="007901B0"/>
    <w:rsid w:val="007902FB"/>
    <w:rsid w:val="00790419"/>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3D72"/>
    <w:rsid w:val="007D4D8F"/>
    <w:rsid w:val="007D529B"/>
    <w:rsid w:val="007D5386"/>
    <w:rsid w:val="007D540C"/>
    <w:rsid w:val="007D5EB3"/>
    <w:rsid w:val="007D61BD"/>
    <w:rsid w:val="007D66D5"/>
    <w:rsid w:val="007D6B22"/>
    <w:rsid w:val="007D70AC"/>
    <w:rsid w:val="007D726D"/>
    <w:rsid w:val="007D7AC5"/>
    <w:rsid w:val="007D7F08"/>
    <w:rsid w:val="007E022E"/>
    <w:rsid w:val="007E0A55"/>
    <w:rsid w:val="007E0BE2"/>
    <w:rsid w:val="007E10D9"/>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50"/>
    <w:rsid w:val="008004BC"/>
    <w:rsid w:val="008004E4"/>
    <w:rsid w:val="0080071E"/>
    <w:rsid w:val="0080095E"/>
    <w:rsid w:val="008010C1"/>
    <w:rsid w:val="008012AB"/>
    <w:rsid w:val="00801658"/>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78A"/>
    <w:rsid w:val="00815D69"/>
    <w:rsid w:val="0081688C"/>
    <w:rsid w:val="00816E5E"/>
    <w:rsid w:val="00817181"/>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545F"/>
    <w:rsid w:val="00825A32"/>
    <w:rsid w:val="00825CD1"/>
    <w:rsid w:val="00825D67"/>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962"/>
    <w:rsid w:val="00880BD7"/>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9AF"/>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2260"/>
    <w:rsid w:val="008C2914"/>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6F2A"/>
    <w:rsid w:val="008E7AB5"/>
    <w:rsid w:val="008E7FCE"/>
    <w:rsid w:val="008F0447"/>
    <w:rsid w:val="008F088E"/>
    <w:rsid w:val="008F0892"/>
    <w:rsid w:val="008F10F0"/>
    <w:rsid w:val="008F13D7"/>
    <w:rsid w:val="008F1462"/>
    <w:rsid w:val="008F16A5"/>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4836"/>
    <w:rsid w:val="008F5014"/>
    <w:rsid w:val="008F5054"/>
    <w:rsid w:val="008F5176"/>
    <w:rsid w:val="008F535D"/>
    <w:rsid w:val="008F5CB9"/>
    <w:rsid w:val="008F5E22"/>
    <w:rsid w:val="008F6173"/>
    <w:rsid w:val="008F66F1"/>
    <w:rsid w:val="008F6BE3"/>
    <w:rsid w:val="008F7D35"/>
    <w:rsid w:val="00901324"/>
    <w:rsid w:val="00901B8B"/>
    <w:rsid w:val="00901BBB"/>
    <w:rsid w:val="00901CE3"/>
    <w:rsid w:val="00902108"/>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71"/>
    <w:rsid w:val="0093049D"/>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47BC"/>
    <w:rsid w:val="00934D16"/>
    <w:rsid w:val="00934F99"/>
    <w:rsid w:val="00935317"/>
    <w:rsid w:val="00935577"/>
    <w:rsid w:val="00935758"/>
    <w:rsid w:val="00935969"/>
    <w:rsid w:val="00935CAD"/>
    <w:rsid w:val="00935CEC"/>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3DF"/>
    <w:rsid w:val="0097155F"/>
    <w:rsid w:val="00971618"/>
    <w:rsid w:val="00971A0E"/>
    <w:rsid w:val="00971B64"/>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0DE8"/>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9BF"/>
    <w:rsid w:val="00993A5A"/>
    <w:rsid w:val="00994116"/>
    <w:rsid w:val="009942B4"/>
    <w:rsid w:val="00994766"/>
    <w:rsid w:val="00994A73"/>
    <w:rsid w:val="00994B9B"/>
    <w:rsid w:val="00994BE2"/>
    <w:rsid w:val="00994D61"/>
    <w:rsid w:val="0099515C"/>
    <w:rsid w:val="009951BA"/>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0D2C"/>
    <w:rsid w:val="009C106C"/>
    <w:rsid w:val="009C1292"/>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A48"/>
    <w:rsid w:val="009D2D29"/>
    <w:rsid w:val="009D34E4"/>
    <w:rsid w:val="009D3C85"/>
    <w:rsid w:val="009D3CCD"/>
    <w:rsid w:val="009D3EA0"/>
    <w:rsid w:val="009D434C"/>
    <w:rsid w:val="009D440F"/>
    <w:rsid w:val="009D46E0"/>
    <w:rsid w:val="009D54D4"/>
    <w:rsid w:val="009D55E6"/>
    <w:rsid w:val="009D57B1"/>
    <w:rsid w:val="009D5B0A"/>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5B6"/>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1B66"/>
    <w:rsid w:val="00A020DD"/>
    <w:rsid w:val="00A027FD"/>
    <w:rsid w:val="00A02BDF"/>
    <w:rsid w:val="00A02F37"/>
    <w:rsid w:val="00A02F4C"/>
    <w:rsid w:val="00A034A7"/>
    <w:rsid w:val="00A03686"/>
    <w:rsid w:val="00A03792"/>
    <w:rsid w:val="00A03CE8"/>
    <w:rsid w:val="00A0424A"/>
    <w:rsid w:val="00A04551"/>
    <w:rsid w:val="00A04581"/>
    <w:rsid w:val="00A0463B"/>
    <w:rsid w:val="00A048B6"/>
    <w:rsid w:val="00A04CAD"/>
    <w:rsid w:val="00A054A0"/>
    <w:rsid w:val="00A054CA"/>
    <w:rsid w:val="00A056EF"/>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B1E"/>
    <w:rsid w:val="00A27C43"/>
    <w:rsid w:val="00A30AB4"/>
    <w:rsid w:val="00A30DF9"/>
    <w:rsid w:val="00A30FCE"/>
    <w:rsid w:val="00A31632"/>
    <w:rsid w:val="00A318EA"/>
    <w:rsid w:val="00A31D03"/>
    <w:rsid w:val="00A31F7B"/>
    <w:rsid w:val="00A32C35"/>
    <w:rsid w:val="00A32C86"/>
    <w:rsid w:val="00A32DEB"/>
    <w:rsid w:val="00A332C2"/>
    <w:rsid w:val="00A33E2B"/>
    <w:rsid w:val="00A343D8"/>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D37"/>
    <w:rsid w:val="00A7329B"/>
    <w:rsid w:val="00A73A3C"/>
    <w:rsid w:val="00A73C28"/>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4EB"/>
    <w:rsid w:val="00A835F8"/>
    <w:rsid w:val="00A83604"/>
    <w:rsid w:val="00A83A35"/>
    <w:rsid w:val="00A83E18"/>
    <w:rsid w:val="00A83F08"/>
    <w:rsid w:val="00A8405E"/>
    <w:rsid w:val="00A84250"/>
    <w:rsid w:val="00A8443B"/>
    <w:rsid w:val="00A85446"/>
    <w:rsid w:val="00A8569F"/>
    <w:rsid w:val="00A858AC"/>
    <w:rsid w:val="00A85FB5"/>
    <w:rsid w:val="00A8615C"/>
    <w:rsid w:val="00A86EBE"/>
    <w:rsid w:val="00A8759A"/>
    <w:rsid w:val="00A875AA"/>
    <w:rsid w:val="00A8793D"/>
    <w:rsid w:val="00A87C7C"/>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BA7"/>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033"/>
    <w:rsid w:val="00AB6902"/>
    <w:rsid w:val="00AB6959"/>
    <w:rsid w:val="00AB6ACE"/>
    <w:rsid w:val="00AB76E9"/>
    <w:rsid w:val="00AB77A4"/>
    <w:rsid w:val="00AB7DFD"/>
    <w:rsid w:val="00AC0084"/>
    <w:rsid w:val="00AC045C"/>
    <w:rsid w:val="00AC0C25"/>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B5C"/>
    <w:rsid w:val="00AE7C44"/>
    <w:rsid w:val="00AE7CC4"/>
    <w:rsid w:val="00AF0782"/>
    <w:rsid w:val="00AF0866"/>
    <w:rsid w:val="00AF0B81"/>
    <w:rsid w:val="00AF0C1F"/>
    <w:rsid w:val="00AF0E8D"/>
    <w:rsid w:val="00AF0F66"/>
    <w:rsid w:val="00AF0FCC"/>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35F"/>
    <w:rsid w:val="00B066EF"/>
    <w:rsid w:val="00B07652"/>
    <w:rsid w:val="00B0778B"/>
    <w:rsid w:val="00B079DA"/>
    <w:rsid w:val="00B07A83"/>
    <w:rsid w:val="00B07D04"/>
    <w:rsid w:val="00B07DA0"/>
    <w:rsid w:val="00B07EFB"/>
    <w:rsid w:val="00B100DB"/>
    <w:rsid w:val="00B1016C"/>
    <w:rsid w:val="00B1029B"/>
    <w:rsid w:val="00B10950"/>
    <w:rsid w:val="00B10A6F"/>
    <w:rsid w:val="00B10D33"/>
    <w:rsid w:val="00B10F4A"/>
    <w:rsid w:val="00B116A3"/>
    <w:rsid w:val="00B11800"/>
    <w:rsid w:val="00B1192F"/>
    <w:rsid w:val="00B119FE"/>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38C"/>
    <w:rsid w:val="00B26A21"/>
    <w:rsid w:val="00B26D2A"/>
    <w:rsid w:val="00B26D65"/>
    <w:rsid w:val="00B272FF"/>
    <w:rsid w:val="00B2747B"/>
    <w:rsid w:val="00B27493"/>
    <w:rsid w:val="00B27FB8"/>
    <w:rsid w:val="00B3043A"/>
    <w:rsid w:val="00B307FA"/>
    <w:rsid w:val="00B30B2B"/>
    <w:rsid w:val="00B30D03"/>
    <w:rsid w:val="00B30D9E"/>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6D29"/>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2DC"/>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C19"/>
    <w:rsid w:val="00BA7FC7"/>
    <w:rsid w:val="00BB0157"/>
    <w:rsid w:val="00BB029F"/>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4BA"/>
    <w:rsid w:val="00BF6A4F"/>
    <w:rsid w:val="00BF6DCF"/>
    <w:rsid w:val="00BF7553"/>
    <w:rsid w:val="00BF75FB"/>
    <w:rsid w:val="00BF79DA"/>
    <w:rsid w:val="00C0040B"/>
    <w:rsid w:val="00C00F87"/>
    <w:rsid w:val="00C01081"/>
    <w:rsid w:val="00C011B9"/>
    <w:rsid w:val="00C0132D"/>
    <w:rsid w:val="00C017EC"/>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1640"/>
    <w:rsid w:val="00C22682"/>
    <w:rsid w:val="00C226F6"/>
    <w:rsid w:val="00C237B7"/>
    <w:rsid w:val="00C23CED"/>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D8"/>
    <w:rsid w:val="00C373E0"/>
    <w:rsid w:val="00C37458"/>
    <w:rsid w:val="00C3780D"/>
    <w:rsid w:val="00C379CE"/>
    <w:rsid w:val="00C40100"/>
    <w:rsid w:val="00C405E7"/>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E27"/>
    <w:rsid w:val="00C52F22"/>
    <w:rsid w:val="00C5364C"/>
    <w:rsid w:val="00C53AE6"/>
    <w:rsid w:val="00C53D3A"/>
    <w:rsid w:val="00C5415E"/>
    <w:rsid w:val="00C545DA"/>
    <w:rsid w:val="00C54970"/>
    <w:rsid w:val="00C551D1"/>
    <w:rsid w:val="00C557E0"/>
    <w:rsid w:val="00C5588C"/>
    <w:rsid w:val="00C55E44"/>
    <w:rsid w:val="00C55EE2"/>
    <w:rsid w:val="00C56182"/>
    <w:rsid w:val="00C561DB"/>
    <w:rsid w:val="00C56E21"/>
    <w:rsid w:val="00C56E71"/>
    <w:rsid w:val="00C57919"/>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983"/>
    <w:rsid w:val="00CB432B"/>
    <w:rsid w:val="00CB4765"/>
    <w:rsid w:val="00CB491A"/>
    <w:rsid w:val="00CB4CD1"/>
    <w:rsid w:val="00CB5760"/>
    <w:rsid w:val="00CB5918"/>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281"/>
    <w:rsid w:val="00CC32B1"/>
    <w:rsid w:val="00CC3317"/>
    <w:rsid w:val="00CC3335"/>
    <w:rsid w:val="00CC3629"/>
    <w:rsid w:val="00CC370C"/>
    <w:rsid w:val="00CC3ABC"/>
    <w:rsid w:val="00CC4814"/>
    <w:rsid w:val="00CC486A"/>
    <w:rsid w:val="00CC4FCA"/>
    <w:rsid w:val="00CC51A7"/>
    <w:rsid w:val="00CC55F4"/>
    <w:rsid w:val="00CC5DD3"/>
    <w:rsid w:val="00CC64FD"/>
    <w:rsid w:val="00CC65C4"/>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4E7"/>
    <w:rsid w:val="00CD575F"/>
    <w:rsid w:val="00CD5A45"/>
    <w:rsid w:val="00CD6461"/>
    <w:rsid w:val="00CD6C71"/>
    <w:rsid w:val="00CD74AE"/>
    <w:rsid w:val="00CD7AA4"/>
    <w:rsid w:val="00CE0099"/>
    <w:rsid w:val="00CE064A"/>
    <w:rsid w:val="00CE0899"/>
    <w:rsid w:val="00CE09F3"/>
    <w:rsid w:val="00CE1044"/>
    <w:rsid w:val="00CE109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0AF"/>
    <w:rsid w:val="00D0133A"/>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556"/>
    <w:rsid w:val="00D236EB"/>
    <w:rsid w:val="00D2372E"/>
    <w:rsid w:val="00D23B52"/>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629D"/>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74B"/>
    <w:rsid w:val="00D54C0B"/>
    <w:rsid w:val="00D54DC6"/>
    <w:rsid w:val="00D553FB"/>
    <w:rsid w:val="00D55905"/>
    <w:rsid w:val="00D56134"/>
    <w:rsid w:val="00D566A3"/>
    <w:rsid w:val="00D56A75"/>
    <w:rsid w:val="00D57545"/>
    <w:rsid w:val="00D57592"/>
    <w:rsid w:val="00D60CBA"/>
    <w:rsid w:val="00D61363"/>
    <w:rsid w:val="00D613EA"/>
    <w:rsid w:val="00D61DCD"/>
    <w:rsid w:val="00D61E57"/>
    <w:rsid w:val="00D6226C"/>
    <w:rsid w:val="00D62454"/>
    <w:rsid w:val="00D6249C"/>
    <w:rsid w:val="00D6299D"/>
    <w:rsid w:val="00D62A26"/>
    <w:rsid w:val="00D62C3A"/>
    <w:rsid w:val="00D62FF9"/>
    <w:rsid w:val="00D63730"/>
    <w:rsid w:val="00D639C6"/>
    <w:rsid w:val="00D63CCB"/>
    <w:rsid w:val="00D6453B"/>
    <w:rsid w:val="00D64608"/>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2B2"/>
    <w:rsid w:val="00DA05A0"/>
    <w:rsid w:val="00DA0700"/>
    <w:rsid w:val="00DA0705"/>
    <w:rsid w:val="00DA0C6E"/>
    <w:rsid w:val="00DA0EBA"/>
    <w:rsid w:val="00DA0F4D"/>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A90"/>
    <w:rsid w:val="00DA7AD4"/>
    <w:rsid w:val="00DB0097"/>
    <w:rsid w:val="00DB0611"/>
    <w:rsid w:val="00DB0716"/>
    <w:rsid w:val="00DB0AE5"/>
    <w:rsid w:val="00DB0E22"/>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348"/>
    <w:rsid w:val="00DC1356"/>
    <w:rsid w:val="00DC1359"/>
    <w:rsid w:val="00DC2EB7"/>
    <w:rsid w:val="00DC2EC5"/>
    <w:rsid w:val="00DC2F77"/>
    <w:rsid w:val="00DC33C7"/>
    <w:rsid w:val="00DC3A4A"/>
    <w:rsid w:val="00DC3DC5"/>
    <w:rsid w:val="00DC4C3C"/>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30A"/>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97C"/>
    <w:rsid w:val="00E12CB3"/>
    <w:rsid w:val="00E12F02"/>
    <w:rsid w:val="00E1322A"/>
    <w:rsid w:val="00E132BA"/>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51D"/>
    <w:rsid w:val="00E24AED"/>
    <w:rsid w:val="00E24E76"/>
    <w:rsid w:val="00E24EDB"/>
    <w:rsid w:val="00E255A4"/>
    <w:rsid w:val="00E258D9"/>
    <w:rsid w:val="00E2592D"/>
    <w:rsid w:val="00E25D97"/>
    <w:rsid w:val="00E25DBC"/>
    <w:rsid w:val="00E26882"/>
    <w:rsid w:val="00E26945"/>
    <w:rsid w:val="00E26A89"/>
    <w:rsid w:val="00E27475"/>
    <w:rsid w:val="00E27686"/>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4411"/>
    <w:rsid w:val="00E946C2"/>
    <w:rsid w:val="00E94A30"/>
    <w:rsid w:val="00E94D6F"/>
    <w:rsid w:val="00E94EAD"/>
    <w:rsid w:val="00E94FDD"/>
    <w:rsid w:val="00E95085"/>
    <w:rsid w:val="00E95E85"/>
    <w:rsid w:val="00E95E94"/>
    <w:rsid w:val="00E96314"/>
    <w:rsid w:val="00E968FD"/>
    <w:rsid w:val="00E96E5B"/>
    <w:rsid w:val="00E971FC"/>
    <w:rsid w:val="00E9722D"/>
    <w:rsid w:val="00E9739F"/>
    <w:rsid w:val="00E973EE"/>
    <w:rsid w:val="00E9795B"/>
    <w:rsid w:val="00E97D08"/>
    <w:rsid w:val="00E97F9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5020"/>
    <w:rsid w:val="00ED543D"/>
    <w:rsid w:val="00ED54FD"/>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B36"/>
    <w:rsid w:val="00EE5C2C"/>
    <w:rsid w:val="00EE66E5"/>
    <w:rsid w:val="00EE6945"/>
    <w:rsid w:val="00EE696A"/>
    <w:rsid w:val="00EE6B99"/>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7DD"/>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850"/>
    <w:rsid w:val="00F17CCE"/>
    <w:rsid w:val="00F20458"/>
    <w:rsid w:val="00F20F59"/>
    <w:rsid w:val="00F2160D"/>
    <w:rsid w:val="00F22C87"/>
    <w:rsid w:val="00F22E3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47F"/>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65"/>
    <w:rsid w:val="00F46A78"/>
    <w:rsid w:val="00F46F65"/>
    <w:rsid w:val="00F47BD0"/>
    <w:rsid w:val="00F501D9"/>
    <w:rsid w:val="00F501EF"/>
    <w:rsid w:val="00F50F39"/>
    <w:rsid w:val="00F50FBB"/>
    <w:rsid w:val="00F51079"/>
    <w:rsid w:val="00F514A6"/>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F49"/>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accreditation-and-the-nsqhs-standards/consultation-guide-for-health-service-organisation-boards-implementing-the-national-safety-and-quality-health-service-nsqhs/" TargetMode="External"/><Relationship Id="rId26" Type="http://schemas.openxmlformats.org/officeDocument/2006/relationships/hyperlink" Target="http://dx.doi.org/10.1093/intqhc/mzu065" TargetMode="External"/><Relationship Id="rId39" Type="http://schemas.openxmlformats.org/officeDocument/2006/relationships/hyperlink" Target="http://www.publish.csiro.au/nid/271/issue/7059.htm" TargetMode="External"/><Relationship Id="rId3" Type="http://schemas.openxmlformats.org/officeDocument/2006/relationships/styles" Target="styles.xml"/><Relationship Id="rId21" Type="http://schemas.openxmlformats.org/officeDocument/2006/relationships/hyperlink" Target="http://www.safetyandquality.gov.au/our-work/patient-and-consumer-centred-care/" TargetMode="External"/><Relationship Id="rId34" Type="http://schemas.openxmlformats.org/officeDocument/2006/relationships/hyperlink" Target="http://www.safetyandquality.gov.au/our-work/shared-decision-making/"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blueshadowgroup.com.au/clients/ACSQHC/high5/index.html" TargetMode="External"/><Relationship Id="rId25" Type="http://schemas.openxmlformats.org/officeDocument/2006/relationships/hyperlink" Target="http://dx.doi.org/10.1093/intqhc/mzu071" TargetMode="External"/><Relationship Id="rId33" Type="http://schemas.openxmlformats.org/officeDocument/2006/relationships/hyperlink" Target="http://dx.doi.org/10.1001/jama.2014.10186" TargetMode="External"/><Relationship Id="rId38" Type="http://schemas.openxmlformats.org/officeDocument/2006/relationships/hyperlink" Target="http://www.safetyandquality.gov.au/our-work/recognition-and-response-to-clinical-deterioration/" TargetMode="External"/><Relationship Id="rId2" Type="http://schemas.openxmlformats.org/officeDocument/2006/relationships/numbering" Target="numbering.xml"/><Relationship Id="rId16" Type="http://schemas.openxmlformats.org/officeDocument/2006/relationships/hyperlink" Target="http://www.blueshadowgroup.com.au/clients/ACSQHC/high5/index.html" TargetMode="External"/><Relationship Id="rId20" Type="http://schemas.openxmlformats.org/officeDocument/2006/relationships/hyperlink" Target="http://personcentredcare.health.org.uk/resources/person-centred-care-made-simple" TargetMode="External"/><Relationship Id="rId29" Type="http://schemas.openxmlformats.org/officeDocument/2006/relationships/hyperlink" Target="http://www.safetyandquality.gov.au/our-work/medication-safety/safer-naming-labelling-and-packaging-of-medicines/national-tall-man-lettering/" TargetMode="External"/><Relationship Id="rId41" Type="http://schemas.openxmlformats.org/officeDocument/2006/relationships/hyperlink" Target="http://www.tga.gov.au/publication-issue/medical-devices-safety-update-volume-2-number-6-november-2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themonthly.com.au/issue/2014/november/1414760400/karen-hitchcock/medicine" TargetMode="External"/><Relationship Id="rId32" Type="http://schemas.openxmlformats.org/officeDocument/2006/relationships/hyperlink" Target="http://dx.doi.org/10.1186/1472-6963-14-481" TargetMode="External"/><Relationship Id="rId37" Type="http://schemas.openxmlformats.org/officeDocument/2006/relationships/hyperlink" Target="http://www.aaic.net.au/Document/?D=20140162" TargetMode="External"/><Relationship Id="rId40" Type="http://schemas.openxmlformats.org/officeDocument/2006/relationships/hyperlink" Target="http://qualitysafety.bmj.com/content/early/recent"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5694/mja14.00681" TargetMode="External"/><Relationship Id="rId28" Type="http://schemas.openxmlformats.org/officeDocument/2006/relationships/hyperlink" Target="http://dx.doi.org/10.1111/jep.12247" TargetMode="External"/><Relationship Id="rId36" Type="http://schemas.openxmlformats.org/officeDocument/2006/relationships/hyperlink" Target="http://dx.doi.org/10.5694/mja14.00647"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mailto:NSQHSStandards@safetyandquality.gov.au" TargetMode="External"/><Relationship Id="rId31" Type="http://schemas.openxmlformats.org/officeDocument/2006/relationships/hyperlink" Target="http://www.safetyandquality.gov.au/our-work/clinical-communications/"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diabetes.org.uk/Professionals/Service-improvement/Integrated-diabetes-care/" TargetMode="External"/><Relationship Id="rId27" Type="http://schemas.openxmlformats.org/officeDocument/2006/relationships/hyperlink" Target="http://dx.doi..org/10.1111/acem.12480" TargetMode="External"/><Relationship Id="rId30" Type="http://schemas.openxmlformats.org/officeDocument/2006/relationships/hyperlink" Target="http://dx.doi.org/10.1056/NEJMsa1405556" TargetMode="External"/><Relationship Id="rId35" Type="http://schemas.openxmlformats.org/officeDocument/2006/relationships/hyperlink" Target="http://dx.doi.org/10.5694/mja14.01088"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F4F2C-AA52-4028-8E66-A3A6CABF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8</Pages>
  <Words>3593</Words>
  <Characters>22278</Characters>
  <Application>Microsoft Office Word</Application>
  <DocSecurity>0</DocSecurity>
  <Lines>474</Lines>
  <Paragraphs>237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25634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25</cp:revision>
  <cp:lastPrinted>2013-06-06T03:47:00Z</cp:lastPrinted>
  <dcterms:created xsi:type="dcterms:W3CDTF">2014-11-02T21:20:00Z</dcterms:created>
  <dcterms:modified xsi:type="dcterms:W3CDTF">2014-11-09T08:51:00Z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