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4A26E2" w:rsidRDefault="00715F47" w:rsidP="00B160EF">
      <w:pPr>
        <w:rPr>
          <w:color w:val="000000"/>
          <w:lang w:val="en-AU"/>
        </w:rPr>
      </w:pPr>
      <w:r w:rsidRPr="004A26E2">
        <w:rPr>
          <w:color w:val="000000"/>
          <w:lang w:val="en-AU"/>
        </w:rPr>
        <w:t xml:space="preserve">Issue </w:t>
      </w:r>
      <w:r w:rsidR="00FB354F">
        <w:rPr>
          <w:color w:val="000000"/>
          <w:lang w:val="en-AU"/>
        </w:rPr>
        <w:t>203</w:t>
      </w:r>
    </w:p>
    <w:p w:rsidR="000F7901" w:rsidRPr="0095520C" w:rsidRDefault="00FB354F" w:rsidP="00B160EF">
      <w:pPr>
        <w:rPr>
          <w:lang w:val="en-AU"/>
        </w:rPr>
      </w:pPr>
      <w:r>
        <w:rPr>
          <w:lang w:val="en-AU"/>
        </w:rPr>
        <w:t>8</w:t>
      </w:r>
      <w:r w:rsidR="00CC4DDA">
        <w:rPr>
          <w:lang w:val="en-AU"/>
        </w:rPr>
        <w:t xml:space="preserve"> Dec</w:t>
      </w:r>
      <w:r w:rsidR="0067684C">
        <w:rPr>
          <w:lang w:val="en-AU"/>
        </w:rPr>
        <w:t>em</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415573">
        <w:rPr>
          <w:bCs/>
          <w:lang w:val="en-AU"/>
        </w:rPr>
        <w:t>, Lauren Deutsch</w:t>
      </w:r>
      <w:r w:rsidR="0037417B">
        <w:rPr>
          <w:bCs/>
          <w:lang w:val="en-AU"/>
        </w:rPr>
        <w:t>, Elizabeth Hanley</w:t>
      </w:r>
    </w:p>
    <w:p w:rsidR="00F34D09" w:rsidRDefault="00F34D09" w:rsidP="00F34D09">
      <w:pPr>
        <w:rPr>
          <w:shd w:val="clear" w:color="auto" w:fill="FFFFFF"/>
          <w:lang w:val="en-AU"/>
        </w:rPr>
      </w:pPr>
    </w:p>
    <w:p w:rsidR="00CC4DDA" w:rsidRPr="00CC4DDA" w:rsidRDefault="00CC4DDA" w:rsidP="00CC4DDA">
      <w:pPr>
        <w:rPr>
          <w:b/>
          <w:shd w:val="clear" w:color="auto" w:fill="FFFFFF"/>
          <w:lang w:val="en-AU"/>
        </w:rPr>
      </w:pPr>
      <w:r>
        <w:rPr>
          <w:b/>
          <w:shd w:val="clear" w:color="auto" w:fill="FFFFFF"/>
          <w:lang w:val="en-AU"/>
        </w:rPr>
        <w:t>Report</w:t>
      </w:r>
      <w:r w:rsidR="00F52B72">
        <w:rPr>
          <w:b/>
          <w:shd w:val="clear" w:color="auto" w:fill="FFFFFF"/>
          <w:lang w:val="en-AU"/>
        </w:rPr>
        <w:t>s</w:t>
      </w:r>
    </w:p>
    <w:p w:rsidR="00CC4DDA" w:rsidRDefault="00CC4DDA" w:rsidP="00CC4DDA">
      <w:pPr>
        <w:rPr>
          <w:shd w:val="clear" w:color="auto" w:fill="FFFFFF"/>
          <w:lang w:val="en-AU"/>
        </w:rPr>
      </w:pPr>
    </w:p>
    <w:p w:rsidR="00415573" w:rsidRPr="00415573" w:rsidRDefault="00415573" w:rsidP="00415573">
      <w:pPr>
        <w:rPr>
          <w:i/>
          <w:shd w:val="clear" w:color="auto" w:fill="FFFFFF"/>
          <w:lang w:val="en-AU"/>
        </w:rPr>
      </w:pPr>
      <w:r w:rsidRPr="00415573">
        <w:rPr>
          <w:i/>
          <w:shd w:val="clear" w:color="auto" w:fill="FFFFFF"/>
          <w:lang w:val="en-AU"/>
        </w:rPr>
        <w:t>Acute Coronary Syndromes Clinical Care Standard</w:t>
      </w:r>
    </w:p>
    <w:p w:rsidR="00415573" w:rsidRPr="00415573" w:rsidRDefault="00415573" w:rsidP="00415573">
      <w:pPr>
        <w:rPr>
          <w:shd w:val="clear" w:color="auto" w:fill="FFFFFF"/>
          <w:lang w:val="en-AU"/>
        </w:rPr>
      </w:pPr>
      <w:r w:rsidRPr="00415573">
        <w:rPr>
          <w:shd w:val="clear" w:color="auto" w:fill="FFFFFF"/>
          <w:lang w:val="en-AU"/>
        </w:rPr>
        <w:t>Australian Commission on Safety and Quality in Health Care</w:t>
      </w:r>
    </w:p>
    <w:p w:rsidR="00F52B72" w:rsidRDefault="00415573" w:rsidP="00415573">
      <w:pPr>
        <w:rPr>
          <w:shd w:val="clear" w:color="auto" w:fill="FFFFFF"/>
          <w:lang w:val="en-AU"/>
        </w:rPr>
      </w:pPr>
      <w:r w:rsidRPr="00415573">
        <w:rPr>
          <w:shd w:val="clear" w:color="auto" w:fill="FFFFFF"/>
          <w:lang w:val="en-AU"/>
        </w:rPr>
        <w:t>Sydney: ACSQHC; 2014</w:t>
      </w:r>
    </w:p>
    <w:tbl>
      <w:tblPr>
        <w:tblStyle w:val="TableGrid"/>
        <w:tblW w:w="0" w:type="auto"/>
        <w:tblInd w:w="288" w:type="dxa"/>
        <w:tblLayout w:type="fixed"/>
        <w:tblLook w:val="01E0" w:firstRow="1" w:lastRow="1" w:firstColumn="1" w:lastColumn="1" w:noHBand="0" w:noVBand="0"/>
      </w:tblPr>
      <w:tblGrid>
        <w:gridCol w:w="1080"/>
        <w:gridCol w:w="8280"/>
      </w:tblGrid>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52B72" w:rsidRPr="0095520C" w:rsidRDefault="004E7E2A" w:rsidP="00415573">
            <w:pPr>
              <w:rPr>
                <w:lang w:val="en-AU"/>
              </w:rPr>
            </w:pPr>
            <w:hyperlink r:id="rId16" w:history="1">
              <w:r w:rsidR="00415573" w:rsidRPr="00E9001C">
                <w:rPr>
                  <w:rStyle w:val="Hyperlink"/>
                  <w:lang w:val="en-AU"/>
                </w:rPr>
                <w:t>http://www.safetyandquality.gov.au/our-work/clinical-care-standards/acute-coronary-syndromes-clinical-care-standard/</w:t>
              </w:r>
            </w:hyperlink>
          </w:p>
        </w:tc>
      </w:tr>
      <w:tr w:rsidR="00F52B72" w:rsidRPr="0095520C" w:rsidTr="00184D42">
        <w:tc>
          <w:tcPr>
            <w:tcW w:w="1080" w:type="dxa"/>
            <w:tcBorders>
              <w:top w:val="single" w:sz="4" w:space="0" w:color="auto"/>
              <w:left w:val="single" w:sz="4" w:space="0" w:color="auto"/>
              <w:bottom w:val="single" w:sz="4" w:space="0" w:color="auto"/>
              <w:right w:val="single" w:sz="4" w:space="0" w:color="auto"/>
            </w:tcBorders>
            <w:vAlign w:val="center"/>
          </w:tcPr>
          <w:p w:rsidR="00F52B72" w:rsidRPr="0095520C" w:rsidRDefault="00F52B72" w:rsidP="00184D42">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5573" w:rsidRPr="00415573" w:rsidRDefault="00415573" w:rsidP="00415573">
            <w:pPr>
              <w:rPr>
                <w:lang w:val="en-AU" w:eastAsia="en-AU"/>
              </w:rPr>
            </w:pPr>
            <w:r w:rsidRPr="00415573">
              <w:rPr>
                <w:lang w:val="en-AU" w:eastAsia="en-AU"/>
              </w:rPr>
              <w:t xml:space="preserve">Acute coronary syndromes affect thousands of Australians. Coronary heart disease (the main cause of acute coronary syndromes) contributed to 15 per cent of all deaths in Australia in 2011. Despite well-developed guidelines for managing acute coronary syndromes, there are regional variations in treatment interventions across </w:t>
            </w:r>
            <w:r>
              <w:rPr>
                <w:lang w:val="en-AU" w:eastAsia="en-AU"/>
              </w:rPr>
              <w:t>Australia.</w:t>
            </w:r>
          </w:p>
          <w:p w:rsidR="00F52B72" w:rsidRPr="0095520C" w:rsidRDefault="00415573" w:rsidP="00415573">
            <w:pPr>
              <w:rPr>
                <w:lang w:val="en-AU" w:eastAsia="en-AU"/>
              </w:rPr>
            </w:pPr>
            <w:r w:rsidRPr="00415573">
              <w:rPr>
                <w:lang w:val="en-AU" w:eastAsia="en-AU"/>
              </w:rPr>
              <w:t>The Australian Commission on Safety and Quality in Health Care, in collaboration with consumers, clinicians, researc</w:t>
            </w:r>
            <w:r>
              <w:rPr>
                <w:lang w:val="en-AU" w:eastAsia="en-AU"/>
              </w:rPr>
              <w:t xml:space="preserve">hers and health organisations, </w:t>
            </w:r>
            <w:r w:rsidRPr="00415573">
              <w:rPr>
                <w:lang w:val="en-AU" w:eastAsia="en-AU"/>
              </w:rPr>
              <w:t xml:space="preserve">has developed the </w:t>
            </w:r>
            <w:r w:rsidRPr="00415573">
              <w:rPr>
                <w:i/>
                <w:lang w:val="en-AU" w:eastAsia="en-AU"/>
              </w:rPr>
              <w:t>Acute Coronary Syndromes Clinical Care Standard</w:t>
            </w:r>
            <w:r w:rsidRPr="00415573">
              <w:rPr>
                <w:lang w:val="en-AU" w:eastAsia="en-AU"/>
              </w:rPr>
              <w:t xml:space="preserve"> to ensure patients receive optimal treatment from the onset of symptoms through to discharge from hospital. This includes recognition of an acute coronary syndrome, rapid assessment, early management and early initiation of a tailored rehabilitation plan.</w:t>
            </w:r>
          </w:p>
        </w:tc>
      </w:tr>
    </w:tbl>
    <w:p w:rsidR="00B61CFF" w:rsidRDefault="00B61CFF" w:rsidP="00B61CFF">
      <w:pPr>
        <w:keepNext/>
        <w:keepLines/>
        <w:autoSpaceDE w:val="0"/>
        <w:autoSpaceDN w:val="0"/>
        <w:adjustRightInd w:val="0"/>
        <w:rPr>
          <w:lang w:val="en-AU"/>
        </w:rPr>
      </w:pPr>
      <w:r w:rsidRPr="00D0159D">
        <w:rPr>
          <w:i/>
          <w:lang w:val="en-AU"/>
        </w:rPr>
        <w:lastRenderedPageBreak/>
        <w:t xml:space="preserve">Variation in the Care of Surgical Conditions: </w:t>
      </w:r>
      <w:r>
        <w:rPr>
          <w:i/>
          <w:lang w:val="en-AU"/>
        </w:rPr>
        <w:t>Prostate Cancer</w:t>
      </w:r>
      <w:r w:rsidRPr="00D0159D">
        <w:rPr>
          <w:lang w:val="en-AU"/>
        </w:rPr>
        <w:t>. A Dartmouth Atlas of Health Care Series</w:t>
      </w:r>
    </w:p>
    <w:p w:rsidR="00B61CFF" w:rsidRDefault="00B61CFF" w:rsidP="00B61CFF">
      <w:pPr>
        <w:keepNext/>
        <w:keepLines/>
        <w:autoSpaceDE w:val="0"/>
        <w:autoSpaceDN w:val="0"/>
        <w:adjustRightInd w:val="0"/>
        <w:rPr>
          <w:lang w:val="en-AU"/>
        </w:rPr>
      </w:pPr>
      <w:proofErr w:type="spellStart"/>
      <w:r w:rsidRPr="00B61CFF">
        <w:rPr>
          <w:lang w:val="en-AU"/>
        </w:rPr>
        <w:t>Hyams</w:t>
      </w:r>
      <w:proofErr w:type="spellEnd"/>
      <w:r w:rsidRPr="00B61CFF">
        <w:rPr>
          <w:lang w:val="en-AU"/>
        </w:rPr>
        <w:t xml:space="preserve"> ES, </w:t>
      </w:r>
      <w:proofErr w:type="spellStart"/>
      <w:r w:rsidRPr="00B61CFF">
        <w:rPr>
          <w:lang w:val="en-AU"/>
        </w:rPr>
        <w:t>Goodney</w:t>
      </w:r>
      <w:proofErr w:type="spellEnd"/>
      <w:r w:rsidRPr="00B61CFF">
        <w:rPr>
          <w:lang w:val="en-AU"/>
        </w:rPr>
        <w:t xml:space="preserve"> PR, </w:t>
      </w:r>
      <w:proofErr w:type="spellStart"/>
      <w:r w:rsidRPr="00B61CFF">
        <w:rPr>
          <w:lang w:val="en-AU"/>
        </w:rPr>
        <w:t>Dzebisashvili</w:t>
      </w:r>
      <w:proofErr w:type="spellEnd"/>
      <w:r w:rsidRPr="00B61CFF">
        <w:rPr>
          <w:lang w:val="en-AU"/>
        </w:rPr>
        <w:t xml:space="preserve"> N, Goodman DC and </w:t>
      </w:r>
      <w:proofErr w:type="spellStart"/>
      <w:r w:rsidRPr="00B61CFF">
        <w:rPr>
          <w:lang w:val="en-AU"/>
        </w:rPr>
        <w:t>Bronner</w:t>
      </w:r>
      <w:proofErr w:type="spellEnd"/>
      <w:r w:rsidRPr="00B61CFF">
        <w:rPr>
          <w:lang w:val="en-AU"/>
        </w:rPr>
        <w:t xml:space="preserve"> KK</w:t>
      </w:r>
    </w:p>
    <w:p w:rsidR="00B61CFF" w:rsidRPr="00B61CFF" w:rsidRDefault="00B61CFF" w:rsidP="00B61CFF">
      <w:pPr>
        <w:keepNext/>
        <w:keepLines/>
        <w:autoSpaceDE w:val="0"/>
        <w:autoSpaceDN w:val="0"/>
        <w:adjustRightInd w:val="0"/>
        <w:rPr>
          <w:lang w:val="en-AU"/>
        </w:rPr>
      </w:pPr>
      <w:r w:rsidRPr="00B61CFF">
        <w:rPr>
          <w:lang w:val="en-AU"/>
        </w:rPr>
        <w:t>Hanover, NH: The Dartmouth Institute for Health Policy and Clinical Practice, 2014, p. 50.</w:t>
      </w:r>
    </w:p>
    <w:tbl>
      <w:tblPr>
        <w:tblStyle w:val="TableGrid"/>
        <w:tblW w:w="0" w:type="auto"/>
        <w:tblInd w:w="288" w:type="dxa"/>
        <w:tblLayout w:type="fixed"/>
        <w:tblLook w:val="01E0" w:firstRow="1" w:lastRow="1" w:firstColumn="1" w:lastColumn="1" w:noHBand="0" w:noVBand="0"/>
      </w:tblPr>
      <w:tblGrid>
        <w:gridCol w:w="1080"/>
        <w:gridCol w:w="8280"/>
      </w:tblGrid>
      <w:tr w:rsidR="00B61CFF" w:rsidRPr="0095520C" w:rsidTr="00392307">
        <w:tc>
          <w:tcPr>
            <w:tcW w:w="1080" w:type="dxa"/>
            <w:tcBorders>
              <w:top w:val="single" w:sz="4" w:space="0" w:color="auto"/>
              <w:left w:val="single" w:sz="4" w:space="0" w:color="auto"/>
              <w:bottom w:val="single" w:sz="4" w:space="0" w:color="auto"/>
              <w:right w:val="single" w:sz="4" w:space="0" w:color="auto"/>
            </w:tcBorders>
            <w:vAlign w:val="center"/>
          </w:tcPr>
          <w:p w:rsidR="00B61CFF" w:rsidRPr="0095520C" w:rsidRDefault="00B61CFF" w:rsidP="0039230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61CFF" w:rsidRPr="0095520C" w:rsidRDefault="004E7E2A" w:rsidP="00392307">
            <w:pPr>
              <w:rPr>
                <w:lang w:val="en-AU"/>
              </w:rPr>
            </w:pPr>
            <w:hyperlink r:id="rId17" w:history="1">
              <w:r w:rsidR="00B61CFF" w:rsidRPr="00E971B3">
                <w:rPr>
                  <w:rStyle w:val="Hyperlink"/>
                  <w:lang w:val="en-AU"/>
                </w:rPr>
                <w:t>http://www.dartmouthatlas.org/downloads/reports/Prostate_cancer_report_12_03_14.pdf</w:t>
              </w:r>
            </w:hyperlink>
          </w:p>
        </w:tc>
      </w:tr>
      <w:tr w:rsidR="00B61CFF" w:rsidRPr="0095520C" w:rsidTr="00392307">
        <w:tc>
          <w:tcPr>
            <w:tcW w:w="1080" w:type="dxa"/>
            <w:tcBorders>
              <w:top w:val="single" w:sz="4" w:space="0" w:color="auto"/>
              <w:left w:val="single" w:sz="4" w:space="0" w:color="auto"/>
              <w:bottom w:val="single" w:sz="4" w:space="0" w:color="auto"/>
              <w:right w:val="single" w:sz="4" w:space="0" w:color="auto"/>
            </w:tcBorders>
            <w:vAlign w:val="center"/>
          </w:tcPr>
          <w:p w:rsidR="00B61CFF" w:rsidRPr="0095520C" w:rsidRDefault="00B61CFF" w:rsidP="00392307">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B61CFF" w:rsidRPr="0095520C" w:rsidRDefault="00B61CFF" w:rsidP="00392307">
            <w:pPr>
              <w:rPr>
                <w:lang w:val="en-AU" w:eastAsia="en-AU"/>
              </w:rPr>
            </w:pPr>
            <w:r w:rsidRPr="00B61CFF">
              <w:rPr>
                <w:lang w:val="en-AU" w:eastAsia="en-AU"/>
              </w:rPr>
              <w:t>TRIM D14-42647</w:t>
            </w:r>
          </w:p>
        </w:tc>
      </w:tr>
      <w:tr w:rsidR="00B61CFF" w:rsidRPr="0095520C" w:rsidTr="00392307">
        <w:tc>
          <w:tcPr>
            <w:tcW w:w="1080" w:type="dxa"/>
            <w:tcBorders>
              <w:top w:val="single" w:sz="4" w:space="0" w:color="auto"/>
              <w:left w:val="single" w:sz="4" w:space="0" w:color="auto"/>
              <w:bottom w:val="single" w:sz="4" w:space="0" w:color="auto"/>
              <w:right w:val="single" w:sz="4" w:space="0" w:color="auto"/>
            </w:tcBorders>
            <w:vAlign w:val="center"/>
          </w:tcPr>
          <w:p w:rsidR="00B61CFF" w:rsidRPr="0095520C" w:rsidRDefault="00B61CFF" w:rsidP="00392307">
            <w:pPr>
              <w:rPr>
                <w:lang w:val="en-AU"/>
              </w:rPr>
            </w:pPr>
            <w:r>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1CFF" w:rsidRDefault="00B61CFF" w:rsidP="00392307">
            <w:pPr>
              <w:rPr>
                <w:lang w:val="en-AU"/>
              </w:rPr>
            </w:pPr>
            <w:r>
              <w:rPr>
                <w:lang w:val="en-AU"/>
              </w:rPr>
              <w:t xml:space="preserve">This is the final in a series of </w:t>
            </w:r>
            <w:r>
              <w:rPr>
                <w:lang w:val="en-AU" w:eastAsia="en-AU"/>
              </w:rPr>
              <w:t>six reports into surgical variation in the USA (the first five being on obesity, c</w:t>
            </w:r>
            <w:r w:rsidRPr="00D36DE3">
              <w:rPr>
                <w:lang w:val="en-AU" w:eastAsia="en-AU"/>
              </w:rPr>
              <w:t xml:space="preserve">erebral </w:t>
            </w:r>
            <w:r>
              <w:rPr>
                <w:lang w:val="en-AU" w:eastAsia="en-AU"/>
              </w:rPr>
              <w:t>a</w:t>
            </w:r>
            <w:r w:rsidRPr="00D36DE3">
              <w:rPr>
                <w:lang w:val="en-AU" w:eastAsia="en-AU"/>
              </w:rPr>
              <w:t>neurysms</w:t>
            </w:r>
            <w:r>
              <w:rPr>
                <w:lang w:val="en-AU" w:eastAsia="en-AU"/>
              </w:rPr>
              <w:t>,</w:t>
            </w:r>
            <w:r w:rsidRPr="00D36DE3">
              <w:rPr>
                <w:lang w:val="en-AU" w:eastAsia="en-AU"/>
              </w:rPr>
              <w:t xml:space="preserve"> </w:t>
            </w:r>
            <w:r>
              <w:rPr>
                <w:lang w:val="en-AU" w:eastAsia="en-AU"/>
              </w:rPr>
              <w:t xml:space="preserve">diabetes and peripheral arterial disease, spinal stenosis, </w:t>
            </w:r>
            <w:r w:rsidR="00CE253B">
              <w:rPr>
                <w:lang w:val="en-AU" w:eastAsia="en-AU"/>
              </w:rPr>
              <w:t xml:space="preserve">and </w:t>
            </w:r>
            <w:bookmarkStart w:id="1" w:name="_GoBack"/>
            <w:bookmarkEnd w:id="1"/>
            <w:r>
              <w:rPr>
                <w:lang w:val="en-AU" w:eastAsia="en-AU"/>
              </w:rPr>
              <w:t>end-stage renal disease).</w:t>
            </w:r>
          </w:p>
          <w:p w:rsidR="00B61CFF" w:rsidRDefault="00B61CFF" w:rsidP="00B516E3">
            <w:pPr>
              <w:rPr>
                <w:lang w:val="en-AU" w:eastAsia="en-AU"/>
              </w:rPr>
            </w:pPr>
            <w:r w:rsidRPr="00B61CFF">
              <w:rPr>
                <w:lang w:val="en-AU" w:eastAsia="en-AU"/>
              </w:rPr>
              <w:t>This study examines the uncertainties-and resulting variation-surrounding screening and treatment for prostate cancer in the United States. Despite many years of attention and study, variation in the diagnosis and treatment of prostate cancer persists.</w:t>
            </w:r>
            <w:r w:rsidR="00B516E3">
              <w:rPr>
                <w:lang w:val="en-AU" w:eastAsia="en-AU"/>
              </w:rPr>
              <w:t xml:space="preserve"> The report notes “</w:t>
            </w:r>
            <w:r w:rsidR="00B516E3" w:rsidRPr="00B516E3">
              <w:rPr>
                <w:lang w:val="en-AU" w:eastAsia="en-AU"/>
              </w:rPr>
              <w:t>there is wide variation in screening and treatment</w:t>
            </w:r>
            <w:r w:rsidR="00B516E3">
              <w:rPr>
                <w:lang w:val="en-AU" w:eastAsia="en-AU"/>
              </w:rPr>
              <w:t xml:space="preserve"> </w:t>
            </w:r>
            <w:r w:rsidR="00B516E3" w:rsidRPr="00B516E3">
              <w:rPr>
                <w:lang w:val="en-AU" w:eastAsia="en-AU"/>
              </w:rPr>
              <w:t>practices for prostate cancer. While the lack of consensus on optimal practices will</w:t>
            </w:r>
            <w:r w:rsidR="00B516E3">
              <w:rPr>
                <w:lang w:val="en-AU" w:eastAsia="en-AU"/>
              </w:rPr>
              <w:t xml:space="preserve"> </w:t>
            </w:r>
            <w:r w:rsidR="00B516E3" w:rsidRPr="00B516E3">
              <w:rPr>
                <w:lang w:val="en-AU" w:eastAsia="en-AU"/>
              </w:rPr>
              <w:t>likely continue, the degree of variation also presents an opportunity to improve the</w:t>
            </w:r>
            <w:r w:rsidR="00B516E3">
              <w:rPr>
                <w:lang w:val="en-AU" w:eastAsia="en-AU"/>
              </w:rPr>
              <w:t xml:space="preserve"> </w:t>
            </w:r>
            <w:r w:rsidR="00B516E3" w:rsidRPr="00B516E3">
              <w:rPr>
                <w:lang w:val="en-AU" w:eastAsia="en-AU"/>
              </w:rPr>
              <w:t>quality of care for men.</w:t>
            </w:r>
            <w:r w:rsidR="00B516E3">
              <w:rPr>
                <w:lang w:val="en-AU" w:eastAsia="en-AU"/>
              </w:rPr>
              <w:t>”</w:t>
            </w:r>
          </w:p>
          <w:p w:rsidR="00B516E3" w:rsidRDefault="00B516E3" w:rsidP="00B516E3">
            <w:pPr>
              <w:rPr>
                <w:lang w:val="en-AU" w:eastAsia="en-AU"/>
              </w:rPr>
            </w:pPr>
            <w:r>
              <w:rPr>
                <w:lang w:val="en-AU" w:eastAsia="en-AU"/>
              </w:rPr>
              <w:t>The report also discusses how shared decision making may help address the variation in care, noting that it may be “</w:t>
            </w:r>
            <w:r w:rsidRPr="00B516E3">
              <w:rPr>
                <w:lang w:val="en-AU" w:eastAsia="en-AU"/>
              </w:rPr>
              <w:t>used for prostate cancer treatment decisions given the</w:t>
            </w:r>
            <w:r>
              <w:rPr>
                <w:lang w:val="en-AU" w:eastAsia="en-AU"/>
              </w:rPr>
              <w:t xml:space="preserve"> </w:t>
            </w:r>
            <w:r w:rsidRPr="00B516E3">
              <w:rPr>
                <w:lang w:val="en-AU" w:eastAsia="en-AU"/>
              </w:rPr>
              <w:t>uncertainties regarding benefits and harms of treatment for low-risk cancer.</w:t>
            </w:r>
            <w:r>
              <w:rPr>
                <w:lang w:val="en-AU" w:eastAsia="en-AU"/>
              </w:rPr>
              <w:t>”</w:t>
            </w:r>
          </w:p>
        </w:tc>
      </w:tr>
    </w:tbl>
    <w:p w:rsidR="00B61CFF" w:rsidRDefault="00B61CFF" w:rsidP="00B61CFF">
      <w:pPr>
        <w:keepNext/>
        <w:rPr>
          <w:lang w:val="en-AU"/>
        </w:rPr>
      </w:pPr>
    </w:p>
    <w:p w:rsidR="00B61CFF" w:rsidRDefault="00B61CFF" w:rsidP="00B61CFF">
      <w:pPr>
        <w:keepNext/>
        <w:rPr>
          <w:rStyle w:val="Hyperlink"/>
          <w:lang w:val="en-AU"/>
        </w:rPr>
      </w:pPr>
      <w:r w:rsidRPr="0095520C">
        <w:rPr>
          <w:lang w:val="en-AU"/>
        </w:rPr>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18" w:history="1">
        <w:r w:rsidRPr="00C50B02">
          <w:rPr>
            <w:rStyle w:val="Hyperlink"/>
            <w:lang w:val="en-AU"/>
          </w:rPr>
          <w:t>http://www.safetyandquality.gov.au/our-work/variation-in-health-care/</w:t>
        </w:r>
      </w:hyperlink>
    </w:p>
    <w:p w:rsidR="00B516E3" w:rsidRDefault="00B516E3" w:rsidP="00B61CFF">
      <w:pPr>
        <w:keepNext/>
        <w:rPr>
          <w:lang w:val="en-AU"/>
        </w:rPr>
      </w:pPr>
    </w:p>
    <w:p w:rsidR="00B61CFF" w:rsidRDefault="00B516E3" w:rsidP="00B61CFF">
      <w:pPr>
        <w:keepNext/>
        <w:rPr>
          <w:lang w:val="en-AU"/>
        </w:rPr>
      </w:pPr>
      <w:r w:rsidRPr="0095520C">
        <w:rPr>
          <w:lang w:val="en-AU"/>
        </w:rPr>
        <w:t xml:space="preserve">For information on the Commission’s work on </w:t>
      </w:r>
      <w:r>
        <w:rPr>
          <w:lang w:val="en-AU"/>
        </w:rPr>
        <w:t>shared decision making,</w:t>
      </w:r>
      <w:r w:rsidRPr="0095520C">
        <w:rPr>
          <w:lang w:val="en-AU"/>
        </w:rPr>
        <w:t xml:space="preserve"> </w:t>
      </w:r>
      <w:r>
        <w:rPr>
          <w:lang w:val="en-AU"/>
        </w:rPr>
        <w:t>s</w:t>
      </w:r>
      <w:r w:rsidRPr="0095520C">
        <w:rPr>
          <w:lang w:val="en-AU"/>
        </w:rPr>
        <w:t>ee</w:t>
      </w:r>
      <w:r>
        <w:rPr>
          <w:lang w:val="en-AU"/>
        </w:rPr>
        <w:t xml:space="preserve"> </w:t>
      </w:r>
      <w:hyperlink r:id="rId19" w:history="1">
        <w:r w:rsidRPr="00E971B3">
          <w:rPr>
            <w:rStyle w:val="Hyperlink"/>
            <w:lang w:val="en-AU"/>
          </w:rPr>
          <w:t>www.safetyandquality.gov.au/our-work/shared-decision-making/</w:t>
        </w:r>
      </w:hyperlink>
    </w:p>
    <w:p w:rsidR="00FB354F" w:rsidRDefault="00FB354F" w:rsidP="00771468">
      <w:pPr>
        <w:keepNext/>
        <w:rPr>
          <w:i/>
          <w:shd w:val="clear" w:color="auto" w:fill="FFFFFF"/>
          <w:lang w:val="en-AU"/>
        </w:rPr>
      </w:pPr>
    </w:p>
    <w:p w:rsidR="00B61CFF" w:rsidRDefault="00B61CFF" w:rsidP="00771468">
      <w:pPr>
        <w:keepNext/>
        <w:rPr>
          <w:i/>
          <w:shd w:val="clear" w:color="auto" w:fill="FFFFFF"/>
          <w:lang w:val="en-AU"/>
        </w:rPr>
      </w:pPr>
    </w:p>
    <w:p w:rsidR="0037417B" w:rsidRDefault="0037417B" w:rsidP="00771468">
      <w:pPr>
        <w:keepNext/>
        <w:rPr>
          <w:i/>
          <w:shd w:val="clear" w:color="auto" w:fill="FFFFFF"/>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9B1D26" w:rsidRPr="009B1D26" w:rsidRDefault="009B1D26" w:rsidP="009B1D26">
      <w:pPr>
        <w:keepNext/>
        <w:keepLines/>
        <w:autoSpaceDE w:val="0"/>
        <w:autoSpaceDN w:val="0"/>
        <w:adjustRightInd w:val="0"/>
        <w:rPr>
          <w:i/>
          <w:lang w:val="en-AU"/>
        </w:rPr>
      </w:pPr>
      <w:r w:rsidRPr="009B1D26">
        <w:rPr>
          <w:i/>
          <w:lang w:val="en-AU"/>
        </w:rPr>
        <w:t>Reimagining Quality Measurement</w:t>
      </w:r>
    </w:p>
    <w:p w:rsidR="009B1D26" w:rsidRDefault="00B516E3" w:rsidP="001F0225">
      <w:pPr>
        <w:keepNext/>
        <w:keepLines/>
        <w:autoSpaceDE w:val="0"/>
        <w:autoSpaceDN w:val="0"/>
        <w:adjustRightInd w:val="0"/>
        <w:rPr>
          <w:lang w:val="en-AU"/>
        </w:rPr>
      </w:pPr>
      <w:proofErr w:type="spellStart"/>
      <w:r w:rsidRPr="00B516E3">
        <w:rPr>
          <w:lang w:val="en-AU"/>
        </w:rPr>
        <w:t>McGlynn</w:t>
      </w:r>
      <w:proofErr w:type="spellEnd"/>
      <w:r w:rsidRPr="00B516E3">
        <w:rPr>
          <w:lang w:val="en-AU"/>
        </w:rPr>
        <w:t xml:space="preserve"> EA, Schneider EC and Kerr EA</w:t>
      </w:r>
    </w:p>
    <w:p w:rsidR="001F0225" w:rsidRPr="0095520C" w:rsidRDefault="00B516E3" w:rsidP="001F0225">
      <w:pPr>
        <w:keepNext/>
        <w:keepLines/>
        <w:autoSpaceDE w:val="0"/>
        <w:autoSpaceDN w:val="0"/>
        <w:adjustRightInd w:val="0"/>
        <w:rPr>
          <w:lang w:val="en-AU"/>
        </w:rPr>
      </w:pPr>
      <w:proofErr w:type="gramStart"/>
      <w:r w:rsidRPr="00B516E3">
        <w:rPr>
          <w:lang w:val="en-AU"/>
        </w:rPr>
        <w:t>New England Journal of Medicine.</w:t>
      </w:r>
      <w:proofErr w:type="gramEnd"/>
      <w:r w:rsidRPr="00B516E3">
        <w:rPr>
          <w:lang w:val="en-AU"/>
        </w:rPr>
        <w:t xml:space="preserve"> </w:t>
      </w:r>
      <w:proofErr w:type="gramStart"/>
      <w:r w:rsidRPr="00B516E3">
        <w:rPr>
          <w:lang w:val="en-AU"/>
        </w:rPr>
        <w:t>2014; 371: 2150-3.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Pr="0095520C" w:rsidRDefault="004E7E2A" w:rsidP="003A7D67">
            <w:pPr>
              <w:rPr>
                <w:lang w:val="en-AU"/>
              </w:rPr>
            </w:pPr>
            <w:hyperlink r:id="rId20" w:history="1">
              <w:r w:rsidR="009B1D26" w:rsidRPr="00E971B3">
                <w:rPr>
                  <w:rStyle w:val="Hyperlink"/>
                  <w:lang w:val="en-AU"/>
                </w:rPr>
                <w:t>http://dx.doi.org/10.1056/NEJMp1407883</w:t>
              </w:r>
            </w:hyperlink>
          </w:p>
        </w:tc>
      </w:tr>
      <w:tr w:rsidR="001F0225" w:rsidRPr="0095520C" w:rsidTr="00872B9F">
        <w:tc>
          <w:tcPr>
            <w:tcW w:w="1080" w:type="dxa"/>
            <w:tcBorders>
              <w:top w:val="single" w:sz="4" w:space="0" w:color="auto"/>
              <w:left w:val="single" w:sz="4" w:space="0" w:color="auto"/>
              <w:bottom w:val="single" w:sz="4" w:space="0" w:color="auto"/>
              <w:right w:val="single" w:sz="4" w:space="0" w:color="auto"/>
            </w:tcBorders>
            <w:vAlign w:val="center"/>
          </w:tcPr>
          <w:p w:rsidR="001F0225" w:rsidRPr="0095520C" w:rsidRDefault="001F0225" w:rsidP="00872B9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0225" w:rsidRDefault="00781835" w:rsidP="00E12FA1">
            <w:pPr>
              <w:rPr>
                <w:lang w:val="en-AU" w:eastAsia="en-AU"/>
              </w:rPr>
            </w:pPr>
            <w:r>
              <w:rPr>
                <w:lang w:val="en-AU" w:eastAsia="en-AU"/>
              </w:rPr>
              <w:t xml:space="preserve">Arguing that existing approaches to quality measurement are “troubled” the authors of this paper propose a new approach. </w:t>
            </w:r>
          </w:p>
          <w:p w:rsidR="00781835" w:rsidRDefault="00781835" w:rsidP="00E12FA1">
            <w:pPr>
              <w:rPr>
                <w:lang w:val="en-AU" w:eastAsia="en-AU"/>
              </w:rPr>
            </w:pPr>
            <w:r>
              <w:rPr>
                <w:lang w:val="en-AU" w:eastAsia="en-AU"/>
              </w:rPr>
              <w:t>This approach would be guided by three principles:</w:t>
            </w:r>
          </w:p>
          <w:p w:rsidR="00781835" w:rsidRPr="00781835" w:rsidRDefault="00781835" w:rsidP="00781835">
            <w:pPr>
              <w:pStyle w:val="ListParagraph"/>
              <w:numPr>
                <w:ilvl w:val="0"/>
                <w:numId w:val="40"/>
              </w:numPr>
              <w:rPr>
                <w:lang w:val="en-AU" w:eastAsia="en-AU"/>
              </w:rPr>
            </w:pPr>
            <w:r w:rsidRPr="00781835">
              <w:rPr>
                <w:lang w:val="en-AU" w:eastAsia="en-AU"/>
              </w:rPr>
              <w:t xml:space="preserve">quality measurement should be </w:t>
            </w:r>
            <w:r w:rsidRPr="00562219">
              <w:rPr>
                <w:b/>
                <w:lang w:val="en-AU" w:eastAsia="en-AU"/>
              </w:rPr>
              <w:t>integrated with care delivery</w:t>
            </w:r>
          </w:p>
          <w:p w:rsidR="00781835" w:rsidRPr="00781835" w:rsidRDefault="00781835" w:rsidP="00781835">
            <w:pPr>
              <w:pStyle w:val="ListParagraph"/>
              <w:numPr>
                <w:ilvl w:val="0"/>
                <w:numId w:val="40"/>
              </w:numPr>
              <w:rPr>
                <w:lang w:val="en-AU" w:eastAsia="en-AU"/>
              </w:rPr>
            </w:pPr>
            <w:r w:rsidRPr="00781835">
              <w:rPr>
                <w:lang w:val="en-AU" w:eastAsia="en-AU"/>
              </w:rPr>
              <w:t xml:space="preserve">it should acknowledge and </w:t>
            </w:r>
            <w:r w:rsidRPr="00562219">
              <w:rPr>
                <w:b/>
                <w:lang w:val="en-AU" w:eastAsia="en-AU"/>
              </w:rPr>
              <w:t>address the challenges</w:t>
            </w:r>
            <w:r w:rsidRPr="00781835">
              <w:rPr>
                <w:lang w:val="en-AU" w:eastAsia="en-AU"/>
              </w:rPr>
              <w:t xml:space="preserve"> that confront doctors every day </w:t>
            </w:r>
          </w:p>
          <w:p w:rsidR="00781835" w:rsidRPr="00781835" w:rsidRDefault="00781835" w:rsidP="00781835">
            <w:pPr>
              <w:pStyle w:val="ListParagraph"/>
              <w:numPr>
                <w:ilvl w:val="0"/>
                <w:numId w:val="40"/>
              </w:numPr>
              <w:rPr>
                <w:lang w:val="en-AU" w:eastAsia="en-AU"/>
              </w:rPr>
            </w:pPr>
            <w:proofErr w:type="gramStart"/>
            <w:r w:rsidRPr="00781835">
              <w:rPr>
                <w:lang w:val="en-AU" w:eastAsia="en-AU"/>
              </w:rPr>
              <w:t>it</w:t>
            </w:r>
            <w:proofErr w:type="gramEnd"/>
            <w:r w:rsidRPr="00781835">
              <w:rPr>
                <w:lang w:val="en-AU" w:eastAsia="en-AU"/>
              </w:rPr>
              <w:t xml:space="preserve"> should reflect individual </w:t>
            </w:r>
            <w:r w:rsidRPr="00562219">
              <w:rPr>
                <w:b/>
                <w:lang w:val="en-AU" w:eastAsia="en-AU"/>
              </w:rPr>
              <w:t>patients' preferences and goals</w:t>
            </w:r>
            <w:r w:rsidRPr="00781835">
              <w:rPr>
                <w:lang w:val="en-AU" w:eastAsia="en-AU"/>
              </w:rPr>
              <w:t xml:space="preserve"> for treatment and health outcomes and enable ongoing development of evidence on treatment heterogeneity.</w:t>
            </w:r>
          </w:p>
          <w:p w:rsidR="00781835" w:rsidRDefault="00781835" w:rsidP="00781835">
            <w:pPr>
              <w:rPr>
                <w:lang w:val="en-AU" w:eastAsia="en-AU"/>
              </w:rPr>
            </w:pPr>
            <w:r>
              <w:rPr>
                <w:lang w:val="en-AU" w:eastAsia="en-AU"/>
              </w:rPr>
              <w:t>The authors suggest that such a system would have three components:</w:t>
            </w:r>
          </w:p>
          <w:p w:rsidR="00781835" w:rsidRPr="00781835" w:rsidRDefault="00781835" w:rsidP="00781835">
            <w:pPr>
              <w:pStyle w:val="ListParagraph"/>
              <w:numPr>
                <w:ilvl w:val="0"/>
                <w:numId w:val="41"/>
              </w:numPr>
              <w:rPr>
                <w:lang w:val="en-AU" w:eastAsia="en-AU"/>
              </w:rPr>
            </w:pPr>
            <w:r w:rsidRPr="00781835">
              <w:rPr>
                <w:lang w:val="en-AU" w:eastAsia="en-AU"/>
              </w:rPr>
              <w:t>a comprehensive inventory of each patient's health and health care needs</w:t>
            </w:r>
          </w:p>
          <w:p w:rsidR="00781835" w:rsidRPr="00781835" w:rsidRDefault="00781835" w:rsidP="00781835">
            <w:pPr>
              <w:pStyle w:val="ListParagraph"/>
              <w:numPr>
                <w:ilvl w:val="0"/>
                <w:numId w:val="41"/>
              </w:numPr>
              <w:rPr>
                <w:lang w:val="en-AU" w:eastAsia="en-AU"/>
              </w:rPr>
            </w:pPr>
            <w:r w:rsidRPr="00781835">
              <w:rPr>
                <w:lang w:val="en-AU" w:eastAsia="en-AU"/>
              </w:rPr>
              <w:t>a mechanism for matching potential evidence-based interventions to those needs</w:t>
            </w:r>
          </w:p>
          <w:p w:rsidR="00781835" w:rsidRPr="00781835" w:rsidRDefault="00781835" w:rsidP="00781835">
            <w:pPr>
              <w:pStyle w:val="ListParagraph"/>
              <w:numPr>
                <w:ilvl w:val="0"/>
                <w:numId w:val="41"/>
              </w:numPr>
              <w:rPr>
                <w:lang w:val="en-AU" w:eastAsia="en-AU"/>
              </w:rPr>
            </w:pPr>
            <w:proofErr w:type="gramStart"/>
            <w:r w:rsidRPr="00781835">
              <w:rPr>
                <w:lang w:val="en-AU" w:eastAsia="en-AU"/>
              </w:rPr>
              <w:t>an</w:t>
            </w:r>
            <w:proofErr w:type="gramEnd"/>
            <w:r w:rsidRPr="00781835">
              <w:rPr>
                <w:lang w:val="en-AU" w:eastAsia="en-AU"/>
              </w:rPr>
              <w:t xml:space="preserve"> assessment of patients' health goals and preferences.</w:t>
            </w:r>
          </w:p>
          <w:p w:rsidR="00781835" w:rsidRDefault="00781835" w:rsidP="00781835">
            <w:pPr>
              <w:rPr>
                <w:lang w:val="en-AU" w:eastAsia="en-AU"/>
              </w:rPr>
            </w:pPr>
            <w:r>
              <w:rPr>
                <w:lang w:val="en-AU" w:eastAsia="en-AU"/>
              </w:rPr>
              <w:lastRenderedPageBreak/>
              <w:t>The quality score that such a system may produce would “</w:t>
            </w:r>
            <w:r w:rsidRPr="00781835">
              <w:rPr>
                <w:lang w:val="en-AU" w:eastAsia="en-AU"/>
              </w:rPr>
              <w:t>reflect both the appropriateness of individualized care plans and the degree to which they are being carried out effectively, both for individual patients and for the population cared for by a given physician, medical group, or health care system or within a particular community.</w:t>
            </w:r>
            <w:r>
              <w:rPr>
                <w:lang w:val="en-AU" w:eastAsia="en-AU"/>
              </w:rPr>
              <w:t>”</w:t>
            </w:r>
          </w:p>
          <w:p w:rsidR="00781835" w:rsidRPr="00590FB6" w:rsidRDefault="00781835" w:rsidP="00781835">
            <w:pPr>
              <w:rPr>
                <w:lang w:val="en-AU" w:eastAsia="en-AU"/>
              </w:rPr>
            </w:pPr>
            <w:r>
              <w:rPr>
                <w:lang w:val="en-AU" w:eastAsia="en-AU"/>
              </w:rPr>
              <w:t>In the paper the authors proceed to provide an illustrative guide to what such a system might look like and six ‘work streams’ that might be needed to enable such a system.</w:t>
            </w:r>
          </w:p>
        </w:tc>
      </w:tr>
    </w:tbl>
    <w:p w:rsidR="001F0225" w:rsidRDefault="001F0225" w:rsidP="00D4594E">
      <w:pPr>
        <w:keepLines/>
        <w:autoSpaceDE w:val="0"/>
        <w:autoSpaceDN w:val="0"/>
        <w:adjustRightInd w:val="0"/>
        <w:rPr>
          <w:i/>
          <w:lang w:val="en-AU"/>
        </w:rPr>
      </w:pPr>
    </w:p>
    <w:p w:rsidR="00C2195D" w:rsidRPr="00C2195D" w:rsidRDefault="00C2195D" w:rsidP="00C2195D">
      <w:pPr>
        <w:keepNext/>
        <w:keepLines/>
        <w:autoSpaceDE w:val="0"/>
        <w:autoSpaceDN w:val="0"/>
        <w:adjustRightInd w:val="0"/>
        <w:rPr>
          <w:i/>
          <w:lang w:val="en-AU"/>
        </w:rPr>
      </w:pPr>
      <w:r w:rsidRPr="00C2195D">
        <w:rPr>
          <w:i/>
          <w:lang w:val="en-AU"/>
        </w:rPr>
        <w:t>Getting More Performance from Performance Measurement</w:t>
      </w:r>
    </w:p>
    <w:p w:rsidR="00C2195D" w:rsidRDefault="00C2195D" w:rsidP="00C2195D">
      <w:pPr>
        <w:keepNext/>
        <w:keepLines/>
        <w:autoSpaceDE w:val="0"/>
        <w:autoSpaceDN w:val="0"/>
        <w:adjustRightInd w:val="0"/>
        <w:rPr>
          <w:lang w:val="en-AU"/>
        </w:rPr>
      </w:pPr>
      <w:r w:rsidRPr="00C2195D">
        <w:rPr>
          <w:lang w:val="en-AU"/>
        </w:rPr>
        <w:t xml:space="preserve">Cassel CK, Conway PH, </w:t>
      </w:r>
      <w:proofErr w:type="spellStart"/>
      <w:r w:rsidRPr="00C2195D">
        <w:rPr>
          <w:lang w:val="en-AU"/>
        </w:rPr>
        <w:t>Delbanco</w:t>
      </w:r>
      <w:proofErr w:type="spellEnd"/>
      <w:r w:rsidRPr="00C2195D">
        <w:rPr>
          <w:lang w:val="en-AU"/>
        </w:rPr>
        <w:t xml:space="preserve"> SF, </w:t>
      </w:r>
      <w:proofErr w:type="spellStart"/>
      <w:r w:rsidRPr="00C2195D">
        <w:rPr>
          <w:lang w:val="en-AU"/>
        </w:rPr>
        <w:t>Jha</w:t>
      </w:r>
      <w:proofErr w:type="spellEnd"/>
      <w:r w:rsidRPr="00C2195D">
        <w:rPr>
          <w:lang w:val="en-AU"/>
        </w:rPr>
        <w:t xml:space="preserve"> AK, Saunders RS and Lee TH</w:t>
      </w:r>
    </w:p>
    <w:p w:rsidR="00C2195D" w:rsidRPr="0095520C" w:rsidRDefault="00C2195D" w:rsidP="00C2195D">
      <w:pPr>
        <w:keepNext/>
        <w:keepLines/>
        <w:autoSpaceDE w:val="0"/>
        <w:autoSpaceDN w:val="0"/>
        <w:adjustRightInd w:val="0"/>
        <w:rPr>
          <w:lang w:val="en-AU"/>
        </w:rPr>
      </w:pPr>
      <w:proofErr w:type="gramStart"/>
      <w:r w:rsidRPr="00C2195D">
        <w:rPr>
          <w:lang w:val="en-AU"/>
        </w:rPr>
        <w:t>New England Journal of Medicine.</w:t>
      </w:r>
      <w:proofErr w:type="gramEnd"/>
      <w:r w:rsidRPr="00C2195D">
        <w:rPr>
          <w:lang w:val="en-AU"/>
        </w:rPr>
        <w:t xml:space="preserve"> </w:t>
      </w:r>
      <w:proofErr w:type="gramStart"/>
      <w:r w:rsidRPr="00C2195D">
        <w:rPr>
          <w:lang w:val="en-AU"/>
        </w:rPr>
        <w:t>2014; 371: 2145-7.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2195D" w:rsidRPr="0095520C" w:rsidTr="00392307">
        <w:tc>
          <w:tcPr>
            <w:tcW w:w="1080" w:type="dxa"/>
            <w:tcBorders>
              <w:top w:val="single" w:sz="4" w:space="0" w:color="auto"/>
              <w:left w:val="single" w:sz="4" w:space="0" w:color="auto"/>
              <w:bottom w:val="single" w:sz="4" w:space="0" w:color="auto"/>
              <w:right w:val="single" w:sz="4" w:space="0" w:color="auto"/>
            </w:tcBorders>
            <w:vAlign w:val="center"/>
          </w:tcPr>
          <w:p w:rsidR="00C2195D" w:rsidRPr="0095520C" w:rsidRDefault="00C2195D" w:rsidP="0039230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2195D" w:rsidRPr="0095520C" w:rsidRDefault="004E7E2A" w:rsidP="00392307">
            <w:pPr>
              <w:rPr>
                <w:lang w:val="en-AU"/>
              </w:rPr>
            </w:pPr>
            <w:hyperlink r:id="rId21" w:history="1">
              <w:r w:rsidR="00562219" w:rsidRPr="00E971B3">
                <w:rPr>
                  <w:rStyle w:val="Hyperlink"/>
                  <w:lang w:val="en-AU"/>
                </w:rPr>
                <w:t>http://dx.doi.org/10.1056/NEJMp1408345</w:t>
              </w:r>
            </w:hyperlink>
          </w:p>
        </w:tc>
      </w:tr>
      <w:tr w:rsidR="00C2195D" w:rsidRPr="0095520C" w:rsidTr="00392307">
        <w:tc>
          <w:tcPr>
            <w:tcW w:w="1080" w:type="dxa"/>
            <w:tcBorders>
              <w:top w:val="single" w:sz="4" w:space="0" w:color="auto"/>
              <w:left w:val="single" w:sz="4" w:space="0" w:color="auto"/>
              <w:bottom w:val="single" w:sz="4" w:space="0" w:color="auto"/>
              <w:right w:val="single" w:sz="4" w:space="0" w:color="auto"/>
            </w:tcBorders>
            <w:vAlign w:val="center"/>
          </w:tcPr>
          <w:p w:rsidR="00C2195D" w:rsidRPr="0095520C" w:rsidRDefault="00C2195D" w:rsidP="0039230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195D" w:rsidRDefault="00C2195D" w:rsidP="00C2195D">
            <w:pPr>
              <w:rPr>
                <w:lang w:val="en-AU" w:eastAsia="en-AU"/>
              </w:rPr>
            </w:pPr>
            <w:r>
              <w:rPr>
                <w:lang w:val="en-AU" w:eastAsia="en-AU"/>
              </w:rPr>
              <w:t xml:space="preserve">Another item from the same issue of the </w:t>
            </w:r>
            <w:r w:rsidRPr="00562219">
              <w:rPr>
                <w:i/>
                <w:lang w:val="en-AU" w:eastAsia="en-AU"/>
              </w:rPr>
              <w:t>NEJM</w:t>
            </w:r>
            <w:r>
              <w:rPr>
                <w:lang w:val="en-AU" w:eastAsia="en-AU"/>
              </w:rPr>
              <w:t xml:space="preserve"> also looking at measurement and how to enhance the value and utility of such measurement. The authors of this piece suggest that there are various ways to achieve gains. These include:</w:t>
            </w:r>
          </w:p>
          <w:p w:rsidR="00C2195D" w:rsidRPr="00562219" w:rsidRDefault="00C2195D" w:rsidP="00562219">
            <w:pPr>
              <w:pStyle w:val="ListParagraph"/>
              <w:numPr>
                <w:ilvl w:val="0"/>
                <w:numId w:val="42"/>
              </w:numPr>
              <w:rPr>
                <w:lang w:val="en-AU" w:eastAsia="en-AU"/>
              </w:rPr>
            </w:pPr>
            <w:r w:rsidRPr="00562219">
              <w:rPr>
                <w:lang w:val="en-AU" w:eastAsia="en-AU"/>
              </w:rPr>
              <w:t>focusing on patient health outcomes and improving value</w:t>
            </w:r>
          </w:p>
          <w:p w:rsidR="00562219" w:rsidRPr="00562219" w:rsidRDefault="00562219" w:rsidP="00562219">
            <w:pPr>
              <w:pStyle w:val="ListParagraph"/>
              <w:numPr>
                <w:ilvl w:val="0"/>
                <w:numId w:val="42"/>
              </w:numPr>
              <w:rPr>
                <w:lang w:val="en-AU" w:eastAsia="en-AU"/>
              </w:rPr>
            </w:pPr>
            <w:r w:rsidRPr="00562219">
              <w:rPr>
                <w:lang w:val="en-AU" w:eastAsia="en-AU"/>
              </w:rPr>
              <w:t>increasing the use of electronic clinical information, clinical registries, and ‘big data’ sources to supplement or replace claims data and manual chart reviews;</w:t>
            </w:r>
          </w:p>
          <w:p w:rsidR="00562219" w:rsidRDefault="00562219" w:rsidP="00562219">
            <w:pPr>
              <w:pStyle w:val="ListParagraph"/>
              <w:numPr>
                <w:ilvl w:val="0"/>
                <w:numId w:val="42"/>
              </w:numPr>
              <w:rPr>
                <w:lang w:val="en-AU" w:eastAsia="en-AU"/>
              </w:rPr>
            </w:pPr>
            <w:proofErr w:type="gramStart"/>
            <w:r w:rsidRPr="00562219">
              <w:rPr>
                <w:lang w:val="en-AU" w:eastAsia="en-AU"/>
              </w:rPr>
              <w:t>using</w:t>
            </w:r>
            <w:proofErr w:type="gramEnd"/>
            <w:r w:rsidRPr="00562219">
              <w:rPr>
                <w:lang w:val="en-AU" w:eastAsia="en-AU"/>
              </w:rPr>
              <w:t xml:space="preserve"> measurement at the right level of attribution within teams and systems.</w:t>
            </w:r>
          </w:p>
          <w:p w:rsidR="00C2195D" w:rsidRPr="00562219" w:rsidRDefault="00562219" w:rsidP="00562219">
            <w:pPr>
              <w:rPr>
                <w:lang w:val="en-AU" w:eastAsia="en-AU"/>
              </w:rPr>
            </w:pPr>
            <w:r>
              <w:rPr>
                <w:lang w:val="en-AU" w:eastAsia="en-AU"/>
              </w:rPr>
              <w:t>The authors also note that</w:t>
            </w:r>
            <w:r w:rsidRPr="00562219">
              <w:rPr>
                <w:lang w:val="en-AU" w:eastAsia="en-AU"/>
              </w:rPr>
              <w:t xml:space="preserve"> </w:t>
            </w:r>
            <w:r>
              <w:rPr>
                <w:lang w:val="en-AU" w:eastAsia="en-AU"/>
              </w:rPr>
              <w:t>“</w:t>
            </w:r>
            <w:r w:rsidRPr="00562219">
              <w:rPr>
                <w:b/>
                <w:lang w:val="en-AU" w:eastAsia="en-AU"/>
              </w:rPr>
              <w:t>measurement can lead to improvement only in organizations that have a culture of accountability and a workforce skilled in quality-improvement science</w:t>
            </w:r>
            <w:r w:rsidRPr="00562219">
              <w:rPr>
                <w:lang w:val="en-AU" w:eastAsia="en-AU"/>
              </w:rPr>
              <w:t>.</w:t>
            </w:r>
            <w:r>
              <w:rPr>
                <w:lang w:val="en-AU" w:eastAsia="en-AU"/>
              </w:rPr>
              <w:t>”</w:t>
            </w:r>
          </w:p>
        </w:tc>
      </w:tr>
    </w:tbl>
    <w:p w:rsidR="00C2195D" w:rsidRDefault="00C2195D" w:rsidP="00C2195D">
      <w:pPr>
        <w:keepLines/>
        <w:autoSpaceDE w:val="0"/>
        <w:autoSpaceDN w:val="0"/>
        <w:adjustRightInd w:val="0"/>
        <w:rPr>
          <w:i/>
          <w:lang w:val="en-AU"/>
        </w:rPr>
      </w:pPr>
    </w:p>
    <w:p w:rsidR="00C2195D" w:rsidRPr="00C2195D" w:rsidRDefault="00C2195D" w:rsidP="00C2195D">
      <w:pPr>
        <w:keepNext/>
        <w:keepLines/>
        <w:autoSpaceDE w:val="0"/>
        <w:autoSpaceDN w:val="0"/>
        <w:adjustRightInd w:val="0"/>
        <w:rPr>
          <w:i/>
          <w:lang w:val="en-AU"/>
        </w:rPr>
      </w:pPr>
      <w:r w:rsidRPr="00C2195D">
        <w:rPr>
          <w:i/>
          <w:lang w:val="en-AU"/>
        </w:rPr>
        <w:t xml:space="preserve">Approaches to surveillance of </w:t>
      </w:r>
      <w:r w:rsidRPr="00C2195D">
        <w:rPr>
          <w:lang w:val="en-AU"/>
        </w:rPr>
        <w:t>Staphylococcus aureus</w:t>
      </w:r>
      <w:r w:rsidRPr="00C2195D">
        <w:rPr>
          <w:i/>
          <w:lang w:val="en-AU"/>
        </w:rPr>
        <w:t xml:space="preserve"> bacteraemia and </w:t>
      </w:r>
      <w:r w:rsidRPr="00C2195D">
        <w:rPr>
          <w:lang w:val="en-AU"/>
        </w:rPr>
        <w:t>Clostridium difficile</w:t>
      </w:r>
      <w:r w:rsidRPr="00C2195D">
        <w:rPr>
          <w:i/>
          <w:lang w:val="en-AU"/>
        </w:rPr>
        <w:t xml:space="preserve"> infection in Australian states and territories</w:t>
      </w:r>
    </w:p>
    <w:p w:rsidR="00C2195D" w:rsidRDefault="00C2195D" w:rsidP="00FB354F">
      <w:pPr>
        <w:keepNext/>
        <w:keepLines/>
        <w:autoSpaceDE w:val="0"/>
        <w:autoSpaceDN w:val="0"/>
        <w:adjustRightInd w:val="0"/>
        <w:rPr>
          <w:lang w:val="en-AU"/>
        </w:rPr>
      </w:pPr>
      <w:r w:rsidRPr="00C2195D">
        <w:rPr>
          <w:lang w:val="en-AU"/>
        </w:rPr>
        <w:t>Hanley E and Quoyle C</w:t>
      </w:r>
    </w:p>
    <w:p w:rsidR="00FB354F" w:rsidRPr="0095520C" w:rsidRDefault="00C2195D" w:rsidP="00FB354F">
      <w:pPr>
        <w:keepNext/>
        <w:keepLines/>
        <w:autoSpaceDE w:val="0"/>
        <w:autoSpaceDN w:val="0"/>
        <w:adjustRightInd w:val="0"/>
        <w:rPr>
          <w:lang w:val="en-AU"/>
        </w:rPr>
      </w:pPr>
      <w:proofErr w:type="gramStart"/>
      <w:r w:rsidRPr="00C2195D">
        <w:rPr>
          <w:lang w:val="en-AU"/>
        </w:rPr>
        <w:t>Healthcare Infection.</w:t>
      </w:r>
      <w:proofErr w:type="gramEnd"/>
      <w:r w:rsidRPr="00C2195D">
        <w:rPr>
          <w:lang w:val="en-AU"/>
        </w:rPr>
        <w:t xml:space="preserve"> </w:t>
      </w:r>
      <w:proofErr w:type="gramStart"/>
      <w:r w:rsidRPr="00C2195D">
        <w:rPr>
          <w:lang w:val="en-AU"/>
        </w:rPr>
        <w:t>2014</w:t>
      </w:r>
      <w:r>
        <w:rPr>
          <w:lang w:val="en-AU"/>
        </w:rPr>
        <w:t xml:space="preserve"> [epub]</w:t>
      </w:r>
      <w:r w:rsidRPr="00C2195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95520C" w:rsidRDefault="004E7E2A" w:rsidP="004E6F14">
            <w:pPr>
              <w:rPr>
                <w:lang w:val="en-AU"/>
              </w:rPr>
            </w:pPr>
            <w:hyperlink r:id="rId22" w:history="1">
              <w:r w:rsidR="00C2195D" w:rsidRPr="00E971B3">
                <w:rPr>
                  <w:rStyle w:val="Hyperlink"/>
                  <w:lang w:val="en-AU"/>
                </w:rPr>
                <w:t>http://dx.doi.org/10.1071/HI14019</w:t>
              </w:r>
            </w:hyperlink>
          </w:p>
        </w:tc>
      </w:tr>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590FB6" w:rsidRDefault="00305203" w:rsidP="00305203">
            <w:pPr>
              <w:rPr>
                <w:lang w:val="en-AU" w:eastAsia="en-AU"/>
              </w:rPr>
            </w:pPr>
            <w:r w:rsidRPr="00305203">
              <w:rPr>
                <w:lang w:val="en-AU" w:eastAsia="en-AU"/>
              </w:rPr>
              <w:t xml:space="preserve">This article reports findings from a survey conducted by the Commission during 2012-13 about state-based approaches to surveillance of healthcare-associated </w:t>
            </w:r>
            <w:r w:rsidRPr="00305203">
              <w:rPr>
                <w:i/>
                <w:lang w:val="en-AU" w:eastAsia="en-AU"/>
              </w:rPr>
              <w:t>Staphylococcus aureus</w:t>
            </w:r>
            <w:r w:rsidRPr="00305203">
              <w:rPr>
                <w:lang w:val="en-AU" w:eastAsia="en-AU"/>
              </w:rPr>
              <w:t xml:space="preserve"> bacteraemia (SAB) and hospital-identified </w:t>
            </w:r>
            <w:r w:rsidRPr="00305203">
              <w:rPr>
                <w:i/>
                <w:lang w:val="en-AU" w:eastAsia="en-AU"/>
              </w:rPr>
              <w:t>Clostridium difficile</w:t>
            </w:r>
            <w:r w:rsidRPr="00305203">
              <w:rPr>
                <w:lang w:val="en-AU" w:eastAsia="en-AU"/>
              </w:rPr>
              <w:t xml:space="preserve"> infection (CDI). The survey </w:t>
            </w:r>
            <w:r>
              <w:rPr>
                <w:lang w:val="en-AU" w:eastAsia="en-AU"/>
              </w:rPr>
              <w:t xml:space="preserve">revealed </w:t>
            </w:r>
            <w:r w:rsidRPr="00305203">
              <w:rPr>
                <w:lang w:val="en-AU" w:eastAsia="en-AU"/>
              </w:rPr>
              <w:t>that there is extensive support for surveillance of SAB and CDI in all states and territories, with jurisdictional surveillance well-established across Australia, and enhanced surveillance programs and systems in some jurisdictions. Despite local variations in systems and processes, there was considerable consistency in use of surveillance definitions, and consolidated processes for data validation and hospital-level reporting of HAI rates in states and territories.</w:t>
            </w:r>
          </w:p>
        </w:tc>
      </w:tr>
    </w:tbl>
    <w:p w:rsidR="0037417B" w:rsidRDefault="0037417B" w:rsidP="00FB354F">
      <w:pPr>
        <w:keepLines/>
        <w:autoSpaceDE w:val="0"/>
        <w:autoSpaceDN w:val="0"/>
        <w:adjustRightInd w:val="0"/>
        <w:rPr>
          <w:lang w:val="en-AU"/>
        </w:rPr>
      </w:pPr>
    </w:p>
    <w:p w:rsidR="00FB354F" w:rsidRDefault="0037417B" w:rsidP="00FB354F">
      <w:pPr>
        <w:keepLines/>
        <w:autoSpaceDE w:val="0"/>
        <w:autoSpaceDN w:val="0"/>
        <w:adjustRightInd w:val="0"/>
        <w:rPr>
          <w:lang w:val="en-AU"/>
        </w:rPr>
      </w:pPr>
      <w:r w:rsidRPr="0095520C">
        <w:rPr>
          <w:lang w:val="en-AU"/>
        </w:rPr>
        <w:t xml:space="preserve">For information on the Commission’s work on </w:t>
      </w:r>
      <w:r>
        <w:rPr>
          <w:lang w:val="en-AU"/>
        </w:rPr>
        <w:t>healthcare associated infection,</w:t>
      </w:r>
      <w:r w:rsidRPr="0095520C">
        <w:rPr>
          <w:lang w:val="en-AU"/>
        </w:rPr>
        <w:t xml:space="preserve"> </w:t>
      </w:r>
      <w:r>
        <w:rPr>
          <w:lang w:val="en-AU"/>
        </w:rPr>
        <w:t>s</w:t>
      </w:r>
      <w:r w:rsidRPr="0095520C">
        <w:rPr>
          <w:lang w:val="en-AU"/>
        </w:rPr>
        <w:t>ee</w:t>
      </w:r>
      <w:r>
        <w:rPr>
          <w:lang w:val="en-AU"/>
        </w:rPr>
        <w:t xml:space="preserve"> </w:t>
      </w:r>
      <w:hyperlink r:id="rId23" w:history="1">
        <w:r w:rsidRPr="00E509CE">
          <w:rPr>
            <w:rStyle w:val="Hyperlink"/>
            <w:lang w:val="en-AU"/>
          </w:rPr>
          <w:t>www.safetyandquality.gov.au/our-work/healthcare-associated-infection/</w:t>
        </w:r>
      </w:hyperlink>
    </w:p>
    <w:p w:rsidR="0037417B" w:rsidRDefault="0037417B" w:rsidP="00FB354F">
      <w:pPr>
        <w:keepLines/>
        <w:autoSpaceDE w:val="0"/>
        <w:autoSpaceDN w:val="0"/>
        <w:adjustRightInd w:val="0"/>
        <w:rPr>
          <w:i/>
          <w:lang w:val="en-AU"/>
        </w:rPr>
      </w:pPr>
    </w:p>
    <w:p w:rsidR="009F6548" w:rsidRDefault="009F6548">
      <w:pPr>
        <w:rPr>
          <w:i/>
          <w:lang w:val="en-AU"/>
        </w:rPr>
      </w:pPr>
      <w:r>
        <w:rPr>
          <w:i/>
          <w:lang w:val="en-AU"/>
        </w:rPr>
        <w:br w:type="page"/>
      </w:r>
    </w:p>
    <w:p w:rsidR="00C64AA6" w:rsidRPr="00BF7F9D" w:rsidRDefault="00C64AA6" w:rsidP="00C64AA6">
      <w:pPr>
        <w:keepNext/>
        <w:keepLines/>
        <w:autoSpaceDE w:val="0"/>
        <w:autoSpaceDN w:val="0"/>
        <w:adjustRightInd w:val="0"/>
        <w:rPr>
          <w:i/>
          <w:lang w:val="en-AU"/>
        </w:rPr>
      </w:pPr>
      <w:r w:rsidRPr="00BF7F9D">
        <w:rPr>
          <w:i/>
          <w:lang w:val="en-AU"/>
        </w:rPr>
        <w:lastRenderedPageBreak/>
        <w:t xml:space="preserve">Do Clinicians Know Which of Their Patients Have Central Venous </w:t>
      </w:r>
      <w:proofErr w:type="spellStart"/>
      <w:r w:rsidRPr="00BF7F9D">
        <w:rPr>
          <w:i/>
          <w:lang w:val="en-AU"/>
        </w:rPr>
        <w:t>Catheters</w:t>
      </w:r>
      <w:proofErr w:type="gramStart"/>
      <w:r w:rsidRPr="00BF7F9D">
        <w:rPr>
          <w:i/>
          <w:lang w:val="en-AU"/>
        </w:rPr>
        <w:t>?A</w:t>
      </w:r>
      <w:proofErr w:type="spellEnd"/>
      <w:proofErr w:type="gramEnd"/>
      <w:r w:rsidRPr="00BF7F9D">
        <w:rPr>
          <w:i/>
          <w:lang w:val="en-AU"/>
        </w:rPr>
        <w:t xml:space="preserve"> </w:t>
      </w:r>
      <w:proofErr w:type="spellStart"/>
      <w:r w:rsidRPr="00BF7F9D">
        <w:rPr>
          <w:i/>
          <w:lang w:val="en-AU"/>
        </w:rPr>
        <w:t>Multicenter</w:t>
      </w:r>
      <w:proofErr w:type="spellEnd"/>
      <w:r w:rsidRPr="00BF7F9D">
        <w:rPr>
          <w:i/>
          <w:lang w:val="en-AU"/>
        </w:rPr>
        <w:t xml:space="preserve"> Observational </w:t>
      </w:r>
      <w:proofErr w:type="spellStart"/>
      <w:r w:rsidRPr="00BF7F9D">
        <w:rPr>
          <w:i/>
          <w:lang w:val="en-AU"/>
        </w:rPr>
        <w:t>StudyDo</w:t>
      </w:r>
      <w:proofErr w:type="spellEnd"/>
      <w:r w:rsidRPr="00BF7F9D">
        <w:rPr>
          <w:i/>
          <w:lang w:val="en-AU"/>
        </w:rPr>
        <w:t xml:space="preserve"> Clinicians Know Which of Their Patients Have Central Venous Catheters?</w:t>
      </w:r>
    </w:p>
    <w:p w:rsidR="00C64AA6" w:rsidRDefault="00C64AA6" w:rsidP="00C64AA6">
      <w:pPr>
        <w:keepNext/>
        <w:keepLines/>
        <w:autoSpaceDE w:val="0"/>
        <w:autoSpaceDN w:val="0"/>
        <w:adjustRightInd w:val="0"/>
        <w:rPr>
          <w:lang w:val="en-AU"/>
        </w:rPr>
      </w:pPr>
      <w:r w:rsidRPr="00BF7F9D">
        <w:rPr>
          <w:lang w:val="en-AU"/>
        </w:rPr>
        <w:t xml:space="preserve">Chopra V, </w:t>
      </w:r>
      <w:proofErr w:type="spellStart"/>
      <w:r w:rsidRPr="00BF7F9D">
        <w:rPr>
          <w:lang w:val="en-AU"/>
        </w:rPr>
        <w:t>Govindan</w:t>
      </w:r>
      <w:proofErr w:type="spellEnd"/>
      <w:r w:rsidRPr="00BF7F9D">
        <w:rPr>
          <w:lang w:val="en-AU"/>
        </w:rPr>
        <w:t xml:space="preserve"> S, Kuhn L, </w:t>
      </w:r>
      <w:proofErr w:type="spellStart"/>
      <w:r w:rsidRPr="00BF7F9D">
        <w:rPr>
          <w:lang w:val="en-AU"/>
        </w:rPr>
        <w:t>Ratz</w:t>
      </w:r>
      <w:proofErr w:type="spellEnd"/>
      <w:r w:rsidRPr="00BF7F9D">
        <w:rPr>
          <w:lang w:val="en-AU"/>
        </w:rPr>
        <w:t xml:space="preserve"> D, </w:t>
      </w:r>
      <w:proofErr w:type="spellStart"/>
      <w:r w:rsidRPr="00BF7F9D">
        <w:rPr>
          <w:lang w:val="en-AU"/>
        </w:rPr>
        <w:t>Sweis</w:t>
      </w:r>
      <w:proofErr w:type="spellEnd"/>
      <w:r w:rsidRPr="00BF7F9D">
        <w:rPr>
          <w:lang w:val="en-AU"/>
        </w:rPr>
        <w:t xml:space="preserve"> RF, </w:t>
      </w:r>
      <w:proofErr w:type="spellStart"/>
      <w:r w:rsidRPr="00BF7F9D">
        <w:rPr>
          <w:lang w:val="en-AU"/>
        </w:rPr>
        <w:t>Melin</w:t>
      </w:r>
      <w:proofErr w:type="spellEnd"/>
      <w:r w:rsidRPr="00BF7F9D">
        <w:rPr>
          <w:lang w:val="en-AU"/>
        </w:rPr>
        <w:t xml:space="preserve"> N, et al. </w:t>
      </w:r>
    </w:p>
    <w:p w:rsidR="00C64AA6" w:rsidRPr="0095520C" w:rsidRDefault="00C64AA6" w:rsidP="00C64AA6">
      <w:pPr>
        <w:keepNext/>
        <w:keepLines/>
        <w:autoSpaceDE w:val="0"/>
        <w:autoSpaceDN w:val="0"/>
        <w:adjustRightInd w:val="0"/>
        <w:rPr>
          <w:lang w:val="en-AU"/>
        </w:rPr>
      </w:pPr>
      <w:proofErr w:type="gramStart"/>
      <w:r w:rsidRPr="00BF7F9D">
        <w:rPr>
          <w:lang w:val="en-AU"/>
        </w:rPr>
        <w:t>Annals of Internal Medicine.</w:t>
      </w:r>
      <w:proofErr w:type="gramEnd"/>
      <w:r w:rsidRPr="00BF7F9D">
        <w:rPr>
          <w:lang w:val="en-AU"/>
        </w:rPr>
        <w:t xml:space="preserve"> 2014</w:t>
      </w:r>
      <w:proofErr w:type="gramStart"/>
      <w:r w:rsidRPr="00BF7F9D">
        <w:rPr>
          <w:lang w:val="en-AU"/>
        </w:rPr>
        <w:t>;161</w:t>
      </w:r>
      <w:proofErr w:type="gramEnd"/>
      <w:r w:rsidRPr="00BF7F9D">
        <w:rPr>
          <w:lang w:val="en-AU"/>
        </w:rPr>
        <w:t>(8):562-7.</w:t>
      </w:r>
    </w:p>
    <w:tbl>
      <w:tblPr>
        <w:tblStyle w:val="TableGrid"/>
        <w:tblW w:w="0" w:type="auto"/>
        <w:tblInd w:w="288" w:type="dxa"/>
        <w:tblLayout w:type="fixed"/>
        <w:tblLook w:val="01E0" w:firstRow="1" w:lastRow="1" w:firstColumn="1" w:lastColumn="1" w:noHBand="0" w:noVBand="0"/>
      </w:tblPr>
      <w:tblGrid>
        <w:gridCol w:w="1080"/>
        <w:gridCol w:w="8280"/>
      </w:tblGrid>
      <w:tr w:rsidR="00C64AA6" w:rsidRPr="0095520C" w:rsidTr="00AD3275">
        <w:tc>
          <w:tcPr>
            <w:tcW w:w="1080" w:type="dxa"/>
            <w:tcBorders>
              <w:top w:val="single" w:sz="4" w:space="0" w:color="auto"/>
              <w:left w:val="single" w:sz="4" w:space="0" w:color="auto"/>
              <w:bottom w:val="single" w:sz="4" w:space="0" w:color="auto"/>
              <w:right w:val="single" w:sz="4" w:space="0" w:color="auto"/>
            </w:tcBorders>
            <w:vAlign w:val="center"/>
          </w:tcPr>
          <w:p w:rsidR="00C64AA6" w:rsidRPr="0095520C" w:rsidRDefault="00C64AA6" w:rsidP="00AD3275">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64AA6" w:rsidRPr="0095520C" w:rsidRDefault="004E7E2A" w:rsidP="00AD3275">
            <w:pPr>
              <w:rPr>
                <w:lang w:val="en-AU"/>
              </w:rPr>
            </w:pPr>
            <w:hyperlink r:id="rId24" w:history="1">
              <w:r w:rsidR="00C64AA6" w:rsidRPr="00E509CE">
                <w:rPr>
                  <w:rStyle w:val="Hyperlink"/>
                  <w:lang w:val="en-AU"/>
                </w:rPr>
                <w:t>http://dx.doi.org/10.7326/M14-0703</w:t>
              </w:r>
            </w:hyperlink>
          </w:p>
        </w:tc>
      </w:tr>
      <w:tr w:rsidR="00C64AA6" w:rsidRPr="0095520C" w:rsidTr="00AD3275">
        <w:tc>
          <w:tcPr>
            <w:tcW w:w="1080" w:type="dxa"/>
            <w:tcBorders>
              <w:top w:val="single" w:sz="4" w:space="0" w:color="auto"/>
              <w:left w:val="single" w:sz="4" w:space="0" w:color="auto"/>
              <w:bottom w:val="single" w:sz="4" w:space="0" w:color="auto"/>
              <w:right w:val="single" w:sz="4" w:space="0" w:color="auto"/>
            </w:tcBorders>
            <w:vAlign w:val="center"/>
          </w:tcPr>
          <w:p w:rsidR="00C64AA6" w:rsidRPr="0095520C" w:rsidRDefault="00C64AA6" w:rsidP="00AD3275">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4AA6" w:rsidRPr="00590FB6" w:rsidRDefault="00C64AA6" w:rsidP="00C64AA6">
            <w:pPr>
              <w:rPr>
                <w:lang w:val="en-AU" w:eastAsia="en-AU"/>
              </w:rPr>
            </w:pPr>
            <w:r>
              <w:rPr>
                <w:lang w:val="en-AU" w:eastAsia="en-AU"/>
              </w:rPr>
              <w:t xml:space="preserve">Infections related to the use of catheters are relatively common, and many of these are preventable. One way to reducing infection is reducing unnecessary use. </w:t>
            </w:r>
            <w:r w:rsidRPr="00C64AA6">
              <w:rPr>
                <w:lang w:val="en-AU" w:eastAsia="en-AU"/>
              </w:rPr>
              <w:t>This study sought to determine whether inpatient physicians know which of their patients have central venous catheters (CVCs)</w:t>
            </w:r>
            <w:r>
              <w:rPr>
                <w:lang w:val="en-AU" w:eastAsia="en-AU"/>
              </w:rPr>
              <w:t xml:space="preserve"> </w:t>
            </w:r>
            <w:r w:rsidRPr="00C64AA6">
              <w:rPr>
                <w:lang w:val="en-AU" w:eastAsia="en-AU"/>
              </w:rPr>
              <w:t>in place by comparing physician response to direct observation of each patient</w:t>
            </w:r>
            <w:r>
              <w:rPr>
                <w:lang w:val="en-AU" w:eastAsia="en-AU"/>
              </w:rPr>
              <w:t xml:space="preserve"> for 990 patients in three US academic medical centres. In these patients the </w:t>
            </w:r>
            <w:r w:rsidRPr="00C64AA6">
              <w:rPr>
                <w:lang w:val="en-AU" w:eastAsia="en-AU"/>
              </w:rPr>
              <w:t>overall prevalence of CVCs was 21.1% (n = 209), of which 60.3% (126 of 209) were peripherally inserted central catheters (PICCs</w:t>
            </w:r>
            <w:r>
              <w:rPr>
                <w:lang w:val="en-AU" w:eastAsia="en-AU"/>
              </w:rPr>
              <w:t>)</w:t>
            </w:r>
            <w:r w:rsidRPr="00C64AA6">
              <w:rPr>
                <w:lang w:val="en-AU" w:eastAsia="en-AU"/>
              </w:rPr>
              <w:t xml:space="preserve">. A total of </w:t>
            </w:r>
            <w:r w:rsidRPr="00C64AA6">
              <w:rPr>
                <w:b/>
                <w:lang w:val="en-AU" w:eastAsia="en-AU"/>
              </w:rPr>
              <w:t>21.2%</w:t>
            </w:r>
            <w:r w:rsidRPr="00C64AA6">
              <w:rPr>
                <w:lang w:val="en-AU" w:eastAsia="en-AU"/>
              </w:rPr>
              <w:t xml:space="preserve"> (90 of 425) of </w:t>
            </w:r>
            <w:r w:rsidRPr="00C64AA6">
              <w:rPr>
                <w:b/>
                <w:lang w:val="en-AU" w:eastAsia="en-AU"/>
              </w:rPr>
              <w:t>clinicians</w:t>
            </w:r>
            <w:r w:rsidRPr="00C64AA6">
              <w:rPr>
                <w:lang w:val="en-AU" w:eastAsia="en-AU"/>
              </w:rPr>
              <w:t xml:space="preserve"> interviewed were </w:t>
            </w:r>
            <w:r w:rsidRPr="00C64AA6">
              <w:rPr>
                <w:b/>
                <w:lang w:val="en-AU" w:eastAsia="en-AU"/>
              </w:rPr>
              <w:t>unaware of the presence of a CVC</w:t>
            </w:r>
            <w:r w:rsidRPr="00C64AA6">
              <w:rPr>
                <w:lang w:val="en-AU" w:eastAsia="en-AU"/>
              </w:rPr>
              <w:t>.</w:t>
            </w:r>
          </w:p>
        </w:tc>
      </w:tr>
    </w:tbl>
    <w:p w:rsidR="00C64AA6" w:rsidRDefault="00C64AA6" w:rsidP="00FB354F">
      <w:pPr>
        <w:keepLines/>
        <w:autoSpaceDE w:val="0"/>
        <w:autoSpaceDN w:val="0"/>
        <w:adjustRightInd w:val="0"/>
        <w:rPr>
          <w:i/>
          <w:lang w:val="en-AU"/>
        </w:rPr>
      </w:pPr>
    </w:p>
    <w:p w:rsidR="00FA57FB" w:rsidRPr="00FA57FB" w:rsidRDefault="00FA57FB" w:rsidP="00FA57FB">
      <w:pPr>
        <w:keepNext/>
        <w:keepLines/>
        <w:autoSpaceDE w:val="0"/>
        <w:autoSpaceDN w:val="0"/>
        <w:adjustRightInd w:val="0"/>
        <w:rPr>
          <w:i/>
          <w:lang w:val="en-AU"/>
        </w:rPr>
      </w:pPr>
      <w:r w:rsidRPr="00FA57FB">
        <w:rPr>
          <w:i/>
          <w:lang w:val="en-AU"/>
        </w:rPr>
        <w:t xml:space="preserve">Geographic Variation in Cancer-Related Imaging: Veterans Affairs Health Care System </w:t>
      </w:r>
      <w:proofErr w:type="gramStart"/>
      <w:r w:rsidRPr="00FA57FB">
        <w:rPr>
          <w:i/>
          <w:lang w:val="en-AU"/>
        </w:rPr>
        <w:t>Versus</w:t>
      </w:r>
      <w:proofErr w:type="gramEnd"/>
      <w:r w:rsidRPr="00FA57FB">
        <w:rPr>
          <w:i/>
          <w:lang w:val="en-AU"/>
        </w:rPr>
        <w:t xml:space="preserve"> </w:t>
      </w:r>
      <w:proofErr w:type="spellStart"/>
      <w:r w:rsidRPr="00FA57FB">
        <w:rPr>
          <w:i/>
          <w:lang w:val="en-AU"/>
        </w:rPr>
        <w:t>MedicareCancer</w:t>
      </w:r>
      <w:proofErr w:type="spellEnd"/>
      <w:r w:rsidRPr="00FA57FB">
        <w:rPr>
          <w:i/>
          <w:lang w:val="en-AU"/>
        </w:rPr>
        <w:t>-Related Imaging in the VA Health Care System Versus Medicare</w:t>
      </w:r>
    </w:p>
    <w:p w:rsidR="00FA57FB" w:rsidRDefault="00FA57FB" w:rsidP="00FB354F">
      <w:pPr>
        <w:keepNext/>
        <w:keepLines/>
        <w:autoSpaceDE w:val="0"/>
        <w:autoSpaceDN w:val="0"/>
        <w:adjustRightInd w:val="0"/>
        <w:rPr>
          <w:lang w:val="en-AU"/>
        </w:rPr>
      </w:pPr>
      <w:r w:rsidRPr="00FA57FB">
        <w:rPr>
          <w:lang w:val="en-AU"/>
        </w:rPr>
        <w:t xml:space="preserve">McWilliams JM, Dalton JB, Landrum MB, </w:t>
      </w:r>
      <w:proofErr w:type="spellStart"/>
      <w:r w:rsidRPr="00FA57FB">
        <w:rPr>
          <w:lang w:val="en-AU"/>
        </w:rPr>
        <w:t>Frakt</w:t>
      </w:r>
      <w:proofErr w:type="spellEnd"/>
      <w:r w:rsidRPr="00FA57FB">
        <w:rPr>
          <w:lang w:val="en-AU"/>
        </w:rPr>
        <w:t xml:space="preserve"> AB, </w:t>
      </w:r>
      <w:proofErr w:type="spellStart"/>
      <w:r w:rsidRPr="00FA57FB">
        <w:rPr>
          <w:lang w:val="en-AU"/>
        </w:rPr>
        <w:t>Pizer</w:t>
      </w:r>
      <w:proofErr w:type="spellEnd"/>
      <w:r w:rsidRPr="00FA57FB">
        <w:rPr>
          <w:lang w:val="en-AU"/>
        </w:rPr>
        <w:t xml:space="preserve"> SD and Keating NL</w:t>
      </w:r>
    </w:p>
    <w:p w:rsidR="00FB354F" w:rsidRPr="0095520C" w:rsidRDefault="00FA57FB" w:rsidP="00FB354F">
      <w:pPr>
        <w:keepNext/>
        <w:keepLines/>
        <w:autoSpaceDE w:val="0"/>
        <w:autoSpaceDN w:val="0"/>
        <w:adjustRightInd w:val="0"/>
        <w:rPr>
          <w:lang w:val="en-AU"/>
        </w:rPr>
      </w:pPr>
      <w:proofErr w:type="gramStart"/>
      <w:r w:rsidRPr="00FA57FB">
        <w:rPr>
          <w:lang w:val="en-AU"/>
        </w:rPr>
        <w:t>Annals of Internal Medicine.</w:t>
      </w:r>
      <w:proofErr w:type="gramEnd"/>
      <w:r w:rsidRPr="00FA57FB">
        <w:rPr>
          <w:lang w:val="en-AU"/>
        </w:rPr>
        <w:t xml:space="preserve"> </w:t>
      </w:r>
      <w:proofErr w:type="gramStart"/>
      <w:r w:rsidRPr="00FA57FB">
        <w:rPr>
          <w:lang w:val="en-AU"/>
        </w:rPr>
        <w:t>2014; 161: 794-802.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95520C" w:rsidRDefault="004E7E2A" w:rsidP="00FA57FB">
            <w:pPr>
              <w:rPr>
                <w:lang w:val="en-AU"/>
              </w:rPr>
            </w:pPr>
            <w:hyperlink r:id="rId25" w:history="1">
              <w:r w:rsidR="00FA57FB" w:rsidRPr="00E509CE">
                <w:rPr>
                  <w:rStyle w:val="Hyperlink"/>
                  <w:lang w:val="en-AU"/>
                </w:rPr>
                <w:t>http://dx.doi.org/10.7326/M14-0650</w:t>
              </w:r>
            </w:hyperlink>
          </w:p>
        </w:tc>
      </w:tr>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Default="007E14AD" w:rsidP="004E6F14">
            <w:pPr>
              <w:rPr>
                <w:lang w:val="en-AU" w:eastAsia="en-AU"/>
              </w:rPr>
            </w:pPr>
            <w:r>
              <w:rPr>
                <w:lang w:val="en-AU" w:eastAsia="en-AU"/>
              </w:rPr>
              <w:t xml:space="preserve">Paper reporting on a study that sought to </w:t>
            </w:r>
            <w:r w:rsidRPr="007E14AD">
              <w:rPr>
                <w:lang w:val="en-AU" w:eastAsia="en-AU"/>
              </w:rPr>
              <w:t xml:space="preserve">compare average use and geographic variation in use of cancer-related imaging between fee-for-service </w:t>
            </w:r>
            <w:r>
              <w:rPr>
                <w:lang w:val="en-AU" w:eastAsia="en-AU"/>
              </w:rPr>
              <w:t xml:space="preserve">(US) </w:t>
            </w:r>
            <w:r w:rsidRPr="007E14AD">
              <w:rPr>
                <w:lang w:val="en-AU" w:eastAsia="en-AU"/>
              </w:rPr>
              <w:t>Medicare and the Department of Veterans Affairs (VA) health care system</w:t>
            </w:r>
            <w:r>
              <w:rPr>
                <w:lang w:val="en-AU" w:eastAsia="en-AU"/>
              </w:rPr>
              <w:t xml:space="preserve">, covering </w:t>
            </w:r>
            <w:r w:rsidRPr="007E14AD">
              <w:rPr>
                <w:lang w:val="en-AU" w:eastAsia="en-AU"/>
              </w:rPr>
              <w:t>34 475 traditional Medicare beneficiaries and 6835 VA patients.</w:t>
            </w:r>
          </w:p>
          <w:p w:rsidR="007E14AD" w:rsidRDefault="007E14AD" w:rsidP="004E6F14">
            <w:pPr>
              <w:rPr>
                <w:lang w:val="en-AU" w:eastAsia="en-AU"/>
              </w:rPr>
            </w:pPr>
            <w:r>
              <w:rPr>
                <w:lang w:val="en-AU" w:eastAsia="en-AU"/>
              </w:rPr>
              <w:t>The study measured p</w:t>
            </w:r>
            <w:r w:rsidRPr="007E14AD">
              <w:rPr>
                <w:lang w:val="en-AU" w:eastAsia="en-AU"/>
              </w:rPr>
              <w:t>er-patient count of imaging studies for which lung, colorectal, or prostate cancer was the primary diagnosis, and a direct measure of overuse—advanced imaging for prostate cancer at low risk for metastasis</w:t>
            </w:r>
            <w:r w:rsidR="00716244">
              <w:rPr>
                <w:lang w:val="en-AU" w:eastAsia="en-AU"/>
              </w:rPr>
              <w:t>.</w:t>
            </w:r>
          </w:p>
          <w:p w:rsidR="007E14AD" w:rsidRDefault="00716244" w:rsidP="00716244">
            <w:pPr>
              <w:rPr>
                <w:lang w:val="en-AU" w:eastAsia="en-AU"/>
              </w:rPr>
            </w:pPr>
            <w:r>
              <w:rPr>
                <w:lang w:val="en-AU" w:eastAsia="en-AU"/>
              </w:rPr>
              <w:t>The authors report that the “u</w:t>
            </w:r>
            <w:r w:rsidRPr="00716244">
              <w:rPr>
                <w:lang w:val="en-AU" w:eastAsia="en-AU"/>
              </w:rPr>
              <w:t>se of cancer-related imaging was lower in the VA health care system than in fee-for-service Medicare, but lower use was not associated with less geographic variation. Geographic variation in service use may not be a reliable indicator of the extent of overuse.</w:t>
            </w:r>
            <w:r>
              <w:rPr>
                <w:lang w:val="en-AU" w:eastAsia="en-AU"/>
              </w:rPr>
              <w:t>”</w:t>
            </w:r>
          </w:p>
          <w:p w:rsidR="00716244" w:rsidRPr="00590FB6" w:rsidRDefault="00716244" w:rsidP="00716244">
            <w:pPr>
              <w:rPr>
                <w:lang w:val="en-AU" w:eastAsia="en-AU"/>
              </w:rPr>
            </w:pPr>
            <w:r>
              <w:rPr>
                <w:lang w:val="en-AU" w:eastAsia="en-AU"/>
              </w:rPr>
              <w:t>As is understood, variation can be complex and identifying what might be an appropriate level of service for a given population may not be a trivial exercise.</w:t>
            </w:r>
          </w:p>
        </w:tc>
      </w:tr>
    </w:tbl>
    <w:p w:rsidR="00FB354F" w:rsidRDefault="00FB354F" w:rsidP="00FB354F">
      <w:pPr>
        <w:keepLines/>
        <w:autoSpaceDE w:val="0"/>
        <w:autoSpaceDN w:val="0"/>
        <w:adjustRightInd w:val="0"/>
        <w:rPr>
          <w:i/>
          <w:lang w:val="en-AU"/>
        </w:rPr>
      </w:pPr>
    </w:p>
    <w:p w:rsidR="007E14AD" w:rsidRDefault="007E14AD" w:rsidP="007E14AD">
      <w:pPr>
        <w:keepNext/>
        <w:rPr>
          <w:rStyle w:val="Hyperlink"/>
          <w:lang w:val="en-AU"/>
        </w:rPr>
      </w:pPr>
      <w:r w:rsidRPr="0095520C">
        <w:rPr>
          <w:lang w:val="en-AU"/>
        </w:rPr>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26" w:history="1">
        <w:r w:rsidRPr="00C50B02">
          <w:rPr>
            <w:rStyle w:val="Hyperlink"/>
            <w:lang w:val="en-AU"/>
          </w:rPr>
          <w:t>http://www.safetyandquality.gov.au/our-work/variation-in-health-care/</w:t>
        </w:r>
      </w:hyperlink>
    </w:p>
    <w:p w:rsidR="007E14AD" w:rsidRDefault="007E14AD" w:rsidP="00FB354F">
      <w:pPr>
        <w:keepLines/>
        <w:autoSpaceDE w:val="0"/>
        <w:autoSpaceDN w:val="0"/>
        <w:adjustRightInd w:val="0"/>
        <w:rPr>
          <w:i/>
          <w:lang w:val="en-AU"/>
        </w:rPr>
      </w:pPr>
    </w:p>
    <w:p w:rsidR="00C64AA6" w:rsidRPr="00C64AA6" w:rsidRDefault="00C64AA6" w:rsidP="00C64AA6">
      <w:pPr>
        <w:keepNext/>
        <w:keepLines/>
        <w:autoSpaceDE w:val="0"/>
        <w:autoSpaceDN w:val="0"/>
        <w:adjustRightInd w:val="0"/>
        <w:rPr>
          <w:i/>
          <w:lang w:val="en-AU"/>
        </w:rPr>
      </w:pPr>
      <w:r w:rsidRPr="00C64AA6">
        <w:rPr>
          <w:i/>
          <w:lang w:val="en-AU"/>
        </w:rPr>
        <w:t>Medical errors in neurosurgery</w:t>
      </w:r>
    </w:p>
    <w:p w:rsidR="00C64AA6" w:rsidRDefault="00C64AA6" w:rsidP="00FB354F">
      <w:pPr>
        <w:keepNext/>
        <w:keepLines/>
        <w:autoSpaceDE w:val="0"/>
        <w:autoSpaceDN w:val="0"/>
        <w:adjustRightInd w:val="0"/>
        <w:rPr>
          <w:lang w:val="en-AU"/>
        </w:rPr>
      </w:pPr>
      <w:proofErr w:type="spellStart"/>
      <w:r w:rsidRPr="00C64AA6">
        <w:rPr>
          <w:lang w:val="en-AU"/>
        </w:rPr>
        <w:t>Rolston</w:t>
      </w:r>
      <w:proofErr w:type="spellEnd"/>
      <w:r w:rsidRPr="00C64AA6">
        <w:rPr>
          <w:lang w:val="en-AU"/>
        </w:rPr>
        <w:t xml:space="preserve"> J, </w:t>
      </w:r>
      <w:proofErr w:type="spellStart"/>
      <w:r w:rsidRPr="00C64AA6">
        <w:rPr>
          <w:lang w:val="en-AU"/>
        </w:rPr>
        <w:t>Zygourakis</w:t>
      </w:r>
      <w:proofErr w:type="spellEnd"/>
      <w:r w:rsidRPr="00C64AA6">
        <w:rPr>
          <w:lang w:val="en-AU"/>
        </w:rPr>
        <w:t xml:space="preserve"> C, Han S, Lau C, Berger M, </w:t>
      </w:r>
      <w:proofErr w:type="spellStart"/>
      <w:r w:rsidRPr="00C64AA6">
        <w:rPr>
          <w:lang w:val="en-AU"/>
        </w:rPr>
        <w:t>Parsa</w:t>
      </w:r>
      <w:proofErr w:type="spellEnd"/>
      <w:r w:rsidRPr="00C64AA6">
        <w:rPr>
          <w:lang w:val="en-AU"/>
        </w:rPr>
        <w:t xml:space="preserve"> A. </w:t>
      </w:r>
    </w:p>
    <w:p w:rsidR="00FB354F" w:rsidRPr="0095520C" w:rsidRDefault="00C64AA6" w:rsidP="00FB354F">
      <w:pPr>
        <w:keepNext/>
        <w:keepLines/>
        <w:autoSpaceDE w:val="0"/>
        <w:autoSpaceDN w:val="0"/>
        <w:adjustRightInd w:val="0"/>
        <w:rPr>
          <w:lang w:val="en-AU"/>
        </w:rPr>
      </w:pPr>
      <w:proofErr w:type="gramStart"/>
      <w:r w:rsidRPr="00C64AA6">
        <w:rPr>
          <w:lang w:val="en-AU"/>
        </w:rPr>
        <w:t>Surgical Neurology International.</w:t>
      </w:r>
      <w:proofErr w:type="gramEnd"/>
      <w:r w:rsidRPr="00C64AA6">
        <w:rPr>
          <w:lang w:val="en-AU"/>
        </w:rPr>
        <w:t xml:space="preserve"> 2014 October 1, 2014</w:t>
      </w:r>
      <w:proofErr w:type="gramStart"/>
      <w:r w:rsidRPr="00C64AA6">
        <w:rPr>
          <w:lang w:val="en-AU"/>
        </w:rPr>
        <w:t>;5</w:t>
      </w:r>
      <w:proofErr w:type="gramEnd"/>
      <w:r w:rsidRPr="00C64AA6">
        <w:rPr>
          <w:lang w:val="en-AU"/>
        </w:rPr>
        <w:t>(11):435-40.</w:t>
      </w:r>
    </w:p>
    <w:tbl>
      <w:tblPr>
        <w:tblStyle w:val="TableGrid"/>
        <w:tblW w:w="0" w:type="auto"/>
        <w:tblInd w:w="288" w:type="dxa"/>
        <w:tblLayout w:type="fixed"/>
        <w:tblLook w:val="01E0" w:firstRow="1" w:lastRow="1" w:firstColumn="1" w:lastColumn="1" w:noHBand="0" w:noVBand="0"/>
      </w:tblPr>
      <w:tblGrid>
        <w:gridCol w:w="1080"/>
        <w:gridCol w:w="8280"/>
      </w:tblGrid>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95520C" w:rsidRDefault="004E7E2A" w:rsidP="004E6F14">
            <w:pPr>
              <w:rPr>
                <w:lang w:val="en-AU"/>
              </w:rPr>
            </w:pPr>
            <w:hyperlink r:id="rId27" w:history="1">
              <w:r w:rsidR="00C64AA6" w:rsidRPr="00E509CE">
                <w:rPr>
                  <w:rStyle w:val="Hyperlink"/>
                  <w:lang w:val="en-AU"/>
                </w:rPr>
                <w:t>http://dx.doi.org/10.4103/2152-7806.142777</w:t>
              </w:r>
            </w:hyperlink>
          </w:p>
        </w:tc>
      </w:tr>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590FB6" w:rsidRDefault="00C64AA6" w:rsidP="00BD1484">
            <w:pPr>
              <w:rPr>
                <w:lang w:val="en-AU" w:eastAsia="en-AU"/>
              </w:rPr>
            </w:pPr>
            <w:r>
              <w:rPr>
                <w:lang w:val="en-AU" w:eastAsia="en-AU"/>
              </w:rPr>
              <w:t xml:space="preserve">Different domains of practice can lend themselves to different forms and rates of errors. This paper offers a </w:t>
            </w:r>
            <w:r w:rsidRPr="00C64AA6">
              <w:rPr>
                <w:lang w:val="en-AU" w:eastAsia="en-AU"/>
              </w:rPr>
              <w:t>systematic review of the neurosurgical literature</w:t>
            </w:r>
            <w:r w:rsidR="00BD1484">
              <w:rPr>
                <w:lang w:val="en-AU" w:eastAsia="en-AU"/>
              </w:rPr>
              <w:t>. Noting that the literature is limited, the authors report that “</w:t>
            </w:r>
            <w:r w:rsidR="00BD1484" w:rsidRPr="00BD1484">
              <w:rPr>
                <w:b/>
                <w:lang w:val="en-AU" w:eastAsia="en-AU"/>
              </w:rPr>
              <w:t>errors</w:t>
            </w:r>
            <w:r w:rsidR="00BD1484" w:rsidRPr="00BD1484">
              <w:rPr>
                <w:lang w:val="en-AU" w:eastAsia="en-AU"/>
              </w:rPr>
              <w:t xml:space="preserve"> were documented in anywhere</w:t>
            </w:r>
            <w:r w:rsidR="00BD1484">
              <w:rPr>
                <w:lang w:val="en-AU" w:eastAsia="en-AU"/>
              </w:rPr>
              <w:t xml:space="preserve"> from </w:t>
            </w:r>
            <w:r w:rsidR="00BD1484" w:rsidRPr="00BD1484">
              <w:rPr>
                <w:b/>
                <w:lang w:val="en-AU" w:eastAsia="en-AU"/>
              </w:rPr>
              <w:t>12% to 88.7% of cases</w:t>
            </w:r>
            <w:r w:rsidR="00BD1484" w:rsidRPr="00BD1484">
              <w:rPr>
                <w:lang w:val="en-AU" w:eastAsia="en-AU"/>
              </w:rPr>
              <w:t>. These errors had many sources, of which only</w:t>
            </w:r>
            <w:r w:rsidR="00BD1484">
              <w:rPr>
                <w:lang w:val="en-AU" w:eastAsia="en-AU"/>
              </w:rPr>
              <w:t xml:space="preserve"> </w:t>
            </w:r>
            <w:r w:rsidR="00BD1484" w:rsidRPr="00BD1484">
              <w:rPr>
                <w:lang w:val="en-AU" w:eastAsia="en-AU"/>
              </w:rPr>
              <w:t>23.7-27.8</w:t>
            </w:r>
            <w:proofErr w:type="gramStart"/>
            <w:r w:rsidR="00BD1484" w:rsidRPr="00BD1484">
              <w:rPr>
                <w:lang w:val="en-AU" w:eastAsia="en-AU"/>
              </w:rPr>
              <w:t>%</w:t>
            </w:r>
            <w:r w:rsidR="00BD1484">
              <w:rPr>
                <w:lang w:val="en-AU" w:eastAsia="en-AU"/>
              </w:rPr>
              <w:t xml:space="preserve"> </w:t>
            </w:r>
            <w:r w:rsidR="00BD1484" w:rsidRPr="00BD1484">
              <w:rPr>
                <w:lang w:val="en-AU" w:eastAsia="en-AU"/>
              </w:rPr>
              <w:t xml:space="preserve"> were</w:t>
            </w:r>
            <w:proofErr w:type="gramEnd"/>
            <w:r w:rsidR="00BD1484" w:rsidRPr="00BD1484">
              <w:rPr>
                <w:lang w:val="en-AU" w:eastAsia="en-AU"/>
              </w:rPr>
              <w:t xml:space="preserve"> technical, related to the execution of the surgery itself, highlighting the importance of systems-level approaches to protecting patients and reducing errors.</w:t>
            </w:r>
            <w:r w:rsidR="00BD1484">
              <w:rPr>
                <w:lang w:val="en-AU" w:eastAsia="en-AU"/>
              </w:rPr>
              <w:t>” They conclude that “</w:t>
            </w:r>
            <w:r w:rsidR="00BD1484" w:rsidRPr="00BD1484">
              <w:rPr>
                <w:lang w:val="en-AU" w:eastAsia="en-AU"/>
              </w:rPr>
              <w:t xml:space="preserve">the magnitude of medical errors in neurosurgery and the lack of focused research emphasize the need for prospective categorization of morbidity with judicious attribution. Ultimately, we must raise </w:t>
            </w:r>
            <w:r w:rsidR="00BD1484" w:rsidRPr="00BD1484">
              <w:rPr>
                <w:lang w:val="en-AU" w:eastAsia="en-AU"/>
              </w:rPr>
              <w:lastRenderedPageBreak/>
              <w:t>awareness of the impact of medical errors in neurosurgery, reduce the occurrence of medical errors, and mitigate their detrimental effects.</w:t>
            </w:r>
            <w:r w:rsidR="00BD1484">
              <w:rPr>
                <w:lang w:val="en-AU" w:eastAsia="en-AU"/>
              </w:rPr>
              <w:t>”</w:t>
            </w:r>
          </w:p>
        </w:tc>
      </w:tr>
    </w:tbl>
    <w:p w:rsidR="00FB354F" w:rsidRDefault="00FB354F" w:rsidP="00FB354F">
      <w:pPr>
        <w:keepLines/>
        <w:autoSpaceDE w:val="0"/>
        <w:autoSpaceDN w:val="0"/>
        <w:adjustRightInd w:val="0"/>
        <w:rPr>
          <w:i/>
          <w:lang w:val="en-AU"/>
        </w:rPr>
      </w:pPr>
    </w:p>
    <w:p w:rsidR="00BD1484" w:rsidRPr="00BD1484" w:rsidRDefault="00BD1484" w:rsidP="00BD1484">
      <w:pPr>
        <w:keepNext/>
        <w:keepLines/>
        <w:autoSpaceDE w:val="0"/>
        <w:autoSpaceDN w:val="0"/>
        <w:adjustRightInd w:val="0"/>
        <w:rPr>
          <w:i/>
          <w:lang w:val="en-AU"/>
        </w:rPr>
      </w:pPr>
      <w:r w:rsidRPr="00BD1484">
        <w:rPr>
          <w:i/>
          <w:lang w:val="en-AU"/>
        </w:rPr>
        <w:t xml:space="preserve">Establishing an international baseline for medication safety in oncology: Findings from the 2012 ISMP International Medication Safety </w:t>
      </w:r>
      <w:proofErr w:type="spellStart"/>
      <w:r w:rsidRPr="00BD1484">
        <w:rPr>
          <w:i/>
          <w:lang w:val="en-AU"/>
        </w:rPr>
        <w:t>Self Assessment</w:t>
      </w:r>
      <w:proofErr w:type="spellEnd"/>
      <w:r w:rsidRPr="00BD1484">
        <w:rPr>
          <w:i/>
          <w:lang w:val="en-AU"/>
        </w:rPr>
        <w:t>® for Oncology</w:t>
      </w:r>
    </w:p>
    <w:p w:rsidR="00BD1484" w:rsidRDefault="00BD1484" w:rsidP="00FB354F">
      <w:pPr>
        <w:keepNext/>
        <w:keepLines/>
        <w:autoSpaceDE w:val="0"/>
        <w:autoSpaceDN w:val="0"/>
        <w:adjustRightInd w:val="0"/>
        <w:rPr>
          <w:lang w:val="en-AU"/>
        </w:rPr>
      </w:pPr>
      <w:proofErr w:type="spellStart"/>
      <w:r w:rsidRPr="00BD1484">
        <w:rPr>
          <w:lang w:val="en-AU"/>
        </w:rPr>
        <w:t>Greenall</w:t>
      </w:r>
      <w:proofErr w:type="spellEnd"/>
      <w:r w:rsidRPr="00BD1484">
        <w:rPr>
          <w:lang w:val="en-AU"/>
        </w:rPr>
        <w:t xml:space="preserve"> J, </w:t>
      </w:r>
      <w:proofErr w:type="spellStart"/>
      <w:r w:rsidRPr="00BD1484">
        <w:rPr>
          <w:lang w:val="en-AU"/>
        </w:rPr>
        <w:t>Shastay</w:t>
      </w:r>
      <w:proofErr w:type="spellEnd"/>
      <w:r w:rsidRPr="00BD1484">
        <w:rPr>
          <w:lang w:val="en-AU"/>
        </w:rPr>
        <w:t xml:space="preserve"> A, </w:t>
      </w:r>
      <w:proofErr w:type="spellStart"/>
      <w:r w:rsidRPr="00BD1484">
        <w:rPr>
          <w:lang w:val="en-AU"/>
        </w:rPr>
        <w:t>Vaida</w:t>
      </w:r>
      <w:proofErr w:type="spellEnd"/>
      <w:r w:rsidRPr="00BD1484">
        <w:rPr>
          <w:lang w:val="en-AU"/>
        </w:rPr>
        <w:t xml:space="preserve"> AJ, U D, Johnson PE, O’Leary J, et al. </w:t>
      </w:r>
    </w:p>
    <w:p w:rsidR="00FB354F" w:rsidRPr="0095520C" w:rsidRDefault="00BD1484" w:rsidP="00FB354F">
      <w:pPr>
        <w:keepNext/>
        <w:keepLines/>
        <w:autoSpaceDE w:val="0"/>
        <w:autoSpaceDN w:val="0"/>
        <w:adjustRightInd w:val="0"/>
        <w:rPr>
          <w:lang w:val="en-AU"/>
        </w:rPr>
      </w:pPr>
      <w:proofErr w:type="gramStart"/>
      <w:r w:rsidRPr="00BD1484">
        <w:rPr>
          <w:lang w:val="en-AU"/>
        </w:rPr>
        <w:t>Journal of Oncology Pharmacy Practice.</w:t>
      </w:r>
      <w:proofErr w:type="gramEnd"/>
      <w:r w:rsidRPr="00BD1484">
        <w:rPr>
          <w:lang w:val="en-AU"/>
        </w:rPr>
        <w:t xml:space="preserve"> </w:t>
      </w:r>
      <w:proofErr w:type="gramStart"/>
      <w:r w:rsidRPr="00BD1484">
        <w:rPr>
          <w:lang w:val="en-AU"/>
        </w:rPr>
        <w:t>2014 October 30, 2014</w:t>
      </w:r>
      <w:r>
        <w:rPr>
          <w:lang w:val="en-AU"/>
        </w:rPr>
        <w:t xml:space="preserve"> [epub]</w:t>
      </w:r>
      <w:r w:rsidRPr="00BD1484">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Pr="0095520C" w:rsidRDefault="004E7E2A" w:rsidP="004E6F14">
            <w:pPr>
              <w:rPr>
                <w:lang w:val="en-AU"/>
              </w:rPr>
            </w:pPr>
            <w:hyperlink r:id="rId28" w:history="1">
              <w:r w:rsidR="00BD1484" w:rsidRPr="00E509CE">
                <w:rPr>
                  <w:rStyle w:val="Hyperlink"/>
                  <w:lang w:val="en-AU"/>
                </w:rPr>
                <w:t>http://dx.doi.org/10.1177/1078155214556522</w:t>
              </w:r>
            </w:hyperlink>
          </w:p>
        </w:tc>
      </w:tr>
      <w:tr w:rsidR="00FB354F" w:rsidRPr="0095520C" w:rsidTr="004E6F14">
        <w:tc>
          <w:tcPr>
            <w:tcW w:w="1080" w:type="dxa"/>
            <w:tcBorders>
              <w:top w:val="single" w:sz="4" w:space="0" w:color="auto"/>
              <w:left w:val="single" w:sz="4" w:space="0" w:color="auto"/>
              <w:bottom w:val="single" w:sz="4" w:space="0" w:color="auto"/>
              <w:right w:val="single" w:sz="4" w:space="0" w:color="auto"/>
            </w:tcBorders>
            <w:vAlign w:val="center"/>
          </w:tcPr>
          <w:p w:rsidR="00FB354F" w:rsidRPr="0095520C" w:rsidRDefault="00FB354F" w:rsidP="004E6F14">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B354F" w:rsidRDefault="00BD1484" w:rsidP="00BD1484">
            <w:pPr>
              <w:rPr>
                <w:lang w:val="en-AU" w:eastAsia="en-AU"/>
              </w:rPr>
            </w:pPr>
            <w:r>
              <w:rPr>
                <w:lang w:val="en-AU" w:eastAsia="en-AU"/>
              </w:rPr>
              <w:t xml:space="preserve">Chemotherapy is a major facet of oncological treatments. This study describes the results from the </w:t>
            </w:r>
            <w:r w:rsidRPr="00BD1484">
              <w:rPr>
                <w:lang w:val="en-AU" w:eastAsia="en-AU"/>
              </w:rPr>
              <w:t>Institute for Safe Medication Practices self-assessment for oncology</w:t>
            </w:r>
            <w:r>
              <w:rPr>
                <w:lang w:val="en-AU" w:eastAsia="en-AU"/>
              </w:rPr>
              <w:t xml:space="preserve"> that involved </w:t>
            </w:r>
            <w:r w:rsidRPr="00BD1484">
              <w:rPr>
                <w:lang w:val="en-AU" w:eastAsia="en-AU"/>
              </w:rPr>
              <w:t>35</w:t>
            </w:r>
            <w:r>
              <w:rPr>
                <w:lang w:val="en-AU" w:eastAsia="en-AU"/>
              </w:rPr>
              <w:t>2 organis</w:t>
            </w:r>
            <w:r w:rsidRPr="00BD1484">
              <w:rPr>
                <w:lang w:val="en-AU" w:eastAsia="en-AU"/>
              </w:rPr>
              <w:t>ations from 13 countrie</w:t>
            </w:r>
            <w:r>
              <w:rPr>
                <w:lang w:val="en-AU" w:eastAsia="en-AU"/>
              </w:rPr>
              <w:t xml:space="preserve">s. The </w:t>
            </w:r>
            <w:r w:rsidRPr="00BD1484">
              <w:rPr>
                <w:lang w:val="en-AU" w:eastAsia="en-AU"/>
              </w:rPr>
              <w:t xml:space="preserve">self-assessment was designed to assist oncology practitioners in </w:t>
            </w:r>
            <w:r>
              <w:rPr>
                <w:lang w:val="en-AU" w:eastAsia="en-AU"/>
              </w:rPr>
              <w:t>hospitals, ambulatory care cent</w:t>
            </w:r>
            <w:r w:rsidRPr="00BD1484">
              <w:rPr>
                <w:lang w:val="en-AU" w:eastAsia="en-AU"/>
              </w:rPr>
              <w:t>r</w:t>
            </w:r>
            <w:r>
              <w:rPr>
                <w:lang w:val="en-AU" w:eastAsia="en-AU"/>
              </w:rPr>
              <w:t>e</w:t>
            </w:r>
            <w:r w:rsidRPr="00BD1484">
              <w:rPr>
                <w:lang w:val="en-AU" w:eastAsia="en-AU"/>
              </w:rPr>
              <w:t>s, and office practice settings throughout the world to evaluate safe practices related to medication use in the oncology setting and to identify opportunities for improvement</w:t>
            </w:r>
            <w:r>
              <w:rPr>
                <w:lang w:val="en-AU" w:eastAsia="en-AU"/>
              </w:rPr>
              <w:t>.</w:t>
            </w:r>
          </w:p>
          <w:p w:rsidR="00BD1484" w:rsidRDefault="00BD1484" w:rsidP="00BD1484">
            <w:pPr>
              <w:rPr>
                <w:lang w:val="en-AU" w:eastAsia="en-AU"/>
              </w:rPr>
            </w:pPr>
            <w:r w:rsidRPr="00BD1484">
              <w:rPr>
                <w:lang w:val="en-AU" w:eastAsia="en-AU"/>
              </w:rPr>
              <w:t>Key opportunities for improvement were identified in five areas:</w:t>
            </w:r>
          </w:p>
          <w:p w:rsidR="00BD1484" w:rsidRPr="00BD1484" w:rsidRDefault="00BD1484" w:rsidP="00BD1484">
            <w:pPr>
              <w:pStyle w:val="ListParagraph"/>
              <w:numPr>
                <w:ilvl w:val="0"/>
                <w:numId w:val="43"/>
              </w:numPr>
              <w:rPr>
                <w:lang w:val="en-AU" w:eastAsia="en-AU"/>
              </w:rPr>
            </w:pPr>
            <w:r w:rsidRPr="00BD1484">
              <w:rPr>
                <w:lang w:val="en-AU" w:eastAsia="en-AU"/>
              </w:rPr>
              <w:t xml:space="preserve">implementation of the World Health Organization recommendations for management of </w:t>
            </w:r>
            <w:proofErr w:type="spellStart"/>
            <w:r w:rsidRPr="00BD1484">
              <w:rPr>
                <w:lang w:val="en-AU" w:eastAsia="en-AU"/>
              </w:rPr>
              <w:t>vinCRIStine</w:t>
            </w:r>
            <w:proofErr w:type="spellEnd"/>
            <w:r w:rsidRPr="00BD1484">
              <w:rPr>
                <w:lang w:val="en-AU" w:eastAsia="en-AU"/>
              </w:rPr>
              <w:t xml:space="preserve"> and other </w:t>
            </w:r>
            <w:proofErr w:type="spellStart"/>
            <w:r w:rsidRPr="00BD1484">
              <w:rPr>
                <w:lang w:val="en-AU" w:eastAsia="en-AU"/>
              </w:rPr>
              <w:t>vinca</w:t>
            </w:r>
            <w:proofErr w:type="spellEnd"/>
            <w:r w:rsidRPr="00BD1484">
              <w:rPr>
                <w:lang w:val="en-AU" w:eastAsia="en-AU"/>
              </w:rPr>
              <w:t xml:space="preserve"> alkaloids</w:t>
            </w:r>
          </w:p>
          <w:p w:rsidR="00BD1484" w:rsidRPr="00BD1484" w:rsidRDefault="00BD1484" w:rsidP="00BD1484">
            <w:pPr>
              <w:pStyle w:val="ListParagraph"/>
              <w:numPr>
                <w:ilvl w:val="0"/>
                <w:numId w:val="43"/>
              </w:numPr>
              <w:rPr>
                <w:lang w:val="en-AU" w:eastAsia="en-AU"/>
              </w:rPr>
            </w:pPr>
            <w:r w:rsidRPr="00BD1484">
              <w:rPr>
                <w:lang w:val="en-AU" w:eastAsia="en-AU"/>
              </w:rPr>
              <w:t>safe management of oral chemotherapy</w:t>
            </w:r>
          </w:p>
          <w:p w:rsidR="00BD1484" w:rsidRPr="00BD1484" w:rsidRDefault="00BD1484" w:rsidP="00BD1484">
            <w:pPr>
              <w:pStyle w:val="ListParagraph"/>
              <w:numPr>
                <w:ilvl w:val="0"/>
                <w:numId w:val="43"/>
              </w:numPr>
              <w:rPr>
                <w:lang w:val="en-AU" w:eastAsia="en-AU"/>
              </w:rPr>
            </w:pPr>
            <w:proofErr w:type="spellStart"/>
            <w:r w:rsidRPr="00BD1484">
              <w:rPr>
                <w:lang w:val="en-AU" w:eastAsia="en-AU"/>
              </w:rPr>
              <w:t>labeling</w:t>
            </w:r>
            <w:proofErr w:type="spellEnd"/>
            <w:r w:rsidRPr="00BD1484">
              <w:rPr>
                <w:lang w:val="en-AU" w:eastAsia="en-AU"/>
              </w:rPr>
              <w:t xml:space="preserve"> of distal ends of intravenous tubing</w:t>
            </w:r>
          </w:p>
          <w:p w:rsidR="00BD1484" w:rsidRPr="00BD1484" w:rsidRDefault="00BD1484" w:rsidP="00BD1484">
            <w:pPr>
              <w:pStyle w:val="ListParagraph"/>
              <w:numPr>
                <w:ilvl w:val="0"/>
                <w:numId w:val="43"/>
              </w:numPr>
              <w:rPr>
                <w:lang w:val="en-AU" w:eastAsia="en-AU"/>
              </w:rPr>
            </w:pPr>
            <w:r w:rsidRPr="00BD1484">
              <w:rPr>
                <w:lang w:val="en-AU" w:eastAsia="en-AU"/>
              </w:rPr>
              <w:t>implementation of technology-based safeguards, and</w:t>
            </w:r>
          </w:p>
          <w:p w:rsidR="00BD1484" w:rsidRPr="00BD1484" w:rsidRDefault="00BD1484" w:rsidP="00BD1484">
            <w:pPr>
              <w:pStyle w:val="ListParagraph"/>
              <w:numPr>
                <w:ilvl w:val="0"/>
                <w:numId w:val="43"/>
              </w:numPr>
              <w:rPr>
                <w:lang w:val="en-AU" w:eastAsia="en-AU"/>
              </w:rPr>
            </w:pPr>
            <w:proofErr w:type="gramStart"/>
            <w:r w:rsidRPr="00BD1484">
              <w:rPr>
                <w:lang w:val="en-AU" w:eastAsia="en-AU"/>
              </w:rPr>
              <w:t>patient</w:t>
            </w:r>
            <w:proofErr w:type="gramEnd"/>
            <w:r w:rsidRPr="00BD1484">
              <w:rPr>
                <w:lang w:val="en-AU" w:eastAsia="en-AU"/>
              </w:rPr>
              <w:t xml:space="preserve"> education.</w:t>
            </w:r>
          </w:p>
        </w:tc>
      </w:tr>
    </w:tbl>
    <w:p w:rsidR="00FB354F" w:rsidRDefault="00FB354F" w:rsidP="00FB354F">
      <w:pPr>
        <w:keepLines/>
        <w:autoSpaceDE w:val="0"/>
        <w:autoSpaceDN w:val="0"/>
        <w:adjustRightInd w:val="0"/>
        <w:rPr>
          <w:i/>
          <w:lang w:val="en-AU"/>
        </w:rPr>
      </w:pPr>
    </w:p>
    <w:p w:rsidR="00F91D90" w:rsidRDefault="00F91D90" w:rsidP="00F91D90">
      <w:pPr>
        <w:keepNext/>
        <w:rPr>
          <w:i/>
          <w:lang w:val="en-AU"/>
        </w:rPr>
      </w:pPr>
      <w:r w:rsidRPr="00F91D90">
        <w:rPr>
          <w:i/>
          <w:lang w:val="en-AU"/>
        </w:rPr>
        <w:t>Journal of Health Services Research &amp; Policy</w:t>
      </w:r>
    </w:p>
    <w:p w:rsidR="00F91D90" w:rsidRPr="0091691E" w:rsidRDefault="00F91D90" w:rsidP="00F91D90">
      <w:pPr>
        <w:keepNext/>
        <w:rPr>
          <w:lang w:val="en-AU"/>
        </w:rPr>
      </w:pPr>
      <w:r w:rsidRPr="00F91D90">
        <w:rPr>
          <w:lang w:val="en-AU"/>
        </w:rPr>
        <w:t xml:space="preserve">January 2015; Vol. 20, No. 1 </w:t>
      </w:r>
      <w:proofErr w:type="spellStart"/>
      <w:r w:rsidRPr="00F91D90">
        <w:rPr>
          <w:lang w:val="en-AU"/>
        </w:rPr>
        <w:t>suppl</w:t>
      </w:r>
      <w:proofErr w:type="spellEnd"/>
    </w:p>
    <w:tbl>
      <w:tblPr>
        <w:tblStyle w:val="TableGrid"/>
        <w:tblW w:w="9360" w:type="dxa"/>
        <w:tblInd w:w="288" w:type="dxa"/>
        <w:tblLayout w:type="fixed"/>
        <w:tblLook w:val="04A0" w:firstRow="1" w:lastRow="0" w:firstColumn="1" w:lastColumn="0" w:noHBand="0" w:noVBand="1"/>
      </w:tblPr>
      <w:tblGrid>
        <w:gridCol w:w="1080"/>
        <w:gridCol w:w="8280"/>
      </w:tblGrid>
      <w:tr w:rsidR="00F91D90" w:rsidRPr="0091691E" w:rsidTr="00392307">
        <w:tc>
          <w:tcPr>
            <w:tcW w:w="1080" w:type="dxa"/>
          </w:tcPr>
          <w:p w:rsidR="00F91D90" w:rsidRPr="0091691E" w:rsidRDefault="00F91D90" w:rsidP="00392307">
            <w:pPr>
              <w:rPr>
                <w:lang w:val="en-AU"/>
              </w:rPr>
            </w:pPr>
            <w:r w:rsidRPr="0091691E">
              <w:rPr>
                <w:lang w:val="en-AU"/>
              </w:rPr>
              <w:t>URL</w:t>
            </w:r>
          </w:p>
        </w:tc>
        <w:tc>
          <w:tcPr>
            <w:tcW w:w="8280" w:type="dxa"/>
          </w:tcPr>
          <w:p w:rsidR="00F91D90" w:rsidRPr="0091691E" w:rsidRDefault="004E7E2A" w:rsidP="00392307">
            <w:pPr>
              <w:keepNext/>
              <w:rPr>
                <w:lang w:val="en-AU"/>
              </w:rPr>
            </w:pPr>
            <w:hyperlink r:id="rId29" w:history="1">
              <w:r w:rsidR="00F91D90" w:rsidRPr="00E971B3">
                <w:rPr>
                  <w:rStyle w:val="Hyperlink"/>
                  <w:lang w:val="en-AU"/>
                </w:rPr>
                <w:t>http://hsr.sagepub.com/content/20/1_suppl?etoc</w:t>
              </w:r>
            </w:hyperlink>
          </w:p>
        </w:tc>
      </w:tr>
      <w:tr w:rsidR="00F91D90" w:rsidRPr="0091691E" w:rsidTr="00392307">
        <w:tblPrEx>
          <w:tblLook w:val="01E0" w:firstRow="1" w:lastRow="1" w:firstColumn="1" w:lastColumn="1" w:noHBand="0" w:noVBand="0"/>
        </w:tblPrEx>
        <w:tc>
          <w:tcPr>
            <w:tcW w:w="1080" w:type="dxa"/>
            <w:vAlign w:val="center"/>
          </w:tcPr>
          <w:p w:rsidR="00F91D90" w:rsidRPr="0091691E" w:rsidRDefault="00F91D90" w:rsidP="00392307">
            <w:pPr>
              <w:rPr>
                <w:lang w:val="en-AU"/>
              </w:rPr>
            </w:pPr>
            <w:r w:rsidRPr="0091691E">
              <w:rPr>
                <w:lang w:val="en-AU"/>
              </w:rPr>
              <w:t>Notes</w:t>
            </w:r>
          </w:p>
        </w:tc>
        <w:tc>
          <w:tcPr>
            <w:tcW w:w="8280" w:type="dxa"/>
            <w:vAlign w:val="center"/>
          </w:tcPr>
          <w:p w:rsidR="00F91D90" w:rsidRPr="0091691E" w:rsidRDefault="00F91D90" w:rsidP="00392307">
            <w:pPr>
              <w:keepNext/>
              <w:rPr>
                <w:lang w:val="en-AU"/>
              </w:rPr>
            </w:pPr>
            <w:r w:rsidRPr="0091691E">
              <w:rPr>
                <w:lang w:val="en-AU"/>
              </w:rPr>
              <w:t xml:space="preserve">A new issue of </w:t>
            </w:r>
            <w:r w:rsidRPr="00F91D90">
              <w:rPr>
                <w:i/>
                <w:lang w:val="en-AU"/>
              </w:rPr>
              <w:t>Journal of Health Services Research &amp; Policy</w:t>
            </w:r>
            <w:r w:rsidRPr="0091691E">
              <w:rPr>
                <w:i/>
                <w:lang w:val="en-AU"/>
              </w:rPr>
              <w:t xml:space="preserve"> </w:t>
            </w:r>
            <w:r w:rsidRPr="0091691E">
              <w:rPr>
                <w:lang w:val="en-AU"/>
              </w:rPr>
              <w:t>has been published</w:t>
            </w:r>
            <w:r>
              <w:rPr>
                <w:lang w:val="en-AU"/>
              </w:rPr>
              <w:t xml:space="preserve"> with the theme of patient safety</w:t>
            </w:r>
            <w:r w:rsidRPr="0091691E">
              <w:rPr>
                <w:lang w:val="en-AU"/>
              </w:rPr>
              <w:t xml:space="preserve">. Articles in this issue of </w:t>
            </w:r>
            <w:r w:rsidRPr="00F91D90">
              <w:rPr>
                <w:i/>
                <w:lang w:val="en-AU"/>
              </w:rPr>
              <w:t>Journal of Health Services Research &amp; Policy</w:t>
            </w:r>
            <w:r w:rsidRPr="0091691E">
              <w:rPr>
                <w:i/>
                <w:lang w:val="en-AU"/>
              </w:rPr>
              <w:t xml:space="preserve"> </w:t>
            </w:r>
            <w:r w:rsidRPr="0091691E">
              <w:rPr>
                <w:lang w:val="en-AU"/>
              </w:rPr>
              <w:t>include:</w:t>
            </w:r>
          </w:p>
          <w:p w:rsidR="00F91D90" w:rsidRPr="00F91D90" w:rsidRDefault="00F91D90" w:rsidP="00F91D90">
            <w:pPr>
              <w:numPr>
                <w:ilvl w:val="0"/>
                <w:numId w:val="25"/>
              </w:numPr>
              <w:rPr>
                <w:lang w:val="en-AU"/>
              </w:rPr>
            </w:pPr>
            <w:r w:rsidRPr="00F91D90">
              <w:rPr>
                <w:lang w:val="en-AU"/>
              </w:rPr>
              <w:t xml:space="preserve">Editorial: Safety lessons: </w:t>
            </w:r>
            <w:r w:rsidRPr="00F91D90">
              <w:rPr>
                <w:b/>
                <w:lang w:val="en-AU"/>
              </w:rPr>
              <w:t>shifting paradigms and new directions for patient safety research</w:t>
            </w:r>
            <w:r w:rsidRPr="00F91D90">
              <w:rPr>
                <w:lang w:val="en-AU"/>
              </w:rPr>
              <w:t xml:space="preserve"> (Tara Lamont and Justin Waring</w:t>
            </w:r>
            <w:r>
              <w:rPr>
                <w:lang w:val="en-AU"/>
              </w:rPr>
              <w:t>)</w:t>
            </w:r>
          </w:p>
          <w:p w:rsidR="00F91D90" w:rsidRPr="00F91D90" w:rsidRDefault="00F91D90" w:rsidP="00F91D90">
            <w:pPr>
              <w:numPr>
                <w:ilvl w:val="0"/>
                <w:numId w:val="25"/>
              </w:numPr>
              <w:rPr>
                <w:lang w:val="en-AU"/>
              </w:rPr>
            </w:pPr>
            <w:r w:rsidRPr="00F91D90">
              <w:rPr>
                <w:lang w:val="en-AU"/>
              </w:rPr>
              <w:t xml:space="preserve">Overseeing oversight: </w:t>
            </w:r>
            <w:r w:rsidRPr="00F91D90">
              <w:rPr>
                <w:b/>
                <w:lang w:val="en-AU"/>
              </w:rPr>
              <w:t>governance of quality and safety by hospital boards</w:t>
            </w:r>
            <w:r w:rsidRPr="00F91D90">
              <w:rPr>
                <w:lang w:val="en-AU"/>
              </w:rPr>
              <w:t xml:space="preserve"> in the English NHS (Russell Mannion, </w:t>
            </w:r>
            <w:proofErr w:type="spellStart"/>
            <w:r w:rsidRPr="00F91D90">
              <w:rPr>
                <w:lang w:val="en-AU"/>
              </w:rPr>
              <w:t>Huw</w:t>
            </w:r>
            <w:proofErr w:type="spellEnd"/>
            <w:r w:rsidRPr="00F91D90">
              <w:rPr>
                <w:lang w:val="en-AU"/>
              </w:rPr>
              <w:t xml:space="preserve"> Davies, Tim Freeman, Ross Millar, Rowena Jacobs, and </w:t>
            </w:r>
            <w:proofErr w:type="spellStart"/>
            <w:r w:rsidRPr="00F91D90">
              <w:rPr>
                <w:lang w:val="en-AU"/>
              </w:rPr>
              <w:t>Panos</w:t>
            </w:r>
            <w:proofErr w:type="spellEnd"/>
            <w:r w:rsidRPr="00F91D90">
              <w:rPr>
                <w:lang w:val="en-AU"/>
              </w:rPr>
              <w:t xml:space="preserve"> </w:t>
            </w:r>
            <w:proofErr w:type="spellStart"/>
            <w:r w:rsidRPr="00F91D90">
              <w:rPr>
                <w:lang w:val="en-AU"/>
              </w:rPr>
              <w:t>Kasteridis</w:t>
            </w:r>
            <w:proofErr w:type="spellEnd"/>
            <w:r>
              <w:rPr>
                <w:lang w:val="en-AU"/>
              </w:rPr>
              <w:t>)</w:t>
            </w:r>
          </w:p>
          <w:p w:rsidR="00F91D90" w:rsidRPr="00F91D90" w:rsidRDefault="00F91D90" w:rsidP="00F91D90">
            <w:pPr>
              <w:numPr>
                <w:ilvl w:val="0"/>
                <w:numId w:val="25"/>
              </w:numPr>
              <w:rPr>
                <w:lang w:val="en-AU"/>
              </w:rPr>
            </w:pPr>
            <w:r w:rsidRPr="00F91D90">
              <w:rPr>
                <w:lang w:val="en-AU"/>
              </w:rPr>
              <w:t xml:space="preserve">Managing competing organizational priorities in </w:t>
            </w:r>
            <w:r w:rsidRPr="00F91D90">
              <w:rPr>
                <w:b/>
                <w:lang w:val="en-AU"/>
              </w:rPr>
              <w:t>clinical handover across organizational boundaries</w:t>
            </w:r>
            <w:r w:rsidRPr="00F91D90">
              <w:rPr>
                <w:lang w:val="en-AU"/>
              </w:rPr>
              <w:t xml:space="preserve"> (Mark A </w:t>
            </w:r>
            <w:proofErr w:type="spellStart"/>
            <w:r w:rsidRPr="00F91D90">
              <w:rPr>
                <w:lang w:val="en-AU"/>
              </w:rPr>
              <w:t>Sujan</w:t>
            </w:r>
            <w:proofErr w:type="spellEnd"/>
            <w:r w:rsidRPr="00F91D90">
              <w:rPr>
                <w:lang w:val="en-AU"/>
              </w:rPr>
              <w:t xml:space="preserve">, Peter </w:t>
            </w:r>
            <w:proofErr w:type="spellStart"/>
            <w:r w:rsidRPr="00F91D90">
              <w:rPr>
                <w:lang w:val="en-AU"/>
              </w:rPr>
              <w:t>Chessum</w:t>
            </w:r>
            <w:proofErr w:type="spellEnd"/>
            <w:r w:rsidRPr="00F91D90">
              <w:rPr>
                <w:lang w:val="en-AU"/>
              </w:rPr>
              <w:t xml:space="preserve">, Michelle Rudd, Laurence </w:t>
            </w:r>
            <w:proofErr w:type="spellStart"/>
            <w:r w:rsidRPr="00F91D90">
              <w:rPr>
                <w:lang w:val="en-AU"/>
              </w:rPr>
              <w:t>Fitton</w:t>
            </w:r>
            <w:proofErr w:type="spellEnd"/>
            <w:r w:rsidRPr="00F91D90">
              <w:rPr>
                <w:lang w:val="en-AU"/>
              </w:rPr>
              <w:t>, Matthew Inada-Kim, M W Cooke, and P Spurgeon</w:t>
            </w:r>
            <w:r>
              <w:rPr>
                <w:lang w:val="en-AU"/>
              </w:rPr>
              <w:t>)</w:t>
            </w:r>
          </w:p>
          <w:p w:rsidR="00F91D90" w:rsidRPr="00F91D90" w:rsidRDefault="00F91D90" w:rsidP="00F91D90">
            <w:pPr>
              <w:numPr>
                <w:ilvl w:val="0"/>
                <w:numId w:val="25"/>
              </w:numPr>
              <w:rPr>
                <w:lang w:val="en-AU"/>
              </w:rPr>
            </w:pPr>
            <w:r w:rsidRPr="00F91D90">
              <w:rPr>
                <w:lang w:val="en-AU"/>
              </w:rPr>
              <w:t xml:space="preserve">Developing effective feedback on </w:t>
            </w:r>
            <w:r w:rsidRPr="00F91D90">
              <w:rPr>
                <w:b/>
                <w:lang w:val="en-AU"/>
              </w:rPr>
              <w:t>quality of anaesthetic care</w:t>
            </w:r>
            <w:r w:rsidRPr="00F91D90">
              <w:rPr>
                <w:lang w:val="en-AU"/>
              </w:rPr>
              <w:t xml:space="preserve">: what are its most valuable characteristics from a clinical perspective? (Danielle M </w:t>
            </w:r>
            <w:proofErr w:type="spellStart"/>
            <w:r w:rsidRPr="00F91D90">
              <w:rPr>
                <w:lang w:val="en-AU"/>
              </w:rPr>
              <w:t>D’Lima</w:t>
            </w:r>
            <w:proofErr w:type="spellEnd"/>
            <w:r w:rsidRPr="00F91D90">
              <w:rPr>
                <w:lang w:val="en-AU"/>
              </w:rPr>
              <w:t>, Joanna Moore, Alex Bottle, S J Brett, G M Arnold, and J Benn</w:t>
            </w:r>
            <w:r>
              <w:rPr>
                <w:lang w:val="en-AU"/>
              </w:rPr>
              <w:t>)</w:t>
            </w:r>
          </w:p>
          <w:p w:rsidR="00F91D90" w:rsidRPr="00F91D90" w:rsidRDefault="00F91D90" w:rsidP="00F91D90">
            <w:pPr>
              <w:numPr>
                <w:ilvl w:val="0"/>
                <w:numId w:val="25"/>
              </w:numPr>
              <w:rPr>
                <w:lang w:val="en-AU"/>
              </w:rPr>
            </w:pPr>
            <w:r w:rsidRPr="00F91D90">
              <w:rPr>
                <w:lang w:val="en-AU"/>
              </w:rPr>
              <w:t xml:space="preserve">Understanding the occupational and organizational boundaries to </w:t>
            </w:r>
            <w:r w:rsidRPr="00F91D90">
              <w:rPr>
                <w:b/>
                <w:lang w:val="en-AU"/>
              </w:rPr>
              <w:t>safe hospital discharge</w:t>
            </w:r>
            <w:r w:rsidRPr="00F91D90">
              <w:rPr>
                <w:lang w:val="en-AU"/>
              </w:rPr>
              <w:t xml:space="preserve"> (Justin Waring, Fiona Marshall, and Simon Bishop</w:t>
            </w:r>
            <w:r>
              <w:rPr>
                <w:lang w:val="en-AU"/>
              </w:rPr>
              <w:t>)</w:t>
            </w:r>
          </w:p>
          <w:p w:rsidR="00F91D90" w:rsidRPr="00F91D90" w:rsidRDefault="00F91D90" w:rsidP="00F91D90">
            <w:pPr>
              <w:numPr>
                <w:ilvl w:val="0"/>
                <w:numId w:val="25"/>
              </w:numPr>
              <w:rPr>
                <w:lang w:val="en-AU"/>
              </w:rPr>
            </w:pPr>
            <w:r w:rsidRPr="00F91D90">
              <w:rPr>
                <w:lang w:val="en-AU"/>
              </w:rPr>
              <w:t xml:space="preserve">A qualitative study of systemic influences on </w:t>
            </w:r>
            <w:r w:rsidRPr="00F91D90">
              <w:rPr>
                <w:b/>
                <w:lang w:val="en-AU"/>
              </w:rPr>
              <w:t>paramedic decision making</w:t>
            </w:r>
            <w:r w:rsidRPr="00F91D90">
              <w:rPr>
                <w:lang w:val="en-AU"/>
              </w:rPr>
              <w:t xml:space="preserve">: care transitions and patient safety (Rachel O’Hara, Maxine Johnson, A </w:t>
            </w:r>
            <w:proofErr w:type="spellStart"/>
            <w:r w:rsidRPr="00F91D90">
              <w:rPr>
                <w:lang w:val="en-AU"/>
              </w:rPr>
              <w:t>Niroshan</w:t>
            </w:r>
            <w:proofErr w:type="spellEnd"/>
            <w:r w:rsidRPr="00F91D90">
              <w:rPr>
                <w:lang w:val="en-AU"/>
              </w:rPr>
              <w:t xml:space="preserve"> </w:t>
            </w:r>
            <w:proofErr w:type="spellStart"/>
            <w:r w:rsidRPr="00F91D90">
              <w:rPr>
                <w:lang w:val="en-AU"/>
              </w:rPr>
              <w:t>Siriwardena</w:t>
            </w:r>
            <w:proofErr w:type="spellEnd"/>
            <w:r w:rsidRPr="00F91D90">
              <w:rPr>
                <w:lang w:val="en-AU"/>
              </w:rPr>
              <w:t xml:space="preserve">, Andrew </w:t>
            </w:r>
            <w:proofErr w:type="spellStart"/>
            <w:r w:rsidRPr="00F91D90">
              <w:rPr>
                <w:lang w:val="en-AU"/>
              </w:rPr>
              <w:t>Weyman</w:t>
            </w:r>
            <w:proofErr w:type="spellEnd"/>
            <w:r w:rsidRPr="00F91D90">
              <w:rPr>
                <w:lang w:val="en-AU"/>
              </w:rPr>
              <w:t xml:space="preserve">, J Turner, D Shaw, P Mortimer, C Newman, E </w:t>
            </w:r>
            <w:proofErr w:type="spellStart"/>
            <w:r w:rsidRPr="00F91D90">
              <w:rPr>
                <w:lang w:val="en-AU"/>
              </w:rPr>
              <w:t>Hirst</w:t>
            </w:r>
            <w:proofErr w:type="spellEnd"/>
            <w:r w:rsidRPr="00F91D90">
              <w:rPr>
                <w:lang w:val="en-AU"/>
              </w:rPr>
              <w:t xml:space="preserve">, M Storey, S Mason, T Quinn, and J </w:t>
            </w:r>
            <w:proofErr w:type="spellStart"/>
            <w:r w:rsidRPr="00F91D90">
              <w:rPr>
                <w:lang w:val="en-AU"/>
              </w:rPr>
              <w:t>Shewan</w:t>
            </w:r>
            <w:proofErr w:type="spellEnd"/>
            <w:r>
              <w:rPr>
                <w:lang w:val="en-AU"/>
              </w:rPr>
              <w:t>)</w:t>
            </w:r>
          </w:p>
          <w:p w:rsidR="00F91D90" w:rsidRPr="0091691E" w:rsidRDefault="00F91D90" w:rsidP="00F91D90">
            <w:pPr>
              <w:numPr>
                <w:ilvl w:val="0"/>
                <w:numId w:val="25"/>
              </w:numPr>
              <w:rPr>
                <w:lang w:val="en-AU"/>
              </w:rPr>
            </w:pPr>
            <w:r w:rsidRPr="00F91D90">
              <w:rPr>
                <w:lang w:val="en-AU"/>
              </w:rPr>
              <w:t xml:space="preserve">Being open about </w:t>
            </w:r>
            <w:r w:rsidRPr="00F91D90">
              <w:rPr>
                <w:b/>
                <w:lang w:val="en-AU"/>
              </w:rPr>
              <w:t>unanticipated problems in health care</w:t>
            </w:r>
            <w:r w:rsidRPr="00F91D90">
              <w:rPr>
                <w:lang w:val="en-AU"/>
              </w:rPr>
              <w:t xml:space="preserve">: the challenges of uncertainties (Yvonne Birks, Vikki </w:t>
            </w:r>
            <w:proofErr w:type="spellStart"/>
            <w:r w:rsidRPr="00F91D90">
              <w:rPr>
                <w:lang w:val="en-AU"/>
              </w:rPr>
              <w:t>Entwistle</w:t>
            </w:r>
            <w:proofErr w:type="spellEnd"/>
            <w:r w:rsidRPr="00F91D90">
              <w:rPr>
                <w:lang w:val="en-AU"/>
              </w:rPr>
              <w:t xml:space="preserve">, </w:t>
            </w:r>
            <w:proofErr w:type="spellStart"/>
            <w:r w:rsidRPr="00F91D90">
              <w:rPr>
                <w:lang w:val="en-AU"/>
              </w:rPr>
              <w:t>Reema</w:t>
            </w:r>
            <w:proofErr w:type="spellEnd"/>
            <w:r w:rsidRPr="00F91D90">
              <w:rPr>
                <w:lang w:val="en-AU"/>
              </w:rPr>
              <w:t xml:space="preserve"> Harrison, Kate </w:t>
            </w:r>
            <w:proofErr w:type="spellStart"/>
            <w:r w:rsidRPr="00F91D90">
              <w:rPr>
                <w:lang w:val="en-AU"/>
              </w:rPr>
              <w:t>Bosanquet</w:t>
            </w:r>
            <w:proofErr w:type="spellEnd"/>
            <w:r w:rsidRPr="00F91D90">
              <w:rPr>
                <w:lang w:val="en-AU"/>
              </w:rPr>
              <w:t xml:space="preserve">, Ian Watt, and Rick </w:t>
            </w:r>
            <w:proofErr w:type="spellStart"/>
            <w:r w:rsidRPr="00F91D90">
              <w:rPr>
                <w:lang w:val="en-AU"/>
              </w:rPr>
              <w:t>Iedema</w:t>
            </w:r>
            <w:proofErr w:type="spellEnd"/>
            <w:r>
              <w:rPr>
                <w:lang w:val="en-AU"/>
              </w:rPr>
              <w:t>)</w:t>
            </w:r>
          </w:p>
        </w:tc>
      </w:tr>
    </w:tbl>
    <w:p w:rsidR="00F91D90" w:rsidRDefault="00F91D90" w:rsidP="00FB354F">
      <w:pPr>
        <w:keepLines/>
        <w:autoSpaceDE w:val="0"/>
        <w:autoSpaceDN w:val="0"/>
        <w:adjustRightInd w:val="0"/>
        <w:rPr>
          <w:i/>
          <w:lang w:val="en-AU"/>
        </w:rPr>
      </w:pPr>
    </w:p>
    <w:p w:rsidR="00590FB6" w:rsidRDefault="00590FB6" w:rsidP="00672631">
      <w:pPr>
        <w:keepNext/>
        <w:rPr>
          <w:b/>
          <w:lang w:val="en-AU"/>
        </w:rPr>
      </w:pPr>
      <w:r>
        <w:rPr>
          <w:b/>
          <w:lang w:val="en-AU"/>
        </w:rPr>
        <w:lastRenderedPageBreak/>
        <w:t>Online resources</w:t>
      </w:r>
    </w:p>
    <w:p w:rsidR="0088006B" w:rsidRDefault="0088006B" w:rsidP="0029518F">
      <w:pPr>
        <w:rPr>
          <w:lang w:val="en-AU"/>
        </w:rPr>
      </w:pPr>
    </w:p>
    <w:p w:rsidR="00BF7F9D" w:rsidRDefault="00BF7F9D" w:rsidP="0029518F">
      <w:pPr>
        <w:rPr>
          <w:i/>
          <w:lang w:val="en-AU"/>
        </w:rPr>
      </w:pPr>
      <w:r w:rsidRPr="00BF7F9D">
        <w:rPr>
          <w:i/>
          <w:lang w:val="en-AU"/>
        </w:rPr>
        <w:t>[UK] Improving the experience of care for cancer patients</w:t>
      </w:r>
      <w:r>
        <w:rPr>
          <w:i/>
          <w:lang w:val="en-AU"/>
        </w:rPr>
        <w:t xml:space="preserve">: </w:t>
      </w:r>
      <w:r w:rsidRPr="00BF7F9D">
        <w:rPr>
          <w:i/>
          <w:lang w:val="en-AU"/>
        </w:rPr>
        <w:t>Using cancer patient experience survey (CPES) data to drive improvement</w:t>
      </w:r>
      <w:r>
        <w:rPr>
          <w:i/>
          <w:lang w:val="en-AU"/>
        </w:rPr>
        <w:t>s</w:t>
      </w:r>
    </w:p>
    <w:p w:rsidR="00BF7F9D" w:rsidRDefault="004E7E2A" w:rsidP="0029518F">
      <w:pPr>
        <w:rPr>
          <w:lang w:val="en-AU"/>
        </w:rPr>
      </w:pPr>
      <w:hyperlink r:id="rId30" w:history="1">
        <w:r w:rsidR="00BF7F9D" w:rsidRPr="00E509CE">
          <w:rPr>
            <w:rStyle w:val="Hyperlink"/>
            <w:lang w:val="en-AU"/>
          </w:rPr>
          <w:t>http://www.nhsiq.nhs.uk/resource-search/publications/improving-the-experience-of-care-for-cancer-patients.aspx</w:t>
        </w:r>
      </w:hyperlink>
    </w:p>
    <w:p w:rsidR="00BF7F9D" w:rsidRPr="00BF7F9D" w:rsidRDefault="00BF7F9D" w:rsidP="00BF7F9D">
      <w:pPr>
        <w:rPr>
          <w:lang w:val="en-AU"/>
        </w:rPr>
      </w:pPr>
      <w:r>
        <w:rPr>
          <w:lang w:val="en-AU"/>
        </w:rPr>
        <w:t xml:space="preserve">NHS Improving Quality has published this </w:t>
      </w:r>
      <w:r w:rsidRPr="00BF7F9D">
        <w:rPr>
          <w:lang w:val="en-AU"/>
        </w:rPr>
        <w:t xml:space="preserve">guide </w:t>
      </w:r>
      <w:r>
        <w:rPr>
          <w:lang w:val="en-AU"/>
        </w:rPr>
        <w:t xml:space="preserve">to aid </w:t>
      </w:r>
      <w:r w:rsidRPr="00BF7F9D">
        <w:rPr>
          <w:lang w:val="en-AU"/>
        </w:rPr>
        <w:t>cancer teams and professionals at all levels to drive continual improvement in patient experience, using tried and tested tools and techniques.</w:t>
      </w:r>
    </w:p>
    <w:p w:rsidR="00BF7F9D" w:rsidRPr="00BF7F9D" w:rsidRDefault="00BF7F9D" w:rsidP="00BF7F9D">
      <w:pPr>
        <w:rPr>
          <w:lang w:val="en-AU"/>
        </w:rPr>
      </w:pPr>
      <w:r>
        <w:rPr>
          <w:lang w:val="en-AU"/>
        </w:rPr>
        <w:t>The NHSIQ suggest that t</w:t>
      </w:r>
      <w:r w:rsidRPr="00BF7F9D">
        <w:rPr>
          <w:lang w:val="en-AU"/>
        </w:rPr>
        <w:t xml:space="preserve">he consistently high level of response to cancer patient experience surveys demonstrates how much patients value the opportunity to </w:t>
      </w:r>
      <w:r>
        <w:rPr>
          <w:lang w:val="en-AU"/>
        </w:rPr>
        <w:t xml:space="preserve">provide </w:t>
      </w:r>
      <w:r w:rsidRPr="00BF7F9D">
        <w:rPr>
          <w:lang w:val="en-AU"/>
        </w:rPr>
        <w:t xml:space="preserve">feedback and make their voices heard. It is vital that patients are seen as partners in improvement initiatives and </w:t>
      </w:r>
      <w:r>
        <w:rPr>
          <w:lang w:val="en-AU"/>
        </w:rPr>
        <w:t xml:space="preserve">this guide helps show </w:t>
      </w:r>
      <w:r w:rsidRPr="00BF7F9D">
        <w:rPr>
          <w:lang w:val="en-AU"/>
        </w:rPr>
        <w:t>how this can and is being done.</w:t>
      </w:r>
    </w:p>
    <w:p w:rsidR="00BF7F9D" w:rsidRPr="00BF7F9D" w:rsidRDefault="00BF7F9D" w:rsidP="00BF7F9D">
      <w:pPr>
        <w:rPr>
          <w:lang w:val="en-AU"/>
        </w:rPr>
      </w:pPr>
    </w:p>
    <w:p w:rsidR="00BF7F9D" w:rsidRPr="0095520C" w:rsidRDefault="00BF7F9D"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E2A" w:rsidRDefault="004E7E2A">
      <w:r>
        <w:separator/>
      </w:r>
    </w:p>
  </w:endnote>
  <w:endnote w:type="continuationSeparator" w:id="0">
    <w:p w:rsidR="004E7E2A" w:rsidRDefault="004E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E253B">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20</w:t>
    </w:r>
    <w:r w:rsidR="00FB354F">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253B">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B354F">
      <w:t xml:space="preserve"> Issue 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DA" w:rsidRDefault="00CC4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E2A" w:rsidRDefault="004E7E2A">
      <w:r>
        <w:separator/>
      </w:r>
    </w:p>
  </w:footnote>
  <w:footnote w:type="continuationSeparator" w:id="0">
    <w:p w:rsidR="004E7E2A" w:rsidRDefault="004E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DA" w:rsidRDefault="00CC4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DA" w:rsidRDefault="00CC4D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DA" w:rsidRDefault="00CC4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D4286"/>
    <w:multiLevelType w:val="hybridMultilevel"/>
    <w:tmpl w:val="B21A2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A74A6D"/>
    <w:multiLevelType w:val="hybridMultilevel"/>
    <w:tmpl w:val="05AE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2758ED"/>
    <w:multiLevelType w:val="hybridMultilevel"/>
    <w:tmpl w:val="8D22E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EF0A72"/>
    <w:multiLevelType w:val="hybridMultilevel"/>
    <w:tmpl w:val="F1AC0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9812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6014BB"/>
    <w:multiLevelType w:val="hybridMultilevel"/>
    <w:tmpl w:val="E12AB8A2"/>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E9684C"/>
    <w:multiLevelType w:val="hybridMultilevel"/>
    <w:tmpl w:val="D6F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803D34"/>
    <w:multiLevelType w:val="hybridMultilevel"/>
    <w:tmpl w:val="7FB6E9B8"/>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271342"/>
    <w:multiLevelType w:val="hybridMultilevel"/>
    <w:tmpl w:val="C11E38D0"/>
    <w:lvl w:ilvl="0" w:tplc="B11401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F668A5"/>
    <w:multiLevelType w:val="hybridMultilevel"/>
    <w:tmpl w:val="7FB00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7B0A59"/>
    <w:multiLevelType w:val="hybridMultilevel"/>
    <w:tmpl w:val="5D5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7F6EA8"/>
    <w:multiLevelType w:val="hybridMultilevel"/>
    <w:tmpl w:val="FE441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BD0077"/>
    <w:multiLevelType w:val="hybridMultilevel"/>
    <w:tmpl w:val="A04AC5DE"/>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402683"/>
    <w:multiLevelType w:val="hybridMultilevel"/>
    <w:tmpl w:val="45A2B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1"/>
  </w:num>
  <w:num w:numId="15">
    <w:abstractNumId w:val="42"/>
  </w:num>
  <w:num w:numId="16">
    <w:abstractNumId w:val="22"/>
  </w:num>
  <w:num w:numId="17">
    <w:abstractNumId w:val="16"/>
  </w:num>
  <w:num w:numId="18">
    <w:abstractNumId w:val="11"/>
  </w:num>
  <w:num w:numId="19">
    <w:abstractNumId w:val="31"/>
  </w:num>
  <w:num w:numId="20">
    <w:abstractNumId w:val="12"/>
  </w:num>
  <w:num w:numId="21">
    <w:abstractNumId w:val="35"/>
  </w:num>
  <w:num w:numId="22">
    <w:abstractNumId w:val="41"/>
  </w:num>
  <w:num w:numId="23">
    <w:abstractNumId w:val="25"/>
  </w:num>
  <w:num w:numId="24">
    <w:abstractNumId w:val="10"/>
  </w:num>
  <w:num w:numId="25">
    <w:abstractNumId w:val="32"/>
  </w:num>
  <w:num w:numId="26">
    <w:abstractNumId w:val="38"/>
  </w:num>
  <w:num w:numId="27">
    <w:abstractNumId w:val="14"/>
  </w:num>
  <w:num w:numId="28">
    <w:abstractNumId w:val="36"/>
  </w:num>
  <w:num w:numId="29">
    <w:abstractNumId w:val="17"/>
  </w:num>
  <w:num w:numId="30">
    <w:abstractNumId w:val="27"/>
  </w:num>
  <w:num w:numId="31">
    <w:abstractNumId w:val="24"/>
  </w:num>
  <w:num w:numId="32">
    <w:abstractNumId w:val="33"/>
  </w:num>
  <w:num w:numId="33">
    <w:abstractNumId w:val="37"/>
  </w:num>
  <w:num w:numId="34">
    <w:abstractNumId w:val="23"/>
  </w:num>
  <w:num w:numId="35">
    <w:abstractNumId w:val="26"/>
  </w:num>
  <w:num w:numId="36">
    <w:abstractNumId w:val="19"/>
  </w:num>
  <w:num w:numId="37">
    <w:abstractNumId w:val="13"/>
  </w:num>
  <w:num w:numId="38">
    <w:abstractNumId w:val="34"/>
  </w:num>
  <w:num w:numId="39">
    <w:abstractNumId w:val="28"/>
  </w:num>
  <w:num w:numId="40">
    <w:abstractNumId w:val="30"/>
  </w:num>
  <w:num w:numId="41">
    <w:abstractNumId w:val="40"/>
  </w:num>
  <w:num w:numId="42">
    <w:abstractNumId w:val="15"/>
  </w:num>
  <w:num w:numId="4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6E8"/>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5EF"/>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225"/>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1F7A"/>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7C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7B"/>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A7D67"/>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48D"/>
    <w:rsid w:val="003D7B9E"/>
    <w:rsid w:val="003E0026"/>
    <w:rsid w:val="003E0613"/>
    <w:rsid w:val="003E0BD9"/>
    <w:rsid w:val="003E0E7B"/>
    <w:rsid w:val="003E10D3"/>
    <w:rsid w:val="003E1313"/>
    <w:rsid w:val="003E16B6"/>
    <w:rsid w:val="003E17C6"/>
    <w:rsid w:val="003E1874"/>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73"/>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1CF9"/>
    <w:rsid w:val="004A2069"/>
    <w:rsid w:val="004A23F0"/>
    <w:rsid w:val="004A26E2"/>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4AF9"/>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631"/>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A55"/>
    <w:rsid w:val="00675D65"/>
    <w:rsid w:val="006760AD"/>
    <w:rsid w:val="0067616A"/>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BAA"/>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24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70C"/>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B55"/>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12"/>
    <w:rsid w:val="009255CB"/>
    <w:rsid w:val="0092585C"/>
    <w:rsid w:val="00925B34"/>
    <w:rsid w:val="0092625C"/>
    <w:rsid w:val="00926A48"/>
    <w:rsid w:val="00926B88"/>
    <w:rsid w:val="00926BFE"/>
    <w:rsid w:val="00927416"/>
    <w:rsid w:val="00927CCB"/>
    <w:rsid w:val="00927D19"/>
    <w:rsid w:val="00930111"/>
    <w:rsid w:val="0093012F"/>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3944"/>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618"/>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453"/>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315"/>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BEE"/>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C38"/>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7F8"/>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BF7F9D"/>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44"/>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74A"/>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113"/>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565"/>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D61"/>
    <w:rsid w:val="00D94EDF"/>
    <w:rsid w:val="00D9505B"/>
    <w:rsid w:val="00D957B3"/>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A7FB7"/>
    <w:rsid w:val="00DB0097"/>
    <w:rsid w:val="00DB0611"/>
    <w:rsid w:val="00DB0716"/>
    <w:rsid w:val="00DB0815"/>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7CE"/>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2FA1"/>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468"/>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9F8"/>
    <w:rsid w:val="00F27F6D"/>
    <w:rsid w:val="00F30E08"/>
    <w:rsid w:val="00F31053"/>
    <w:rsid w:val="00F3147F"/>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47F00"/>
    <w:rsid w:val="00F501D9"/>
    <w:rsid w:val="00F501EF"/>
    <w:rsid w:val="00F508F7"/>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5ED"/>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1D90"/>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7FB"/>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4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45E"/>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4A"/>
    <w:rsid w:val="00FD1B71"/>
    <w:rsid w:val="00FD1C32"/>
    <w:rsid w:val="00FD1C76"/>
    <w:rsid w:val="00FD1E8F"/>
    <w:rsid w:val="00FD252D"/>
    <w:rsid w:val="00FD25C7"/>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variation-in-health-care/" TargetMode="External"/><Relationship Id="rId26" Type="http://schemas.openxmlformats.org/officeDocument/2006/relationships/hyperlink" Target="http://www.safetyandquality.gov.au/our-work/variation-in-health-care/" TargetMode="External"/><Relationship Id="rId3" Type="http://schemas.openxmlformats.org/officeDocument/2006/relationships/styles" Target="styles.xml"/><Relationship Id="rId21" Type="http://schemas.openxmlformats.org/officeDocument/2006/relationships/hyperlink" Target="http://dx.doi.org/10.1056/NEJMp1408345"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dartmouthatlas.org/downloads/reports/Prostate_cancer_report_12_03_14.pdf" TargetMode="External"/><Relationship Id="rId25" Type="http://schemas.openxmlformats.org/officeDocument/2006/relationships/hyperlink" Target="http://dx.doi.org/10.7326/M14-065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our-work/clinical-care-standards/acute-coronary-syndromes-clinical-care-standard/" TargetMode="External"/><Relationship Id="rId20" Type="http://schemas.openxmlformats.org/officeDocument/2006/relationships/hyperlink" Target="http://dx.doi.org/10.1056/NEJMp1407883" TargetMode="External"/><Relationship Id="rId29" Type="http://schemas.openxmlformats.org/officeDocument/2006/relationships/hyperlink" Target="http://hsr.sagepub.com/content/20/1_suppl?et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7326/M14-0703"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healthcare-associated-infection/" TargetMode="External"/><Relationship Id="rId28" Type="http://schemas.openxmlformats.org/officeDocument/2006/relationships/hyperlink" Target="http://dx.doi.org/10.1177/1078155214556522" TargetMode="External"/><Relationship Id="rId36" Type="http://schemas.openxmlformats.org/officeDocument/2006/relationships/footer" Target="footer3.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shared-decision-makin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71/HI14019" TargetMode="External"/><Relationship Id="rId27" Type="http://schemas.openxmlformats.org/officeDocument/2006/relationships/hyperlink" Target="http://dx.doi.org/10.4103/2152-7806.142777" TargetMode="External"/><Relationship Id="rId30" Type="http://schemas.openxmlformats.org/officeDocument/2006/relationships/hyperlink" Target="http://www.nhsiq.nhs.uk/resource-search/publications/improving-the-experience-of-care-for-cancer-patients.aspx"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1270-1290-43F7-BCDC-B7ACB00C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6</Pages>
  <Words>2344</Words>
  <Characters>14395</Characters>
  <Application>Microsoft Office Word</Application>
  <DocSecurity>0</DocSecurity>
  <Lines>312</Lines>
  <Paragraphs>164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16575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11</cp:revision>
  <cp:lastPrinted>2013-06-06T03:47:00Z</cp:lastPrinted>
  <dcterms:created xsi:type="dcterms:W3CDTF">2014-11-30T20:37:00Z</dcterms:created>
  <dcterms:modified xsi:type="dcterms:W3CDTF">2014-12-06T20:58:00Z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