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250" w:type="dxa"/>
        <w:tblLook w:val="04A0" w:firstRow="1" w:lastRow="0" w:firstColumn="1" w:lastColumn="0" w:noHBand="0" w:noVBand="1"/>
      </w:tblPr>
      <w:tblGrid>
        <w:gridCol w:w="9356"/>
      </w:tblGrid>
      <w:tr w:rsidR="000548D5" w:rsidRPr="00283E5F" w:rsidTr="00BD05C8">
        <w:tc>
          <w:tcPr>
            <w:tcW w:w="9356" w:type="dxa"/>
            <w:shd w:val="clear" w:color="auto" w:fill="auto"/>
          </w:tcPr>
          <w:p w:rsidR="002D7B90" w:rsidRDefault="002D7B90" w:rsidP="002D7B90">
            <w:pPr>
              <w:pStyle w:val="ListParagraph"/>
              <w:spacing w:before="120" w:after="200" w:line="360" w:lineRule="auto"/>
              <w:ind w:left="0"/>
              <w:rPr>
                <w:szCs w:val="24"/>
              </w:rPr>
            </w:pPr>
          </w:p>
          <w:p w:rsidR="00987731" w:rsidRPr="00283E5F" w:rsidRDefault="005E68F0" w:rsidP="002D7B90">
            <w:pPr>
              <w:pStyle w:val="Intro"/>
              <w:ind w:left="176"/>
            </w:pPr>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2073910</wp:posOffset>
                      </wp:positionH>
                      <wp:positionV relativeFrom="paragraph">
                        <wp:posOffset>-1247775</wp:posOffset>
                      </wp:positionV>
                      <wp:extent cx="4304030" cy="114300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33B" w:rsidRDefault="00EB533B" w:rsidP="000A6360">
                                  <w:pPr>
                                    <w:autoSpaceDE w:val="0"/>
                                    <w:autoSpaceDN w:val="0"/>
                                    <w:adjustRightInd w:val="0"/>
                                    <w:jc w:val="right"/>
                                    <w:rPr>
                                      <w:rFonts w:ascii="Gotham-Book" w:hAnsi="Gotham-Book" w:cs="Gotham-Book"/>
                                      <w:color w:val="00B2B1"/>
                                      <w:sz w:val="48"/>
                                      <w:szCs w:val="48"/>
                                    </w:rPr>
                                  </w:pPr>
                                  <w:r>
                                    <w:rPr>
                                      <w:rFonts w:ascii="Gotham-Book" w:hAnsi="Gotham-Book" w:cs="Gotham-Book"/>
                                      <w:color w:val="00B2B1"/>
                                      <w:sz w:val="48"/>
                                      <w:szCs w:val="48"/>
                                    </w:rPr>
                                    <w:t xml:space="preserve">Antimicrobial Stewardship Clinical Care Standard </w:t>
                                  </w:r>
                                </w:p>
                                <w:p w:rsidR="000A6360" w:rsidRPr="00BF388E" w:rsidRDefault="00877376" w:rsidP="000A6360">
                                  <w:pPr>
                                    <w:autoSpaceDE w:val="0"/>
                                    <w:autoSpaceDN w:val="0"/>
                                    <w:adjustRightInd w:val="0"/>
                                    <w:jc w:val="right"/>
                                    <w:rPr>
                                      <w:rFonts w:ascii="Gotham-Bold" w:hAnsi="Gotham-Bold" w:cs="Gotham-Bold"/>
                                      <w:bCs/>
                                      <w:color w:val="00B2B1"/>
                                      <w:sz w:val="48"/>
                                      <w:szCs w:val="48"/>
                                    </w:rPr>
                                  </w:pPr>
                                  <w:r w:rsidRPr="00BF388E">
                                    <w:rPr>
                                      <w:rFonts w:ascii="Gotham-Book" w:hAnsi="Gotham-Book" w:cs="Gotham-Book"/>
                                      <w:color w:val="00B2B1"/>
                                      <w:sz w:val="48"/>
                                      <w:szCs w:val="48"/>
                                    </w:rPr>
                                    <w:t>FAQs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3pt;margin-top:-98.25pt;width:338.9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" filled="f" stroked="f">
                      <v:textbox style="mso-fit-shape-to-text:t">
                        <w:txbxContent>
                          <w:p w:rsidR="00EB533B" w:rsidRDefault="00EB533B" w:rsidP="000A6360">
                            <w:pPr>
                              <w:autoSpaceDE w:val="0"/>
                              <w:autoSpaceDN w:val="0"/>
                              <w:adjustRightInd w:val="0"/>
                              <w:jc w:val="right"/>
                              <w:rPr>
                                <w:rFonts w:ascii="Gotham-Book" w:hAnsi="Gotham-Book" w:cs="Gotham-Book"/>
                                <w:color w:val="00B2B1"/>
                                <w:sz w:val="48"/>
                                <w:szCs w:val="48"/>
                              </w:rPr>
                            </w:pPr>
                            <w:r>
                              <w:rPr>
                                <w:rFonts w:ascii="Gotham-Book" w:hAnsi="Gotham-Book" w:cs="Gotham-Book"/>
                                <w:color w:val="00B2B1"/>
                                <w:sz w:val="48"/>
                                <w:szCs w:val="48"/>
                              </w:rPr>
                              <w:t xml:space="preserve">Antimicrobial Stewardship Clinical Care Standard </w:t>
                            </w:r>
                          </w:p>
                          <w:p w:rsidR="000A6360" w:rsidRPr="00BF388E" w:rsidRDefault="00877376" w:rsidP="000A6360">
                            <w:pPr>
                              <w:autoSpaceDE w:val="0"/>
                              <w:autoSpaceDN w:val="0"/>
                              <w:adjustRightInd w:val="0"/>
                              <w:jc w:val="right"/>
                              <w:rPr>
                                <w:rFonts w:ascii="Gotham-Bold" w:hAnsi="Gotham-Bold" w:cs="Gotham-Bold"/>
                                <w:bCs/>
                                <w:color w:val="00B2B1"/>
                                <w:sz w:val="48"/>
                                <w:szCs w:val="48"/>
                              </w:rPr>
                            </w:pPr>
                            <w:r w:rsidRPr="00BF388E">
                              <w:rPr>
                                <w:rFonts w:ascii="Gotham-Book" w:hAnsi="Gotham-Book" w:cs="Gotham-Book"/>
                                <w:color w:val="00B2B1"/>
                                <w:sz w:val="48"/>
                                <w:szCs w:val="48"/>
                              </w:rPr>
                              <w:t>FAQs</w:t>
                            </w:r>
                          </w:p>
                        </w:txbxContent>
                      </v:textbox>
                    </v:shape>
                  </w:pict>
                </mc:Fallback>
              </mc:AlternateContent>
            </w:r>
            <w:r w:rsidR="002D7B90">
              <w:t xml:space="preserve">The Antimicrobial </w:t>
            </w:r>
            <w:r w:rsidR="0091451C">
              <w:t xml:space="preserve">Stewardship </w:t>
            </w:r>
            <w:r w:rsidR="00AF2044">
              <w:t>Clinical Care Standard</w:t>
            </w:r>
            <w:r w:rsidR="002D7B90">
              <w:t xml:space="preserve"> aims to ensure that every use of an antibiotic is targeted and appropriate, with the dual aims of effectively treating patients, while limiting the rise of resistant bacteria that could harm the whole community.</w:t>
            </w:r>
          </w:p>
        </w:tc>
      </w:tr>
      <w:tr w:rsidR="000548D5" w:rsidRPr="00283E5F" w:rsidTr="00BD05C8">
        <w:trPr>
          <w:trHeight w:val="358"/>
        </w:trPr>
        <w:tc>
          <w:tcPr>
            <w:tcW w:w="9356" w:type="dxa"/>
            <w:shd w:val="clear" w:color="auto" w:fill="auto"/>
          </w:tcPr>
          <w:p w:rsidR="000548D5" w:rsidRDefault="00AC1E32" w:rsidP="000548D5">
            <w:pPr>
              <w:pStyle w:val="Body"/>
              <w:rPr>
                <w:rFonts w:ascii="Cambria" w:hAnsi="Cambria"/>
                <w:sz w:val="24"/>
              </w:rPr>
            </w:pPr>
            <w:r>
              <w:rPr>
                <w:rFonts w:ascii="Cambria" w:hAnsi="Cambria"/>
                <w:sz w:val="24"/>
              </w:rPr>
              <w:br w:type="page"/>
            </w:r>
          </w:p>
          <w:p w:rsidR="00C844CA" w:rsidRPr="00C844CA" w:rsidRDefault="00C844CA" w:rsidP="00C844CA">
            <w:pPr>
              <w:pStyle w:val="Body"/>
              <w:rPr>
                <w:b/>
              </w:rPr>
            </w:pPr>
            <w:r w:rsidRPr="00C844CA">
              <w:rPr>
                <w:b/>
              </w:rPr>
              <w:t>What is Antimicrobial Stewardship?</w:t>
            </w:r>
          </w:p>
          <w:p w:rsidR="00C844CA" w:rsidRPr="00C844CA" w:rsidRDefault="00C844CA" w:rsidP="00C844CA">
            <w:pPr>
              <w:spacing w:before="120"/>
              <w:rPr>
                <w:rFonts w:ascii="Calibri" w:hAnsi="Calibri"/>
                <w:sz w:val="22"/>
                <w:szCs w:val="22"/>
              </w:rPr>
            </w:pPr>
            <w:r w:rsidRPr="00C844CA">
              <w:rPr>
                <w:rFonts w:ascii="Calibri" w:hAnsi="Calibri"/>
                <w:sz w:val="22"/>
                <w:szCs w:val="22"/>
              </w:rPr>
              <w:t>Antimicrobial stewardship</w:t>
            </w:r>
            <w:r w:rsidR="00C142B2">
              <w:rPr>
                <w:rFonts w:ascii="Calibri" w:hAnsi="Calibri"/>
                <w:sz w:val="22"/>
                <w:szCs w:val="22"/>
              </w:rPr>
              <w:t xml:space="preserve"> (AMS)</w:t>
            </w:r>
            <w:r w:rsidRPr="00C844CA">
              <w:rPr>
                <w:rFonts w:ascii="Calibri" w:hAnsi="Calibri"/>
                <w:sz w:val="22"/>
                <w:szCs w:val="22"/>
              </w:rPr>
              <w:t xml:space="preserve"> is a range of activities to ensure antibiotics are used safely and effectively.</w:t>
            </w:r>
          </w:p>
          <w:p w:rsidR="00C844CA" w:rsidRPr="00C844CA" w:rsidRDefault="00C844CA" w:rsidP="00C844CA">
            <w:pPr>
              <w:pStyle w:val="ListParagraph"/>
              <w:spacing w:before="120" w:after="200"/>
              <w:ind w:left="0"/>
              <w:rPr>
                <w:rFonts w:ascii="Calibri" w:eastAsia="Cambria" w:hAnsi="Calibri" w:cs="Times New Roman"/>
                <w:lang w:eastAsia="en-US"/>
              </w:rPr>
            </w:pPr>
            <w:r w:rsidRPr="00C844CA">
              <w:rPr>
                <w:rFonts w:ascii="Calibri" w:eastAsia="Cambria" w:hAnsi="Calibri" w:cs="Times New Roman"/>
                <w:lang w:eastAsia="en-US"/>
              </w:rPr>
              <w:t>The AMS Clinical Care Standard aims to ensure that every use of an antibiotic is targeted and appropriate, with the dual aims of effectively treating patients, while limiting the rise of resistant bacteria that could harm the whole communi</w:t>
            </w:r>
            <w:bookmarkStart w:id="0" w:name="_GoBack"/>
            <w:bookmarkEnd w:id="0"/>
            <w:r w:rsidRPr="00C844CA">
              <w:rPr>
                <w:rFonts w:ascii="Calibri" w:eastAsia="Cambria" w:hAnsi="Calibri" w:cs="Times New Roman"/>
                <w:lang w:eastAsia="en-US"/>
              </w:rPr>
              <w:t>ty.</w:t>
            </w:r>
          </w:p>
          <w:p w:rsidR="00374F65" w:rsidRPr="00374F65" w:rsidRDefault="00C844CA" w:rsidP="00374F65">
            <w:pPr>
              <w:pStyle w:val="ListParagraph"/>
              <w:spacing w:before="120" w:after="200"/>
              <w:ind w:left="0"/>
              <w:contextualSpacing w:val="0"/>
              <w:rPr>
                <w:rFonts w:eastAsia="Cambria" w:cs="Times New Roman"/>
                <w:b/>
                <w:sz w:val="16"/>
                <w:szCs w:val="16"/>
                <w:lang w:eastAsia="en-US"/>
              </w:rPr>
            </w:pPr>
            <w:r w:rsidRPr="00C844CA">
              <w:rPr>
                <w:rFonts w:ascii="Calibri" w:eastAsia="Cambria" w:hAnsi="Calibri" w:cs="Times New Roman"/>
                <w:lang w:eastAsia="en-US"/>
              </w:rPr>
              <w:t>It aims to ensure that a patient with a bacterial infection receives optimal treatment with antibiotics. ‘Optimal treatment’ means that patients are treated with the right antibiotic to treat their condition, the right dose, by the right route, at the right time and for the right duration based on accurate assessment and timely review.</w:t>
            </w:r>
          </w:p>
          <w:p w:rsidR="00C844CA" w:rsidRPr="00C844CA" w:rsidRDefault="00C844CA" w:rsidP="00374F65">
            <w:pPr>
              <w:pStyle w:val="ListParagraph"/>
              <w:spacing w:before="120" w:after="200"/>
              <w:ind w:left="0"/>
              <w:contextualSpacing w:val="0"/>
              <w:rPr>
                <w:rFonts w:eastAsia="Cambria" w:cs="Times New Roman"/>
                <w:b/>
                <w:sz w:val="20"/>
                <w:szCs w:val="24"/>
                <w:lang w:eastAsia="en-US"/>
              </w:rPr>
            </w:pPr>
            <w:r w:rsidRPr="00C844CA">
              <w:rPr>
                <w:rFonts w:eastAsia="Cambria" w:cs="Times New Roman"/>
                <w:b/>
                <w:sz w:val="20"/>
                <w:szCs w:val="24"/>
                <w:lang w:eastAsia="en-US"/>
              </w:rPr>
              <w:t xml:space="preserve">Why </w:t>
            </w:r>
            <w:r w:rsidR="00C142B2">
              <w:rPr>
                <w:rFonts w:eastAsia="Cambria" w:cs="Times New Roman"/>
                <w:b/>
                <w:sz w:val="20"/>
                <w:szCs w:val="24"/>
                <w:lang w:eastAsia="en-US"/>
              </w:rPr>
              <w:t xml:space="preserve">is </w:t>
            </w:r>
            <w:r w:rsidRPr="00C844CA">
              <w:rPr>
                <w:rFonts w:eastAsia="Cambria" w:cs="Times New Roman"/>
                <w:b/>
                <w:sz w:val="20"/>
                <w:szCs w:val="24"/>
                <w:lang w:eastAsia="en-US"/>
              </w:rPr>
              <w:t>Antimicrobial Stewardship</w:t>
            </w:r>
            <w:r>
              <w:rPr>
                <w:rFonts w:eastAsia="Cambria" w:cs="Times New Roman"/>
                <w:b/>
                <w:sz w:val="20"/>
                <w:szCs w:val="24"/>
                <w:lang w:eastAsia="en-US"/>
              </w:rPr>
              <w:t xml:space="preserve"> </w:t>
            </w:r>
            <w:r w:rsidRPr="00C844CA">
              <w:rPr>
                <w:rFonts w:eastAsia="Cambria" w:cs="Times New Roman"/>
                <w:b/>
                <w:sz w:val="20"/>
                <w:szCs w:val="24"/>
                <w:lang w:eastAsia="en-US"/>
              </w:rPr>
              <w:t>important?</w:t>
            </w:r>
          </w:p>
          <w:p w:rsidR="00C844CA" w:rsidRDefault="00C844CA" w:rsidP="00374F65">
            <w:pPr>
              <w:pStyle w:val="ListParagraph"/>
              <w:spacing w:before="120" w:after="200"/>
              <w:ind w:left="0"/>
              <w:rPr>
                <w:rFonts w:ascii="Calibri" w:eastAsia="Cambria" w:hAnsi="Calibri" w:cs="Times New Roman"/>
                <w:lang w:eastAsia="en-US"/>
              </w:rPr>
            </w:pPr>
            <w:r w:rsidRPr="00C844CA">
              <w:rPr>
                <w:rFonts w:ascii="Calibri" w:eastAsia="Cambria" w:hAnsi="Calibri" w:cs="Times New Roman"/>
                <w:lang w:eastAsia="en-US"/>
              </w:rPr>
              <w:t>Antibiotic resistance</w:t>
            </w:r>
            <w:r>
              <w:rPr>
                <w:rFonts w:ascii="Calibri" w:eastAsia="Cambria" w:hAnsi="Calibri" w:cs="Times New Roman"/>
                <w:lang w:eastAsia="en-US"/>
              </w:rPr>
              <w:t xml:space="preserve"> </w:t>
            </w:r>
            <w:r w:rsidRPr="00C844CA">
              <w:rPr>
                <w:rFonts w:ascii="Calibri" w:eastAsia="Cambria" w:hAnsi="Calibri" w:cs="Times New Roman"/>
                <w:lang w:eastAsia="en-US"/>
              </w:rPr>
              <w:t>threatens the effective prevention and treatment of an ever-increasing range o</w:t>
            </w:r>
            <w:r>
              <w:rPr>
                <w:rFonts w:ascii="Calibri" w:eastAsia="Cambria" w:hAnsi="Calibri" w:cs="Times New Roman"/>
                <w:lang w:eastAsia="en-US"/>
              </w:rPr>
              <w:t xml:space="preserve">f infections caused by bacteria. </w:t>
            </w:r>
            <w:r w:rsidRPr="00C844CA">
              <w:rPr>
                <w:rFonts w:ascii="Calibri" w:eastAsia="Cambria" w:hAnsi="Calibri" w:cs="Times New Roman"/>
                <w:lang w:eastAsia="en-US"/>
              </w:rPr>
              <w:t>Antibiotic resistance</w:t>
            </w:r>
            <w:r>
              <w:rPr>
                <w:rFonts w:ascii="Calibri" w:eastAsia="Cambria" w:hAnsi="Calibri" w:cs="Times New Roman"/>
                <w:lang w:eastAsia="en-US"/>
              </w:rPr>
              <w:t xml:space="preserve"> is </w:t>
            </w:r>
            <w:r w:rsidRPr="00C844CA">
              <w:rPr>
                <w:rFonts w:ascii="Calibri" w:eastAsia="Cambria" w:hAnsi="Calibri" w:cs="Times New Roman"/>
                <w:lang w:eastAsia="en-US"/>
              </w:rPr>
              <w:t>when bacteria change</w:t>
            </w:r>
            <w:r>
              <w:rPr>
                <w:rFonts w:ascii="Calibri" w:eastAsia="Cambria" w:hAnsi="Calibri" w:cs="Times New Roman"/>
                <w:lang w:eastAsia="en-US"/>
              </w:rPr>
              <w:t>s</w:t>
            </w:r>
            <w:r w:rsidRPr="00C844CA">
              <w:rPr>
                <w:rFonts w:ascii="Calibri" w:eastAsia="Cambria" w:hAnsi="Calibri" w:cs="Times New Roman"/>
                <w:lang w:eastAsia="en-US"/>
              </w:rPr>
              <w:t xml:space="preserve"> and antibiotics fail</w:t>
            </w:r>
            <w:r>
              <w:rPr>
                <w:rFonts w:ascii="Calibri" w:eastAsia="Cambria" w:hAnsi="Calibri" w:cs="Times New Roman"/>
                <w:lang w:eastAsia="en-US"/>
              </w:rPr>
              <w:t xml:space="preserve">. </w:t>
            </w:r>
          </w:p>
          <w:p w:rsidR="00C844CA" w:rsidRDefault="00C844CA" w:rsidP="00C844CA">
            <w:pPr>
              <w:pStyle w:val="ListParagraph"/>
              <w:spacing w:before="120" w:after="200"/>
              <w:ind w:left="0"/>
              <w:rPr>
                <w:rFonts w:ascii="Calibri" w:eastAsia="Cambria" w:hAnsi="Calibri" w:cs="Times New Roman"/>
                <w:lang w:eastAsia="en-US"/>
              </w:rPr>
            </w:pPr>
            <w:r w:rsidRPr="00C844CA">
              <w:rPr>
                <w:rFonts w:ascii="Calibri" w:eastAsia="Cambria" w:hAnsi="Calibri" w:cs="Times New Roman"/>
                <w:lang w:eastAsia="en-US"/>
              </w:rPr>
              <w:t>Resistance is not confined to specific types of treatments or conditions; every single use of antibiotics potentially encourages bacterial resistance, even when use is entirely appropriate.</w:t>
            </w:r>
          </w:p>
          <w:p w:rsidR="00C844CA" w:rsidRDefault="00C844CA" w:rsidP="00C844CA">
            <w:pPr>
              <w:pStyle w:val="ListParagraph"/>
              <w:spacing w:before="120"/>
              <w:ind w:left="0"/>
              <w:rPr>
                <w:rFonts w:ascii="Calibri" w:eastAsia="Cambria" w:hAnsi="Calibri" w:cs="Times New Roman"/>
                <w:lang w:eastAsia="en-US"/>
              </w:rPr>
            </w:pPr>
            <w:r w:rsidRPr="00C844CA">
              <w:rPr>
                <w:rFonts w:ascii="Calibri" w:eastAsia="Cambria" w:hAnsi="Calibri" w:cs="Times New Roman"/>
                <w:lang w:eastAsia="en-US"/>
              </w:rPr>
              <w:t>Despite antibiotics being one of the most frequently prescribed hospital medicines, up to 50 per cent of antibiotics prescribed in Australian hospitals are considered inappropriate, thus increasing antibiotic resistance.</w:t>
            </w:r>
            <w:r>
              <w:rPr>
                <w:rFonts w:ascii="Calibri" w:eastAsia="Cambria" w:hAnsi="Calibri" w:cs="Times New Roman"/>
                <w:lang w:eastAsia="en-US"/>
              </w:rPr>
              <w:t xml:space="preserve"> </w:t>
            </w:r>
          </w:p>
          <w:p w:rsidR="00374F65" w:rsidRPr="00374F65" w:rsidRDefault="00C844CA" w:rsidP="00374F65">
            <w:pPr>
              <w:pStyle w:val="ListParagraph"/>
              <w:spacing w:before="120" w:after="200"/>
              <w:ind w:left="0"/>
              <w:rPr>
                <w:rFonts w:ascii="Calibri" w:eastAsia="Cambria" w:hAnsi="Calibri" w:cs="Times New Roman"/>
                <w:lang w:eastAsia="en-US"/>
              </w:rPr>
            </w:pPr>
            <w:r>
              <w:rPr>
                <w:rFonts w:ascii="Calibri" w:eastAsia="Cambria" w:hAnsi="Calibri" w:cs="Times New Roman"/>
                <w:lang w:eastAsia="en-US"/>
              </w:rPr>
              <w:t xml:space="preserve">This </w:t>
            </w:r>
            <w:r w:rsidRPr="00C844CA">
              <w:rPr>
                <w:rFonts w:ascii="Calibri" w:eastAsia="Cambria" w:hAnsi="Calibri" w:cs="Times New Roman"/>
                <w:lang w:eastAsia="en-US"/>
              </w:rPr>
              <w:t>is happening right now</w:t>
            </w:r>
            <w:r>
              <w:rPr>
                <w:rFonts w:ascii="Calibri" w:eastAsia="Cambria" w:hAnsi="Calibri" w:cs="Times New Roman"/>
                <w:lang w:eastAsia="en-US"/>
              </w:rPr>
              <w:t xml:space="preserve"> thus a</w:t>
            </w:r>
            <w:r w:rsidRPr="00C844CA">
              <w:rPr>
                <w:rFonts w:ascii="Calibri" w:eastAsia="Cambria" w:hAnsi="Calibri" w:cs="Times New Roman"/>
                <w:lang w:eastAsia="en-US"/>
              </w:rPr>
              <w:t>ppropriate prescribing of antibiotics can help reduce the emergence and spread of antibiotic resistance.</w:t>
            </w:r>
          </w:p>
          <w:p w:rsidR="000C1C0A" w:rsidRPr="000C1C0A" w:rsidRDefault="000C1C0A" w:rsidP="00374F65">
            <w:pPr>
              <w:pStyle w:val="Commissionbodytext"/>
              <w:spacing w:before="120" w:after="0" w:line="240" w:lineRule="auto"/>
              <w:contextualSpacing/>
              <w:rPr>
                <w:rFonts w:eastAsia="Cambria" w:cs="Times New Roman"/>
                <w:b/>
                <w:sz w:val="20"/>
                <w:szCs w:val="24"/>
              </w:rPr>
            </w:pPr>
            <w:r w:rsidRPr="000C1C0A">
              <w:rPr>
                <w:rFonts w:eastAsia="Cambria" w:cs="Times New Roman"/>
                <w:b/>
                <w:sz w:val="20"/>
                <w:szCs w:val="24"/>
              </w:rPr>
              <w:t xml:space="preserve">What does the AMS Clinical Care Standard </w:t>
            </w:r>
            <w:r>
              <w:rPr>
                <w:rFonts w:eastAsia="Cambria" w:cs="Times New Roman"/>
                <w:b/>
                <w:sz w:val="20"/>
                <w:szCs w:val="24"/>
              </w:rPr>
              <w:t>focus on</w:t>
            </w:r>
            <w:r w:rsidRPr="000C1C0A">
              <w:rPr>
                <w:rFonts w:eastAsia="Cambria" w:cs="Times New Roman"/>
                <w:b/>
                <w:sz w:val="20"/>
                <w:szCs w:val="24"/>
              </w:rPr>
              <w:t>?</w:t>
            </w:r>
          </w:p>
          <w:p w:rsidR="000C1C0A" w:rsidRPr="000C1C0A" w:rsidRDefault="000C1C0A" w:rsidP="00374F65">
            <w:pPr>
              <w:pStyle w:val="ListParagraph"/>
              <w:spacing w:before="120" w:after="200"/>
              <w:ind w:left="0"/>
              <w:rPr>
                <w:rFonts w:ascii="Calibri" w:eastAsia="Cambria" w:hAnsi="Calibri" w:cs="Times New Roman"/>
                <w:lang w:eastAsia="en-US"/>
              </w:rPr>
            </w:pPr>
            <w:r w:rsidRPr="000C1C0A">
              <w:rPr>
                <w:rFonts w:ascii="Calibri" w:eastAsia="Cambria" w:hAnsi="Calibri" w:cs="Times New Roman"/>
                <w:lang w:eastAsia="en-US"/>
              </w:rPr>
              <w:t xml:space="preserve">The </w:t>
            </w:r>
            <w:r w:rsidR="00C142B2">
              <w:rPr>
                <w:rFonts w:ascii="Calibri" w:eastAsia="Cambria" w:hAnsi="Calibri" w:cs="Times New Roman"/>
                <w:lang w:eastAsia="en-US"/>
              </w:rPr>
              <w:t xml:space="preserve">AMS </w:t>
            </w:r>
            <w:r w:rsidRPr="000C1C0A">
              <w:rPr>
                <w:rFonts w:ascii="Calibri" w:eastAsia="Cambria" w:hAnsi="Calibri" w:cs="Times New Roman"/>
                <w:lang w:eastAsia="en-US"/>
              </w:rPr>
              <w:t xml:space="preserve">Clinical Care Standard provides advice to clinicians on </w:t>
            </w:r>
            <w:r w:rsidR="00AA6AC3">
              <w:rPr>
                <w:rFonts w:ascii="Calibri" w:eastAsia="Cambria" w:hAnsi="Calibri" w:cs="Times New Roman"/>
                <w:lang w:eastAsia="en-US"/>
              </w:rPr>
              <w:t>key</w:t>
            </w:r>
            <w:r w:rsidRPr="000C1C0A">
              <w:rPr>
                <w:rFonts w:ascii="Calibri" w:eastAsia="Cambria" w:hAnsi="Calibri" w:cs="Times New Roman"/>
                <w:lang w:eastAsia="en-US"/>
              </w:rPr>
              <w:t xml:space="preserve"> health care elements:</w:t>
            </w:r>
          </w:p>
          <w:p w:rsidR="00374F65" w:rsidRDefault="000C1C0A" w:rsidP="00FA7BDF">
            <w:pPr>
              <w:pStyle w:val="ListParagraph"/>
              <w:numPr>
                <w:ilvl w:val="0"/>
                <w:numId w:val="24"/>
              </w:numPr>
              <w:spacing w:before="120" w:after="200"/>
              <w:contextualSpacing w:val="0"/>
              <w:rPr>
                <w:rFonts w:ascii="Calibri" w:eastAsia="Cambria" w:hAnsi="Calibri" w:cs="Times New Roman"/>
                <w:lang w:eastAsia="en-US"/>
              </w:rPr>
            </w:pPr>
            <w:r w:rsidRPr="00374F65">
              <w:rPr>
                <w:rFonts w:ascii="Calibri" w:eastAsia="Cambria" w:hAnsi="Calibri" w:cs="Times New Roman"/>
                <w:lang w:eastAsia="en-US"/>
              </w:rPr>
              <w:t>Management of sepsis and ot</w:t>
            </w:r>
            <w:r w:rsidR="00330923">
              <w:rPr>
                <w:rFonts w:ascii="Calibri" w:eastAsia="Cambria" w:hAnsi="Calibri" w:cs="Times New Roman"/>
                <w:lang w:eastAsia="en-US"/>
              </w:rPr>
              <w:t>her life-threatening conditions</w:t>
            </w:r>
          </w:p>
          <w:p w:rsidR="000C1C0A" w:rsidRPr="00374F65" w:rsidRDefault="000C1C0A" w:rsidP="00FA7BDF">
            <w:pPr>
              <w:pStyle w:val="ListParagraph"/>
              <w:numPr>
                <w:ilvl w:val="0"/>
                <w:numId w:val="24"/>
              </w:numPr>
              <w:spacing w:before="120" w:after="200"/>
              <w:contextualSpacing w:val="0"/>
              <w:rPr>
                <w:rFonts w:ascii="Calibri" w:eastAsia="Cambria" w:hAnsi="Calibri" w:cs="Times New Roman"/>
                <w:lang w:eastAsia="en-US"/>
              </w:rPr>
            </w:pPr>
            <w:r w:rsidRPr="00374F65">
              <w:rPr>
                <w:rFonts w:ascii="Calibri" w:eastAsia="Cambria" w:hAnsi="Calibri" w:cs="Times New Roman"/>
                <w:lang w:eastAsia="en-US"/>
              </w:rPr>
              <w:t>Targeted prescribing: guidelines, appropriate microbiology tes</w:t>
            </w:r>
            <w:r w:rsidR="00330923">
              <w:rPr>
                <w:rFonts w:ascii="Calibri" w:eastAsia="Cambria" w:hAnsi="Calibri" w:cs="Times New Roman"/>
                <w:lang w:eastAsia="en-US"/>
              </w:rPr>
              <w:t>ts and patient review</w:t>
            </w:r>
          </w:p>
          <w:p w:rsidR="000C1C0A" w:rsidRPr="000C1C0A" w:rsidRDefault="000C1C0A" w:rsidP="00FA7BDF">
            <w:pPr>
              <w:pStyle w:val="ListParagraph"/>
              <w:numPr>
                <w:ilvl w:val="0"/>
                <w:numId w:val="24"/>
              </w:numPr>
              <w:spacing w:before="120" w:after="200"/>
              <w:contextualSpacing w:val="0"/>
              <w:rPr>
                <w:rFonts w:ascii="Calibri" w:eastAsia="Cambria" w:hAnsi="Calibri" w:cs="Times New Roman"/>
                <w:lang w:eastAsia="en-US"/>
              </w:rPr>
            </w:pPr>
            <w:r w:rsidRPr="000C1C0A">
              <w:rPr>
                <w:rFonts w:ascii="Calibri" w:eastAsia="Cambria" w:hAnsi="Calibri" w:cs="Times New Roman"/>
                <w:lang w:eastAsia="en-US"/>
              </w:rPr>
              <w:t xml:space="preserve">Provision of </w:t>
            </w:r>
            <w:r w:rsidR="00330923">
              <w:rPr>
                <w:rFonts w:ascii="Calibri" w:eastAsia="Cambria" w:hAnsi="Calibri" w:cs="Times New Roman"/>
                <w:lang w:eastAsia="en-US"/>
              </w:rPr>
              <w:t>surgical antibiotic prophylaxis</w:t>
            </w:r>
          </w:p>
          <w:p w:rsidR="009B22B7" w:rsidRDefault="000C1C0A" w:rsidP="00FA7BDF">
            <w:pPr>
              <w:pStyle w:val="ListParagraph"/>
              <w:numPr>
                <w:ilvl w:val="0"/>
                <w:numId w:val="24"/>
              </w:numPr>
              <w:spacing w:before="120" w:after="200"/>
              <w:contextualSpacing w:val="0"/>
              <w:rPr>
                <w:rFonts w:ascii="Calibri" w:eastAsia="Cambria" w:hAnsi="Calibri" w:cs="Times New Roman"/>
                <w:lang w:eastAsia="en-US"/>
              </w:rPr>
            </w:pPr>
            <w:r w:rsidRPr="000C1C0A">
              <w:rPr>
                <w:rFonts w:ascii="Calibri" w:eastAsia="Cambria" w:hAnsi="Calibri" w:cs="Times New Roman"/>
                <w:lang w:eastAsia="en-US"/>
              </w:rPr>
              <w:t xml:space="preserve">Facilitating </w:t>
            </w:r>
            <w:r>
              <w:rPr>
                <w:rFonts w:ascii="Calibri" w:eastAsia="Cambria" w:hAnsi="Calibri" w:cs="Times New Roman"/>
                <w:lang w:eastAsia="en-US"/>
              </w:rPr>
              <w:t xml:space="preserve">the provision of </w:t>
            </w:r>
            <w:r w:rsidRPr="000C1C0A">
              <w:rPr>
                <w:rFonts w:ascii="Calibri" w:eastAsia="Cambria" w:hAnsi="Calibri" w:cs="Times New Roman"/>
                <w:lang w:eastAsia="en-US"/>
              </w:rPr>
              <w:t>patient-centred</w:t>
            </w:r>
            <w:r w:rsidR="00330923">
              <w:rPr>
                <w:rFonts w:ascii="Calibri" w:eastAsia="Cambria" w:hAnsi="Calibri" w:cs="Times New Roman"/>
                <w:lang w:eastAsia="en-US"/>
              </w:rPr>
              <w:t xml:space="preserve"> care, and consumer information.</w:t>
            </w:r>
          </w:p>
          <w:p w:rsidR="00374F65" w:rsidRPr="00374F65" w:rsidRDefault="00374F65" w:rsidP="00374F65">
            <w:pPr>
              <w:pStyle w:val="Commissionbodytext"/>
              <w:spacing w:before="120" w:after="200" w:line="240" w:lineRule="auto"/>
              <w:contextualSpacing/>
              <w:rPr>
                <w:b/>
                <w:sz w:val="20"/>
              </w:rPr>
            </w:pPr>
            <w:r w:rsidRPr="00374F65">
              <w:rPr>
                <w:b/>
                <w:sz w:val="20"/>
              </w:rPr>
              <w:t>How was the AMS Clinical Care Standard developed?</w:t>
            </w:r>
          </w:p>
          <w:p w:rsidR="00374F65" w:rsidRPr="00374F65" w:rsidRDefault="00374F65" w:rsidP="00374F65">
            <w:pPr>
              <w:pStyle w:val="Commissionbodytext"/>
              <w:spacing w:before="120" w:after="200" w:line="240" w:lineRule="auto"/>
              <w:contextualSpacing/>
              <w:rPr>
                <w:rFonts w:ascii="Calibri" w:eastAsia="Cambria" w:hAnsi="Calibri" w:cs="Times New Roman"/>
              </w:rPr>
            </w:pPr>
            <w:r w:rsidRPr="00374F65">
              <w:rPr>
                <w:rFonts w:ascii="Calibri" w:eastAsia="Cambria" w:hAnsi="Calibri" w:cs="Times New Roman"/>
              </w:rPr>
              <w:t xml:space="preserve">In developing the Clinical Care Standards, the Commission uses the most up-to-date clinical guidelines and standards, information about gaps between evidence and practice, the professional expertise of clinicians and researchers, and consideration of issues important to consumers. </w:t>
            </w:r>
          </w:p>
          <w:p w:rsidR="00374F65" w:rsidRPr="00374F65" w:rsidRDefault="00374F65" w:rsidP="00374F65">
            <w:pPr>
              <w:pStyle w:val="Commissionbodytext"/>
              <w:spacing w:before="120" w:after="200" w:line="240" w:lineRule="auto"/>
              <w:contextualSpacing/>
              <w:rPr>
                <w:rFonts w:ascii="Calibri" w:eastAsia="Cambria" w:hAnsi="Calibri" w:cs="Times New Roman"/>
              </w:rPr>
            </w:pPr>
            <w:r w:rsidRPr="00374F65">
              <w:rPr>
                <w:rFonts w:ascii="Calibri" w:eastAsia="Cambria" w:hAnsi="Calibri" w:cs="Times New Roman"/>
              </w:rPr>
              <w:lastRenderedPageBreak/>
              <w:t xml:space="preserve">A </w:t>
            </w:r>
            <w:r w:rsidR="00C142B2">
              <w:rPr>
                <w:rFonts w:ascii="Calibri" w:eastAsia="Cambria" w:hAnsi="Calibri" w:cs="Times New Roman"/>
              </w:rPr>
              <w:t>T</w:t>
            </w:r>
            <w:r w:rsidRPr="00374F65">
              <w:rPr>
                <w:rFonts w:ascii="Calibri" w:eastAsia="Cambria" w:hAnsi="Calibri" w:cs="Times New Roman"/>
              </w:rPr>
              <w:t>opic</w:t>
            </w:r>
            <w:r w:rsidR="00C142B2">
              <w:rPr>
                <w:rFonts w:ascii="Calibri" w:eastAsia="Cambria" w:hAnsi="Calibri" w:cs="Times New Roman"/>
              </w:rPr>
              <w:t xml:space="preserve"> W</w:t>
            </w:r>
            <w:r w:rsidRPr="00374F65">
              <w:rPr>
                <w:rFonts w:ascii="Calibri" w:eastAsia="Cambria" w:hAnsi="Calibri" w:cs="Times New Roman"/>
              </w:rPr>
              <w:t xml:space="preserve">orking </w:t>
            </w:r>
            <w:r w:rsidR="00C142B2">
              <w:rPr>
                <w:rFonts w:ascii="Calibri" w:eastAsia="Cambria" w:hAnsi="Calibri" w:cs="Times New Roman"/>
              </w:rPr>
              <w:t>G</w:t>
            </w:r>
            <w:r w:rsidRPr="00374F65">
              <w:rPr>
                <w:rFonts w:ascii="Calibri" w:eastAsia="Cambria" w:hAnsi="Calibri" w:cs="Times New Roman"/>
              </w:rPr>
              <w:t>roup was</w:t>
            </w:r>
            <w:r>
              <w:rPr>
                <w:rFonts w:ascii="Calibri" w:eastAsia="Cambria" w:hAnsi="Calibri" w:cs="Times New Roman"/>
              </w:rPr>
              <w:t xml:space="preserve"> established </w:t>
            </w:r>
            <w:r w:rsidRPr="00374F65">
              <w:rPr>
                <w:rFonts w:ascii="Calibri" w:eastAsia="Cambria" w:hAnsi="Calibri" w:cs="Times New Roman"/>
              </w:rPr>
              <w:t xml:space="preserve">to assist in the development of the AMS Clinical Care Standard. Further information about this group is available on the Commission’s website. </w:t>
            </w:r>
          </w:p>
          <w:p w:rsidR="009B22B7" w:rsidRPr="009B22B7" w:rsidRDefault="009B22B7" w:rsidP="009B22B7">
            <w:pPr>
              <w:pStyle w:val="ListParagraph"/>
              <w:spacing w:before="120" w:after="200"/>
              <w:ind w:left="0"/>
              <w:rPr>
                <w:rFonts w:eastAsia="Cambria" w:cs="Times New Roman"/>
                <w:b/>
                <w:sz w:val="20"/>
                <w:szCs w:val="24"/>
                <w:lang w:eastAsia="en-US"/>
              </w:rPr>
            </w:pPr>
            <w:r w:rsidRPr="009B22B7">
              <w:rPr>
                <w:rFonts w:eastAsia="Cambria" w:cs="Times New Roman"/>
                <w:b/>
                <w:sz w:val="20"/>
                <w:szCs w:val="24"/>
                <w:lang w:eastAsia="en-US"/>
              </w:rPr>
              <w:t xml:space="preserve">What </w:t>
            </w:r>
            <w:r>
              <w:rPr>
                <w:rFonts w:eastAsia="Cambria" w:cs="Times New Roman"/>
                <w:b/>
                <w:sz w:val="20"/>
                <w:szCs w:val="24"/>
                <w:lang w:eastAsia="en-US"/>
              </w:rPr>
              <w:t xml:space="preserve">does the AMS Clinical Care Standard mean </w:t>
            </w:r>
            <w:r w:rsidR="00F62341">
              <w:rPr>
                <w:rFonts w:eastAsia="Cambria" w:cs="Times New Roman"/>
                <w:b/>
                <w:sz w:val="20"/>
                <w:szCs w:val="24"/>
                <w:lang w:eastAsia="en-US"/>
              </w:rPr>
              <w:t xml:space="preserve">for </w:t>
            </w:r>
            <w:r w:rsidRPr="009B22B7">
              <w:rPr>
                <w:rFonts w:eastAsia="Cambria" w:cs="Times New Roman"/>
                <w:b/>
                <w:sz w:val="20"/>
                <w:szCs w:val="24"/>
                <w:lang w:eastAsia="en-US"/>
              </w:rPr>
              <w:t>clinician</w:t>
            </w:r>
            <w:r w:rsidR="00C142B2">
              <w:rPr>
                <w:rFonts w:eastAsia="Cambria" w:cs="Times New Roman"/>
                <w:b/>
                <w:sz w:val="20"/>
                <w:szCs w:val="24"/>
                <w:lang w:eastAsia="en-US"/>
              </w:rPr>
              <w:t>s</w:t>
            </w:r>
            <w:r w:rsidRPr="009B22B7">
              <w:rPr>
                <w:rFonts w:eastAsia="Cambria" w:cs="Times New Roman"/>
                <w:b/>
                <w:sz w:val="20"/>
                <w:szCs w:val="24"/>
                <w:lang w:eastAsia="en-US"/>
              </w:rPr>
              <w:t>?</w:t>
            </w:r>
          </w:p>
          <w:p w:rsidR="009B22B7" w:rsidRPr="009B22B7" w:rsidRDefault="009B22B7" w:rsidP="009B22B7">
            <w:pPr>
              <w:pStyle w:val="Commissionbodytext"/>
              <w:spacing w:before="120" w:after="0" w:line="240" w:lineRule="auto"/>
              <w:rPr>
                <w:rFonts w:ascii="Calibri" w:eastAsia="Cambria" w:hAnsi="Calibri" w:cs="Times New Roman"/>
              </w:rPr>
            </w:pPr>
            <w:r w:rsidRPr="009B22B7">
              <w:rPr>
                <w:rFonts w:ascii="Calibri" w:eastAsia="Cambria" w:hAnsi="Calibri" w:cs="Times New Roman"/>
              </w:rPr>
              <w:t>Clinicians can address efforts to stop antimicrobial resistance by:</w:t>
            </w:r>
          </w:p>
          <w:p w:rsidR="009B22B7" w:rsidRPr="009B22B7" w:rsidRDefault="009B22B7" w:rsidP="00FA7BDF">
            <w:pPr>
              <w:pStyle w:val="Commissionbodytext"/>
              <w:numPr>
                <w:ilvl w:val="0"/>
                <w:numId w:val="24"/>
              </w:numPr>
              <w:spacing w:before="120" w:after="0" w:line="240" w:lineRule="auto"/>
              <w:rPr>
                <w:rFonts w:ascii="Calibri" w:eastAsia="Cambria" w:hAnsi="Calibri" w:cs="Times New Roman"/>
              </w:rPr>
            </w:pPr>
            <w:r w:rsidRPr="009B22B7">
              <w:rPr>
                <w:rFonts w:ascii="Calibri" w:eastAsia="Cambria" w:hAnsi="Calibri" w:cs="Times New Roman"/>
              </w:rPr>
              <w:t>Ensuring th</w:t>
            </w:r>
            <w:r w:rsidR="00C142B2">
              <w:rPr>
                <w:rFonts w:ascii="Calibri" w:eastAsia="Cambria" w:hAnsi="Calibri" w:cs="Times New Roman"/>
              </w:rPr>
              <w:t>at</w:t>
            </w:r>
            <w:r w:rsidRPr="009B22B7">
              <w:rPr>
                <w:rFonts w:ascii="Calibri" w:eastAsia="Cambria" w:hAnsi="Calibri" w:cs="Times New Roman"/>
              </w:rPr>
              <w:t xml:space="preserve"> patient</w:t>
            </w:r>
            <w:r w:rsidR="0059780F">
              <w:rPr>
                <w:rFonts w:ascii="Calibri" w:eastAsia="Cambria" w:hAnsi="Calibri" w:cs="Times New Roman"/>
              </w:rPr>
              <w:t>s</w:t>
            </w:r>
            <w:r w:rsidRPr="009B22B7">
              <w:rPr>
                <w:rFonts w:ascii="Calibri" w:eastAsia="Cambria" w:hAnsi="Calibri" w:cs="Times New Roman"/>
              </w:rPr>
              <w:t xml:space="preserve"> receive the right antibiotic for the bacterial condition – in some case no antibiotic at all. This includes microbiology testing where feasibl</w:t>
            </w:r>
            <w:r w:rsidR="00330923">
              <w:rPr>
                <w:rFonts w:ascii="Calibri" w:eastAsia="Cambria" w:hAnsi="Calibri" w:cs="Times New Roman"/>
              </w:rPr>
              <w:t>e prior to commencing treatment</w:t>
            </w:r>
          </w:p>
          <w:p w:rsidR="009B22B7" w:rsidRPr="009B22B7" w:rsidRDefault="009B22B7" w:rsidP="00FA7BDF">
            <w:pPr>
              <w:pStyle w:val="Commissionbodytext"/>
              <w:numPr>
                <w:ilvl w:val="0"/>
                <w:numId w:val="24"/>
              </w:numPr>
              <w:spacing w:before="120" w:after="0" w:line="240" w:lineRule="auto"/>
              <w:rPr>
                <w:rFonts w:ascii="Calibri" w:eastAsia="Cambria" w:hAnsi="Calibri" w:cs="Times New Roman"/>
              </w:rPr>
            </w:pPr>
            <w:r w:rsidRPr="009B22B7">
              <w:rPr>
                <w:rFonts w:ascii="Calibri" w:eastAsia="Cambria" w:hAnsi="Calibri" w:cs="Times New Roman"/>
              </w:rPr>
              <w:t xml:space="preserve">Prescribing antibiotics in accordance with the </w:t>
            </w:r>
            <w:r w:rsidRPr="0070101A">
              <w:rPr>
                <w:rFonts w:ascii="Calibri" w:eastAsia="Cambria" w:hAnsi="Calibri" w:cs="Times New Roman"/>
                <w:i/>
              </w:rPr>
              <w:t>Therapeutic Guidelines: Antibiotic</w:t>
            </w:r>
            <w:r w:rsidR="00330923">
              <w:rPr>
                <w:rFonts w:ascii="Calibri" w:eastAsia="Cambria" w:hAnsi="Calibri" w:cs="Times New Roman"/>
              </w:rPr>
              <w:t xml:space="preserve"> or local formulary</w:t>
            </w:r>
          </w:p>
          <w:p w:rsidR="009B22B7" w:rsidRPr="009B22B7" w:rsidRDefault="009B22B7" w:rsidP="00FA7BDF">
            <w:pPr>
              <w:pStyle w:val="Commissionbodytext"/>
              <w:numPr>
                <w:ilvl w:val="0"/>
                <w:numId w:val="24"/>
              </w:numPr>
              <w:spacing w:before="120" w:after="0" w:line="240" w:lineRule="auto"/>
              <w:rPr>
                <w:rFonts w:ascii="Calibri" w:eastAsia="Cambria" w:hAnsi="Calibri" w:cs="Times New Roman"/>
              </w:rPr>
            </w:pPr>
            <w:r w:rsidRPr="009B22B7">
              <w:rPr>
                <w:rFonts w:ascii="Calibri" w:eastAsia="Cambria" w:hAnsi="Calibri" w:cs="Times New Roman"/>
              </w:rPr>
              <w:t>Providing information to the patient on how long to take the antibiotic</w:t>
            </w:r>
            <w:r w:rsidR="00C142B2">
              <w:rPr>
                <w:rFonts w:ascii="Calibri" w:eastAsia="Cambria" w:hAnsi="Calibri" w:cs="Times New Roman"/>
              </w:rPr>
              <w:t xml:space="preserve"> treatment</w:t>
            </w:r>
            <w:r w:rsidRPr="009B22B7">
              <w:rPr>
                <w:rFonts w:ascii="Calibri" w:eastAsia="Cambria" w:hAnsi="Calibri" w:cs="Times New Roman"/>
              </w:rPr>
              <w:t xml:space="preserve"> and </w:t>
            </w:r>
            <w:r w:rsidR="00C142B2">
              <w:rPr>
                <w:rFonts w:ascii="Calibri" w:eastAsia="Cambria" w:hAnsi="Calibri" w:cs="Times New Roman"/>
              </w:rPr>
              <w:t>its</w:t>
            </w:r>
            <w:r w:rsidR="00330923">
              <w:rPr>
                <w:rFonts w:ascii="Calibri" w:eastAsia="Cambria" w:hAnsi="Calibri" w:cs="Times New Roman"/>
              </w:rPr>
              <w:t xml:space="preserve"> potential side effects</w:t>
            </w:r>
          </w:p>
          <w:p w:rsidR="00374F65" w:rsidRPr="00374F65" w:rsidRDefault="009B22B7" w:rsidP="00FA7BDF">
            <w:pPr>
              <w:pStyle w:val="Commissionbodytext"/>
              <w:numPr>
                <w:ilvl w:val="0"/>
                <w:numId w:val="24"/>
              </w:numPr>
              <w:spacing w:before="120" w:after="0" w:line="240" w:lineRule="auto"/>
              <w:contextualSpacing/>
              <w:rPr>
                <w:b/>
                <w:sz w:val="20"/>
              </w:rPr>
            </w:pPr>
            <w:r w:rsidRPr="00374F65">
              <w:rPr>
                <w:rFonts w:ascii="Calibri" w:eastAsia="Cambria" w:hAnsi="Calibri" w:cs="Times New Roman"/>
              </w:rPr>
              <w:t xml:space="preserve">Reviewing the patient’s antibiotic treatment to determine if continuation or a different </w:t>
            </w:r>
            <w:r w:rsidR="00330923">
              <w:rPr>
                <w:rFonts w:ascii="Calibri" w:eastAsia="Cambria" w:hAnsi="Calibri" w:cs="Times New Roman"/>
              </w:rPr>
              <w:t>type(s) of antibiotic is needed.</w:t>
            </w:r>
          </w:p>
          <w:p w:rsidR="000C1C0A" w:rsidRPr="009B22B7" w:rsidRDefault="000C1C0A" w:rsidP="00374F65">
            <w:pPr>
              <w:spacing w:before="120" w:after="200"/>
              <w:contextualSpacing/>
              <w:rPr>
                <w:rFonts w:ascii="Arial" w:hAnsi="Arial"/>
                <w:b/>
                <w:sz w:val="20"/>
              </w:rPr>
            </w:pPr>
            <w:r w:rsidRPr="009B22B7">
              <w:rPr>
                <w:rFonts w:ascii="Arial" w:hAnsi="Arial"/>
                <w:b/>
                <w:sz w:val="20"/>
              </w:rPr>
              <w:t>What does the AMS Clinical Care Standard mean for health services?</w:t>
            </w:r>
          </w:p>
          <w:p w:rsidR="000C1C0A" w:rsidRPr="009B22B7" w:rsidRDefault="000C1C0A" w:rsidP="00374F65">
            <w:pPr>
              <w:pStyle w:val="Commissionbodytext"/>
              <w:spacing w:before="120" w:after="200" w:line="240" w:lineRule="auto"/>
              <w:contextualSpacing/>
              <w:rPr>
                <w:rFonts w:ascii="Calibri" w:eastAsia="Cambria" w:hAnsi="Calibri" w:cs="Times New Roman"/>
              </w:rPr>
            </w:pPr>
            <w:r w:rsidRPr="009B22B7">
              <w:rPr>
                <w:rFonts w:ascii="Calibri" w:eastAsia="Cambria" w:hAnsi="Calibri" w:cs="Times New Roman"/>
              </w:rPr>
              <w:t>Th</w:t>
            </w:r>
            <w:r w:rsidR="00C142B2">
              <w:rPr>
                <w:rFonts w:ascii="Calibri" w:eastAsia="Cambria" w:hAnsi="Calibri" w:cs="Times New Roman"/>
              </w:rPr>
              <w:t>is</w:t>
            </w:r>
            <w:r w:rsidRPr="009B22B7">
              <w:rPr>
                <w:rFonts w:ascii="Calibri" w:eastAsia="Cambria" w:hAnsi="Calibri" w:cs="Times New Roman"/>
              </w:rPr>
              <w:t xml:space="preserve"> Clinical Care Standard sets out the components of care that health services can use to guide practice and monitor improvement in their hospitals and other services where the AMS Clinical Care Standard is applicable.</w:t>
            </w:r>
          </w:p>
          <w:p w:rsidR="00374F65" w:rsidRPr="00374F65" w:rsidRDefault="00374F65" w:rsidP="00374F65">
            <w:pPr>
              <w:spacing w:before="120" w:after="200"/>
              <w:contextualSpacing/>
              <w:rPr>
                <w:rFonts w:ascii="Arial" w:hAnsi="Arial"/>
                <w:b/>
                <w:sz w:val="20"/>
              </w:rPr>
            </w:pPr>
            <w:r w:rsidRPr="00374F65">
              <w:rPr>
                <w:rFonts w:ascii="Arial" w:hAnsi="Arial"/>
                <w:b/>
                <w:sz w:val="20"/>
              </w:rPr>
              <w:t>How will I know if the AMS Clinical Care Standard works?</w:t>
            </w:r>
          </w:p>
          <w:p w:rsidR="00374F65" w:rsidRDefault="00374F65" w:rsidP="00374F65">
            <w:pPr>
              <w:pStyle w:val="Commissionbodytext"/>
              <w:spacing w:before="120" w:after="200" w:line="240" w:lineRule="auto"/>
              <w:contextualSpacing/>
              <w:rPr>
                <w:rFonts w:ascii="Calibri" w:eastAsia="Cambria" w:hAnsi="Calibri" w:cs="Times New Roman"/>
              </w:rPr>
            </w:pPr>
            <w:r w:rsidRPr="00374F65">
              <w:rPr>
                <w:rFonts w:ascii="Calibri" w:eastAsia="Cambria" w:hAnsi="Calibri" w:cs="Times New Roman"/>
              </w:rPr>
              <w:t>A set of suggested indicator</w:t>
            </w:r>
            <w:r w:rsidR="00C142B2">
              <w:rPr>
                <w:rFonts w:ascii="Calibri" w:eastAsia="Cambria" w:hAnsi="Calibri" w:cs="Times New Roman"/>
              </w:rPr>
              <w:t>s</w:t>
            </w:r>
            <w:r w:rsidRPr="00374F65">
              <w:rPr>
                <w:rFonts w:ascii="Calibri" w:eastAsia="Cambria" w:hAnsi="Calibri" w:cs="Times New Roman"/>
              </w:rPr>
              <w:t xml:space="preserve"> ha</w:t>
            </w:r>
            <w:r w:rsidR="00C142B2">
              <w:rPr>
                <w:rFonts w:ascii="Calibri" w:eastAsia="Cambria" w:hAnsi="Calibri" w:cs="Times New Roman"/>
              </w:rPr>
              <w:t>ve</w:t>
            </w:r>
            <w:r w:rsidRPr="00374F65">
              <w:rPr>
                <w:rFonts w:ascii="Calibri" w:eastAsia="Cambria" w:hAnsi="Calibri" w:cs="Times New Roman"/>
              </w:rPr>
              <w:t xml:space="preserve"> been developed to assist with local implementation of the AMS Clinical Care Standard. They can be used by health services to monitor the implementation of </w:t>
            </w:r>
            <w:r w:rsidR="00C142B2">
              <w:rPr>
                <w:rFonts w:ascii="Calibri" w:eastAsia="Cambria" w:hAnsi="Calibri" w:cs="Times New Roman"/>
              </w:rPr>
              <w:t>each</w:t>
            </w:r>
            <w:r w:rsidRPr="00374F65">
              <w:rPr>
                <w:rFonts w:ascii="Calibri" w:eastAsia="Cambria" w:hAnsi="Calibri" w:cs="Times New Roman"/>
              </w:rPr>
              <w:t xml:space="preserve"> quality statement, and support improvement as needed. </w:t>
            </w:r>
          </w:p>
          <w:p w:rsidR="00374F65" w:rsidRPr="00374F65" w:rsidRDefault="00374F65" w:rsidP="00374F65">
            <w:pPr>
              <w:spacing w:before="120" w:after="200"/>
              <w:contextualSpacing/>
              <w:rPr>
                <w:rFonts w:ascii="Arial" w:hAnsi="Arial"/>
                <w:b/>
                <w:sz w:val="20"/>
              </w:rPr>
            </w:pPr>
            <w:r w:rsidRPr="00374F65">
              <w:rPr>
                <w:rFonts w:ascii="Arial" w:hAnsi="Arial"/>
                <w:b/>
                <w:sz w:val="20"/>
              </w:rPr>
              <w:t>Is the use of the indicators compulsory?</w:t>
            </w:r>
          </w:p>
          <w:p w:rsidR="00374F65" w:rsidRDefault="00374F65" w:rsidP="00374F65">
            <w:pPr>
              <w:pStyle w:val="Commissionbodytext"/>
              <w:spacing w:before="120" w:after="200" w:line="240" w:lineRule="auto"/>
              <w:contextualSpacing/>
              <w:rPr>
                <w:rFonts w:ascii="Calibri" w:eastAsia="Cambria" w:hAnsi="Calibri" w:cs="Times New Roman"/>
              </w:rPr>
            </w:pPr>
            <w:r w:rsidRPr="00374F65">
              <w:rPr>
                <w:rFonts w:ascii="Calibri" w:eastAsia="Cambria" w:hAnsi="Calibri" w:cs="Times New Roman"/>
              </w:rPr>
              <w:t xml:space="preserve">Monitoring quality of care is an effective way of identifying areas that require improvement. Organisations are likely to have mechanisms in place that monitor the care provided. The suggested indicators are not compulsory. However, if additional measures are needed then the suggested indicators can be used. </w:t>
            </w:r>
          </w:p>
          <w:p w:rsidR="00EB533B" w:rsidRPr="00374F65" w:rsidRDefault="00EB533B" w:rsidP="00374F65">
            <w:pPr>
              <w:spacing w:before="120" w:after="200"/>
              <w:contextualSpacing/>
              <w:rPr>
                <w:rFonts w:ascii="Arial" w:hAnsi="Arial"/>
                <w:b/>
                <w:sz w:val="20"/>
              </w:rPr>
            </w:pPr>
            <w:r w:rsidRPr="00374F65">
              <w:rPr>
                <w:rFonts w:ascii="Arial" w:hAnsi="Arial"/>
                <w:b/>
                <w:sz w:val="20"/>
              </w:rPr>
              <w:t>What is the difference between the Clinical Care Standards and National Safety and Quality Health Service (NSQHS) Standards?</w:t>
            </w:r>
          </w:p>
          <w:p w:rsidR="00EB533B" w:rsidRPr="0098214D" w:rsidRDefault="00EB533B" w:rsidP="0098214D">
            <w:pPr>
              <w:pStyle w:val="Commissionbodytext"/>
              <w:spacing w:before="120" w:after="200" w:line="240" w:lineRule="auto"/>
              <w:contextualSpacing/>
              <w:rPr>
                <w:rFonts w:ascii="Calibri" w:eastAsia="Cambria" w:hAnsi="Calibri" w:cs="Times New Roman"/>
              </w:rPr>
            </w:pPr>
            <w:r w:rsidRPr="0098214D">
              <w:rPr>
                <w:rFonts w:ascii="Calibri" w:eastAsia="Cambria" w:hAnsi="Calibri" w:cs="Times New Roman"/>
              </w:rPr>
              <w:t xml:space="preserve">The Clinical Care Standards provide guidance on appropriate care (e.g. a treatment, process or procedure) that a patient should receive for a specific clinical condition. </w:t>
            </w:r>
          </w:p>
          <w:p w:rsidR="00EB533B" w:rsidRPr="0098214D" w:rsidRDefault="00EB533B" w:rsidP="0098214D">
            <w:pPr>
              <w:pStyle w:val="Commissionbodytext"/>
              <w:spacing w:before="120" w:after="200" w:line="240" w:lineRule="auto"/>
              <w:contextualSpacing/>
              <w:rPr>
                <w:rFonts w:ascii="Calibri" w:eastAsia="Cambria" w:hAnsi="Calibri" w:cs="Times New Roman"/>
              </w:rPr>
            </w:pPr>
            <w:r w:rsidRPr="0098214D">
              <w:rPr>
                <w:rFonts w:ascii="Calibri" w:eastAsia="Cambria" w:hAnsi="Calibri" w:cs="Times New Roman"/>
              </w:rPr>
              <w:t>The NSQHS Standards set out the minimum performance expectations, processes and structures that should be in place for a health service (e.g. hospital</w:t>
            </w:r>
            <w:r w:rsidR="00C142B2">
              <w:rPr>
                <w:rFonts w:ascii="Calibri" w:eastAsia="Cambria" w:hAnsi="Calibri" w:cs="Times New Roman"/>
              </w:rPr>
              <w:t>s</w:t>
            </w:r>
            <w:r w:rsidRPr="0098214D">
              <w:rPr>
                <w:rFonts w:ascii="Calibri" w:eastAsia="Cambria" w:hAnsi="Calibri" w:cs="Times New Roman"/>
              </w:rPr>
              <w:t>, aged-care service</w:t>
            </w:r>
            <w:r w:rsidR="00C142B2">
              <w:rPr>
                <w:rFonts w:ascii="Calibri" w:eastAsia="Cambria" w:hAnsi="Calibri" w:cs="Times New Roman"/>
              </w:rPr>
              <w:t>s</w:t>
            </w:r>
            <w:r w:rsidRPr="0098214D">
              <w:rPr>
                <w:rFonts w:ascii="Calibri" w:eastAsia="Cambria" w:hAnsi="Calibri" w:cs="Times New Roman"/>
              </w:rPr>
              <w:t xml:space="preserve">, day surgeries, etc.) to provide safe and high quality care. </w:t>
            </w:r>
          </w:p>
          <w:p w:rsidR="00EB533B" w:rsidRPr="0098214D" w:rsidRDefault="00EB533B" w:rsidP="0098214D">
            <w:pPr>
              <w:pStyle w:val="Commissionbodytext"/>
              <w:spacing w:before="120" w:after="200" w:line="240" w:lineRule="auto"/>
              <w:contextualSpacing/>
              <w:rPr>
                <w:rFonts w:ascii="Calibri" w:eastAsia="Cambria" w:hAnsi="Calibri" w:cs="Times New Roman"/>
              </w:rPr>
            </w:pPr>
            <w:r w:rsidRPr="0098214D">
              <w:rPr>
                <w:rFonts w:ascii="Calibri" w:eastAsia="Cambria" w:hAnsi="Calibri" w:cs="Times New Roman"/>
              </w:rPr>
              <w:t>Relevant NSQHS Standards that relate to the AMS Clinical Care Standard include</w:t>
            </w:r>
            <w:r w:rsidR="00C142B2">
              <w:rPr>
                <w:rFonts w:ascii="Calibri" w:eastAsia="Cambria" w:hAnsi="Calibri" w:cs="Times New Roman"/>
              </w:rPr>
              <w:t xml:space="preserve"> the overarching Standards 1 and 2, and Standard 3</w:t>
            </w:r>
            <w:r w:rsidRPr="0098214D">
              <w:rPr>
                <w:rFonts w:ascii="Calibri" w:eastAsia="Cambria" w:hAnsi="Calibri" w:cs="Times New Roman"/>
              </w:rPr>
              <w:t xml:space="preserve">: </w:t>
            </w:r>
          </w:p>
          <w:p w:rsidR="00C142B2" w:rsidRDefault="00EB533B" w:rsidP="00FA7BDF">
            <w:pPr>
              <w:pStyle w:val="Commissionbodytext"/>
              <w:numPr>
                <w:ilvl w:val="0"/>
                <w:numId w:val="24"/>
              </w:numPr>
              <w:spacing w:before="120" w:after="200" w:line="240" w:lineRule="auto"/>
              <w:contextualSpacing/>
              <w:rPr>
                <w:rFonts w:ascii="Calibri" w:eastAsia="Cambria" w:hAnsi="Calibri" w:cs="Times New Roman"/>
              </w:rPr>
            </w:pPr>
            <w:r w:rsidRPr="003D7BF3">
              <w:rPr>
                <w:rFonts w:ascii="Calibri" w:eastAsia="Cambria" w:hAnsi="Calibri" w:cs="Times New Roman"/>
                <w:u w:val="single"/>
              </w:rPr>
              <w:t>Standard 1</w:t>
            </w:r>
            <w:r w:rsidRPr="0098214D">
              <w:rPr>
                <w:rFonts w:ascii="Calibri" w:eastAsia="Cambria" w:hAnsi="Calibri" w:cs="Times New Roman"/>
              </w:rPr>
              <w:t>: Governance for Safety and Quality</w:t>
            </w:r>
          </w:p>
          <w:p w:rsidR="00EB533B" w:rsidRPr="0098214D" w:rsidRDefault="00EB533B" w:rsidP="00FA7BDF">
            <w:pPr>
              <w:pStyle w:val="Commissionbodytext"/>
              <w:numPr>
                <w:ilvl w:val="0"/>
                <w:numId w:val="24"/>
              </w:numPr>
              <w:spacing w:before="120" w:after="200" w:line="240" w:lineRule="auto"/>
              <w:contextualSpacing/>
              <w:rPr>
                <w:rFonts w:ascii="Calibri" w:eastAsia="Cambria" w:hAnsi="Calibri" w:cs="Times New Roman"/>
              </w:rPr>
            </w:pPr>
            <w:r w:rsidRPr="003D7BF3">
              <w:rPr>
                <w:rFonts w:ascii="Calibri" w:eastAsia="Cambria" w:hAnsi="Calibri" w:cs="Times New Roman"/>
                <w:u w:val="single"/>
              </w:rPr>
              <w:t>Standard 2</w:t>
            </w:r>
            <w:r w:rsidR="00330923">
              <w:rPr>
                <w:rFonts w:ascii="Calibri" w:eastAsia="Cambria" w:hAnsi="Calibri" w:cs="Times New Roman"/>
              </w:rPr>
              <w:t>: Partnering with Consumers</w:t>
            </w:r>
          </w:p>
          <w:p w:rsidR="00EB533B" w:rsidRDefault="00EB533B" w:rsidP="00FA7BDF">
            <w:pPr>
              <w:pStyle w:val="Commissionbodytext"/>
              <w:numPr>
                <w:ilvl w:val="0"/>
                <w:numId w:val="24"/>
              </w:numPr>
              <w:spacing w:before="120" w:after="200" w:line="240" w:lineRule="auto"/>
              <w:contextualSpacing/>
              <w:rPr>
                <w:rFonts w:ascii="Calibri" w:eastAsia="Cambria" w:hAnsi="Calibri" w:cs="Times New Roman"/>
              </w:rPr>
            </w:pPr>
            <w:r w:rsidRPr="003D7BF3">
              <w:rPr>
                <w:rFonts w:ascii="Calibri" w:eastAsia="Cambria" w:hAnsi="Calibri" w:cs="Times New Roman"/>
                <w:u w:val="single"/>
              </w:rPr>
              <w:t>Standard 3:</w:t>
            </w:r>
            <w:r w:rsidRPr="0098214D">
              <w:rPr>
                <w:rFonts w:ascii="Calibri" w:eastAsia="Cambria" w:hAnsi="Calibri" w:cs="Times New Roman"/>
              </w:rPr>
              <w:t xml:space="preserve"> Preventing and Controlling Healthcare Associated Infections, strengthening hygiene and infection p</w:t>
            </w:r>
            <w:r w:rsidR="00330923">
              <w:rPr>
                <w:rFonts w:ascii="Calibri" w:eastAsia="Cambria" w:hAnsi="Calibri" w:cs="Times New Roman"/>
              </w:rPr>
              <w:t>revention and control measures</w:t>
            </w:r>
          </w:p>
          <w:p w:rsidR="00FA7BDF" w:rsidRPr="00B12446" w:rsidRDefault="00FA7BDF" w:rsidP="00FA7BDF">
            <w:pPr>
              <w:numPr>
                <w:ilvl w:val="0"/>
                <w:numId w:val="24"/>
              </w:numPr>
              <w:spacing w:before="120" w:after="200"/>
              <w:contextualSpacing/>
              <w:rPr>
                <w:rFonts w:ascii="Calibri" w:hAnsi="Calibri"/>
                <w:sz w:val="22"/>
                <w:szCs w:val="22"/>
              </w:rPr>
            </w:pPr>
            <w:r w:rsidRPr="00B12446">
              <w:rPr>
                <w:rFonts w:ascii="Calibri" w:hAnsi="Calibri"/>
                <w:sz w:val="22"/>
                <w:szCs w:val="22"/>
                <w:u w:val="single"/>
              </w:rPr>
              <w:lastRenderedPageBreak/>
              <w:t>Standard 6</w:t>
            </w:r>
            <w:r w:rsidRPr="00B12446">
              <w:rPr>
                <w:rFonts w:ascii="Calibri" w:hAnsi="Calibri"/>
                <w:sz w:val="22"/>
                <w:szCs w:val="22"/>
              </w:rPr>
              <w:t>: Clinical Handover</w:t>
            </w:r>
            <w:r w:rsidR="00330923">
              <w:rPr>
                <w:rFonts w:ascii="Calibri" w:hAnsi="Calibri"/>
                <w:sz w:val="22"/>
                <w:szCs w:val="22"/>
              </w:rPr>
              <w:t>.</w:t>
            </w:r>
          </w:p>
          <w:p w:rsidR="00EB533B" w:rsidRPr="0098214D" w:rsidRDefault="00EB533B" w:rsidP="0098214D">
            <w:pPr>
              <w:pStyle w:val="Commissionbodytext"/>
              <w:spacing w:before="120" w:after="200" w:line="240" w:lineRule="auto"/>
              <w:contextualSpacing/>
              <w:rPr>
                <w:rFonts w:ascii="Calibri" w:eastAsia="Cambria" w:hAnsi="Calibri" w:cs="Times New Roman"/>
              </w:rPr>
            </w:pPr>
            <w:r w:rsidRPr="0098214D">
              <w:rPr>
                <w:rFonts w:ascii="Calibri" w:eastAsia="Cambria" w:hAnsi="Calibri" w:cs="Times New Roman"/>
              </w:rPr>
              <w:t xml:space="preserve">Used together, the Clinical Care Standards and the NSQHS Standards aim to ensure people will receive safe, high quality appropriate care.  </w:t>
            </w:r>
          </w:p>
          <w:p w:rsidR="00EB533B" w:rsidRPr="00284AD6" w:rsidRDefault="00EB533B" w:rsidP="00284AD6">
            <w:pPr>
              <w:spacing w:before="120" w:after="200"/>
              <w:contextualSpacing/>
              <w:rPr>
                <w:rFonts w:ascii="Arial" w:hAnsi="Arial"/>
                <w:b/>
                <w:sz w:val="20"/>
              </w:rPr>
            </w:pPr>
            <w:r w:rsidRPr="00284AD6">
              <w:rPr>
                <w:rFonts w:ascii="Arial" w:hAnsi="Arial"/>
                <w:b/>
                <w:sz w:val="20"/>
              </w:rPr>
              <w:t>Is the AMS Clinical Care Standard only for use in hospitals?</w:t>
            </w:r>
          </w:p>
          <w:p w:rsidR="00EB533B" w:rsidRPr="00284AD6" w:rsidRDefault="00EB533B" w:rsidP="00284AD6">
            <w:pPr>
              <w:pStyle w:val="Commissionbodytext"/>
              <w:spacing w:before="120" w:after="200" w:line="240" w:lineRule="auto"/>
              <w:contextualSpacing/>
              <w:rPr>
                <w:rFonts w:ascii="Calibri" w:eastAsia="Cambria" w:hAnsi="Calibri" w:cs="Times New Roman"/>
              </w:rPr>
            </w:pPr>
            <w:r w:rsidRPr="00284AD6">
              <w:rPr>
                <w:rFonts w:ascii="Calibri" w:eastAsia="Cambria" w:hAnsi="Calibri" w:cs="Times New Roman"/>
              </w:rPr>
              <w:t>The AMS Clinical Care Standard has been developed for use in a variety of healthcare settings, including hospital, general practice and residential aged-care.</w:t>
            </w:r>
          </w:p>
          <w:p w:rsidR="00EB533B" w:rsidRPr="00284AD6" w:rsidRDefault="00EB533B" w:rsidP="00284AD6">
            <w:pPr>
              <w:spacing w:before="120" w:after="200"/>
              <w:contextualSpacing/>
              <w:rPr>
                <w:rFonts w:ascii="Arial" w:hAnsi="Arial"/>
                <w:b/>
                <w:sz w:val="20"/>
              </w:rPr>
            </w:pPr>
            <w:r w:rsidRPr="00284AD6">
              <w:rPr>
                <w:rFonts w:ascii="Arial" w:hAnsi="Arial"/>
                <w:b/>
                <w:sz w:val="20"/>
              </w:rPr>
              <w:t>Why does the AMS Clinical Care Standard only relate to bacteria? What about fungus and viruses?</w:t>
            </w:r>
          </w:p>
          <w:p w:rsidR="00EB533B" w:rsidRPr="00284AD6" w:rsidRDefault="00EB533B" w:rsidP="00284AD6">
            <w:pPr>
              <w:pStyle w:val="Commissionbodytext"/>
              <w:spacing w:before="120" w:after="200" w:line="240" w:lineRule="auto"/>
              <w:contextualSpacing/>
              <w:rPr>
                <w:rFonts w:ascii="Calibri" w:eastAsia="Cambria" w:hAnsi="Calibri" w:cs="Times New Roman"/>
              </w:rPr>
            </w:pPr>
            <w:r w:rsidRPr="00284AD6">
              <w:rPr>
                <w:rFonts w:ascii="Calibri" w:eastAsia="Cambria" w:hAnsi="Calibri" w:cs="Times New Roman"/>
              </w:rPr>
              <w:t>The focus is on improving appropriate prescribing of antibiotics, as the inappropriate use of antibiotics represents the target problem in clinical practice, not only in hospitals and healthcare services</w:t>
            </w:r>
            <w:r w:rsidR="00C142B2">
              <w:rPr>
                <w:rFonts w:ascii="Calibri" w:eastAsia="Cambria" w:hAnsi="Calibri" w:cs="Times New Roman"/>
              </w:rPr>
              <w:t>,</w:t>
            </w:r>
            <w:r w:rsidRPr="00284AD6">
              <w:rPr>
                <w:rFonts w:ascii="Calibri" w:eastAsia="Cambria" w:hAnsi="Calibri" w:cs="Times New Roman"/>
              </w:rPr>
              <w:t xml:space="preserve"> but also in the community. Many of the principles developed for bacteria will also apply to fungal and viral infections. </w:t>
            </w:r>
          </w:p>
          <w:p w:rsidR="00EB533B" w:rsidRPr="00D75998" w:rsidRDefault="00EB533B" w:rsidP="00D75998">
            <w:pPr>
              <w:spacing w:before="120" w:after="200"/>
              <w:contextualSpacing/>
              <w:rPr>
                <w:rFonts w:ascii="Arial" w:hAnsi="Arial"/>
                <w:b/>
                <w:sz w:val="20"/>
              </w:rPr>
            </w:pPr>
            <w:r w:rsidRPr="00D75998">
              <w:rPr>
                <w:rFonts w:ascii="Arial" w:hAnsi="Arial"/>
                <w:b/>
                <w:sz w:val="20"/>
              </w:rPr>
              <w:t>One of the recommendations is to undertake microbiology testing before starting antibiotics. Is the expectation to test everybody in general practice?</w:t>
            </w:r>
          </w:p>
          <w:p w:rsidR="00EB533B" w:rsidRPr="00D75998" w:rsidRDefault="00EB533B" w:rsidP="00D75998">
            <w:pPr>
              <w:pStyle w:val="Commissionbodytext"/>
              <w:spacing w:before="120" w:after="200" w:line="240" w:lineRule="auto"/>
              <w:contextualSpacing/>
              <w:rPr>
                <w:rFonts w:ascii="Calibri" w:eastAsia="Cambria" w:hAnsi="Calibri" w:cs="Times New Roman"/>
              </w:rPr>
            </w:pPr>
            <w:r w:rsidRPr="00D75998">
              <w:rPr>
                <w:rFonts w:ascii="Calibri" w:eastAsia="Cambria" w:hAnsi="Calibri" w:cs="Times New Roman"/>
              </w:rPr>
              <w:t>In hospitals, microbiology testing routinely occurs before the administration of antibiotic treatment, but it is also highly desirable in general practice and residential aged-care settings. This quality statement aims to encourage all clinicians to undertake microbiology testing whenever</w:t>
            </w:r>
            <w:r w:rsidR="00D75998">
              <w:rPr>
                <w:rFonts w:ascii="Calibri" w:eastAsia="Cambria" w:hAnsi="Calibri" w:cs="Times New Roman"/>
              </w:rPr>
              <w:t xml:space="preserve"> possible or</w:t>
            </w:r>
            <w:r w:rsidRPr="00D75998">
              <w:rPr>
                <w:rFonts w:ascii="Calibri" w:eastAsia="Cambria" w:hAnsi="Calibri" w:cs="Times New Roman"/>
              </w:rPr>
              <w:t xml:space="preserve"> indicated.</w:t>
            </w:r>
          </w:p>
          <w:p w:rsidR="00EB533B" w:rsidRPr="00D75998" w:rsidRDefault="00EB533B" w:rsidP="00D75998">
            <w:pPr>
              <w:spacing w:before="120" w:after="200"/>
              <w:contextualSpacing/>
              <w:rPr>
                <w:rFonts w:ascii="Arial" w:hAnsi="Arial"/>
                <w:b/>
                <w:sz w:val="20"/>
              </w:rPr>
            </w:pPr>
            <w:r w:rsidRPr="00D75998">
              <w:rPr>
                <w:rFonts w:ascii="Arial" w:hAnsi="Arial"/>
                <w:b/>
                <w:sz w:val="20"/>
              </w:rPr>
              <w:t xml:space="preserve">The AMS Clinical Care Standard recommends the use of the </w:t>
            </w:r>
            <w:r w:rsidRPr="0070101A">
              <w:rPr>
                <w:rFonts w:ascii="Arial" w:hAnsi="Arial"/>
                <w:b/>
                <w:i/>
                <w:sz w:val="20"/>
              </w:rPr>
              <w:t>Therapeutic Guidelines</w:t>
            </w:r>
            <w:r w:rsidRPr="00D75998">
              <w:rPr>
                <w:rFonts w:ascii="Arial" w:hAnsi="Arial"/>
                <w:b/>
                <w:sz w:val="20"/>
              </w:rPr>
              <w:t>. How can I access these?</w:t>
            </w:r>
          </w:p>
          <w:p w:rsidR="00EB533B" w:rsidRPr="00D75998" w:rsidRDefault="00EB533B" w:rsidP="00D75998">
            <w:pPr>
              <w:pStyle w:val="Commissionbodytext"/>
              <w:spacing w:before="120" w:after="200" w:line="240" w:lineRule="auto"/>
              <w:contextualSpacing/>
              <w:rPr>
                <w:rFonts w:ascii="Calibri" w:eastAsia="Cambria" w:hAnsi="Calibri" w:cs="Times New Roman"/>
              </w:rPr>
            </w:pPr>
            <w:r w:rsidRPr="00D75998">
              <w:rPr>
                <w:rFonts w:ascii="Calibri" w:eastAsia="Cambria" w:hAnsi="Calibri" w:cs="Times New Roman"/>
              </w:rPr>
              <w:t xml:space="preserve">The use of the </w:t>
            </w:r>
            <w:r w:rsidRPr="0070101A">
              <w:rPr>
                <w:rFonts w:ascii="Calibri" w:eastAsia="Cambria" w:hAnsi="Calibri" w:cs="Times New Roman"/>
                <w:i/>
              </w:rPr>
              <w:t>Therapeutic Guidelines: Antibiotic</w:t>
            </w:r>
            <w:r w:rsidRPr="00D75998">
              <w:rPr>
                <w:rFonts w:ascii="Calibri" w:eastAsia="Cambria" w:hAnsi="Calibri" w:cs="Times New Roman"/>
              </w:rPr>
              <w:t xml:space="preserve"> or local formulary is important as it guides the provision of the right antibiotic treatment (i.e. ensuring that the right drug, dose, route and duration of therapy is chosen).</w:t>
            </w:r>
          </w:p>
          <w:p w:rsidR="00EB533B" w:rsidRPr="00D75998" w:rsidRDefault="00EB533B" w:rsidP="00D75998">
            <w:pPr>
              <w:pStyle w:val="Commissionbodytext"/>
              <w:spacing w:before="120" w:after="200" w:line="240" w:lineRule="auto"/>
              <w:contextualSpacing/>
              <w:rPr>
                <w:rFonts w:ascii="Calibri" w:eastAsia="Cambria" w:hAnsi="Calibri" w:cs="Times New Roman"/>
              </w:rPr>
            </w:pPr>
            <w:r w:rsidRPr="00D75998">
              <w:rPr>
                <w:rFonts w:ascii="Calibri" w:eastAsia="Cambria" w:hAnsi="Calibri" w:cs="Times New Roman"/>
              </w:rPr>
              <w:t xml:space="preserve">The </w:t>
            </w:r>
            <w:r w:rsidRPr="0070101A">
              <w:rPr>
                <w:rFonts w:ascii="Calibri" w:eastAsia="Cambria" w:hAnsi="Calibri" w:cs="Times New Roman"/>
                <w:i/>
              </w:rPr>
              <w:t>Therapeutic Guidelines: Antibiotic</w:t>
            </w:r>
            <w:r w:rsidRPr="00D75998">
              <w:rPr>
                <w:rFonts w:ascii="Calibri" w:eastAsia="Cambria" w:hAnsi="Calibri" w:cs="Times New Roman"/>
              </w:rPr>
              <w:t xml:space="preserve"> should be available in all public hospitals, and from the Therapeutic Guidelines website.</w:t>
            </w:r>
          </w:p>
          <w:p w:rsidR="00EB533B" w:rsidRPr="00172565" w:rsidRDefault="00EB533B" w:rsidP="00172565">
            <w:pPr>
              <w:spacing w:before="120" w:after="200"/>
              <w:contextualSpacing/>
              <w:rPr>
                <w:rFonts w:ascii="Arial" w:hAnsi="Arial"/>
                <w:b/>
                <w:sz w:val="20"/>
              </w:rPr>
            </w:pPr>
            <w:r w:rsidRPr="00172565">
              <w:rPr>
                <w:rFonts w:ascii="Arial" w:hAnsi="Arial"/>
                <w:b/>
                <w:sz w:val="20"/>
              </w:rPr>
              <w:t>What are the next steps?</w:t>
            </w:r>
          </w:p>
          <w:p w:rsidR="00EB533B" w:rsidRPr="00172565" w:rsidRDefault="00EB533B" w:rsidP="00172565">
            <w:pPr>
              <w:pStyle w:val="Commissionbodytext"/>
              <w:spacing w:before="120" w:after="200" w:line="240" w:lineRule="auto"/>
              <w:contextualSpacing/>
              <w:rPr>
                <w:rFonts w:ascii="Calibri" w:eastAsia="Cambria" w:hAnsi="Calibri" w:cs="Times New Roman"/>
              </w:rPr>
            </w:pPr>
            <w:r w:rsidRPr="00172565">
              <w:rPr>
                <w:rFonts w:ascii="Calibri" w:eastAsia="Cambria" w:hAnsi="Calibri" w:cs="Times New Roman"/>
              </w:rPr>
              <w:t xml:space="preserve">The Commission will support, coordinate and advocate for implementation of the Clinical Care Standards at a national level. At a hospital level, these activities will occur through the Commission's existing Antimicrobial Stewardship initiatives. Other activities will focus on systems approaches and integration with the work of jurisdictions and other bodies and organisations including peak bodies. </w:t>
            </w:r>
          </w:p>
          <w:p w:rsidR="00EB533B" w:rsidRPr="00172565" w:rsidRDefault="00EB533B" w:rsidP="00172565">
            <w:pPr>
              <w:pStyle w:val="Commissionbodytext"/>
              <w:spacing w:before="120" w:after="200" w:line="240" w:lineRule="auto"/>
              <w:contextualSpacing/>
              <w:rPr>
                <w:rFonts w:ascii="Calibri" w:eastAsia="Cambria" w:hAnsi="Calibri" w:cs="Times New Roman"/>
              </w:rPr>
            </w:pPr>
            <w:r w:rsidRPr="00172565">
              <w:rPr>
                <w:rFonts w:ascii="Calibri" w:eastAsia="Cambria" w:hAnsi="Calibri" w:cs="Times New Roman"/>
              </w:rPr>
              <w:t xml:space="preserve">The </w:t>
            </w:r>
            <w:r w:rsidR="00C142B2">
              <w:rPr>
                <w:rFonts w:ascii="Calibri" w:eastAsia="Cambria" w:hAnsi="Calibri" w:cs="Times New Roman"/>
              </w:rPr>
              <w:t xml:space="preserve">Clinical Care Standards </w:t>
            </w:r>
            <w:r w:rsidRPr="00172565">
              <w:rPr>
                <w:rFonts w:ascii="Calibri" w:eastAsia="Cambria" w:hAnsi="Calibri" w:cs="Times New Roman"/>
              </w:rPr>
              <w:t>will also seek to assist consumers in having access to information that will assist in making decisions about their care together with their clinicians.</w:t>
            </w:r>
          </w:p>
          <w:p w:rsidR="00CA0E0B" w:rsidRDefault="00EB533B" w:rsidP="00C142B2">
            <w:pPr>
              <w:pStyle w:val="Commissionbodytext"/>
              <w:spacing w:before="120" w:after="200" w:line="240" w:lineRule="auto"/>
              <w:contextualSpacing/>
              <w:rPr>
                <w:lang w:eastAsia="en-AU"/>
              </w:rPr>
            </w:pPr>
            <w:r w:rsidRPr="00172565">
              <w:rPr>
                <w:rFonts w:ascii="Calibri" w:eastAsia="Cambria" w:hAnsi="Calibri" w:cs="Times New Roman"/>
              </w:rPr>
              <w:t>The Commission is establishing a nationally integrated surveillance system to support Antimicrobial Resistance and Antimicrobial Usage. This will be achieved by the Commission continuing to work with the jurisdictions and the private sector, progressively demonstrating the benefits of a cohesive and integrated system</w:t>
            </w:r>
            <w:r w:rsidR="0070101A">
              <w:rPr>
                <w:rFonts w:ascii="Calibri" w:eastAsia="Cambria" w:hAnsi="Calibri" w:cs="Times New Roman"/>
              </w:rPr>
              <w:t>.</w:t>
            </w:r>
          </w:p>
          <w:p w:rsidR="003832A5" w:rsidRPr="003832A5" w:rsidRDefault="003832A5" w:rsidP="001B6BF9">
            <w:pPr>
              <w:spacing w:after="240"/>
              <w:rPr>
                <w:rFonts w:ascii="Calibri" w:eastAsia="Times New Roman" w:hAnsi="Calibri"/>
                <w:b/>
                <w:color w:val="000000"/>
                <w:sz w:val="22"/>
                <w:szCs w:val="22"/>
                <w:lang w:eastAsia="en-AU"/>
              </w:rPr>
            </w:pPr>
            <w:r w:rsidRPr="003832A5">
              <w:rPr>
                <w:rFonts w:ascii="Calibri" w:eastAsia="Times New Roman" w:hAnsi="Calibri"/>
                <w:b/>
                <w:color w:val="000000"/>
                <w:sz w:val="22"/>
                <w:szCs w:val="22"/>
                <w:lang w:eastAsia="en-AU"/>
              </w:rPr>
              <w:t>How to get involved?</w:t>
            </w:r>
          </w:p>
          <w:p w:rsidR="00332401" w:rsidRDefault="00C85691" w:rsidP="001B6BF9">
            <w:pPr>
              <w:spacing w:after="240"/>
              <w:rPr>
                <w:rFonts w:ascii="Calibri" w:eastAsia="Times New Roman" w:hAnsi="Calibri"/>
                <w:color w:val="000000"/>
                <w:sz w:val="22"/>
                <w:szCs w:val="22"/>
                <w:lang w:eastAsia="en-AU"/>
              </w:rPr>
            </w:pPr>
            <w:r>
              <w:rPr>
                <w:rFonts w:ascii="Calibri" w:eastAsia="Times New Roman" w:hAnsi="Calibri"/>
                <w:color w:val="000000"/>
                <w:sz w:val="22"/>
                <w:szCs w:val="22"/>
                <w:lang w:eastAsia="en-AU"/>
              </w:rPr>
              <w:t xml:space="preserve">To hear more about the </w:t>
            </w:r>
            <w:r w:rsidR="00AF2044">
              <w:rPr>
                <w:rFonts w:ascii="Calibri" w:eastAsia="Times New Roman" w:hAnsi="Calibri"/>
                <w:color w:val="000000"/>
                <w:sz w:val="22"/>
                <w:szCs w:val="22"/>
                <w:lang w:eastAsia="en-AU"/>
              </w:rPr>
              <w:t>Clinical Care Standard</w:t>
            </w:r>
            <w:r>
              <w:rPr>
                <w:rFonts w:ascii="Calibri" w:eastAsia="Times New Roman" w:hAnsi="Calibri"/>
                <w:color w:val="000000"/>
                <w:sz w:val="22"/>
                <w:szCs w:val="22"/>
                <w:lang w:eastAsia="en-AU"/>
              </w:rPr>
              <w:t xml:space="preserve">s, </w:t>
            </w:r>
            <w:r w:rsidR="0093430D">
              <w:rPr>
                <w:rFonts w:ascii="Calibri" w:eastAsia="Times New Roman" w:hAnsi="Calibri"/>
                <w:color w:val="000000"/>
                <w:sz w:val="22"/>
                <w:szCs w:val="22"/>
                <w:lang w:eastAsia="en-AU"/>
              </w:rPr>
              <w:t xml:space="preserve">you can </w:t>
            </w:r>
            <w:r>
              <w:rPr>
                <w:rFonts w:ascii="Calibri" w:eastAsia="Times New Roman" w:hAnsi="Calibri"/>
                <w:color w:val="000000"/>
                <w:sz w:val="22"/>
                <w:szCs w:val="22"/>
                <w:lang w:eastAsia="en-AU"/>
              </w:rPr>
              <w:t xml:space="preserve">sign up to the Commission Twitter account </w:t>
            </w:r>
            <w:r>
              <w:rPr>
                <w:rFonts w:ascii="Calibri" w:eastAsia="Times New Roman" w:hAnsi="Calibri"/>
                <w:color w:val="000000"/>
                <w:sz w:val="22"/>
                <w:szCs w:val="22"/>
                <w:lang w:eastAsia="en-AU"/>
              </w:rPr>
              <w:lastRenderedPageBreak/>
              <w:t>@ACSQH</w:t>
            </w:r>
            <w:r w:rsidR="002F36ED">
              <w:rPr>
                <w:rFonts w:ascii="Calibri" w:eastAsia="Times New Roman" w:hAnsi="Calibri"/>
                <w:color w:val="000000"/>
                <w:sz w:val="22"/>
                <w:szCs w:val="22"/>
                <w:lang w:eastAsia="en-AU"/>
              </w:rPr>
              <w:t>C</w:t>
            </w:r>
            <w:r w:rsidR="0093430D">
              <w:rPr>
                <w:rFonts w:ascii="Calibri" w:eastAsia="Times New Roman" w:hAnsi="Calibri"/>
                <w:color w:val="000000"/>
                <w:sz w:val="22"/>
                <w:szCs w:val="22"/>
                <w:lang w:eastAsia="en-AU"/>
              </w:rPr>
              <w:t xml:space="preserve"> or </w:t>
            </w:r>
            <w:r>
              <w:rPr>
                <w:rFonts w:ascii="Calibri" w:eastAsia="Times New Roman" w:hAnsi="Calibri"/>
                <w:color w:val="000000"/>
                <w:sz w:val="22"/>
                <w:szCs w:val="22"/>
                <w:lang w:eastAsia="en-AU"/>
              </w:rPr>
              <w:t>to the Commission’s newsletters.</w:t>
            </w:r>
          </w:p>
          <w:p w:rsidR="00332401" w:rsidRDefault="00F51758" w:rsidP="001B6BF9">
            <w:pPr>
              <w:spacing w:after="240"/>
              <w:rPr>
                <w:rFonts w:ascii="Calibri" w:eastAsia="Times New Roman" w:hAnsi="Calibri"/>
                <w:color w:val="000000"/>
                <w:sz w:val="22"/>
                <w:szCs w:val="22"/>
                <w:lang w:eastAsia="en-AU"/>
              </w:rPr>
            </w:pPr>
            <w:r>
              <w:rPr>
                <w:rFonts w:ascii="Calibri" w:eastAsia="Times New Roman" w:hAnsi="Calibri"/>
                <w:color w:val="000000"/>
                <w:sz w:val="22"/>
                <w:szCs w:val="22"/>
                <w:lang w:eastAsia="en-AU"/>
              </w:rPr>
              <w:t xml:space="preserve">You can also contact the </w:t>
            </w:r>
            <w:r w:rsidR="00AF2044">
              <w:rPr>
                <w:rFonts w:ascii="Calibri" w:eastAsia="Times New Roman" w:hAnsi="Calibri"/>
                <w:color w:val="000000"/>
                <w:sz w:val="22"/>
                <w:szCs w:val="22"/>
                <w:lang w:eastAsia="en-AU"/>
              </w:rPr>
              <w:t>Clinical Care Standard</w:t>
            </w:r>
            <w:r>
              <w:rPr>
                <w:rFonts w:ascii="Calibri" w:eastAsia="Times New Roman" w:hAnsi="Calibri"/>
                <w:color w:val="000000"/>
                <w:sz w:val="22"/>
                <w:szCs w:val="22"/>
                <w:lang w:eastAsia="en-AU"/>
              </w:rPr>
              <w:t xml:space="preserve">s team at </w:t>
            </w:r>
            <w:hyperlink r:id="rId9" w:history="1">
              <w:r w:rsidR="00B30F89" w:rsidRPr="00146479">
                <w:rPr>
                  <w:rStyle w:val="Hyperlink"/>
                  <w:rFonts w:ascii="Calibri" w:eastAsia="Times New Roman" w:hAnsi="Calibri"/>
                  <w:sz w:val="22"/>
                  <w:szCs w:val="22"/>
                  <w:lang w:eastAsia="en-AU"/>
                </w:rPr>
                <w:t>ccs@safetyandquality.gov.au</w:t>
              </w:r>
            </w:hyperlink>
          </w:p>
          <w:p w:rsidR="00B30F89" w:rsidRPr="00283E5F" w:rsidRDefault="00B30F89" w:rsidP="00B30F89">
            <w:pPr>
              <w:spacing w:after="240"/>
              <w:rPr>
                <w:b/>
              </w:rPr>
            </w:pPr>
          </w:p>
        </w:tc>
      </w:tr>
      <w:tr w:rsidR="00D73512" w:rsidRPr="00283E5F" w:rsidTr="00BD05C8">
        <w:trPr>
          <w:trHeight w:val="358"/>
        </w:trPr>
        <w:tc>
          <w:tcPr>
            <w:tcW w:w="9356" w:type="dxa"/>
            <w:shd w:val="clear" w:color="auto" w:fill="auto"/>
          </w:tcPr>
          <w:p w:rsidR="00D73512" w:rsidRPr="00283E5F" w:rsidRDefault="00D73512" w:rsidP="000548D5">
            <w:pPr>
              <w:pStyle w:val="Body"/>
            </w:pPr>
          </w:p>
        </w:tc>
      </w:tr>
    </w:tbl>
    <w:p w:rsidR="00995CE7" w:rsidRDefault="00995CE7" w:rsidP="00995CE7">
      <w:pPr>
        <w:pStyle w:val="Body"/>
      </w:pPr>
    </w:p>
    <w:p w:rsidR="00E6066F" w:rsidRPr="00E6066F" w:rsidRDefault="00995CE7" w:rsidP="00172565">
      <w:pPr>
        <w:pStyle w:val="Body"/>
        <w:pBdr>
          <w:top w:val="single" w:sz="12" w:space="1" w:color="548DD4"/>
          <w:left w:val="single" w:sz="12" w:space="0" w:color="548DD4"/>
          <w:bottom w:val="single" w:sz="12" w:space="1" w:color="548DD4"/>
          <w:right w:val="single" w:sz="12" w:space="4" w:color="548DD4"/>
        </w:pBdr>
        <w:rPr>
          <w:rFonts w:ascii="Helv" w:hAnsi="Helv" w:cs="Helv"/>
          <w:color w:val="000000"/>
          <w:szCs w:val="20"/>
          <w:lang w:eastAsia="en-AU"/>
        </w:rPr>
      </w:pPr>
      <w:r w:rsidRPr="00146479">
        <w:rPr>
          <w:rFonts w:ascii="Calibri" w:hAnsi="Calibri"/>
          <w:sz w:val="22"/>
          <w:szCs w:val="22"/>
        </w:rPr>
        <w:t xml:space="preserve">More information on the </w:t>
      </w:r>
      <w:r w:rsidR="00AF2044">
        <w:rPr>
          <w:rFonts w:ascii="Calibri" w:hAnsi="Calibri"/>
          <w:sz w:val="22"/>
          <w:szCs w:val="22"/>
        </w:rPr>
        <w:t>Clinical Care Standard</w:t>
      </w:r>
      <w:r w:rsidRPr="00146479">
        <w:rPr>
          <w:rFonts w:ascii="Calibri" w:hAnsi="Calibri"/>
          <w:sz w:val="22"/>
          <w:szCs w:val="22"/>
        </w:rPr>
        <w:t xml:space="preserve">s program is available from the Australian Commission on Safety and Quality in Health Care website at </w:t>
      </w:r>
      <w:hyperlink r:id="rId10" w:history="1">
        <w:r w:rsidR="00E6066F" w:rsidRPr="00DF7691">
          <w:rPr>
            <w:rStyle w:val="Hyperlink"/>
            <w:rFonts w:ascii="Helv" w:hAnsi="Helv" w:cs="Helv"/>
            <w:szCs w:val="20"/>
            <w:lang w:eastAsia="en-AU"/>
          </w:rPr>
          <w:t>www.safetyandquality.gov.au/ccs</w:t>
        </w:r>
      </w:hyperlink>
    </w:p>
    <w:sectPr w:rsidR="00E6066F" w:rsidRPr="00E6066F" w:rsidSect="00A302BF">
      <w:headerReference w:type="default" r:id="rId11"/>
      <w:footerReference w:type="default" r:id="rId12"/>
      <w:pgSz w:w="11900" w:h="16840"/>
      <w:pgMar w:top="2835" w:right="987" w:bottom="1440"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69" w:rsidRDefault="00E86369">
      <w:r>
        <w:separator/>
      </w:r>
    </w:p>
  </w:endnote>
  <w:endnote w:type="continuationSeparator" w:id="0">
    <w:p w:rsidR="00E86369" w:rsidRDefault="00E8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Book">
    <w:panose1 w:val="00000000000000000000"/>
    <w:charset w:val="00"/>
    <w:family w:val="swiss"/>
    <w:notTrueType/>
    <w:pitch w:val="default"/>
    <w:sig w:usb0="00000003" w:usb1="00000000" w:usb2="00000000" w:usb3="00000000" w:csb0="00000001" w:csb1="00000000"/>
  </w:font>
  <w:font w:name="Gotham-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E6" w:rsidRDefault="005E68F0">
    <w:pPr>
      <w:pStyle w:val="Footer"/>
    </w:pPr>
    <w:r>
      <w:rPr>
        <w:noProof/>
        <w:lang w:eastAsia="en-AU"/>
      </w:rPr>
      <w:drawing>
        <wp:anchor distT="0" distB="0" distL="114300" distR="114300" simplePos="0" relativeHeight="251657728" behindDoc="1" locked="0" layoutInCell="1" allowOverlap="1">
          <wp:simplePos x="0" y="0"/>
          <wp:positionH relativeFrom="column">
            <wp:posOffset>97155</wp:posOffset>
          </wp:positionH>
          <wp:positionV relativeFrom="paragraph">
            <wp:posOffset>-215900</wp:posOffset>
          </wp:positionV>
          <wp:extent cx="2921635" cy="487680"/>
          <wp:effectExtent l="0" t="0" r="0" b="7620"/>
          <wp:wrapNone/>
          <wp:docPr id="5" name="Picture 5" descr="Australian Commission on Safety and Quality in Health Care logo" title="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635"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3556000</wp:posOffset>
              </wp:positionH>
              <wp:positionV relativeFrom="paragraph">
                <wp:posOffset>-195580</wp:posOffset>
              </wp:positionV>
              <wp:extent cx="2749550" cy="467360"/>
              <wp:effectExtent l="0" t="0" r="0" b="8890"/>
              <wp:wrapTight wrapText="bothSides">
                <wp:wrapPolygon edited="0">
                  <wp:start x="299" y="0"/>
                  <wp:lineTo x="299" y="21130"/>
                  <wp:lineTo x="21101" y="21130"/>
                  <wp:lineTo x="21101" y="0"/>
                  <wp:lineTo x="299"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0" cy="46736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086CE6" w:rsidRPr="00283E5F" w:rsidRDefault="00353DFB" w:rsidP="002E628F">
                          <w:pPr>
                            <w:rPr>
                              <w:rFonts w:ascii="Arial" w:hAnsi="Arial"/>
                              <w:color w:val="595959"/>
                              <w:sz w:val="16"/>
                              <w:szCs w:val="16"/>
                              <w:lang w:val="en-GB"/>
                            </w:rPr>
                          </w:pPr>
                          <w:r>
                            <w:rPr>
                              <w:rFonts w:ascii="Arial" w:hAnsi="Arial"/>
                              <w:color w:val="595959"/>
                              <w:sz w:val="16"/>
                              <w:szCs w:val="16"/>
                              <w:lang w:val="en-GB"/>
                            </w:rPr>
                            <w:t>FAQs</w:t>
                          </w:r>
                          <w:r w:rsidR="00086CE6" w:rsidRPr="00283E5F">
                            <w:rPr>
                              <w:rFonts w:ascii="Arial" w:hAnsi="Arial"/>
                              <w:color w:val="595959"/>
                              <w:sz w:val="16"/>
                              <w:szCs w:val="16"/>
                              <w:lang w:val="en-GB"/>
                            </w:rPr>
                            <w:t xml:space="preserve"> </w:t>
                          </w:r>
                          <w:r w:rsidR="002E31E4">
                            <w:rPr>
                              <w:rFonts w:ascii="Arial" w:hAnsi="Arial"/>
                              <w:color w:val="595959"/>
                              <w:sz w:val="16"/>
                              <w:szCs w:val="16"/>
                              <w:lang w:val="en-GB"/>
                            </w:rPr>
                            <w:t xml:space="preserve">AMS </w:t>
                          </w:r>
                          <w:r w:rsidR="00AF2044">
                            <w:rPr>
                              <w:rFonts w:ascii="Arial" w:hAnsi="Arial"/>
                              <w:color w:val="595959"/>
                              <w:sz w:val="16"/>
                              <w:szCs w:val="16"/>
                              <w:lang w:val="en-GB"/>
                            </w:rPr>
                            <w:t>Clinical Care Standard</w:t>
                          </w:r>
                        </w:p>
                        <w:p w:rsidR="00086CE6" w:rsidRPr="002E628F" w:rsidRDefault="007334BF" w:rsidP="002E628F">
                          <w:r>
                            <w:rPr>
                              <w:rFonts w:ascii="Arial" w:hAnsi="Arial"/>
                              <w:color w:val="595959"/>
                              <w:sz w:val="16"/>
                              <w:szCs w:val="16"/>
                              <w:lang w:val="en-GB"/>
                            </w:rPr>
                            <w:t xml:space="preserve">November </w:t>
                          </w:r>
                          <w:r w:rsidR="00086CE6" w:rsidRPr="00283E5F">
                            <w:rPr>
                              <w:rFonts w:ascii="Arial" w:hAnsi="Arial"/>
                              <w:color w:val="595959"/>
                              <w:sz w:val="16"/>
                              <w:szCs w:val="16"/>
                              <w:lang w:val="en-GB"/>
                            </w:rP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280pt;margin-top:-15.4pt;width:216.5pt;height:3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" filled="f" stroked="f">
              <v:path arrowok="t"/>
              <v:textbox>
                <w:txbxContent>
                  <w:p w:rsidR="00086CE6" w:rsidRPr="00283E5F" w:rsidRDefault="00353DFB" w:rsidP="002E628F">
                    <w:pPr>
                      <w:rPr>
                        <w:rFonts w:ascii="Arial" w:hAnsi="Arial"/>
                        <w:color w:val="595959"/>
                        <w:sz w:val="16"/>
                        <w:szCs w:val="16"/>
                        <w:lang w:val="en-GB"/>
                      </w:rPr>
                    </w:pPr>
                    <w:r>
                      <w:rPr>
                        <w:rFonts w:ascii="Arial" w:hAnsi="Arial"/>
                        <w:color w:val="595959"/>
                        <w:sz w:val="16"/>
                        <w:szCs w:val="16"/>
                        <w:lang w:val="en-GB"/>
                      </w:rPr>
                      <w:t>FAQs</w:t>
                    </w:r>
                    <w:r w:rsidR="00086CE6" w:rsidRPr="00283E5F">
                      <w:rPr>
                        <w:rFonts w:ascii="Arial" w:hAnsi="Arial"/>
                        <w:color w:val="595959"/>
                        <w:sz w:val="16"/>
                        <w:szCs w:val="16"/>
                        <w:lang w:val="en-GB"/>
                      </w:rPr>
                      <w:t xml:space="preserve"> </w:t>
                    </w:r>
                    <w:r w:rsidR="002E31E4">
                      <w:rPr>
                        <w:rFonts w:ascii="Arial" w:hAnsi="Arial"/>
                        <w:color w:val="595959"/>
                        <w:sz w:val="16"/>
                        <w:szCs w:val="16"/>
                        <w:lang w:val="en-GB"/>
                      </w:rPr>
                      <w:t xml:space="preserve">AMS </w:t>
                    </w:r>
                    <w:r w:rsidR="00AF2044">
                      <w:rPr>
                        <w:rFonts w:ascii="Arial" w:hAnsi="Arial"/>
                        <w:color w:val="595959"/>
                        <w:sz w:val="16"/>
                        <w:szCs w:val="16"/>
                        <w:lang w:val="en-GB"/>
                      </w:rPr>
                      <w:t>Clinical Care Standard</w:t>
                    </w:r>
                  </w:p>
                  <w:p w:rsidR="00086CE6" w:rsidRPr="002E628F" w:rsidRDefault="007334BF" w:rsidP="002E628F">
                    <w:r>
                      <w:rPr>
                        <w:rFonts w:ascii="Arial" w:hAnsi="Arial"/>
                        <w:color w:val="595959"/>
                        <w:sz w:val="16"/>
                        <w:szCs w:val="16"/>
                        <w:lang w:val="en-GB"/>
                      </w:rPr>
                      <w:t xml:space="preserve">November </w:t>
                    </w:r>
                    <w:r w:rsidR="00086CE6" w:rsidRPr="00283E5F">
                      <w:rPr>
                        <w:rFonts w:ascii="Arial" w:hAnsi="Arial"/>
                        <w:color w:val="595959"/>
                        <w:sz w:val="16"/>
                        <w:szCs w:val="16"/>
                        <w:lang w:val="en-GB"/>
                      </w:rPr>
                      <w:t>2014</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69" w:rsidRDefault="00E86369">
      <w:r>
        <w:separator/>
      </w:r>
    </w:p>
  </w:footnote>
  <w:footnote w:type="continuationSeparator" w:id="0">
    <w:p w:rsidR="00E86369" w:rsidRDefault="00E86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E6" w:rsidRDefault="005E68F0">
    <w:pPr>
      <w:pStyle w:val="Header"/>
    </w:pPr>
    <w:r>
      <w:rPr>
        <w:noProof/>
        <w:lang w:eastAsia="en-AU"/>
      </w:rPr>
      <w:drawing>
        <wp:anchor distT="0" distB="0" distL="114300" distR="114300" simplePos="0" relativeHeight="251656704" behindDoc="1" locked="0" layoutInCell="1" allowOverlap="1">
          <wp:simplePos x="0" y="0"/>
          <wp:positionH relativeFrom="column">
            <wp:posOffset>-735330</wp:posOffset>
          </wp:positionH>
          <wp:positionV relativeFrom="page">
            <wp:posOffset>-10160</wp:posOffset>
          </wp:positionV>
          <wp:extent cx="7574280" cy="3942080"/>
          <wp:effectExtent l="0" t="0" r="7620" b="1270"/>
          <wp:wrapNone/>
          <wp:docPr id="6" name="Picture 1" descr="Background graphic"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63098"/>
                  <a:stretch>
                    <a:fillRect/>
                  </a:stretch>
                </pic:blipFill>
                <pic:spPr bwMode="auto">
                  <a:xfrm>
                    <a:off x="0" y="0"/>
                    <a:ext cx="7574280" cy="3942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A6CD00"/>
    <w:lvl w:ilvl="0">
      <w:start w:val="1"/>
      <w:numFmt w:val="decimal"/>
      <w:lvlText w:val="%1."/>
      <w:lvlJc w:val="left"/>
      <w:pPr>
        <w:tabs>
          <w:tab w:val="num" w:pos="1492"/>
        </w:tabs>
        <w:ind w:left="1492" w:hanging="360"/>
      </w:pPr>
    </w:lvl>
  </w:abstractNum>
  <w:abstractNum w:abstractNumId="1">
    <w:nsid w:val="FFFFFF7D"/>
    <w:multiLevelType w:val="singleLevel"/>
    <w:tmpl w:val="0B9485FC"/>
    <w:lvl w:ilvl="0">
      <w:start w:val="1"/>
      <w:numFmt w:val="decimal"/>
      <w:lvlText w:val="%1."/>
      <w:lvlJc w:val="left"/>
      <w:pPr>
        <w:tabs>
          <w:tab w:val="num" w:pos="1209"/>
        </w:tabs>
        <w:ind w:left="1209" w:hanging="360"/>
      </w:pPr>
    </w:lvl>
  </w:abstractNum>
  <w:abstractNum w:abstractNumId="2">
    <w:nsid w:val="FFFFFF7E"/>
    <w:multiLevelType w:val="singleLevel"/>
    <w:tmpl w:val="7BB8A4AA"/>
    <w:lvl w:ilvl="0">
      <w:start w:val="1"/>
      <w:numFmt w:val="decimal"/>
      <w:lvlText w:val="%1."/>
      <w:lvlJc w:val="left"/>
      <w:pPr>
        <w:tabs>
          <w:tab w:val="num" w:pos="926"/>
        </w:tabs>
        <w:ind w:left="926" w:hanging="360"/>
      </w:pPr>
    </w:lvl>
  </w:abstractNum>
  <w:abstractNum w:abstractNumId="3">
    <w:nsid w:val="FFFFFF7F"/>
    <w:multiLevelType w:val="singleLevel"/>
    <w:tmpl w:val="7F9C15E4"/>
    <w:lvl w:ilvl="0">
      <w:start w:val="1"/>
      <w:numFmt w:val="decimal"/>
      <w:lvlText w:val="%1."/>
      <w:lvlJc w:val="left"/>
      <w:pPr>
        <w:tabs>
          <w:tab w:val="num" w:pos="643"/>
        </w:tabs>
        <w:ind w:left="643" w:hanging="360"/>
      </w:pPr>
    </w:lvl>
  </w:abstractNum>
  <w:abstractNum w:abstractNumId="4">
    <w:nsid w:val="FFFFFF80"/>
    <w:multiLevelType w:val="singleLevel"/>
    <w:tmpl w:val="A89864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8422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0216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1037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ECDCF2"/>
    <w:lvl w:ilvl="0">
      <w:start w:val="1"/>
      <w:numFmt w:val="decimal"/>
      <w:lvlText w:val="%1."/>
      <w:lvlJc w:val="left"/>
      <w:pPr>
        <w:tabs>
          <w:tab w:val="num" w:pos="360"/>
        </w:tabs>
        <w:ind w:left="360" w:hanging="360"/>
      </w:pPr>
    </w:lvl>
  </w:abstractNum>
  <w:abstractNum w:abstractNumId="9">
    <w:nsid w:val="FFFFFF89"/>
    <w:multiLevelType w:val="singleLevel"/>
    <w:tmpl w:val="A8A0AEC4"/>
    <w:lvl w:ilvl="0">
      <w:start w:val="1"/>
      <w:numFmt w:val="bullet"/>
      <w:lvlText w:val=""/>
      <w:lvlJc w:val="left"/>
      <w:pPr>
        <w:tabs>
          <w:tab w:val="num" w:pos="360"/>
        </w:tabs>
        <w:ind w:left="360" w:hanging="360"/>
      </w:pPr>
      <w:rPr>
        <w:rFonts w:ascii="Symbol" w:hAnsi="Symbol" w:hint="default"/>
      </w:rPr>
    </w:lvl>
  </w:abstractNum>
  <w:abstractNum w:abstractNumId="10">
    <w:nsid w:val="02F51CB0"/>
    <w:multiLevelType w:val="hybridMultilevel"/>
    <w:tmpl w:val="743A6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6241B5"/>
    <w:multiLevelType w:val="hybridMultilevel"/>
    <w:tmpl w:val="B2F28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A82191C"/>
    <w:multiLevelType w:val="hybridMultilevel"/>
    <w:tmpl w:val="FC4C7F64"/>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854003"/>
    <w:multiLevelType w:val="hybridMultilevel"/>
    <w:tmpl w:val="14381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1471A3"/>
    <w:multiLevelType w:val="multilevel"/>
    <w:tmpl w:val="7AEC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37178B"/>
    <w:multiLevelType w:val="multilevel"/>
    <w:tmpl w:val="CC9C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B1B3D"/>
    <w:multiLevelType w:val="hybridMultilevel"/>
    <w:tmpl w:val="189A4A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C0227C2"/>
    <w:multiLevelType w:val="hybridMultilevel"/>
    <w:tmpl w:val="26DC122C"/>
    <w:lvl w:ilvl="0" w:tplc="1E3C3200">
      <w:start w:val="1"/>
      <w:numFmt w:val="decimal"/>
      <w:lvlText w:val="%1."/>
      <w:lvlJc w:val="left"/>
      <w:pPr>
        <w:tabs>
          <w:tab w:val="num" w:pos="360"/>
        </w:tabs>
        <w:ind w:left="360" w:hanging="360"/>
      </w:pPr>
      <w:rPr>
        <w:b/>
      </w:rPr>
    </w:lvl>
    <w:lvl w:ilvl="1" w:tplc="0409000F">
      <w:start w:val="1"/>
      <w:numFmt w:val="decimal"/>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C6318C1"/>
    <w:multiLevelType w:val="hybridMultilevel"/>
    <w:tmpl w:val="4E52F1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2A17CFD"/>
    <w:multiLevelType w:val="hybridMultilevel"/>
    <w:tmpl w:val="8E1E9A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D98391E"/>
    <w:multiLevelType w:val="hybridMultilevel"/>
    <w:tmpl w:val="3B2679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49B243C"/>
    <w:multiLevelType w:val="hybridMultilevel"/>
    <w:tmpl w:val="E59C3E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503401D"/>
    <w:multiLevelType w:val="hybridMultilevel"/>
    <w:tmpl w:val="B016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9B5D99"/>
    <w:multiLevelType w:val="hybridMultilevel"/>
    <w:tmpl w:val="9D786F2A"/>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4"/>
  </w:num>
  <w:num w:numId="4">
    <w:abstractNumId w:val="17"/>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9"/>
  </w:num>
  <w:num w:numId="19">
    <w:abstractNumId w:val="23"/>
  </w:num>
  <w:num w:numId="20">
    <w:abstractNumId w:val="16"/>
  </w:num>
  <w:num w:numId="21">
    <w:abstractNumId w:val="21"/>
  </w:num>
  <w:num w:numId="22">
    <w:abstractNumId w:val="13"/>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8F"/>
    <w:rsid w:val="000148EC"/>
    <w:rsid w:val="000441AD"/>
    <w:rsid w:val="000479EB"/>
    <w:rsid w:val="000548D5"/>
    <w:rsid w:val="000817F0"/>
    <w:rsid w:val="000842A0"/>
    <w:rsid w:val="00086CE6"/>
    <w:rsid w:val="000A6360"/>
    <w:rsid w:val="000B021A"/>
    <w:rsid w:val="000C1C0A"/>
    <w:rsid w:val="000C595E"/>
    <w:rsid w:val="000E4AE5"/>
    <w:rsid w:val="00121D31"/>
    <w:rsid w:val="00132E16"/>
    <w:rsid w:val="00145D3E"/>
    <w:rsid w:val="00146479"/>
    <w:rsid w:val="0016405B"/>
    <w:rsid w:val="00172565"/>
    <w:rsid w:val="001B6A83"/>
    <w:rsid w:val="001B6BF9"/>
    <w:rsid w:val="001C2505"/>
    <w:rsid w:val="001F6D7E"/>
    <w:rsid w:val="00250EEF"/>
    <w:rsid w:val="002604EE"/>
    <w:rsid w:val="00264D85"/>
    <w:rsid w:val="00271BC6"/>
    <w:rsid w:val="00283E5F"/>
    <w:rsid w:val="00284AD6"/>
    <w:rsid w:val="00296A5E"/>
    <w:rsid w:val="002B698D"/>
    <w:rsid w:val="002D7B90"/>
    <w:rsid w:val="002E31E4"/>
    <w:rsid w:val="002E628F"/>
    <w:rsid w:val="002F1A09"/>
    <w:rsid w:val="002F36ED"/>
    <w:rsid w:val="00330923"/>
    <w:rsid w:val="00332401"/>
    <w:rsid w:val="00353DFB"/>
    <w:rsid w:val="00362642"/>
    <w:rsid w:val="00374F65"/>
    <w:rsid w:val="003832A5"/>
    <w:rsid w:val="00385C61"/>
    <w:rsid w:val="00386F40"/>
    <w:rsid w:val="00394828"/>
    <w:rsid w:val="003B32AC"/>
    <w:rsid w:val="003D23C2"/>
    <w:rsid w:val="003D472B"/>
    <w:rsid w:val="003D7BF3"/>
    <w:rsid w:val="00400D85"/>
    <w:rsid w:val="004171E3"/>
    <w:rsid w:val="00437F82"/>
    <w:rsid w:val="00447286"/>
    <w:rsid w:val="00475475"/>
    <w:rsid w:val="004C141A"/>
    <w:rsid w:val="00504A53"/>
    <w:rsid w:val="00511CED"/>
    <w:rsid w:val="00531553"/>
    <w:rsid w:val="0053207D"/>
    <w:rsid w:val="005341B4"/>
    <w:rsid w:val="00553EB8"/>
    <w:rsid w:val="005721E8"/>
    <w:rsid w:val="00576059"/>
    <w:rsid w:val="00584371"/>
    <w:rsid w:val="005952FC"/>
    <w:rsid w:val="0059780F"/>
    <w:rsid w:val="005D37CF"/>
    <w:rsid w:val="005E68F0"/>
    <w:rsid w:val="005F0AD9"/>
    <w:rsid w:val="005F4FAE"/>
    <w:rsid w:val="005F6447"/>
    <w:rsid w:val="005F770F"/>
    <w:rsid w:val="00600C86"/>
    <w:rsid w:val="00633B12"/>
    <w:rsid w:val="0065096B"/>
    <w:rsid w:val="006561AC"/>
    <w:rsid w:val="00692F11"/>
    <w:rsid w:val="006B1768"/>
    <w:rsid w:val="006C5AE9"/>
    <w:rsid w:val="006C7B56"/>
    <w:rsid w:val="006F195A"/>
    <w:rsid w:val="006F4201"/>
    <w:rsid w:val="0070101A"/>
    <w:rsid w:val="00714048"/>
    <w:rsid w:val="007334BF"/>
    <w:rsid w:val="00741365"/>
    <w:rsid w:val="0076677C"/>
    <w:rsid w:val="007703E0"/>
    <w:rsid w:val="00782D86"/>
    <w:rsid w:val="00785693"/>
    <w:rsid w:val="007932D7"/>
    <w:rsid w:val="007A3586"/>
    <w:rsid w:val="007B0924"/>
    <w:rsid w:val="00811FBE"/>
    <w:rsid w:val="0081357D"/>
    <w:rsid w:val="0081384D"/>
    <w:rsid w:val="00817709"/>
    <w:rsid w:val="00845CED"/>
    <w:rsid w:val="00865277"/>
    <w:rsid w:val="0087418D"/>
    <w:rsid w:val="00876275"/>
    <w:rsid w:val="00877376"/>
    <w:rsid w:val="008820E3"/>
    <w:rsid w:val="00894136"/>
    <w:rsid w:val="008A6AD3"/>
    <w:rsid w:val="008C1012"/>
    <w:rsid w:val="008C5B00"/>
    <w:rsid w:val="008E04C9"/>
    <w:rsid w:val="008E64C1"/>
    <w:rsid w:val="00907A09"/>
    <w:rsid w:val="0091451C"/>
    <w:rsid w:val="009163E2"/>
    <w:rsid w:val="00923CCB"/>
    <w:rsid w:val="00927A13"/>
    <w:rsid w:val="0093430D"/>
    <w:rsid w:val="00934F48"/>
    <w:rsid w:val="00964AEC"/>
    <w:rsid w:val="0098214D"/>
    <w:rsid w:val="009845B5"/>
    <w:rsid w:val="00987731"/>
    <w:rsid w:val="00995A5C"/>
    <w:rsid w:val="00995CE7"/>
    <w:rsid w:val="009B22B7"/>
    <w:rsid w:val="009D4D0D"/>
    <w:rsid w:val="009E5225"/>
    <w:rsid w:val="00A13035"/>
    <w:rsid w:val="00A302BF"/>
    <w:rsid w:val="00A41B55"/>
    <w:rsid w:val="00A43980"/>
    <w:rsid w:val="00A70152"/>
    <w:rsid w:val="00AA6AC3"/>
    <w:rsid w:val="00AC1E32"/>
    <w:rsid w:val="00AD2A07"/>
    <w:rsid w:val="00AD6A92"/>
    <w:rsid w:val="00AE46A7"/>
    <w:rsid w:val="00AF2044"/>
    <w:rsid w:val="00AF5F2A"/>
    <w:rsid w:val="00B30F89"/>
    <w:rsid w:val="00B51342"/>
    <w:rsid w:val="00B644B6"/>
    <w:rsid w:val="00B64836"/>
    <w:rsid w:val="00B660C6"/>
    <w:rsid w:val="00B85938"/>
    <w:rsid w:val="00B93CA3"/>
    <w:rsid w:val="00B94FD6"/>
    <w:rsid w:val="00B95DD6"/>
    <w:rsid w:val="00B970E4"/>
    <w:rsid w:val="00BA685F"/>
    <w:rsid w:val="00BD05C8"/>
    <w:rsid w:val="00BD0953"/>
    <w:rsid w:val="00BF388E"/>
    <w:rsid w:val="00C01B67"/>
    <w:rsid w:val="00C03803"/>
    <w:rsid w:val="00C142B2"/>
    <w:rsid w:val="00C4341B"/>
    <w:rsid w:val="00C469BA"/>
    <w:rsid w:val="00C65547"/>
    <w:rsid w:val="00C844CA"/>
    <w:rsid w:val="00C85691"/>
    <w:rsid w:val="00CA0E0B"/>
    <w:rsid w:val="00CA31B4"/>
    <w:rsid w:val="00CB1771"/>
    <w:rsid w:val="00CE7FD1"/>
    <w:rsid w:val="00D046E2"/>
    <w:rsid w:val="00D14160"/>
    <w:rsid w:val="00D341EC"/>
    <w:rsid w:val="00D631F0"/>
    <w:rsid w:val="00D67A32"/>
    <w:rsid w:val="00D7323B"/>
    <w:rsid w:val="00D73512"/>
    <w:rsid w:val="00D75998"/>
    <w:rsid w:val="00D860A0"/>
    <w:rsid w:val="00DA4837"/>
    <w:rsid w:val="00DC08B7"/>
    <w:rsid w:val="00DD50DE"/>
    <w:rsid w:val="00DE3217"/>
    <w:rsid w:val="00E1151E"/>
    <w:rsid w:val="00E27466"/>
    <w:rsid w:val="00E4075B"/>
    <w:rsid w:val="00E6066F"/>
    <w:rsid w:val="00E7510A"/>
    <w:rsid w:val="00E8248E"/>
    <w:rsid w:val="00E86369"/>
    <w:rsid w:val="00E966A0"/>
    <w:rsid w:val="00EA07E6"/>
    <w:rsid w:val="00EB533B"/>
    <w:rsid w:val="00EC2156"/>
    <w:rsid w:val="00EE185A"/>
    <w:rsid w:val="00F0076E"/>
    <w:rsid w:val="00F1365F"/>
    <w:rsid w:val="00F25B71"/>
    <w:rsid w:val="00F355AB"/>
    <w:rsid w:val="00F46D57"/>
    <w:rsid w:val="00F51758"/>
    <w:rsid w:val="00F62341"/>
    <w:rsid w:val="00F9117C"/>
    <w:rsid w:val="00F93141"/>
    <w:rsid w:val="00FA7BDF"/>
    <w:rsid w:val="00FD175A"/>
    <w:rsid w:val="00FE52E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Strong" w:uiPriority="22" w:qFormat="1"/>
    <w:lsdException w:name="Normal (Web)" w:uiPriority="99"/>
    <w:lsdException w:name="List Paragraph" w:uiPriority="34" w:qFormat="1"/>
    <w:lsdException w:name="Subtle Emphasis" w:uiPriority="19" w:qFormat="1"/>
  </w:latentStyles>
  <w:style w:type="paragraph" w:default="1" w:styleId="Normal">
    <w:name w:val="Normal"/>
    <w:qFormat/>
    <w:rsid w:val="0033477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C01D2"/>
    <w:rPr>
      <w:rFonts w:ascii="Lucida Grande" w:hAnsi="Lucida Grande"/>
      <w:sz w:val="18"/>
      <w:szCs w:val="18"/>
    </w:rPr>
  </w:style>
  <w:style w:type="paragraph" w:styleId="Header">
    <w:name w:val="header"/>
    <w:basedOn w:val="Normal"/>
    <w:link w:val="HeaderChar"/>
    <w:uiPriority w:val="99"/>
    <w:unhideWhenUsed/>
    <w:rsid w:val="002E628F"/>
    <w:pPr>
      <w:tabs>
        <w:tab w:val="center" w:pos="4320"/>
        <w:tab w:val="right" w:pos="8640"/>
      </w:tabs>
    </w:pPr>
  </w:style>
  <w:style w:type="character" w:customStyle="1" w:styleId="HeaderChar">
    <w:name w:val="Header Char"/>
    <w:link w:val="Header"/>
    <w:uiPriority w:val="99"/>
    <w:rsid w:val="002E628F"/>
    <w:rPr>
      <w:sz w:val="24"/>
      <w:szCs w:val="24"/>
    </w:rPr>
  </w:style>
  <w:style w:type="paragraph" w:styleId="Footer">
    <w:name w:val="footer"/>
    <w:basedOn w:val="Normal"/>
    <w:link w:val="FooterChar"/>
    <w:uiPriority w:val="99"/>
    <w:unhideWhenUsed/>
    <w:rsid w:val="002E628F"/>
    <w:pPr>
      <w:tabs>
        <w:tab w:val="center" w:pos="4320"/>
        <w:tab w:val="right" w:pos="8640"/>
      </w:tabs>
    </w:pPr>
  </w:style>
  <w:style w:type="character" w:customStyle="1" w:styleId="FooterChar">
    <w:name w:val="Footer Char"/>
    <w:link w:val="Footer"/>
    <w:uiPriority w:val="99"/>
    <w:rsid w:val="002E628F"/>
    <w:rPr>
      <w:sz w:val="24"/>
      <w:szCs w:val="24"/>
    </w:rPr>
  </w:style>
  <w:style w:type="paragraph" w:customStyle="1" w:styleId="Intro">
    <w:name w:val="Intro"/>
    <w:basedOn w:val="Normal"/>
    <w:qFormat/>
    <w:rsid w:val="002E628F"/>
    <w:pPr>
      <w:pBdr>
        <w:top w:val="single" w:sz="4" w:space="1" w:color="00B1B0"/>
        <w:left w:val="single" w:sz="4" w:space="4" w:color="00B1B0"/>
        <w:bottom w:val="single" w:sz="4" w:space="1" w:color="00B1B0"/>
        <w:right w:val="single" w:sz="4" w:space="4" w:color="00B1B0"/>
      </w:pBdr>
      <w:spacing w:after="120" w:line="312" w:lineRule="auto"/>
    </w:pPr>
    <w:rPr>
      <w:rFonts w:ascii="Arial" w:eastAsia="Times New Roman" w:hAnsi="Arial"/>
      <w:color w:val="00B1B0"/>
      <w:lang w:val="en-GB" w:eastAsia="ja-JP"/>
    </w:rPr>
  </w:style>
  <w:style w:type="table" w:styleId="TableGrid">
    <w:name w:val="Table Grid"/>
    <w:basedOn w:val="TableNormal"/>
    <w:uiPriority w:val="59"/>
    <w:rsid w:val="002E62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Normal"/>
    <w:qFormat/>
    <w:rsid w:val="00A13035"/>
    <w:rPr>
      <w:rFonts w:ascii="Arial" w:hAnsi="Arial"/>
      <w:sz w:val="20"/>
    </w:rPr>
  </w:style>
  <w:style w:type="paragraph" w:styleId="NormalWeb">
    <w:name w:val="Normal (Web)"/>
    <w:basedOn w:val="Normal"/>
    <w:uiPriority w:val="99"/>
    <w:unhideWhenUsed/>
    <w:rsid w:val="00353DFB"/>
    <w:pPr>
      <w:spacing w:before="100" w:beforeAutospacing="1" w:after="100" w:afterAutospacing="1"/>
    </w:pPr>
    <w:rPr>
      <w:rFonts w:ascii="Times New Roman" w:eastAsia="Times New Roman" w:hAnsi="Times New Roman"/>
      <w:lang w:eastAsia="en-AU"/>
    </w:rPr>
  </w:style>
  <w:style w:type="character" w:customStyle="1" w:styleId="apple-converted-space">
    <w:name w:val="apple-converted-space"/>
    <w:rsid w:val="00353DFB"/>
  </w:style>
  <w:style w:type="character" w:styleId="Strong">
    <w:name w:val="Strong"/>
    <w:uiPriority w:val="22"/>
    <w:qFormat/>
    <w:rsid w:val="00353DFB"/>
    <w:rPr>
      <w:b/>
      <w:bCs/>
    </w:rPr>
  </w:style>
  <w:style w:type="character" w:styleId="Hyperlink">
    <w:name w:val="Hyperlink"/>
    <w:rsid w:val="00F51758"/>
    <w:rPr>
      <w:color w:val="0000FF"/>
      <w:u w:val="single"/>
    </w:rPr>
  </w:style>
  <w:style w:type="paragraph" w:customStyle="1" w:styleId="Commissionbodytext">
    <w:name w:val="Commission body text"/>
    <w:basedOn w:val="Normal"/>
    <w:link w:val="CommissionbodytextChar"/>
    <w:qFormat/>
    <w:rsid w:val="007334BF"/>
    <w:pPr>
      <w:spacing w:after="80" w:line="276" w:lineRule="auto"/>
    </w:pPr>
    <w:rPr>
      <w:rFonts w:ascii="Arial" w:eastAsia="Times New Roman" w:hAnsi="Arial" w:cs="Arial"/>
      <w:sz w:val="22"/>
      <w:szCs w:val="22"/>
    </w:rPr>
  </w:style>
  <w:style w:type="character" w:customStyle="1" w:styleId="CommissionbodytextChar">
    <w:name w:val="Commission body text Char"/>
    <w:link w:val="Commissionbodytext"/>
    <w:rsid w:val="007334BF"/>
    <w:rPr>
      <w:rFonts w:ascii="Arial" w:eastAsia="Times New Roman" w:hAnsi="Arial" w:cs="Arial"/>
      <w:sz w:val="22"/>
      <w:szCs w:val="22"/>
      <w:lang w:eastAsia="en-US"/>
    </w:rPr>
  </w:style>
  <w:style w:type="character" w:styleId="SubtleEmphasis">
    <w:name w:val="Subtle Emphasis"/>
    <w:uiPriority w:val="19"/>
    <w:qFormat/>
    <w:rsid w:val="00EB533B"/>
    <w:rPr>
      <w:i/>
      <w:iCs/>
      <w:color w:val="808080"/>
    </w:rPr>
  </w:style>
  <w:style w:type="paragraph" w:styleId="ListParagraph">
    <w:name w:val="List Paragraph"/>
    <w:aliases w:val="List Paragraph1,Recommendation"/>
    <w:basedOn w:val="Normal"/>
    <w:link w:val="ListParagraphChar"/>
    <w:uiPriority w:val="34"/>
    <w:qFormat/>
    <w:rsid w:val="00EB533B"/>
    <w:pPr>
      <w:spacing w:after="80"/>
      <w:ind w:left="720"/>
      <w:contextualSpacing/>
    </w:pPr>
    <w:rPr>
      <w:rFonts w:ascii="Arial" w:eastAsia="Times New Roman" w:hAnsi="Arial" w:cs="Arial"/>
      <w:sz w:val="22"/>
      <w:szCs w:val="22"/>
      <w:lang w:eastAsia="en-AU"/>
    </w:rPr>
  </w:style>
  <w:style w:type="character" w:customStyle="1" w:styleId="ListParagraphChar">
    <w:name w:val="List Paragraph Char"/>
    <w:aliases w:val="List Paragraph1 Char,Recommendation Char"/>
    <w:link w:val="ListParagraph"/>
    <w:uiPriority w:val="34"/>
    <w:rsid w:val="00EB533B"/>
    <w:rPr>
      <w:rFonts w:ascii="Arial" w:eastAsia="Times New Roman" w:hAnsi="Arial" w:cs="Arial"/>
      <w:sz w:val="22"/>
      <w:szCs w:val="22"/>
    </w:rPr>
  </w:style>
  <w:style w:type="paragraph" w:customStyle="1" w:styleId="CommissionHeading2">
    <w:name w:val="Commission Heading 2"/>
    <w:basedOn w:val="Normal"/>
    <w:next w:val="Commissionbodytext"/>
    <w:link w:val="CommissionHeading2Char"/>
    <w:autoRedefine/>
    <w:qFormat/>
    <w:rsid w:val="00EB533B"/>
    <w:pPr>
      <w:keepNext/>
      <w:spacing w:after="80" w:line="276" w:lineRule="auto"/>
      <w:outlineLvl w:val="1"/>
    </w:pPr>
    <w:rPr>
      <w:rFonts w:ascii="Arial" w:eastAsia="Times New Roman" w:hAnsi="Arial" w:cs="Arial"/>
      <w:b/>
      <w:lang w:val="en" w:eastAsia="en-AU"/>
    </w:rPr>
  </w:style>
  <w:style w:type="character" w:customStyle="1" w:styleId="CommissionHeading2Char">
    <w:name w:val="Commission Heading 2 Char"/>
    <w:link w:val="CommissionHeading2"/>
    <w:rsid w:val="00EB533B"/>
    <w:rPr>
      <w:rFonts w:ascii="Arial" w:eastAsia="Times New Roman" w:hAnsi="Arial" w:cs="Arial"/>
      <w:b/>
      <w:sz w:val="24"/>
      <w:szCs w:val="24"/>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Strong" w:uiPriority="22" w:qFormat="1"/>
    <w:lsdException w:name="Normal (Web)" w:uiPriority="99"/>
    <w:lsdException w:name="List Paragraph" w:uiPriority="34" w:qFormat="1"/>
    <w:lsdException w:name="Subtle Emphasis" w:uiPriority="19" w:qFormat="1"/>
  </w:latentStyles>
  <w:style w:type="paragraph" w:default="1" w:styleId="Normal">
    <w:name w:val="Normal"/>
    <w:qFormat/>
    <w:rsid w:val="0033477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C01D2"/>
    <w:rPr>
      <w:rFonts w:ascii="Lucida Grande" w:hAnsi="Lucida Grande"/>
      <w:sz w:val="18"/>
      <w:szCs w:val="18"/>
    </w:rPr>
  </w:style>
  <w:style w:type="paragraph" w:styleId="Header">
    <w:name w:val="header"/>
    <w:basedOn w:val="Normal"/>
    <w:link w:val="HeaderChar"/>
    <w:uiPriority w:val="99"/>
    <w:unhideWhenUsed/>
    <w:rsid w:val="002E628F"/>
    <w:pPr>
      <w:tabs>
        <w:tab w:val="center" w:pos="4320"/>
        <w:tab w:val="right" w:pos="8640"/>
      </w:tabs>
    </w:pPr>
  </w:style>
  <w:style w:type="character" w:customStyle="1" w:styleId="HeaderChar">
    <w:name w:val="Header Char"/>
    <w:link w:val="Header"/>
    <w:uiPriority w:val="99"/>
    <w:rsid w:val="002E628F"/>
    <w:rPr>
      <w:sz w:val="24"/>
      <w:szCs w:val="24"/>
    </w:rPr>
  </w:style>
  <w:style w:type="paragraph" w:styleId="Footer">
    <w:name w:val="footer"/>
    <w:basedOn w:val="Normal"/>
    <w:link w:val="FooterChar"/>
    <w:uiPriority w:val="99"/>
    <w:unhideWhenUsed/>
    <w:rsid w:val="002E628F"/>
    <w:pPr>
      <w:tabs>
        <w:tab w:val="center" w:pos="4320"/>
        <w:tab w:val="right" w:pos="8640"/>
      </w:tabs>
    </w:pPr>
  </w:style>
  <w:style w:type="character" w:customStyle="1" w:styleId="FooterChar">
    <w:name w:val="Footer Char"/>
    <w:link w:val="Footer"/>
    <w:uiPriority w:val="99"/>
    <w:rsid w:val="002E628F"/>
    <w:rPr>
      <w:sz w:val="24"/>
      <w:szCs w:val="24"/>
    </w:rPr>
  </w:style>
  <w:style w:type="paragraph" w:customStyle="1" w:styleId="Intro">
    <w:name w:val="Intro"/>
    <w:basedOn w:val="Normal"/>
    <w:qFormat/>
    <w:rsid w:val="002E628F"/>
    <w:pPr>
      <w:pBdr>
        <w:top w:val="single" w:sz="4" w:space="1" w:color="00B1B0"/>
        <w:left w:val="single" w:sz="4" w:space="4" w:color="00B1B0"/>
        <w:bottom w:val="single" w:sz="4" w:space="1" w:color="00B1B0"/>
        <w:right w:val="single" w:sz="4" w:space="4" w:color="00B1B0"/>
      </w:pBdr>
      <w:spacing w:after="120" w:line="312" w:lineRule="auto"/>
    </w:pPr>
    <w:rPr>
      <w:rFonts w:ascii="Arial" w:eastAsia="Times New Roman" w:hAnsi="Arial"/>
      <w:color w:val="00B1B0"/>
      <w:lang w:val="en-GB" w:eastAsia="ja-JP"/>
    </w:rPr>
  </w:style>
  <w:style w:type="table" w:styleId="TableGrid">
    <w:name w:val="Table Grid"/>
    <w:basedOn w:val="TableNormal"/>
    <w:uiPriority w:val="59"/>
    <w:rsid w:val="002E62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Normal"/>
    <w:qFormat/>
    <w:rsid w:val="00A13035"/>
    <w:rPr>
      <w:rFonts w:ascii="Arial" w:hAnsi="Arial"/>
      <w:sz w:val="20"/>
    </w:rPr>
  </w:style>
  <w:style w:type="paragraph" w:styleId="NormalWeb">
    <w:name w:val="Normal (Web)"/>
    <w:basedOn w:val="Normal"/>
    <w:uiPriority w:val="99"/>
    <w:unhideWhenUsed/>
    <w:rsid w:val="00353DFB"/>
    <w:pPr>
      <w:spacing w:before="100" w:beforeAutospacing="1" w:after="100" w:afterAutospacing="1"/>
    </w:pPr>
    <w:rPr>
      <w:rFonts w:ascii="Times New Roman" w:eastAsia="Times New Roman" w:hAnsi="Times New Roman"/>
      <w:lang w:eastAsia="en-AU"/>
    </w:rPr>
  </w:style>
  <w:style w:type="character" w:customStyle="1" w:styleId="apple-converted-space">
    <w:name w:val="apple-converted-space"/>
    <w:rsid w:val="00353DFB"/>
  </w:style>
  <w:style w:type="character" w:styleId="Strong">
    <w:name w:val="Strong"/>
    <w:uiPriority w:val="22"/>
    <w:qFormat/>
    <w:rsid w:val="00353DFB"/>
    <w:rPr>
      <w:b/>
      <w:bCs/>
    </w:rPr>
  </w:style>
  <w:style w:type="character" w:styleId="Hyperlink">
    <w:name w:val="Hyperlink"/>
    <w:rsid w:val="00F51758"/>
    <w:rPr>
      <w:color w:val="0000FF"/>
      <w:u w:val="single"/>
    </w:rPr>
  </w:style>
  <w:style w:type="paragraph" w:customStyle="1" w:styleId="Commissionbodytext">
    <w:name w:val="Commission body text"/>
    <w:basedOn w:val="Normal"/>
    <w:link w:val="CommissionbodytextChar"/>
    <w:qFormat/>
    <w:rsid w:val="007334BF"/>
    <w:pPr>
      <w:spacing w:after="80" w:line="276" w:lineRule="auto"/>
    </w:pPr>
    <w:rPr>
      <w:rFonts w:ascii="Arial" w:eastAsia="Times New Roman" w:hAnsi="Arial" w:cs="Arial"/>
      <w:sz w:val="22"/>
      <w:szCs w:val="22"/>
    </w:rPr>
  </w:style>
  <w:style w:type="character" w:customStyle="1" w:styleId="CommissionbodytextChar">
    <w:name w:val="Commission body text Char"/>
    <w:link w:val="Commissionbodytext"/>
    <w:rsid w:val="007334BF"/>
    <w:rPr>
      <w:rFonts w:ascii="Arial" w:eastAsia="Times New Roman" w:hAnsi="Arial" w:cs="Arial"/>
      <w:sz w:val="22"/>
      <w:szCs w:val="22"/>
      <w:lang w:eastAsia="en-US"/>
    </w:rPr>
  </w:style>
  <w:style w:type="character" w:styleId="SubtleEmphasis">
    <w:name w:val="Subtle Emphasis"/>
    <w:uiPriority w:val="19"/>
    <w:qFormat/>
    <w:rsid w:val="00EB533B"/>
    <w:rPr>
      <w:i/>
      <w:iCs/>
      <w:color w:val="808080"/>
    </w:rPr>
  </w:style>
  <w:style w:type="paragraph" w:styleId="ListParagraph">
    <w:name w:val="List Paragraph"/>
    <w:aliases w:val="List Paragraph1,Recommendation"/>
    <w:basedOn w:val="Normal"/>
    <w:link w:val="ListParagraphChar"/>
    <w:uiPriority w:val="34"/>
    <w:qFormat/>
    <w:rsid w:val="00EB533B"/>
    <w:pPr>
      <w:spacing w:after="80"/>
      <w:ind w:left="720"/>
      <w:contextualSpacing/>
    </w:pPr>
    <w:rPr>
      <w:rFonts w:ascii="Arial" w:eastAsia="Times New Roman" w:hAnsi="Arial" w:cs="Arial"/>
      <w:sz w:val="22"/>
      <w:szCs w:val="22"/>
      <w:lang w:eastAsia="en-AU"/>
    </w:rPr>
  </w:style>
  <w:style w:type="character" w:customStyle="1" w:styleId="ListParagraphChar">
    <w:name w:val="List Paragraph Char"/>
    <w:aliases w:val="List Paragraph1 Char,Recommendation Char"/>
    <w:link w:val="ListParagraph"/>
    <w:uiPriority w:val="34"/>
    <w:rsid w:val="00EB533B"/>
    <w:rPr>
      <w:rFonts w:ascii="Arial" w:eastAsia="Times New Roman" w:hAnsi="Arial" w:cs="Arial"/>
      <w:sz w:val="22"/>
      <w:szCs w:val="22"/>
    </w:rPr>
  </w:style>
  <w:style w:type="paragraph" w:customStyle="1" w:styleId="CommissionHeading2">
    <w:name w:val="Commission Heading 2"/>
    <w:basedOn w:val="Normal"/>
    <w:next w:val="Commissionbodytext"/>
    <w:link w:val="CommissionHeading2Char"/>
    <w:autoRedefine/>
    <w:qFormat/>
    <w:rsid w:val="00EB533B"/>
    <w:pPr>
      <w:keepNext/>
      <w:spacing w:after="80" w:line="276" w:lineRule="auto"/>
      <w:outlineLvl w:val="1"/>
    </w:pPr>
    <w:rPr>
      <w:rFonts w:ascii="Arial" w:eastAsia="Times New Roman" w:hAnsi="Arial" w:cs="Arial"/>
      <w:b/>
      <w:lang w:val="en" w:eastAsia="en-AU"/>
    </w:rPr>
  </w:style>
  <w:style w:type="character" w:customStyle="1" w:styleId="CommissionHeading2Char">
    <w:name w:val="Commission Heading 2 Char"/>
    <w:link w:val="CommissionHeading2"/>
    <w:rsid w:val="00EB533B"/>
    <w:rPr>
      <w:rFonts w:ascii="Arial" w:eastAsia="Times New Roman" w:hAnsi="Arial" w:cs="Arial"/>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257266">
      <w:bodyDiv w:val="1"/>
      <w:marLeft w:val="0"/>
      <w:marRight w:val="0"/>
      <w:marTop w:val="0"/>
      <w:marBottom w:val="0"/>
      <w:divBdr>
        <w:top w:val="none" w:sz="0" w:space="0" w:color="auto"/>
        <w:left w:val="none" w:sz="0" w:space="0" w:color="auto"/>
        <w:bottom w:val="none" w:sz="0" w:space="0" w:color="auto"/>
        <w:right w:val="none" w:sz="0" w:space="0" w:color="auto"/>
      </w:divBdr>
    </w:div>
    <w:div w:id="775908990">
      <w:bodyDiv w:val="1"/>
      <w:marLeft w:val="0"/>
      <w:marRight w:val="0"/>
      <w:marTop w:val="0"/>
      <w:marBottom w:val="0"/>
      <w:divBdr>
        <w:top w:val="none" w:sz="0" w:space="0" w:color="auto"/>
        <w:left w:val="none" w:sz="0" w:space="0" w:color="auto"/>
        <w:bottom w:val="none" w:sz="0" w:space="0" w:color="auto"/>
        <w:right w:val="none" w:sz="0" w:space="0" w:color="auto"/>
      </w:divBdr>
    </w:div>
    <w:div w:id="20687998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afetyandquality.gov.au/ccs" TargetMode="External"/><Relationship Id="rId4" Type="http://schemas.microsoft.com/office/2007/relationships/stylesWithEffects" Target="stylesWithEffects.xml"/><Relationship Id="rId9" Type="http://schemas.openxmlformats.org/officeDocument/2006/relationships/hyperlink" Target="mailto:ccs@safetyandquality.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EBC8-2844-4416-8953-424DDAB6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1281</Words>
  <Characters>7140</Characters>
  <Application>Microsoft Office Word</Application>
  <DocSecurity>0</DocSecurity>
  <Lines>117</Lines>
  <Paragraphs>64</Paragraphs>
  <ScaleCrop>false</ScaleCrop>
  <HeadingPairs>
    <vt:vector size="2" baseType="variant">
      <vt:variant>
        <vt:lpstr>Title</vt:lpstr>
      </vt:variant>
      <vt:variant>
        <vt:i4>1</vt:i4>
      </vt:variant>
    </vt:vector>
  </HeadingPairs>
  <TitlesOfParts>
    <vt:vector size="1" baseType="lpstr">
      <vt:lpstr/>
    </vt:vector>
  </TitlesOfParts>
  <Company>Impress Design</Company>
  <LinksUpToDate>false</LinksUpToDate>
  <CharactersWithSpaces>8357</CharactersWithSpaces>
  <SharedDoc>false</SharedDoc>
  <HLinks>
    <vt:vector size="12" baseType="variant">
      <vt:variant>
        <vt:i4>2621567</vt:i4>
      </vt:variant>
      <vt:variant>
        <vt:i4>3</vt:i4>
      </vt:variant>
      <vt:variant>
        <vt:i4>0</vt:i4>
      </vt:variant>
      <vt:variant>
        <vt:i4>5</vt:i4>
      </vt:variant>
      <vt:variant>
        <vt:lpwstr>http://www.safetyandquality.gov.au/ccs</vt:lpwstr>
      </vt:variant>
      <vt:variant>
        <vt:lpwstr/>
      </vt:variant>
      <vt:variant>
        <vt:i4>6357002</vt:i4>
      </vt:variant>
      <vt:variant>
        <vt:i4>0</vt:i4>
      </vt:variant>
      <vt:variant>
        <vt:i4>0</vt:i4>
      </vt:variant>
      <vt:variant>
        <vt:i4>5</vt:i4>
      </vt:variant>
      <vt:variant>
        <vt:lpwstr>mailto:ccs@safetyandquality.gov.au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Bruer</dc:creator>
  <cp:lastModifiedBy>Hall Erica</cp:lastModifiedBy>
  <cp:revision>3</cp:revision>
  <cp:lastPrinted>2014-09-04T01:01:00Z</cp:lastPrinted>
  <dcterms:created xsi:type="dcterms:W3CDTF">2014-12-02T04:36:00Z</dcterms:created>
  <dcterms:modified xsi:type="dcterms:W3CDTF">2014-12-02T04:38:00Z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