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3B0" w:rsidRPr="007B3A4B" w:rsidRDefault="001423B0" w:rsidP="001423B0">
      <w:pPr>
        <w:pStyle w:val="x00-cover-h0"/>
        <w:rPr>
          <w:rStyle w:val="IntenseEmphasis"/>
        </w:rPr>
      </w:pPr>
      <w:bookmarkStart w:id="0" w:name="_GoBack"/>
      <w:bookmarkEnd w:id="0"/>
    </w:p>
    <w:p w:rsidR="001423B0" w:rsidRDefault="001423B0" w:rsidP="001423B0">
      <w:pPr>
        <w:pStyle w:val="x00-cover-h0"/>
        <w:rPr>
          <w:rFonts w:cs="Times New Roman"/>
        </w:rPr>
      </w:pPr>
    </w:p>
    <w:p w:rsidR="001423B0" w:rsidRDefault="001423B0" w:rsidP="001423B0">
      <w:pPr>
        <w:pStyle w:val="x00-cover-h0"/>
        <w:rPr>
          <w:rFonts w:cs="Times New Roman"/>
        </w:rPr>
      </w:pPr>
    </w:p>
    <w:p w:rsidR="001423B0" w:rsidRDefault="001423B0" w:rsidP="001423B0">
      <w:pPr>
        <w:pStyle w:val="x00-cover-h0"/>
        <w:rPr>
          <w:rFonts w:cs="Times New Roman"/>
        </w:rPr>
      </w:pPr>
    </w:p>
    <w:p w:rsidR="001423B0" w:rsidRDefault="001423B0" w:rsidP="001423B0">
      <w:pPr>
        <w:pStyle w:val="x00-cover-h0"/>
        <w:rPr>
          <w:rFonts w:cs="Times New Roman"/>
        </w:rPr>
      </w:pPr>
    </w:p>
    <w:p w:rsidR="001423B0" w:rsidRPr="00C92DF3" w:rsidRDefault="001423B0" w:rsidP="001423B0">
      <w:pPr>
        <w:pStyle w:val="x00-cover-h0"/>
        <w:rPr>
          <w:rFonts w:cs="Times New Roman"/>
          <w:sz w:val="48"/>
          <w:szCs w:val="48"/>
        </w:rPr>
      </w:pPr>
      <w:r>
        <w:rPr>
          <w:rFonts w:cs="Times New Roman"/>
          <w:sz w:val="48"/>
          <w:szCs w:val="48"/>
        </w:rPr>
        <w:br/>
      </w:r>
      <w:r w:rsidRPr="00C92DF3">
        <w:rPr>
          <w:rFonts w:cs="Times New Roman"/>
          <w:sz w:val="48"/>
          <w:szCs w:val="48"/>
        </w:rPr>
        <w:t>Indicator Specification</w:t>
      </w:r>
    </w:p>
    <w:p w:rsidR="001423B0" w:rsidRDefault="001423B0" w:rsidP="001423B0">
      <w:pPr>
        <w:pStyle w:val="x00-cover-head-"/>
      </w:pPr>
      <w:r w:rsidRPr="003973B4">
        <w:t xml:space="preserve">Acute </w:t>
      </w:r>
      <w:r w:rsidRPr="00840528">
        <w:rPr>
          <w:color w:val="72706E"/>
        </w:rPr>
        <w:t>Coronary</w:t>
      </w:r>
      <w:r w:rsidRPr="003973B4">
        <w:t xml:space="preserve"> Syndromes</w:t>
      </w:r>
      <w:r w:rsidRPr="003973B4">
        <w:br/>
        <w:t>Clinical Care Standard</w:t>
      </w:r>
    </w:p>
    <w:p w:rsidR="009C5F96" w:rsidRPr="009C5F96" w:rsidRDefault="009C5F96" w:rsidP="001423B0">
      <w:pPr>
        <w:pStyle w:val="x00-cover-head-"/>
        <w:rPr>
          <w:b w:val="0"/>
          <w:sz w:val="40"/>
          <w:szCs w:val="40"/>
        </w:rPr>
      </w:pPr>
      <w:r w:rsidRPr="009C5F96">
        <w:rPr>
          <w:b w:val="0"/>
          <w:sz w:val="40"/>
          <w:szCs w:val="40"/>
        </w:rPr>
        <w:t>December 2015</w:t>
      </w:r>
    </w:p>
    <w:p w:rsidR="001423B0" w:rsidRDefault="001423B0" w:rsidP="001423B0">
      <w:pPr>
        <w:rPr>
          <w:rFonts w:cs="Times New Roman"/>
        </w:rPr>
      </w:pPr>
      <w:r>
        <w:rPr>
          <w:rFonts w:cs="Times New Roman"/>
        </w:rPr>
        <w:br w:type="page"/>
      </w: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Default="001423B0" w:rsidP="001423B0">
      <w:pPr>
        <w:pStyle w:val="x05-citation"/>
        <w:rPr>
          <w:rFonts w:cs="Times New Roman"/>
        </w:rPr>
      </w:pPr>
    </w:p>
    <w:p w:rsidR="001423B0" w:rsidRPr="00807381" w:rsidRDefault="001423B0" w:rsidP="001423B0">
      <w:pPr>
        <w:pStyle w:val="x05-citation"/>
        <w:rPr>
          <w:rFonts w:cs="Times New Roman"/>
          <w:color w:val="000000" w:themeColor="text1"/>
        </w:rPr>
      </w:pPr>
    </w:p>
    <w:p w:rsidR="001423B0" w:rsidRPr="00807381" w:rsidRDefault="001423B0" w:rsidP="001423B0">
      <w:pPr>
        <w:pStyle w:val="x05-citation"/>
        <w:rPr>
          <w:rFonts w:cs="Times New Roman"/>
          <w:color w:val="000000" w:themeColor="text1"/>
        </w:rPr>
      </w:pPr>
      <w:r w:rsidRPr="00807381">
        <w:rPr>
          <w:rFonts w:cs="Times New Roman"/>
          <w:color w:val="000000" w:themeColor="text1"/>
        </w:rPr>
        <w:t>© Commonwealth of Australia 201</w:t>
      </w:r>
      <w:r w:rsidR="00324E68">
        <w:rPr>
          <w:rFonts w:cs="Times New Roman"/>
          <w:color w:val="000000" w:themeColor="text1"/>
        </w:rPr>
        <w:t>5</w:t>
      </w:r>
    </w:p>
    <w:p w:rsidR="001423B0" w:rsidRPr="00807381" w:rsidRDefault="001423B0" w:rsidP="001423B0">
      <w:pPr>
        <w:pStyle w:val="x05-citation"/>
        <w:rPr>
          <w:rFonts w:cs="Times New Roman"/>
          <w:color w:val="000000" w:themeColor="text1"/>
        </w:rPr>
      </w:pPr>
      <w:r w:rsidRPr="00807381">
        <w:rPr>
          <w:rFonts w:cs="Times New Roman"/>
          <w:color w:val="000000" w:themeColor="text1"/>
        </w:rPr>
        <w:t xml:space="preserve">This work is copyright. It may be reproduced in whole or in part for study or training purposes subject to the inclusion of an acknowledgment of the source. Requests and inquiries concerning reproduction and rights for purposes other than those indicated above require the written permission of the Australian Commission on Safety and Quality in Health Care, GPO Box 5480 Sydney NSW 2001 or </w:t>
      </w:r>
      <w:r w:rsidRPr="00807381">
        <w:rPr>
          <w:rStyle w:val="x02-body-bold"/>
          <w:rFonts w:cs="Times New Roman"/>
          <w:color w:val="000000" w:themeColor="text1"/>
        </w:rPr>
        <w:t>mail@safetyandquality.gov.au</w:t>
      </w:r>
      <w:r w:rsidRPr="00807381">
        <w:rPr>
          <w:rFonts w:cs="Times New Roman"/>
          <w:color w:val="000000" w:themeColor="text1"/>
        </w:rPr>
        <w:t>.</w:t>
      </w:r>
    </w:p>
    <w:p w:rsidR="001423B0" w:rsidRPr="00807381" w:rsidRDefault="001423B0" w:rsidP="001423B0">
      <w:pPr>
        <w:pStyle w:val="x05-citation"/>
        <w:rPr>
          <w:rFonts w:cs="Times New Roman"/>
          <w:color w:val="000000" w:themeColor="text1"/>
        </w:rPr>
      </w:pPr>
      <w:r w:rsidRPr="00807381">
        <w:rPr>
          <w:rFonts w:cs="Times New Roman"/>
          <w:color w:val="000000" w:themeColor="text1"/>
        </w:rPr>
        <w:t>ISBN 978-1-92</w:t>
      </w:r>
      <w:r w:rsidR="00324E68">
        <w:rPr>
          <w:rFonts w:cs="Times New Roman"/>
          <w:color w:val="000000" w:themeColor="text1"/>
        </w:rPr>
        <w:t>5224-34-4</w:t>
      </w:r>
      <w:r w:rsidRPr="00807381">
        <w:rPr>
          <w:rFonts w:cs="Times New Roman"/>
          <w:color w:val="000000" w:themeColor="text1"/>
        </w:rPr>
        <w:t xml:space="preserve"> </w:t>
      </w:r>
    </w:p>
    <w:p w:rsidR="001423B0" w:rsidRPr="00941340" w:rsidRDefault="001423B0" w:rsidP="001423B0">
      <w:pPr>
        <w:pStyle w:val="x05-citation-heading"/>
        <w:rPr>
          <w:rFonts w:cs="Times New Roman"/>
          <w:color w:val="000000" w:themeColor="text1"/>
          <w:sz w:val="20"/>
        </w:rPr>
      </w:pPr>
      <w:r w:rsidRPr="00941340">
        <w:rPr>
          <w:rFonts w:cs="Times New Roman"/>
          <w:color w:val="000000" w:themeColor="text1"/>
          <w:sz w:val="20"/>
        </w:rPr>
        <w:t>Suggested citation</w:t>
      </w:r>
    </w:p>
    <w:p w:rsidR="001423B0" w:rsidRPr="00807381" w:rsidRDefault="001423B0" w:rsidP="001423B0">
      <w:pPr>
        <w:pStyle w:val="x05-citation"/>
        <w:rPr>
          <w:rFonts w:cs="Times New Roman"/>
          <w:color w:val="000000" w:themeColor="text1"/>
        </w:rPr>
      </w:pPr>
      <w:r w:rsidRPr="00807381">
        <w:rPr>
          <w:rFonts w:cs="Times New Roman"/>
          <w:color w:val="000000" w:themeColor="text1"/>
        </w:rPr>
        <w:t>Australian Commission on Safety and Quality in Health Care. Indicator Specification: Acute Coronary Syndromes Clinical Care Standard. Sydney: ACSQHC, 201</w:t>
      </w:r>
      <w:r w:rsidR="00324E68">
        <w:rPr>
          <w:rFonts w:cs="Times New Roman"/>
          <w:color w:val="000000" w:themeColor="text1"/>
        </w:rPr>
        <w:t>5</w:t>
      </w:r>
      <w:r w:rsidRPr="00807381">
        <w:rPr>
          <w:rFonts w:cs="Times New Roman"/>
          <w:color w:val="000000" w:themeColor="text1"/>
        </w:rPr>
        <w:t>.</w:t>
      </w:r>
    </w:p>
    <w:p w:rsidR="001423B0" w:rsidRPr="00941340" w:rsidRDefault="001423B0" w:rsidP="001423B0">
      <w:pPr>
        <w:pStyle w:val="x05-citation-heading"/>
        <w:rPr>
          <w:rFonts w:cs="Times New Roman"/>
          <w:color w:val="000000" w:themeColor="text1"/>
          <w:sz w:val="20"/>
        </w:rPr>
      </w:pPr>
      <w:r w:rsidRPr="00941340">
        <w:rPr>
          <w:rFonts w:cs="Times New Roman"/>
          <w:color w:val="000000" w:themeColor="text1"/>
          <w:sz w:val="20"/>
        </w:rPr>
        <w:t>Acknowledgments</w:t>
      </w:r>
    </w:p>
    <w:p w:rsidR="001423B0" w:rsidRPr="00807381" w:rsidRDefault="001423B0" w:rsidP="001423B0">
      <w:pPr>
        <w:pStyle w:val="x05-citation"/>
        <w:rPr>
          <w:rFonts w:cs="Times New Roman"/>
          <w:color w:val="000000" w:themeColor="text1"/>
        </w:rPr>
      </w:pPr>
      <w:r w:rsidRPr="00807381">
        <w:rPr>
          <w:rFonts w:cs="Times New Roman"/>
          <w:color w:val="000000" w:themeColor="text1"/>
        </w:rPr>
        <w:t xml:space="preserve">This document has been prepared by the Australian Commission on Safety and Quality in Health Care. Technical input was provided by Professor David </w:t>
      </w:r>
      <w:proofErr w:type="spellStart"/>
      <w:r w:rsidRPr="00807381">
        <w:rPr>
          <w:rFonts w:cs="Times New Roman"/>
          <w:color w:val="000000" w:themeColor="text1"/>
        </w:rPr>
        <w:t>Brieger</w:t>
      </w:r>
      <w:proofErr w:type="spellEnd"/>
      <w:r w:rsidRPr="00807381">
        <w:rPr>
          <w:rFonts w:cs="Times New Roman"/>
          <w:color w:val="000000" w:themeColor="text1"/>
        </w:rPr>
        <w:t>, Professor Derek Chew and Associate Professor Tom </w:t>
      </w:r>
      <w:proofErr w:type="spellStart"/>
      <w:r w:rsidRPr="00807381">
        <w:rPr>
          <w:rFonts w:cs="Times New Roman"/>
          <w:color w:val="000000" w:themeColor="text1"/>
        </w:rPr>
        <w:t>Briffa</w:t>
      </w:r>
      <w:proofErr w:type="spellEnd"/>
      <w:r w:rsidRPr="00807381">
        <w:rPr>
          <w:rFonts w:cs="Times New Roman"/>
          <w:color w:val="000000" w:themeColor="text1"/>
        </w:rPr>
        <w:t>. The Commission gratefully acknowledges the contributions of these experts, members of the Acute Coronary Syndromes Clinical Care Standard Topic Working Group and other key experts in the development of this document.</w:t>
      </w:r>
    </w:p>
    <w:p w:rsidR="001423B0" w:rsidRPr="00941340" w:rsidRDefault="001423B0" w:rsidP="001423B0">
      <w:pPr>
        <w:pStyle w:val="x05-citation-heading"/>
        <w:rPr>
          <w:rFonts w:cs="Times New Roman"/>
          <w:color w:val="000000" w:themeColor="text1"/>
          <w:sz w:val="20"/>
        </w:rPr>
      </w:pPr>
      <w:r w:rsidRPr="00941340">
        <w:rPr>
          <w:rFonts w:cs="Times New Roman"/>
          <w:color w:val="000000" w:themeColor="text1"/>
          <w:sz w:val="20"/>
        </w:rPr>
        <w:t>Disclaimer</w:t>
      </w:r>
    </w:p>
    <w:p w:rsidR="001423B0" w:rsidRPr="00807381" w:rsidRDefault="001423B0" w:rsidP="001423B0">
      <w:pPr>
        <w:pStyle w:val="x05-citation"/>
        <w:rPr>
          <w:rFonts w:cs="Times New Roman"/>
          <w:color w:val="000000" w:themeColor="text1"/>
        </w:rPr>
      </w:pPr>
      <w:r w:rsidRPr="00807381">
        <w:rPr>
          <w:rFonts w:cs="Times New Roman"/>
          <w:color w:val="000000" w:themeColor="text1"/>
        </w:rPr>
        <w:t>The Australian Commission on Safety and Quality in Health Care has produced this Clinical Care Standard to support the delivery of appropriate care for a defined condition and is based on the best evidence available at the time of development. Health care professionals are advised to use clinical discretion and consideration of the circumstances of the individual patient, in consultation with the patient and/or their carer or guardian when applying information contained within the Clinical Care Standard. Consumers should use the information in the Clinical Care Standard as a guide to inform discussions with their health care professional about the applicability of the Clinical Care Standard to their individual condition.</w:t>
      </w:r>
    </w:p>
    <w:p w:rsidR="001423B0" w:rsidRDefault="001423B0" w:rsidP="001423B0">
      <w:pPr>
        <w:rPr>
          <w:rStyle w:val="grey"/>
          <w:sz w:val="16"/>
        </w:rPr>
      </w:pPr>
      <w:r>
        <w:rPr>
          <w:rStyle w:val="grey"/>
          <w:rFonts w:cs="Times New Roman"/>
        </w:rPr>
        <w:br w:type="page"/>
      </w:r>
    </w:p>
    <w:p w:rsidR="001423B0" w:rsidRDefault="001423B0" w:rsidP="001423B0">
      <w:pPr>
        <w:pStyle w:val="x01-heading-level-1"/>
        <w:rPr>
          <w:rStyle w:val="grey"/>
          <w:b w:val="0"/>
          <w:bCs w:val="0"/>
          <w:sz w:val="24"/>
          <w:szCs w:val="24"/>
        </w:rPr>
      </w:pPr>
      <w:bookmarkStart w:id="1" w:name="_Toc278988953"/>
      <w:r w:rsidRPr="00840528">
        <w:rPr>
          <w:rStyle w:val="grey"/>
          <w:rFonts w:cs="Times New Roman"/>
        </w:rPr>
        <w:lastRenderedPageBreak/>
        <w:t>Contents</w:t>
      </w:r>
      <w:bookmarkEnd w:id="1"/>
    </w:p>
    <w:p w:rsidR="001423B0" w:rsidRDefault="001423B0" w:rsidP="001423B0">
      <w:pPr>
        <w:pStyle w:val="x00-contents-body-with-underline"/>
        <w:spacing w:before="120" w:beforeAutospacing="0" w:after="120" w:afterAutospacing="0"/>
        <w:rPr>
          <w:noProof/>
          <w:sz w:val="24"/>
          <w:szCs w:val="24"/>
          <w:lang w:val="en-US" w:eastAsia="ja-JP"/>
        </w:rPr>
      </w:pPr>
      <w:r>
        <w:fldChar w:fldCharType="begin"/>
      </w:r>
      <w:r>
        <w:instrText xml:space="preserve"> TOC \t "x01-heading-level-1,1,heading-level-3-aqua,2" </w:instrText>
      </w:r>
      <w:r>
        <w:fldChar w:fldCharType="separate"/>
      </w:r>
      <w:r w:rsidRPr="005C2F55">
        <w:rPr>
          <w:noProof/>
        </w:rPr>
        <w:t>Acute Coronary Syndromes Clinical Care Standard</w:t>
      </w:r>
      <w:r>
        <w:rPr>
          <w:noProof/>
        </w:rPr>
        <w:tab/>
      </w:r>
      <w:r>
        <w:rPr>
          <w:noProof/>
        </w:rPr>
        <w:fldChar w:fldCharType="begin"/>
      </w:r>
      <w:r>
        <w:rPr>
          <w:noProof/>
        </w:rPr>
        <w:instrText xml:space="preserve"> PAGEREF _Toc278988954 \h </w:instrText>
      </w:r>
      <w:r>
        <w:rPr>
          <w:noProof/>
        </w:rPr>
      </w:r>
      <w:r>
        <w:rPr>
          <w:noProof/>
        </w:rPr>
        <w:fldChar w:fldCharType="separate"/>
      </w:r>
      <w:r w:rsidR="00756A75">
        <w:rPr>
          <w:noProof/>
        </w:rPr>
        <w:t>4</w:t>
      </w:r>
      <w:r>
        <w:rPr>
          <w:noProof/>
        </w:rPr>
        <w:fldChar w:fldCharType="end"/>
      </w:r>
    </w:p>
    <w:p w:rsidR="001423B0" w:rsidRDefault="001423B0" w:rsidP="001423B0">
      <w:pPr>
        <w:pStyle w:val="x00-contents-body-with-underline"/>
        <w:spacing w:before="120" w:beforeAutospacing="0" w:after="120" w:afterAutospacing="0"/>
        <w:rPr>
          <w:noProof/>
          <w:sz w:val="24"/>
          <w:szCs w:val="24"/>
          <w:lang w:val="en-US" w:eastAsia="ja-JP"/>
        </w:rPr>
      </w:pPr>
      <w:r w:rsidRPr="005C2F55">
        <w:rPr>
          <w:noProof/>
        </w:rPr>
        <w:t>Introduction</w:t>
      </w:r>
      <w:r>
        <w:rPr>
          <w:noProof/>
        </w:rPr>
        <w:tab/>
      </w:r>
      <w:r>
        <w:rPr>
          <w:noProof/>
        </w:rPr>
        <w:fldChar w:fldCharType="begin"/>
      </w:r>
      <w:r>
        <w:rPr>
          <w:noProof/>
        </w:rPr>
        <w:instrText xml:space="preserve"> PAGEREF _Toc278988955 \h </w:instrText>
      </w:r>
      <w:r>
        <w:rPr>
          <w:noProof/>
        </w:rPr>
      </w:r>
      <w:r>
        <w:rPr>
          <w:noProof/>
        </w:rPr>
        <w:fldChar w:fldCharType="separate"/>
      </w:r>
      <w:r w:rsidR="00756A75">
        <w:rPr>
          <w:noProof/>
        </w:rPr>
        <w:t>5</w:t>
      </w:r>
      <w:r>
        <w:rPr>
          <w:noProof/>
        </w:rPr>
        <w:fldChar w:fldCharType="end"/>
      </w:r>
    </w:p>
    <w:p w:rsidR="001423B0" w:rsidRDefault="001423B0" w:rsidP="001423B0">
      <w:pPr>
        <w:pStyle w:val="x00-contents-body-with-underline"/>
        <w:spacing w:before="120" w:beforeAutospacing="0" w:after="120" w:afterAutospacing="0"/>
        <w:rPr>
          <w:noProof/>
          <w:sz w:val="24"/>
          <w:szCs w:val="24"/>
          <w:lang w:val="en-US" w:eastAsia="ja-JP"/>
        </w:rPr>
      </w:pPr>
      <w:r w:rsidRPr="005C2F55">
        <w:rPr>
          <w:noProof/>
        </w:rPr>
        <w:t>Quality statement 1 – Immediate management</w:t>
      </w:r>
      <w:r>
        <w:rPr>
          <w:noProof/>
        </w:rPr>
        <w:tab/>
      </w:r>
      <w:r>
        <w:rPr>
          <w:noProof/>
        </w:rPr>
        <w:fldChar w:fldCharType="begin"/>
      </w:r>
      <w:r>
        <w:rPr>
          <w:noProof/>
        </w:rPr>
        <w:instrText xml:space="preserve"> PAGEREF _Toc278988956 \h </w:instrText>
      </w:r>
      <w:r>
        <w:rPr>
          <w:noProof/>
        </w:rPr>
      </w:r>
      <w:r>
        <w:rPr>
          <w:noProof/>
        </w:rPr>
        <w:fldChar w:fldCharType="separate"/>
      </w:r>
      <w:r w:rsidR="00756A75">
        <w:rPr>
          <w:noProof/>
        </w:rPr>
        <w:t>7</w:t>
      </w:r>
      <w:r>
        <w:rPr>
          <w:noProof/>
        </w:rPr>
        <w:fldChar w:fldCharType="end"/>
      </w:r>
    </w:p>
    <w:p w:rsidR="001423B0" w:rsidRDefault="001423B0" w:rsidP="001423B0">
      <w:pPr>
        <w:pStyle w:val="x00-contents-second-level"/>
        <w:rPr>
          <w:i/>
          <w:noProof/>
          <w:lang w:val="en-US" w:eastAsia="ja-JP"/>
        </w:rPr>
      </w:pPr>
      <w:r w:rsidRPr="00840528">
        <w:rPr>
          <w:noProof/>
          <w:sz w:val="20"/>
        </w:rPr>
        <w:t>Indicator 1a: Patients whose care is guided by a documented chest pain assessment pathway</w:t>
      </w:r>
      <w:r>
        <w:rPr>
          <w:noProof/>
        </w:rPr>
        <w:tab/>
      </w:r>
      <w:r>
        <w:rPr>
          <w:noProof/>
        </w:rPr>
        <w:fldChar w:fldCharType="begin"/>
      </w:r>
      <w:r>
        <w:rPr>
          <w:noProof/>
        </w:rPr>
        <w:instrText xml:space="preserve"> PAGEREF _Toc278988957 \h </w:instrText>
      </w:r>
      <w:r>
        <w:rPr>
          <w:noProof/>
        </w:rPr>
      </w:r>
      <w:r>
        <w:rPr>
          <w:noProof/>
        </w:rPr>
        <w:fldChar w:fldCharType="separate"/>
      </w:r>
      <w:r w:rsidR="00756A75">
        <w:rPr>
          <w:noProof/>
        </w:rPr>
        <w:t>7</w:t>
      </w:r>
      <w:r>
        <w:rPr>
          <w:noProof/>
        </w:rPr>
        <w:fldChar w:fldCharType="end"/>
      </w:r>
    </w:p>
    <w:p w:rsidR="001423B0" w:rsidRDefault="001423B0" w:rsidP="001423B0">
      <w:pPr>
        <w:pStyle w:val="x00-contents-body-with-underline"/>
        <w:spacing w:before="120" w:beforeAutospacing="0" w:after="120" w:afterAutospacing="0"/>
        <w:rPr>
          <w:noProof/>
          <w:sz w:val="24"/>
          <w:szCs w:val="24"/>
          <w:lang w:val="en-US" w:eastAsia="ja-JP"/>
        </w:rPr>
      </w:pPr>
      <w:r w:rsidRPr="005C2F55">
        <w:rPr>
          <w:noProof/>
        </w:rPr>
        <w:t>Quality statement 2 – Early assessment</w:t>
      </w:r>
      <w:r>
        <w:rPr>
          <w:noProof/>
        </w:rPr>
        <w:tab/>
      </w:r>
      <w:r>
        <w:rPr>
          <w:noProof/>
        </w:rPr>
        <w:fldChar w:fldCharType="begin"/>
      </w:r>
      <w:r>
        <w:rPr>
          <w:noProof/>
        </w:rPr>
        <w:instrText xml:space="preserve"> PAGEREF _Toc278988958 \h </w:instrText>
      </w:r>
      <w:r>
        <w:rPr>
          <w:noProof/>
        </w:rPr>
      </w:r>
      <w:r>
        <w:rPr>
          <w:noProof/>
        </w:rPr>
        <w:fldChar w:fldCharType="separate"/>
      </w:r>
      <w:r w:rsidR="00756A75">
        <w:rPr>
          <w:noProof/>
        </w:rPr>
        <w:t>9</w:t>
      </w:r>
      <w:r>
        <w:rPr>
          <w:noProof/>
        </w:rPr>
        <w:fldChar w:fldCharType="end"/>
      </w:r>
    </w:p>
    <w:p w:rsidR="001423B0" w:rsidRPr="00840528" w:rsidRDefault="001423B0" w:rsidP="001423B0">
      <w:pPr>
        <w:pStyle w:val="x00-contents-second-level"/>
        <w:rPr>
          <w:i/>
          <w:noProof/>
          <w:sz w:val="20"/>
          <w:lang w:val="en-US" w:eastAsia="ja-JP"/>
        </w:rPr>
      </w:pPr>
      <w:r w:rsidRPr="00840528">
        <w:rPr>
          <w:noProof/>
          <w:sz w:val="20"/>
        </w:rPr>
        <w:t>Indicators 2a: Ambulances equipped with 12-lead ECG</w:t>
      </w:r>
      <w:r w:rsidRPr="00840528">
        <w:rPr>
          <w:noProof/>
          <w:sz w:val="20"/>
        </w:rPr>
        <w:tab/>
      </w:r>
      <w:r w:rsidRPr="00840528">
        <w:rPr>
          <w:noProof/>
          <w:sz w:val="20"/>
        </w:rPr>
        <w:fldChar w:fldCharType="begin"/>
      </w:r>
      <w:r w:rsidRPr="00840528">
        <w:rPr>
          <w:noProof/>
          <w:sz w:val="20"/>
        </w:rPr>
        <w:instrText xml:space="preserve"> PAGEREF _Toc278988959 \h </w:instrText>
      </w:r>
      <w:r w:rsidRPr="00840528">
        <w:rPr>
          <w:noProof/>
          <w:sz w:val="20"/>
        </w:rPr>
      </w:r>
      <w:r w:rsidRPr="00840528">
        <w:rPr>
          <w:noProof/>
          <w:sz w:val="20"/>
        </w:rPr>
        <w:fldChar w:fldCharType="separate"/>
      </w:r>
      <w:r w:rsidR="00756A75">
        <w:rPr>
          <w:noProof/>
          <w:sz w:val="20"/>
        </w:rPr>
        <w:t>9</w:t>
      </w:r>
      <w:r w:rsidRPr="00840528">
        <w:rPr>
          <w:noProof/>
          <w:sz w:val="20"/>
        </w:rPr>
        <w:fldChar w:fldCharType="end"/>
      </w:r>
    </w:p>
    <w:p w:rsidR="001423B0" w:rsidRPr="00840528" w:rsidRDefault="001423B0" w:rsidP="001423B0">
      <w:pPr>
        <w:pStyle w:val="x00-contents-second-level"/>
        <w:rPr>
          <w:i/>
          <w:noProof/>
          <w:sz w:val="20"/>
          <w:lang w:val="en-US" w:eastAsia="ja-JP"/>
        </w:rPr>
      </w:pPr>
      <w:r w:rsidRPr="00840528">
        <w:rPr>
          <w:noProof/>
          <w:sz w:val="20"/>
        </w:rPr>
        <w:t>Indicator 2b: ECG performed within 10 minutes of arrival of ambulance</w:t>
      </w:r>
      <w:r w:rsidRPr="00840528">
        <w:rPr>
          <w:noProof/>
          <w:sz w:val="20"/>
        </w:rPr>
        <w:tab/>
      </w:r>
      <w:r w:rsidRPr="00840528">
        <w:rPr>
          <w:noProof/>
          <w:sz w:val="20"/>
        </w:rPr>
        <w:fldChar w:fldCharType="begin"/>
      </w:r>
      <w:r w:rsidRPr="00840528">
        <w:rPr>
          <w:noProof/>
          <w:sz w:val="20"/>
        </w:rPr>
        <w:instrText xml:space="preserve"> PAGEREF _Toc278988960 \h </w:instrText>
      </w:r>
      <w:r w:rsidRPr="00840528">
        <w:rPr>
          <w:noProof/>
          <w:sz w:val="20"/>
        </w:rPr>
      </w:r>
      <w:r w:rsidRPr="00840528">
        <w:rPr>
          <w:noProof/>
          <w:sz w:val="20"/>
        </w:rPr>
        <w:fldChar w:fldCharType="separate"/>
      </w:r>
      <w:r w:rsidR="00756A75">
        <w:rPr>
          <w:noProof/>
          <w:sz w:val="20"/>
        </w:rPr>
        <w:t>10</w:t>
      </w:r>
      <w:r w:rsidRPr="00840528">
        <w:rPr>
          <w:noProof/>
          <w:sz w:val="20"/>
        </w:rPr>
        <w:fldChar w:fldCharType="end"/>
      </w:r>
    </w:p>
    <w:p w:rsidR="001423B0" w:rsidRDefault="001423B0" w:rsidP="001423B0">
      <w:pPr>
        <w:pStyle w:val="x00-contents-second-level"/>
        <w:rPr>
          <w:i/>
          <w:noProof/>
          <w:lang w:val="en-US" w:eastAsia="ja-JP"/>
        </w:rPr>
      </w:pPr>
      <w:r w:rsidRPr="00840528">
        <w:rPr>
          <w:noProof/>
          <w:sz w:val="20"/>
        </w:rPr>
        <w:t>Indicator 2c: ECG performed and interpreted within 10 minutes of arrival to ED</w:t>
      </w:r>
      <w:r>
        <w:rPr>
          <w:noProof/>
        </w:rPr>
        <w:tab/>
      </w:r>
      <w:r w:rsidRPr="00840528">
        <w:rPr>
          <w:noProof/>
          <w:sz w:val="20"/>
        </w:rPr>
        <w:fldChar w:fldCharType="begin"/>
      </w:r>
      <w:r w:rsidRPr="00840528">
        <w:rPr>
          <w:noProof/>
          <w:sz w:val="20"/>
        </w:rPr>
        <w:instrText xml:space="preserve"> PAGEREF _Toc278988961 \h </w:instrText>
      </w:r>
      <w:r w:rsidRPr="00840528">
        <w:rPr>
          <w:noProof/>
          <w:sz w:val="20"/>
        </w:rPr>
      </w:r>
      <w:r w:rsidRPr="00840528">
        <w:rPr>
          <w:noProof/>
          <w:sz w:val="20"/>
        </w:rPr>
        <w:fldChar w:fldCharType="separate"/>
      </w:r>
      <w:r w:rsidR="00756A75">
        <w:rPr>
          <w:noProof/>
          <w:sz w:val="20"/>
        </w:rPr>
        <w:t>12</w:t>
      </w:r>
      <w:r w:rsidRPr="00840528">
        <w:rPr>
          <w:noProof/>
          <w:sz w:val="20"/>
        </w:rPr>
        <w:fldChar w:fldCharType="end"/>
      </w:r>
    </w:p>
    <w:p w:rsidR="001423B0" w:rsidRDefault="001423B0" w:rsidP="001423B0">
      <w:pPr>
        <w:pStyle w:val="x00-contents-body-with-underline"/>
        <w:spacing w:before="120" w:beforeAutospacing="0" w:after="120" w:afterAutospacing="0"/>
        <w:rPr>
          <w:noProof/>
          <w:sz w:val="24"/>
          <w:szCs w:val="24"/>
          <w:lang w:val="en-US" w:eastAsia="ja-JP"/>
        </w:rPr>
      </w:pPr>
      <w:r w:rsidRPr="005C2F55">
        <w:rPr>
          <w:noProof/>
        </w:rPr>
        <w:t>Quality statement 3 – Timely reperfusion</w:t>
      </w:r>
      <w:r>
        <w:rPr>
          <w:noProof/>
        </w:rPr>
        <w:tab/>
      </w:r>
      <w:r>
        <w:rPr>
          <w:noProof/>
        </w:rPr>
        <w:fldChar w:fldCharType="begin"/>
      </w:r>
      <w:r>
        <w:rPr>
          <w:noProof/>
        </w:rPr>
        <w:instrText xml:space="preserve"> PAGEREF _Toc278988962 \h </w:instrText>
      </w:r>
      <w:r>
        <w:rPr>
          <w:noProof/>
        </w:rPr>
      </w:r>
      <w:r>
        <w:rPr>
          <w:noProof/>
        </w:rPr>
        <w:fldChar w:fldCharType="separate"/>
      </w:r>
      <w:r w:rsidR="00756A75">
        <w:rPr>
          <w:noProof/>
        </w:rPr>
        <w:t>13</w:t>
      </w:r>
      <w:r>
        <w:rPr>
          <w:noProof/>
        </w:rPr>
        <w:fldChar w:fldCharType="end"/>
      </w:r>
    </w:p>
    <w:p w:rsidR="001423B0" w:rsidRPr="00840528" w:rsidRDefault="001423B0" w:rsidP="001423B0">
      <w:pPr>
        <w:pStyle w:val="x00-contents-second-level"/>
        <w:rPr>
          <w:i/>
          <w:noProof/>
          <w:sz w:val="20"/>
          <w:lang w:val="en-US" w:eastAsia="ja-JP"/>
        </w:rPr>
      </w:pPr>
      <w:r w:rsidRPr="00840528">
        <w:rPr>
          <w:noProof/>
          <w:sz w:val="20"/>
        </w:rPr>
        <w:t>Indicator 3a: STEMI patients receiving fibrinolysis or PCI</w:t>
      </w:r>
      <w:r w:rsidRPr="00840528">
        <w:rPr>
          <w:noProof/>
          <w:sz w:val="20"/>
        </w:rPr>
        <w:tab/>
      </w:r>
      <w:r w:rsidRPr="00840528">
        <w:rPr>
          <w:noProof/>
          <w:sz w:val="20"/>
        </w:rPr>
        <w:fldChar w:fldCharType="begin"/>
      </w:r>
      <w:r w:rsidRPr="00840528">
        <w:rPr>
          <w:noProof/>
          <w:sz w:val="20"/>
        </w:rPr>
        <w:instrText xml:space="preserve"> PAGEREF _Toc278988963 \h </w:instrText>
      </w:r>
      <w:r w:rsidRPr="00840528">
        <w:rPr>
          <w:noProof/>
          <w:sz w:val="20"/>
        </w:rPr>
      </w:r>
      <w:r w:rsidRPr="00840528">
        <w:rPr>
          <w:noProof/>
          <w:sz w:val="20"/>
        </w:rPr>
        <w:fldChar w:fldCharType="separate"/>
      </w:r>
      <w:r w:rsidR="00756A75">
        <w:rPr>
          <w:noProof/>
          <w:sz w:val="20"/>
        </w:rPr>
        <w:t>13</w:t>
      </w:r>
      <w:r w:rsidRPr="00840528">
        <w:rPr>
          <w:noProof/>
          <w:sz w:val="20"/>
        </w:rPr>
        <w:fldChar w:fldCharType="end"/>
      </w:r>
    </w:p>
    <w:p w:rsidR="001423B0" w:rsidRPr="00840528" w:rsidRDefault="001423B0" w:rsidP="001423B0">
      <w:pPr>
        <w:pStyle w:val="x00-contents-second-level"/>
        <w:rPr>
          <w:i/>
          <w:noProof/>
          <w:sz w:val="20"/>
          <w:lang w:val="en-US" w:eastAsia="ja-JP"/>
        </w:rPr>
      </w:pPr>
      <w:r w:rsidRPr="00840528">
        <w:rPr>
          <w:noProof/>
          <w:sz w:val="20"/>
        </w:rPr>
        <w:t>Indicator 3b: STEMI patients receiving fibrinolysis within 30 minutes of hospital arrival</w:t>
      </w:r>
      <w:r w:rsidRPr="00840528">
        <w:rPr>
          <w:noProof/>
          <w:sz w:val="20"/>
        </w:rPr>
        <w:tab/>
      </w:r>
      <w:r w:rsidRPr="00840528">
        <w:rPr>
          <w:noProof/>
          <w:sz w:val="20"/>
        </w:rPr>
        <w:fldChar w:fldCharType="begin"/>
      </w:r>
      <w:r w:rsidRPr="00840528">
        <w:rPr>
          <w:noProof/>
          <w:sz w:val="20"/>
        </w:rPr>
        <w:instrText xml:space="preserve"> PAGEREF _Toc278988964 \h </w:instrText>
      </w:r>
      <w:r w:rsidRPr="00840528">
        <w:rPr>
          <w:noProof/>
          <w:sz w:val="20"/>
        </w:rPr>
      </w:r>
      <w:r w:rsidRPr="00840528">
        <w:rPr>
          <w:noProof/>
          <w:sz w:val="20"/>
        </w:rPr>
        <w:fldChar w:fldCharType="separate"/>
      </w:r>
      <w:r w:rsidR="00756A75">
        <w:rPr>
          <w:noProof/>
          <w:sz w:val="20"/>
        </w:rPr>
        <w:t>15</w:t>
      </w:r>
      <w:r w:rsidRPr="00840528">
        <w:rPr>
          <w:noProof/>
          <w:sz w:val="20"/>
        </w:rPr>
        <w:fldChar w:fldCharType="end"/>
      </w:r>
    </w:p>
    <w:p w:rsidR="001423B0" w:rsidRPr="00840528" w:rsidRDefault="001423B0" w:rsidP="001423B0">
      <w:pPr>
        <w:pStyle w:val="x00-contents-second-level"/>
        <w:rPr>
          <w:i/>
          <w:noProof/>
          <w:sz w:val="20"/>
          <w:lang w:val="en-US" w:eastAsia="ja-JP"/>
        </w:rPr>
      </w:pPr>
      <w:r w:rsidRPr="00840528">
        <w:rPr>
          <w:noProof/>
          <w:sz w:val="20"/>
        </w:rPr>
        <w:t>Indicator 3c: PCI patients with STEMI with door-to-device within 90 minutes</w:t>
      </w:r>
      <w:r w:rsidRPr="00840528">
        <w:rPr>
          <w:noProof/>
          <w:sz w:val="20"/>
        </w:rPr>
        <w:tab/>
      </w:r>
      <w:r w:rsidRPr="00840528">
        <w:rPr>
          <w:noProof/>
          <w:sz w:val="20"/>
        </w:rPr>
        <w:fldChar w:fldCharType="begin"/>
      </w:r>
      <w:r w:rsidRPr="00840528">
        <w:rPr>
          <w:noProof/>
          <w:sz w:val="20"/>
        </w:rPr>
        <w:instrText xml:space="preserve"> PAGEREF _Toc278988965 \h </w:instrText>
      </w:r>
      <w:r w:rsidRPr="00840528">
        <w:rPr>
          <w:noProof/>
          <w:sz w:val="20"/>
        </w:rPr>
      </w:r>
      <w:r w:rsidRPr="00840528">
        <w:rPr>
          <w:noProof/>
          <w:sz w:val="20"/>
        </w:rPr>
        <w:fldChar w:fldCharType="separate"/>
      </w:r>
      <w:r w:rsidR="00756A75">
        <w:rPr>
          <w:noProof/>
          <w:sz w:val="20"/>
        </w:rPr>
        <w:t>17</w:t>
      </w:r>
      <w:r w:rsidRPr="00840528">
        <w:rPr>
          <w:noProof/>
          <w:sz w:val="20"/>
        </w:rPr>
        <w:fldChar w:fldCharType="end"/>
      </w:r>
    </w:p>
    <w:p w:rsidR="001423B0" w:rsidRDefault="001423B0" w:rsidP="001423B0">
      <w:pPr>
        <w:pStyle w:val="x00-contents-body-with-underline"/>
        <w:spacing w:before="120" w:beforeAutospacing="0" w:after="120" w:afterAutospacing="0"/>
        <w:rPr>
          <w:noProof/>
          <w:sz w:val="24"/>
          <w:szCs w:val="24"/>
          <w:lang w:val="en-US" w:eastAsia="ja-JP"/>
        </w:rPr>
      </w:pPr>
      <w:r w:rsidRPr="005C2F55">
        <w:rPr>
          <w:noProof/>
        </w:rPr>
        <w:t>Quality statement 4 – Risk stratification</w:t>
      </w:r>
      <w:r>
        <w:rPr>
          <w:noProof/>
        </w:rPr>
        <w:tab/>
      </w:r>
      <w:r>
        <w:rPr>
          <w:noProof/>
        </w:rPr>
        <w:fldChar w:fldCharType="begin"/>
      </w:r>
      <w:r>
        <w:rPr>
          <w:noProof/>
        </w:rPr>
        <w:instrText xml:space="preserve"> PAGEREF _Toc278988966 \h </w:instrText>
      </w:r>
      <w:r>
        <w:rPr>
          <w:noProof/>
        </w:rPr>
      </w:r>
      <w:r>
        <w:rPr>
          <w:noProof/>
        </w:rPr>
        <w:fldChar w:fldCharType="separate"/>
      </w:r>
      <w:r w:rsidR="00756A75">
        <w:rPr>
          <w:noProof/>
        </w:rPr>
        <w:t>19</w:t>
      </w:r>
      <w:r>
        <w:rPr>
          <w:noProof/>
        </w:rPr>
        <w:fldChar w:fldCharType="end"/>
      </w:r>
    </w:p>
    <w:p w:rsidR="001423B0" w:rsidRPr="00840528" w:rsidRDefault="001423B0" w:rsidP="001423B0">
      <w:pPr>
        <w:pStyle w:val="x00-contents-second-level"/>
        <w:rPr>
          <w:i/>
          <w:noProof/>
          <w:sz w:val="20"/>
          <w:lang w:val="en-US" w:eastAsia="ja-JP"/>
        </w:rPr>
      </w:pPr>
      <w:r w:rsidRPr="00840528">
        <w:rPr>
          <w:noProof/>
          <w:sz w:val="20"/>
        </w:rPr>
        <w:t>Indicator 4a: NSTEACS patients with documented assessment and risk stratification</w:t>
      </w:r>
      <w:r w:rsidRPr="00840528">
        <w:rPr>
          <w:noProof/>
          <w:sz w:val="20"/>
        </w:rPr>
        <w:tab/>
      </w:r>
      <w:r w:rsidRPr="00840528">
        <w:rPr>
          <w:noProof/>
          <w:sz w:val="20"/>
        </w:rPr>
        <w:fldChar w:fldCharType="begin"/>
      </w:r>
      <w:r w:rsidRPr="00840528">
        <w:rPr>
          <w:noProof/>
          <w:sz w:val="20"/>
        </w:rPr>
        <w:instrText xml:space="preserve"> PAGEREF _Toc278988967 \h </w:instrText>
      </w:r>
      <w:r w:rsidRPr="00840528">
        <w:rPr>
          <w:noProof/>
          <w:sz w:val="20"/>
        </w:rPr>
      </w:r>
      <w:r w:rsidRPr="00840528">
        <w:rPr>
          <w:noProof/>
          <w:sz w:val="20"/>
        </w:rPr>
        <w:fldChar w:fldCharType="separate"/>
      </w:r>
      <w:r w:rsidR="00756A75">
        <w:rPr>
          <w:noProof/>
          <w:sz w:val="20"/>
        </w:rPr>
        <w:t>19</w:t>
      </w:r>
      <w:r w:rsidRPr="00840528">
        <w:rPr>
          <w:noProof/>
          <w:sz w:val="20"/>
        </w:rPr>
        <w:fldChar w:fldCharType="end"/>
      </w:r>
    </w:p>
    <w:p w:rsidR="001423B0" w:rsidRPr="00840528" w:rsidRDefault="001423B0" w:rsidP="001423B0">
      <w:pPr>
        <w:pStyle w:val="x00-contents-second-level"/>
        <w:rPr>
          <w:i/>
          <w:noProof/>
          <w:sz w:val="20"/>
          <w:lang w:val="en-US" w:eastAsia="ja-JP"/>
        </w:rPr>
      </w:pPr>
      <w:r w:rsidRPr="00840528">
        <w:rPr>
          <w:noProof/>
          <w:sz w:val="20"/>
        </w:rPr>
        <w:t>Indicator 4b: NSTEACS transfer to hospital with angiography facilities</w:t>
      </w:r>
      <w:r w:rsidRPr="00840528">
        <w:rPr>
          <w:noProof/>
          <w:sz w:val="20"/>
        </w:rPr>
        <w:tab/>
      </w:r>
      <w:r w:rsidRPr="00840528">
        <w:rPr>
          <w:noProof/>
          <w:sz w:val="20"/>
        </w:rPr>
        <w:fldChar w:fldCharType="begin"/>
      </w:r>
      <w:r w:rsidRPr="00840528">
        <w:rPr>
          <w:noProof/>
          <w:sz w:val="20"/>
        </w:rPr>
        <w:instrText xml:space="preserve"> PAGEREF _Toc278988968 \h </w:instrText>
      </w:r>
      <w:r w:rsidRPr="00840528">
        <w:rPr>
          <w:noProof/>
          <w:sz w:val="20"/>
        </w:rPr>
      </w:r>
      <w:r w:rsidRPr="00840528">
        <w:rPr>
          <w:noProof/>
          <w:sz w:val="20"/>
        </w:rPr>
        <w:fldChar w:fldCharType="separate"/>
      </w:r>
      <w:r w:rsidR="00756A75">
        <w:rPr>
          <w:noProof/>
          <w:sz w:val="20"/>
        </w:rPr>
        <w:t>21</w:t>
      </w:r>
      <w:r w:rsidRPr="00840528">
        <w:rPr>
          <w:noProof/>
          <w:sz w:val="20"/>
        </w:rPr>
        <w:fldChar w:fldCharType="end"/>
      </w:r>
    </w:p>
    <w:p w:rsidR="001423B0" w:rsidRDefault="001423B0" w:rsidP="001423B0">
      <w:pPr>
        <w:pStyle w:val="x00-contents-body-with-underline"/>
        <w:spacing w:before="120" w:beforeAutospacing="0" w:after="120" w:afterAutospacing="0"/>
        <w:rPr>
          <w:noProof/>
          <w:sz w:val="24"/>
          <w:szCs w:val="24"/>
          <w:lang w:val="en-US" w:eastAsia="ja-JP"/>
        </w:rPr>
      </w:pPr>
      <w:r w:rsidRPr="005C2F55">
        <w:rPr>
          <w:noProof/>
        </w:rPr>
        <w:t>Quality statement 5 – Coronary angiography</w:t>
      </w:r>
      <w:r>
        <w:rPr>
          <w:noProof/>
        </w:rPr>
        <w:tab/>
      </w:r>
      <w:r>
        <w:rPr>
          <w:noProof/>
        </w:rPr>
        <w:fldChar w:fldCharType="begin"/>
      </w:r>
      <w:r>
        <w:rPr>
          <w:noProof/>
        </w:rPr>
        <w:instrText xml:space="preserve"> PAGEREF _Toc278988969 \h </w:instrText>
      </w:r>
      <w:r>
        <w:rPr>
          <w:noProof/>
        </w:rPr>
      </w:r>
      <w:r>
        <w:rPr>
          <w:noProof/>
        </w:rPr>
        <w:fldChar w:fldCharType="separate"/>
      </w:r>
      <w:r w:rsidR="00756A75">
        <w:rPr>
          <w:noProof/>
        </w:rPr>
        <w:t>23</w:t>
      </w:r>
      <w:r>
        <w:rPr>
          <w:noProof/>
        </w:rPr>
        <w:fldChar w:fldCharType="end"/>
      </w:r>
    </w:p>
    <w:p w:rsidR="001423B0" w:rsidRPr="00840528" w:rsidRDefault="001423B0" w:rsidP="001423B0">
      <w:pPr>
        <w:pStyle w:val="x00-contents-second-level"/>
        <w:rPr>
          <w:i/>
          <w:noProof/>
          <w:sz w:val="20"/>
          <w:lang w:val="en-US" w:eastAsia="ja-JP"/>
        </w:rPr>
      </w:pPr>
      <w:r w:rsidRPr="00840528">
        <w:rPr>
          <w:noProof/>
          <w:sz w:val="20"/>
        </w:rPr>
        <w:t>Indicator 5a: NSTEACS patients informed of the risks and benefits of coronary angiography</w:t>
      </w:r>
      <w:r w:rsidRPr="00840528">
        <w:rPr>
          <w:noProof/>
          <w:sz w:val="20"/>
        </w:rPr>
        <w:tab/>
      </w:r>
      <w:r w:rsidRPr="00840528">
        <w:rPr>
          <w:noProof/>
          <w:sz w:val="20"/>
        </w:rPr>
        <w:fldChar w:fldCharType="begin"/>
      </w:r>
      <w:r w:rsidRPr="00840528">
        <w:rPr>
          <w:noProof/>
          <w:sz w:val="20"/>
        </w:rPr>
        <w:instrText xml:space="preserve"> PAGEREF _Toc278988970 \h </w:instrText>
      </w:r>
      <w:r w:rsidRPr="00840528">
        <w:rPr>
          <w:noProof/>
          <w:sz w:val="20"/>
        </w:rPr>
      </w:r>
      <w:r w:rsidRPr="00840528">
        <w:rPr>
          <w:noProof/>
          <w:sz w:val="20"/>
        </w:rPr>
        <w:fldChar w:fldCharType="separate"/>
      </w:r>
      <w:r w:rsidR="00756A75">
        <w:rPr>
          <w:noProof/>
          <w:sz w:val="20"/>
        </w:rPr>
        <w:t>23</w:t>
      </w:r>
      <w:r w:rsidRPr="00840528">
        <w:rPr>
          <w:noProof/>
          <w:sz w:val="20"/>
        </w:rPr>
        <w:fldChar w:fldCharType="end"/>
      </w:r>
    </w:p>
    <w:p w:rsidR="001423B0" w:rsidRDefault="001423B0" w:rsidP="001423B0">
      <w:pPr>
        <w:pStyle w:val="x00-contents-body-with-underline"/>
        <w:spacing w:before="120" w:beforeAutospacing="0" w:after="120" w:afterAutospacing="0"/>
        <w:rPr>
          <w:noProof/>
          <w:sz w:val="24"/>
          <w:szCs w:val="24"/>
          <w:lang w:val="en-US" w:eastAsia="ja-JP"/>
        </w:rPr>
      </w:pPr>
      <w:r w:rsidRPr="005C2F55">
        <w:rPr>
          <w:noProof/>
        </w:rPr>
        <w:t>Quality statement 6 – Individualised care plan</w:t>
      </w:r>
      <w:r>
        <w:rPr>
          <w:noProof/>
        </w:rPr>
        <w:tab/>
      </w:r>
      <w:r>
        <w:rPr>
          <w:noProof/>
        </w:rPr>
        <w:fldChar w:fldCharType="begin"/>
      </w:r>
      <w:r>
        <w:rPr>
          <w:noProof/>
        </w:rPr>
        <w:instrText xml:space="preserve"> PAGEREF _Toc278988971 \h </w:instrText>
      </w:r>
      <w:r>
        <w:rPr>
          <w:noProof/>
        </w:rPr>
      </w:r>
      <w:r>
        <w:rPr>
          <w:noProof/>
        </w:rPr>
        <w:fldChar w:fldCharType="separate"/>
      </w:r>
      <w:r w:rsidR="00756A75">
        <w:rPr>
          <w:noProof/>
        </w:rPr>
        <w:t>25</w:t>
      </w:r>
      <w:r>
        <w:rPr>
          <w:noProof/>
        </w:rPr>
        <w:fldChar w:fldCharType="end"/>
      </w:r>
    </w:p>
    <w:p w:rsidR="001423B0" w:rsidRPr="00840528" w:rsidRDefault="001423B0" w:rsidP="001423B0">
      <w:pPr>
        <w:pStyle w:val="x00-contents-second-level"/>
        <w:rPr>
          <w:i/>
          <w:noProof/>
          <w:sz w:val="20"/>
          <w:lang w:val="en-US" w:eastAsia="ja-JP"/>
        </w:rPr>
      </w:pPr>
      <w:r w:rsidRPr="00840528">
        <w:rPr>
          <w:noProof/>
          <w:sz w:val="20"/>
        </w:rPr>
        <w:t>Indicator 6a: ACS patients with an individualised care plan</w:t>
      </w:r>
      <w:r w:rsidRPr="00840528">
        <w:rPr>
          <w:noProof/>
          <w:sz w:val="20"/>
        </w:rPr>
        <w:tab/>
      </w:r>
      <w:r w:rsidRPr="00840528">
        <w:rPr>
          <w:noProof/>
          <w:sz w:val="20"/>
        </w:rPr>
        <w:fldChar w:fldCharType="begin"/>
      </w:r>
      <w:r w:rsidRPr="00840528">
        <w:rPr>
          <w:noProof/>
          <w:sz w:val="20"/>
        </w:rPr>
        <w:instrText xml:space="preserve"> PAGEREF _Toc278988972 \h </w:instrText>
      </w:r>
      <w:r w:rsidRPr="00840528">
        <w:rPr>
          <w:noProof/>
          <w:sz w:val="20"/>
        </w:rPr>
      </w:r>
      <w:r w:rsidRPr="00840528">
        <w:rPr>
          <w:noProof/>
          <w:sz w:val="20"/>
        </w:rPr>
        <w:fldChar w:fldCharType="separate"/>
      </w:r>
      <w:r w:rsidR="00756A75">
        <w:rPr>
          <w:noProof/>
          <w:sz w:val="20"/>
        </w:rPr>
        <w:t>25</w:t>
      </w:r>
      <w:r w:rsidRPr="00840528">
        <w:rPr>
          <w:noProof/>
          <w:sz w:val="20"/>
        </w:rPr>
        <w:fldChar w:fldCharType="end"/>
      </w:r>
    </w:p>
    <w:p w:rsidR="001423B0" w:rsidRPr="00840528" w:rsidRDefault="001423B0" w:rsidP="001423B0">
      <w:pPr>
        <w:pStyle w:val="x00-contents-second-level"/>
        <w:rPr>
          <w:i/>
          <w:noProof/>
          <w:sz w:val="20"/>
          <w:lang w:val="en-US" w:eastAsia="ja-JP"/>
        </w:rPr>
      </w:pPr>
      <w:r w:rsidRPr="00840528">
        <w:rPr>
          <w:noProof/>
          <w:sz w:val="20"/>
        </w:rPr>
        <w:t>Indicator 6b: Patients discharged on aspirin or dual antiplatelet therapy</w:t>
      </w:r>
      <w:r w:rsidRPr="00840528">
        <w:rPr>
          <w:noProof/>
          <w:sz w:val="20"/>
        </w:rPr>
        <w:tab/>
      </w:r>
      <w:r w:rsidRPr="00840528">
        <w:rPr>
          <w:noProof/>
          <w:sz w:val="20"/>
        </w:rPr>
        <w:fldChar w:fldCharType="begin"/>
      </w:r>
      <w:r w:rsidRPr="00840528">
        <w:rPr>
          <w:noProof/>
          <w:sz w:val="20"/>
        </w:rPr>
        <w:instrText xml:space="preserve"> PAGEREF _Toc278988973 \h </w:instrText>
      </w:r>
      <w:r w:rsidRPr="00840528">
        <w:rPr>
          <w:noProof/>
          <w:sz w:val="20"/>
        </w:rPr>
      </w:r>
      <w:r w:rsidRPr="00840528">
        <w:rPr>
          <w:noProof/>
          <w:sz w:val="20"/>
        </w:rPr>
        <w:fldChar w:fldCharType="separate"/>
      </w:r>
      <w:r w:rsidR="00756A75">
        <w:rPr>
          <w:noProof/>
          <w:sz w:val="20"/>
        </w:rPr>
        <w:t>27</w:t>
      </w:r>
      <w:r w:rsidRPr="00840528">
        <w:rPr>
          <w:noProof/>
          <w:sz w:val="20"/>
        </w:rPr>
        <w:fldChar w:fldCharType="end"/>
      </w:r>
    </w:p>
    <w:p w:rsidR="001423B0" w:rsidRPr="00840528" w:rsidRDefault="001423B0" w:rsidP="001423B0">
      <w:pPr>
        <w:pStyle w:val="x00-contents-second-level"/>
        <w:rPr>
          <w:i/>
          <w:noProof/>
          <w:sz w:val="20"/>
          <w:lang w:val="en-US" w:eastAsia="ja-JP"/>
        </w:rPr>
      </w:pPr>
      <w:r w:rsidRPr="00840528">
        <w:rPr>
          <w:noProof/>
          <w:sz w:val="20"/>
        </w:rPr>
        <w:t>Indicator 6c: Patients discharged on lipid lowering therapy</w:t>
      </w:r>
      <w:r w:rsidRPr="00840528">
        <w:rPr>
          <w:noProof/>
          <w:sz w:val="20"/>
        </w:rPr>
        <w:tab/>
      </w:r>
      <w:r w:rsidRPr="00840528">
        <w:rPr>
          <w:noProof/>
          <w:sz w:val="20"/>
        </w:rPr>
        <w:fldChar w:fldCharType="begin"/>
      </w:r>
      <w:r w:rsidRPr="00840528">
        <w:rPr>
          <w:noProof/>
          <w:sz w:val="20"/>
        </w:rPr>
        <w:instrText xml:space="preserve"> PAGEREF _Toc278988974 \h </w:instrText>
      </w:r>
      <w:r w:rsidRPr="00840528">
        <w:rPr>
          <w:noProof/>
          <w:sz w:val="20"/>
        </w:rPr>
      </w:r>
      <w:r w:rsidRPr="00840528">
        <w:rPr>
          <w:noProof/>
          <w:sz w:val="20"/>
        </w:rPr>
        <w:fldChar w:fldCharType="separate"/>
      </w:r>
      <w:r w:rsidR="00756A75">
        <w:rPr>
          <w:noProof/>
          <w:sz w:val="20"/>
        </w:rPr>
        <w:t>29</w:t>
      </w:r>
      <w:r w:rsidRPr="00840528">
        <w:rPr>
          <w:noProof/>
          <w:sz w:val="20"/>
        </w:rPr>
        <w:fldChar w:fldCharType="end"/>
      </w:r>
    </w:p>
    <w:p w:rsidR="001423B0" w:rsidRPr="00840528" w:rsidRDefault="001423B0" w:rsidP="001423B0">
      <w:pPr>
        <w:pStyle w:val="x00-contents-second-level"/>
        <w:rPr>
          <w:i/>
          <w:noProof/>
          <w:sz w:val="20"/>
          <w:lang w:val="en-US" w:eastAsia="ja-JP"/>
        </w:rPr>
      </w:pPr>
      <w:r w:rsidRPr="00840528">
        <w:rPr>
          <w:noProof/>
          <w:sz w:val="20"/>
        </w:rPr>
        <w:t>Indicator 6d: Patients referred to cardiac rehabilitation or other secondary prevention program</w:t>
      </w:r>
      <w:r w:rsidRPr="00840528">
        <w:rPr>
          <w:noProof/>
          <w:sz w:val="20"/>
        </w:rPr>
        <w:tab/>
      </w:r>
      <w:r w:rsidRPr="00840528">
        <w:rPr>
          <w:noProof/>
          <w:sz w:val="20"/>
        </w:rPr>
        <w:fldChar w:fldCharType="begin"/>
      </w:r>
      <w:r w:rsidRPr="00840528">
        <w:rPr>
          <w:noProof/>
          <w:sz w:val="20"/>
        </w:rPr>
        <w:instrText xml:space="preserve"> PAGEREF _Toc278988975 \h </w:instrText>
      </w:r>
      <w:r w:rsidRPr="00840528">
        <w:rPr>
          <w:noProof/>
          <w:sz w:val="20"/>
        </w:rPr>
      </w:r>
      <w:r w:rsidRPr="00840528">
        <w:rPr>
          <w:noProof/>
          <w:sz w:val="20"/>
        </w:rPr>
        <w:fldChar w:fldCharType="separate"/>
      </w:r>
      <w:r w:rsidR="00756A75">
        <w:rPr>
          <w:noProof/>
          <w:sz w:val="20"/>
        </w:rPr>
        <w:t>31</w:t>
      </w:r>
      <w:r w:rsidRPr="00840528">
        <w:rPr>
          <w:noProof/>
          <w:sz w:val="20"/>
        </w:rPr>
        <w:fldChar w:fldCharType="end"/>
      </w:r>
    </w:p>
    <w:p w:rsidR="001423B0" w:rsidRPr="00840528" w:rsidRDefault="001423B0" w:rsidP="001423B0">
      <w:pPr>
        <w:pStyle w:val="x00-contents-second-level"/>
        <w:rPr>
          <w:i/>
          <w:noProof/>
          <w:sz w:val="20"/>
          <w:lang w:val="en-US" w:eastAsia="ja-JP"/>
        </w:rPr>
      </w:pPr>
      <w:r w:rsidRPr="00840528">
        <w:rPr>
          <w:noProof/>
          <w:sz w:val="20"/>
        </w:rPr>
        <w:t>Indicator 6e: Discharge summary provided to general practitioner or ongoing clinical provider within 48 hours of discharge</w:t>
      </w:r>
      <w:r w:rsidRPr="00840528">
        <w:rPr>
          <w:noProof/>
          <w:sz w:val="20"/>
        </w:rPr>
        <w:tab/>
      </w:r>
      <w:r w:rsidRPr="00840528">
        <w:rPr>
          <w:noProof/>
          <w:sz w:val="20"/>
        </w:rPr>
        <w:fldChar w:fldCharType="begin"/>
      </w:r>
      <w:r w:rsidRPr="00840528">
        <w:rPr>
          <w:noProof/>
          <w:sz w:val="20"/>
        </w:rPr>
        <w:instrText xml:space="preserve"> PAGEREF _Toc278988976 \h </w:instrText>
      </w:r>
      <w:r w:rsidRPr="00840528">
        <w:rPr>
          <w:noProof/>
          <w:sz w:val="20"/>
        </w:rPr>
      </w:r>
      <w:r w:rsidRPr="00840528">
        <w:rPr>
          <w:noProof/>
          <w:sz w:val="20"/>
        </w:rPr>
        <w:fldChar w:fldCharType="separate"/>
      </w:r>
      <w:r w:rsidR="00756A75">
        <w:rPr>
          <w:noProof/>
          <w:sz w:val="20"/>
        </w:rPr>
        <w:t>33</w:t>
      </w:r>
      <w:r w:rsidRPr="00840528">
        <w:rPr>
          <w:noProof/>
          <w:sz w:val="20"/>
        </w:rPr>
        <w:fldChar w:fldCharType="end"/>
      </w:r>
    </w:p>
    <w:p w:rsidR="001423B0" w:rsidRDefault="001423B0" w:rsidP="001423B0">
      <w:pPr>
        <w:pStyle w:val="x00-contents-body-with-underline"/>
        <w:spacing w:before="120" w:beforeAutospacing="0" w:after="120" w:afterAutospacing="0"/>
        <w:rPr>
          <w:noProof/>
          <w:sz w:val="24"/>
          <w:szCs w:val="24"/>
          <w:lang w:val="en-US" w:eastAsia="ja-JP"/>
        </w:rPr>
      </w:pPr>
      <w:r w:rsidRPr="005C2F55">
        <w:rPr>
          <w:rFonts w:cs="Times New Roman"/>
          <w:noProof/>
        </w:rPr>
        <w:t>Indicators of effectiveness</w:t>
      </w:r>
      <w:r>
        <w:rPr>
          <w:noProof/>
        </w:rPr>
        <w:tab/>
      </w:r>
      <w:r>
        <w:rPr>
          <w:noProof/>
        </w:rPr>
        <w:fldChar w:fldCharType="begin"/>
      </w:r>
      <w:r>
        <w:rPr>
          <w:noProof/>
        </w:rPr>
        <w:instrText xml:space="preserve"> PAGEREF _Toc278988977 \h </w:instrText>
      </w:r>
      <w:r>
        <w:rPr>
          <w:noProof/>
        </w:rPr>
      </w:r>
      <w:r>
        <w:rPr>
          <w:noProof/>
        </w:rPr>
        <w:fldChar w:fldCharType="separate"/>
      </w:r>
      <w:r w:rsidR="00756A75">
        <w:rPr>
          <w:noProof/>
        </w:rPr>
        <w:t>34</w:t>
      </w:r>
      <w:r>
        <w:rPr>
          <w:noProof/>
        </w:rPr>
        <w:fldChar w:fldCharType="end"/>
      </w:r>
    </w:p>
    <w:p w:rsidR="001423B0" w:rsidRDefault="001423B0" w:rsidP="001423B0">
      <w:pPr>
        <w:pStyle w:val="x01-heading-level-1"/>
        <w:rPr>
          <w:rFonts w:cs="Times New Roman"/>
        </w:rPr>
      </w:pPr>
      <w:r>
        <w:rPr>
          <w:rFonts w:cs="Times New Roman"/>
          <w:color w:val="4D4F4D"/>
        </w:rPr>
        <w:fldChar w:fldCharType="end"/>
      </w:r>
      <w:bookmarkStart w:id="2" w:name="_Toc278988954"/>
      <w:r>
        <w:br w:type="page"/>
      </w:r>
      <w:r>
        <w:rPr>
          <w:rFonts w:cs="Times New Roman"/>
        </w:rPr>
        <w:lastRenderedPageBreak/>
        <w:t xml:space="preserve">Acute Coronary </w:t>
      </w:r>
      <w:r w:rsidRPr="001F0305">
        <w:rPr>
          <w:rFonts w:cs="Times New Roman"/>
        </w:rPr>
        <w:t>Syndromes</w:t>
      </w:r>
      <w:r>
        <w:rPr>
          <w:rFonts w:cs="Times New Roman"/>
        </w:rPr>
        <w:t xml:space="preserve"> Clinical Care Standard</w:t>
      </w:r>
      <w:bookmarkEnd w:id="2"/>
    </w:p>
    <w:tbl>
      <w:tblPr>
        <w:tblW w:w="10178" w:type="dxa"/>
        <w:tblBorders>
          <w:top w:val="dotted" w:sz="12" w:space="0" w:color="716F6E"/>
          <w:bottom w:val="dotted" w:sz="12" w:space="0" w:color="716F6E"/>
          <w:insideH w:val="dotted" w:sz="12" w:space="0" w:color="716F6E"/>
        </w:tblBorders>
        <w:tblCellMar>
          <w:left w:w="113" w:type="dxa"/>
          <w:right w:w="113" w:type="dxa"/>
        </w:tblCellMar>
        <w:tblLook w:val="04A0" w:firstRow="1" w:lastRow="0" w:firstColumn="1" w:lastColumn="0" w:noHBand="0" w:noVBand="1"/>
      </w:tblPr>
      <w:tblGrid>
        <w:gridCol w:w="1186"/>
        <w:gridCol w:w="8992"/>
      </w:tblGrid>
      <w:tr w:rsidR="001423B0" w:rsidTr="00CA1A7A">
        <w:trPr>
          <w:trHeight w:val="1341"/>
        </w:trPr>
        <w:tc>
          <w:tcPr>
            <w:tcW w:w="0" w:type="auto"/>
            <w:vAlign w:val="center"/>
          </w:tcPr>
          <w:p w:rsidR="001423B0" w:rsidRDefault="001423B0" w:rsidP="00CA1A7A">
            <w:pPr>
              <w:pStyle w:val="x02-body-copy"/>
              <w:spacing w:before="0" w:after="0"/>
              <w:rPr>
                <w:rFonts w:cs="Times New Roman"/>
              </w:rPr>
            </w:pPr>
            <w:r>
              <w:rPr>
                <w:rFonts w:cs="Times New Roman"/>
                <w:noProof/>
                <w:lang w:eastAsia="en-AU"/>
              </w:rPr>
              <w:drawing>
                <wp:anchor distT="0" distB="0" distL="114300" distR="114300" simplePos="0" relativeHeight="251661312" behindDoc="0" locked="0" layoutInCell="1" allowOverlap="1" wp14:anchorId="62B6C31C" wp14:editId="186801F6">
                  <wp:simplePos x="0" y="0"/>
                  <wp:positionH relativeFrom="column">
                    <wp:posOffset>76200</wp:posOffset>
                  </wp:positionH>
                  <wp:positionV relativeFrom="paragraph">
                    <wp:posOffset>-407670</wp:posOffset>
                  </wp:positionV>
                  <wp:extent cx="604520" cy="604520"/>
                  <wp:effectExtent l="0" t="0" r="5080" b="5080"/>
                  <wp:wrapSquare wrapText="bothSides"/>
                  <wp:docPr id="26" name="Picture 26" descr="Logo - heart" title="Quality statement 1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a:ln>
                            <a:noFill/>
                          </a:ln>
                        </pic:spPr>
                      </pic:pic>
                    </a:graphicData>
                  </a:graphic>
                </wp:anchor>
              </w:drawing>
            </w:r>
          </w:p>
        </w:tc>
        <w:tc>
          <w:tcPr>
            <w:tcW w:w="8992" w:type="dxa"/>
            <w:vAlign w:val="center"/>
          </w:tcPr>
          <w:p w:rsidR="001423B0" w:rsidRDefault="001423B0" w:rsidP="00CA1A7A">
            <w:pPr>
              <w:pStyle w:val="x02-intro"/>
              <w:spacing w:before="0" w:after="0"/>
              <w:ind w:left="232" w:hanging="232"/>
              <w:rPr>
                <w:rFonts w:cs="Times New Roman"/>
              </w:rPr>
            </w:pPr>
            <w:r>
              <w:rPr>
                <w:rStyle w:val="x02-gotham-bold--figures-"/>
                <w:rFonts w:cs="Times New Roman"/>
              </w:rPr>
              <w:t>1</w:t>
            </w:r>
            <w:r>
              <w:rPr>
                <w:rFonts w:cs="Times New Roman"/>
              </w:rPr>
              <w:t xml:space="preserve"> A patient presenting with acute chest pain or other symptoms suggestive of an acute coronary syndrome receives care guided by a documented chest pain assessment pathway.</w:t>
            </w:r>
          </w:p>
        </w:tc>
      </w:tr>
      <w:tr w:rsidR="001423B0" w:rsidTr="00CA1A7A">
        <w:tc>
          <w:tcPr>
            <w:tcW w:w="0" w:type="auto"/>
            <w:vAlign w:val="center"/>
          </w:tcPr>
          <w:p w:rsidR="001423B0" w:rsidRDefault="001423B0" w:rsidP="00CA1A7A">
            <w:pPr>
              <w:pStyle w:val="x02-body-copy"/>
              <w:rPr>
                <w:rFonts w:cs="Times New Roman"/>
              </w:rPr>
            </w:pPr>
            <w:r>
              <w:rPr>
                <w:rFonts w:cs="Times New Roman"/>
                <w:noProof/>
                <w:lang w:eastAsia="en-AU"/>
              </w:rPr>
              <w:drawing>
                <wp:anchor distT="0" distB="0" distL="114300" distR="114300" simplePos="0" relativeHeight="251662336" behindDoc="0" locked="0" layoutInCell="1" allowOverlap="1" wp14:anchorId="34D64C8B" wp14:editId="1C434325">
                  <wp:simplePos x="0" y="0"/>
                  <wp:positionH relativeFrom="column">
                    <wp:posOffset>76200</wp:posOffset>
                  </wp:positionH>
                  <wp:positionV relativeFrom="paragraph">
                    <wp:posOffset>-407035</wp:posOffset>
                  </wp:positionV>
                  <wp:extent cx="604520" cy="604520"/>
                  <wp:effectExtent l="0" t="0" r="5080" b="5080"/>
                  <wp:wrapSquare wrapText="bothSides"/>
                  <wp:docPr id="29" name="Picture 29" descr="Logo - heart " title="Quality statement 1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a:ln>
                            <a:noFill/>
                          </a:ln>
                        </pic:spPr>
                      </pic:pic>
                    </a:graphicData>
                  </a:graphic>
                </wp:anchor>
              </w:drawing>
            </w:r>
          </w:p>
        </w:tc>
        <w:tc>
          <w:tcPr>
            <w:tcW w:w="8992" w:type="dxa"/>
            <w:vAlign w:val="center"/>
          </w:tcPr>
          <w:p w:rsidR="001423B0" w:rsidRDefault="001423B0" w:rsidP="00CA1A7A">
            <w:pPr>
              <w:pStyle w:val="x02-intro"/>
              <w:ind w:left="232" w:hanging="232"/>
              <w:rPr>
                <w:rFonts w:cs="Times New Roman"/>
              </w:rPr>
            </w:pPr>
            <w:r>
              <w:rPr>
                <w:rStyle w:val="x02-gotham-bold--figures-"/>
                <w:rFonts w:cs="Times New Roman"/>
              </w:rPr>
              <w:t>2</w:t>
            </w:r>
            <w:r>
              <w:rPr>
                <w:rFonts w:cs="Times New Roman"/>
              </w:rPr>
              <w:t xml:space="preserve"> A patient with acute chest pain or other symptoms suggestive of an acute coronary syndrome receives a 12-lead electrocardiogram (ECG) and the results are analysed by a clinician experienced in interpreting an ECG within 10 minutes of the first emergency clinical contact.</w:t>
            </w:r>
          </w:p>
        </w:tc>
      </w:tr>
      <w:tr w:rsidR="001423B0" w:rsidTr="00CA1A7A">
        <w:tc>
          <w:tcPr>
            <w:tcW w:w="0" w:type="auto"/>
            <w:vAlign w:val="center"/>
          </w:tcPr>
          <w:p w:rsidR="001423B0" w:rsidRDefault="001423B0" w:rsidP="00CA1A7A">
            <w:pPr>
              <w:pStyle w:val="x02-body-copy"/>
              <w:rPr>
                <w:rFonts w:cs="Times New Roman"/>
              </w:rPr>
            </w:pPr>
            <w:r>
              <w:rPr>
                <w:rFonts w:cs="Times New Roman"/>
                <w:noProof/>
                <w:lang w:eastAsia="en-AU"/>
              </w:rPr>
              <w:drawing>
                <wp:anchor distT="0" distB="0" distL="114300" distR="114300" simplePos="0" relativeHeight="251663360" behindDoc="0" locked="0" layoutInCell="1" allowOverlap="1" wp14:anchorId="4F9BD57C" wp14:editId="2859D79B">
                  <wp:simplePos x="0" y="0"/>
                  <wp:positionH relativeFrom="column">
                    <wp:posOffset>76200</wp:posOffset>
                  </wp:positionH>
                  <wp:positionV relativeFrom="paragraph">
                    <wp:posOffset>-407670</wp:posOffset>
                  </wp:positionV>
                  <wp:extent cx="604520" cy="604520"/>
                  <wp:effectExtent l="0" t="0" r="0" b="5080"/>
                  <wp:wrapSquare wrapText="bothSides"/>
                  <wp:docPr id="32" name="Picture 32" descr="Logo - stethoscope" title="Quality statement 3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a:ln>
                            <a:noFill/>
                          </a:ln>
                        </pic:spPr>
                      </pic:pic>
                    </a:graphicData>
                  </a:graphic>
                </wp:anchor>
              </w:drawing>
            </w:r>
          </w:p>
        </w:tc>
        <w:tc>
          <w:tcPr>
            <w:tcW w:w="8992" w:type="dxa"/>
            <w:vAlign w:val="center"/>
          </w:tcPr>
          <w:p w:rsidR="001423B0" w:rsidRDefault="001423B0" w:rsidP="00CA1A7A">
            <w:pPr>
              <w:pStyle w:val="x02-intro-b4-bullet"/>
              <w:ind w:left="232" w:hanging="232"/>
              <w:rPr>
                <w:rFonts w:cs="Times New Roman"/>
              </w:rPr>
            </w:pPr>
            <w:r>
              <w:rPr>
                <w:rStyle w:val="x02-gotham-bold--figures-"/>
                <w:rFonts w:cs="Times New Roman"/>
              </w:rPr>
              <w:t>3</w:t>
            </w:r>
            <w:r>
              <w:rPr>
                <w:rFonts w:cs="Times New Roman"/>
              </w:rPr>
              <w:t xml:space="preserve"> A patient with an acute ST-segment-elevation myocardial infarction (STEMI), for whom emergency reperfusion is clinically appropriate, is offered timely percutaneous coronary intervention (PCI) or fibrinolysis in accordance with the time frames recommended in the current National Heart Foundation of Australia/Cardiac Society of Australia and New Zealand </w:t>
            </w:r>
            <w:r>
              <w:rPr>
                <w:rStyle w:val="x02-intro-italic"/>
                <w:rFonts w:cs="Times New Roman"/>
              </w:rPr>
              <w:t>Guidelines for the Management of Acute Coronary </w:t>
            </w:r>
            <w:proofErr w:type="spellStart"/>
            <w:r>
              <w:rPr>
                <w:rStyle w:val="x02-intro-italic"/>
                <w:rFonts w:cs="Times New Roman"/>
              </w:rPr>
              <w:t>Syndromes</w:t>
            </w:r>
            <w:r>
              <w:rPr>
                <w:rFonts w:cs="Times New Roman"/>
              </w:rPr>
              <w:t>.</w:t>
            </w:r>
            <w:r>
              <w:rPr>
                <w:rStyle w:val="x02-body-superscript"/>
                <w:rFonts w:cs="Times New Roman"/>
              </w:rPr>
              <w:t>a</w:t>
            </w:r>
            <w:proofErr w:type="spellEnd"/>
          </w:p>
          <w:p w:rsidR="001423B0" w:rsidRDefault="001423B0" w:rsidP="00CA1A7A">
            <w:pPr>
              <w:pStyle w:val="x02-intro"/>
              <w:ind w:left="232"/>
              <w:rPr>
                <w:rFonts w:cs="Times New Roman"/>
              </w:rPr>
            </w:pPr>
            <w:r>
              <w:rPr>
                <w:rFonts w:cs="Times New Roman"/>
              </w:rPr>
              <w:t xml:space="preserve">In general, primary PCI is recommended if the time from first medical contact to balloon inflation is anticipated to be less than 90 minutes, otherwise the patient is offered fibrinolysis. </w:t>
            </w:r>
          </w:p>
        </w:tc>
      </w:tr>
      <w:tr w:rsidR="001423B0" w:rsidTr="00CA1A7A">
        <w:tc>
          <w:tcPr>
            <w:tcW w:w="0" w:type="auto"/>
            <w:vAlign w:val="center"/>
          </w:tcPr>
          <w:p w:rsidR="001423B0" w:rsidRDefault="001423B0" w:rsidP="00CA1A7A">
            <w:pPr>
              <w:pStyle w:val="x02-body-copy"/>
              <w:rPr>
                <w:rFonts w:cs="Times New Roman"/>
              </w:rPr>
            </w:pPr>
            <w:r>
              <w:rPr>
                <w:rFonts w:cs="Times New Roman"/>
                <w:noProof/>
                <w:lang w:eastAsia="en-AU"/>
              </w:rPr>
              <w:drawing>
                <wp:anchor distT="0" distB="0" distL="114300" distR="114300" simplePos="0" relativeHeight="251664384" behindDoc="0" locked="0" layoutInCell="1" allowOverlap="1" wp14:anchorId="3D9B0985" wp14:editId="7FC91552">
                  <wp:simplePos x="0" y="0"/>
                  <wp:positionH relativeFrom="column">
                    <wp:posOffset>76200</wp:posOffset>
                  </wp:positionH>
                  <wp:positionV relativeFrom="paragraph">
                    <wp:posOffset>-407670</wp:posOffset>
                  </wp:positionV>
                  <wp:extent cx="604520" cy="604520"/>
                  <wp:effectExtent l="0" t="0" r="5080" b="5080"/>
                  <wp:wrapSquare wrapText="bothSides"/>
                  <wp:docPr id="35" name="Picture 35" descr="Logo - written assessment" title="Quality statement 4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a:ln>
                            <a:noFill/>
                          </a:ln>
                        </pic:spPr>
                      </pic:pic>
                    </a:graphicData>
                  </a:graphic>
                </wp:anchor>
              </w:drawing>
            </w:r>
          </w:p>
        </w:tc>
        <w:tc>
          <w:tcPr>
            <w:tcW w:w="8992" w:type="dxa"/>
            <w:vAlign w:val="center"/>
          </w:tcPr>
          <w:p w:rsidR="001423B0" w:rsidRDefault="001423B0" w:rsidP="00CA1A7A">
            <w:pPr>
              <w:pStyle w:val="x02-intro"/>
              <w:ind w:left="232" w:hanging="232"/>
              <w:rPr>
                <w:rFonts w:cs="Times New Roman"/>
              </w:rPr>
            </w:pPr>
            <w:r>
              <w:rPr>
                <w:rStyle w:val="x02-gotham-bold--figures-"/>
                <w:rFonts w:cs="Times New Roman"/>
              </w:rPr>
              <w:t>4</w:t>
            </w:r>
            <w:r>
              <w:rPr>
                <w:rFonts w:cs="Times New Roman"/>
              </w:rPr>
              <w:t xml:space="preserve"> A patient with a non-ST-segment-elevation acute coronary syndrome (NSTEACS) is managed based on a documented, evidence-based assessment of their risk of an adverse event.</w:t>
            </w:r>
          </w:p>
        </w:tc>
      </w:tr>
      <w:tr w:rsidR="001423B0" w:rsidTr="00CA1A7A">
        <w:tc>
          <w:tcPr>
            <w:tcW w:w="0" w:type="auto"/>
            <w:vAlign w:val="center"/>
          </w:tcPr>
          <w:p w:rsidR="001423B0" w:rsidRDefault="001423B0" w:rsidP="00CA1A7A">
            <w:pPr>
              <w:pStyle w:val="x02-body-copy"/>
              <w:rPr>
                <w:rFonts w:cs="Times New Roman"/>
              </w:rPr>
            </w:pPr>
            <w:r>
              <w:rPr>
                <w:rFonts w:cs="Times New Roman"/>
                <w:noProof/>
                <w:lang w:eastAsia="en-AU"/>
              </w:rPr>
              <w:drawing>
                <wp:anchor distT="0" distB="0" distL="114300" distR="114300" simplePos="0" relativeHeight="251665408" behindDoc="0" locked="0" layoutInCell="1" allowOverlap="1" wp14:anchorId="11854178" wp14:editId="402D500A">
                  <wp:simplePos x="0" y="0"/>
                  <wp:positionH relativeFrom="column">
                    <wp:posOffset>76200</wp:posOffset>
                  </wp:positionH>
                  <wp:positionV relativeFrom="paragraph">
                    <wp:posOffset>-407670</wp:posOffset>
                  </wp:positionV>
                  <wp:extent cx="604520" cy="604520"/>
                  <wp:effectExtent l="0" t="0" r="5080" b="5080"/>
                  <wp:wrapSquare wrapText="bothSides"/>
                  <wp:docPr id="38" name="Picture 38" descr="Logo - people meeting " title="Quality statement 5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a:ln>
                            <a:noFill/>
                          </a:ln>
                        </pic:spPr>
                      </pic:pic>
                    </a:graphicData>
                  </a:graphic>
                </wp:anchor>
              </w:drawing>
            </w:r>
          </w:p>
        </w:tc>
        <w:tc>
          <w:tcPr>
            <w:tcW w:w="8992" w:type="dxa"/>
            <w:vAlign w:val="center"/>
          </w:tcPr>
          <w:p w:rsidR="001423B0" w:rsidRDefault="001423B0" w:rsidP="00CA1A7A">
            <w:pPr>
              <w:pStyle w:val="x02-intro"/>
              <w:ind w:left="232" w:hanging="232"/>
              <w:rPr>
                <w:rFonts w:cs="Times New Roman"/>
              </w:rPr>
            </w:pPr>
            <w:r>
              <w:rPr>
                <w:rStyle w:val="x02-gotham-bold--figures-"/>
                <w:rFonts w:cs="Times New Roman"/>
              </w:rPr>
              <w:t>5</w:t>
            </w:r>
            <w:r>
              <w:rPr>
                <w:rFonts w:cs="Times New Roman"/>
              </w:rPr>
              <w:t xml:space="preserve"> The role of coronary angiography, with a view to timely and appropriate coronary revascularisation, is discussed with a patient with a non-ST-segment-elevation acute coronary syndrome (NSTEACS) who is assessed to be at intermediate or high risk of an adverse cardiac event.</w:t>
            </w:r>
          </w:p>
        </w:tc>
      </w:tr>
      <w:tr w:rsidR="001423B0" w:rsidTr="00CA1A7A">
        <w:tc>
          <w:tcPr>
            <w:tcW w:w="0" w:type="auto"/>
            <w:vAlign w:val="center"/>
          </w:tcPr>
          <w:p w:rsidR="001423B0" w:rsidRDefault="001423B0" w:rsidP="00CA1A7A">
            <w:pPr>
              <w:pStyle w:val="x02-body-copy"/>
              <w:rPr>
                <w:rFonts w:cs="Times New Roman"/>
              </w:rPr>
            </w:pPr>
            <w:r>
              <w:rPr>
                <w:rFonts w:cs="Times New Roman"/>
                <w:noProof/>
                <w:lang w:eastAsia="en-AU"/>
              </w:rPr>
              <w:drawing>
                <wp:anchor distT="0" distB="0" distL="114300" distR="114300" simplePos="0" relativeHeight="251666432" behindDoc="0" locked="0" layoutInCell="1" allowOverlap="1" wp14:anchorId="59773DF3" wp14:editId="4E9073B6">
                  <wp:simplePos x="0" y="0"/>
                  <wp:positionH relativeFrom="column">
                    <wp:posOffset>76200</wp:posOffset>
                  </wp:positionH>
                  <wp:positionV relativeFrom="paragraph">
                    <wp:posOffset>-407670</wp:posOffset>
                  </wp:positionV>
                  <wp:extent cx="604520" cy="604520"/>
                  <wp:effectExtent l="0" t="0" r="5080" b="5080"/>
                  <wp:wrapSquare wrapText="bothSides"/>
                  <wp:docPr id="41" name="Picture 41" descr="Logo - care plan" title="Quality statement 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a:ln>
                            <a:noFill/>
                          </a:ln>
                        </pic:spPr>
                      </pic:pic>
                    </a:graphicData>
                  </a:graphic>
                </wp:anchor>
              </w:drawing>
            </w:r>
          </w:p>
        </w:tc>
        <w:tc>
          <w:tcPr>
            <w:tcW w:w="8992" w:type="dxa"/>
            <w:vAlign w:val="center"/>
          </w:tcPr>
          <w:p w:rsidR="001423B0" w:rsidRDefault="001423B0" w:rsidP="00CA1A7A">
            <w:pPr>
              <w:pStyle w:val="x02-intro"/>
              <w:ind w:left="232" w:hanging="232"/>
              <w:rPr>
                <w:rFonts w:cs="Times New Roman"/>
              </w:rPr>
            </w:pPr>
            <w:r>
              <w:rPr>
                <w:rStyle w:val="x02-gotham-bold--figures-"/>
                <w:rFonts w:cs="Times New Roman"/>
              </w:rPr>
              <w:t>6</w:t>
            </w:r>
            <w:r>
              <w:rPr>
                <w:rFonts w:cs="Times New Roman"/>
              </w:rPr>
              <w:t xml:space="preserve"> Before a patient with an acute coronary syndrome leaves the hospital, they are involved in the development of an individualised care plan. This plan identifies the lifestyle modifications and medicines needed to manage their risk factors, addresses their psychosocial needs and includes a referral to an appropriate cardiac rehabilitation or another secondary prevention program. This plan is provided to the patient and their general practitioner or ongoing clinical provider within 48 hours of discharge. </w:t>
            </w:r>
          </w:p>
        </w:tc>
      </w:tr>
    </w:tbl>
    <w:p w:rsidR="001423B0" w:rsidRDefault="001423B0" w:rsidP="001423B0">
      <w:pPr>
        <w:pStyle w:val="x04-footnotes-last"/>
        <w:ind w:left="142" w:hanging="142"/>
        <w:rPr>
          <w:rFonts w:cs="Times New Roman"/>
        </w:rPr>
      </w:pPr>
      <w:r>
        <w:rPr>
          <w:rFonts w:cs="Times New Roman"/>
        </w:rPr>
        <w:t>a. Acute Coronary Syndromes Guidelines Working Group. Guidelines for the management of acute coronary syndromes 2006. Medical Journal of Australia. 2006; 184(8):S1-S30.</w:t>
      </w:r>
    </w:p>
    <w:p w:rsidR="001423B0" w:rsidRDefault="001423B0" w:rsidP="001423B0">
      <w:pPr>
        <w:pStyle w:val="x01-heading-level-1"/>
        <w:rPr>
          <w:rFonts w:cs="Times New Roman"/>
        </w:rPr>
      </w:pPr>
      <w:bookmarkStart w:id="3" w:name="_Toc278988955"/>
      <w:r>
        <w:rPr>
          <w:rFonts w:cs="Times New Roman"/>
        </w:rPr>
        <w:lastRenderedPageBreak/>
        <w:t>Introduction</w:t>
      </w:r>
      <w:bookmarkEnd w:id="3"/>
    </w:p>
    <w:p w:rsidR="001423B0" w:rsidRPr="00C92DF3" w:rsidRDefault="001423B0" w:rsidP="001423B0">
      <w:pPr>
        <w:pStyle w:val="x02-intro"/>
        <w:rPr>
          <w:rFonts w:cs="Times New Roman"/>
          <w:sz w:val="20"/>
          <w:szCs w:val="20"/>
        </w:rPr>
      </w:pPr>
      <w:r w:rsidRPr="00C92DF3">
        <w:rPr>
          <w:rFonts w:cs="Times New Roman"/>
          <w:sz w:val="20"/>
          <w:szCs w:val="20"/>
        </w:rPr>
        <w:t>An acute coronary syndrome results from a sudden blockage of a blood vessel in the heart, typically by a blood clot (thrombosis) that reduces blood supply to a portion of heart muscle. Where the blockage is severe enough to lead to injury or death of the heart muscle, the event is called an acute myocardial infarction (or ‘heart attack’). Acute coronary syndromes also include unstable angina (chest pain usually due to restricted blood flow to the heart muscles), which can lead to a heart attack. The most common cause of an acute coronary syndrome is atherosclerosis (or ‘coronary heart disease’) where an artery wall thickens due to a build-up of fatty materials such as cholesterol.</w:t>
      </w:r>
    </w:p>
    <w:p w:rsidR="001423B0" w:rsidRPr="00C92DF3" w:rsidRDefault="001423B0" w:rsidP="001423B0">
      <w:pPr>
        <w:pStyle w:val="x02-body-copy"/>
        <w:rPr>
          <w:rFonts w:cs="Times New Roman"/>
          <w:sz w:val="20"/>
          <w:szCs w:val="20"/>
        </w:rPr>
      </w:pPr>
      <w:r w:rsidRPr="00C92DF3">
        <w:rPr>
          <w:rFonts w:cs="Times New Roman"/>
          <w:sz w:val="20"/>
          <w:szCs w:val="20"/>
        </w:rPr>
        <w:t xml:space="preserve">Acute coronary syndromes affect thousands of Australians. It is estimated that 69,900 people aged 25 and over had a heart attack in 2011, which equates to around 190 heart attacks a day. Further, coronary </w:t>
      </w:r>
      <w:r>
        <w:rPr>
          <w:rFonts w:cs="Times New Roman"/>
          <w:sz w:val="20"/>
          <w:szCs w:val="20"/>
        </w:rPr>
        <w:t>heart disease contributed to 15 per cent</w:t>
      </w:r>
      <w:r w:rsidRPr="00C92DF3">
        <w:rPr>
          <w:rFonts w:cs="Times New Roman"/>
          <w:sz w:val="20"/>
          <w:szCs w:val="20"/>
        </w:rPr>
        <w:t xml:space="preserve"> of all deaths in Australia in 2011.</w:t>
      </w:r>
      <w:r w:rsidRPr="00C92DF3">
        <w:rPr>
          <w:rStyle w:val="x02-body-superscript"/>
          <w:rFonts w:cs="Times New Roman"/>
          <w:sz w:val="20"/>
          <w:szCs w:val="20"/>
        </w:rPr>
        <w:t>a</w:t>
      </w:r>
    </w:p>
    <w:p w:rsidR="001423B0" w:rsidRPr="00C92DF3" w:rsidRDefault="001423B0" w:rsidP="001423B0">
      <w:pPr>
        <w:pStyle w:val="x02-body-copy"/>
        <w:rPr>
          <w:rFonts w:cs="Times New Roman"/>
          <w:sz w:val="20"/>
          <w:szCs w:val="20"/>
        </w:rPr>
      </w:pPr>
      <w:r w:rsidRPr="00C92DF3">
        <w:rPr>
          <w:rFonts w:cs="Times New Roman"/>
          <w:sz w:val="20"/>
          <w:szCs w:val="20"/>
        </w:rPr>
        <w:t xml:space="preserve">Despite well-developed guidelines for managing acute coronary syndromes, recent research found that not all patients receive appropriate treatments, particularly for invasive management of this </w:t>
      </w:r>
      <w:proofErr w:type="spellStart"/>
      <w:r w:rsidRPr="00C92DF3">
        <w:rPr>
          <w:rFonts w:cs="Times New Roman"/>
          <w:sz w:val="20"/>
          <w:szCs w:val="20"/>
        </w:rPr>
        <w:t>condition.</w:t>
      </w:r>
      <w:r w:rsidRPr="00C92DF3">
        <w:rPr>
          <w:rStyle w:val="x02-body-superscript"/>
          <w:rFonts w:cs="Times New Roman"/>
          <w:sz w:val="20"/>
          <w:szCs w:val="20"/>
        </w:rPr>
        <w:t>b</w:t>
      </w:r>
      <w:proofErr w:type="spellEnd"/>
      <w:r w:rsidRPr="00C92DF3">
        <w:rPr>
          <w:rFonts w:cs="Times New Roman"/>
          <w:sz w:val="20"/>
          <w:szCs w:val="20"/>
        </w:rPr>
        <w:t xml:space="preserve"> The logistical challenges regarding the provision of timely invasive management to patients in regional, remote and outer metropolitan areas were also </w:t>
      </w:r>
      <w:proofErr w:type="spellStart"/>
      <w:r w:rsidRPr="00C92DF3">
        <w:rPr>
          <w:rFonts w:cs="Times New Roman"/>
          <w:sz w:val="20"/>
          <w:szCs w:val="20"/>
        </w:rPr>
        <w:t>highlighted.</w:t>
      </w:r>
      <w:r w:rsidRPr="00C92DF3">
        <w:rPr>
          <w:rStyle w:val="x02-body-superscript"/>
          <w:rFonts w:cs="Times New Roman"/>
          <w:sz w:val="20"/>
          <w:szCs w:val="20"/>
        </w:rPr>
        <w:t>b</w:t>
      </w:r>
      <w:proofErr w:type="spellEnd"/>
    </w:p>
    <w:p w:rsidR="001423B0" w:rsidRPr="00C92DF3" w:rsidRDefault="001423B0" w:rsidP="001423B0">
      <w:pPr>
        <w:pStyle w:val="x02-body-copy"/>
        <w:rPr>
          <w:rFonts w:cs="Times New Roman"/>
          <w:sz w:val="20"/>
          <w:szCs w:val="20"/>
        </w:rPr>
      </w:pPr>
      <w:r w:rsidRPr="00C92DF3">
        <w:rPr>
          <w:rFonts w:cs="Times New Roman"/>
          <w:sz w:val="20"/>
          <w:szCs w:val="20"/>
        </w:rPr>
        <w:t xml:space="preserve">The Acute Coronary Syndromes Clinical Care Standard aims to ensure that a patient with an acute coronary syndrome receives optimal treatment from the onset of symptoms through to discharge from hospital. This includes recognition of an acute coronary syndrome, rapid assessment, early management and early initiation of a tailored rehabilitation plan. </w:t>
      </w:r>
    </w:p>
    <w:p w:rsidR="001423B0" w:rsidRPr="00C92DF3" w:rsidRDefault="001423B0" w:rsidP="001423B0">
      <w:pPr>
        <w:pStyle w:val="x02-body-copy"/>
        <w:rPr>
          <w:rFonts w:cs="Times New Roman"/>
          <w:sz w:val="20"/>
          <w:szCs w:val="20"/>
        </w:rPr>
      </w:pPr>
      <w:r w:rsidRPr="00C92DF3">
        <w:rPr>
          <w:rFonts w:cs="Times New Roman"/>
          <w:sz w:val="20"/>
          <w:szCs w:val="20"/>
        </w:rPr>
        <w:t xml:space="preserve">A set of suggested indicators have been developed to assist with local implementation of this Clinical Care Standard. They can be used by health services to monitor the implementation of the quality statements, and support improvement as needed. </w:t>
      </w:r>
    </w:p>
    <w:p w:rsidR="001423B0" w:rsidRPr="00C92DF3" w:rsidRDefault="001423B0" w:rsidP="001423B0">
      <w:pPr>
        <w:pStyle w:val="x02-body-copy-before-bullet"/>
        <w:rPr>
          <w:rFonts w:cs="Times New Roman"/>
          <w:sz w:val="20"/>
          <w:szCs w:val="20"/>
        </w:rPr>
      </w:pPr>
      <w:r w:rsidRPr="00C92DF3">
        <w:rPr>
          <w:rFonts w:cs="Times New Roman"/>
          <w:sz w:val="20"/>
          <w:szCs w:val="20"/>
        </w:rPr>
        <w:t>The process to develop these indicators comprised:</w:t>
      </w:r>
    </w:p>
    <w:p w:rsidR="001423B0" w:rsidRPr="00C92DF3" w:rsidRDefault="001423B0" w:rsidP="001423B0">
      <w:pPr>
        <w:pStyle w:val="02Bulletslevel1"/>
        <w:rPr>
          <w:sz w:val="20"/>
          <w:szCs w:val="20"/>
        </w:rPr>
      </w:pPr>
      <w:r w:rsidRPr="00C92DF3">
        <w:rPr>
          <w:sz w:val="20"/>
          <w:szCs w:val="20"/>
        </w:rPr>
        <w:t xml:space="preserve">an environmental scan of existing local and international indicators </w:t>
      </w:r>
    </w:p>
    <w:p w:rsidR="001423B0" w:rsidRPr="00C92DF3" w:rsidRDefault="001423B0" w:rsidP="001423B0">
      <w:pPr>
        <w:pStyle w:val="02Bulletslevel1"/>
        <w:rPr>
          <w:sz w:val="20"/>
          <w:szCs w:val="20"/>
        </w:rPr>
      </w:pPr>
      <w:r w:rsidRPr="00C92DF3">
        <w:rPr>
          <w:sz w:val="20"/>
          <w:szCs w:val="20"/>
        </w:rPr>
        <w:t xml:space="preserve">a prioritisation review and refinement of the indicators with a dedicated sub-committee of the Topic Working Group, and review by the Topic Working Group and Clinical Care Standards Advisory Committee. </w:t>
      </w:r>
    </w:p>
    <w:p w:rsidR="001423B0" w:rsidRPr="00C92DF3" w:rsidRDefault="001423B0" w:rsidP="001423B0">
      <w:pPr>
        <w:pStyle w:val="x02-body-copy"/>
        <w:rPr>
          <w:rFonts w:cs="Times New Roman"/>
          <w:sz w:val="20"/>
          <w:szCs w:val="20"/>
        </w:rPr>
      </w:pPr>
      <w:r w:rsidRPr="00C92DF3">
        <w:rPr>
          <w:rFonts w:cs="Times New Roman"/>
          <w:sz w:val="20"/>
          <w:szCs w:val="20"/>
        </w:rPr>
        <w:t>Where no indicator was identified for a given quality statement, the sub-committee drafted new indicators based on their experience with audits in relevant sectors.</w:t>
      </w:r>
    </w:p>
    <w:p w:rsidR="001423B0" w:rsidRDefault="001423B0" w:rsidP="001423B0">
      <w:pPr>
        <w:pStyle w:val="x02-body-copy"/>
        <w:rPr>
          <w:rFonts w:cs="Times New Roman"/>
          <w:sz w:val="20"/>
          <w:szCs w:val="20"/>
        </w:rPr>
      </w:pPr>
      <w:r w:rsidRPr="00C92DF3">
        <w:rPr>
          <w:rFonts w:cs="Times New Roman"/>
          <w:sz w:val="20"/>
          <w:szCs w:val="20"/>
        </w:rPr>
        <w:t>The specification of the indicators aims to support the consistent local collection of data related to the implementation of this Clinical Care Standard. It sets out the name for each indicator along with the rationale, computation, numerator, denominator, relevant inclusion and exclusions criteria, and associated references.</w:t>
      </w:r>
    </w:p>
    <w:p w:rsidR="001423B0" w:rsidRDefault="001423B0" w:rsidP="001423B0">
      <w:pPr>
        <w:pStyle w:val="x02-body-copy"/>
        <w:rPr>
          <w:rFonts w:cs="Times New Roman"/>
          <w:sz w:val="20"/>
          <w:szCs w:val="20"/>
        </w:rPr>
      </w:pPr>
    </w:p>
    <w:p w:rsidR="001423B0" w:rsidRDefault="001423B0" w:rsidP="001423B0">
      <w:pPr>
        <w:pStyle w:val="x02-body-copy"/>
        <w:rPr>
          <w:rFonts w:cs="Times New Roman"/>
          <w:sz w:val="20"/>
          <w:szCs w:val="20"/>
        </w:rPr>
      </w:pPr>
    </w:p>
    <w:p w:rsidR="001423B0" w:rsidRDefault="001423B0" w:rsidP="001423B0">
      <w:pPr>
        <w:pStyle w:val="x02-body-copy"/>
        <w:rPr>
          <w:rFonts w:cs="Times New Roman"/>
          <w:sz w:val="20"/>
          <w:szCs w:val="20"/>
        </w:rPr>
      </w:pPr>
    </w:p>
    <w:p w:rsidR="001423B0" w:rsidRPr="00C92DF3" w:rsidRDefault="001423B0" w:rsidP="001423B0">
      <w:pPr>
        <w:pStyle w:val="x02-body-copy"/>
        <w:rPr>
          <w:rFonts w:cs="Times New Roman"/>
          <w:sz w:val="20"/>
          <w:szCs w:val="20"/>
        </w:rPr>
      </w:pPr>
    </w:p>
    <w:p w:rsidR="001423B0" w:rsidRDefault="001423B0" w:rsidP="001423B0">
      <w:pPr>
        <w:pStyle w:val="x04-footnotes"/>
        <w:rPr>
          <w:rFonts w:cs="Times New Roman"/>
        </w:rPr>
      </w:pPr>
      <w:r>
        <w:rPr>
          <w:rFonts w:cs="Times New Roman"/>
        </w:rPr>
        <w:t>a Australian Institute of Health and Welfare. Australia’s health 2014. Canberra: AIHW, 2014.</w:t>
      </w:r>
    </w:p>
    <w:p w:rsidR="001423B0" w:rsidRDefault="001423B0" w:rsidP="001423B0">
      <w:pPr>
        <w:pStyle w:val="x04-footnotes"/>
        <w:rPr>
          <w:rFonts w:cs="Times New Roman"/>
        </w:rPr>
      </w:pPr>
      <w:r>
        <w:rPr>
          <w:rFonts w:cs="Times New Roman"/>
        </w:rPr>
        <w:t xml:space="preserve">b Chew DP, French J, </w:t>
      </w:r>
      <w:proofErr w:type="spellStart"/>
      <w:r>
        <w:rPr>
          <w:rFonts w:cs="Times New Roman"/>
        </w:rPr>
        <w:t>Briffa</w:t>
      </w:r>
      <w:proofErr w:type="spellEnd"/>
      <w:r>
        <w:rPr>
          <w:rFonts w:cs="Times New Roman"/>
        </w:rPr>
        <w:t xml:space="preserve"> TG, Hammett CJ, Ellis CJ, </w:t>
      </w:r>
      <w:proofErr w:type="spellStart"/>
      <w:r>
        <w:rPr>
          <w:rFonts w:cs="Times New Roman"/>
        </w:rPr>
        <w:t>Ranasinghe</w:t>
      </w:r>
      <w:proofErr w:type="spellEnd"/>
      <w:r>
        <w:rPr>
          <w:rFonts w:cs="Times New Roman"/>
        </w:rPr>
        <w:t xml:space="preserve"> I, et al. Acute coronary syndrome care across  Australia and New Zealand: the SNAPSHOP ACS study. Medical </w:t>
      </w:r>
      <w:r w:rsidRPr="007140A6">
        <w:rPr>
          <w:rFonts w:cs="Times New Roman"/>
          <w:color w:val="00988E"/>
        </w:rPr>
        <w:t>Journal</w:t>
      </w:r>
      <w:r>
        <w:rPr>
          <w:rFonts w:cs="Times New Roman"/>
        </w:rPr>
        <w:t xml:space="preserve"> of Australia. 2013; 199(3): 185-91.</w:t>
      </w:r>
    </w:p>
    <w:p w:rsidR="001423B0" w:rsidRDefault="001423B0" w:rsidP="001423B0">
      <w:pPr>
        <w:rPr>
          <w:rFonts w:cs="Times New Roman"/>
          <w:b/>
          <w:bCs/>
          <w:color w:val="4D4F4D"/>
          <w:sz w:val="28"/>
          <w:szCs w:val="28"/>
        </w:rPr>
      </w:pPr>
      <w:r>
        <w:rPr>
          <w:rFonts w:cs="Times New Roman"/>
        </w:rPr>
        <w:br w:type="page"/>
      </w:r>
    </w:p>
    <w:p w:rsidR="001423B0" w:rsidRPr="006E486E" w:rsidRDefault="001423B0" w:rsidP="001423B0">
      <w:pPr>
        <w:pStyle w:val="x01-heading-level-3"/>
        <w:rPr>
          <w:rFonts w:cs="Times New Roman"/>
          <w:color w:val="00988E"/>
        </w:rPr>
      </w:pPr>
      <w:r>
        <w:rPr>
          <w:rFonts w:cs="Times New Roman"/>
        </w:rPr>
        <w:lastRenderedPageBreak/>
        <w:t xml:space="preserve">Role of the </w:t>
      </w:r>
      <w:r w:rsidRPr="007140A6">
        <w:rPr>
          <w:rFonts w:cs="Times New Roman"/>
        </w:rPr>
        <w:t>Commission</w:t>
      </w:r>
      <w:r>
        <w:rPr>
          <w:rFonts w:cs="Times New Roman"/>
        </w:rPr>
        <w:t xml:space="preserve"> in developing indicators </w:t>
      </w:r>
    </w:p>
    <w:p w:rsidR="001423B0" w:rsidRPr="009B0939" w:rsidRDefault="001423B0" w:rsidP="001423B0">
      <w:pPr>
        <w:pStyle w:val="x02-body-copy"/>
        <w:rPr>
          <w:rFonts w:cs="Times New Roman"/>
          <w:sz w:val="20"/>
          <w:szCs w:val="20"/>
        </w:rPr>
      </w:pPr>
      <w:r w:rsidRPr="009B0939">
        <w:rPr>
          <w:rFonts w:cs="Times New Roman"/>
          <w:sz w:val="20"/>
          <w:szCs w:val="20"/>
        </w:rPr>
        <w:t xml:space="preserve">Responsibilities of the Australian Commission on Safety and Quality in Health Care (the Commission) are specified in the </w:t>
      </w:r>
      <w:r w:rsidRPr="009B0939">
        <w:rPr>
          <w:rStyle w:val="x02-body-italic"/>
          <w:rFonts w:cs="Times New Roman"/>
          <w:sz w:val="20"/>
          <w:szCs w:val="20"/>
        </w:rPr>
        <w:t>National Health Reform Act</w:t>
      </w:r>
      <w:r w:rsidRPr="009B0939">
        <w:rPr>
          <w:rFonts w:cs="Times New Roman"/>
          <w:sz w:val="20"/>
          <w:szCs w:val="20"/>
        </w:rPr>
        <w:t xml:space="preserve"> </w:t>
      </w:r>
      <w:r w:rsidRPr="009B0939">
        <w:rPr>
          <w:rStyle w:val="x02-body-italic"/>
          <w:rFonts w:cs="Times New Roman"/>
          <w:sz w:val="20"/>
          <w:szCs w:val="20"/>
        </w:rPr>
        <w:t>2011</w:t>
      </w:r>
      <w:r w:rsidRPr="009B0939">
        <w:rPr>
          <w:rFonts w:cs="Times New Roman"/>
          <w:sz w:val="20"/>
          <w:szCs w:val="20"/>
        </w:rPr>
        <w:t xml:space="preserve"> and the </w:t>
      </w:r>
      <w:r w:rsidRPr="009B0939">
        <w:rPr>
          <w:rStyle w:val="x02-body-italic"/>
          <w:rFonts w:cs="Times New Roman"/>
          <w:sz w:val="20"/>
          <w:szCs w:val="20"/>
        </w:rPr>
        <w:t>National Health Reform Agreement</w:t>
      </w:r>
      <w:r w:rsidRPr="009B0939">
        <w:rPr>
          <w:rFonts w:cs="Times New Roman"/>
          <w:sz w:val="20"/>
          <w:szCs w:val="20"/>
        </w:rPr>
        <w:t xml:space="preserve"> </w:t>
      </w:r>
      <w:r w:rsidRPr="009B0939">
        <w:rPr>
          <w:rStyle w:val="x02-body-italic"/>
          <w:rFonts w:cs="Times New Roman"/>
          <w:sz w:val="20"/>
          <w:szCs w:val="20"/>
        </w:rPr>
        <w:t>2011</w:t>
      </w:r>
      <w:r w:rsidRPr="009B0939">
        <w:rPr>
          <w:rFonts w:cs="Times New Roman"/>
          <w:sz w:val="20"/>
          <w:szCs w:val="20"/>
        </w:rPr>
        <w:t>.</w:t>
      </w:r>
    </w:p>
    <w:p w:rsidR="001423B0" w:rsidRPr="009B0939" w:rsidRDefault="001423B0" w:rsidP="001423B0">
      <w:pPr>
        <w:pStyle w:val="x02-body-copy"/>
        <w:rPr>
          <w:rFonts w:cs="Times New Roman"/>
          <w:sz w:val="20"/>
          <w:szCs w:val="20"/>
        </w:rPr>
      </w:pPr>
      <w:r w:rsidRPr="009B0939">
        <w:rPr>
          <w:rFonts w:cs="Times New Roman"/>
          <w:sz w:val="20"/>
          <w:szCs w:val="20"/>
        </w:rPr>
        <w:t>The National Health Reform Act</w:t>
      </w:r>
      <w:r w:rsidRPr="009B0939">
        <w:rPr>
          <w:rStyle w:val="x02-body-italic"/>
          <w:rFonts w:cs="Times New Roman"/>
          <w:sz w:val="20"/>
          <w:szCs w:val="20"/>
        </w:rPr>
        <w:t xml:space="preserve"> </w:t>
      </w:r>
      <w:r w:rsidRPr="009B0939">
        <w:rPr>
          <w:rFonts w:cs="Times New Roman"/>
          <w:sz w:val="20"/>
          <w:szCs w:val="20"/>
        </w:rPr>
        <w:t>requires the Commission to ‘formulate, in writing, indicators relating to health care safety and quality matters’ (9)(1)(g), and to ‘promote, support and encourage the use of indicators formulated …’(9)(1)(</w:t>
      </w:r>
      <w:proofErr w:type="spellStart"/>
      <w:r w:rsidRPr="009B0939">
        <w:rPr>
          <w:rFonts w:cs="Times New Roman"/>
          <w:sz w:val="20"/>
          <w:szCs w:val="20"/>
        </w:rPr>
        <w:t>i</w:t>
      </w:r>
      <w:proofErr w:type="spellEnd"/>
      <w:r w:rsidRPr="009B0939">
        <w:rPr>
          <w:rFonts w:cs="Times New Roman"/>
          <w:sz w:val="20"/>
          <w:szCs w:val="20"/>
        </w:rPr>
        <w:t>).</w:t>
      </w:r>
    </w:p>
    <w:p w:rsidR="001423B0" w:rsidRPr="009B0939" w:rsidRDefault="001423B0" w:rsidP="001423B0">
      <w:pPr>
        <w:pStyle w:val="x02-body-copy"/>
        <w:rPr>
          <w:rFonts w:cs="Times New Roman"/>
          <w:sz w:val="20"/>
          <w:szCs w:val="20"/>
        </w:rPr>
      </w:pPr>
      <w:r w:rsidRPr="009B0939">
        <w:rPr>
          <w:rFonts w:cs="Times New Roman"/>
          <w:sz w:val="20"/>
          <w:szCs w:val="20"/>
        </w:rPr>
        <w:t>The National Health Reform Agreement specifies the Commission’s responsibility to ‘recommend national datasets for safety and quality…’ (clause B80d).</w:t>
      </w:r>
    </w:p>
    <w:p w:rsidR="001423B0" w:rsidRPr="009B0939" w:rsidRDefault="001423B0" w:rsidP="001423B0">
      <w:pPr>
        <w:pStyle w:val="x02-body-copy"/>
        <w:rPr>
          <w:rFonts w:cs="Times New Roman"/>
          <w:sz w:val="20"/>
          <w:szCs w:val="20"/>
        </w:rPr>
      </w:pPr>
      <w:r w:rsidRPr="009B0939">
        <w:rPr>
          <w:rFonts w:cs="Times New Roman"/>
          <w:sz w:val="20"/>
          <w:szCs w:val="20"/>
        </w:rPr>
        <w:t xml:space="preserve">The Commission’s work program is driven by the </w:t>
      </w:r>
      <w:r w:rsidRPr="009B0939">
        <w:rPr>
          <w:rStyle w:val="x02-body-italic"/>
          <w:rFonts w:cs="Times New Roman"/>
          <w:sz w:val="20"/>
          <w:szCs w:val="20"/>
        </w:rPr>
        <w:t>Australian</w:t>
      </w:r>
      <w:r w:rsidRPr="009B0939">
        <w:rPr>
          <w:rFonts w:cs="Times New Roman"/>
          <w:sz w:val="20"/>
          <w:szCs w:val="20"/>
        </w:rPr>
        <w:t xml:space="preserve"> </w:t>
      </w:r>
      <w:r w:rsidRPr="009B0939">
        <w:rPr>
          <w:rStyle w:val="x02-body-italic"/>
          <w:rFonts w:cs="Times New Roman"/>
          <w:sz w:val="20"/>
          <w:szCs w:val="20"/>
        </w:rPr>
        <w:t>Safety and Quality Framework for Health Care</w:t>
      </w:r>
      <w:r w:rsidRPr="009B0939">
        <w:rPr>
          <w:rFonts w:cs="Times New Roman"/>
          <w:sz w:val="20"/>
          <w:szCs w:val="20"/>
        </w:rPr>
        <w:t xml:space="preserve"> principles, which state that health care delivery should be consumer centred, driven by information, and organised for safety.</w:t>
      </w:r>
    </w:p>
    <w:p w:rsidR="001423B0" w:rsidRDefault="001423B0" w:rsidP="001423B0">
      <w:pPr>
        <w:pStyle w:val="x01-heading-level-3"/>
        <w:rPr>
          <w:rFonts w:cs="Times New Roman"/>
        </w:rPr>
      </w:pPr>
      <w:r>
        <w:rPr>
          <w:rFonts w:cs="Times New Roman"/>
        </w:rPr>
        <w:t>Notes</w:t>
      </w:r>
    </w:p>
    <w:p w:rsidR="001423B0" w:rsidRPr="009B0939" w:rsidRDefault="001423B0" w:rsidP="001423B0">
      <w:pPr>
        <w:pStyle w:val="x02-body-copy"/>
        <w:rPr>
          <w:rFonts w:cs="Times New Roman"/>
          <w:sz w:val="20"/>
          <w:szCs w:val="20"/>
        </w:rPr>
      </w:pPr>
      <w:proofErr w:type="spellStart"/>
      <w:r w:rsidRPr="009B0939">
        <w:rPr>
          <w:rFonts w:cs="Times New Roman"/>
          <w:sz w:val="20"/>
          <w:szCs w:val="20"/>
        </w:rPr>
        <w:t>METeOR</w:t>
      </w:r>
      <w:proofErr w:type="spellEnd"/>
      <w:r w:rsidRPr="009B0939">
        <w:rPr>
          <w:rFonts w:cs="Times New Roman"/>
          <w:sz w:val="20"/>
          <w:szCs w:val="20"/>
        </w:rPr>
        <w:t xml:space="preserve"> is the national metadata </w:t>
      </w:r>
      <w:proofErr w:type="spellStart"/>
      <w:r w:rsidRPr="009B0939">
        <w:rPr>
          <w:rFonts w:cs="Times New Roman"/>
          <w:sz w:val="20"/>
          <w:szCs w:val="20"/>
        </w:rPr>
        <w:t>registry</w:t>
      </w:r>
      <w:r w:rsidRPr="009B0939">
        <w:rPr>
          <w:rStyle w:val="x02-body-superscript"/>
          <w:rFonts w:cs="Times New Roman"/>
          <w:sz w:val="20"/>
          <w:szCs w:val="20"/>
        </w:rPr>
        <w:t>a</w:t>
      </w:r>
      <w:proofErr w:type="spellEnd"/>
      <w:r w:rsidRPr="009B0939">
        <w:rPr>
          <w:rFonts w:cs="Times New Roman"/>
          <w:sz w:val="20"/>
          <w:szCs w:val="20"/>
        </w:rPr>
        <w:t xml:space="preserve">. Where a data element is part of the National Health Data Dictionary, the </w:t>
      </w:r>
      <w:proofErr w:type="spellStart"/>
      <w:r w:rsidRPr="009B0939">
        <w:rPr>
          <w:rFonts w:cs="Times New Roman"/>
          <w:sz w:val="20"/>
          <w:szCs w:val="20"/>
        </w:rPr>
        <w:t>METeOR</w:t>
      </w:r>
      <w:proofErr w:type="spellEnd"/>
      <w:r w:rsidRPr="009B0939">
        <w:rPr>
          <w:rFonts w:cs="Times New Roman"/>
          <w:sz w:val="20"/>
          <w:szCs w:val="20"/>
        </w:rPr>
        <w:t xml:space="preserve"> identifier is referenced.</w:t>
      </w:r>
    </w:p>
    <w:p w:rsidR="001423B0" w:rsidRPr="009B0939" w:rsidRDefault="001423B0" w:rsidP="001423B0">
      <w:pPr>
        <w:pStyle w:val="x02-body-copy"/>
        <w:rPr>
          <w:rFonts w:cs="Times New Roman"/>
          <w:sz w:val="20"/>
          <w:szCs w:val="20"/>
        </w:rPr>
      </w:pPr>
      <w:r w:rsidRPr="009B0939">
        <w:rPr>
          <w:rFonts w:cs="Times New Roman"/>
          <w:sz w:val="20"/>
          <w:szCs w:val="20"/>
        </w:rPr>
        <w:t xml:space="preserve">International Classification of Diseases and Related Health Problems, 10th Revision, Australian Modification (ICD-10-AM, </w:t>
      </w:r>
      <w:r w:rsidR="008B4ED4" w:rsidRPr="008D7C96">
        <w:rPr>
          <w:rFonts w:cs="Times New Roman"/>
          <w:sz w:val="20"/>
          <w:szCs w:val="20"/>
        </w:rPr>
        <w:t>9</w:t>
      </w:r>
      <w:r w:rsidRPr="008D7C96">
        <w:rPr>
          <w:rFonts w:cs="Times New Roman"/>
          <w:sz w:val="20"/>
          <w:szCs w:val="20"/>
        </w:rPr>
        <w:t>t</w:t>
      </w:r>
      <w:r w:rsidRPr="009B0939">
        <w:rPr>
          <w:rFonts w:cs="Times New Roman"/>
          <w:sz w:val="20"/>
          <w:szCs w:val="20"/>
        </w:rPr>
        <w:t>h edition) codes, applied to admitted patient records, do not always align with the most current clinical classifications of a condition, in this case acute coronary syndromes. The intent of appending ICD-10-AM codes for pertinent cardiac conditions and procedures is to assist hospitals in generating ‘first pass’ lists of eligible patients for inclusion in the cohort for whom to generate the indicators.</w:t>
      </w:r>
    </w:p>
    <w:p w:rsidR="001423B0" w:rsidRPr="009B0939" w:rsidRDefault="001423B0" w:rsidP="001423B0">
      <w:pPr>
        <w:pStyle w:val="x02-body-copy"/>
        <w:rPr>
          <w:rFonts w:cs="Times New Roman"/>
          <w:sz w:val="20"/>
          <w:szCs w:val="20"/>
        </w:rPr>
      </w:pPr>
      <w:r w:rsidRPr="009B0939">
        <w:rPr>
          <w:rFonts w:cs="Times New Roman"/>
          <w:sz w:val="20"/>
          <w:szCs w:val="20"/>
        </w:rPr>
        <w:t>The indicators are intended for local use by ambulance services, hospitals and local hospital networks (LHNs) where relevant.</w:t>
      </w:r>
    </w:p>
    <w:p w:rsidR="001423B0" w:rsidRPr="009B0939" w:rsidRDefault="001423B0" w:rsidP="001423B0">
      <w:pPr>
        <w:pStyle w:val="x02-body-copy"/>
        <w:rPr>
          <w:rFonts w:cs="Times New Roman"/>
          <w:sz w:val="20"/>
          <w:szCs w:val="20"/>
        </w:rPr>
      </w:pPr>
      <w:r w:rsidRPr="009B0939">
        <w:rPr>
          <w:rFonts w:cs="Times New Roman"/>
          <w:sz w:val="20"/>
          <w:szCs w:val="20"/>
        </w:rPr>
        <w:t xml:space="preserve">For more information about this Clinical Care Standard, visit </w:t>
      </w:r>
      <w:r w:rsidRPr="009B0939">
        <w:rPr>
          <w:rStyle w:val="x03-web-hyperlink"/>
          <w:rFonts w:cs="Times New Roman"/>
          <w:sz w:val="20"/>
          <w:szCs w:val="20"/>
        </w:rPr>
        <w:t>www.safetyandquality.gov.au/ccs</w:t>
      </w:r>
      <w:r w:rsidRPr="009B0939">
        <w:rPr>
          <w:rFonts w:cs="Times New Roman"/>
          <w:sz w:val="20"/>
          <w:szCs w:val="20"/>
        </w:rPr>
        <w:t xml:space="preserve">. </w:t>
      </w: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r>
        <w:rPr>
          <w:rFonts w:cs="Times New Roman"/>
        </w:rPr>
        <w:t xml:space="preserve">a See </w:t>
      </w:r>
      <w:r>
        <w:rPr>
          <w:rStyle w:val="x03-web-hyperlink"/>
          <w:rFonts w:cs="Times New Roman"/>
        </w:rPr>
        <w:t>www.meteor.aihw.gov.au/content/index.phtml/itemId/181162</w:t>
      </w:r>
      <w:r>
        <w:rPr>
          <w:rFonts w:cs="Times New Roman"/>
        </w:rPr>
        <w:t>.</w:t>
      </w:r>
    </w:p>
    <w:p w:rsidR="001423B0" w:rsidRDefault="001423B0" w:rsidP="001423B0">
      <w:pPr>
        <w:pStyle w:val="x04-footnotes"/>
        <w:rPr>
          <w:rFonts w:cs="Times New Roman"/>
        </w:rPr>
      </w:pPr>
    </w:p>
    <w:p w:rsidR="001423B0" w:rsidRDefault="001423B0" w:rsidP="001423B0">
      <w:pPr>
        <w:pStyle w:val="x01-heading-level-1"/>
        <w:rPr>
          <w:rFonts w:cs="Times New Roman"/>
        </w:rPr>
      </w:pPr>
      <w:r>
        <w:br w:type="page"/>
      </w:r>
      <w:bookmarkStart w:id="4" w:name="_Toc278988956"/>
      <w:r>
        <w:rPr>
          <w:rFonts w:cs="Times New Roman"/>
        </w:rPr>
        <w:lastRenderedPageBreak/>
        <w:t>Quality statement 1 – Immediate management</w:t>
      </w:r>
      <w:bookmarkEnd w:id="4"/>
    </w:p>
    <w:p w:rsidR="001423B0" w:rsidRDefault="001423B0" w:rsidP="001423B0">
      <w:pPr>
        <w:pStyle w:val="x02-intro"/>
        <w:rPr>
          <w:rFonts w:cs="Times New Roman"/>
        </w:rPr>
      </w:pPr>
      <w:r>
        <w:rPr>
          <w:rFonts w:cs="Times New Roman"/>
        </w:rPr>
        <w:t>A patient presenting with acute chest pain or other symptoms suggestive of an acute coronary syndrome receives care guided by a documented chest pain assessment pathway.</w:t>
      </w:r>
    </w:p>
    <w:p w:rsidR="001423B0" w:rsidRDefault="001423B0" w:rsidP="001423B0">
      <w:pPr>
        <w:pStyle w:val="heading-level-3-aqua"/>
        <w:rPr>
          <w:rFonts w:cs="Times New Roman"/>
        </w:rPr>
      </w:pPr>
      <w:bookmarkStart w:id="5" w:name="_Toc278988957"/>
      <w:r>
        <w:rPr>
          <w:rFonts w:cs="Times New Roman"/>
        </w:rPr>
        <w:t>Indicator 1a: Patients whose care is guided by a documented chest pain assessment pathway</w:t>
      </w:r>
      <w:bookmarkEnd w:id="5"/>
    </w:p>
    <w:p w:rsidR="001423B0" w:rsidRDefault="001423B0" w:rsidP="001423B0">
      <w:pPr>
        <w:pStyle w:val="x01-heading-level-3"/>
        <w:rPr>
          <w:rFonts w:cs="Times New Roman"/>
        </w:rPr>
      </w:pPr>
      <w:r>
        <w:rPr>
          <w:rFonts w:cs="Times New Roman"/>
        </w:rPr>
        <w:t>Definitional attributes</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Name:</w:t>
      </w:r>
      <w:r w:rsidRPr="000E5F87">
        <w:rPr>
          <w:rFonts w:cs="Times New Roman"/>
          <w:sz w:val="20"/>
          <w:szCs w:val="20"/>
        </w:rPr>
        <w:t xml:space="preserve"> Proportion of patients presenting with acute chest pain, or other symptoms suggestive of an acute coronary syndrome (ACS), whose care is guided by a documented chest pain assessment pathway.</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Rationale:</w:t>
      </w:r>
      <w:r w:rsidRPr="000E5F87">
        <w:rPr>
          <w:rFonts w:cs="Times New Roman"/>
          <w:sz w:val="20"/>
          <w:szCs w:val="20"/>
        </w:rPr>
        <w:t xml:space="preserve"> Adherence to using and documenting the chest pain assessment pathway optimises patient outcomes in the management of ACS.</w:t>
      </w:r>
    </w:p>
    <w:p w:rsidR="001423B0" w:rsidRDefault="001423B0" w:rsidP="001423B0">
      <w:pPr>
        <w:pStyle w:val="x01-heading-level-3"/>
        <w:rPr>
          <w:rFonts w:cs="Times New Roman"/>
        </w:rPr>
      </w:pPr>
      <w:r>
        <w:rPr>
          <w:rFonts w:cs="Times New Roman"/>
        </w:rPr>
        <w:t>Collection and usage attributes</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Computation:</w:t>
      </w:r>
      <w:r w:rsidRPr="000E5F87">
        <w:rPr>
          <w:rFonts w:cs="Times New Roman"/>
          <w:sz w:val="20"/>
          <w:szCs w:val="20"/>
        </w:rPr>
        <w:t xml:space="preserve"> </w:t>
      </w:r>
      <w:r w:rsidRPr="000E5F87">
        <w:rPr>
          <w:rStyle w:val="x02-body-italic"/>
          <w:rFonts w:cs="Times New Roman"/>
          <w:sz w:val="20"/>
          <w:szCs w:val="20"/>
        </w:rPr>
        <w:t>(Numerator ÷ denominator) x 100</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Numerator:</w:t>
      </w:r>
      <w:r w:rsidRPr="000E5F87">
        <w:rPr>
          <w:rFonts w:cs="Times New Roman"/>
          <w:sz w:val="20"/>
          <w:szCs w:val="20"/>
        </w:rPr>
        <w:t xml:space="preserve"> Total number of patients presenting to hospital with acute chest pain, or other symptoms suggestive of ACS, whose care is guided by a documented chest pain assessment pathway.</w:t>
      </w:r>
    </w:p>
    <w:p w:rsidR="001423B0" w:rsidRPr="000E5F87" w:rsidRDefault="001423B0" w:rsidP="001423B0">
      <w:pPr>
        <w:pStyle w:val="x02-body-copy-before-bullet"/>
        <w:rPr>
          <w:rStyle w:val="x02-body-italic-underline"/>
          <w:sz w:val="20"/>
          <w:szCs w:val="20"/>
        </w:rPr>
      </w:pPr>
      <w:r w:rsidRPr="000E5F87">
        <w:rPr>
          <w:rStyle w:val="x02-body-medium"/>
          <w:rFonts w:cs="Times New Roman"/>
          <w:sz w:val="20"/>
          <w:szCs w:val="20"/>
        </w:rPr>
        <w:t>Numerator criteria:</w:t>
      </w:r>
      <w:r w:rsidRPr="000E5F87">
        <w:rPr>
          <w:rFonts w:cs="Times New Roman"/>
          <w:sz w:val="20"/>
          <w:szCs w:val="20"/>
        </w:rPr>
        <w:t xml:space="preserve"> </w:t>
      </w:r>
      <w:r w:rsidRPr="000E5F87">
        <w:rPr>
          <w:rStyle w:val="x02-body-italic-underline"/>
          <w:rFonts w:cs="Times New Roman"/>
          <w:sz w:val="20"/>
          <w:szCs w:val="20"/>
        </w:rPr>
        <w:t>Inclusions</w:t>
      </w:r>
    </w:p>
    <w:p w:rsidR="001423B0" w:rsidRPr="000E5F87" w:rsidRDefault="001423B0" w:rsidP="001423B0">
      <w:pPr>
        <w:pStyle w:val="x02-body-copy-before-bullet"/>
        <w:rPr>
          <w:rFonts w:cs="Times New Roman"/>
          <w:sz w:val="20"/>
          <w:szCs w:val="20"/>
        </w:rPr>
      </w:pPr>
      <w:r w:rsidRPr="000E5F87">
        <w:rPr>
          <w:rFonts w:cs="Times New Roman"/>
          <w:sz w:val="20"/>
          <w:szCs w:val="20"/>
        </w:rPr>
        <w:t>Patients with a final diagnosis of unstable angina (UA) (I20.x) or acute myocardial infarction (I21.x).</w:t>
      </w:r>
      <w:r w:rsidRPr="000E5F87">
        <w:rPr>
          <w:rStyle w:val="x02-body-superscript"/>
          <w:rFonts w:cs="Times New Roman"/>
          <w:sz w:val="20"/>
          <w:szCs w:val="20"/>
        </w:rPr>
        <w:t>a</w:t>
      </w:r>
    </w:p>
    <w:p w:rsidR="001423B0" w:rsidRPr="000E5F87" w:rsidRDefault="001423B0" w:rsidP="001423B0">
      <w:pPr>
        <w:pStyle w:val="x02-body-copy-before-bullet"/>
        <w:rPr>
          <w:rFonts w:cs="Times New Roman"/>
          <w:sz w:val="20"/>
          <w:szCs w:val="20"/>
        </w:rPr>
      </w:pPr>
      <w:r w:rsidRPr="000E5F87">
        <w:rPr>
          <w:rFonts w:cs="Times New Roman"/>
          <w:sz w:val="20"/>
          <w:szCs w:val="20"/>
        </w:rPr>
        <w:t>Care type = ‘1’ (acute care).</w:t>
      </w:r>
      <w:r w:rsidRPr="000E5F87">
        <w:rPr>
          <w:rStyle w:val="x02-body-superscript"/>
          <w:rFonts w:cs="Times New Roman"/>
          <w:sz w:val="20"/>
          <w:szCs w:val="20"/>
        </w:rPr>
        <w:t>b</w:t>
      </w:r>
      <w:r w:rsidRPr="000E5F87">
        <w:rPr>
          <w:rFonts w:cs="Times New Roman"/>
          <w:sz w:val="20"/>
          <w:szCs w:val="20"/>
        </w:rPr>
        <w:t xml:space="preserve"> </w:t>
      </w:r>
    </w:p>
    <w:p w:rsidR="001423B0" w:rsidRPr="000E5F87" w:rsidRDefault="001423B0" w:rsidP="001423B0">
      <w:pPr>
        <w:pStyle w:val="x02-body-copy"/>
        <w:rPr>
          <w:rFonts w:cs="Times New Roman"/>
          <w:sz w:val="20"/>
          <w:szCs w:val="20"/>
        </w:rPr>
      </w:pPr>
      <w:r w:rsidRPr="000E5F87">
        <w:rPr>
          <w:rStyle w:val="x02-body-italic-underline"/>
          <w:rFonts w:cs="Times New Roman"/>
          <w:sz w:val="20"/>
          <w:szCs w:val="20"/>
        </w:rPr>
        <w:t>Exclusions</w:t>
      </w:r>
      <w:r w:rsidRPr="000E5F87">
        <w:rPr>
          <w:rFonts w:cs="Times New Roman"/>
          <w:sz w:val="20"/>
          <w:szCs w:val="20"/>
        </w:rPr>
        <w:t xml:space="preserve"> </w:t>
      </w:r>
    </w:p>
    <w:p w:rsidR="001423B0" w:rsidRPr="000E5F87" w:rsidRDefault="001423B0" w:rsidP="001423B0">
      <w:pPr>
        <w:pStyle w:val="x02-body-copy"/>
        <w:rPr>
          <w:rFonts w:cs="Times New Roman"/>
          <w:sz w:val="20"/>
          <w:szCs w:val="20"/>
        </w:rPr>
      </w:pPr>
      <w:r w:rsidRPr="000E5F87">
        <w:rPr>
          <w:rFonts w:cs="Times New Roman"/>
          <w:sz w:val="20"/>
          <w:szCs w:val="20"/>
        </w:rPr>
        <w:t>N/A.</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Denominator:</w:t>
      </w:r>
      <w:r w:rsidRPr="000E5F87">
        <w:rPr>
          <w:rFonts w:cs="Times New Roman"/>
          <w:sz w:val="20"/>
          <w:szCs w:val="20"/>
        </w:rPr>
        <w:t xml:space="preserve"> Total number of patients presenting to hospital with acute chest pain or other symptoms suggestive of ACS.</w:t>
      </w:r>
    </w:p>
    <w:p w:rsidR="001423B0" w:rsidRPr="000E5F87" w:rsidRDefault="001423B0" w:rsidP="001423B0">
      <w:pPr>
        <w:pStyle w:val="x02-body-copy-before-bullet"/>
        <w:rPr>
          <w:rStyle w:val="x02-body-medium"/>
          <w:sz w:val="20"/>
          <w:szCs w:val="20"/>
        </w:rPr>
      </w:pPr>
      <w:r w:rsidRPr="000E5F87">
        <w:rPr>
          <w:rStyle w:val="x02-body-medium"/>
          <w:rFonts w:cs="Times New Roman"/>
          <w:sz w:val="20"/>
          <w:szCs w:val="20"/>
        </w:rPr>
        <w:t>Denominator</w:t>
      </w:r>
    </w:p>
    <w:p w:rsidR="001423B0" w:rsidRPr="000E5F87" w:rsidRDefault="001423B0" w:rsidP="001423B0">
      <w:pPr>
        <w:pStyle w:val="x02-body-copy-before-bullet"/>
        <w:rPr>
          <w:rFonts w:cs="Times New Roman"/>
          <w:sz w:val="20"/>
          <w:szCs w:val="20"/>
        </w:rPr>
      </w:pPr>
      <w:r w:rsidRPr="000E5F87">
        <w:rPr>
          <w:rStyle w:val="x02-body-medium"/>
          <w:rFonts w:cs="Times New Roman"/>
          <w:sz w:val="20"/>
          <w:szCs w:val="20"/>
        </w:rPr>
        <w:t>criteria:</w:t>
      </w:r>
      <w:r w:rsidRPr="000E5F87">
        <w:rPr>
          <w:rFonts w:cs="Times New Roman"/>
          <w:sz w:val="20"/>
          <w:szCs w:val="20"/>
        </w:rPr>
        <w:t xml:space="preserve"> </w:t>
      </w:r>
      <w:r w:rsidRPr="000E5F87">
        <w:rPr>
          <w:rStyle w:val="x02-body-italic-underline"/>
          <w:rFonts w:cs="Times New Roman"/>
          <w:sz w:val="20"/>
          <w:szCs w:val="20"/>
        </w:rPr>
        <w:t>Inclusions</w:t>
      </w:r>
      <w:r w:rsidRPr="000E5F87">
        <w:rPr>
          <w:rFonts w:cs="Times New Roman"/>
          <w:sz w:val="20"/>
          <w:szCs w:val="20"/>
        </w:rPr>
        <w:t xml:space="preserve"> </w:t>
      </w:r>
    </w:p>
    <w:p w:rsidR="001423B0" w:rsidRPr="000E5F87" w:rsidRDefault="001423B0" w:rsidP="001423B0">
      <w:pPr>
        <w:pStyle w:val="x02-body-copy-before-bullet"/>
        <w:rPr>
          <w:rFonts w:cs="Times New Roman"/>
          <w:sz w:val="20"/>
          <w:szCs w:val="20"/>
        </w:rPr>
      </w:pPr>
      <w:r w:rsidRPr="000E5F87">
        <w:rPr>
          <w:rFonts w:cs="Times New Roman"/>
          <w:sz w:val="20"/>
          <w:szCs w:val="20"/>
        </w:rPr>
        <w:t>Patients with a final diagnosis of UA (I20.x) or acute myocardial infarction (I21.x).</w:t>
      </w:r>
      <w:r w:rsidRPr="000E5F87">
        <w:rPr>
          <w:rStyle w:val="x02-body-superscript"/>
          <w:rFonts w:cs="Times New Roman"/>
          <w:sz w:val="20"/>
          <w:szCs w:val="20"/>
        </w:rPr>
        <w:t>a</w:t>
      </w:r>
      <w:r w:rsidRPr="000E5F87">
        <w:rPr>
          <w:rFonts w:cs="Times New Roman"/>
          <w:sz w:val="20"/>
          <w:szCs w:val="20"/>
        </w:rPr>
        <w:t xml:space="preserve"> </w:t>
      </w:r>
    </w:p>
    <w:p w:rsidR="001423B0" w:rsidRPr="000E5F87" w:rsidRDefault="001423B0" w:rsidP="001423B0">
      <w:pPr>
        <w:pStyle w:val="x02-body-copy-before-bullet"/>
        <w:rPr>
          <w:rFonts w:cs="Times New Roman"/>
          <w:sz w:val="20"/>
          <w:szCs w:val="20"/>
        </w:rPr>
      </w:pPr>
      <w:r w:rsidRPr="000E5F87">
        <w:rPr>
          <w:rFonts w:cs="Times New Roman"/>
          <w:sz w:val="20"/>
          <w:szCs w:val="20"/>
        </w:rPr>
        <w:t>Care type = ‘1’ (acute care).</w:t>
      </w:r>
      <w:r w:rsidRPr="000E5F87">
        <w:rPr>
          <w:rStyle w:val="x02-body-superscript"/>
          <w:rFonts w:cs="Times New Roman"/>
          <w:sz w:val="20"/>
          <w:szCs w:val="20"/>
        </w:rPr>
        <w:t>b</w:t>
      </w:r>
      <w:r w:rsidRPr="000E5F87">
        <w:rPr>
          <w:rFonts w:cs="Times New Roman"/>
          <w:sz w:val="20"/>
          <w:szCs w:val="20"/>
        </w:rPr>
        <w:t xml:space="preserve"> </w:t>
      </w:r>
    </w:p>
    <w:p w:rsidR="001423B0" w:rsidRPr="000E5F87" w:rsidRDefault="001423B0" w:rsidP="001423B0">
      <w:pPr>
        <w:pStyle w:val="x02-body-copy"/>
        <w:rPr>
          <w:rStyle w:val="x02-body-italic-underline"/>
          <w:sz w:val="20"/>
          <w:szCs w:val="20"/>
        </w:rPr>
      </w:pPr>
      <w:r w:rsidRPr="000E5F87">
        <w:rPr>
          <w:rStyle w:val="x02-body-italic-underline"/>
          <w:rFonts w:cs="Times New Roman"/>
          <w:sz w:val="20"/>
          <w:szCs w:val="20"/>
        </w:rPr>
        <w:t>Exclusions</w:t>
      </w:r>
    </w:p>
    <w:p w:rsidR="001423B0" w:rsidRPr="000E5F87" w:rsidRDefault="001423B0" w:rsidP="001423B0">
      <w:pPr>
        <w:pStyle w:val="x02-body-copy"/>
        <w:rPr>
          <w:rFonts w:cs="Times New Roman"/>
          <w:sz w:val="20"/>
          <w:szCs w:val="20"/>
        </w:rPr>
      </w:pPr>
      <w:r w:rsidRPr="000E5F87">
        <w:rPr>
          <w:rFonts w:cs="Times New Roman"/>
          <w:sz w:val="20"/>
          <w:szCs w:val="20"/>
        </w:rPr>
        <w:t>N/A.</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Setting:</w:t>
      </w:r>
      <w:r w:rsidRPr="000E5F87">
        <w:rPr>
          <w:rFonts w:cs="Times New Roman"/>
          <w:sz w:val="20"/>
          <w:szCs w:val="20"/>
        </w:rPr>
        <w:t xml:space="preserve"> Acute/hospital.</w:t>
      </w:r>
    </w:p>
    <w:p w:rsidR="001423B0" w:rsidRDefault="001423B0" w:rsidP="001423B0">
      <w:pPr>
        <w:pStyle w:val="x02-body-copy"/>
        <w:rPr>
          <w:rFonts w:cs="Times New Roman"/>
          <w:sz w:val="20"/>
          <w:szCs w:val="20"/>
        </w:rPr>
      </w:pPr>
      <w:r w:rsidRPr="000E5F87">
        <w:rPr>
          <w:rStyle w:val="x02-body-medium"/>
          <w:rFonts w:cs="Times New Roman"/>
          <w:sz w:val="20"/>
          <w:szCs w:val="20"/>
        </w:rPr>
        <w:t>Comments:</w:t>
      </w:r>
      <w:r w:rsidRPr="000E5F87">
        <w:rPr>
          <w:rFonts w:cs="Times New Roman"/>
          <w:sz w:val="20"/>
          <w:szCs w:val="20"/>
        </w:rPr>
        <w:t xml:space="preserve"> Assessment is still indicated for patients with advanced care directives, on a palliative care pathway, subject to discussion with patients, family and carers.</w:t>
      </w:r>
    </w:p>
    <w:p w:rsidR="001423B0" w:rsidRPr="000E5F87" w:rsidRDefault="001423B0" w:rsidP="001423B0">
      <w:pPr>
        <w:pStyle w:val="x02-body-copy"/>
        <w:rPr>
          <w:rFonts w:cs="Times New Roman"/>
          <w:sz w:val="20"/>
          <w:szCs w:val="20"/>
        </w:rPr>
      </w:pPr>
    </w:p>
    <w:p w:rsidR="001423B0" w:rsidRDefault="001423B0" w:rsidP="001423B0">
      <w:pPr>
        <w:pStyle w:val="x04-footnotes"/>
        <w:rPr>
          <w:rFonts w:cs="Times New Roman"/>
        </w:rPr>
      </w:pPr>
      <w:r>
        <w:rPr>
          <w:rFonts w:cs="Times New Roman"/>
        </w:rPr>
        <w:t>a ICD-10AM (</w:t>
      </w:r>
      <w:r w:rsidR="005E788C">
        <w:rPr>
          <w:rFonts w:cs="Times New Roman"/>
        </w:rPr>
        <w:t>9</w:t>
      </w:r>
      <w:r>
        <w:rPr>
          <w:rFonts w:cs="Times New Roman"/>
        </w:rPr>
        <w:t>th edition).</w:t>
      </w:r>
    </w:p>
    <w:p w:rsidR="001423B0" w:rsidRDefault="001423B0" w:rsidP="001423B0">
      <w:pPr>
        <w:pStyle w:val="x04-footnotes"/>
      </w:pPr>
      <w:r>
        <w:t xml:space="preserve">b </w:t>
      </w:r>
      <w:proofErr w:type="spellStart"/>
      <w:r>
        <w:t>METeOR</w:t>
      </w:r>
      <w:proofErr w:type="spellEnd"/>
      <w:r>
        <w:t xml:space="preserve"> identifier: 491557.</w:t>
      </w:r>
    </w:p>
    <w:p w:rsidR="001423B0" w:rsidRDefault="001423B0" w:rsidP="001423B0">
      <w:pPr>
        <w:rPr>
          <w:rFonts w:cs="Times New Roman"/>
          <w:b/>
          <w:bCs/>
          <w:color w:val="4D4F4D"/>
          <w:sz w:val="28"/>
          <w:szCs w:val="28"/>
        </w:rPr>
      </w:pPr>
    </w:p>
    <w:p w:rsidR="001423B0" w:rsidRDefault="001423B0" w:rsidP="001423B0">
      <w:pPr>
        <w:pStyle w:val="x01-heading-level-3"/>
        <w:rPr>
          <w:rFonts w:cs="Times New Roman"/>
        </w:rPr>
      </w:pPr>
      <w:r>
        <w:rPr>
          <w:rFonts w:cs="Times New Roman"/>
        </w:rPr>
        <w:lastRenderedPageBreak/>
        <w:t>Reference</w:t>
      </w:r>
    </w:p>
    <w:p w:rsidR="001423B0" w:rsidRDefault="001423B0" w:rsidP="001423B0">
      <w:pPr>
        <w:pStyle w:val="x04-footnotes"/>
        <w:rPr>
          <w:rStyle w:val="x02-body-medium"/>
          <w:b w:val="0"/>
          <w:bCs/>
          <w:color w:val="4D4F4D"/>
          <w:sz w:val="28"/>
          <w:szCs w:val="28"/>
        </w:rPr>
      </w:pPr>
      <w:r>
        <w:rPr>
          <w:rStyle w:val="x02-body-medium"/>
          <w:rFonts w:cs="Times New Roman"/>
        </w:rPr>
        <w:t xml:space="preserve">Supplementary source: </w:t>
      </w:r>
    </w:p>
    <w:p w:rsidR="001423B0" w:rsidRDefault="001423B0" w:rsidP="001423B0">
      <w:pPr>
        <w:pStyle w:val="x04-footnotes"/>
        <w:ind w:left="142" w:hanging="142"/>
        <w:rPr>
          <w:rFonts w:cs="Times New Roman"/>
        </w:rPr>
      </w:pPr>
      <w:r>
        <w:rPr>
          <w:rFonts w:cs="Times New Roman"/>
        </w:rPr>
        <w:t>1. Acute Coronary Syndrome Guidelines Working Group. Guidelines for the management of acute coronary syndromes 2006. Medical Journal of Australia. 2006;184(8):S1–S30.</w:t>
      </w:r>
    </w:p>
    <w:p w:rsidR="001423B0" w:rsidRDefault="001423B0" w:rsidP="001423B0">
      <w:pPr>
        <w:pStyle w:val="x04-footnotes"/>
        <w:ind w:left="142" w:hanging="142"/>
        <w:rPr>
          <w:rFonts w:eastAsia="Times New Roman" w:cs="Times New Roman"/>
          <w:noProof/>
          <w:lang w:eastAsia="en-AU"/>
        </w:rPr>
      </w:pPr>
    </w:p>
    <w:p w:rsidR="001423B0" w:rsidRDefault="001423B0" w:rsidP="001423B0">
      <w:pPr>
        <w:pStyle w:val="x04-footnotes"/>
        <w:ind w:left="142" w:hanging="142"/>
        <w:rPr>
          <w:rFonts w:eastAsia="Times New Roman" w:cs="Times New Roman"/>
          <w:noProof/>
          <w:lang w:eastAsia="en-AU"/>
        </w:rPr>
      </w:pPr>
    </w:p>
    <w:p w:rsidR="001423B0" w:rsidRDefault="001423B0" w:rsidP="001423B0">
      <w:pPr>
        <w:pStyle w:val="x04-footnotes"/>
        <w:ind w:left="142" w:hanging="142"/>
        <w:rPr>
          <w:rFonts w:cs="Times New Roman"/>
        </w:rPr>
      </w:pPr>
      <w:r w:rsidRPr="000E5F87">
        <w:rPr>
          <w:rFonts w:eastAsia="Times New Roman" w:cs="Times New Roman"/>
          <w:noProof/>
          <w:lang w:eastAsia="en-AU"/>
        </w:rPr>
        <w:t xml:space="preserve"> </w:t>
      </w:r>
    </w:p>
    <w:p w:rsidR="001423B0" w:rsidRDefault="001423B0" w:rsidP="001423B0">
      <w:pPr>
        <w:rPr>
          <w:rFonts w:eastAsia="Times New Roman" w:cs="Times New Roman"/>
        </w:rPr>
      </w:pPr>
      <w:r>
        <w:rPr>
          <w:rFonts w:eastAsia="Times New Roman" w:cs="Times New Roman"/>
          <w:noProof/>
          <w:lang w:eastAsia="en-AU"/>
        </w:rPr>
        <w:drawing>
          <wp:inline distT="0" distB="0" distL="0" distR="0" wp14:anchorId="55528A75" wp14:editId="5A967B46">
            <wp:extent cx="3434397" cy="3418158"/>
            <wp:effectExtent l="0" t="0" r="0" b="0"/>
            <wp:docPr id="1" name="Picture 1" descr="Logo - heart " title="Quality statement 1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_Attack.png"/>
                    <pic:cNvPicPr/>
                  </pic:nvPicPr>
                  <pic:blipFill>
                    <a:blip r:embed="rId14">
                      <a:alphaModFix amt="26000"/>
                      <a:extLst>
                        <a:ext uri="{28A0092B-C50C-407E-A947-70E740481C1C}">
                          <a14:useLocalDpi xmlns:a14="http://schemas.microsoft.com/office/drawing/2010/main" val="0"/>
                        </a:ext>
                      </a:extLst>
                    </a:blip>
                    <a:stretch>
                      <a:fillRect/>
                    </a:stretch>
                  </pic:blipFill>
                  <pic:spPr>
                    <a:xfrm>
                      <a:off x="0" y="0"/>
                      <a:ext cx="3435757" cy="3419512"/>
                    </a:xfrm>
                    <a:prstGeom prst="rect">
                      <a:avLst/>
                    </a:prstGeom>
                  </pic:spPr>
                </pic:pic>
              </a:graphicData>
            </a:graphic>
          </wp:inline>
        </w:drawing>
      </w:r>
    </w:p>
    <w:p w:rsidR="001423B0" w:rsidRDefault="001423B0" w:rsidP="001423B0">
      <w:pPr>
        <w:rPr>
          <w:rFonts w:cs="Times New Roman"/>
          <w:b/>
          <w:bCs/>
          <w:color w:val="00988E"/>
          <w:sz w:val="40"/>
          <w:szCs w:val="40"/>
        </w:rPr>
      </w:pPr>
      <w:r>
        <w:rPr>
          <w:rFonts w:cs="Times New Roman"/>
        </w:rPr>
        <w:br w:type="page"/>
      </w:r>
    </w:p>
    <w:p w:rsidR="001423B0" w:rsidRDefault="001423B0" w:rsidP="001423B0">
      <w:pPr>
        <w:pStyle w:val="x01-heading-level-1"/>
        <w:rPr>
          <w:rFonts w:cs="Times New Roman"/>
        </w:rPr>
      </w:pPr>
      <w:bookmarkStart w:id="6" w:name="_Toc278988958"/>
      <w:r>
        <w:rPr>
          <w:rFonts w:cs="Times New Roman"/>
        </w:rPr>
        <w:lastRenderedPageBreak/>
        <w:t>Quality statement 2 – Early assessment</w:t>
      </w:r>
      <w:bookmarkEnd w:id="6"/>
    </w:p>
    <w:p w:rsidR="001423B0" w:rsidRDefault="001423B0" w:rsidP="001423B0">
      <w:pPr>
        <w:pStyle w:val="x02-intro"/>
        <w:rPr>
          <w:rFonts w:cs="Times New Roman"/>
        </w:rPr>
      </w:pPr>
      <w:r>
        <w:rPr>
          <w:rFonts w:cs="Times New Roman"/>
        </w:rPr>
        <w:t>A patient with acute chest pain or other symptoms suggestive of an acute coronary syndrome receives a 12-lead electrocardiogram (ECG) and the results are analysed by a clinician experienced in interpreting an ECG within 10 minutes of the first emergency clinical contact.</w:t>
      </w:r>
    </w:p>
    <w:p w:rsidR="001423B0" w:rsidRDefault="001423B0" w:rsidP="001423B0">
      <w:pPr>
        <w:pStyle w:val="heading-level-3-aqua"/>
        <w:rPr>
          <w:rFonts w:cs="Times New Roman"/>
        </w:rPr>
      </w:pPr>
      <w:bookmarkStart w:id="7" w:name="_Toc278988959"/>
      <w:r>
        <w:rPr>
          <w:rFonts w:cs="Times New Roman"/>
        </w:rPr>
        <w:t>Indicators 2a: Ambulances equipped with 12-lead ECG</w:t>
      </w:r>
      <w:bookmarkEnd w:id="7"/>
    </w:p>
    <w:p w:rsidR="001423B0" w:rsidRDefault="001423B0" w:rsidP="001423B0">
      <w:pPr>
        <w:pStyle w:val="x01-heading-level-3"/>
        <w:rPr>
          <w:rFonts w:cs="Times New Roman"/>
        </w:rPr>
      </w:pPr>
      <w:r>
        <w:rPr>
          <w:rFonts w:cs="Times New Roman"/>
        </w:rPr>
        <w:t>Definitional attributes</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Name:</w:t>
      </w:r>
      <w:r w:rsidRPr="000E5F87">
        <w:rPr>
          <w:rFonts w:cs="Times New Roman"/>
          <w:sz w:val="20"/>
          <w:szCs w:val="20"/>
        </w:rPr>
        <w:t xml:space="preserve"> Proportion of ambulances that respond to acute chest pain calls that are equipped with a 12-lead ECG in the reference ambulance service.</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Rationale:</w:t>
      </w:r>
      <w:r w:rsidRPr="000E5F87">
        <w:rPr>
          <w:rFonts w:cs="Times New Roman"/>
          <w:sz w:val="20"/>
          <w:szCs w:val="20"/>
        </w:rPr>
        <w:t xml:space="preserve"> Early diagnosis allows the ambulance to initiate treatment and alert the emergency department (ED) with the diagnostic information to optimise door-to-needle time and time to other interventions. The </w:t>
      </w:r>
      <w:r w:rsidRPr="000E5F87">
        <w:rPr>
          <w:rStyle w:val="x02-body-italic"/>
          <w:rFonts w:cs="Times New Roman"/>
          <w:sz w:val="20"/>
          <w:szCs w:val="20"/>
        </w:rPr>
        <w:t>Guidelines for the management of acute coronary syndromes</w:t>
      </w:r>
      <w:r w:rsidRPr="000E5F87">
        <w:rPr>
          <w:rFonts w:cs="Times New Roman"/>
          <w:sz w:val="20"/>
          <w:szCs w:val="20"/>
        </w:rPr>
        <w:t xml:space="preserve"> (The</w:t>
      </w:r>
      <w:r w:rsidRPr="000E5F87">
        <w:rPr>
          <w:rStyle w:val="x02-body-italic"/>
          <w:rFonts w:cs="Times New Roman"/>
          <w:sz w:val="20"/>
          <w:szCs w:val="20"/>
        </w:rPr>
        <w:t xml:space="preserve"> Guidelines</w:t>
      </w:r>
      <w:r w:rsidRPr="000E5F87">
        <w:rPr>
          <w:rFonts w:cs="Times New Roman"/>
          <w:sz w:val="20"/>
          <w:szCs w:val="20"/>
        </w:rPr>
        <w:t xml:space="preserve">) recommend that ‘a 12-lead ECG should be taken </w:t>
      </w:r>
      <w:proofErr w:type="spellStart"/>
      <w:r w:rsidRPr="000E5F87">
        <w:rPr>
          <w:rFonts w:cs="Times New Roman"/>
          <w:sz w:val="20"/>
          <w:szCs w:val="20"/>
        </w:rPr>
        <w:t>en</w:t>
      </w:r>
      <w:proofErr w:type="spellEnd"/>
      <w:r w:rsidRPr="000E5F87">
        <w:rPr>
          <w:rFonts w:cs="Times New Roman"/>
          <w:sz w:val="20"/>
          <w:szCs w:val="20"/>
        </w:rPr>
        <w:t xml:space="preserve"> route and transmitted to a medical facility.’</w:t>
      </w:r>
      <w:r w:rsidRPr="000E5F87">
        <w:rPr>
          <w:rStyle w:val="x02-body-superscript"/>
          <w:rFonts w:cs="Times New Roman"/>
          <w:sz w:val="20"/>
          <w:szCs w:val="20"/>
        </w:rPr>
        <w:t>1</w:t>
      </w:r>
    </w:p>
    <w:p w:rsidR="001423B0" w:rsidRDefault="001423B0" w:rsidP="001423B0">
      <w:pPr>
        <w:pStyle w:val="x01-heading-level-3"/>
        <w:rPr>
          <w:rFonts w:cs="Times New Roman"/>
        </w:rPr>
      </w:pPr>
      <w:r>
        <w:rPr>
          <w:rFonts w:cs="Times New Roman"/>
        </w:rPr>
        <w:t>Collection and usage attributes</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Computation:</w:t>
      </w:r>
      <w:r w:rsidRPr="000E5F87">
        <w:rPr>
          <w:rFonts w:cs="Times New Roman"/>
          <w:sz w:val="20"/>
          <w:szCs w:val="20"/>
        </w:rPr>
        <w:t xml:space="preserve"> </w:t>
      </w:r>
      <w:r w:rsidRPr="000E5F87">
        <w:rPr>
          <w:rStyle w:val="x02-body-italic"/>
          <w:rFonts w:cs="Times New Roman"/>
          <w:sz w:val="20"/>
          <w:szCs w:val="20"/>
        </w:rPr>
        <w:t>(Numerator ÷ denominator) x 100</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Numerator:</w:t>
      </w:r>
      <w:r w:rsidRPr="000E5F87">
        <w:rPr>
          <w:rFonts w:cs="Times New Roman"/>
          <w:sz w:val="20"/>
          <w:szCs w:val="20"/>
        </w:rPr>
        <w:t xml:space="preserve"> Total number of eligible ambulances (those that respond to acute chest pain calls) equipped with 12-lead ECG.</w:t>
      </w:r>
    </w:p>
    <w:p w:rsidR="001423B0" w:rsidRPr="000E5F87" w:rsidRDefault="001423B0" w:rsidP="001423B0">
      <w:pPr>
        <w:pStyle w:val="x02-body-copy"/>
        <w:rPr>
          <w:rStyle w:val="x02-body-italic-underline"/>
          <w:sz w:val="20"/>
          <w:szCs w:val="20"/>
        </w:rPr>
      </w:pPr>
      <w:r w:rsidRPr="000E5F87">
        <w:rPr>
          <w:rStyle w:val="x02-body-medium"/>
          <w:rFonts w:cs="Times New Roman"/>
          <w:sz w:val="20"/>
          <w:szCs w:val="20"/>
        </w:rPr>
        <w:t>Numerator criteria:</w:t>
      </w:r>
      <w:r w:rsidRPr="000E5F87">
        <w:rPr>
          <w:rFonts w:cs="Times New Roman"/>
          <w:sz w:val="20"/>
          <w:szCs w:val="20"/>
        </w:rPr>
        <w:t xml:space="preserve"> </w:t>
      </w:r>
      <w:r w:rsidRPr="000E5F87">
        <w:rPr>
          <w:rStyle w:val="x02-body-italic-underline"/>
          <w:rFonts w:cs="Times New Roman"/>
          <w:sz w:val="20"/>
          <w:szCs w:val="20"/>
        </w:rPr>
        <w:t>Inclusions</w:t>
      </w:r>
    </w:p>
    <w:p w:rsidR="001423B0" w:rsidRPr="000E5F87" w:rsidRDefault="001423B0" w:rsidP="001423B0">
      <w:pPr>
        <w:pStyle w:val="x02-body-copy"/>
        <w:rPr>
          <w:rFonts w:cs="Times New Roman"/>
          <w:sz w:val="20"/>
          <w:szCs w:val="20"/>
        </w:rPr>
      </w:pPr>
      <w:r w:rsidRPr="000E5F87">
        <w:rPr>
          <w:rFonts w:cs="Times New Roman"/>
          <w:sz w:val="20"/>
          <w:szCs w:val="20"/>
        </w:rPr>
        <w:t>Eligible ambulances equipped with 12-lead ECG in the reference ambulance service or Local Hospital Network (LHN).</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Denominator:</w:t>
      </w:r>
      <w:r w:rsidRPr="000E5F87">
        <w:rPr>
          <w:rFonts w:cs="Times New Roman"/>
          <w:sz w:val="20"/>
          <w:szCs w:val="20"/>
        </w:rPr>
        <w:t xml:space="preserve"> Total number of eligible ambulances in the reference service or LHN.</w:t>
      </w:r>
    </w:p>
    <w:p w:rsidR="001423B0" w:rsidRPr="000E5F87" w:rsidRDefault="001423B0" w:rsidP="001423B0">
      <w:pPr>
        <w:pStyle w:val="x02-body-copy-before-bullet"/>
        <w:rPr>
          <w:rStyle w:val="x02-body-italic-underline"/>
          <w:sz w:val="20"/>
          <w:szCs w:val="20"/>
        </w:rPr>
      </w:pPr>
      <w:r w:rsidRPr="000E5F87">
        <w:rPr>
          <w:rStyle w:val="x02-body-medium"/>
          <w:rFonts w:cs="Times New Roman"/>
          <w:sz w:val="20"/>
          <w:szCs w:val="20"/>
        </w:rPr>
        <w:t>Denominator criteria:</w:t>
      </w:r>
      <w:r w:rsidRPr="000E5F87">
        <w:rPr>
          <w:rFonts w:cs="Times New Roman"/>
          <w:sz w:val="20"/>
          <w:szCs w:val="20"/>
        </w:rPr>
        <w:t xml:space="preserve"> </w:t>
      </w:r>
      <w:r w:rsidRPr="000E5F87">
        <w:rPr>
          <w:rStyle w:val="x02-body-italic-underline"/>
          <w:rFonts w:cs="Times New Roman"/>
          <w:sz w:val="20"/>
          <w:szCs w:val="20"/>
        </w:rPr>
        <w:t>Inclusions</w:t>
      </w:r>
    </w:p>
    <w:p w:rsidR="001423B0" w:rsidRPr="000E5F87" w:rsidRDefault="001423B0" w:rsidP="001423B0">
      <w:pPr>
        <w:pStyle w:val="x02-body-copy-before-bullet"/>
        <w:rPr>
          <w:rFonts w:cs="Times New Roman"/>
          <w:sz w:val="20"/>
          <w:szCs w:val="20"/>
        </w:rPr>
      </w:pPr>
      <w:r w:rsidRPr="000E5F87">
        <w:rPr>
          <w:rFonts w:cs="Times New Roman"/>
          <w:sz w:val="20"/>
          <w:szCs w:val="20"/>
        </w:rPr>
        <w:t>Eligible ambulances (those attending to chest pain calls) in the reference ambulance service or LHN.</w:t>
      </w:r>
    </w:p>
    <w:p w:rsidR="001423B0" w:rsidRPr="000E5F87" w:rsidRDefault="001423B0" w:rsidP="001423B0">
      <w:pPr>
        <w:pStyle w:val="x02-body-copy"/>
        <w:rPr>
          <w:rStyle w:val="x02-body-italic-underline"/>
          <w:sz w:val="20"/>
          <w:szCs w:val="20"/>
        </w:rPr>
      </w:pPr>
      <w:r w:rsidRPr="000E5F87">
        <w:rPr>
          <w:rStyle w:val="x02-body-italic-underline"/>
          <w:rFonts w:cs="Times New Roman"/>
          <w:sz w:val="20"/>
          <w:szCs w:val="20"/>
        </w:rPr>
        <w:t>Exclusions</w:t>
      </w:r>
    </w:p>
    <w:p w:rsidR="001423B0" w:rsidRPr="000E5F87" w:rsidRDefault="001423B0" w:rsidP="001423B0">
      <w:pPr>
        <w:pStyle w:val="x02-body-copy"/>
        <w:rPr>
          <w:rFonts w:cs="Times New Roman"/>
          <w:sz w:val="20"/>
          <w:szCs w:val="20"/>
        </w:rPr>
      </w:pPr>
      <w:r w:rsidRPr="000E5F87">
        <w:rPr>
          <w:rFonts w:cs="Times New Roman"/>
          <w:sz w:val="20"/>
          <w:szCs w:val="20"/>
        </w:rPr>
        <w:t>Ambulances not eligible to attend chest pain calls.</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Setting:</w:t>
      </w:r>
      <w:r w:rsidRPr="000E5F87">
        <w:rPr>
          <w:rFonts w:cs="Times New Roman"/>
          <w:sz w:val="20"/>
          <w:szCs w:val="20"/>
        </w:rPr>
        <w:t xml:space="preserve"> Ambulance.</w:t>
      </w:r>
    </w:p>
    <w:p w:rsidR="001423B0" w:rsidRPr="000E5F87" w:rsidRDefault="001423B0" w:rsidP="001423B0">
      <w:pPr>
        <w:pStyle w:val="x02-body-copy"/>
        <w:rPr>
          <w:rFonts w:cs="Times New Roman"/>
          <w:sz w:val="20"/>
          <w:szCs w:val="20"/>
        </w:rPr>
      </w:pPr>
      <w:r w:rsidRPr="000E5F87">
        <w:rPr>
          <w:rStyle w:val="x02-body-medium"/>
          <w:rFonts w:cs="Times New Roman"/>
          <w:sz w:val="20"/>
          <w:szCs w:val="20"/>
        </w:rPr>
        <w:t>Comments:</w:t>
      </w:r>
      <w:r w:rsidRPr="000E5F87">
        <w:rPr>
          <w:rFonts w:cs="Times New Roman"/>
          <w:sz w:val="20"/>
          <w:szCs w:val="20"/>
        </w:rPr>
        <w:t xml:space="preserve"> This indicator has not previously been used in Australia. It was developed through clinical consensus by the Acute Coronary Syndromes Clinical Care Standard Topic Working Group to support this quality statement.</w:t>
      </w:r>
      <w:r w:rsidRPr="000E5F87">
        <w:rPr>
          <w:rStyle w:val="x02-body-superscript"/>
          <w:rFonts w:cs="Times New Roman"/>
          <w:sz w:val="20"/>
          <w:szCs w:val="20"/>
        </w:rPr>
        <w:t>1</w:t>
      </w:r>
    </w:p>
    <w:p w:rsidR="001423B0" w:rsidRDefault="001423B0" w:rsidP="001423B0">
      <w:pPr>
        <w:pStyle w:val="x01-heading-level-3"/>
        <w:rPr>
          <w:rFonts w:cs="Times New Roman"/>
        </w:rPr>
      </w:pPr>
      <w:r>
        <w:rPr>
          <w:rFonts w:cs="Times New Roman"/>
        </w:rPr>
        <w:t>Reference</w:t>
      </w:r>
    </w:p>
    <w:p w:rsidR="001423B0" w:rsidRDefault="001423B0" w:rsidP="001423B0">
      <w:pPr>
        <w:pStyle w:val="x04-footnotes"/>
        <w:ind w:left="142" w:hanging="142"/>
        <w:rPr>
          <w:rFonts w:cs="Times New Roman"/>
        </w:rPr>
      </w:pPr>
      <w:r>
        <w:rPr>
          <w:rFonts w:cs="Times New Roman"/>
        </w:rPr>
        <w:t>1. Acute Coronary Syndrome Guidelines Working Group. Guidelines for the management of acute coronary syndromes 2006. Medical Journal of Australia. 2006;184(8):S1–S30.</w:t>
      </w:r>
    </w:p>
    <w:p w:rsidR="001423B0" w:rsidRDefault="001423B0" w:rsidP="001423B0">
      <w:pPr>
        <w:pStyle w:val="x04-footnotes"/>
        <w:rPr>
          <w:rFonts w:cs="Times New Roman"/>
        </w:rPr>
      </w:pPr>
    </w:p>
    <w:p w:rsidR="001423B0" w:rsidRDefault="001423B0" w:rsidP="001423B0">
      <w:pPr>
        <w:rPr>
          <w:rFonts w:cs="Times New Roman"/>
          <w:b/>
          <w:bCs/>
          <w:color w:val="00988E"/>
          <w:sz w:val="28"/>
          <w:szCs w:val="28"/>
        </w:rPr>
      </w:pPr>
      <w:r>
        <w:rPr>
          <w:rFonts w:cs="Times New Roman"/>
        </w:rPr>
        <w:br w:type="page"/>
      </w:r>
    </w:p>
    <w:p w:rsidR="001423B0" w:rsidRDefault="001423B0" w:rsidP="001423B0">
      <w:pPr>
        <w:pStyle w:val="heading-level-3-aqua"/>
        <w:rPr>
          <w:rFonts w:cs="Times New Roman"/>
          <w:sz w:val="2"/>
          <w:szCs w:val="2"/>
        </w:rPr>
      </w:pPr>
      <w:bookmarkStart w:id="8" w:name="_Toc278988960"/>
    </w:p>
    <w:p w:rsidR="001423B0" w:rsidRPr="000E5F87" w:rsidRDefault="001423B0" w:rsidP="001423B0">
      <w:pPr>
        <w:pStyle w:val="heading-level-3-aqua"/>
        <w:rPr>
          <w:rFonts w:cs="Times New Roman"/>
          <w:sz w:val="40"/>
          <w:szCs w:val="40"/>
        </w:rPr>
      </w:pPr>
      <w:r w:rsidRPr="000E5F87">
        <w:rPr>
          <w:rFonts w:cs="Times New Roman"/>
          <w:sz w:val="40"/>
          <w:szCs w:val="40"/>
        </w:rPr>
        <w:t xml:space="preserve">Quality statement 2 – Early assessment </w:t>
      </w:r>
    </w:p>
    <w:p w:rsidR="001423B0" w:rsidRDefault="001423B0" w:rsidP="001423B0">
      <w:pPr>
        <w:pStyle w:val="heading-level-3-aqua"/>
        <w:rPr>
          <w:rFonts w:cs="Times New Roman"/>
        </w:rPr>
      </w:pPr>
      <w:r>
        <w:rPr>
          <w:rFonts w:cs="Times New Roman"/>
        </w:rPr>
        <w:t>Indicator 2b: ECG performed within 10 minutes of arrival of ambulance</w:t>
      </w:r>
      <w:bookmarkEnd w:id="8"/>
      <w:r>
        <w:rPr>
          <w:rFonts w:cs="Times New Roman"/>
        </w:rPr>
        <w:t xml:space="preserve"> </w:t>
      </w:r>
    </w:p>
    <w:p w:rsidR="001423B0" w:rsidRDefault="001423B0" w:rsidP="001423B0">
      <w:pPr>
        <w:pStyle w:val="x01-heading-level-3"/>
        <w:rPr>
          <w:rFonts w:cs="Times New Roman"/>
        </w:rPr>
      </w:pPr>
      <w:r>
        <w:rPr>
          <w:rFonts w:cs="Times New Roman"/>
        </w:rPr>
        <w:t>Definitional attributes</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Name:</w:t>
      </w:r>
      <w:r w:rsidRPr="0097559B">
        <w:rPr>
          <w:rFonts w:cs="Times New Roman"/>
          <w:sz w:val="20"/>
          <w:szCs w:val="20"/>
        </w:rPr>
        <w:t xml:space="preserve"> Proportion of patients with chest pain with ECG performed within 10 minutes of first clinical contact, after arrival of ambulance.</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Rationale:</w:t>
      </w:r>
      <w:r w:rsidRPr="0097559B">
        <w:rPr>
          <w:rFonts w:cs="Times New Roman"/>
          <w:sz w:val="20"/>
          <w:szCs w:val="20"/>
        </w:rPr>
        <w:t xml:space="preserve"> Early diagnosis optimises door-to-needle time and time to other interventions. The time taken to record the first ECG is a good index of quality care. The </w:t>
      </w:r>
      <w:r w:rsidRPr="0097559B">
        <w:rPr>
          <w:rStyle w:val="x02-body-italic"/>
          <w:rFonts w:cs="Times New Roman"/>
          <w:sz w:val="20"/>
          <w:szCs w:val="20"/>
        </w:rPr>
        <w:t>European Society of Cardiology</w:t>
      </w:r>
      <w:r w:rsidRPr="0097559B">
        <w:rPr>
          <w:rFonts w:cs="Times New Roman"/>
          <w:sz w:val="20"/>
          <w:szCs w:val="20"/>
        </w:rPr>
        <w:t xml:space="preserve"> guidelines identify that ECG should be performed within ten minutes or less after the first </w:t>
      </w:r>
      <w:r w:rsidR="00EB6D31" w:rsidRPr="008D7C96">
        <w:rPr>
          <w:rFonts w:cs="Times New Roman"/>
          <w:sz w:val="20"/>
          <w:szCs w:val="20"/>
        </w:rPr>
        <w:t>clinical</w:t>
      </w:r>
      <w:r w:rsidRPr="0097559B">
        <w:rPr>
          <w:rFonts w:cs="Times New Roman"/>
          <w:sz w:val="20"/>
          <w:szCs w:val="20"/>
        </w:rPr>
        <w:t xml:space="preserve"> contact (either on arrival of the patient in ED or at first contact with emergency medical services in the pre-hospital setting) and immediately interpreted by a qualified physician.</w:t>
      </w:r>
      <w:r w:rsidRPr="0097559B">
        <w:rPr>
          <w:rStyle w:val="x02-body-superscript"/>
          <w:rFonts w:cs="Times New Roman"/>
          <w:sz w:val="20"/>
          <w:szCs w:val="20"/>
        </w:rPr>
        <w:t>1,2</w:t>
      </w:r>
    </w:p>
    <w:p w:rsidR="001423B0" w:rsidRDefault="001423B0" w:rsidP="001423B0">
      <w:pPr>
        <w:pStyle w:val="x01-heading-level-3"/>
        <w:rPr>
          <w:rFonts w:cs="Times New Roman"/>
        </w:rPr>
      </w:pPr>
      <w:r>
        <w:rPr>
          <w:rFonts w:cs="Times New Roman"/>
        </w:rPr>
        <w:t>Collection and usage attributes</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Computation:</w:t>
      </w:r>
      <w:r w:rsidRPr="0097559B">
        <w:rPr>
          <w:rFonts w:cs="Times New Roman"/>
          <w:sz w:val="20"/>
          <w:szCs w:val="20"/>
        </w:rPr>
        <w:t xml:space="preserve"> </w:t>
      </w:r>
      <w:r w:rsidRPr="0097559B">
        <w:rPr>
          <w:rStyle w:val="x02-body-italic"/>
          <w:rFonts w:cs="Times New Roman"/>
          <w:sz w:val="20"/>
          <w:szCs w:val="20"/>
        </w:rPr>
        <w:t>(Numerator ÷ denominator) x 100</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Numerator:</w:t>
      </w:r>
      <w:r w:rsidRPr="0097559B">
        <w:rPr>
          <w:rFonts w:cs="Times New Roman"/>
          <w:sz w:val="20"/>
          <w:szCs w:val="20"/>
        </w:rPr>
        <w:t xml:space="preserve"> Total number of patients with chest pain who receive an ECG within 10 minutes of an ambulance arrival. </w:t>
      </w:r>
    </w:p>
    <w:p w:rsidR="001423B0" w:rsidRPr="0097559B" w:rsidRDefault="001423B0" w:rsidP="001423B0">
      <w:pPr>
        <w:pStyle w:val="x02-body-copy-before-bullet"/>
        <w:rPr>
          <w:rStyle w:val="x02-body-italic-underline"/>
          <w:sz w:val="20"/>
          <w:szCs w:val="20"/>
        </w:rPr>
      </w:pPr>
      <w:r w:rsidRPr="0097559B">
        <w:rPr>
          <w:rStyle w:val="x02-body-medium"/>
          <w:rFonts w:cs="Times New Roman"/>
          <w:sz w:val="20"/>
          <w:szCs w:val="20"/>
        </w:rPr>
        <w:t>Numerator criteria:</w:t>
      </w:r>
      <w:r w:rsidRPr="0097559B">
        <w:rPr>
          <w:rFonts w:cs="Times New Roman"/>
          <w:sz w:val="20"/>
          <w:szCs w:val="20"/>
        </w:rPr>
        <w:t xml:space="preserve"> </w:t>
      </w:r>
      <w:r w:rsidRPr="0097559B">
        <w:rPr>
          <w:rStyle w:val="x02-body-italic-underline"/>
          <w:rFonts w:cs="Times New Roman"/>
          <w:sz w:val="20"/>
          <w:szCs w:val="20"/>
        </w:rPr>
        <w:t>Inclusions</w:t>
      </w:r>
    </w:p>
    <w:p w:rsidR="001423B0" w:rsidRPr="0097559B" w:rsidRDefault="001423B0" w:rsidP="001423B0">
      <w:pPr>
        <w:pStyle w:val="x02-body-copy-before-bullet"/>
        <w:rPr>
          <w:rFonts w:cs="Times New Roman"/>
          <w:sz w:val="20"/>
          <w:szCs w:val="20"/>
        </w:rPr>
      </w:pPr>
      <w:r w:rsidRPr="0097559B">
        <w:rPr>
          <w:rFonts w:cs="Times New Roman"/>
          <w:sz w:val="20"/>
          <w:szCs w:val="20"/>
        </w:rPr>
        <w:t>All patients with chest pain attended by ambulance, where a 12-lead ECG was performed within 10 minutes of first clinical contact by ambulance officers.</w:t>
      </w:r>
    </w:p>
    <w:p w:rsidR="001423B0" w:rsidRPr="0097559B" w:rsidRDefault="001423B0" w:rsidP="001423B0">
      <w:pPr>
        <w:pStyle w:val="x02-body-copy"/>
        <w:rPr>
          <w:rStyle w:val="x02-body-italic-underline"/>
          <w:sz w:val="20"/>
          <w:szCs w:val="20"/>
        </w:rPr>
      </w:pPr>
      <w:r w:rsidRPr="0097559B">
        <w:rPr>
          <w:rStyle w:val="x02-body-italic-underline"/>
          <w:rFonts w:cs="Times New Roman"/>
          <w:sz w:val="20"/>
          <w:szCs w:val="20"/>
        </w:rPr>
        <w:t>Exclusions</w:t>
      </w:r>
    </w:p>
    <w:p w:rsidR="001423B0" w:rsidRPr="0097559B" w:rsidRDefault="001423B0" w:rsidP="001423B0">
      <w:pPr>
        <w:pStyle w:val="x02-body-copy"/>
        <w:rPr>
          <w:rFonts w:cs="Times New Roman"/>
          <w:sz w:val="20"/>
          <w:szCs w:val="20"/>
        </w:rPr>
      </w:pPr>
      <w:r w:rsidRPr="0097559B">
        <w:rPr>
          <w:rFonts w:cs="Times New Roman"/>
          <w:sz w:val="20"/>
          <w:szCs w:val="20"/>
        </w:rPr>
        <w:t>Ambulance patients where ECG is performed in the absence of chest pain.</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Denominator:</w:t>
      </w:r>
      <w:r w:rsidRPr="0097559B">
        <w:rPr>
          <w:rFonts w:cs="Times New Roman"/>
          <w:sz w:val="20"/>
          <w:szCs w:val="20"/>
        </w:rPr>
        <w:t xml:space="preserve"> Total number of patients with chest pain attended to by ambulances.</w:t>
      </w:r>
    </w:p>
    <w:p w:rsidR="001423B0" w:rsidRPr="0097559B" w:rsidRDefault="001423B0" w:rsidP="001423B0">
      <w:pPr>
        <w:pStyle w:val="x02-body-copy-before-bullet"/>
        <w:rPr>
          <w:rStyle w:val="x02-body-italic-underline"/>
          <w:sz w:val="20"/>
          <w:szCs w:val="20"/>
        </w:rPr>
      </w:pPr>
      <w:r w:rsidRPr="0097559B">
        <w:rPr>
          <w:rStyle w:val="x02-body-medium"/>
          <w:rFonts w:cs="Times New Roman"/>
          <w:sz w:val="20"/>
          <w:szCs w:val="20"/>
        </w:rPr>
        <w:t>Denominator criteria:</w:t>
      </w:r>
      <w:r w:rsidRPr="0097559B">
        <w:rPr>
          <w:rFonts w:cs="Times New Roman"/>
          <w:sz w:val="20"/>
          <w:szCs w:val="20"/>
        </w:rPr>
        <w:t xml:space="preserve"> </w:t>
      </w:r>
      <w:r w:rsidRPr="0097559B">
        <w:rPr>
          <w:rStyle w:val="x02-body-italic-underline"/>
          <w:rFonts w:cs="Times New Roman"/>
          <w:sz w:val="20"/>
          <w:szCs w:val="20"/>
        </w:rPr>
        <w:t>Inclusions</w:t>
      </w:r>
    </w:p>
    <w:p w:rsidR="001423B0" w:rsidRPr="0097559B" w:rsidRDefault="001423B0" w:rsidP="001423B0">
      <w:pPr>
        <w:pStyle w:val="x02-body-copy-before-bullet"/>
        <w:rPr>
          <w:rFonts w:cs="Times New Roman"/>
          <w:b/>
          <w:sz w:val="20"/>
          <w:szCs w:val="20"/>
        </w:rPr>
      </w:pPr>
      <w:r w:rsidRPr="0097559B">
        <w:rPr>
          <w:rFonts w:cs="Times New Roman"/>
          <w:sz w:val="20"/>
          <w:szCs w:val="20"/>
        </w:rPr>
        <w:t>All patients with chest pain attended by ambulance, where a 12-lead ECG was performed by ambulance officers.</w:t>
      </w:r>
    </w:p>
    <w:p w:rsidR="001423B0" w:rsidRPr="0097559B" w:rsidRDefault="001423B0" w:rsidP="001423B0">
      <w:pPr>
        <w:pStyle w:val="x02-body-copy-before-bullet"/>
        <w:rPr>
          <w:rFonts w:cs="Times New Roman"/>
          <w:sz w:val="20"/>
          <w:szCs w:val="20"/>
        </w:rPr>
      </w:pPr>
      <w:r w:rsidRPr="0097559B">
        <w:rPr>
          <w:rFonts w:cs="Times New Roman"/>
          <w:sz w:val="20"/>
          <w:szCs w:val="20"/>
        </w:rPr>
        <w:t>All patients with chest pain attended by ambulance, where a 12-lead ECG was not performed by ambulance officers.</w:t>
      </w:r>
    </w:p>
    <w:p w:rsidR="001423B0" w:rsidRPr="0097559B" w:rsidRDefault="001423B0" w:rsidP="001423B0">
      <w:pPr>
        <w:pStyle w:val="x02-body-copy"/>
        <w:rPr>
          <w:rStyle w:val="x02-body-italic-underline"/>
          <w:sz w:val="20"/>
          <w:szCs w:val="20"/>
        </w:rPr>
      </w:pPr>
      <w:r w:rsidRPr="0097559B">
        <w:rPr>
          <w:rStyle w:val="x02-body-italic-underline"/>
          <w:rFonts w:cs="Times New Roman"/>
          <w:sz w:val="20"/>
          <w:szCs w:val="20"/>
        </w:rPr>
        <w:t>Exclusions</w:t>
      </w:r>
    </w:p>
    <w:p w:rsidR="001423B0" w:rsidRPr="0097559B" w:rsidRDefault="001423B0" w:rsidP="001423B0">
      <w:pPr>
        <w:pStyle w:val="x02-body-copy"/>
        <w:rPr>
          <w:rFonts w:cs="Times New Roman"/>
          <w:sz w:val="20"/>
          <w:szCs w:val="20"/>
        </w:rPr>
      </w:pPr>
      <w:r w:rsidRPr="0097559B">
        <w:rPr>
          <w:rFonts w:cs="Times New Roman"/>
          <w:sz w:val="20"/>
          <w:szCs w:val="20"/>
        </w:rPr>
        <w:t>Patients where an ECG is performed in the absence of chest pain.</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Setting:</w:t>
      </w:r>
      <w:r w:rsidRPr="0097559B">
        <w:rPr>
          <w:rFonts w:cs="Times New Roman"/>
          <w:sz w:val="20"/>
          <w:szCs w:val="20"/>
        </w:rPr>
        <w:t xml:space="preserve"> Ambulance.</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Comments:</w:t>
      </w:r>
      <w:r w:rsidRPr="0097559B">
        <w:rPr>
          <w:rFonts w:cs="Times New Roman"/>
          <w:sz w:val="20"/>
          <w:szCs w:val="20"/>
        </w:rPr>
        <w:t xml:space="preserve"> ‘First clinical contact’ is defined as the time that emergency medical services personnel arrive at the patient.</w:t>
      </w:r>
      <w:r w:rsidRPr="0097559B">
        <w:rPr>
          <w:rStyle w:val="x02-body-superscript"/>
          <w:rFonts w:cs="Times New Roman"/>
          <w:sz w:val="20"/>
          <w:szCs w:val="20"/>
        </w:rPr>
        <w:t>3</w:t>
      </w:r>
    </w:p>
    <w:p w:rsidR="001423B0" w:rsidRDefault="001423B0" w:rsidP="001423B0">
      <w:pPr>
        <w:rPr>
          <w:rFonts w:cs="Times New Roman"/>
          <w:b/>
          <w:bCs/>
          <w:color w:val="4D4F4D"/>
          <w:sz w:val="28"/>
          <w:szCs w:val="28"/>
        </w:rPr>
      </w:pPr>
      <w:r>
        <w:rPr>
          <w:rFonts w:cs="Times New Roman"/>
        </w:rPr>
        <w:br w:type="page"/>
      </w:r>
    </w:p>
    <w:p w:rsidR="001423B0" w:rsidRDefault="001423B0" w:rsidP="001423B0">
      <w:pPr>
        <w:pStyle w:val="x01-heading-level-3"/>
        <w:rPr>
          <w:rFonts w:cs="Times New Roman"/>
        </w:rPr>
      </w:pPr>
      <w:r>
        <w:rPr>
          <w:rFonts w:cs="Times New Roman"/>
        </w:rPr>
        <w:lastRenderedPageBreak/>
        <w:t>References</w:t>
      </w:r>
    </w:p>
    <w:p w:rsidR="001423B0" w:rsidRDefault="001423B0" w:rsidP="001423B0">
      <w:pPr>
        <w:pStyle w:val="x04-footnotes"/>
        <w:ind w:left="142" w:hanging="142"/>
        <w:rPr>
          <w:rFonts w:cs="Times New Roman"/>
        </w:rPr>
      </w:pPr>
      <w:r>
        <w:rPr>
          <w:rFonts w:cs="Times New Roman"/>
        </w:rPr>
        <w:t xml:space="preserve">1. </w:t>
      </w:r>
      <w:proofErr w:type="spellStart"/>
      <w:r>
        <w:rPr>
          <w:rFonts w:cs="Times New Roman"/>
        </w:rPr>
        <w:t>Steg</w:t>
      </w:r>
      <w:proofErr w:type="spellEnd"/>
      <w:r>
        <w:rPr>
          <w:rFonts w:cs="Times New Roman"/>
        </w:rPr>
        <w:t xml:space="preserve"> P, James SK, </w:t>
      </w:r>
      <w:proofErr w:type="spellStart"/>
      <w:r>
        <w:rPr>
          <w:rFonts w:cs="Times New Roman"/>
        </w:rPr>
        <w:t>Atar</w:t>
      </w:r>
      <w:proofErr w:type="spellEnd"/>
      <w:r>
        <w:rPr>
          <w:rFonts w:cs="Times New Roman"/>
        </w:rPr>
        <w:t xml:space="preserve"> D, et al. ESC Guidelines for the management of acute myocardial infarction in patients presenting with ST-segment-elevation. European Heart Journal. 2012;33:2569–2619.</w:t>
      </w:r>
    </w:p>
    <w:p w:rsidR="001423B0" w:rsidRDefault="001423B0" w:rsidP="001423B0">
      <w:pPr>
        <w:pStyle w:val="x04-footnotes"/>
        <w:ind w:left="142" w:hanging="142"/>
        <w:rPr>
          <w:rFonts w:cs="Times New Roman"/>
        </w:rPr>
      </w:pPr>
      <w:r>
        <w:rPr>
          <w:rFonts w:cs="Times New Roman"/>
        </w:rPr>
        <w:t xml:space="preserve">2. Hamm C, </w:t>
      </w:r>
      <w:proofErr w:type="spellStart"/>
      <w:r>
        <w:rPr>
          <w:rFonts w:cs="Times New Roman"/>
        </w:rPr>
        <w:t>Bassand</w:t>
      </w:r>
      <w:proofErr w:type="spellEnd"/>
      <w:r>
        <w:rPr>
          <w:rFonts w:cs="Times New Roman"/>
        </w:rPr>
        <w:t xml:space="preserve"> JP, </w:t>
      </w:r>
      <w:proofErr w:type="spellStart"/>
      <w:r>
        <w:rPr>
          <w:rFonts w:cs="Times New Roman"/>
        </w:rPr>
        <w:t>Agewall</w:t>
      </w:r>
      <w:proofErr w:type="spellEnd"/>
      <w:r>
        <w:rPr>
          <w:rFonts w:cs="Times New Roman"/>
        </w:rPr>
        <w:t xml:space="preserve"> S, et al. ESC Guidelines for the management of acute coronary syndromes in patients presenting without persistent ST-segment-elevation. European Heart Journal 2011;32:2999–3054.</w:t>
      </w:r>
    </w:p>
    <w:p w:rsidR="001423B0" w:rsidRDefault="001423B0" w:rsidP="001423B0">
      <w:pPr>
        <w:pStyle w:val="x04-footnotes"/>
        <w:ind w:left="142" w:hanging="142"/>
        <w:rPr>
          <w:rFonts w:cs="Times New Roman"/>
        </w:rPr>
      </w:pPr>
      <w:r>
        <w:rPr>
          <w:rFonts w:cs="Times New Roman"/>
        </w:rPr>
        <w:t xml:space="preserve">3. </w:t>
      </w:r>
      <w:proofErr w:type="spellStart"/>
      <w:r>
        <w:rPr>
          <w:rFonts w:cs="Times New Roman"/>
        </w:rPr>
        <w:t>Fosbol</w:t>
      </w:r>
      <w:proofErr w:type="spellEnd"/>
      <w:r>
        <w:rPr>
          <w:rFonts w:cs="Times New Roman"/>
        </w:rPr>
        <w:t xml:space="preserve"> EL, Granger CB, </w:t>
      </w:r>
      <w:proofErr w:type="spellStart"/>
      <w:r>
        <w:rPr>
          <w:rFonts w:cs="Times New Roman"/>
        </w:rPr>
        <w:t>Jollis</w:t>
      </w:r>
      <w:proofErr w:type="spellEnd"/>
      <w:r>
        <w:rPr>
          <w:rFonts w:cs="Times New Roman"/>
        </w:rPr>
        <w:t xml:space="preserve"> JG, et al. The impact of a </w:t>
      </w:r>
      <w:proofErr w:type="spellStart"/>
      <w:r>
        <w:rPr>
          <w:rFonts w:cs="Times New Roman"/>
        </w:rPr>
        <w:t>statewide</w:t>
      </w:r>
      <w:proofErr w:type="spellEnd"/>
      <w:r>
        <w:rPr>
          <w:rFonts w:cs="Times New Roman"/>
        </w:rPr>
        <w:t xml:space="preserve"> pre-hospital STEMI strategy to bypass hospitals without percutaneous coronary intervention capability on treatment times. Circulation. 2013;127(5):604–612.</w:t>
      </w: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tabs>
          <w:tab w:val="left" w:pos="2310"/>
        </w:tabs>
        <w:ind w:left="142" w:hanging="142"/>
        <w:rPr>
          <w:rFonts w:cs="Times New Roman"/>
        </w:rPr>
      </w:pPr>
      <w:r>
        <w:rPr>
          <w:rFonts w:cs="Times New Roman"/>
        </w:rPr>
        <w:tab/>
      </w:r>
      <w:r>
        <w:rPr>
          <w:rFonts w:cs="Times New Roman"/>
        </w:rPr>
        <w:tab/>
      </w: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r>
        <w:rPr>
          <w:rFonts w:eastAsia="Times New Roman" w:cs="Times New Roman"/>
          <w:noProof/>
          <w:lang w:eastAsia="en-AU"/>
        </w:rPr>
        <w:drawing>
          <wp:anchor distT="0" distB="0" distL="114300" distR="114300" simplePos="0" relativeHeight="251667456" behindDoc="0" locked="0" layoutInCell="1" allowOverlap="1" wp14:anchorId="23871F4C" wp14:editId="11C86387">
            <wp:simplePos x="0" y="0"/>
            <wp:positionH relativeFrom="column">
              <wp:posOffset>-635</wp:posOffset>
            </wp:positionH>
            <wp:positionV relativeFrom="paragraph">
              <wp:posOffset>-3038475</wp:posOffset>
            </wp:positionV>
            <wp:extent cx="3205797" cy="3213393"/>
            <wp:effectExtent l="0" t="0" r="0" b="6350"/>
            <wp:wrapNone/>
            <wp:docPr id="4" name="Picture 4" descr="Logo - electocardiogram" title="Quality statement 2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G.png"/>
                    <pic:cNvPicPr/>
                  </pic:nvPicPr>
                  <pic:blipFill>
                    <a:blip r:embed="rId15">
                      <a:alphaModFix amt="27000"/>
                      <a:extLst>
                        <a:ext uri="{28A0092B-C50C-407E-A947-70E740481C1C}">
                          <a14:useLocalDpi xmlns:a14="http://schemas.microsoft.com/office/drawing/2010/main" val="0"/>
                        </a:ext>
                      </a:extLst>
                    </a:blip>
                    <a:stretch>
                      <a:fillRect/>
                    </a:stretch>
                  </pic:blipFill>
                  <pic:spPr>
                    <a:xfrm>
                      <a:off x="0" y="0"/>
                      <a:ext cx="3205797" cy="3213393"/>
                    </a:xfrm>
                    <a:prstGeom prst="rect">
                      <a:avLst/>
                    </a:prstGeom>
                  </pic:spPr>
                </pic:pic>
              </a:graphicData>
            </a:graphic>
            <wp14:sizeRelH relativeFrom="page">
              <wp14:pctWidth>0</wp14:pctWidth>
            </wp14:sizeRelH>
            <wp14:sizeRelV relativeFrom="page">
              <wp14:pctHeight>0</wp14:pctHeight>
            </wp14:sizeRelV>
          </wp:anchor>
        </w:drawing>
      </w:r>
    </w:p>
    <w:p w:rsidR="001423B0" w:rsidRPr="0097559B" w:rsidRDefault="001423B0" w:rsidP="001423B0">
      <w:pPr>
        <w:rPr>
          <w:rFonts w:cs="Times New Roman"/>
          <w:b/>
          <w:bCs/>
          <w:color w:val="00988E"/>
          <w:sz w:val="28"/>
          <w:szCs w:val="28"/>
        </w:rPr>
      </w:pPr>
      <w:r>
        <w:rPr>
          <w:rFonts w:cs="Times New Roman"/>
        </w:rPr>
        <w:br w:type="page"/>
      </w:r>
      <w:bookmarkStart w:id="9" w:name="_Toc278988961"/>
      <w:r w:rsidRPr="0097559B">
        <w:rPr>
          <w:rFonts w:cs="Times New Roman"/>
          <w:b/>
          <w:color w:val="00988E"/>
          <w:sz w:val="40"/>
          <w:szCs w:val="40"/>
        </w:rPr>
        <w:lastRenderedPageBreak/>
        <w:t xml:space="preserve">Quality statement 2 – Early assessment </w:t>
      </w:r>
    </w:p>
    <w:p w:rsidR="001423B0" w:rsidRDefault="001423B0" w:rsidP="001423B0">
      <w:pPr>
        <w:pStyle w:val="heading-level-3-aqua"/>
        <w:rPr>
          <w:rFonts w:cs="Times New Roman"/>
        </w:rPr>
      </w:pPr>
      <w:r>
        <w:rPr>
          <w:rFonts w:cs="Times New Roman"/>
        </w:rPr>
        <w:t>Indicator 2c: ECG performed and interpreted within 10 minutes of arrival to ED</w:t>
      </w:r>
      <w:bookmarkEnd w:id="9"/>
    </w:p>
    <w:p w:rsidR="001423B0" w:rsidRDefault="001423B0" w:rsidP="001423B0">
      <w:pPr>
        <w:pStyle w:val="x01-heading-level-3"/>
        <w:rPr>
          <w:rFonts w:cs="Times New Roman"/>
        </w:rPr>
      </w:pPr>
      <w:r>
        <w:rPr>
          <w:rFonts w:cs="Times New Roman"/>
        </w:rPr>
        <w:t>Definitional attributes</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Name:</w:t>
      </w:r>
      <w:r w:rsidRPr="0097559B">
        <w:rPr>
          <w:rFonts w:cs="Times New Roman"/>
          <w:sz w:val="20"/>
          <w:szCs w:val="20"/>
        </w:rPr>
        <w:t xml:space="preserve"> Proportion of patients, including patients presenting to ED via ambulance, with acute chest pain or other symptoms suggestive of ACS, with ECG performed and analysed before or within 10 minutes of arrival to ED. </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Rationale:</w:t>
      </w:r>
      <w:r w:rsidRPr="0097559B">
        <w:rPr>
          <w:rFonts w:cs="Times New Roman"/>
          <w:sz w:val="20"/>
          <w:szCs w:val="20"/>
        </w:rPr>
        <w:t xml:space="preserve"> Early diagnosis optimises door-to-needle time and time to other interventions. The time taken to record the first ECG is a good index of quality care. The </w:t>
      </w:r>
      <w:r w:rsidRPr="0097559B">
        <w:rPr>
          <w:rStyle w:val="x02-body-italic"/>
          <w:rFonts w:cs="Times New Roman"/>
          <w:sz w:val="20"/>
          <w:szCs w:val="20"/>
        </w:rPr>
        <w:t>European Society of Cardiology</w:t>
      </w:r>
      <w:r w:rsidRPr="0097559B">
        <w:rPr>
          <w:rFonts w:cs="Times New Roman"/>
          <w:sz w:val="20"/>
          <w:szCs w:val="20"/>
        </w:rPr>
        <w:t xml:space="preserve"> guidelines identify that the ECG should be performed within 10 minutes or less after the first medical contact (either on arrival of the patient in ED or at first contact with emergency medical services in the pre-hospital setting) and immediately interpreted by a qualified physician.</w:t>
      </w:r>
      <w:r w:rsidRPr="0097559B">
        <w:rPr>
          <w:rStyle w:val="x02-body-superscript"/>
          <w:rFonts w:cs="Times New Roman"/>
          <w:sz w:val="20"/>
          <w:szCs w:val="20"/>
        </w:rPr>
        <w:t>1,2</w:t>
      </w:r>
    </w:p>
    <w:p w:rsidR="001423B0" w:rsidRDefault="001423B0" w:rsidP="001423B0">
      <w:pPr>
        <w:pStyle w:val="x01-heading-level-3"/>
        <w:rPr>
          <w:rFonts w:cs="Times New Roman"/>
        </w:rPr>
      </w:pPr>
      <w:r>
        <w:rPr>
          <w:rFonts w:cs="Times New Roman"/>
        </w:rPr>
        <w:t>Collection and usage attributes</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Computation:</w:t>
      </w:r>
      <w:r w:rsidRPr="0097559B">
        <w:rPr>
          <w:rFonts w:cs="Times New Roman"/>
          <w:sz w:val="20"/>
          <w:szCs w:val="20"/>
        </w:rPr>
        <w:t xml:space="preserve"> </w:t>
      </w:r>
      <w:r w:rsidRPr="0097559B">
        <w:rPr>
          <w:rStyle w:val="x02-body-italic"/>
          <w:rFonts w:cs="Times New Roman"/>
          <w:sz w:val="20"/>
          <w:szCs w:val="20"/>
        </w:rPr>
        <w:t>(Numerator ÷ denominator) x 100</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Numerator:</w:t>
      </w:r>
      <w:r w:rsidRPr="0097559B">
        <w:rPr>
          <w:rFonts w:cs="Times New Roman"/>
          <w:sz w:val="20"/>
          <w:szCs w:val="20"/>
        </w:rPr>
        <w:t xml:space="preserve"> Total number of patients, including patients presenting to ED via ambulance, with acute chest pain or other symptoms suggestive of ACS, with ECG performed and analysed before or within 10 minutes of arrival to ED.</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Numerator criteria:</w:t>
      </w:r>
      <w:r w:rsidRPr="0097559B">
        <w:rPr>
          <w:rFonts w:cs="Times New Roman"/>
          <w:sz w:val="20"/>
          <w:szCs w:val="20"/>
        </w:rPr>
        <w:t xml:space="preserve"> </w:t>
      </w:r>
      <w:r w:rsidRPr="0097559B">
        <w:rPr>
          <w:rStyle w:val="x02-body-italic-underline"/>
          <w:rFonts w:cs="Times New Roman"/>
          <w:sz w:val="20"/>
          <w:szCs w:val="20"/>
        </w:rPr>
        <w:t>Inclusions</w:t>
      </w:r>
      <w:r w:rsidRPr="0097559B">
        <w:rPr>
          <w:rFonts w:cs="Times New Roman"/>
          <w:sz w:val="20"/>
          <w:szCs w:val="20"/>
        </w:rPr>
        <w:t xml:space="preserve"> </w:t>
      </w:r>
    </w:p>
    <w:p w:rsidR="001423B0" w:rsidRPr="0097559B" w:rsidRDefault="001423B0" w:rsidP="001423B0">
      <w:pPr>
        <w:pStyle w:val="x02-body-copy"/>
        <w:rPr>
          <w:rFonts w:cs="Times New Roman"/>
          <w:sz w:val="20"/>
          <w:szCs w:val="20"/>
        </w:rPr>
      </w:pPr>
      <w:r w:rsidRPr="0097559B">
        <w:rPr>
          <w:rFonts w:cs="Times New Roman"/>
          <w:sz w:val="20"/>
          <w:szCs w:val="20"/>
        </w:rPr>
        <w:t>All patients, including patients presenting to ED via ambulance with acute chest pain or other symptoms suggestive of ACS, where a 12-lead ECG was performed and analysed before or within 10 minutes of arrival to ED.</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Denominator:</w:t>
      </w:r>
      <w:r w:rsidRPr="0097559B">
        <w:rPr>
          <w:rFonts w:cs="Times New Roman"/>
          <w:sz w:val="20"/>
          <w:szCs w:val="20"/>
        </w:rPr>
        <w:t xml:space="preserve"> Total number of patients, including patients presenting to ED via ambulance, with acute chest pain or other symptoms suggestive of ACS.</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Denominator criteria:</w:t>
      </w:r>
      <w:r w:rsidRPr="0097559B">
        <w:rPr>
          <w:rFonts w:cs="Times New Roman"/>
          <w:sz w:val="20"/>
          <w:szCs w:val="20"/>
        </w:rPr>
        <w:t xml:space="preserve"> </w:t>
      </w:r>
      <w:r w:rsidRPr="0097559B">
        <w:rPr>
          <w:rStyle w:val="x02-body-italic-underline"/>
          <w:rFonts w:cs="Times New Roman"/>
          <w:sz w:val="20"/>
          <w:szCs w:val="20"/>
        </w:rPr>
        <w:t>Inclusions</w:t>
      </w:r>
      <w:r w:rsidRPr="0097559B">
        <w:rPr>
          <w:rFonts w:cs="Times New Roman"/>
          <w:sz w:val="20"/>
          <w:szCs w:val="20"/>
        </w:rPr>
        <w:t xml:space="preserve"> </w:t>
      </w:r>
    </w:p>
    <w:p w:rsidR="001423B0" w:rsidRPr="0097559B" w:rsidRDefault="001423B0" w:rsidP="001423B0">
      <w:pPr>
        <w:pStyle w:val="x02-body-copy"/>
        <w:rPr>
          <w:rFonts w:cs="Times New Roman"/>
          <w:sz w:val="20"/>
          <w:szCs w:val="20"/>
        </w:rPr>
      </w:pPr>
      <w:r w:rsidRPr="0097559B">
        <w:rPr>
          <w:rFonts w:cs="Times New Roman"/>
          <w:sz w:val="20"/>
          <w:szCs w:val="20"/>
        </w:rPr>
        <w:t>All patients with acute chest pain or other symptoms suggestive of ACS presenting to ED.</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Setting:</w:t>
      </w:r>
      <w:r w:rsidRPr="0097559B">
        <w:rPr>
          <w:rFonts w:cs="Times New Roman"/>
          <w:sz w:val="20"/>
          <w:szCs w:val="20"/>
        </w:rPr>
        <w:t xml:space="preserve"> Acute/hospital.</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Comments:</w:t>
      </w:r>
      <w:r w:rsidRPr="0097559B">
        <w:rPr>
          <w:rFonts w:cs="Times New Roman"/>
          <w:sz w:val="20"/>
          <w:szCs w:val="20"/>
        </w:rPr>
        <w:t xml:space="preserve"> It is common practice for doctors and senior nursing staff to sign ECGs on review, with date and time of review.</w:t>
      </w:r>
    </w:p>
    <w:p w:rsidR="001423B0" w:rsidRDefault="001423B0" w:rsidP="001423B0">
      <w:pPr>
        <w:pStyle w:val="x01-heading-level-3"/>
        <w:rPr>
          <w:rFonts w:cs="Times New Roman"/>
        </w:rPr>
      </w:pPr>
      <w:r>
        <w:rPr>
          <w:rFonts w:cs="Times New Roman"/>
        </w:rPr>
        <w:t>References</w:t>
      </w:r>
    </w:p>
    <w:p w:rsidR="001423B0" w:rsidRDefault="001423B0" w:rsidP="001423B0">
      <w:pPr>
        <w:pStyle w:val="x04-footnotes"/>
        <w:ind w:left="142" w:hanging="142"/>
        <w:rPr>
          <w:rFonts w:cs="Times New Roman"/>
        </w:rPr>
      </w:pPr>
      <w:r>
        <w:rPr>
          <w:rFonts w:cs="Times New Roman"/>
        </w:rPr>
        <w:t xml:space="preserve">1. </w:t>
      </w:r>
      <w:proofErr w:type="spellStart"/>
      <w:r>
        <w:rPr>
          <w:rFonts w:cs="Times New Roman"/>
        </w:rPr>
        <w:t>Steg</w:t>
      </w:r>
      <w:proofErr w:type="spellEnd"/>
      <w:r>
        <w:rPr>
          <w:rFonts w:cs="Times New Roman"/>
        </w:rPr>
        <w:t xml:space="preserve"> P, James SK, </w:t>
      </w:r>
      <w:proofErr w:type="spellStart"/>
      <w:r>
        <w:rPr>
          <w:rFonts w:cs="Times New Roman"/>
        </w:rPr>
        <w:t>Atar</w:t>
      </w:r>
      <w:proofErr w:type="spellEnd"/>
      <w:r>
        <w:rPr>
          <w:rFonts w:cs="Times New Roman"/>
        </w:rPr>
        <w:t xml:space="preserve"> D, et al. ESC Guidelines for the management of acute myocardial infarction in patients presenting with ST-segment-elevation. European Heart Journal. 2012;33:2569–2619.</w:t>
      </w:r>
    </w:p>
    <w:p w:rsidR="001423B0" w:rsidRDefault="001423B0" w:rsidP="001423B0">
      <w:pPr>
        <w:pStyle w:val="x04-footnotes"/>
        <w:ind w:left="142" w:hanging="142"/>
        <w:rPr>
          <w:rFonts w:cs="Times New Roman"/>
        </w:rPr>
      </w:pPr>
      <w:r>
        <w:rPr>
          <w:rFonts w:cs="Times New Roman"/>
        </w:rPr>
        <w:t xml:space="preserve">2. Hamm C, </w:t>
      </w:r>
      <w:proofErr w:type="spellStart"/>
      <w:r>
        <w:rPr>
          <w:rFonts w:cs="Times New Roman"/>
        </w:rPr>
        <w:t>Bassand</w:t>
      </w:r>
      <w:proofErr w:type="spellEnd"/>
      <w:r>
        <w:rPr>
          <w:rFonts w:cs="Times New Roman"/>
        </w:rPr>
        <w:t xml:space="preserve"> JP, </w:t>
      </w:r>
      <w:proofErr w:type="spellStart"/>
      <w:r>
        <w:rPr>
          <w:rFonts w:cs="Times New Roman"/>
        </w:rPr>
        <w:t>Agewall</w:t>
      </w:r>
      <w:proofErr w:type="spellEnd"/>
      <w:r>
        <w:rPr>
          <w:rFonts w:cs="Times New Roman"/>
        </w:rPr>
        <w:t xml:space="preserve"> S, et al. ESC Guidelines for the management of acute coronary syndromes in patients presenting without persistent ST-segment-elevation. European Heart Journal. 2011;32:2999–3054.</w:t>
      </w:r>
    </w:p>
    <w:p w:rsidR="001423B0" w:rsidRDefault="001423B0" w:rsidP="001423B0">
      <w:pPr>
        <w:rPr>
          <w:rFonts w:cs="Times New Roman"/>
          <w:b/>
          <w:bCs/>
          <w:color w:val="00988E"/>
          <w:sz w:val="40"/>
          <w:szCs w:val="40"/>
        </w:rPr>
      </w:pPr>
      <w:r>
        <w:rPr>
          <w:rFonts w:cs="Times New Roman"/>
        </w:rPr>
        <w:br w:type="page"/>
      </w:r>
    </w:p>
    <w:p w:rsidR="001423B0" w:rsidRDefault="001423B0" w:rsidP="001423B0">
      <w:pPr>
        <w:pStyle w:val="x01-heading-level-1"/>
        <w:rPr>
          <w:rFonts w:cs="Times New Roman"/>
        </w:rPr>
      </w:pPr>
      <w:bookmarkStart w:id="10" w:name="_Toc278988962"/>
      <w:r>
        <w:rPr>
          <w:rFonts w:cs="Times New Roman"/>
        </w:rPr>
        <w:lastRenderedPageBreak/>
        <w:t>Quality statement 3 – Timely reperfusion</w:t>
      </w:r>
      <w:bookmarkEnd w:id="10"/>
      <w:r>
        <w:rPr>
          <w:rFonts w:cs="Times New Roman"/>
        </w:rPr>
        <w:t xml:space="preserve"> </w:t>
      </w:r>
    </w:p>
    <w:p w:rsidR="001423B0" w:rsidRDefault="001423B0" w:rsidP="001423B0">
      <w:pPr>
        <w:pStyle w:val="x02-intro"/>
        <w:rPr>
          <w:rFonts w:cs="Times New Roman"/>
        </w:rPr>
      </w:pPr>
      <w:r>
        <w:rPr>
          <w:rFonts w:cs="Times New Roman"/>
        </w:rPr>
        <w:t xml:space="preserve">A patient with an acute ST-segment-elevation myocardial infarction (STEMI), for whom emergency reperfusion is clinically appropriate, is offered timely percutaneous coronary intervention (PCI) or fibrinolysis in accordance with the time frames recommended in the current National Heart Foundation of Australia/Cardiac Society of Australia and New Zealand </w:t>
      </w:r>
      <w:r>
        <w:rPr>
          <w:rStyle w:val="x02-intro-italic"/>
          <w:rFonts w:cs="Times New Roman"/>
        </w:rPr>
        <w:t>Guidelines for the Management of Acute Coronary Syndromes</w:t>
      </w:r>
      <w:r>
        <w:rPr>
          <w:rFonts w:cs="Times New Roman"/>
        </w:rPr>
        <w:t>.</w:t>
      </w:r>
    </w:p>
    <w:p w:rsidR="001423B0" w:rsidRDefault="001423B0" w:rsidP="001423B0">
      <w:pPr>
        <w:pStyle w:val="x02-intro"/>
        <w:rPr>
          <w:rFonts w:cs="Times New Roman"/>
        </w:rPr>
      </w:pPr>
      <w:r>
        <w:rPr>
          <w:rFonts w:cs="Times New Roman"/>
        </w:rPr>
        <w:t xml:space="preserve">In general, primary PCI is recommended if the time from first medical contact to balloon inflation is anticipated to be less than 90 minutes, otherwise the patient is offered fibrinolysis. </w:t>
      </w:r>
    </w:p>
    <w:p w:rsidR="001423B0" w:rsidRDefault="001423B0" w:rsidP="001423B0">
      <w:pPr>
        <w:pStyle w:val="heading-level-3-aqua"/>
        <w:rPr>
          <w:rFonts w:cs="Times New Roman"/>
        </w:rPr>
      </w:pPr>
      <w:bookmarkStart w:id="11" w:name="_Toc278988963"/>
      <w:r>
        <w:rPr>
          <w:rFonts w:cs="Times New Roman"/>
        </w:rPr>
        <w:t>Indicator 3a: STEMI patients receiving fibrinolysis or PCI</w:t>
      </w:r>
      <w:bookmarkEnd w:id="11"/>
    </w:p>
    <w:p w:rsidR="001423B0" w:rsidRDefault="001423B0" w:rsidP="001423B0">
      <w:pPr>
        <w:pStyle w:val="x01-heading-level-3"/>
        <w:rPr>
          <w:rFonts w:cs="Times New Roman"/>
        </w:rPr>
      </w:pPr>
      <w:r>
        <w:rPr>
          <w:rFonts w:cs="Times New Roman"/>
        </w:rPr>
        <w:t>Definitional attributes</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Name:</w:t>
      </w:r>
      <w:r w:rsidRPr="0097559B">
        <w:rPr>
          <w:rFonts w:cs="Times New Roman"/>
          <w:sz w:val="20"/>
          <w:szCs w:val="20"/>
        </w:rPr>
        <w:t xml:space="preserve"> Proportion of patients with STEMI at first emergency contact presenting within 12 hours of symptom onset and receiving fibrinolysis or percutaneous coronary intervention (PCI).</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Rationale:</w:t>
      </w:r>
      <w:r w:rsidRPr="0097559B">
        <w:rPr>
          <w:rFonts w:cs="Times New Roman"/>
          <w:sz w:val="20"/>
          <w:szCs w:val="20"/>
        </w:rPr>
        <w:t xml:space="preserve"> The </w:t>
      </w:r>
      <w:r w:rsidRPr="0097559B">
        <w:rPr>
          <w:rStyle w:val="x02-body-italic"/>
          <w:rFonts w:cs="Times New Roman"/>
          <w:sz w:val="20"/>
          <w:szCs w:val="20"/>
        </w:rPr>
        <w:t>Guidelines</w:t>
      </w:r>
      <w:r w:rsidRPr="0097559B">
        <w:rPr>
          <w:rFonts w:cs="Times New Roman"/>
          <w:sz w:val="20"/>
          <w:szCs w:val="20"/>
        </w:rPr>
        <w:t xml:space="preserve"> recommend that ‘patients with STEMI who present within 12 hours of the onset of ischaemic symptoms should have a reperfusion strategy implemented promptly.’</w:t>
      </w:r>
      <w:r w:rsidRPr="0097559B">
        <w:rPr>
          <w:rStyle w:val="x02-body-superscript"/>
          <w:rFonts w:cs="Times New Roman"/>
          <w:sz w:val="20"/>
          <w:szCs w:val="20"/>
        </w:rPr>
        <w:t>1</w:t>
      </w:r>
    </w:p>
    <w:p w:rsidR="001423B0" w:rsidRPr="00791686" w:rsidRDefault="001423B0" w:rsidP="001423B0">
      <w:pPr>
        <w:pStyle w:val="x01-heading-level-3"/>
        <w:rPr>
          <w:rFonts w:cs="Times New Roman"/>
        </w:rPr>
      </w:pPr>
      <w:r w:rsidRPr="00791686">
        <w:rPr>
          <w:rFonts w:cs="Times New Roman"/>
        </w:rPr>
        <w:t>Collection and usage attributes</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Computation:</w:t>
      </w:r>
      <w:r w:rsidRPr="0097559B">
        <w:rPr>
          <w:rFonts w:cs="Times New Roman"/>
          <w:sz w:val="20"/>
          <w:szCs w:val="20"/>
        </w:rPr>
        <w:t xml:space="preserve"> </w:t>
      </w:r>
      <w:r w:rsidRPr="0097559B">
        <w:rPr>
          <w:rStyle w:val="x02-body-italic"/>
          <w:rFonts w:cs="Times New Roman"/>
          <w:sz w:val="20"/>
          <w:szCs w:val="20"/>
        </w:rPr>
        <w:t>(Numerator ÷ denominator) x 100</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Numerator:</w:t>
      </w:r>
      <w:r w:rsidRPr="0097559B">
        <w:rPr>
          <w:rFonts w:cs="Times New Roman"/>
          <w:sz w:val="20"/>
          <w:szCs w:val="20"/>
        </w:rPr>
        <w:t xml:space="preserve"> Total number of patients with STEMI presenting to hospital within 12 hours of symptom onset, who receive fibrinolysis or PCI.</w:t>
      </w:r>
    </w:p>
    <w:p w:rsidR="001423B0" w:rsidRPr="0097559B" w:rsidRDefault="001423B0" w:rsidP="001423B0">
      <w:pPr>
        <w:pStyle w:val="x02-body-copy-before-bullet"/>
        <w:rPr>
          <w:rFonts w:cs="Times New Roman"/>
          <w:sz w:val="20"/>
          <w:szCs w:val="20"/>
        </w:rPr>
      </w:pPr>
      <w:r w:rsidRPr="0097559B">
        <w:rPr>
          <w:rStyle w:val="x02-body-medium"/>
          <w:rFonts w:cs="Times New Roman"/>
          <w:sz w:val="20"/>
          <w:szCs w:val="20"/>
        </w:rPr>
        <w:t>Numerator criteria:</w:t>
      </w:r>
      <w:r w:rsidRPr="0097559B">
        <w:rPr>
          <w:rFonts w:cs="Times New Roman"/>
          <w:sz w:val="20"/>
          <w:szCs w:val="20"/>
        </w:rPr>
        <w:t xml:space="preserve"> </w:t>
      </w:r>
      <w:r w:rsidRPr="0097559B">
        <w:rPr>
          <w:rStyle w:val="x02-body-italic-underline"/>
          <w:rFonts w:cs="Times New Roman"/>
          <w:sz w:val="20"/>
          <w:szCs w:val="20"/>
        </w:rPr>
        <w:t>Inclusions</w:t>
      </w:r>
      <w:r w:rsidRPr="0097559B">
        <w:rPr>
          <w:rFonts w:cs="Times New Roman"/>
          <w:sz w:val="20"/>
          <w:szCs w:val="20"/>
        </w:rPr>
        <w:t xml:space="preserve"> </w:t>
      </w:r>
    </w:p>
    <w:p w:rsidR="001423B0" w:rsidRPr="0097559B" w:rsidRDefault="001423B0" w:rsidP="001423B0">
      <w:pPr>
        <w:pStyle w:val="x02-body-copy-before-bullet"/>
        <w:rPr>
          <w:rFonts w:cs="Times New Roman"/>
          <w:sz w:val="20"/>
          <w:szCs w:val="20"/>
        </w:rPr>
      </w:pPr>
      <w:r w:rsidRPr="0097559B">
        <w:rPr>
          <w:rFonts w:cs="Times New Roman"/>
          <w:sz w:val="20"/>
          <w:szCs w:val="20"/>
        </w:rPr>
        <w:t>STEMI patients. That is, patients with a diagnosis of one of the following:</w:t>
      </w:r>
    </w:p>
    <w:p w:rsidR="001423B0" w:rsidRPr="0097559B" w:rsidRDefault="001423B0" w:rsidP="001423B0">
      <w:pPr>
        <w:pStyle w:val="02Bulletslevel1"/>
        <w:rPr>
          <w:sz w:val="20"/>
          <w:szCs w:val="20"/>
        </w:rPr>
      </w:pPr>
      <w:r w:rsidRPr="0097559B">
        <w:rPr>
          <w:sz w:val="20"/>
          <w:szCs w:val="20"/>
        </w:rPr>
        <w:t xml:space="preserve">acute </w:t>
      </w:r>
      <w:proofErr w:type="spellStart"/>
      <w:r w:rsidRPr="0097559B">
        <w:rPr>
          <w:sz w:val="20"/>
          <w:szCs w:val="20"/>
        </w:rPr>
        <w:t>transmural</w:t>
      </w:r>
      <w:proofErr w:type="spellEnd"/>
      <w:r w:rsidRPr="0097559B">
        <w:rPr>
          <w:sz w:val="20"/>
          <w:szCs w:val="20"/>
        </w:rPr>
        <w:t xml:space="preserve"> myocardial infarction of anterior wall (I21.0)</w:t>
      </w:r>
    </w:p>
    <w:p w:rsidR="001423B0" w:rsidRPr="0097559B" w:rsidRDefault="001423B0" w:rsidP="001423B0">
      <w:pPr>
        <w:pStyle w:val="02Bulletslevel1"/>
        <w:rPr>
          <w:sz w:val="20"/>
          <w:szCs w:val="20"/>
        </w:rPr>
      </w:pPr>
      <w:r w:rsidRPr="0097559B">
        <w:rPr>
          <w:sz w:val="20"/>
          <w:szCs w:val="20"/>
        </w:rPr>
        <w:t xml:space="preserve">acute </w:t>
      </w:r>
      <w:proofErr w:type="spellStart"/>
      <w:r w:rsidRPr="0097559B">
        <w:rPr>
          <w:sz w:val="20"/>
          <w:szCs w:val="20"/>
        </w:rPr>
        <w:t>transmural</w:t>
      </w:r>
      <w:proofErr w:type="spellEnd"/>
      <w:r w:rsidRPr="0097559B">
        <w:rPr>
          <w:sz w:val="20"/>
          <w:szCs w:val="20"/>
        </w:rPr>
        <w:t xml:space="preserve"> myocardial infarction of inferior wall (I21.1)</w:t>
      </w:r>
    </w:p>
    <w:p w:rsidR="001423B0" w:rsidRPr="0097559B" w:rsidRDefault="001423B0" w:rsidP="001423B0">
      <w:pPr>
        <w:pStyle w:val="02Bulletslevel1"/>
        <w:rPr>
          <w:sz w:val="20"/>
          <w:szCs w:val="20"/>
        </w:rPr>
      </w:pPr>
      <w:r w:rsidRPr="0097559B">
        <w:rPr>
          <w:sz w:val="20"/>
          <w:szCs w:val="20"/>
        </w:rPr>
        <w:t xml:space="preserve">acute </w:t>
      </w:r>
      <w:proofErr w:type="spellStart"/>
      <w:r w:rsidRPr="0097559B">
        <w:rPr>
          <w:sz w:val="20"/>
          <w:szCs w:val="20"/>
        </w:rPr>
        <w:t>transmural</w:t>
      </w:r>
      <w:proofErr w:type="spellEnd"/>
      <w:r w:rsidRPr="0097559B">
        <w:rPr>
          <w:sz w:val="20"/>
          <w:szCs w:val="20"/>
        </w:rPr>
        <w:t xml:space="preserve"> myocardial infarction of other sites (I21.2)</w:t>
      </w:r>
    </w:p>
    <w:p w:rsidR="001423B0" w:rsidRPr="0097559B" w:rsidRDefault="001423B0" w:rsidP="001423B0">
      <w:pPr>
        <w:pStyle w:val="02Bulletslevel1"/>
        <w:rPr>
          <w:sz w:val="20"/>
          <w:szCs w:val="20"/>
        </w:rPr>
      </w:pPr>
      <w:r w:rsidRPr="0097559B">
        <w:rPr>
          <w:sz w:val="20"/>
          <w:szCs w:val="20"/>
        </w:rPr>
        <w:t xml:space="preserve">acute </w:t>
      </w:r>
      <w:proofErr w:type="spellStart"/>
      <w:r w:rsidRPr="0097559B">
        <w:rPr>
          <w:sz w:val="20"/>
          <w:szCs w:val="20"/>
        </w:rPr>
        <w:t>transmural</w:t>
      </w:r>
      <w:proofErr w:type="spellEnd"/>
      <w:r w:rsidRPr="0097559B">
        <w:rPr>
          <w:sz w:val="20"/>
          <w:szCs w:val="20"/>
        </w:rPr>
        <w:t xml:space="preserve"> myocardial infarction of unspecified site (I21.3).</w:t>
      </w:r>
      <w:r w:rsidRPr="0097559B">
        <w:rPr>
          <w:rStyle w:val="x02-body-superscript"/>
          <w:sz w:val="20"/>
          <w:szCs w:val="20"/>
        </w:rPr>
        <w:t>a</w:t>
      </w:r>
      <w:r w:rsidRPr="0097559B">
        <w:rPr>
          <w:sz w:val="20"/>
          <w:szCs w:val="20"/>
        </w:rPr>
        <w:t xml:space="preserve"> </w:t>
      </w:r>
    </w:p>
    <w:p w:rsidR="001423B0" w:rsidRPr="0097559B" w:rsidRDefault="001423B0" w:rsidP="001423B0">
      <w:pPr>
        <w:pStyle w:val="x02-body-copy-before-bullet"/>
        <w:rPr>
          <w:rFonts w:cs="Times New Roman"/>
          <w:sz w:val="20"/>
          <w:szCs w:val="20"/>
        </w:rPr>
      </w:pPr>
      <w:r w:rsidRPr="0097559B">
        <w:rPr>
          <w:rFonts w:cs="Times New Roman"/>
          <w:sz w:val="20"/>
          <w:szCs w:val="20"/>
        </w:rPr>
        <w:t>Care type = ‘1’ (acute care)</w:t>
      </w:r>
      <w:r w:rsidRPr="0097559B">
        <w:rPr>
          <w:rStyle w:val="x02-body-superscript"/>
          <w:rFonts w:cs="Times New Roman"/>
          <w:sz w:val="20"/>
          <w:szCs w:val="20"/>
        </w:rPr>
        <w:t>b</w:t>
      </w:r>
      <w:r w:rsidRPr="0097559B">
        <w:rPr>
          <w:rFonts w:cs="Times New Roman"/>
          <w:sz w:val="20"/>
          <w:szCs w:val="20"/>
        </w:rPr>
        <w:t xml:space="preserve"> </w:t>
      </w:r>
    </w:p>
    <w:p w:rsidR="001423B0" w:rsidRPr="0097559B" w:rsidRDefault="001423B0" w:rsidP="001423B0">
      <w:pPr>
        <w:pStyle w:val="x02-body-copy-before-bullet"/>
        <w:rPr>
          <w:rFonts w:cs="Times New Roman"/>
          <w:sz w:val="20"/>
          <w:szCs w:val="20"/>
        </w:rPr>
      </w:pPr>
      <w:r w:rsidRPr="0097559B">
        <w:rPr>
          <w:rFonts w:cs="Times New Roman"/>
          <w:sz w:val="20"/>
          <w:szCs w:val="20"/>
        </w:rPr>
        <w:t>AND</w:t>
      </w:r>
    </w:p>
    <w:p w:rsidR="001423B0" w:rsidRPr="0097559B" w:rsidRDefault="001423B0" w:rsidP="001423B0">
      <w:pPr>
        <w:pStyle w:val="x02-body-copy-before-bullet"/>
        <w:rPr>
          <w:rFonts w:cs="Times New Roman"/>
          <w:sz w:val="20"/>
          <w:szCs w:val="20"/>
        </w:rPr>
      </w:pPr>
      <w:r w:rsidRPr="0097559B">
        <w:rPr>
          <w:rFonts w:cs="Times New Roman"/>
          <w:sz w:val="20"/>
          <w:szCs w:val="20"/>
        </w:rPr>
        <w:t>Patients undergoing percutaneous coronary intervention. That is, patients undergoing one of the following procedures:</w:t>
      </w:r>
    </w:p>
    <w:p w:rsidR="001423B0" w:rsidRPr="0097559B" w:rsidRDefault="001423B0" w:rsidP="001423B0">
      <w:pPr>
        <w:pStyle w:val="02Bulletslevel1"/>
        <w:rPr>
          <w:sz w:val="20"/>
          <w:szCs w:val="20"/>
        </w:rPr>
      </w:pPr>
      <w:r w:rsidRPr="0097559B">
        <w:rPr>
          <w:sz w:val="20"/>
          <w:szCs w:val="20"/>
        </w:rPr>
        <w:t>percutaneous transluminal balloon angioplasty of 1 coronary artery (38300-00, [block 670])</w:t>
      </w:r>
    </w:p>
    <w:p w:rsidR="001423B0" w:rsidRPr="0097559B" w:rsidRDefault="001423B0" w:rsidP="001423B0">
      <w:pPr>
        <w:pStyle w:val="02Bulletslevel1"/>
        <w:rPr>
          <w:sz w:val="20"/>
          <w:szCs w:val="20"/>
        </w:rPr>
      </w:pPr>
      <w:r w:rsidRPr="0097559B">
        <w:rPr>
          <w:sz w:val="20"/>
          <w:szCs w:val="20"/>
        </w:rPr>
        <w:t>percutaneous transluminal balloon angioplasty of &gt;=2 coronary arteries (38303-00, [block 670])</w:t>
      </w:r>
    </w:p>
    <w:p w:rsidR="001423B0" w:rsidRPr="0097559B" w:rsidRDefault="001423B0" w:rsidP="001423B0">
      <w:pPr>
        <w:pStyle w:val="02Bulletslevel1"/>
        <w:rPr>
          <w:sz w:val="20"/>
          <w:szCs w:val="20"/>
        </w:rPr>
      </w:pPr>
      <w:r w:rsidRPr="0097559B">
        <w:rPr>
          <w:sz w:val="20"/>
          <w:szCs w:val="20"/>
        </w:rPr>
        <w:t>percutaneous insertion of 1 transluminal stent into single coronary artery (38306-00 [block 671]</w:t>
      </w:r>
    </w:p>
    <w:p w:rsidR="001423B0" w:rsidRPr="0097559B" w:rsidRDefault="001423B0" w:rsidP="001423B0">
      <w:pPr>
        <w:pStyle w:val="02Bulletslevel1"/>
        <w:rPr>
          <w:sz w:val="20"/>
          <w:szCs w:val="20"/>
        </w:rPr>
      </w:pPr>
      <w:r w:rsidRPr="0097559B">
        <w:rPr>
          <w:sz w:val="20"/>
          <w:szCs w:val="20"/>
        </w:rPr>
        <w:t>percutaneous insertion of &gt;= 2 transluminal stents into single coronary artery (38306-01 [block 671])</w:t>
      </w:r>
    </w:p>
    <w:p w:rsidR="001423B0" w:rsidRDefault="001423B0" w:rsidP="001423B0">
      <w:pPr>
        <w:pStyle w:val="02Bulletslevel1"/>
        <w:rPr>
          <w:sz w:val="20"/>
          <w:szCs w:val="20"/>
        </w:rPr>
      </w:pPr>
      <w:r w:rsidRPr="0097559B">
        <w:rPr>
          <w:sz w:val="20"/>
          <w:szCs w:val="20"/>
        </w:rPr>
        <w:t>percutaneous insertion of &gt;= 2 transluminal stents into multiple coronary arteries (38306-02 [block 671])</w:t>
      </w:r>
    </w:p>
    <w:p w:rsidR="001423B0" w:rsidRPr="0097559B" w:rsidRDefault="001423B0" w:rsidP="001423B0">
      <w:pPr>
        <w:pStyle w:val="02Bulletslevel1"/>
        <w:numPr>
          <w:ilvl w:val="0"/>
          <w:numId w:val="0"/>
        </w:numPr>
        <w:ind w:left="284"/>
        <w:rPr>
          <w:sz w:val="20"/>
          <w:szCs w:val="20"/>
        </w:rPr>
      </w:pPr>
    </w:p>
    <w:p w:rsidR="001423B0" w:rsidRPr="0097559B" w:rsidRDefault="001423B0" w:rsidP="001423B0">
      <w:pPr>
        <w:pStyle w:val="x02-body-copy-before-bullet"/>
        <w:rPr>
          <w:rFonts w:cs="Times New Roman"/>
          <w:sz w:val="20"/>
          <w:szCs w:val="20"/>
        </w:rPr>
      </w:pPr>
      <w:r w:rsidRPr="0097559B">
        <w:rPr>
          <w:rFonts w:cs="Times New Roman"/>
          <w:sz w:val="20"/>
          <w:szCs w:val="20"/>
        </w:rPr>
        <w:lastRenderedPageBreak/>
        <w:t>OR</w:t>
      </w:r>
    </w:p>
    <w:p w:rsidR="001423B0" w:rsidRPr="0097559B" w:rsidRDefault="001423B0" w:rsidP="001423B0">
      <w:pPr>
        <w:pStyle w:val="x02-body-copy-before-bullet"/>
        <w:rPr>
          <w:rFonts w:cs="Times New Roman"/>
          <w:sz w:val="20"/>
          <w:szCs w:val="20"/>
        </w:rPr>
      </w:pPr>
      <w:r w:rsidRPr="0097559B">
        <w:rPr>
          <w:rFonts w:cs="Times New Roman"/>
          <w:sz w:val="20"/>
          <w:szCs w:val="20"/>
        </w:rPr>
        <w:t xml:space="preserve">administration of </w:t>
      </w:r>
      <w:proofErr w:type="spellStart"/>
      <w:r w:rsidRPr="0097559B">
        <w:rPr>
          <w:rFonts w:cs="Times New Roman"/>
          <w:sz w:val="20"/>
          <w:szCs w:val="20"/>
        </w:rPr>
        <w:t>fibrinolytic</w:t>
      </w:r>
      <w:proofErr w:type="spellEnd"/>
      <w:r w:rsidRPr="0097559B">
        <w:rPr>
          <w:rFonts w:cs="Times New Roman"/>
          <w:sz w:val="20"/>
          <w:szCs w:val="20"/>
        </w:rPr>
        <w:t xml:space="preserve"> drugs.</w:t>
      </w:r>
    </w:p>
    <w:p w:rsidR="001423B0" w:rsidRPr="0097559B" w:rsidRDefault="001423B0" w:rsidP="001423B0">
      <w:pPr>
        <w:pStyle w:val="x02-body-copy-before-bullet"/>
        <w:rPr>
          <w:rFonts w:cs="Times New Roman"/>
          <w:sz w:val="20"/>
          <w:szCs w:val="20"/>
        </w:rPr>
      </w:pPr>
      <w:r w:rsidRPr="0097559B">
        <w:rPr>
          <w:rStyle w:val="x02-body-italic-underline"/>
          <w:rFonts w:cs="Times New Roman"/>
          <w:sz w:val="20"/>
          <w:szCs w:val="20"/>
        </w:rPr>
        <w:t>Exclusions</w:t>
      </w:r>
      <w:r w:rsidRPr="0097559B">
        <w:rPr>
          <w:rFonts w:cs="Times New Roman"/>
          <w:sz w:val="20"/>
          <w:szCs w:val="20"/>
        </w:rPr>
        <w:t xml:space="preserve"> </w:t>
      </w:r>
    </w:p>
    <w:p w:rsidR="001423B0" w:rsidRPr="0097559B" w:rsidRDefault="001423B0" w:rsidP="001423B0">
      <w:pPr>
        <w:pStyle w:val="x02-body-copy-before-bullet"/>
        <w:rPr>
          <w:rFonts w:cs="Times New Roman"/>
          <w:sz w:val="20"/>
          <w:szCs w:val="20"/>
        </w:rPr>
      </w:pPr>
      <w:r w:rsidRPr="0097559B">
        <w:rPr>
          <w:rFonts w:cs="Times New Roman"/>
          <w:sz w:val="20"/>
          <w:szCs w:val="20"/>
        </w:rPr>
        <w:t>Patients with STEMI who receive fibrinolysis or PCI, where presentation is more than 12 hours after symptom onset.</w:t>
      </w:r>
    </w:p>
    <w:p w:rsidR="001423B0" w:rsidRPr="0097559B" w:rsidRDefault="001423B0" w:rsidP="001423B0">
      <w:pPr>
        <w:pStyle w:val="x02-body-copy"/>
        <w:rPr>
          <w:rFonts w:cs="Times New Roman"/>
          <w:sz w:val="20"/>
          <w:szCs w:val="20"/>
        </w:rPr>
      </w:pPr>
      <w:r w:rsidRPr="0097559B">
        <w:rPr>
          <w:rFonts w:cs="Times New Roman"/>
          <w:sz w:val="20"/>
          <w:szCs w:val="20"/>
        </w:rPr>
        <w:t>Patients with left bundle branch block (LBBB)(</w:t>
      </w:r>
      <w:r w:rsidR="00C855F5" w:rsidRPr="0027130A">
        <w:rPr>
          <w:rFonts w:cs="Times New Roman"/>
          <w:color w:val="FF0000"/>
          <w:sz w:val="20"/>
          <w:szCs w:val="20"/>
        </w:rPr>
        <w:t>l</w:t>
      </w:r>
      <w:r w:rsidRPr="0097559B">
        <w:rPr>
          <w:rFonts w:cs="Times New Roman"/>
          <w:sz w:val="20"/>
          <w:szCs w:val="20"/>
        </w:rPr>
        <w:t>44.x).</w:t>
      </w:r>
      <w:r w:rsidRPr="0097559B">
        <w:rPr>
          <w:rStyle w:val="x02-body-superscript"/>
          <w:rFonts w:cs="Times New Roman"/>
          <w:sz w:val="20"/>
          <w:szCs w:val="20"/>
        </w:rPr>
        <w:t>a</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Denominator:</w:t>
      </w:r>
      <w:r w:rsidRPr="0097559B">
        <w:rPr>
          <w:rFonts w:cs="Times New Roman"/>
          <w:sz w:val="20"/>
          <w:szCs w:val="20"/>
        </w:rPr>
        <w:t xml:space="preserve"> Total number of patients with STEMI presenting to hospital within 12 hours of symptom onset.</w:t>
      </w:r>
    </w:p>
    <w:p w:rsidR="001423B0" w:rsidRPr="0097559B" w:rsidRDefault="001423B0" w:rsidP="001423B0">
      <w:pPr>
        <w:pStyle w:val="x02-body-copy-before-bullet"/>
        <w:rPr>
          <w:rFonts w:cs="Times New Roman"/>
          <w:sz w:val="20"/>
          <w:szCs w:val="20"/>
        </w:rPr>
      </w:pPr>
      <w:r w:rsidRPr="0097559B">
        <w:rPr>
          <w:rStyle w:val="x02-body-medium"/>
          <w:rFonts w:cs="Times New Roman"/>
          <w:sz w:val="20"/>
          <w:szCs w:val="20"/>
        </w:rPr>
        <w:t>Denominator criteria:</w:t>
      </w:r>
      <w:r w:rsidRPr="0097559B">
        <w:rPr>
          <w:rFonts w:cs="Times New Roman"/>
          <w:sz w:val="20"/>
          <w:szCs w:val="20"/>
        </w:rPr>
        <w:t xml:space="preserve"> </w:t>
      </w:r>
      <w:r w:rsidRPr="0097559B">
        <w:rPr>
          <w:rStyle w:val="x02-body-italic-underline"/>
          <w:rFonts w:cs="Times New Roman"/>
          <w:sz w:val="20"/>
          <w:szCs w:val="20"/>
        </w:rPr>
        <w:t>Inclusions</w:t>
      </w:r>
      <w:r w:rsidRPr="0097559B">
        <w:rPr>
          <w:rFonts w:cs="Times New Roman"/>
          <w:sz w:val="20"/>
          <w:szCs w:val="20"/>
        </w:rPr>
        <w:t xml:space="preserve"> </w:t>
      </w:r>
    </w:p>
    <w:p w:rsidR="001423B0" w:rsidRPr="0097559B" w:rsidRDefault="001423B0" w:rsidP="001423B0">
      <w:pPr>
        <w:pStyle w:val="x02-body-copy-before-bullet"/>
        <w:rPr>
          <w:rFonts w:cs="Times New Roman"/>
          <w:sz w:val="20"/>
          <w:szCs w:val="20"/>
        </w:rPr>
      </w:pPr>
      <w:r w:rsidRPr="0097559B">
        <w:rPr>
          <w:rFonts w:cs="Times New Roman"/>
          <w:sz w:val="20"/>
          <w:szCs w:val="20"/>
        </w:rPr>
        <w:t>STEMI patients. That is, patients with a diagnosis of one of the following:</w:t>
      </w:r>
    </w:p>
    <w:p w:rsidR="001423B0" w:rsidRPr="0097559B" w:rsidRDefault="001423B0" w:rsidP="001423B0">
      <w:pPr>
        <w:pStyle w:val="02Bulletslevel1"/>
        <w:rPr>
          <w:sz w:val="20"/>
          <w:szCs w:val="20"/>
        </w:rPr>
      </w:pPr>
      <w:r w:rsidRPr="0097559B">
        <w:rPr>
          <w:sz w:val="20"/>
          <w:szCs w:val="20"/>
        </w:rPr>
        <w:t xml:space="preserve">acute </w:t>
      </w:r>
      <w:proofErr w:type="spellStart"/>
      <w:r w:rsidRPr="0097559B">
        <w:rPr>
          <w:sz w:val="20"/>
          <w:szCs w:val="20"/>
        </w:rPr>
        <w:t>transmural</w:t>
      </w:r>
      <w:proofErr w:type="spellEnd"/>
      <w:r w:rsidRPr="0097559B">
        <w:rPr>
          <w:sz w:val="20"/>
          <w:szCs w:val="20"/>
        </w:rPr>
        <w:t xml:space="preserve"> myocardial infarction of anterior wall (I21.0)</w:t>
      </w:r>
    </w:p>
    <w:p w:rsidR="001423B0" w:rsidRPr="0097559B" w:rsidRDefault="001423B0" w:rsidP="001423B0">
      <w:pPr>
        <w:pStyle w:val="02Bulletslevel1"/>
        <w:rPr>
          <w:sz w:val="20"/>
          <w:szCs w:val="20"/>
        </w:rPr>
      </w:pPr>
      <w:r w:rsidRPr="0097559B">
        <w:rPr>
          <w:sz w:val="20"/>
          <w:szCs w:val="20"/>
        </w:rPr>
        <w:t xml:space="preserve">acute </w:t>
      </w:r>
      <w:proofErr w:type="spellStart"/>
      <w:r w:rsidRPr="0097559B">
        <w:rPr>
          <w:sz w:val="20"/>
          <w:szCs w:val="20"/>
        </w:rPr>
        <w:t>transmural</w:t>
      </w:r>
      <w:proofErr w:type="spellEnd"/>
      <w:r w:rsidRPr="0097559B">
        <w:rPr>
          <w:sz w:val="20"/>
          <w:szCs w:val="20"/>
        </w:rPr>
        <w:t xml:space="preserve"> myocardial infarction of inferior wall (I21.1)</w:t>
      </w:r>
    </w:p>
    <w:p w:rsidR="001423B0" w:rsidRPr="0097559B" w:rsidRDefault="001423B0" w:rsidP="001423B0">
      <w:pPr>
        <w:pStyle w:val="02Bulletslevel1"/>
        <w:rPr>
          <w:sz w:val="20"/>
          <w:szCs w:val="20"/>
        </w:rPr>
      </w:pPr>
      <w:r w:rsidRPr="0097559B">
        <w:rPr>
          <w:sz w:val="20"/>
          <w:szCs w:val="20"/>
        </w:rPr>
        <w:t xml:space="preserve">acute </w:t>
      </w:r>
      <w:proofErr w:type="spellStart"/>
      <w:r w:rsidRPr="0097559B">
        <w:rPr>
          <w:sz w:val="20"/>
          <w:szCs w:val="20"/>
        </w:rPr>
        <w:t>transmural</w:t>
      </w:r>
      <w:proofErr w:type="spellEnd"/>
      <w:r w:rsidRPr="0097559B">
        <w:rPr>
          <w:sz w:val="20"/>
          <w:szCs w:val="20"/>
        </w:rPr>
        <w:t xml:space="preserve"> myocardial infarction of other sites (I21.2)</w:t>
      </w:r>
    </w:p>
    <w:p w:rsidR="001423B0" w:rsidRPr="0097559B" w:rsidRDefault="001423B0" w:rsidP="001423B0">
      <w:pPr>
        <w:pStyle w:val="02Bulletslevel1"/>
        <w:rPr>
          <w:sz w:val="20"/>
          <w:szCs w:val="20"/>
        </w:rPr>
      </w:pPr>
      <w:r w:rsidRPr="0097559B">
        <w:rPr>
          <w:sz w:val="20"/>
          <w:szCs w:val="20"/>
        </w:rPr>
        <w:t xml:space="preserve">acute </w:t>
      </w:r>
      <w:proofErr w:type="spellStart"/>
      <w:r w:rsidRPr="0097559B">
        <w:rPr>
          <w:sz w:val="20"/>
          <w:szCs w:val="20"/>
        </w:rPr>
        <w:t>transmural</w:t>
      </w:r>
      <w:proofErr w:type="spellEnd"/>
      <w:r w:rsidRPr="0097559B">
        <w:rPr>
          <w:sz w:val="20"/>
          <w:szCs w:val="20"/>
        </w:rPr>
        <w:t xml:space="preserve"> myocardial infarction of unspecified site (I21.3).</w:t>
      </w:r>
      <w:r w:rsidRPr="0097559B">
        <w:rPr>
          <w:rStyle w:val="x02-body-superscript"/>
          <w:sz w:val="20"/>
          <w:szCs w:val="20"/>
        </w:rPr>
        <w:t>a</w:t>
      </w:r>
      <w:r w:rsidRPr="0097559B">
        <w:rPr>
          <w:sz w:val="20"/>
          <w:szCs w:val="20"/>
        </w:rPr>
        <w:t xml:space="preserve"> </w:t>
      </w:r>
    </w:p>
    <w:p w:rsidR="001423B0" w:rsidRPr="0097559B" w:rsidRDefault="001423B0" w:rsidP="001423B0">
      <w:pPr>
        <w:pStyle w:val="x02-body-copy-before-bullet"/>
        <w:rPr>
          <w:rFonts w:cs="Times New Roman"/>
          <w:sz w:val="20"/>
          <w:szCs w:val="20"/>
        </w:rPr>
      </w:pPr>
      <w:r w:rsidRPr="0097559B">
        <w:rPr>
          <w:rFonts w:cs="Times New Roman"/>
          <w:sz w:val="20"/>
          <w:szCs w:val="20"/>
        </w:rPr>
        <w:t>Care type = ‘1’ (acute care).</w:t>
      </w:r>
      <w:r w:rsidRPr="0097559B">
        <w:rPr>
          <w:rStyle w:val="x02-body-superscript"/>
          <w:rFonts w:cs="Times New Roman"/>
          <w:sz w:val="20"/>
          <w:szCs w:val="20"/>
        </w:rPr>
        <w:t>b</w:t>
      </w:r>
      <w:r w:rsidRPr="0097559B">
        <w:rPr>
          <w:rFonts w:cs="Times New Roman"/>
          <w:sz w:val="20"/>
          <w:szCs w:val="20"/>
        </w:rPr>
        <w:t xml:space="preserve"> </w:t>
      </w:r>
    </w:p>
    <w:p w:rsidR="001423B0" w:rsidRPr="0097559B" w:rsidRDefault="001423B0" w:rsidP="001423B0">
      <w:pPr>
        <w:pStyle w:val="x02-body-copy-before-bullet"/>
        <w:rPr>
          <w:rStyle w:val="x02-body-italic-underline"/>
          <w:sz w:val="20"/>
          <w:szCs w:val="20"/>
        </w:rPr>
      </w:pPr>
      <w:r w:rsidRPr="0097559B">
        <w:rPr>
          <w:rStyle w:val="x02-body-italic-underline"/>
          <w:rFonts w:cs="Times New Roman"/>
          <w:sz w:val="20"/>
          <w:szCs w:val="20"/>
        </w:rPr>
        <w:t>Exclusions</w:t>
      </w:r>
    </w:p>
    <w:p w:rsidR="001423B0" w:rsidRPr="0097559B" w:rsidRDefault="001423B0" w:rsidP="001423B0">
      <w:pPr>
        <w:pStyle w:val="x02-body-copy-before-bullet"/>
        <w:rPr>
          <w:rFonts w:cs="Times New Roman"/>
          <w:sz w:val="20"/>
          <w:szCs w:val="20"/>
        </w:rPr>
      </w:pPr>
      <w:r w:rsidRPr="0097559B">
        <w:rPr>
          <w:rFonts w:cs="Times New Roman"/>
          <w:sz w:val="20"/>
          <w:szCs w:val="20"/>
        </w:rPr>
        <w:t>Patients with STEMI who present more than 12 hours after symptom onset.</w:t>
      </w:r>
    </w:p>
    <w:p w:rsidR="001423B0" w:rsidRPr="0097559B" w:rsidRDefault="001423B0" w:rsidP="001423B0">
      <w:pPr>
        <w:pStyle w:val="x02-body-copy-before-bullet"/>
        <w:rPr>
          <w:rFonts w:cs="Times New Roman"/>
          <w:sz w:val="20"/>
          <w:szCs w:val="20"/>
        </w:rPr>
      </w:pPr>
      <w:r w:rsidRPr="0097559B">
        <w:rPr>
          <w:rFonts w:cs="Times New Roman"/>
          <w:sz w:val="20"/>
          <w:szCs w:val="20"/>
        </w:rPr>
        <w:t>Patients with LBBB (</w:t>
      </w:r>
      <w:r w:rsidR="00C855F5">
        <w:rPr>
          <w:rFonts w:cs="Times New Roman"/>
          <w:sz w:val="20"/>
          <w:szCs w:val="20"/>
        </w:rPr>
        <w:t>I</w:t>
      </w:r>
      <w:r w:rsidRPr="0097559B">
        <w:rPr>
          <w:rFonts w:cs="Times New Roman"/>
          <w:sz w:val="20"/>
          <w:szCs w:val="20"/>
        </w:rPr>
        <w:t>44.x).</w:t>
      </w:r>
      <w:r w:rsidRPr="0097559B">
        <w:rPr>
          <w:rStyle w:val="x02-body-superscript"/>
          <w:rFonts w:cs="Times New Roman"/>
          <w:sz w:val="20"/>
          <w:szCs w:val="20"/>
        </w:rPr>
        <w:t>a</w:t>
      </w:r>
      <w:r w:rsidRPr="0097559B">
        <w:rPr>
          <w:rFonts w:cs="Times New Roman"/>
          <w:sz w:val="20"/>
          <w:szCs w:val="20"/>
        </w:rPr>
        <w:t xml:space="preserve"> </w:t>
      </w:r>
    </w:p>
    <w:p w:rsidR="001423B0" w:rsidRPr="0097559B" w:rsidRDefault="001423B0" w:rsidP="001423B0">
      <w:pPr>
        <w:pStyle w:val="x02-body-copy"/>
        <w:rPr>
          <w:rFonts w:cs="Times New Roman"/>
          <w:sz w:val="20"/>
          <w:szCs w:val="20"/>
        </w:rPr>
      </w:pPr>
      <w:r w:rsidRPr="0097559B">
        <w:rPr>
          <w:rFonts w:cs="Times New Roman"/>
          <w:sz w:val="20"/>
          <w:szCs w:val="20"/>
        </w:rPr>
        <w:t>Patients for whom PCI and fibrinolysis are contraindicated, and for whom the contraindication is documented.</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Setting:</w:t>
      </w:r>
      <w:r w:rsidRPr="0097559B">
        <w:rPr>
          <w:rFonts w:cs="Times New Roman"/>
          <w:sz w:val="20"/>
          <w:szCs w:val="20"/>
        </w:rPr>
        <w:t xml:space="preserve"> Acute/hospital.</w:t>
      </w:r>
    </w:p>
    <w:p w:rsidR="001423B0" w:rsidRPr="0097559B" w:rsidRDefault="001423B0" w:rsidP="001423B0">
      <w:pPr>
        <w:pStyle w:val="x02-body-copy"/>
        <w:rPr>
          <w:rFonts w:cs="Times New Roman"/>
          <w:sz w:val="20"/>
          <w:szCs w:val="20"/>
        </w:rPr>
      </w:pPr>
      <w:r w:rsidRPr="0097559B">
        <w:rPr>
          <w:rStyle w:val="x02-body-medium"/>
          <w:rFonts w:cs="Times New Roman"/>
          <w:sz w:val="20"/>
          <w:szCs w:val="20"/>
        </w:rPr>
        <w:t xml:space="preserve">Comments: </w:t>
      </w:r>
      <w:r w:rsidRPr="0097559B">
        <w:rPr>
          <w:rFonts w:cs="Times New Roman"/>
          <w:sz w:val="20"/>
          <w:szCs w:val="20"/>
        </w:rPr>
        <w:t>Contraindications for PCI and fibrinolysis may include advanced care directives, being on a palliative care pathway, and clinical judgement, subject to discussion with patients, family and carers.</w:t>
      </w:r>
    </w:p>
    <w:p w:rsidR="001423B0" w:rsidRDefault="001423B0" w:rsidP="001423B0">
      <w:pPr>
        <w:pStyle w:val="x01-heading-level-3"/>
        <w:rPr>
          <w:rFonts w:cs="Times New Roman"/>
        </w:rPr>
      </w:pPr>
      <w:r>
        <w:rPr>
          <w:rFonts w:cs="Times New Roman"/>
        </w:rPr>
        <w:t>References</w:t>
      </w:r>
    </w:p>
    <w:p w:rsidR="001423B0" w:rsidRDefault="001423B0" w:rsidP="001423B0">
      <w:pPr>
        <w:pStyle w:val="x04-footnotes"/>
        <w:ind w:left="142" w:hanging="142"/>
        <w:rPr>
          <w:rFonts w:cs="Times New Roman"/>
        </w:rPr>
      </w:pPr>
      <w:r>
        <w:rPr>
          <w:rFonts w:cs="Times New Roman"/>
        </w:rPr>
        <w:t>1. Acute Coronary Syndrome Guidelines Working Group. Guidelines for the management of acute coronary syndromes 2006. Medical Journal of Australia. 2006;184(8):S1–S30.</w:t>
      </w:r>
    </w:p>
    <w:p w:rsidR="001423B0" w:rsidRDefault="001423B0" w:rsidP="001423B0">
      <w:pPr>
        <w:pStyle w:val="x04-footnotes-last"/>
        <w:ind w:left="142" w:hanging="142"/>
        <w:rPr>
          <w:rStyle w:val="x02-body-medium"/>
        </w:rPr>
      </w:pPr>
      <w:r>
        <w:rPr>
          <w:rStyle w:val="x02-body-medium"/>
          <w:rFonts w:cs="Times New Roman"/>
        </w:rPr>
        <w:t>Supplementary source:</w:t>
      </w:r>
    </w:p>
    <w:p w:rsidR="001423B0" w:rsidRDefault="001423B0" w:rsidP="001423B0">
      <w:pPr>
        <w:pStyle w:val="x04-footnotes-last"/>
        <w:ind w:left="142" w:hanging="142"/>
        <w:rPr>
          <w:rFonts w:cs="Times New Roman"/>
        </w:rPr>
      </w:pPr>
      <w:r>
        <w:rPr>
          <w:rFonts w:cs="Times New Roman"/>
        </w:rPr>
        <w:t xml:space="preserve">2. </w:t>
      </w:r>
      <w:proofErr w:type="spellStart"/>
      <w:r>
        <w:rPr>
          <w:rFonts w:cs="Times New Roman"/>
        </w:rPr>
        <w:t>Aliprandi</w:t>
      </w:r>
      <w:proofErr w:type="spellEnd"/>
      <w:r>
        <w:rPr>
          <w:rFonts w:cs="Times New Roman"/>
        </w:rPr>
        <w:t xml:space="preserve">-Costa BJ, </w:t>
      </w:r>
      <w:proofErr w:type="spellStart"/>
      <w:r>
        <w:rPr>
          <w:rFonts w:cs="Times New Roman"/>
        </w:rPr>
        <w:t>Ranasinghe</w:t>
      </w:r>
      <w:proofErr w:type="spellEnd"/>
      <w:r>
        <w:rPr>
          <w:rFonts w:cs="Times New Roman"/>
        </w:rPr>
        <w:t xml:space="preserve"> I, Chow V, et al. Management and outcomes of patients with acute coronary syndromes in Australia and New Zealand 2000–2007. Medical Journal of Australia. 2011;195(3):116–121.</w:t>
      </w: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r>
        <w:rPr>
          <w:rFonts w:cs="Times New Roman"/>
        </w:rPr>
        <w:t>a ICD-10-AM (</w:t>
      </w:r>
      <w:r w:rsidR="00C855F5">
        <w:rPr>
          <w:rFonts w:cs="Times New Roman"/>
        </w:rPr>
        <w:t>9</w:t>
      </w:r>
      <w:r>
        <w:rPr>
          <w:rFonts w:cs="Times New Roman"/>
        </w:rPr>
        <w:t>th edition).</w:t>
      </w:r>
    </w:p>
    <w:p w:rsidR="001423B0" w:rsidRDefault="001423B0" w:rsidP="001423B0">
      <w:pPr>
        <w:pStyle w:val="x04-footnotes"/>
        <w:rPr>
          <w:rFonts w:cs="Times New Roman"/>
        </w:rPr>
      </w:pPr>
      <w:r>
        <w:rPr>
          <w:rFonts w:cs="Times New Roman"/>
        </w:rPr>
        <w:t xml:space="preserve">b </w:t>
      </w:r>
      <w:proofErr w:type="spellStart"/>
      <w:r>
        <w:rPr>
          <w:rFonts w:cs="Times New Roman"/>
        </w:rPr>
        <w:t>METeOR</w:t>
      </w:r>
      <w:proofErr w:type="spellEnd"/>
      <w:r>
        <w:rPr>
          <w:rFonts w:cs="Times New Roman"/>
        </w:rPr>
        <w:t xml:space="preserve"> identifier: 491557.</w:t>
      </w:r>
    </w:p>
    <w:p w:rsidR="001423B0" w:rsidRDefault="001423B0" w:rsidP="001423B0">
      <w:pPr>
        <w:rPr>
          <w:rFonts w:cs="Times New Roman"/>
          <w:b/>
          <w:bCs/>
          <w:color w:val="00988E"/>
          <w:sz w:val="28"/>
          <w:szCs w:val="28"/>
        </w:rPr>
      </w:pPr>
      <w:r>
        <w:rPr>
          <w:rFonts w:cs="Times New Roman"/>
        </w:rPr>
        <w:br w:type="page"/>
      </w:r>
    </w:p>
    <w:p w:rsidR="001423B0" w:rsidRPr="005D667F" w:rsidRDefault="001423B0" w:rsidP="001423B0">
      <w:pPr>
        <w:pStyle w:val="heading-level-3-aqua"/>
        <w:rPr>
          <w:rFonts w:cs="Times New Roman"/>
          <w:sz w:val="2"/>
          <w:szCs w:val="2"/>
        </w:rPr>
      </w:pPr>
      <w:bookmarkStart w:id="12" w:name="_Toc278988964"/>
    </w:p>
    <w:p w:rsidR="001423B0" w:rsidRPr="0097559B" w:rsidRDefault="001423B0" w:rsidP="001423B0">
      <w:pPr>
        <w:pStyle w:val="heading-level-3-aqua"/>
        <w:rPr>
          <w:rFonts w:cs="Times New Roman"/>
          <w:sz w:val="40"/>
          <w:szCs w:val="40"/>
        </w:rPr>
      </w:pPr>
      <w:r w:rsidRPr="0097559B">
        <w:rPr>
          <w:rFonts w:cs="Times New Roman"/>
          <w:sz w:val="40"/>
          <w:szCs w:val="40"/>
        </w:rPr>
        <w:t xml:space="preserve">Quality statement 3 – Timely reperfusion </w:t>
      </w:r>
    </w:p>
    <w:p w:rsidR="001423B0" w:rsidRDefault="001423B0" w:rsidP="001423B0">
      <w:pPr>
        <w:pStyle w:val="heading-level-3-aqua"/>
        <w:rPr>
          <w:rFonts w:cs="Times New Roman"/>
        </w:rPr>
      </w:pPr>
      <w:r>
        <w:rPr>
          <w:rFonts w:cs="Times New Roman"/>
        </w:rPr>
        <w:t>Indicator 3b: STEMI patients receiving fibrinolysis within 30 minutes of hospital arrival</w:t>
      </w:r>
      <w:bookmarkEnd w:id="12"/>
    </w:p>
    <w:p w:rsidR="001423B0" w:rsidRDefault="001423B0" w:rsidP="001423B0">
      <w:pPr>
        <w:pStyle w:val="x01-heading-level-3"/>
        <w:rPr>
          <w:rFonts w:cs="Times New Roman"/>
        </w:rPr>
      </w:pPr>
      <w:r>
        <w:rPr>
          <w:rFonts w:cs="Times New Roman"/>
        </w:rPr>
        <w:t>Definitional attributes</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Name:</w:t>
      </w:r>
      <w:r w:rsidRPr="005D667F">
        <w:rPr>
          <w:rFonts w:cs="Times New Roman"/>
          <w:sz w:val="20"/>
          <w:szCs w:val="20"/>
        </w:rPr>
        <w:t xml:space="preserve"> Proportion of patients with STEMI, whose first emergency clinical contact is within 12 hours of symptom onset, treated with fibrinolysis before or within 30 minutes of hospital arrival.</w:t>
      </w:r>
    </w:p>
    <w:p w:rsidR="001423B0" w:rsidRPr="005D667F" w:rsidRDefault="001423B0" w:rsidP="001423B0">
      <w:pPr>
        <w:pStyle w:val="x02-body-copy-before-bullet"/>
        <w:rPr>
          <w:rFonts w:cs="Times New Roman"/>
          <w:sz w:val="20"/>
          <w:szCs w:val="20"/>
        </w:rPr>
      </w:pPr>
      <w:r w:rsidRPr="005D667F">
        <w:rPr>
          <w:rStyle w:val="x02-body-medium"/>
          <w:rFonts w:cs="Times New Roman"/>
          <w:sz w:val="20"/>
          <w:szCs w:val="20"/>
        </w:rPr>
        <w:t>Rationale:</w:t>
      </w:r>
      <w:r w:rsidRPr="005D667F">
        <w:rPr>
          <w:rFonts w:cs="Times New Roman"/>
          <w:sz w:val="20"/>
          <w:szCs w:val="20"/>
        </w:rPr>
        <w:t xml:space="preserve"> Early administration of </w:t>
      </w:r>
      <w:proofErr w:type="spellStart"/>
      <w:r w:rsidRPr="005D667F">
        <w:rPr>
          <w:rFonts w:cs="Times New Roman"/>
          <w:sz w:val="20"/>
          <w:szCs w:val="20"/>
        </w:rPr>
        <w:t>fibrinolytic</w:t>
      </w:r>
      <w:proofErr w:type="spellEnd"/>
      <w:r w:rsidRPr="005D667F">
        <w:rPr>
          <w:rFonts w:cs="Times New Roman"/>
          <w:sz w:val="20"/>
          <w:szCs w:val="20"/>
        </w:rPr>
        <w:t xml:space="preserve"> therapy given soon after symptom onset has been shown to reduce mortality by up to 50 per cent.</w:t>
      </w:r>
      <w:r w:rsidRPr="005D667F">
        <w:rPr>
          <w:rStyle w:val="x02-body-superscript"/>
          <w:rFonts w:cs="Times New Roman"/>
          <w:sz w:val="20"/>
          <w:szCs w:val="20"/>
        </w:rPr>
        <w:t>1</w:t>
      </w:r>
      <w:r w:rsidRPr="005D667F">
        <w:rPr>
          <w:rFonts w:cs="Times New Roman"/>
          <w:sz w:val="20"/>
          <w:szCs w:val="20"/>
        </w:rPr>
        <w:t xml:space="preserve"> </w:t>
      </w:r>
    </w:p>
    <w:p w:rsidR="001423B0" w:rsidRPr="005D667F" w:rsidRDefault="001423B0" w:rsidP="001423B0">
      <w:pPr>
        <w:pStyle w:val="x02-body-copy"/>
        <w:rPr>
          <w:rFonts w:cs="Times New Roman"/>
          <w:sz w:val="20"/>
          <w:szCs w:val="20"/>
        </w:rPr>
      </w:pPr>
      <w:r w:rsidRPr="005D667F">
        <w:rPr>
          <w:rFonts w:cs="Times New Roman"/>
          <w:sz w:val="20"/>
          <w:szCs w:val="20"/>
        </w:rPr>
        <w:t>The American Heart Association Task Force recommends fibrinolysis within 30 minutes of arrival where a door-to-device time is anticipated to exceed 120 minutes.</w:t>
      </w:r>
      <w:r w:rsidRPr="005D667F">
        <w:rPr>
          <w:rStyle w:val="x02-body-superscript"/>
          <w:rFonts w:cs="Times New Roman"/>
          <w:sz w:val="20"/>
          <w:szCs w:val="20"/>
        </w:rPr>
        <w:t>2</w:t>
      </w:r>
      <w:r w:rsidRPr="005D667F">
        <w:rPr>
          <w:rFonts w:cs="Times New Roman"/>
          <w:sz w:val="20"/>
          <w:szCs w:val="20"/>
        </w:rPr>
        <w:t xml:space="preserve"> </w:t>
      </w:r>
    </w:p>
    <w:p w:rsidR="001423B0" w:rsidRPr="00791686" w:rsidRDefault="001423B0" w:rsidP="001423B0">
      <w:pPr>
        <w:pStyle w:val="x01-heading-level-3"/>
        <w:rPr>
          <w:rFonts w:cs="Times New Roman"/>
        </w:rPr>
      </w:pPr>
      <w:r w:rsidRPr="00791686">
        <w:rPr>
          <w:rFonts w:cs="Times New Roman"/>
        </w:rPr>
        <w:t>Collection and usage attributes</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Computation:</w:t>
      </w:r>
      <w:r w:rsidRPr="005D667F">
        <w:rPr>
          <w:rFonts w:cs="Times New Roman"/>
          <w:sz w:val="20"/>
          <w:szCs w:val="20"/>
        </w:rPr>
        <w:t xml:space="preserve"> </w:t>
      </w:r>
      <w:r w:rsidRPr="005D667F">
        <w:rPr>
          <w:rStyle w:val="x02-body-italic"/>
          <w:rFonts w:cs="Times New Roman"/>
          <w:sz w:val="20"/>
          <w:szCs w:val="20"/>
        </w:rPr>
        <w:t>(Numerator ÷ denominator) x 100</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Numerator:</w:t>
      </w:r>
      <w:r w:rsidRPr="005D667F">
        <w:rPr>
          <w:rFonts w:cs="Times New Roman"/>
          <w:sz w:val="20"/>
          <w:szCs w:val="20"/>
        </w:rPr>
        <w:t xml:space="preserve"> Total number of pa</w:t>
      </w:r>
      <w:r w:rsidR="00163016">
        <w:rPr>
          <w:rFonts w:cs="Times New Roman"/>
          <w:sz w:val="20"/>
          <w:szCs w:val="20"/>
        </w:rPr>
        <w:t xml:space="preserve">tients with STEMI </w:t>
      </w:r>
      <w:r w:rsidR="00163016" w:rsidRPr="008D7C96">
        <w:rPr>
          <w:rFonts w:cs="Times New Roman"/>
          <w:sz w:val="20"/>
          <w:szCs w:val="20"/>
        </w:rPr>
        <w:t>arriving at the emergency department or being attended to by ambulance officers</w:t>
      </w:r>
      <w:r w:rsidRPr="008D7C96">
        <w:rPr>
          <w:rFonts w:cs="Times New Roman"/>
          <w:sz w:val="20"/>
          <w:szCs w:val="20"/>
        </w:rPr>
        <w:t xml:space="preserve"> within 12 hours of symptom onset, receiving fibrinolysis before or within 30 minutes of </w:t>
      </w:r>
      <w:r w:rsidRPr="005D667F">
        <w:rPr>
          <w:rFonts w:cs="Times New Roman"/>
          <w:sz w:val="20"/>
          <w:szCs w:val="20"/>
        </w:rPr>
        <w:t>hospital arrival.</w:t>
      </w:r>
    </w:p>
    <w:p w:rsidR="001423B0" w:rsidRPr="005D667F" w:rsidRDefault="001423B0" w:rsidP="001423B0">
      <w:pPr>
        <w:pStyle w:val="x02-body-copy-before-bullet"/>
        <w:rPr>
          <w:rStyle w:val="x02-body-italic-underline"/>
          <w:sz w:val="20"/>
          <w:szCs w:val="20"/>
        </w:rPr>
      </w:pPr>
      <w:r w:rsidRPr="005D667F">
        <w:rPr>
          <w:rStyle w:val="x02-body-medium"/>
          <w:rFonts w:cs="Times New Roman"/>
          <w:sz w:val="20"/>
          <w:szCs w:val="20"/>
        </w:rPr>
        <w:t>Numerator criteria:</w:t>
      </w:r>
      <w:r w:rsidRPr="005D667F">
        <w:rPr>
          <w:rFonts w:cs="Times New Roman"/>
          <w:sz w:val="20"/>
          <w:szCs w:val="20"/>
        </w:rPr>
        <w:t xml:space="preserve"> </w:t>
      </w:r>
      <w:r w:rsidRPr="005D667F">
        <w:rPr>
          <w:rStyle w:val="x02-body-italic-underline"/>
          <w:rFonts w:cs="Times New Roman"/>
          <w:sz w:val="20"/>
          <w:szCs w:val="20"/>
        </w:rPr>
        <w:t>Inclusions</w:t>
      </w:r>
    </w:p>
    <w:p w:rsidR="001423B0" w:rsidRPr="005D667F" w:rsidRDefault="001423B0" w:rsidP="001423B0">
      <w:pPr>
        <w:pStyle w:val="x02-body-copy-before-bullet"/>
        <w:rPr>
          <w:rFonts w:cs="Times New Roman"/>
          <w:sz w:val="20"/>
          <w:szCs w:val="20"/>
        </w:rPr>
      </w:pPr>
      <w:r w:rsidRPr="005D667F">
        <w:rPr>
          <w:rFonts w:cs="Times New Roman"/>
          <w:sz w:val="20"/>
          <w:szCs w:val="20"/>
        </w:rPr>
        <w:t>STEMI patients. That is, patients with a diagnosis of one of the following:</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anterior wall (I21.0)</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inferior wall (I21.1)</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other sites (I21.2)</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unspecified site (I21.3).</w:t>
      </w:r>
      <w:r w:rsidRPr="005D667F">
        <w:rPr>
          <w:rStyle w:val="x02-body-superscript"/>
          <w:sz w:val="20"/>
          <w:szCs w:val="20"/>
        </w:rPr>
        <w:t>a</w:t>
      </w:r>
    </w:p>
    <w:p w:rsidR="001423B0" w:rsidRPr="005D667F" w:rsidRDefault="001423B0" w:rsidP="001423B0">
      <w:pPr>
        <w:pStyle w:val="x02-body-copy-before-bullet"/>
        <w:rPr>
          <w:rFonts w:cs="Times New Roman"/>
          <w:sz w:val="20"/>
          <w:szCs w:val="20"/>
        </w:rPr>
      </w:pPr>
      <w:r w:rsidRPr="005D667F">
        <w:rPr>
          <w:rFonts w:cs="Times New Roman"/>
          <w:sz w:val="20"/>
          <w:szCs w:val="20"/>
        </w:rPr>
        <w:t>Care type = ‘1’ (acute care).</w:t>
      </w:r>
      <w:r w:rsidRPr="005D667F">
        <w:rPr>
          <w:rStyle w:val="x02-body-superscript"/>
          <w:rFonts w:cs="Times New Roman"/>
          <w:sz w:val="20"/>
          <w:szCs w:val="20"/>
        </w:rPr>
        <w:t>b</w:t>
      </w:r>
    </w:p>
    <w:p w:rsidR="001423B0" w:rsidRPr="005D667F" w:rsidRDefault="001423B0" w:rsidP="001423B0">
      <w:pPr>
        <w:pStyle w:val="x02-body-copy"/>
        <w:rPr>
          <w:rStyle w:val="x02-body-italic-underline"/>
          <w:sz w:val="20"/>
          <w:szCs w:val="20"/>
        </w:rPr>
      </w:pPr>
      <w:r w:rsidRPr="005D667F">
        <w:rPr>
          <w:rStyle w:val="x02-body-italic-underline"/>
          <w:rFonts w:cs="Times New Roman"/>
          <w:sz w:val="20"/>
          <w:szCs w:val="20"/>
        </w:rPr>
        <w:t xml:space="preserve">Exclusions </w:t>
      </w:r>
    </w:p>
    <w:p w:rsidR="001423B0" w:rsidRPr="005D667F" w:rsidRDefault="001423B0" w:rsidP="001423B0">
      <w:pPr>
        <w:pStyle w:val="x02-body-copy"/>
        <w:rPr>
          <w:rFonts w:cs="Times New Roman"/>
          <w:sz w:val="20"/>
          <w:szCs w:val="20"/>
        </w:rPr>
      </w:pPr>
      <w:r w:rsidRPr="005D667F">
        <w:rPr>
          <w:rFonts w:cs="Times New Roman"/>
          <w:sz w:val="20"/>
          <w:szCs w:val="20"/>
        </w:rPr>
        <w:t>Nil.</w:t>
      </w:r>
    </w:p>
    <w:p w:rsidR="001423B0" w:rsidRPr="008D7C96" w:rsidRDefault="001423B0" w:rsidP="001423B0">
      <w:pPr>
        <w:pStyle w:val="x02-body-copy"/>
        <w:rPr>
          <w:rFonts w:cs="Times New Roman"/>
          <w:sz w:val="20"/>
          <w:szCs w:val="20"/>
        </w:rPr>
      </w:pPr>
      <w:r w:rsidRPr="005D667F">
        <w:rPr>
          <w:rStyle w:val="x02-body-medium"/>
          <w:rFonts w:cs="Times New Roman"/>
          <w:sz w:val="20"/>
          <w:szCs w:val="20"/>
        </w:rPr>
        <w:t>Denominator:</w:t>
      </w:r>
      <w:r w:rsidRPr="005D667F">
        <w:rPr>
          <w:rFonts w:cs="Times New Roman"/>
          <w:sz w:val="20"/>
          <w:szCs w:val="20"/>
        </w:rPr>
        <w:t xml:space="preserve"> Total number of patients with STEMI </w:t>
      </w:r>
      <w:r w:rsidR="00163016" w:rsidRPr="008D7C96">
        <w:rPr>
          <w:rFonts w:cs="Times New Roman"/>
          <w:sz w:val="20"/>
          <w:szCs w:val="20"/>
        </w:rPr>
        <w:t xml:space="preserve">arriving at the emergency department or being attended to by ambulance officers </w:t>
      </w:r>
      <w:r w:rsidRPr="008D7C96">
        <w:rPr>
          <w:rFonts w:cs="Times New Roman"/>
          <w:sz w:val="20"/>
          <w:szCs w:val="20"/>
        </w:rPr>
        <w:t>within 12 hours of symptom onset.</w:t>
      </w:r>
    </w:p>
    <w:p w:rsidR="001423B0" w:rsidRPr="005D667F" w:rsidRDefault="001423B0" w:rsidP="001423B0">
      <w:pPr>
        <w:pStyle w:val="x02-body-copy-before-bullet"/>
        <w:rPr>
          <w:rStyle w:val="x02-body-italic-underline"/>
          <w:sz w:val="20"/>
          <w:szCs w:val="20"/>
        </w:rPr>
      </w:pPr>
      <w:r w:rsidRPr="005D667F">
        <w:rPr>
          <w:rStyle w:val="x02-body-medium"/>
          <w:rFonts w:cs="Times New Roman"/>
          <w:sz w:val="20"/>
          <w:szCs w:val="20"/>
        </w:rPr>
        <w:t>Denominator criteria:</w:t>
      </w:r>
      <w:r w:rsidRPr="005D667F">
        <w:rPr>
          <w:rFonts w:cs="Times New Roman"/>
          <w:sz w:val="20"/>
          <w:szCs w:val="20"/>
        </w:rPr>
        <w:t xml:space="preserve"> </w:t>
      </w:r>
      <w:r w:rsidRPr="005D667F">
        <w:rPr>
          <w:rStyle w:val="x02-body-italic-underline"/>
          <w:rFonts w:cs="Times New Roman"/>
          <w:sz w:val="20"/>
          <w:szCs w:val="20"/>
        </w:rPr>
        <w:t>Inclusions</w:t>
      </w:r>
    </w:p>
    <w:p w:rsidR="001423B0" w:rsidRPr="005D667F" w:rsidRDefault="001423B0" w:rsidP="001423B0">
      <w:pPr>
        <w:pStyle w:val="x02-body-copy-before-bullet"/>
        <w:rPr>
          <w:rFonts w:cs="Times New Roman"/>
          <w:sz w:val="20"/>
          <w:szCs w:val="20"/>
        </w:rPr>
      </w:pPr>
      <w:r w:rsidRPr="005D667F">
        <w:rPr>
          <w:rFonts w:cs="Times New Roman"/>
          <w:sz w:val="20"/>
          <w:szCs w:val="20"/>
        </w:rPr>
        <w:t>STEMI patients. That is, patients with a diagnosis of one of the following:</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anterior wall (I21.0)</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inferior wall (I21.1)</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other sites (I21.2)</w:t>
      </w:r>
    </w:p>
    <w:p w:rsidR="001423B0" w:rsidRPr="005D667F" w:rsidRDefault="001423B0" w:rsidP="001423B0">
      <w:pPr>
        <w:pStyle w:val="02Bulletslevel1"/>
        <w:rPr>
          <w:rStyle w:val="x02-body-superscript"/>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unspecified site (I21.3).</w:t>
      </w:r>
      <w:r w:rsidRPr="005D667F">
        <w:rPr>
          <w:rStyle w:val="x02-body-superscript"/>
          <w:sz w:val="20"/>
          <w:szCs w:val="20"/>
        </w:rPr>
        <w:t>a</w:t>
      </w:r>
    </w:p>
    <w:p w:rsidR="001423B0" w:rsidRDefault="001423B0" w:rsidP="001423B0">
      <w:pPr>
        <w:pStyle w:val="x04-footnotes"/>
        <w:rPr>
          <w:rFonts w:cs="Times New Roman"/>
        </w:rPr>
      </w:pPr>
      <w:r>
        <w:rPr>
          <w:rFonts w:cs="Times New Roman"/>
        </w:rPr>
        <w:t xml:space="preserve">a ICD-10-AM </w:t>
      </w:r>
      <w:r w:rsidRPr="008D7C96">
        <w:rPr>
          <w:rFonts w:cs="Times New Roman"/>
        </w:rPr>
        <w:t>(</w:t>
      </w:r>
      <w:r w:rsidR="006A7D11" w:rsidRPr="008D7C96">
        <w:rPr>
          <w:rFonts w:cs="Times New Roman"/>
        </w:rPr>
        <w:t>9</w:t>
      </w:r>
      <w:r w:rsidRPr="008D7C96">
        <w:rPr>
          <w:rFonts w:cs="Times New Roman"/>
        </w:rPr>
        <w:t xml:space="preserve">th </w:t>
      </w:r>
      <w:r>
        <w:rPr>
          <w:rFonts w:cs="Times New Roman"/>
        </w:rPr>
        <w:t>edition).</w:t>
      </w:r>
    </w:p>
    <w:p w:rsidR="001423B0" w:rsidRPr="005D667F" w:rsidRDefault="001423B0" w:rsidP="001423B0">
      <w:pPr>
        <w:pStyle w:val="x02-body-copy-before-bullet"/>
        <w:rPr>
          <w:rFonts w:cs="Times New Roman"/>
          <w:sz w:val="20"/>
          <w:szCs w:val="20"/>
        </w:rPr>
      </w:pPr>
      <w:r w:rsidRPr="005D667F">
        <w:rPr>
          <w:rFonts w:cs="Times New Roman"/>
          <w:sz w:val="20"/>
          <w:szCs w:val="20"/>
        </w:rPr>
        <w:lastRenderedPageBreak/>
        <w:t>Care type = ‘1’ (acute care).</w:t>
      </w:r>
      <w:r w:rsidRPr="005D667F">
        <w:rPr>
          <w:rStyle w:val="x02-body-superscript"/>
          <w:rFonts w:cs="Times New Roman"/>
          <w:sz w:val="20"/>
          <w:szCs w:val="20"/>
        </w:rPr>
        <w:t>a</w:t>
      </w:r>
    </w:p>
    <w:p w:rsidR="001423B0" w:rsidRPr="005D667F" w:rsidRDefault="001423B0" w:rsidP="001423B0">
      <w:pPr>
        <w:pStyle w:val="x02-body-copy"/>
        <w:rPr>
          <w:rStyle w:val="x02-body-italic-underline"/>
          <w:sz w:val="20"/>
          <w:szCs w:val="20"/>
        </w:rPr>
      </w:pPr>
      <w:r w:rsidRPr="005D667F">
        <w:rPr>
          <w:rStyle w:val="x02-body-italic-underline"/>
          <w:rFonts w:cs="Times New Roman"/>
          <w:sz w:val="20"/>
          <w:szCs w:val="20"/>
        </w:rPr>
        <w:t>Exclusions</w:t>
      </w:r>
    </w:p>
    <w:p w:rsidR="001423B0" w:rsidRPr="005D667F" w:rsidRDefault="001423B0" w:rsidP="001423B0">
      <w:pPr>
        <w:pStyle w:val="x02-body-copy"/>
        <w:rPr>
          <w:rFonts w:cs="Times New Roman"/>
          <w:sz w:val="20"/>
          <w:szCs w:val="20"/>
        </w:rPr>
      </w:pPr>
      <w:r w:rsidRPr="005D667F">
        <w:rPr>
          <w:rFonts w:cs="Times New Roman"/>
          <w:sz w:val="20"/>
          <w:szCs w:val="20"/>
        </w:rPr>
        <w:t>Patients for whom fibrinolysis is contraindicated and for whom the contraindication is documented.</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Setting:</w:t>
      </w:r>
      <w:r w:rsidRPr="005D667F">
        <w:rPr>
          <w:rFonts w:cs="Times New Roman"/>
          <w:sz w:val="20"/>
          <w:szCs w:val="20"/>
        </w:rPr>
        <w:t xml:space="preserve"> Acute/hospital.</w:t>
      </w:r>
    </w:p>
    <w:p w:rsidR="001423B0" w:rsidRPr="005D667F" w:rsidRDefault="001423B0" w:rsidP="001423B0">
      <w:pPr>
        <w:pStyle w:val="x02-body-copy-before-bullet"/>
        <w:rPr>
          <w:rFonts w:cs="Times New Roman"/>
          <w:sz w:val="20"/>
          <w:szCs w:val="20"/>
        </w:rPr>
      </w:pPr>
      <w:r w:rsidRPr="005D667F">
        <w:rPr>
          <w:rStyle w:val="x02-body-medium"/>
          <w:rFonts w:cs="Times New Roman"/>
          <w:sz w:val="20"/>
          <w:szCs w:val="20"/>
        </w:rPr>
        <w:t>Comments:</w:t>
      </w:r>
      <w:r w:rsidRPr="005D667F">
        <w:rPr>
          <w:rFonts w:cs="Times New Roman"/>
          <w:sz w:val="20"/>
          <w:szCs w:val="20"/>
        </w:rPr>
        <w:t xml:space="preserve"> Contraindications for fibrinolysis may include advanced care directives, being on a palliative care pathway, and clinical judgement, subject to discussion with patients, family and carers.</w:t>
      </w:r>
    </w:p>
    <w:p w:rsidR="001423B0" w:rsidRPr="005D667F" w:rsidRDefault="001423B0" w:rsidP="001423B0">
      <w:pPr>
        <w:pStyle w:val="x02-body-copy"/>
        <w:rPr>
          <w:rFonts w:cs="Times New Roman"/>
          <w:sz w:val="20"/>
          <w:szCs w:val="20"/>
        </w:rPr>
      </w:pPr>
      <w:r w:rsidRPr="005D667F">
        <w:rPr>
          <w:rFonts w:cs="Times New Roman"/>
          <w:sz w:val="20"/>
          <w:szCs w:val="20"/>
        </w:rPr>
        <w:t xml:space="preserve">The </w:t>
      </w:r>
      <w:r w:rsidRPr="005D667F">
        <w:rPr>
          <w:rStyle w:val="x02-body-italic"/>
          <w:rFonts w:cs="Times New Roman"/>
          <w:sz w:val="20"/>
          <w:szCs w:val="20"/>
        </w:rPr>
        <w:t>Guidelines</w:t>
      </w:r>
      <w:r w:rsidRPr="005D667F">
        <w:rPr>
          <w:rFonts w:cs="Times New Roman"/>
          <w:sz w:val="20"/>
          <w:szCs w:val="20"/>
        </w:rPr>
        <w:t xml:space="preserve"> reference both absolute and relative contraindications to the administration of fibrinolysis.</w:t>
      </w:r>
      <w:r w:rsidRPr="005D667F">
        <w:rPr>
          <w:rStyle w:val="x02-body-superscript"/>
          <w:rFonts w:cs="Times New Roman"/>
          <w:sz w:val="20"/>
          <w:szCs w:val="20"/>
        </w:rPr>
        <w:t>3</w:t>
      </w:r>
    </w:p>
    <w:p w:rsidR="001423B0" w:rsidRDefault="001423B0" w:rsidP="001423B0">
      <w:pPr>
        <w:pStyle w:val="x04-footnotes"/>
        <w:rPr>
          <w:rFonts w:cs="Times New Roman"/>
        </w:rPr>
      </w:pPr>
      <w:r>
        <w:rPr>
          <w:rFonts w:cs="Times New Roman"/>
        </w:rPr>
        <w:t xml:space="preserve">a </w:t>
      </w:r>
      <w:proofErr w:type="spellStart"/>
      <w:r>
        <w:rPr>
          <w:rFonts w:cs="Times New Roman"/>
        </w:rPr>
        <w:t>METeOR</w:t>
      </w:r>
      <w:proofErr w:type="spellEnd"/>
      <w:r>
        <w:rPr>
          <w:rFonts w:cs="Times New Roman"/>
        </w:rPr>
        <w:t xml:space="preserve"> identifier: 491557.</w:t>
      </w:r>
    </w:p>
    <w:p w:rsidR="001423B0" w:rsidRDefault="001423B0" w:rsidP="001423B0">
      <w:pPr>
        <w:pStyle w:val="x01-heading-level-3"/>
        <w:rPr>
          <w:rFonts w:cs="Times New Roman"/>
        </w:rPr>
      </w:pPr>
      <w:r>
        <w:rPr>
          <w:rFonts w:cs="Times New Roman"/>
        </w:rPr>
        <w:t xml:space="preserve">References </w:t>
      </w:r>
    </w:p>
    <w:p w:rsidR="001423B0" w:rsidRDefault="001423B0" w:rsidP="001423B0">
      <w:pPr>
        <w:pStyle w:val="x04-footnotes"/>
        <w:ind w:left="142" w:hanging="142"/>
        <w:rPr>
          <w:rFonts w:cs="Times New Roman"/>
        </w:rPr>
      </w:pPr>
      <w:r>
        <w:rPr>
          <w:rFonts w:cs="Times New Roman"/>
        </w:rPr>
        <w:t xml:space="preserve">1. </w:t>
      </w:r>
      <w:proofErr w:type="spellStart"/>
      <w:r>
        <w:rPr>
          <w:rFonts w:cs="Times New Roman"/>
        </w:rPr>
        <w:t>Boersma</w:t>
      </w:r>
      <w:proofErr w:type="spellEnd"/>
      <w:r>
        <w:rPr>
          <w:rFonts w:cs="Times New Roman"/>
        </w:rPr>
        <w:t xml:space="preserve"> E, Maas AC, Deckers JW, et al. Early thrombolytic treatment in acute myocardial infarction: reappraisal of the golden hour. Lancet. 1996;348(9030):771–775.</w:t>
      </w:r>
    </w:p>
    <w:p w:rsidR="001423B0" w:rsidRDefault="001423B0" w:rsidP="001423B0">
      <w:pPr>
        <w:pStyle w:val="x04-footnotes"/>
        <w:ind w:left="142" w:hanging="142"/>
        <w:rPr>
          <w:rFonts w:cs="Times New Roman"/>
        </w:rPr>
      </w:pPr>
      <w:r>
        <w:rPr>
          <w:rFonts w:cs="Times New Roman"/>
        </w:rPr>
        <w:t xml:space="preserve">2. O’Gara P, Kushner FG, </w:t>
      </w:r>
      <w:proofErr w:type="spellStart"/>
      <w:r>
        <w:rPr>
          <w:rFonts w:cs="Times New Roman"/>
        </w:rPr>
        <w:t>Ascheim</w:t>
      </w:r>
      <w:proofErr w:type="spellEnd"/>
      <w:r>
        <w:rPr>
          <w:rFonts w:cs="Times New Roman"/>
        </w:rPr>
        <w:t xml:space="preserve"> DD, et al. 2013 ACCF/AHA Guideline for the management of ST-elevation myocardial infarction: A report of the American College of Cardiology Foundation/ American Heart Association Task Force on Practice Guidelines. Circulation. 2013;127:e362–e425.</w:t>
      </w:r>
    </w:p>
    <w:p w:rsidR="001423B0" w:rsidRDefault="001423B0" w:rsidP="001423B0">
      <w:pPr>
        <w:pStyle w:val="x04-footnotes"/>
        <w:ind w:left="142" w:hanging="142"/>
        <w:rPr>
          <w:rFonts w:cs="Times New Roman"/>
        </w:rPr>
      </w:pPr>
      <w:r>
        <w:rPr>
          <w:rFonts w:cs="Times New Roman"/>
        </w:rPr>
        <w:t>3. Acute Coronary Syndrome Guidelines Working Group. Guidelines for the management of acute coronary syndromes 2006. Medical Journal of Australia. 2006;184(8):S1–S30.</w:t>
      </w:r>
    </w:p>
    <w:p w:rsidR="001423B0" w:rsidRDefault="001423B0" w:rsidP="001423B0">
      <w:pPr>
        <w:pStyle w:val="x04-footnotes-last"/>
        <w:ind w:left="142" w:hanging="142"/>
        <w:rPr>
          <w:rFonts w:cs="Times New Roman"/>
        </w:rPr>
      </w:pPr>
      <w:r>
        <w:rPr>
          <w:rStyle w:val="x02-body-medium"/>
          <w:rFonts w:cs="Times New Roman"/>
        </w:rPr>
        <w:t>Supplementary source:</w:t>
      </w:r>
    </w:p>
    <w:p w:rsidR="001423B0" w:rsidRDefault="001423B0" w:rsidP="001423B0">
      <w:pPr>
        <w:pStyle w:val="x04-footnotes-last"/>
        <w:ind w:left="142" w:hanging="142"/>
        <w:rPr>
          <w:rFonts w:cs="Times New Roman"/>
        </w:rPr>
      </w:pPr>
      <w:r>
        <w:rPr>
          <w:rFonts w:cs="Times New Roman"/>
        </w:rPr>
        <w:t xml:space="preserve">4. </w:t>
      </w:r>
      <w:proofErr w:type="spellStart"/>
      <w:r>
        <w:rPr>
          <w:rFonts w:cs="Times New Roman"/>
        </w:rPr>
        <w:t>Chassin</w:t>
      </w:r>
      <w:proofErr w:type="spellEnd"/>
      <w:r>
        <w:rPr>
          <w:rFonts w:cs="Times New Roman"/>
        </w:rPr>
        <w:t xml:space="preserve"> MR, Loeb JM, Schmaltz SP, et al. Accountability measures – using measurement to promote quality improvement. New England Journal of Medicine. 2010;363(7):683–688.</w:t>
      </w: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r w:rsidRPr="00A94476">
        <w:rPr>
          <w:rFonts w:eastAsia="Times New Roman" w:cs="Times New Roman"/>
          <w:noProof/>
          <w:lang w:eastAsia="en-AU"/>
        </w:rPr>
        <w:drawing>
          <wp:anchor distT="0" distB="0" distL="114300" distR="114300" simplePos="0" relativeHeight="251668480" behindDoc="0" locked="0" layoutInCell="1" allowOverlap="1" wp14:anchorId="12E8DA27" wp14:editId="0A05B5C8">
            <wp:simplePos x="0" y="0"/>
            <wp:positionH relativeFrom="column">
              <wp:posOffset>151765</wp:posOffset>
            </wp:positionH>
            <wp:positionV relativeFrom="paragraph">
              <wp:posOffset>34925</wp:posOffset>
            </wp:positionV>
            <wp:extent cx="2491740" cy="2486025"/>
            <wp:effectExtent l="0" t="0" r="3810" b="9525"/>
            <wp:wrapNone/>
            <wp:docPr id="8" name="Picture 8" descr="Logo - stethoscope" title="Quality statement 3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thoscope.png"/>
                    <pic:cNvPicPr/>
                  </pic:nvPicPr>
                  <pic:blipFill>
                    <a:blip r:embed="rId16">
                      <a:alphaModFix amt="25000"/>
                      <a:extLst>
                        <a:ext uri="{28A0092B-C50C-407E-A947-70E740481C1C}">
                          <a14:useLocalDpi xmlns:a14="http://schemas.microsoft.com/office/drawing/2010/main" val="0"/>
                        </a:ext>
                      </a:extLst>
                    </a:blip>
                    <a:stretch>
                      <a:fillRect/>
                    </a:stretch>
                  </pic:blipFill>
                  <pic:spPr>
                    <a:xfrm>
                      <a:off x="0" y="0"/>
                      <a:ext cx="2491740" cy="2486025"/>
                    </a:xfrm>
                    <a:prstGeom prst="rect">
                      <a:avLst/>
                    </a:prstGeom>
                  </pic:spPr>
                </pic:pic>
              </a:graphicData>
            </a:graphic>
            <wp14:sizeRelH relativeFrom="margin">
              <wp14:pctWidth>0</wp14:pctWidth>
            </wp14:sizeRelH>
            <wp14:sizeRelV relativeFrom="margin">
              <wp14:pctHeight>0</wp14:pctHeight>
            </wp14:sizeRelV>
          </wp:anchor>
        </w:drawing>
      </w: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r>
        <w:rPr>
          <w:rFonts w:cs="Times New Roman"/>
        </w:rPr>
        <w:t xml:space="preserve">a </w:t>
      </w:r>
      <w:proofErr w:type="spellStart"/>
      <w:r>
        <w:rPr>
          <w:rFonts w:cs="Times New Roman"/>
        </w:rPr>
        <w:t>METeOR</w:t>
      </w:r>
      <w:proofErr w:type="spellEnd"/>
      <w:r>
        <w:rPr>
          <w:rFonts w:cs="Times New Roman"/>
        </w:rPr>
        <w:t xml:space="preserve"> identifier: 491557.</w:t>
      </w:r>
    </w:p>
    <w:p w:rsidR="001423B0" w:rsidRDefault="001423B0" w:rsidP="001423B0">
      <w:pPr>
        <w:rPr>
          <w:rFonts w:cs="Times New Roman"/>
          <w:b/>
          <w:bCs/>
          <w:color w:val="00988E"/>
          <w:sz w:val="28"/>
          <w:szCs w:val="28"/>
        </w:rPr>
      </w:pPr>
      <w:r>
        <w:rPr>
          <w:rFonts w:cs="Times New Roman"/>
        </w:rPr>
        <w:br w:type="page"/>
      </w:r>
    </w:p>
    <w:p w:rsidR="001423B0" w:rsidRPr="005D667F" w:rsidRDefault="001423B0" w:rsidP="001423B0">
      <w:pPr>
        <w:pStyle w:val="heading-level-3-aqua"/>
        <w:spacing w:before="0" w:after="0"/>
        <w:rPr>
          <w:rFonts w:cs="Times New Roman"/>
          <w:sz w:val="2"/>
          <w:szCs w:val="2"/>
        </w:rPr>
      </w:pPr>
      <w:bookmarkStart w:id="13" w:name="_Toc278988965"/>
    </w:p>
    <w:p w:rsidR="001423B0" w:rsidRPr="005D667F" w:rsidRDefault="001423B0" w:rsidP="001423B0">
      <w:pPr>
        <w:pStyle w:val="heading-level-3-aqua"/>
        <w:rPr>
          <w:rFonts w:cs="Times New Roman"/>
          <w:sz w:val="40"/>
          <w:szCs w:val="40"/>
        </w:rPr>
      </w:pPr>
      <w:r w:rsidRPr="005D667F">
        <w:rPr>
          <w:rFonts w:cs="Times New Roman"/>
          <w:sz w:val="40"/>
          <w:szCs w:val="40"/>
        </w:rPr>
        <w:t xml:space="preserve">Quality statement 3 – Timely reperfusion </w:t>
      </w:r>
    </w:p>
    <w:p w:rsidR="001423B0" w:rsidRDefault="001423B0" w:rsidP="001423B0">
      <w:pPr>
        <w:pStyle w:val="heading-level-3-aqua"/>
        <w:rPr>
          <w:rFonts w:cs="Times New Roman"/>
        </w:rPr>
      </w:pPr>
      <w:r>
        <w:rPr>
          <w:rFonts w:cs="Times New Roman"/>
        </w:rPr>
        <w:t>Indicator 3c: PCI patients with STEMI with door-to-device within 90 minutes</w:t>
      </w:r>
      <w:bookmarkEnd w:id="13"/>
      <w:r>
        <w:rPr>
          <w:rFonts w:cs="Times New Roman"/>
        </w:rPr>
        <w:t xml:space="preserve"> </w:t>
      </w:r>
    </w:p>
    <w:p w:rsidR="001423B0" w:rsidRDefault="001423B0" w:rsidP="001423B0">
      <w:pPr>
        <w:pStyle w:val="x01-heading-level-3"/>
        <w:rPr>
          <w:rFonts w:cs="Times New Roman"/>
        </w:rPr>
      </w:pPr>
      <w:r>
        <w:rPr>
          <w:rFonts w:cs="Times New Roman"/>
        </w:rPr>
        <w:t>Definitional attributes</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Name:</w:t>
      </w:r>
      <w:r w:rsidRPr="005D667F">
        <w:rPr>
          <w:rFonts w:cs="Times New Roman"/>
          <w:sz w:val="20"/>
          <w:szCs w:val="20"/>
        </w:rPr>
        <w:t xml:space="preserve"> Proportion of patients with STEMI, treated with PCI, who have a door-to-device time of 90 minutes or less, after arrival at a PCI-capable hospital, or 120 minutes or less if transferred from a non PCI-capable hospital.</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Rationale:</w:t>
      </w:r>
      <w:r w:rsidRPr="005D667F">
        <w:rPr>
          <w:rFonts w:cs="Times New Roman"/>
          <w:sz w:val="20"/>
          <w:szCs w:val="20"/>
        </w:rPr>
        <w:t xml:space="preserve"> Timely PCI has been shown to improve short-term and long-term outcomes such as a reduction in mortality, myocardial infarctions and strokes in patients with STEMI who present to hospital within 12 hours of symptom onset.</w:t>
      </w:r>
      <w:r w:rsidRPr="005D667F">
        <w:rPr>
          <w:rStyle w:val="x02-body-superscript"/>
          <w:rFonts w:cs="Times New Roman"/>
          <w:sz w:val="20"/>
          <w:szCs w:val="20"/>
        </w:rPr>
        <w:t>1,2</w:t>
      </w:r>
      <w:r w:rsidRPr="005D667F">
        <w:rPr>
          <w:rFonts w:cs="Times New Roman"/>
          <w:sz w:val="20"/>
          <w:szCs w:val="20"/>
        </w:rPr>
        <w:t xml:space="preserve"> The </w:t>
      </w:r>
      <w:r w:rsidRPr="005D667F">
        <w:rPr>
          <w:rStyle w:val="x02-body-italic"/>
          <w:rFonts w:cs="Times New Roman"/>
          <w:sz w:val="20"/>
          <w:szCs w:val="20"/>
        </w:rPr>
        <w:t>Guidelines</w:t>
      </w:r>
      <w:r w:rsidRPr="005D667F">
        <w:rPr>
          <w:rFonts w:cs="Times New Roman"/>
          <w:sz w:val="20"/>
          <w:szCs w:val="20"/>
        </w:rPr>
        <w:t xml:space="preserve"> state that ‘a time delay of 90 minutes from first medical contact to balloon inflation is the maximum desirable.</w:t>
      </w:r>
      <w:r w:rsidRPr="005D667F">
        <w:rPr>
          <w:rStyle w:val="x02-body-superscript"/>
          <w:rFonts w:cs="Times New Roman"/>
          <w:sz w:val="20"/>
          <w:szCs w:val="20"/>
        </w:rPr>
        <w:t>3</w:t>
      </w:r>
    </w:p>
    <w:p w:rsidR="001423B0" w:rsidRPr="00791686" w:rsidRDefault="001423B0" w:rsidP="001423B0">
      <w:pPr>
        <w:pStyle w:val="x01-heading-level-3"/>
        <w:rPr>
          <w:rFonts w:cs="Times New Roman"/>
        </w:rPr>
      </w:pPr>
      <w:r w:rsidRPr="00791686">
        <w:rPr>
          <w:rFonts w:cs="Times New Roman"/>
        </w:rPr>
        <w:t>Collection and usage attributes</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Computation:</w:t>
      </w:r>
      <w:r w:rsidRPr="005D667F">
        <w:rPr>
          <w:rFonts w:cs="Times New Roman"/>
          <w:sz w:val="20"/>
          <w:szCs w:val="20"/>
        </w:rPr>
        <w:t xml:space="preserve"> </w:t>
      </w:r>
      <w:r w:rsidRPr="005D667F">
        <w:rPr>
          <w:rStyle w:val="x02-body-italic"/>
          <w:rFonts w:cs="Times New Roman"/>
          <w:sz w:val="20"/>
          <w:szCs w:val="20"/>
        </w:rPr>
        <w:t>(Numerator ÷ denominator) x 100</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Numerator:</w:t>
      </w:r>
      <w:r w:rsidRPr="005D667F">
        <w:rPr>
          <w:rFonts w:cs="Times New Roman"/>
          <w:sz w:val="20"/>
          <w:szCs w:val="20"/>
        </w:rPr>
        <w:t xml:space="preserve"> Total number of patients with STEMI, treated with PCI, who have a door-to-device time of 90 minutes or less, after arrival at a PCI-capable hospital, or 120 minutes or less if transferred from a non PCI-capable hospital.</w:t>
      </w:r>
    </w:p>
    <w:p w:rsidR="001423B0" w:rsidRPr="005D667F" w:rsidRDefault="001423B0" w:rsidP="001423B0">
      <w:pPr>
        <w:pStyle w:val="x02-body-copy-before-bullet"/>
        <w:rPr>
          <w:rStyle w:val="x02-body-italic-underline"/>
          <w:sz w:val="20"/>
          <w:szCs w:val="20"/>
        </w:rPr>
      </w:pPr>
      <w:r w:rsidRPr="005D667F">
        <w:rPr>
          <w:rStyle w:val="x02-body-medium"/>
          <w:rFonts w:cs="Times New Roman"/>
          <w:sz w:val="20"/>
          <w:szCs w:val="20"/>
        </w:rPr>
        <w:t>Numerator criteria:</w:t>
      </w:r>
      <w:r w:rsidRPr="005D667F">
        <w:rPr>
          <w:rFonts w:cs="Times New Roman"/>
          <w:sz w:val="20"/>
          <w:szCs w:val="20"/>
        </w:rPr>
        <w:t xml:space="preserve"> </w:t>
      </w:r>
      <w:r w:rsidRPr="005D667F">
        <w:rPr>
          <w:rStyle w:val="x02-body-italic-underline"/>
          <w:rFonts w:cs="Times New Roman"/>
          <w:sz w:val="20"/>
          <w:szCs w:val="20"/>
        </w:rPr>
        <w:t>Inclusions</w:t>
      </w:r>
    </w:p>
    <w:p w:rsidR="001423B0" w:rsidRPr="005D667F" w:rsidRDefault="001423B0" w:rsidP="001423B0">
      <w:pPr>
        <w:pStyle w:val="x02-body-copy-before-bullet"/>
        <w:rPr>
          <w:rFonts w:cs="Times New Roman"/>
          <w:sz w:val="20"/>
          <w:szCs w:val="20"/>
        </w:rPr>
      </w:pPr>
      <w:r w:rsidRPr="005D667F">
        <w:rPr>
          <w:rFonts w:cs="Times New Roman"/>
          <w:sz w:val="20"/>
          <w:szCs w:val="20"/>
        </w:rPr>
        <w:t>STEMI patients. That is, patients with a diagnosis of one of the following:</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anterior wall (I21.0)</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inferior wall (I21.1)</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other sites (I21.2)</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unspecified site (I21.3).</w:t>
      </w:r>
      <w:r w:rsidRPr="005D667F">
        <w:rPr>
          <w:rStyle w:val="x02-body-superscript"/>
          <w:sz w:val="20"/>
          <w:szCs w:val="20"/>
        </w:rPr>
        <w:t>a</w:t>
      </w:r>
    </w:p>
    <w:p w:rsidR="001423B0" w:rsidRDefault="001423B0" w:rsidP="001423B0">
      <w:pPr>
        <w:pStyle w:val="x02-body-copy-before-bullet"/>
        <w:rPr>
          <w:rStyle w:val="x02-body-superscript"/>
          <w:rFonts w:cs="Times New Roman"/>
          <w:sz w:val="20"/>
          <w:szCs w:val="20"/>
        </w:rPr>
      </w:pPr>
      <w:r w:rsidRPr="005D667F">
        <w:rPr>
          <w:rFonts w:cs="Times New Roman"/>
          <w:sz w:val="20"/>
          <w:szCs w:val="20"/>
        </w:rPr>
        <w:t>Care type = ‘1’ (acute care).</w:t>
      </w:r>
      <w:r w:rsidRPr="005D667F">
        <w:rPr>
          <w:rStyle w:val="x02-body-superscript"/>
          <w:rFonts w:cs="Times New Roman"/>
          <w:sz w:val="20"/>
          <w:szCs w:val="20"/>
        </w:rPr>
        <w:t>b</w:t>
      </w:r>
    </w:p>
    <w:p w:rsidR="007B7A65" w:rsidRPr="007B7A65" w:rsidRDefault="007B7A65" w:rsidP="001423B0">
      <w:pPr>
        <w:pStyle w:val="x02-body-copy-before-bullet"/>
        <w:rPr>
          <w:rFonts w:cs="Times New Roman"/>
          <w:sz w:val="20"/>
          <w:szCs w:val="20"/>
        </w:rPr>
      </w:pPr>
      <w:r w:rsidRPr="007B7A65">
        <w:rPr>
          <w:rStyle w:val="x02-body-superscript"/>
          <w:rFonts w:cs="Times New Roman"/>
          <w:sz w:val="20"/>
          <w:szCs w:val="20"/>
          <w:vertAlign w:val="baseline"/>
        </w:rPr>
        <w:t>AND</w:t>
      </w:r>
    </w:p>
    <w:p w:rsidR="001423B0" w:rsidRPr="005D667F" w:rsidRDefault="001423B0" w:rsidP="001423B0">
      <w:pPr>
        <w:pStyle w:val="x02-body-copy-before-bullet"/>
        <w:rPr>
          <w:rFonts w:cs="Times New Roman"/>
          <w:sz w:val="20"/>
          <w:szCs w:val="20"/>
        </w:rPr>
      </w:pPr>
      <w:r w:rsidRPr="005D667F">
        <w:rPr>
          <w:rFonts w:cs="Times New Roman"/>
          <w:sz w:val="20"/>
          <w:szCs w:val="20"/>
        </w:rPr>
        <w:t>Patients undergoing PCI. That is, patients undergoing one of the following procedures:</w:t>
      </w:r>
    </w:p>
    <w:p w:rsidR="001423B0" w:rsidRPr="005D667F" w:rsidRDefault="001423B0" w:rsidP="001423B0">
      <w:pPr>
        <w:pStyle w:val="02Bulletslevel1"/>
        <w:rPr>
          <w:sz w:val="20"/>
          <w:szCs w:val="20"/>
        </w:rPr>
      </w:pPr>
      <w:r w:rsidRPr="005D667F">
        <w:rPr>
          <w:sz w:val="20"/>
          <w:szCs w:val="20"/>
        </w:rPr>
        <w:t>percutaneous transluminal balloon angioplasty of 1 coronary artery (38300-00, [block 670])</w:t>
      </w:r>
    </w:p>
    <w:p w:rsidR="001423B0" w:rsidRPr="005D667F" w:rsidRDefault="001423B0" w:rsidP="001423B0">
      <w:pPr>
        <w:pStyle w:val="02Bulletslevel1"/>
        <w:rPr>
          <w:sz w:val="20"/>
          <w:szCs w:val="20"/>
        </w:rPr>
      </w:pPr>
      <w:r w:rsidRPr="005D667F">
        <w:rPr>
          <w:sz w:val="20"/>
          <w:szCs w:val="20"/>
        </w:rPr>
        <w:t>percutaneous transluminal balloon angioplasty of &gt;=2 coronary arteries (38303-00, [block 670])</w:t>
      </w:r>
    </w:p>
    <w:p w:rsidR="001423B0" w:rsidRPr="005D667F" w:rsidRDefault="001423B0" w:rsidP="001423B0">
      <w:pPr>
        <w:pStyle w:val="02Bulletslevel1"/>
        <w:rPr>
          <w:sz w:val="20"/>
          <w:szCs w:val="20"/>
        </w:rPr>
      </w:pPr>
      <w:r w:rsidRPr="005D667F">
        <w:rPr>
          <w:sz w:val="20"/>
          <w:szCs w:val="20"/>
        </w:rPr>
        <w:t>percutaneous insertion of 1 transluminal stent into single coronary artery (38306-00 [block 671]</w:t>
      </w:r>
    </w:p>
    <w:p w:rsidR="001423B0" w:rsidRPr="005D667F" w:rsidRDefault="001423B0" w:rsidP="001423B0">
      <w:pPr>
        <w:pStyle w:val="02Bulletslevel1"/>
        <w:rPr>
          <w:sz w:val="20"/>
          <w:szCs w:val="20"/>
        </w:rPr>
      </w:pPr>
      <w:r w:rsidRPr="005D667F">
        <w:rPr>
          <w:sz w:val="20"/>
          <w:szCs w:val="20"/>
        </w:rPr>
        <w:t>percutaneous insertion of &gt;= 2 transluminal stents into single coronary artery (38306-01 [block 671])</w:t>
      </w:r>
    </w:p>
    <w:p w:rsidR="001423B0" w:rsidRPr="005D667F" w:rsidRDefault="001423B0" w:rsidP="001423B0">
      <w:pPr>
        <w:pStyle w:val="02Bulletslevel1"/>
        <w:rPr>
          <w:sz w:val="20"/>
          <w:szCs w:val="20"/>
        </w:rPr>
      </w:pPr>
      <w:r w:rsidRPr="005D667F">
        <w:rPr>
          <w:sz w:val="20"/>
          <w:szCs w:val="20"/>
        </w:rPr>
        <w:t>percutaneous insertion of &gt;= 2 transluminal stents into multiple coronary arteries (38306-02 [block 671])</w:t>
      </w:r>
      <w:r w:rsidR="00751C89">
        <w:rPr>
          <w:sz w:val="20"/>
          <w:szCs w:val="20"/>
        </w:rPr>
        <w:t>.</w:t>
      </w: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CA1A7A">
      <w:pPr>
        <w:pStyle w:val="x04-footnotes"/>
        <w:spacing w:before="0"/>
        <w:rPr>
          <w:rFonts w:cs="Times New Roman"/>
        </w:rPr>
      </w:pPr>
      <w:r>
        <w:rPr>
          <w:rFonts w:cs="Times New Roman"/>
        </w:rPr>
        <w:t>a ICD-10-AM (</w:t>
      </w:r>
      <w:r w:rsidR="00751C89">
        <w:rPr>
          <w:rFonts w:cs="Times New Roman"/>
        </w:rPr>
        <w:t>9</w:t>
      </w:r>
      <w:r>
        <w:rPr>
          <w:rFonts w:cs="Times New Roman"/>
        </w:rPr>
        <w:t>th edition).</w:t>
      </w:r>
    </w:p>
    <w:p w:rsidR="00CA1A7A" w:rsidRPr="00B9183F" w:rsidRDefault="00CA1A7A" w:rsidP="00CA1A7A">
      <w:pPr>
        <w:pStyle w:val="x04-footnotes"/>
        <w:spacing w:before="0"/>
        <w:rPr>
          <w:rFonts w:cs="Times New Roman"/>
          <w:color w:val="FF0000"/>
        </w:rPr>
      </w:pPr>
      <w:r w:rsidRPr="008D7C96">
        <w:rPr>
          <w:rFonts w:cs="Times New Roman"/>
        </w:rPr>
        <w:t xml:space="preserve">b </w:t>
      </w:r>
      <w:proofErr w:type="spellStart"/>
      <w:r w:rsidRPr="008D7C96">
        <w:rPr>
          <w:rFonts w:cs="Times New Roman"/>
        </w:rPr>
        <w:t>METeOR</w:t>
      </w:r>
      <w:proofErr w:type="spellEnd"/>
      <w:r w:rsidRPr="008D7C96">
        <w:rPr>
          <w:rFonts w:cs="Times New Roman"/>
        </w:rPr>
        <w:t xml:space="preserve"> identifier: 491557</w:t>
      </w:r>
      <w:r w:rsidRPr="00B9183F">
        <w:rPr>
          <w:rFonts w:cs="Times New Roman"/>
          <w:color w:val="FF0000"/>
        </w:rPr>
        <w:t>.</w:t>
      </w:r>
    </w:p>
    <w:p w:rsidR="00CA1A7A" w:rsidRDefault="00CA1A7A" w:rsidP="001423B0">
      <w:pPr>
        <w:pStyle w:val="x04-footnotes"/>
        <w:rPr>
          <w:rFonts w:cs="Times New Roman"/>
        </w:rPr>
      </w:pPr>
    </w:p>
    <w:p w:rsidR="00751C89" w:rsidRPr="005D667F" w:rsidRDefault="00751C89" w:rsidP="001423B0">
      <w:pPr>
        <w:pStyle w:val="x02-body-copy"/>
        <w:rPr>
          <w:rStyle w:val="x02-body-italic-underline"/>
          <w:rFonts w:cs="Times New Roman"/>
          <w:b/>
        </w:rPr>
      </w:pPr>
    </w:p>
    <w:p w:rsidR="001423B0" w:rsidRPr="005D667F" w:rsidRDefault="001423B0" w:rsidP="001423B0">
      <w:pPr>
        <w:pStyle w:val="x02-body-copy"/>
        <w:rPr>
          <w:rStyle w:val="x02-body-italic-underline"/>
          <w:rFonts w:cs="Times New Roman"/>
          <w:sz w:val="20"/>
          <w:szCs w:val="20"/>
        </w:rPr>
      </w:pPr>
      <w:r w:rsidRPr="005D667F">
        <w:rPr>
          <w:rStyle w:val="x02-body-italic-underline"/>
          <w:rFonts w:cs="Times New Roman"/>
          <w:sz w:val="20"/>
          <w:szCs w:val="20"/>
        </w:rPr>
        <w:t>Exclusions</w:t>
      </w:r>
    </w:p>
    <w:p w:rsidR="001423B0" w:rsidRPr="005D667F" w:rsidRDefault="001423B0" w:rsidP="001423B0">
      <w:pPr>
        <w:pStyle w:val="x02-body-copy"/>
        <w:rPr>
          <w:rFonts w:cs="Times New Roman"/>
          <w:sz w:val="20"/>
          <w:szCs w:val="20"/>
        </w:rPr>
      </w:pPr>
      <w:r w:rsidRPr="005D667F">
        <w:rPr>
          <w:rFonts w:cs="Times New Roman"/>
          <w:sz w:val="20"/>
          <w:szCs w:val="20"/>
        </w:rPr>
        <w:t>Nil.</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Denominator:</w:t>
      </w:r>
      <w:r w:rsidRPr="005D667F">
        <w:rPr>
          <w:rFonts w:cs="Times New Roman"/>
          <w:sz w:val="20"/>
          <w:szCs w:val="20"/>
        </w:rPr>
        <w:t xml:space="preserve"> Total number of patients with STEMI who arrive at a PCI-capable hospital or are transferred from a non PCI-capable hospital.</w:t>
      </w:r>
    </w:p>
    <w:p w:rsidR="001423B0" w:rsidRPr="005D667F" w:rsidRDefault="001423B0" w:rsidP="001423B0">
      <w:pPr>
        <w:pStyle w:val="x02-body-copy-before-bullet"/>
        <w:rPr>
          <w:rStyle w:val="x02-body-italic-underline"/>
          <w:sz w:val="20"/>
          <w:szCs w:val="20"/>
        </w:rPr>
      </w:pPr>
      <w:r w:rsidRPr="005D667F">
        <w:rPr>
          <w:rStyle w:val="x02-body-medium"/>
          <w:rFonts w:cs="Times New Roman"/>
          <w:sz w:val="20"/>
          <w:szCs w:val="20"/>
        </w:rPr>
        <w:t>Denominator criteria:</w:t>
      </w:r>
      <w:r w:rsidRPr="005D667F">
        <w:rPr>
          <w:rFonts w:cs="Times New Roman"/>
          <w:sz w:val="20"/>
          <w:szCs w:val="20"/>
        </w:rPr>
        <w:t xml:space="preserve"> </w:t>
      </w:r>
      <w:r w:rsidRPr="005D667F">
        <w:rPr>
          <w:rStyle w:val="x02-body-italic-underline"/>
          <w:rFonts w:cs="Times New Roman"/>
          <w:sz w:val="20"/>
          <w:szCs w:val="20"/>
        </w:rPr>
        <w:t>Inclusions</w:t>
      </w:r>
    </w:p>
    <w:p w:rsidR="001423B0" w:rsidRPr="005D667F" w:rsidRDefault="001423B0" w:rsidP="001423B0">
      <w:pPr>
        <w:pStyle w:val="x02-body-copy-before-bullet"/>
        <w:rPr>
          <w:rFonts w:cs="Times New Roman"/>
          <w:sz w:val="20"/>
          <w:szCs w:val="20"/>
        </w:rPr>
      </w:pPr>
      <w:r w:rsidRPr="005D667F">
        <w:rPr>
          <w:rFonts w:cs="Times New Roman"/>
          <w:sz w:val="20"/>
          <w:szCs w:val="20"/>
        </w:rPr>
        <w:t>STEMI patients. That is, patients with a diagnosis of one of the following:</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anterior wall (I21.0)</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inferior wall (I21.1)</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other sites (I21.2)</w:t>
      </w:r>
    </w:p>
    <w:p w:rsidR="001423B0" w:rsidRPr="005D667F" w:rsidRDefault="001423B0" w:rsidP="001423B0">
      <w:pPr>
        <w:pStyle w:val="02Bulletslevel1"/>
        <w:rPr>
          <w:sz w:val="20"/>
          <w:szCs w:val="20"/>
        </w:rPr>
      </w:pPr>
      <w:r w:rsidRPr="005D667F">
        <w:rPr>
          <w:sz w:val="20"/>
          <w:szCs w:val="20"/>
        </w:rPr>
        <w:t xml:space="preserve">acute </w:t>
      </w:r>
      <w:proofErr w:type="spellStart"/>
      <w:r w:rsidRPr="005D667F">
        <w:rPr>
          <w:sz w:val="20"/>
          <w:szCs w:val="20"/>
        </w:rPr>
        <w:t>transmural</w:t>
      </w:r>
      <w:proofErr w:type="spellEnd"/>
      <w:r w:rsidRPr="005D667F">
        <w:rPr>
          <w:sz w:val="20"/>
          <w:szCs w:val="20"/>
        </w:rPr>
        <w:t xml:space="preserve"> myocardial infarction of unspecified site (I21.3).</w:t>
      </w:r>
      <w:r w:rsidRPr="005D667F">
        <w:rPr>
          <w:rStyle w:val="x02-body-superscript"/>
          <w:sz w:val="20"/>
          <w:szCs w:val="20"/>
        </w:rPr>
        <w:t>a</w:t>
      </w:r>
    </w:p>
    <w:p w:rsidR="001423B0" w:rsidRPr="005D667F" w:rsidRDefault="001423B0" w:rsidP="001423B0">
      <w:pPr>
        <w:pStyle w:val="x02-body-copy-before-bullet"/>
        <w:rPr>
          <w:rFonts w:cs="Times New Roman"/>
          <w:sz w:val="20"/>
          <w:szCs w:val="20"/>
        </w:rPr>
      </w:pPr>
      <w:r w:rsidRPr="005D667F">
        <w:rPr>
          <w:rFonts w:cs="Times New Roman"/>
          <w:sz w:val="20"/>
          <w:szCs w:val="20"/>
        </w:rPr>
        <w:t>Care type = ‘1’ (acute care).</w:t>
      </w:r>
      <w:r w:rsidRPr="005D667F">
        <w:rPr>
          <w:rStyle w:val="x02-body-superscript"/>
          <w:rFonts w:cs="Times New Roman"/>
          <w:sz w:val="20"/>
          <w:szCs w:val="20"/>
        </w:rPr>
        <w:t>b</w:t>
      </w:r>
    </w:p>
    <w:p w:rsidR="001423B0" w:rsidRPr="005D667F" w:rsidRDefault="001423B0" w:rsidP="001423B0">
      <w:pPr>
        <w:pStyle w:val="x02-body-copy"/>
        <w:rPr>
          <w:rStyle w:val="x02-body-italic-underline"/>
          <w:sz w:val="20"/>
          <w:szCs w:val="20"/>
        </w:rPr>
      </w:pPr>
      <w:r w:rsidRPr="005D667F">
        <w:rPr>
          <w:rStyle w:val="x02-body-italic-underline"/>
          <w:rFonts w:cs="Times New Roman"/>
          <w:sz w:val="20"/>
          <w:szCs w:val="20"/>
        </w:rPr>
        <w:t>Exclusions</w:t>
      </w:r>
    </w:p>
    <w:p w:rsidR="001423B0" w:rsidRPr="005D667F" w:rsidRDefault="001423B0" w:rsidP="001423B0">
      <w:pPr>
        <w:pStyle w:val="x02-body-copy"/>
        <w:rPr>
          <w:rFonts w:cs="Times New Roman"/>
          <w:sz w:val="20"/>
          <w:szCs w:val="20"/>
        </w:rPr>
      </w:pPr>
      <w:r w:rsidRPr="005D667F">
        <w:rPr>
          <w:rFonts w:cs="Times New Roman"/>
          <w:sz w:val="20"/>
          <w:szCs w:val="20"/>
        </w:rPr>
        <w:t>Patients for whom PCI is contraindicated, and for whom the contraindication is documented.</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Setting:</w:t>
      </w:r>
      <w:r w:rsidRPr="005D667F">
        <w:rPr>
          <w:rFonts w:cs="Times New Roman"/>
          <w:sz w:val="20"/>
          <w:szCs w:val="20"/>
        </w:rPr>
        <w:t xml:space="preserve"> Acute/hospital.</w:t>
      </w:r>
    </w:p>
    <w:p w:rsidR="001423B0" w:rsidRPr="005D667F" w:rsidRDefault="001423B0" w:rsidP="001423B0">
      <w:pPr>
        <w:pStyle w:val="x02-body-copy-before-bullet"/>
        <w:rPr>
          <w:rFonts w:cs="Times New Roman"/>
          <w:sz w:val="20"/>
          <w:szCs w:val="20"/>
        </w:rPr>
      </w:pPr>
      <w:r w:rsidRPr="005D667F">
        <w:rPr>
          <w:rStyle w:val="x02-body-medium"/>
          <w:rFonts w:cs="Times New Roman"/>
          <w:sz w:val="20"/>
          <w:szCs w:val="20"/>
        </w:rPr>
        <w:t>Comments:</w:t>
      </w:r>
      <w:r w:rsidRPr="005D667F">
        <w:rPr>
          <w:rFonts w:cs="Times New Roman"/>
          <w:sz w:val="20"/>
          <w:szCs w:val="20"/>
        </w:rPr>
        <w:t xml:space="preserve"> Contraindications for PCI may include advanced care directives, being on a palliative care pathway, and clinical judgement, subject to discussion with patients, family and carers.</w:t>
      </w:r>
    </w:p>
    <w:p w:rsidR="001423B0" w:rsidRPr="005D667F" w:rsidRDefault="001423B0" w:rsidP="001423B0">
      <w:pPr>
        <w:pStyle w:val="x02-body-copy"/>
        <w:rPr>
          <w:rFonts w:cs="Times New Roman"/>
          <w:sz w:val="20"/>
          <w:szCs w:val="20"/>
        </w:rPr>
      </w:pPr>
      <w:r w:rsidRPr="005D667F">
        <w:rPr>
          <w:rFonts w:cs="Times New Roman"/>
          <w:sz w:val="20"/>
          <w:szCs w:val="20"/>
        </w:rPr>
        <w:t xml:space="preserve">It is recognised that this target of 90 minutes is difficult to achieve in the management of patients with STEMI who suffer a cardiac arrest, and for whom advanced resuscitation is effected prior to PCI. </w:t>
      </w:r>
    </w:p>
    <w:p w:rsidR="001423B0" w:rsidRDefault="001423B0" w:rsidP="001423B0">
      <w:pPr>
        <w:pStyle w:val="x01-heading-level-3"/>
        <w:rPr>
          <w:rFonts w:cs="Times New Roman"/>
        </w:rPr>
      </w:pPr>
      <w:r>
        <w:rPr>
          <w:rFonts w:cs="Times New Roman"/>
        </w:rPr>
        <w:t xml:space="preserve">References </w:t>
      </w:r>
    </w:p>
    <w:p w:rsidR="001423B0" w:rsidRDefault="001423B0" w:rsidP="001423B0">
      <w:pPr>
        <w:pStyle w:val="x04-footnotes"/>
        <w:ind w:left="142" w:hanging="142"/>
        <w:rPr>
          <w:rFonts w:cs="Times New Roman"/>
        </w:rPr>
      </w:pPr>
      <w:r>
        <w:rPr>
          <w:rFonts w:cs="Times New Roman"/>
        </w:rPr>
        <w:t xml:space="preserve">1. GUSTO </w:t>
      </w:r>
      <w:proofErr w:type="spellStart"/>
      <w:r>
        <w:rPr>
          <w:rFonts w:cs="Times New Roman"/>
        </w:rPr>
        <w:t>IIb</w:t>
      </w:r>
      <w:proofErr w:type="spellEnd"/>
      <w:r>
        <w:rPr>
          <w:rFonts w:cs="Times New Roman"/>
        </w:rPr>
        <w:t xml:space="preserve"> Angioplasty </w:t>
      </w:r>
      <w:proofErr w:type="spellStart"/>
      <w:r>
        <w:rPr>
          <w:rFonts w:cs="Times New Roman"/>
        </w:rPr>
        <w:t>Substudy</w:t>
      </w:r>
      <w:proofErr w:type="spellEnd"/>
      <w:r>
        <w:rPr>
          <w:rFonts w:cs="Times New Roman"/>
        </w:rPr>
        <w:t xml:space="preserve"> Investigators. A clinical trial comparing primary coronary angioplasty with tissue plasminogen activator for acute myocardial infarction. New England Journal of Medicine. 1997;336(23):1621–1628.</w:t>
      </w:r>
    </w:p>
    <w:p w:rsidR="001423B0" w:rsidRDefault="001423B0" w:rsidP="001423B0">
      <w:pPr>
        <w:pStyle w:val="x04-footnotes"/>
        <w:ind w:left="142" w:hanging="142"/>
        <w:rPr>
          <w:rFonts w:cs="Times New Roman"/>
        </w:rPr>
      </w:pPr>
      <w:r>
        <w:rPr>
          <w:rFonts w:cs="Times New Roman"/>
        </w:rPr>
        <w:t xml:space="preserve">2. Keeley EC, </w:t>
      </w:r>
      <w:proofErr w:type="spellStart"/>
      <w:r>
        <w:rPr>
          <w:rFonts w:cs="Times New Roman"/>
        </w:rPr>
        <w:t>Boura</w:t>
      </w:r>
      <w:proofErr w:type="spellEnd"/>
      <w:r>
        <w:rPr>
          <w:rFonts w:cs="Times New Roman"/>
        </w:rPr>
        <w:t xml:space="preserve"> JA, </w:t>
      </w:r>
      <w:proofErr w:type="spellStart"/>
      <w:r>
        <w:rPr>
          <w:rFonts w:cs="Times New Roman"/>
        </w:rPr>
        <w:t>Grines</w:t>
      </w:r>
      <w:proofErr w:type="spellEnd"/>
      <w:r>
        <w:rPr>
          <w:rFonts w:cs="Times New Roman"/>
        </w:rPr>
        <w:t xml:space="preserve"> CL. Primary angioplasty versus intravenous thrombolytic therapy for acute myocardial infarction: a quantitative review of 23 randomised trials. Lancet. 2003;361(9351):13–20.</w:t>
      </w:r>
    </w:p>
    <w:p w:rsidR="001423B0" w:rsidRDefault="001423B0" w:rsidP="001423B0">
      <w:pPr>
        <w:pStyle w:val="x04-footnotes"/>
        <w:ind w:left="142" w:hanging="142"/>
        <w:rPr>
          <w:rFonts w:cs="Times New Roman"/>
        </w:rPr>
      </w:pPr>
      <w:r>
        <w:rPr>
          <w:rFonts w:cs="Times New Roman"/>
        </w:rPr>
        <w:t>3. Acute Coronary Syndrome Guidelines Working Group. Guidelines for the management of acute coronary syndromes 2006. Medical Journal of Australia. 2006;184(8):S1–S30.</w:t>
      </w:r>
    </w:p>
    <w:p w:rsidR="001423B0" w:rsidRDefault="001423B0" w:rsidP="001423B0">
      <w:pPr>
        <w:pStyle w:val="x04-footnotes"/>
        <w:ind w:left="142" w:hanging="142"/>
        <w:rPr>
          <w:rStyle w:val="x02-body-medium"/>
        </w:rPr>
      </w:pPr>
      <w:r>
        <w:rPr>
          <w:rStyle w:val="x02-body-medium"/>
          <w:rFonts w:cs="Times New Roman"/>
        </w:rPr>
        <w:t>Supplementary sources:</w:t>
      </w:r>
    </w:p>
    <w:p w:rsidR="001423B0" w:rsidRDefault="001423B0" w:rsidP="001423B0">
      <w:pPr>
        <w:pStyle w:val="x04-footnotes"/>
        <w:ind w:left="142" w:hanging="142"/>
        <w:rPr>
          <w:rFonts w:cs="Times New Roman"/>
        </w:rPr>
      </w:pPr>
      <w:r>
        <w:rPr>
          <w:rFonts w:cs="Times New Roman"/>
        </w:rPr>
        <w:t xml:space="preserve">4. Wang TY, </w:t>
      </w:r>
      <w:proofErr w:type="spellStart"/>
      <w:r>
        <w:rPr>
          <w:rFonts w:cs="Times New Roman"/>
        </w:rPr>
        <w:t>Nallamothu</w:t>
      </w:r>
      <w:proofErr w:type="spellEnd"/>
      <w:r>
        <w:rPr>
          <w:rFonts w:cs="Times New Roman"/>
        </w:rPr>
        <w:t xml:space="preserve"> BK, </w:t>
      </w:r>
      <w:proofErr w:type="spellStart"/>
      <w:r>
        <w:rPr>
          <w:rFonts w:cs="Times New Roman"/>
        </w:rPr>
        <w:t>Krumholz</w:t>
      </w:r>
      <w:proofErr w:type="spellEnd"/>
      <w:r>
        <w:rPr>
          <w:rFonts w:cs="Times New Roman"/>
        </w:rPr>
        <w:t xml:space="preserve"> HM, et al. Association of door-in door-out time with reperfusion delays and outcomes among patients transferred for primary percutaneous coronary intervention. Journal of the American Medical Association. 2011;305(24):2540–2547.</w:t>
      </w:r>
    </w:p>
    <w:p w:rsidR="001423B0" w:rsidRDefault="001423B0" w:rsidP="001423B0">
      <w:pPr>
        <w:pStyle w:val="x04-footnotes"/>
        <w:ind w:left="142" w:hanging="142"/>
        <w:rPr>
          <w:rFonts w:cs="Times New Roman"/>
        </w:rPr>
      </w:pPr>
      <w:r>
        <w:rPr>
          <w:rFonts w:cs="Times New Roman"/>
        </w:rPr>
        <w:t xml:space="preserve">5. </w:t>
      </w:r>
      <w:proofErr w:type="spellStart"/>
      <w:r>
        <w:rPr>
          <w:rFonts w:cs="Times New Roman"/>
        </w:rPr>
        <w:t>Chassin</w:t>
      </w:r>
      <w:proofErr w:type="spellEnd"/>
      <w:r>
        <w:rPr>
          <w:rFonts w:cs="Times New Roman"/>
        </w:rPr>
        <w:t xml:space="preserve"> MR, Loeb JM, Schmaltz SP, et al. Accountability measures – using measurement to promote quality improvement. New England Journal of Medicine. 2010;363(7):683–688.</w:t>
      </w:r>
    </w:p>
    <w:p w:rsidR="001423B0" w:rsidRDefault="001423B0" w:rsidP="001423B0">
      <w:pPr>
        <w:pStyle w:val="x04-footnotes"/>
        <w:ind w:left="142" w:hanging="142"/>
        <w:rPr>
          <w:rFonts w:cs="Times New Roman"/>
        </w:rPr>
      </w:pPr>
    </w:p>
    <w:p w:rsidR="001423B0" w:rsidRDefault="001423B0" w:rsidP="001423B0">
      <w:pPr>
        <w:pStyle w:val="x04-footnotes"/>
        <w:ind w:left="142" w:hanging="142"/>
        <w:rPr>
          <w:rFonts w:cs="Times New Roman"/>
        </w:rPr>
      </w:pPr>
    </w:p>
    <w:p w:rsidR="001423B0" w:rsidRDefault="001423B0" w:rsidP="00B9183F">
      <w:pPr>
        <w:pStyle w:val="x04-footnotes"/>
        <w:rPr>
          <w:rFonts w:cs="Times New Roman"/>
        </w:rPr>
      </w:pPr>
    </w:p>
    <w:p w:rsidR="001423B0" w:rsidRDefault="001423B0" w:rsidP="001423B0">
      <w:pPr>
        <w:pStyle w:val="x04-footnotes"/>
        <w:rPr>
          <w:rFonts w:cs="Times New Roman"/>
        </w:rPr>
      </w:pPr>
      <w:r>
        <w:rPr>
          <w:rFonts w:cs="Times New Roman"/>
        </w:rPr>
        <w:t>a ICD-10-AM (</w:t>
      </w:r>
      <w:r w:rsidR="00751C89" w:rsidRPr="008D7C96">
        <w:rPr>
          <w:rFonts w:cs="Times New Roman"/>
        </w:rPr>
        <w:t>9</w:t>
      </w:r>
      <w:r>
        <w:rPr>
          <w:rFonts w:cs="Times New Roman"/>
        </w:rPr>
        <w:t>th edition).</w:t>
      </w:r>
    </w:p>
    <w:p w:rsidR="001423B0" w:rsidRDefault="001423B0" w:rsidP="001423B0">
      <w:pPr>
        <w:pStyle w:val="x04-footnotes"/>
        <w:rPr>
          <w:rFonts w:cs="Times New Roman"/>
        </w:rPr>
      </w:pPr>
      <w:r>
        <w:rPr>
          <w:rFonts w:cs="Times New Roman"/>
        </w:rPr>
        <w:t xml:space="preserve">b </w:t>
      </w:r>
      <w:proofErr w:type="spellStart"/>
      <w:r>
        <w:rPr>
          <w:rFonts w:cs="Times New Roman"/>
        </w:rPr>
        <w:t>METeOR</w:t>
      </w:r>
      <w:proofErr w:type="spellEnd"/>
      <w:r>
        <w:rPr>
          <w:rFonts w:cs="Times New Roman"/>
        </w:rPr>
        <w:t xml:space="preserve"> identifier: 491557.</w:t>
      </w:r>
    </w:p>
    <w:p w:rsidR="001423B0" w:rsidRDefault="001423B0" w:rsidP="001423B0">
      <w:pPr>
        <w:pStyle w:val="x04-footnotes"/>
        <w:rPr>
          <w:rFonts w:cs="Times New Roman"/>
        </w:rPr>
      </w:pPr>
    </w:p>
    <w:p w:rsidR="001423B0" w:rsidRDefault="001423B0" w:rsidP="001423B0">
      <w:pPr>
        <w:rPr>
          <w:rFonts w:eastAsia="Times New Roman" w:cs="Times New Roman"/>
        </w:rPr>
      </w:pPr>
      <w:r>
        <w:rPr>
          <w:rFonts w:eastAsia="Times New Roman" w:cs="Times New Roman"/>
        </w:rPr>
        <w:br w:type="page"/>
      </w:r>
    </w:p>
    <w:p w:rsidR="001423B0" w:rsidRDefault="001423B0" w:rsidP="001423B0">
      <w:pPr>
        <w:pStyle w:val="x01-heading-level-1"/>
        <w:rPr>
          <w:rFonts w:cs="Times New Roman"/>
        </w:rPr>
      </w:pPr>
      <w:bookmarkStart w:id="14" w:name="_Toc278988966"/>
      <w:r>
        <w:rPr>
          <w:rFonts w:cs="Times New Roman"/>
        </w:rPr>
        <w:lastRenderedPageBreak/>
        <w:t>Quality statement 4 – Risk stratification</w:t>
      </w:r>
      <w:bookmarkEnd w:id="14"/>
    </w:p>
    <w:p w:rsidR="001423B0" w:rsidRDefault="001423B0" w:rsidP="001423B0">
      <w:pPr>
        <w:pStyle w:val="x02-intro"/>
        <w:rPr>
          <w:rFonts w:cs="Times New Roman"/>
        </w:rPr>
      </w:pPr>
      <w:r>
        <w:rPr>
          <w:rFonts w:cs="Times New Roman"/>
        </w:rPr>
        <w:t>A patient with a non-ST-segment-elevation acute coronary syndrome (NSTEACS) is managed based on a documented, evidence-based assessment of their risk of an adverse event.</w:t>
      </w:r>
    </w:p>
    <w:p w:rsidR="001423B0" w:rsidRDefault="001423B0" w:rsidP="001423B0">
      <w:pPr>
        <w:pStyle w:val="heading-level-3-aqua"/>
        <w:rPr>
          <w:rFonts w:cs="Times New Roman"/>
        </w:rPr>
      </w:pPr>
      <w:bookmarkStart w:id="15" w:name="_Toc278988967"/>
      <w:r>
        <w:rPr>
          <w:rFonts w:cs="Times New Roman"/>
        </w:rPr>
        <w:t>Indicator 4a: NSTEACS patients with documented assessment and risk stratification</w:t>
      </w:r>
      <w:bookmarkEnd w:id="15"/>
      <w:r>
        <w:rPr>
          <w:rFonts w:cs="Times New Roman"/>
        </w:rPr>
        <w:t xml:space="preserve"> </w:t>
      </w:r>
    </w:p>
    <w:p w:rsidR="001423B0" w:rsidRDefault="001423B0" w:rsidP="001423B0">
      <w:pPr>
        <w:pStyle w:val="x01-heading-level-3"/>
        <w:rPr>
          <w:rFonts w:cs="Times New Roman"/>
        </w:rPr>
      </w:pPr>
      <w:r>
        <w:rPr>
          <w:rFonts w:cs="Times New Roman"/>
        </w:rPr>
        <w:t>Definitional attributes</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Name:</w:t>
      </w:r>
      <w:r w:rsidRPr="005D667F">
        <w:rPr>
          <w:rFonts w:cs="Times New Roman"/>
          <w:sz w:val="20"/>
          <w:szCs w:val="20"/>
        </w:rPr>
        <w:t xml:space="preserve"> Proportion of patients hospitalised with NSTEACS who have a documented assessment and risk stratification, using a guideline-recommended tool.</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Rationale:</w:t>
      </w:r>
      <w:r w:rsidRPr="005D667F">
        <w:rPr>
          <w:rFonts w:cs="Times New Roman"/>
          <w:sz w:val="20"/>
          <w:szCs w:val="20"/>
        </w:rPr>
        <w:t xml:space="preserve"> Appropriate assessment is needed to determine the likelihood of a cardiac adverse event among NSTEACS patients. Risk stratification of NSTEACS patients is used to determine the likelihood of short-term adverse outcomes, which will direct the treatment management strategy.</w:t>
      </w:r>
      <w:r w:rsidRPr="005D667F">
        <w:rPr>
          <w:rStyle w:val="x02-body-superscript"/>
          <w:rFonts w:cs="Times New Roman"/>
          <w:sz w:val="20"/>
          <w:szCs w:val="20"/>
        </w:rPr>
        <w:t>1</w:t>
      </w:r>
      <w:r w:rsidRPr="005D667F">
        <w:rPr>
          <w:rFonts w:cs="Times New Roman"/>
          <w:sz w:val="20"/>
          <w:szCs w:val="20"/>
        </w:rPr>
        <w:t xml:space="preserve"> </w:t>
      </w:r>
    </w:p>
    <w:p w:rsidR="001423B0" w:rsidRPr="00791686" w:rsidRDefault="001423B0" w:rsidP="001423B0">
      <w:pPr>
        <w:pStyle w:val="x01-heading-level-3"/>
        <w:rPr>
          <w:rFonts w:cs="Times New Roman"/>
        </w:rPr>
      </w:pPr>
      <w:r w:rsidRPr="00791686">
        <w:rPr>
          <w:rFonts w:cs="Times New Roman"/>
        </w:rPr>
        <w:t>Collection and usage attributes</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Computation:</w:t>
      </w:r>
      <w:r w:rsidRPr="005D667F">
        <w:rPr>
          <w:rFonts w:cs="Times New Roman"/>
          <w:sz w:val="20"/>
          <w:szCs w:val="20"/>
        </w:rPr>
        <w:t xml:space="preserve"> </w:t>
      </w:r>
      <w:r w:rsidRPr="005D667F">
        <w:rPr>
          <w:rStyle w:val="x02-body-italic"/>
          <w:rFonts w:cs="Times New Roman"/>
          <w:sz w:val="20"/>
          <w:szCs w:val="20"/>
        </w:rPr>
        <w:t>(Numerator ÷ denominator) x 100</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Numerator:</w:t>
      </w:r>
      <w:r w:rsidRPr="005D667F">
        <w:rPr>
          <w:rFonts w:cs="Times New Roman"/>
          <w:sz w:val="20"/>
          <w:szCs w:val="20"/>
        </w:rPr>
        <w:t xml:space="preserve"> Total number of patients hospitalised with NSTEACS who have a documented assessment and risk stratification, using a guideline-recommended tool.</w:t>
      </w:r>
    </w:p>
    <w:p w:rsidR="001423B0" w:rsidRPr="005D667F" w:rsidRDefault="001423B0" w:rsidP="001423B0">
      <w:pPr>
        <w:pStyle w:val="x02-body-copy-before-bullet"/>
        <w:rPr>
          <w:rStyle w:val="x02-body-italic-underline"/>
          <w:sz w:val="20"/>
          <w:szCs w:val="20"/>
        </w:rPr>
      </w:pPr>
      <w:r w:rsidRPr="005D667F">
        <w:rPr>
          <w:rStyle w:val="x02-body-medium"/>
          <w:rFonts w:cs="Times New Roman"/>
          <w:sz w:val="20"/>
          <w:szCs w:val="20"/>
        </w:rPr>
        <w:t>Numerator criteria:</w:t>
      </w:r>
      <w:r w:rsidRPr="005D667F">
        <w:rPr>
          <w:rFonts w:cs="Times New Roman"/>
          <w:sz w:val="20"/>
          <w:szCs w:val="20"/>
        </w:rPr>
        <w:t xml:space="preserve"> </w:t>
      </w:r>
      <w:r w:rsidRPr="005D667F">
        <w:rPr>
          <w:rStyle w:val="x02-body-italic-underline"/>
          <w:rFonts w:cs="Times New Roman"/>
          <w:sz w:val="20"/>
          <w:szCs w:val="20"/>
        </w:rPr>
        <w:t>Inclusions</w:t>
      </w:r>
    </w:p>
    <w:p w:rsidR="001423B0" w:rsidRPr="005D667F" w:rsidRDefault="001423B0" w:rsidP="001423B0">
      <w:pPr>
        <w:pStyle w:val="x02-body-copy-before-bullet"/>
        <w:rPr>
          <w:rFonts w:cs="Times New Roman"/>
          <w:sz w:val="20"/>
          <w:szCs w:val="20"/>
        </w:rPr>
      </w:pPr>
      <w:r w:rsidRPr="005D667F">
        <w:rPr>
          <w:rFonts w:cs="Times New Roman"/>
          <w:sz w:val="20"/>
          <w:szCs w:val="20"/>
        </w:rPr>
        <w:t xml:space="preserve">Patients with a final diagnosis of acute </w:t>
      </w:r>
      <w:proofErr w:type="spellStart"/>
      <w:r w:rsidRPr="005D667F">
        <w:rPr>
          <w:rFonts w:cs="Times New Roman"/>
          <w:sz w:val="20"/>
          <w:szCs w:val="20"/>
        </w:rPr>
        <w:t>subendocardial</w:t>
      </w:r>
      <w:proofErr w:type="spellEnd"/>
      <w:r w:rsidRPr="005D667F">
        <w:rPr>
          <w:rFonts w:cs="Times New Roman"/>
          <w:sz w:val="20"/>
          <w:szCs w:val="20"/>
        </w:rPr>
        <w:t xml:space="preserve"> myocardial infarction (NSTEMI) (I21.4)</w:t>
      </w:r>
    </w:p>
    <w:p w:rsidR="001423B0" w:rsidRPr="005D667F" w:rsidRDefault="001423B0" w:rsidP="001423B0">
      <w:pPr>
        <w:pStyle w:val="x02-body-copy-before-bullet"/>
        <w:rPr>
          <w:rFonts w:cs="Times New Roman"/>
          <w:sz w:val="20"/>
          <w:szCs w:val="20"/>
        </w:rPr>
      </w:pPr>
      <w:r w:rsidRPr="005D667F">
        <w:rPr>
          <w:rFonts w:cs="Times New Roman"/>
          <w:sz w:val="20"/>
          <w:szCs w:val="20"/>
        </w:rPr>
        <w:t>OR</w:t>
      </w:r>
    </w:p>
    <w:p w:rsidR="001423B0" w:rsidRPr="005D667F" w:rsidRDefault="001423B0" w:rsidP="001423B0">
      <w:pPr>
        <w:pStyle w:val="x02-body-copy-before-bullet"/>
        <w:rPr>
          <w:rFonts w:cs="Times New Roman"/>
          <w:sz w:val="20"/>
          <w:szCs w:val="20"/>
        </w:rPr>
      </w:pPr>
      <w:r w:rsidRPr="005D667F">
        <w:rPr>
          <w:rFonts w:cs="Times New Roman"/>
          <w:sz w:val="20"/>
          <w:szCs w:val="20"/>
        </w:rPr>
        <w:t>patients with a final diagnosis of unstable angina (UA) (I20.0).</w:t>
      </w:r>
      <w:r w:rsidRPr="005D667F">
        <w:rPr>
          <w:rStyle w:val="x02-body-superscript"/>
          <w:rFonts w:cs="Times New Roman"/>
          <w:sz w:val="20"/>
          <w:szCs w:val="20"/>
        </w:rPr>
        <w:t>a</w:t>
      </w:r>
    </w:p>
    <w:p w:rsidR="001423B0" w:rsidRPr="005D667F" w:rsidRDefault="001423B0" w:rsidP="001423B0">
      <w:pPr>
        <w:pStyle w:val="x02-body-copy-before-bullet"/>
        <w:rPr>
          <w:rFonts w:cs="Times New Roman"/>
          <w:sz w:val="20"/>
          <w:szCs w:val="20"/>
        </w:rPr>
      </w:pPr>
      <w:r w:rsidRPr="005D667F">
        <w:rPr>
          <w:rFonts w:cs="Times New Roman"/>
          <w:sz w:val="20"/>
          <w:szCs w:val="20"/>
        </w:rPr>
        <w:t>Care type = ‘1’ (acute care).</w:t>
      </w:r>
      <w:r w:rsidRPr="005D667F">
        <w:rPr>
          <w:rStyle w:val="x02-body-superscript"/>
          <w:rFonts w:cs="Times New Roman"/>
          <w:sz w:val="20"/>
          <w:szCs w:val="20"/>
        </w:rPr>
        <w:t>b</w:t>
      </w:r>
    </w:p>
    <w:p w:rsidR="001423B0" w:rsidRPr="005D667F" w:rsidRDefault="001423B0" w:rsidP="001423B0">
      <w:pPr>
        <w:pStyle w:val="x02-body-copy"/>
        <w:rPr>
          <w:rStyle w:val="x02-body-italic-underline"/>
          <w:sz w:val="20"/>
          <w:szCs w:val="20"/>
        </w:rPr>
      </w:pPr>
      <w:r w:rsidRPr="005D667F">
        <w:rPr>
          <w:rStyle w:val="x02-body-italic-underline"/>
          <w:rFonts w:cs="Times New Roman"/>
          <w:sz w:val="20"/>
          <w:szCs w:val="20"/>
        </w:rPr>
        <w:t>Exclusions</w:t>
      </w:r>
    </w:p>
    <w:p w:rsidR="001423B0" w:rsidRPr="005D667F" w:rsidRDefault="001423B0" w:rsidP="001423B0">
      <w:pPr>
        <w:pStyle w:val="x02-body-copy"/>
        <w:rPr>
          <w:rFonts w:cs="Times New Roman"/>
          <w:sz w:val="20"/>
          <w:szCs w:val="20"/>
        </w:rPr>
      </w:pPr>
      <w:r w:rsidRPr="005D667F">
        <w:rPr>
          <w:rFonts w:cs="Times New Roman"/>
          <w:sz w:val="20"/>
          <w:szCs w:val="20"/>
        </w:rPr>
        <w:t xml:space="preserve">Nil. </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t>Denominator:</w:t>
      </w:r>
      <w:r w:rsidRPr="005D667F">
        <w:rPr>
          <w:rFonts w:cs="Times New Roman"/>
          <w:sz w:val="20"/>
          <w:szCs w:val="20"/>
        </w:rPr>
        <w:t xml:space="preserve"> Total number of patients hospitalised with NSTEACS.</w:t>
      </w:r>
    </w:p>
    <w:p w:rsidR="001423B0" w:rsidRPr="005D667F" w:rsidRDefault="001423B0" w:rsidP="001423B0">
      <w:pPr>
        <w:pStyle w:val="x02-body-copy-before-bullet"/>
        <w:rPr>
          <w:rStyle w:val="x02-body-italic-underline"/>
          <w:sz w:val="20"/>
          <w:szCs w:val="20"/>
        </w:rPr>
      </w:pPr>
      <w:r w:rsidRPr="005D667F">
        <w:rPr>
          <w:rStyle w:val="x02-body-medium"/>
          <w:rFonts w:cs="Times New Roman"/>
          <w:sz w:val="20"/>
          <w:szCs w:val="20"/>
        </w:rPr>
        <w:t>Denominator criteria:</w:t>
      </w:r>
      <w:r w:rsidRPr="005D667F">
        <w:rPr>
          <w:rFonts w:cs="Times New Roman"/>
          <w:sz w:val="20"/>
          <w:szCs w:val="20"/>
        </w:rPr>
        <w:t xml:space="preserve"> </w:t>
      </w:r>
      <w:r w:rsidRPr="005D667F">
        <w:rPr>
          <w:rStyle w:val="x02-body-italic-underline"/>
          <w:rFonts w:cs="Times New Roman"/>
          <w:sz w:val="20"/>
          <w:szCs w:val="20"/>
        </w:rPr>
        <w:t>Inclusions</w:t>
      </w:r>
    </w:p>
    <w:p w:rsidR="001423B0" w:rsidRPr="005D667F" w:rsidRDefault="001423B0" w:rsidP="001423B0">
      <w:pPr>
        <w:pStyle w:val="x02-body-copy-before-bullet"/>
        <w:rPr>
          <w:rFonts w:cs="Times New Roman"/>
          <w:sz w:val="20"/>
          <w:szCs w:val="20"/>
        </w:rPr>
      </w:pPr>
      <w:r w:rsidRPr="005D667F">
        <w:rPr>
          <w:rFonts w:cs="Times New Roman"/>
          <w:sz w:val="20"/>
          <w:szCs w:val="20"/>
        </w:rPr>
        <w:t xml:space="preserve">Patients with a final diagnosis of acute </w:t>
      </w:r>
      <w:proofErr w:type="spellStart"/>
      <w:r w:rsidRPr="005D667F">
        <w:rPr>
          <w:rFonts w:cs="Times New Roman"/>
          <w:sz w:val="20"/>
          <w:szCs w:val="20"/>
        </w:rPr>
        <w:t>subendocardial</w:t>
      </w:r>
      <w:proofErr w:type="spellEnd"/>
      <w:r w:rsidRPr="005D667F">
        <w:rPr>
          <w:rFonts w:cs="Times New Roman"/>
          <w:sz w:val="20"/>
          <w:szCs w:val="20"/>
        </w:rPr>
        <w:t xml:space="preserve"> myocardial infarction (NSTEMI) (I21.4)</w:t>
      </w:r>
    </w:p>
    <w:p w:rsidR="001423B0" w:rsidRPr="005D667F" w:rsidRDefault="001423B0" w:rsidP="001423B0">
      <w:pPr>
        <w:pStyle w:val="x02-body-copy-before-bullet"/>
        <w:rPr>
          <w:rFonts w:cs="Times New Roman"/>
          <w:sz w:val="20"/>
          <w:szCs w:val="20"/>
        </w:rPr>
      </w:pPr>
      <w:r w:rsidRPr="005D667F">
        <w:rPr>
          <w:rFonts w:cs="Times New Roman"/>
          <w:sz w:val="20"/>
          <w:szCs w:val="20"/>
        </w:rPr>
        <w:t>OR</w:t>
      </w:r>
    </w:p>
    <w:p w:rsidR="001423B0" w:rsidRPr="005D667F" w:rsidRDefault="001423B0" w:rsidP="001423B0">
      <w:pPr>
        <w:pStyle w:val="x02-body-copy-before-bullet"/>
        <w:rPr>
          <w:rFonts w:cs="Times New Roman"/>
          <w:sz w:val="20"/>
          <w:szCs w:val="20"/>
        </w:rPr>
      </w:pPr>
      <w:r w:rsidRPr="005D667F">
        <w:rPr>
          <w:rFonts w:cs="Times New Roman"/>
          <w:sz w:val="20"/>
          <w:szCs w:val="20"/>
        </w:rPr>
        <w:t>patients with a final diagnosis of unstable angina (UA) (I20.0).</w:t>
      </w:r>
      <w:r w:rsidRPr="005D667F">
        <w:rPr>
          <w:rStyle w:val="x02-body-superscript"/>
          <w:rFonts w:cs="Times New Roman"/>
          <w:sz w:val="20"/>
          <w:szCs w:val="20"/>
        </w:rPr>
        <w:t>a</w:t>
      </w:r>
      <w:r w:rsidRPr="005D667F">
        <w:rPr>
          <w:rFonts w:cs="Times New Roman"/>
          <w:sz w:val="20"/>
          <w:szCs w:val="20"/>
        </w:rPr>
        <w:t xml:space="preserve"> </w:t>
      </w:r>
    </w:p>
    <w:p w:rsidR="001423B0" w:rsidRPr="005D667F" w:rsidRDefault="001423B0" w:rsidP="001423B0">
      <w:pPr>
        <w:pStyle w:val="x02-body-copy-before-bullet"/>
        <w:rPr>
          <w:rFonts w:cs="Times New Roman"/>
          <w:sz w:val="20"/>
          <w:szCs w:val="20"/>
        </w:rPr>
      </w:pPr>
      <w:r w:rsidRPr="005D667F">
        <w:rPr>
          <w:rFonts w:cs="Times New Roman"/>
          <w:sz w:val="20"/>
          <w:szCs w:val="20"/>
        </w:rPr>
        <w:t>Care type = ‘1’ (acute care).</w:t>
      </w:r>
      <w:r w:rsidRPr="005D667F">
        <w:rPr>
          <w:rStyle w:val="x02-body-superscript"/>
          <w:rFonts w:cs="Times New Roman"/>
          <w:sz w:val="20"/>
          <w:szCs w:val="20"/>
        </w:rPr>
        <w:t>b</w:t>
      </w:r>
      <w:r w:rsidRPr="005D667F">
        <w:rPr>
          <w:rFonts w:cs="Times New Roman"/>
          <w:sz w:val="20"/>
          <w:szCs w:val="20"/>
        </w:rPr>
        <w:t xml:space="preserve"> </w:t>
      </w:r>
    </w:p>
    <w:p w:rsidR="001423B0" w:rsidRPr="005D667F" w:rsidRDefault="001423B0" w:rsidP="001423B0">
      <w:pPr>
        <w:pStyle w:val="x02-body-copy"/>
        <w:rPr>
          <w:rStyle w:val="x02-body-italic-underline"/>
          <w:sz w:val="20"/>
          <w:szCs w:val="20"/>
        </w:rPr>
      </w:pPr>
      <w:r w:rsidRPr="005D667F">
        <w:rPr>
          <w:rStyle w:val="x02-body-italic-underline"/>
          <w:rFonts w:cs="Times New Roman"/>
          <w:sz w:val="20"/>
          <w:szCs w:val="20"/>
        </w:rPr>
        <w:t>Exclusions</w:t>
      </w:r>
    </w:p>
    <w:p w:rsidR="001423B0" w:rsidRPr="005D667F" w:rsidRDefault="001423B0" w:rsidP="001423B0">
      <w:pPr>
        <w:pStyle w:val="x02-body-copy"/>
        <w:rPr>
          <w:rFonts w:cs="Times New Roman"/>
          <w:sz w:val="20"/>
          <w:szCs w:val="20"/>
        </w:rPr>
      </w:pPr>
      <w:r w:rsidRPr="005D667F">
        <w:rPr>
          <w:rFonts w:cs="Times New Roman"/>
          <w:sz w:val="20"/>
          <w:szCs w:val="20"/>
        </w:rPr>
        <w:t xml:space="preserve">Nil. </w:t>
      </w:r>
    </w:p>
    <w:p w:rsidR="001423B0" w:rsidRDefault="001423B0" w:rsidP="001423B0">
      <w:pPr>
        <w:pStyle w:val="x02-body-copy"/>
        <w:rPr>
          <w:rStyle w:val="x02-body-medium"/>
          <w:rFonts w:cs="Times New Roman"/>
          <w:sz w:val="20"/>
          <w:szCs w:val="20"/>
        </w:rPr>
      </w:pPr>
    </w:p>
    <w:p w:rsidR="001423B0" w:rsidRDefault="001423B0" w:rsidP="001423B0">
      <w:pPr>
        <w:pStyle w:val="x04-footnotes"/>
        <w:rPr>
          <w:rFonts w:cs="Times New Roman"/>
        </w:rPr>
      </w:pPr>
      <w:r>
        <w:rPr>
          <w:rFonts w:cs="Times New Roman"/>
        </w:rPr>
        <w:t>a ICD-10-AM (</w:t>
      </w:r>
      <w:r w:rsidR="00751C89" w:rsidRPr="008D7C96">
        <w:rPr>
          <w:rFonts w:cs="Times New Roman"/>
        </w:rPr>
        <w:t>9</w:t>
      </w:r>
      <w:r>
        <w:rPr>
          <w:rFonts w:cs="Times New Roman"/>
        </w:rPr>
        <w:t>th edition).</w:t>
      </w:r>
    </w:p>
    <w:p w:rsidR="001423B0" w:rsidRDefault="001423B0" w:rsidP="001423B0">
      <w:pPr>
        <w:pStyle w:val="x04-footnotes"/>
        <w:rPr>
          <w:rFonts w:cs="Times New Roman"/>
        </w:rPr>
      </w:pPr>
      <w:r>
        <w:rPr>
          <w:rFonts w:cs="Times New Roman"/>
        </w:rPr>
        <w:t xml:space="preserve">b </w:t>
      </w:r>
      <w:proofErr w:type="spellStart"/>
      <w:r>
        <w:rPr>
          <w:rFonts w:cs="Times New Roman"/>
        </w:rPr>
        <w:t>METeOR</w:t>
      </w:r>
      <w:proofErr w:type="spellEnd"/>
      <w:r>
        <w:rPr>
          <w:rFonts w:cs="Times New Roman"/>
        </w:rPr>
        <w:t xml:space="preserve"> identifier: 491557.</w:t>
      </w:r>
    </w:p>
    <w:p w:rsidR="001423B0" w:rsidRPr="005D667F" w:rsidRDefault="001423B0" w:rsidP="001423B0">
      <w:pPr>
        <w:pStyle w:val="x02-body-copy"/>
        <w:rPr>
          <w:rFonts w:cs="Times New Roman"/>
          <w:sz w:val="20"/>
          <w:szCs w:val="20"/>
        </w:rPr>
      </w:pPr>
      <w:r w:rsidRPr="005D667F">
        <w:rPr>
          <w:rStyle w:val="x02-body-medium"/>
          <w:rFonts w:cs="Times New Roman"/>
          <w:sz w:val="20"/>
          <w:szCs w:val="20"/>
        </w:rPr>
        <w:lastRenderedPageBreak/>
        <w:t>Setting:</w:t>
      </w:r>
      <w:r w:rsidRPr="005D667F">
        <w:rPr>
          <w:rFonts w:cs="Times New Roman"/>
          <w:sz w:val="20"/>
          <w:szCs w:val="20"/>
        </w:rPr>
        <w:t xml:space="preserve"> Acute/hospital.</w:t>
      </w:r>
    </w:p>
    <w:p w:rsidR="001423B0" w:rsidRPr="005D667F" w:rsidRDefault="001423B0" w:rsidP="001423B0">
      <w:pPr>
        <w:pStyle w:val="x02-body-copy-before-bullet"/>
        <w:rPr>
          <w:rFonts w:cs="Times New Roman"/>
          <w:sz w:val="20"/>
          <w:szCs w:val="20"/>
        </w:rPr>
      </w:pPr>
      <w:r w:rsidRPr="005D667F">
        <w:rPr>
          <w:rStyle w:val="x02-body-medium"/>
          <w:rFonts w:cs="Times New Roman"/>
          <w:sz w:val="20"/>
          <w:szCs w:val="20"/>
        </w:rPr>
        <w:t>Comments:</w:t>
      </w:r>
      <w:r w:rsidRPr="005D667F">
        <w:rPr>
          <w:rFonts w:cs="Times New Roman"/>
          <w:sz w:val="20"/>
          <w:szCs w:val="20"/>
        </w:rPr>
        <w:t xml:space="preserve"> Assessment and risk stratification is indicated for patients with advanced care directives, on a palliative care pathway, subject to discussion with patients, family and carers.</w:t>
      </w:r>
    </w:p>
    <w:p w:rsidR="001423B0" w:rsidRPr="005D667F" w:rsidRDefault="001423B0" w:rsidP="001423B0">
      <w:pPr>
        <w:pStyle w:val="x02-body-copy-before-bullet"/>
        <w:rPr>
          <w:rFonts w:cs="Times New Roman"/>
          <w:sz w:val="20"/>
          <w:szCs w:val="20"/>
        </w:rPr>
      </w:pPr>
      <w:r w:rsidRPr="005D667F">
        <w:rPr>
          <w:rFonts w:cs="Times New Roman"/>
          <w:sz w:val="20"/>
          <w:szCs w:val="20"/>
        </w:rPr>
        <w:t xml:space="preserve">Risk assessment tools for consideration include: </w:t>
      </w:r>
    </w:p>
    <w:p w:rsidR="001423B0" w:rsidRPr="005D667F" w:rsidRDefault="001423B0" w:rsidP="001423B0">
      <w:pPr>
        <w:pStyle w:val="x02-body-copy-before-bullet"/>
        <w:rPr>
          <w:rFonts w:cs="Times New Roman"/>
          <w:sz w:val="20"/>
          <w:szCs w:val="20"/>
        </w:rPr>
      </w:pPr>
      <w:proofErr w:type="spellStart"/>
      <w:r w:rsidRPr="005D667F">
        <w:rPr>
          <w:rFonts w:cs="Times New Roman"/>
          <w:sz w:val="20"/>
          <w:szCs w:val="20"/>
        </w:rPr>
        <w:t>i</w:t>
      </w:r>
      <w:proofErr w:type="spellEnd"/>
      <w:r w:rsidRPr="005D667F">
        <w:rPr>
          <w:rFonts w:cs="Times New Roman"/>
          <w:sz w:val="20"/>
          <w:szCs w:val="20"/>
        </w:rPr>
        <w:t>. GRACE ACS Risk Calculator</w:t>
      </w:r>
      <w:r w:rsidRPr="005D667F">
        <w:rPr>
          <w:rStyle w:val="x02-body-superscript"/>
          <w:rFonts w:cs="Times New Roman"/>
          <w:sz w:val="20"/>
          <w:szCs w:val="20"/>
        </w:rPr>
        <w:t>2</w:t>
      </w:r>
      <w:r w:rsidRPr="005D667F">
        <w:rPr>
          <w:rFonts w:cs="Times New Roman"/>
          <w:sz w:val="20"/>
          <w:szCs w:val="20"/>
        </w:rPr>
        <w:t xml:space="preserve"> </w:t>
      </w:r>
    </w:p>
    <w:p w:rsidR="001423B0" w:rsidRPr="005D667F" w:rsidRDefault="001423B0" w:rsidP="001423B0">
      <w:pPr>
        <w:pStyle w:val="x02-body-copy-before-bullet"/>
        <w:rPr>
          <w:rFonts w:cs="Times New Roman"/>
          <w:sz w:val="20"/>
          <w:szCs w:val="20"/>
        </w:rPr>
      </w:pPr>
      <w:r w:rsidRPr="005D667F">
        <w:rPr>
          <w:rFonts w:cs="Times New Roman"/>
          <w:sz w:val="20"/>
          <w:szCs w:val="20"/>
        </w:rPr>
        <w:t>ii. TIMI Risk Score for UA/NSTEMI</w:t>
      </w:r>
      <w:r w:rsidRPr="005D667F">
        <w:rPr>
          <w:rStyle w:val="x02-body-superscript"/>
          <w:rFonts w:cs="Times New Roman"/>
          <w:sz w:val="20"/>
          <w:szCs w:val="20"/>
        </w:rPr>
        <w:t>3</w:t>
      </w:r>
      <w:r w:rsidRPr="005D667F">
        <w:rPr>
          <w:rFonts w:cs="Times New Roman"/>
          <w:sz w:val="20"/>
          <w:szCs w:val="20"/>
        </w:rPr>
        <w:t xml:space="preserve"> </w:t>
      </w:r>
    </w:p>
    <w:p w:rsidR="001423B0" w:rsidRPr="009C717E" w:rsidRDefault="001423B0" w:rsidP="009C717E">
      <w:pPr>
        <w:pStyle w:val="x02-body-copy"/>
        <w:rPr>
          <w:rFonts w:cs="Times New Roman"/>
          <w:sz w:val="20"/>
          <w:szCs w:val="20"/>
        </w:rPr>
      </w:pPr>
      <w:r w:rsidRPr="005D667F">
        <w:rPr>
          <w:rFonts w:cs="Times New Roman"/>
          <w:sz w:val="20"/>
          <w:szCs w:val="20"/>
        </w:rPr>
        <w:t>iii. Acute Coronary Syndromes Treatment Algorithm.</w:t>
      </w:r>
      <w:r w:rsidRPr="005D667F">
        <w:rPr>
          <w:rStyle w:val="x02-body-superscript"/>
          <w:rFonts w:cs="Times New Roman"/>
          <w:sz w:val="20"/>
          <w:szCs w:val="20"/>
        </w:rPr>
        <w:t>4</w:t>
      </w:r>
      <w:r w:rsidRPr="005D667F">
        <w:rPr>
          <w:rFonts w:cs="Times New Roman"/>
          <w:sz w:val="20"/>
          <w:szCs w:val="20"/>
        </w:rPr>
        <w:t xml:space="preserve"> </w:t>
      </w:r>
    </w:p>
    <w:p w:rsidR="001423B0" w:rsidRDefault="001423B0" w:rsidP="001423B0">
      <w:pPr>
        <w:pStyle w:val="x01-heading-level-3"/>
        <w:rPr>
          <w:rFonts w:cs="Times New Roman"/>
        </w:rPr>
      </w:pPr>
      <w:r>
        <w:rPr>
          <w:rFonts w:cs="Times New Roman"/>
        </w:rPr>
        <w:t xml:space="preserve">References </w:t>
      </w:r>
    </w:p>
    <w:p w:rsidR="001423B0" w:rsidRDefault="001423B0" w:rsidP="001423B0">
      <w:pPr>
        <w:pStyle w:val="x04-footnotes"/>
        <w:ind w:left="142" w:hanging="142"/>
        <w:rPr>
          <w:rFonts w:cs="Times New Roman"/>
        </w:rPr>
      </w:pPr>
      <w:r>
        <w:rPr>
          <w:rFonts w:cs="Times New Roman"/>
        </w:rPr>
        <w:t>1. Acute Coronary Syndrome Guidelines Working Group. Guidelines for the management of acute coronary syndromes 2006. Medical Journal of Australia. 2006;184(8):S1–S30.</w:t>
      </w:r>
    </w:p>
    <w:p w:rsidR="001423B0" w:rsidRDefault="001423B0" w:rsidP="001423B0">
      <w:pPr>
        <w:pStyle w:val="x04-footnotes"/>
        <w:ind w:left="142" w:hanging="142"/>
        <w:rPr>
          <w:rFonts w:cs="Times New Roman"/>
        </w:rPr>
      </w:pPr>
      <w:r>
        <w:rPr>
          <w:rFonts w:cs="Times New Roman"/>
        </w:rPr>
        <w:t xml:space="preserve">2. GRACE. Centre for Outcomes Research, University of Massachusetts Medical School: [cited May 2014]; Available from: </w:t>
      </w:r>
      <w:r>
        <w:rPr>
          <w:rStyle w:val="x03-web-hyperlink"/>
          <w:rFonts w:cs="Times New Roman"/>
        </w:rPr>
        <w:t>www.outcomes-umassmed.org/grace</w:t>
      </w:r>
      <w:r>
        <w:rPr>
          <w:rFonts w:cs="Times New Roman"/>
        </w:rPr>
        <w:t xml:space="preserve">. </w:t>
      </w:r>
    </w:p>
    <w:p w:rsidR="001423B0" w:rsidRDefault="001423B0" w:rsidP="001423B0">
      <w:pPr>
        <w:pStyle w:val="x04-footnotes"/>
        <w:ind w:left="142" w:hanging="142"/>
        <w:rPr>
          <w:rFonts w:cs="Times New Roman"/>
        </w:rPr>
      </w:pPr>
      <w:r>
        <w:rPr>
          <w:rFonts w:cs="Times New Roman"/>
        </w:rPr>
        <w:t xml:space="preserve">3. MD Calc. TIMI Risk Score for UA/NSTEMI. [cited May 2014]; Available from: </w:t>
      </w:r>
      <w:r>
        <w:rPr>
          <w:rStyle w:val="x03-web-hyperlink"/>
          <w:rFonts w:cs="Times New Roman"/>
        </w:rPr>
        <w:t>http://www.mdcalc.com/timi-risk-score-for-uanstemi/</w:t>
      </w:r>
      <w:r>
        <w:rPr>
          <w:rFonts w:cs="Times New Roman"/>
        </w:rPr>
        <w:t>.</w:t>
      </w:r>
    </w:p>
    <w:p w:rsidR="001423B0" w:rsidRDefault="001423B0" w:rsidP="001423B0">
      <w:pPr>
        <w:pStyle w:val="x04-footnotes-last"/>
        <w:ind w:left="142" w:hanging="142"/>
        <w:rPr>
          <w:rFonts w:cs="Times New Roman"/>
        </w:rPr>
      </w:pPr>
      <w:r>
        <w:rPr>
          <w:rFonts w:cs="Times New Roman"/>
        </w:rPr>
        <w:t xml:space="preserve">4. National Heart Foundation of Australia and The Cardiac Society of Australia and New Zealand. Acute coronary syndromes treatment algorithm. NHFA &amp; CSANZ; 2011 [cited May 2014]; Available from: </w:t>
      </w:r>
      <w:r>
        <w:rPr>
          <w:rStyle w:val="x03-web-hyperlink"/>
          <w:rFonts w:cs="Times New Roman"/>
        </w:rPr>
        <w:t>http://www.heartfoundation.org.au/SiteCollectionDocuments/ACS%20therapy%20algorithm-WEB-secure.pdf</w:t>
      </w:r>
      <w:r>
        <w:rPr>
          <w:rFonts w:cs="Times New Roman"/>
        </w:rPr>
        <w:t>. \</w:t>
      </w:r>
    </w:p>
    <w:p w:rsidR="001423B0" w:rsidRDefault="001423B0" w:rsidP="001423B0">
      <w:pPr>
        <w:pStyle w:val="x04-footnotes-last"/>
        <w:ind w:left="142" w:hanging="142"/>
        <w:rPr>
          <w:rFonts w:cs="Times New Roman"/>
        </w:rPr>
      </w:pPr>
    </w:p>
    <w:p w:rsidR="001423B0" w:rsidRDefault="001423B0" w:rsidP="001423B0">
      <w:pPr>
        <w:pStyle w:val="x04-footnotes-last"/>
        <w:ind w:left="142" w:hanging="142"/>
        <w:rPr>
          <w:rFonts w:cs="Times New Roman"/>
        </w:rPr>
      </w:pPr>
    </w:p>
    <w:p w:rsidR="001423B0" w:rsidRDefault="001423B0" w:rsidP="001423B0">
      <w:pPr>
        <w:pStyle w:val="x04-footnotes-last"/>
        <w:ind w:left="142" w:hanging="142"/>
        <w:rPr>
          <w:rFonts w:cs="Times New Roman"/>
        </w:rPr>
      </w:pPr>
    </w:p>
    <w:p w:rsidR="001423B0" w:rsidRPr="00762194" w:rsidRDefault="001423B0" w:rsidP="001423B0">
      <w:pPr>
        <w:rPr>
          <w:rFonts w:cs="Times New Roman"/>
          <w:b/>
          <w:bCs/>
          <w:color w:val="00988E"/>
          <w:sz w:val="28"/>
          <w:szCs w:val="28"/>
        </w:rPr>
      </w:pPr>
      <w:r>
        <w:rPr>
          <w:rFonts w:eastAsia="Times New Roman" w:cs="Times New Roman"/>
          <w:noProof/>
          <w:lang w:eastAsia="en-AU"/>
        </w:rPr>
        <w:drawing>
          <wp:inline distT="0" distB="0" distL="0" distR="0" wp14:anchorId="19BB0598" wp14:editId="36D260AD">
            <wp:extent cx="2381250" cy="2409735"/>
            <wp:effectExtent l="0" t="0" r="0" b="0"/>
            <wp:docPr id="6" name="Picture 6" descr="Logo - written assessment" title="Quality statement 4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Pencil.png"/>
                    <pic:cNvPicPr/>
                  </pic:nvPicPr>
                  <pic:blipFill>
                    <a:blip r:embed="rId17">
                      <a:alphaModFix amt="31000"/>
                      <a:extLst>
                        <a:ext uri="{28A0092B-C50C-407E-A947-70E740481C1C}">
                          <a14:useLocalDpi xmlns:a14="http://schemas.microsoft.com/office/drawing/2010/main" val="0"/>
                        </a:ext>
                      </a:extLst>
                    </a:blip>
                    <a:stretch>
                      <a:fillRect/>
                    </a:stretch>
                  </pic:blipFill>
                  <pic:spPr>
                    <a:xfrm>
                      <a:off x="0" y="0"/>
                      <a:ext cx="2385603" cy="2414140"/>
                    </a:xfrm>
                    <a:prstGeom prst="rect">
                      <a:avLst/>
                    </a:prstGeom>
                  </pic:spPr>
                </pic:pic>
              </a:graphicData>
            </a:graphic>
          </wp:inline>
        </w:drawing>
      </w:r>
      <w:r>
        <w:rPr>
          <w:rFonts w:cs="Times New Roman"/>
        </w:rPr>
        <w:br w:type="page"/>
      </w:r>
      <w:bookmarkStart w:id="16" w:name="_Toc278988968"/>
      <w:r w:rsidRPr="00762194">
        <w:rPr>
          <w:rFonts w:cs="Times New Roman"/>
          <w:b/>
          <w:color w:val="00988E"/>
          <w:sz w:val="40"/>
          <w:szCs w:val="40"/>
        </w:rPr>
        <w:lastRenderedPageBreak/>
        <w:t>Quality statement 4 – Risk stratification</w:t>
      </w:r>
      <w:r w:rsidRPr="00762194">
        <w:rPr>
          <w:rFonts w:cs="Times New Roman"/>
          <w:color w:val="00988E"/>
          <w:sz w:val="40"/>
          <w:szCs w:val="40"/>
        </w:rPr>
        <w:t xml:space="preserve"> </w:t>
      </w:r>
    </w:p>
    <w:p w:rsidR="001423B0" w:rsidRDefault="001423B0" w:rsidP="001423B0">
      <w:pPr>
        <w:pStyle w:val="heading-level-3-aqua"/>
        <w:rPr>
          <w:rFonts w:cs="Times New Roman"/>
        </w:rPr>
      </w:pPr>
      <w:r>
        <w:rPr>
          <w:rFonts w:cs="Times New Roman"/>
        </w:rPr>
        <w:t>Indicator 4b: NSTEACS transfer to hospital with angiography facilities</w:t>
      </w:r>
      <w:bookmarkEnd w:id="16"/>
    </w:p>
    <w:p w:rsidR="001423B0" w:rsidRDefault="001423B0" w:rsidP="001423B0">
      <w:pPr>
        <w:pStyle w:val="x01-heading-level-3"/>
        <w:rPr>
          <w:rFonts w:cs="Times New Roman"/>
        </w:rPr>
      </w:pPr>
      <w:r>
        <w:rPr>
          <w:rFonts w:cs="Times New Roman"/>
        </w:rPr>
        <w:t xml:space="preserve">Definitional attributes </w:t>
      </w:r>
    </w:p>
    <w:p w:rsidR="001423B0" w:rsidRPr="00762194" w:rsidRDefault="001423B0" w:rsidP="001423B0">
      <w:pPr>
        <w:pStyle w:val="x02-body-copy"/>
        <w:rPr>
          <w:rFonts w:cs="Times New Roman"/>
          <w:sz w:val="20"/>
          <w:szCs w:val="20"/>
        </w:rPr>
      </w:pPr>
      <w:r w:rsidRPr="00762194">
        <w:rPr>
          <w:rStyle w:val="x02-body-medium"/>
          <w:rFonts w:cs="Times New Roman"/>
          <w:sz w:val="20"/>
          <w:szCs w:val="20"/>
        </w:rPr>
        <w:t>Name:</w:t>
      </w:r>
      <w:r w:rsidRPr="00762194">
        <w:rPr>
          <w:rFonts w:cs="Times New Roman"/>
          <w:sz w:val="20"/>
          <w:szCs w:val="20"/>
        </w:rPr>
        <w:t xml:space="preserve"> Proportion of patients with NSTEACS in a hospital without angiography facilities, assessed as being at high-risk for a recurrent adverse cardiac event and transferred for angiography elsewhere.</w:t>
      </w:r>
    </w:p>
    <w:p w:rsidR="001423B0" w:rsidRPr="00762194" w:rsidRDefault="001423B0" w:rsidP="001423B0">
      <w:pPr>
        <w:pStyle w:val="x02-body-copy"/>
        <w:rPr>
          <w:rFonts w:cs="Times New Roman"/>
          <w:sz w:val="20"/>
          <w:szCs w:val="20"/>
        </w:rPr>
      </w:pPr>
      <w:r w:rsidRPr="00762194">
        <w:rPr>
          <w:rStyle w:val="x02-body-medium"/>
          <w:rFonts w:cs="Times New Roman"/>
          <w:sz w:val="20"/>
          <w:szCs w:val="20"/>
        </w:rPr>
        <w:t>Rationale:</w:t>
      </w:r>
      <w:r w:rsidRPr="00762194">
        <w:rPr>
          <w:rFonts w:cs="Times New Roman"/>
          <w:sz w:val="20"/>
          <w:szCs w:val="20"/>
        </w:rPr>
        <w:t xml:space="preserve"> The </w:t>
      </w:r>
      <w:r w:rsidRPr="00762194">
        <w:rPr>
          <w:rStyle w:val="x02-body-italic"/>
          <w:rFonts w:cs="Times New Roman"/>
          <w:sz w:val="20"/>
          <w:szCs w:val="20"/>
        </w:rPr>
        <w:t>Guidelines</w:t>
      </w:r>
      <w:r w:rsidRPr="00762194">
        <w:rPr>
          <w:rFonts w:cs="Times New Roman"/>
          <w:sz w:val="20"/>
          <w:szCs w:val="20"/>
        </w:rPr>
        <w:t xml:space="preserve"> recommend that arrangements should be made for coronary angiography and revascularisation for high-risk patients, except for those with severe comorbidities, including general frailty.</w:t>
      </w:r>
      <w:r w:rsidRPr="00762194">
        <w:rPr>
          <w:rStyle w:val="x02-body-superscript"/>
          <w:rFonts w:cs="Times New Roman"/>
          <w:sz w:val="20"/>
          <w:szCs w:val="20"/>
        </w:rPr>
        <w:t>1</w:t>
      </w:r>
      <w:r w:rsidRPr="00762194">
        <w:rPr>
          <w:rFonts w:cs="Times New Roman"/>
          <w:sz w:val="20"/>
          <w:szCs w:val="20"/>
        </w:rPr>
        <w:t xml:space="preserve"> </w:t>
      </w:r>
    </w:p>
    <w:p w:rsidR="001423B0" w:rsidRPr="00791686" w:rsidRDefault="001423B0" w:rsidP="001423B0">
      <w:pPr>
        <w:pStyle w:val="x01-heading-level-3"/>
        <w:rPr>
          <w:rFonts w:cs="Times New Roman"/>
        </w:rPr>
      </w:pPr>
      <w:r w:rsidRPr="00791686">
        <w:rPr>
          <w:rFonts w:cs="Times New Roman"/>
        </w:rPr>
        <w:t>Collection and usage attributes</w:t>
      </w:r>
    </w:p>
    <w:p w:rsidR="001423B0" w:rsidRPr="00762194" w:rsidRDefault="001423B0" w:rsidP="001423B0">
      <w:pPr>
        <w:pStyle w:val="x02-body-copy"/>
        <w:rPr>
          <w:rFonts w:cs="Times New Roman"/>
          <w:sz w:val="20"/>
          <w:szCs w:val="20"/>
        </w:rPr>
      </w:pPr>
      <w:r w:rsidRPr="00762194">
        <w:rPr>
          <w:rStyle w:val="x02-body-medium"/>
          <w:rFonts w:cs="Times New Roman"/>
          <w:sz w:val="20"/>
          <w:szCs w:val="20"/>
        </w:rPr>
        <w:t>Computation:</w:t>
      </w:r>
      <w:r w:rsidRPr="00762194">
        <w:rPr>
          <w:rFonts w:cs="Times New Roman"/>
          <w:sz w:val="20"/>
          <w:szCs w:val="20"/>
        </w:rPr>
        <w:t xml:space="preserve"> </w:t>
      </w:r>
      <w:r w:rsidRPr="00762194">
        <w:rPr>
          <w:rStyle w:val="x02-body-italic"/>
          <w:rFonts w:cs="Times New Roman"/>
          <w:sz w:val="20"/>
          <w:szCs w:val="20"/>
        </w:rPr>
        <w:t>(Numerator ÷ denominator) x 100</w:t>
      </w:r>
    </w:p>
    <w:p w:rsidR="001423B0" w:rsidRPr="00762194" w:rsidRDefault="001423B0" w:rsidP="001423B0">
      <w:pPr>
        <w:pStyle w:val="x02-body-copy"/>
        <w:rPr>
          <w:rFonts w:cs="Times New Roman"/>
          <w:sz w:val="20"/>
          <w:szCs w:val="20"/>
        </w:rPr>
      </w:pPr>
      <w:r w:rsidRPr="00762194">
        <w:rPr>
          <w:rStyle w:val="x02-body-medium"/>
          <w:rFonts w:cs="Times New Roman"/>
          <w:sz w:val="20"/>
          <w:szCs w:val="20"/>
        </w:rPr>
        <w:t>Numerator:</w:t>
      </w:r>
      <w:r w:rsidRPr="00762194">
        <w:rPr>
          <w:rFonts w:cs="Times New Roman"/>
          <w:sz w:val="20"/>
          <w:szCs w:val="20"/>
        </w:rPr>
        <w:t xml:space="preserve"> Total number of patients with NSTEACS in a hospital without angiography facilities, assessed as being at high-risk for a recurrent adverse cardiac event who are transferred for angiography elsewhere.</w:t>
      </w:r>
    </w:p>
    <w:p w:rsidR="001423B0" w:rsidRPr="00762194" w:rsidRDefault="001423B0" w:rsidP="001423B0">
      <w:pPr>
        <w:pStyle w:val="x02-body-copy-before-bullet"/>
        <w:rPr>
          <w:rStyle w:val="x02-body-italic-underline"/>
          <w:sz w:val="20"/>
          <w:szCs w:val="20"/>
        </w:rPr>
      </w:pPr>
      <w:r w:rsidRPr="00762194">
        <w:rPr>
          <w:rStyle w:val="x02-body-medium"/>
          <w:rFonts w:cs="Times New Roman"/>
          <w:sz w:val="20"/>
          <w:szCs w:val="20"/>
        </w:rPr>
        <w:t>Numerator criteria:</w:t>
      </w:r>
      <w:r w:rsidRPr="00762194">
        <w:rPr>
          <w:rFonts w:cs="Times New Roman"/>
          <w:sz w:val="20"/>
          <w:szCs w:val="20"/>
        </w:rPr>
        <w:t xml:space="preserve"> </w:t>
      </w:r>
      <w:r w:rsidRPr="00762194">
        <w:rPr>
          <w:rStyle w:val="x02-body-italic-underline"/>
          <w:rFonts w:cs="Times New Roman"/>
          <w:sz w:val="20"/>
          <w:szCs w:val="20"/>
        </w:rPr>
        <w:t>Inclusions</w:t>
      </w:r>
    </w:p>
    <w:p w:rsidR="001423B0" w:rsidRPr="00762194" w:rsidRDefault="001423B0" w:rsidP="001423B0">
      <w:pPr>
        <w:pStyle w:val="x02-body-copy-before-bullet"/>
        <w:rPr>
          <w:rFonts w:cs="Times New Roman"/>
          <w:sz w:val="20"/>
          <w:szCs w:val="20"/>
        </w:rPr>
      </w:pPr>
      <w:r w:rsidRPr="00762194">
        <w:rPr>
          <w:rFonts w:cs="Times New Roman"/>
          <w:sz w:val="20"/>
          <w:szCs w:val="20"/>
        </w:rPr>
        <w:t xml:space="preserve">Patients with a final diagnosis of acute </w:t>
      </w:r>
      <w:proofErr w:type="spellStart"/>
      <w:r w:rsidRPr="00762194">
        <w:rPr>
          <w:rFonts w:cs="Times New Roman"/>
          <w:sz w:val="20"/>
          <w:szCs w:val="20"/>
        </w:rPr>
        <w:t>subendocardial</w:t>
      </w:r>
      <w:proofErr w:type="spellEnd"/>
      <w:r w:rsidRPr="00762194">
        <w:rPr>
          <w:rFonts w:cs="Times New Roman"/>
          <w:sz w:val="20"/>
          <w:szCs w:val="20"/>
        </w:rPr>
        <w:t xml:space="preserve"> myocardial infarction (NSTEMI) (I21.4) </w:t>
      </w:r>
    </w:p>
    <w:p w:rsidR="001423B0" w:rsidRPr="00762194" w:rsidRDefault="001423B0" w:rsidP="001423B0">
      <w:pPr>
        <w:pStyle w:val="x02-body-copy-before-bullet"/>
        <w:rPr>
          <w:rFonts w:cs="Times New Roman"/>
          <w:sz w:val="20"/>
          <w:szCs w:val="20"/>
        </w:rPr>
      </w:pPr>
      <w:r w:rsidRPr="00762194">
        <w:rPr>
          <w:rFonts w:cs="Times New Roman"/>
          <w:sz w:val="20"/>
          <w:szCs w:val="20"/>
        </w:rPr>
        <w:t xml:space="preserve">OR </w:t>
      </w:r>
    </w:p>
    <w:p w:rsidR="001423B0" w:rsidRPr="00762194" w:rsidRDefault="001423B0" w:rsidP="001423B0">
      <w:pPr>
        <w:pStyle w:val="x02-body-copy-before-bullet"/>
        <w:rPr>
          <w:rFonts w:cs="Times New Roman"/>
          <w:b/>
          <w:sz w:val="20"/>
          <w:szCs w:val="20"/>
        </w:rPr>
      </w:pPr>
      <w:r w:rsidRPr="00762194">
        <w:rPr>
          <w:rFonts w:cs="Times New Roman"/>
          <w:sz w:val="20"/>
          <w:szCs w:val="20"/>
        </w:rPr>
        <w:t>patients with a final diagnosis of unstable angina (UA) (I20.0).</w:t>
      </w:r>
      <w:r w:rsidRPr="00762194">
        <w:rPr>
          <w:rStyle w:val="x02-body-superscript"/>
          <w:rFonts w:cs="Times New Roman"/>
          <w:sz w:val="20"/>
          <w:szCs w:val="20"/>
        </w:rPr>
        <w:t>a</w:t>
      </w:r>
    </w:p>
    <w:p w:rsidR="001423B0" w:rsidRPr="00762194" w:rsidRDefault="001423B0" w:rsidP="001423B0">
      <w:pPr>
        <w:pStyle w:val="x02-body-copy-before-bullet"/>
        <w:rPr>
          <w:rFonts w:cs="Times New Roman"/>
          <w:sz w:val="20"/>
          <w:szCs w:val="20"/>
        </w:rPr>
      </w:pPr>
      <w:r w:rsidRPr="00762194">
        <w:rPr>
          <w:rFonts w:cs="Times New Roman"/>
          <w:sz w:val="20"/>
          <w:szCs w:val="20"/>
        </w:rPr>
        <w:t>Care type = ‘1’ (acute care).</w:t>
      </w:r>
      <w:r w:rsidRPr="00762194">
        <w:rPr>
          <w:rStyle w:val="x02-body-superscript"/>
          <w:rFonts w:cs="Times New Roman"/>
          <w:sz w:val="20"/>
          <w:szCs w:val="20"/>
        </w:rPr>
        <w:t>b</w:t>
      </w:r>
    </w:p>
    <w:p w:rsidR="001423B0" w:rsidRPr="00762194" w:rsidRDefault="001423B0" w:rsidP="001423B0">
      <w:pPr>
        <w:pStyle w:val="x02-body-copy"/>
        <w:rPr>
          <w:rStyle w:val="x02-body-italic-underline"/>
          <w:sz w:val="20"/>
          <w:szCs w:val="20"/>
        </w:rPr>
      </w:pPr>
      <w:r w:rsidRPr="00762194">
        <w:rPr>
          <w:rStyle w:val="x02-body-italic-underline"/>
          <w:rFonts w:cs="Times New Roman"/>
          <w:sz w:val="20"/>
          <w:szCs w:val="20"/>
        </w:rPr>
        <w:t>Exclusions</w:t>
      </w:r>
    </w:p>
    <w:p w:rsidR="001423B0" w:rsidRPr="00762194" w:rsidRDefault="001423B0" w:rsidP="001423B0">
      <w:pPr>
        <w:pStyle w:val="x02-body-copy"/>
        <w:rPr>
          <w:rFonts w:cs="Times New Roman"/>
          <w:sz w:val="20"/>
          <w:szCs w:val="20"/>
        </w:rPr>
      </w:pPr>
      <w:r w:rsidRPr="00762194">
        <w:rPr>
          <w:rFonts w:cs="Times New Roman"/>
          <w:sz w:val="20"/>
          <w:szCs w:val="20"/>
        </w:rPr>
        <w:t xml:space="preserve">Nil. </w:t>
      </w:r>
    </w:p>
    <w:p w:rsidR="001423B0" w:rsidRPr="008D7C96" w:rsidRDefault="001423B0" w:rsidP="001423B0">
      <w:pPr>
        <w:pStyle w:val="x02-body-copy"/>
        <w:rPr>
          <w:rFonts w:cs="Times New Roman"/>
          <w:sz w:val="20"/>
          <w:szCs w:val="20"/>
        </w:rPr>
      </w:pPr>
      <w:r w:rsidRPr="00762194">
        <w:rPr>
          <w:rStyle w:val="x02-body-medium"/>
          <w:rFonts w:cs="Times New Roman"/>
          <w:sz w:val="20"/>
          <w:szCs w:val="20"/>
        </w:rPr>
        <w:t>Denominator:</w:t>
      </w:r>
      <w:r w:rsidRPr="00762194">
        <w:rPr>
          <w:rFonts w:cs="Times New Roman"/>
          <w:sz w:val="20"/>
          <w:szCs w:val="20"/>
        </w:rPr>
        <w:t xml:space="preserve"> Total number of patients with NSTEACS in a hospital without angiography facilities</w:t>
      </w:r>
      <w:r w:rsidR="00B9183F" w:rsidRPr="008D7C96">
        <w:rPr>
          <w:rFonts w:cs="Times New Roman"/>
          <w:sz w:val="20"/>
          <w:szCs w:val="20"/>
        </w:rPr>
        <w:t>, assessed as being at high-risk for a recurrent adverse cardiac event.</w:t>
      </w:r>
    </w:p>
    <w:p w:rsidR="001423B0" w:rsidRPr="00762194" w:rsidRDefault="001423B0" w:rsidP="001423B0">
      <w:pPr>
        <w:pStyle w:val="x02-body-copy-before-bullet"/>
        <w:rPr>
          <w:rStyle w:val="x02-body-italic-underline"/>
          <w:sz w:val="20"/>
          <w:szCs w:val="20"/>
        </w:rPr>
      </w:pPr>
      <w:r w:rsidRPr="00762194">
        <w:rPr>
          <w:rStyle w:val="x02-body-medium"/>
          <w:rFonts w:cs="Times New Roman"/>
          <w:sz w:val="20"/>
          <w:szCs w:val="20"/>
        </w:rPr>
        <w:t>Denominator criteria:</w:t>
      </w:r>
      <w:r w:rsidRPr="00762194">
        <w:rPr>
          <w:rFonts w:cs="Times New Roman"/>
          <w:sz w:val="20"/>
          <w:szCs w:val="20"/>
        </w:rPr>
        <w:t xml:space="preserve"> </w:t>
      </w:r>
      <w:r w:rsidRPr="00762194">
        <w:rPr>
          <w:rStyle w:val="x02-body-italic-underline"/>
          <w:rFonts w:cs="Times New Roman"/>
          <w:sz w:val="20"/>
          <w:szCs w:val="20"/>
        </w:rPr>
        <w:t>Inclusions</w:t>
      </w:r>
    </w:p>
    <w:p w:rsidR="001423B0" w:rsidRPr="00762194" w:rsidRDefault="001423B0" w:rsidP="001423B0">
      <w:pPr>
        <w:pStyle w:val="x02-body-copy-before-bullet"/>
        <w:rPr>
          <w:rFonts w:cs="Times New Roman"/>
          <w:sz w:val="20"/>
          <w:szCs w:val="20"/>
        </w:rPr>
      </w:pPr>
      <w:r w:rsidRPr="00762194">
        <w:rPr>
          <w:rFonts w:cs="Times New Roman"/>
          <w:sz w:val="20"/>
          <w:szCs w:val="20"/>
        </w:rPr>
        <w:t xml:space="preserve">Patients with a final diagnosis of acute </w:t>
      </w:r>
      <w:proofErr w:type="spellStart"/>
      <w:r w:rsidRPr="00762194">
        <w:rPr>
          <w:rFonts w:cs="Times New Roman"/>
          <w:sz w:val="20"/>
          <w:szCs w:val="20"/>
        </w:rPr>
        <w:t>subendocardial</w:t>
      </w:r>
      <w:proofErr w:type="spellEnd"/>
      <w:r w:rsidRPr="00762194">
        <w:rPr>
          <w:rFonts w:cs="Times New Roman"/>
          <w:sz w:val="20"/>
          <w:szCs w:val="20"/>
        </w:rPr>
        <w:t xml:space="preserve"> myocardial infarction (NSTEMI) (I21.4)</w:t>
      </w:r>
    </w:p>
    <w:p w:rsidR="001423B0" w:rsidRPr="00762194" w:rsidRDefault="001423B0" w:rsidP="001423B0">
      <w:pPr>
        <w:pStyle w:val="x02-body-copy-before-bullet"/>
        <w:rPr>
          <w:rFonts w:cs="Times New Roman"/>
          <w:sz w:val="20"/>
          <w:szCs w:val="20"/>
        </w:rPr>
      </w:pPr>
      <w:r w:rsidRPr="00762194">
        <w:rPr>
          <w:rFonts w:cs="Times New Roman"/>
          <w:sz w:val="20"/>
          <w:szCs w:val="20"/>
        </w:rPr>
        <w:t>OR</w:t>
      </w:r>
    </w:p>
    <w:p w:rsidR="001423B0" w:rsidRPr="00762194" w:rsidRDefault="001423B0" w:rsidP="001423B0">
      <w:pPr>
        <w:pStyle w:val="x02-body-copy-before-bullet"/>
        <w:rPr>
          <w:rFonts w:cs="Times New Roman"/>
          <w:sz w:val="20"/>
          <w:szCs w:val="20"/>
        </w:rPr>
      </w:pPr>
      <w:r w:rsidRPr="00762194">
        <w:rPr>
          <w:rFonts w:cs="Times New Roman"/>
          <w:sz w:val="20"/>
          <w:szCs w:val="20"/>
        </w:rPr>
        <w:t>patients with a final diagnosis of unstable angina (UA) (I20.0).</w:t>
      </w:r>
      <w:r w:rsidRPr="00762194">
        <w:rPr>
          <w:rStyle w:val="x02-body-superscript"/>
          <w:rFonts w:cs="Times New Roman"/>
          <w:sz w:val="20"/>
          <w:szCs w:val="20"/>
        </w:rPr>
        <w:t>a</w:t>
      </w:r>
      <w:r w:rsidRPr="00762194">
        <w:rPr>
          <w:rFonts w:cs="Times New Roman"/>
          <w:sz w:val="20"/>
          <w:szCs w:val="20"/>
        </w:rPr>
        <w:t xml:space="preserve"> </w:t>
      </w:r>
    </w:p>
    <w:p w:rsidR="001423B0" w:rsidRPr="00762194" w:rsidRDefault="001423B0" w:rsidP="001423B0">
      <w:pPr>
        <w:pStyle w:val="x02-body-copy-before-bullet"/>
        <w:rPr>
          <w:rFonts w:cs="Times New Roman"/>
          <w:sz w:val="20"/>
          <w:szCs w:val="20"/>
        </w:rPr>
      </w:pPr>
      <w:r w:rsidRPr="00762194">
        <w:rPr>
          <w:rFonts w:cs="Times New Roman"/>
          <w:sz w:val="20"/>
          <w:szCs w:val="20"/>
        </w:rPr>
        <w:t>Care type = ‘1’ (acute care).</w:t>
      </w:r>
      <w:r w:rsidRPr="00762194">
        <w:rPr>
          <w:rStyle w:val="x02-body-superscript"/>
          <w:rFonts w:cs="Times New Roman"/>
          <w:sz w:val="20"/>
          <w:szCs w:val="20"/>
        </w:rPr>
        <w:t>b</w:t>
      </w:r>
      <w:r w:rsidRPr="00762194">
        <w:rPr>
          <w:rFonts w:cs="Times New Roman"/>
          <w:sz w:val="20"/>
          <w:szCs w:val="20"/>
        </w:rPr>
        <w:t xml:space="preserve"> </w:t>
      </w:r>
    </w:p>
    <w:p w:rsidR="001423B0" w:rsidRPr="00762194" w:rsidRDefault="001423B0" w:rsidP="001423B0">
      <w:pPr>
        <w:pStyle w:val="x02-body-copy"/>
        <w:rPr>
          <w:rStyle w:val="x02-body-italic-underline"/>
          <w:sz w:val="20"/>
          <w:szCs w:val="20"/>
        </w:rPr>
      </w:pPr>
      <w:r w:rsidRPr="00762194">
        <w:rPr>
          <w:rStyle w:val="x02-body-italic-underline"/>
          <w:rFonts w:cs="Times New Roman"/>
          <w:sz w:val="20"/>
          <w:szCs w:val="20"/>
        </w:rPr>
        <w:t>Exclusions</w:t>
      </w:r>
    </w:p>
    <w:p w:rsidR="001423B0" w:rsidRPr="00762194" w:rsidRDefault="001423B0" w:rsidP="001423B0">
      <w:pPr>
        <w:pStyle w:val="x02-body-copy"/>
        <w:rPr>
          <w:rFonts w:cs="Times New Roman"/>
          <w:sz w:val="20"/>
          <w:szCs w:val="20"/>
        </w:rPr>
      </w:pPr>
      <w:r w:rsidRPr="00762194">
        <w:rPr>
          <w:rFonts w:cs="Times New Roman"/>
          <w:sz w:val="20"/>
          <w:szCs w:val="20"/>
        </w:rPr>
        <w:t>Patients for whom angiography is contraindicated, and for whom the contraindication is documented.</w:t>
      </w:r>
    </w:p>
    <w:p w:rsidR="001423B0" w:rsidRDefault="001423B0" w:rsidP="001423B0">
      <w:pPr>
        <w:pStyle w:val="x02-body-copy"/>
        <w:rPr>
          <w:rFonts w:cs="Times New Roman"/>
          <w:sz w:val="20"/>
          <w:szCs w:val="20"/>
        </w:rPr>
      </w:pPr>
      <w:r w:rsidRPr="00762194">
        <w:rPr>
          <w:rStyle w:val="x02-body-medium"/>
          <w:rFonts w:cs="Times New Roman"/>
          <w:sz w:val="20"/>
          <w:szCs w:val="20"/>
        </w:rPr>
        <w:t>Setting:</w:t>
      </w:r>
      <w:r w:rsidRPr="00762194">
        <w:rPr>
          <w:rFonts w:cs="Times New Roman"/>
          <w:sz w:val="20"/>
          <w:szCs w:val="20"/>
        </w:rPr>
        <w:t xml:space="preserve"> Acute/hospital.</w:t>
      </w:r>
    </w:p>
    <w:p w:rsidR="001423B0" w:rsidRDefault="001423B0" w:rsidP="001423B0">
      <w:pPr>
        <w:pStyle w:val="x02-body-copy"/>
        <w:rPr>
          <w:rFonts w:cs="Times New Roman"/>
          <w:sz w:val="20"/>
          <w:szCs w:val="20"/>
        </w:rPr>
      </w:pPr>
    </w:p>
    <w:p w:rsidR="001423B0" w:rsidRDefault="001423B0" w:rsidP="001423B0">
      <w:pPr>
        <w:pStyle w:val="x02-body-copy"/>
        <w:rPr>
          <w:rFonts w:cs="Times New Roman"/>
          <w:sz w:val="20"/>
          <w:szCs w:val="20"/>
        </w:rPr>
      </w:pPr>
    </w:p>
    <w:p w:rsidR="001423B0" w:rsidRDefault="001423B0" w:rsidP="001423B0">
      <w:pPr>
        <w:pStyle w:val="x02-body-copy"/>
        <w:rPr>
          <w:rFonts w:cs="Times New Roman"/>
          <w:sz w:val="20"/>
          <w:szCs w:val="20"/>
        </w:rPr>
      </w:pPr>
    </w:p>
    <w:p w:rsidR="001423B0" w:rsidRDefault="001423B0" w:rsidP="001423B0">
      <w:pPr>
        <w:pStyle w:val="x02-body-copy"/>
        <w:rPr>
          <w:rFonts w:cs="Times New Roman"/>
          <w:sz w:val="20"/>
          <w:szCs w:val="20"/>
        </w:rPr>
      </w:pPr>
    </w:p>
    <w:p w:rsidR="001423B0" w:rsidRDefault="001423B0" w:rsidP="001423B0">
      <w:pPr>
        <w:pStyle w:val="x04-footnotes"/>
        <w:rPr>
          <w:rFonts w:cs="Times New Roman"/>
        </w:rPr>
      </w:pPr>
      <w:r>
        <w:rPr>
          <w:rFonts w:cs="Times New Roman"/>
        </w:rPr>
        <w:t>a ICD-10-AM (</w:t>
      </w:r>
      <w:r w:rsidR="00751C89">
        <w:rPr>
          <w:rFonts w:cs="Times New Roman"/>
        </w:rPr>
        <w:t>9</w:t>
      </w:r>
      <w:r>
        <w:rPr>
          <w:rFonts w:cs="Times New Roman"/>
        </w:rPr>
        <w:t>th edition).</w:t>
      </w:r>
    </w:p>
    <w:p w:rsidR="001423B0" w:rsidRDefault="001423B0" w:rsidP="001423B0">
      <w:pPr>
        <w:pStyle w:val="x04-footnotes"/>
        <w:rPr>
          <w:rFonts w:cs="Times New Roman"/>
        </w:rPr>
      </w:pPr>
      <w:r>
        <w:rPr>
          <w:rFonts w:cs="Times New Roman"/>
        </w:rPr>
        <w:t xml:space="preserve">b </w:t>
      </w:r>
      <w:proofErr w:type="spellStart"/>
      <w:r>
        <w:rPr>
          <w:rFonts w:cs="Times New Roman"/>
        </w:rPr>
        <w:t>METeOR</w:t>
      </w:r>
      <w:proofErr w:type="spellEnd"/>
      <w:r>
        <w:rPr>
          <w:rFonts w:cs="Times New Roman"/>
        </w:rPr>
        <w:t xml:space="preserve"> identifier: 491557.</w:t>
      </w:r>
    </w:p>
    <w:p w:rsidR="001423B0" w:rsidRPr="00762194" w:rsidRDefault="001423B0" w:rsidP="001423B0">
      <w:pPr>
        <w:pStyle w:val="x02-body-copy-before-bullet"/>
        <w:rPr>
          <w:rFonts w:cs="Times New Roman"/>
          <w:sz w:val="20"/>
          <w:szCs w:val="20"/>
        </w:rPr>
      </w:pPr>
      <w:r w:rsidRPr="00762194">
        <w:rPr>
          <w:rStyle w:val="x02-body-medium"/>
          <w:rFonts w:cs="Times New Roman"/>
          <w:sz w:val="20"/>
          <w:szCs w:val="20"/>
        </w:rPr>
        <w:lastRenderedPageBreak/>
        <w:t>Comments:</w:t>
      </w:r>
      <w:r w:rsidRPr="00762194">
        <w:rPr>
          <w:rFonts w:cs="Times New Roman"/>
          <w:sz w:val="20"/>
          <w:szCs w:val="20"/>
        </w:rPr>
        <w:t xml:space="preserve"> Contraindications for angiography may include advanced care directives, being on a palliative care pathway, and clinical judgement, subject to discussion with patients, family and carers.</w:t>
      </w:r>
    </w:p>
    <w:p w:rsidR="001423B0" w:rsidRPr="00762194" w:rsidRDefault="001423B0" w:rsidP="001423B0">
      <w:pPr>
        <w:pStyle w:val="x02-body-copy"/>
        <w:rPr>
          <w:rFonts w:cs="Times New Roman"/>
          <w:sz w:val="20"/>
          <w:szCs w:val="20"/>
        </w:rPr>
      </w:pPr>
      <w:r w:rsidRPr="00762194">
        <w:rPr>
          <w:rFonts w:cs="Times New Roman"/>
          <w:sz w:val="20"/>
          <w:szCs w:val="20"/>
        </w:rPr>
        <w:t xml:space="preserve">Refer to the </w:t>
      </w:r>
      <w:r w:rsidRPr="00762194">
        <w:rPr>
          <w:rStyle w:val="x02-body-italic"/>
          <w:rFonts w:cs="Times New Roman"/>
          <w:sz w:val="20"/>
          <w:szCs w:val="20"/>
        </w:rPr>
        <w:t>Guidelines</w:t>
      </w:r>
      <w:r w:rsidRPr="00762194">
        <w:rPr>
          <w:rFonts w:cs="Times New Roman"/>
          <w:sz w:val="20"/>
          <w:szCs w:val="20"/>
        </w:rPr>
        <w:t xml:space="preserve"> for features associated with high-risk, intermediate-risk and low-risk NSTEACS.</w:t>
      </w:r>
      <w:r w:rsidRPr="00762194">
        <w:rPr>
          <w:rStyle w:val="x02-body-superscript"/>
          <w:rFonts w:cs="Times New Roman"/>
          <w:sz w:val="20"/>
          <w:szCs w:val="20"/>
        </w:rPr>
        <w:t>1</w:t>
      </w:r>
      <w:r w:rsidRPr="00762194">
        <w:rPr>
          <w:rFonts w:cs="Times New Roman"/>
          <w:sz w:val="20"/>
          <w:szCs w:val="20"/>
        </w:rPr>
        <w:t xml:space="preserve"> </w:t>
      </w:r>
    </w:p>
    <w:p w:rsidR="001423B0" w:rsidRDefault="001423B0" w:rsidP="001423B0">
      <w:pPr>
        <w:pStyle w:val="x01-heading-level-3"/>
        <w:rPr>
          <w:rFonts w:cs="Times New Roman"/>
        </w:rPr>
      </w:pPr>
      <w:r>
        <w:rPr>
          <w:rFonts w:cs="Times New Roman"/>
        </w:rPr>
        <w:t xml:space="preserve">Reference </w:t>
      </w:r>
    </w:p>
    <w:p w:rsidR="001423B0" w:rsidRPr="00A01A3C" w:rsidRDefault="001423B0" w:rsidP="001423B0">
      <w:pPr>
        <w:pStyle w:val="x04-footnotes"/>
        <w:ind w:left="142" w:hanging="142"/>
        <w:rPr>
          <w:rFonts w:cs="Times New Roman"/>
        </w:rPr>
      </w:pPr>
      <w:r>
        <w:rPr>
          <w:rFonts w:cs="Times New Roman"/>
        </w:rPr>
        <w:t>1. Acute Coronary Syndrome Guidelines Working Group. Guidelines for the management of acute coronary syndromes 2006. Medical Journal of Australia. 2006;184(8):S1–S30.</w:t>
      </w:r>
    </w:p>
    <w:p w:rsidR="001423B0" w:rsidRDefault="001423B0" w:rsidP="001423B0">
      <w:pPr>
        <w:rPr>
          <w:rFonts w:cs="Times New Roman"/>
          <w:b/>
          <w:bCs/>
          <w:color w:val="00988E"/>
          <w:sz w:val="40"/>
          <w:szCs w:val="40"/>
        </w:rPr>
      </w:pPr>
      <w:bookmarkStart w:id="17" w:name="_Toc278988969"/>
      <w:r>
        <w:rPr>
          <w:rFonts w:cs="Times New Roman"/>
        </w:rPr>
        <w:br w:type="page"/>
      </w:r>
    </w:p>
    <w:p w:rsidR="001423B0" w:rsidRDefault="001423B0" w:rsidP="001423B0">
      <w:pPr>
        <w:pStyle w:val="x01-heading-level-1"/>
        <w:rPr>
          <w:rFonts w:cs="Times New Roman"/>
        </w:rPr>
      </w:pPr>
      <w:r>
        <w:rPr>
          <w:rFonts w:cs="Times New Roman"/>
        </w:rPr>
        <w:lastRenderedPageBreak/>
        <w:t>Quality statement 5 – Coronary angiography</w:t>
      </w:r>
      <w:bookmarkEnd w:id="17"/>
    </w:p>
    <w:p w:rsidR="001423B0" w:rsidRDefault="001423B0" w:rsidP="001423B0">
      <w:pPr>
        <w:pStyle w:val="x02-intro"/>
        <w:rPr>
          <w:rFonts w:cs="Times New Roman"/>
        </w:rPr>
      </w:pPr>
      <w:r>
        <w:rPr>
          <w:rFonts w:cs="Times New Roman"/>
        </w:rPr>
        <w:t>The role of coronary angiography, with a view to timely and appropriate coronary revascularisation, is discussed with a patient with a non-ST-segment-elevation acute coronary syndrome (NSTEACS) who is assessed to be at intermediate or high risk of an adverse cardiac event.</w:t>
      </w:r>
    </w:p>
    <w:p w:rsidR="001423B0" w:rsidRDefault="001423B0" w:rsidP="001423B0">
      <w:pPr>
        <w:pStyle w:val="heading-level-3-aqua"/>
        <w:rPr>
          <w:rFonts w:cs="Times New Roman"/>
        </w:rPr>
      </w:pPr>
      <w:bookmarkStart w:id="18" w:name="_Toc278988970"/>
      <w:r>
        <w:rPr>
          <w:rFonts w:cs="Times New Roman"/>
        </w:rPr>
        <w:t>Indicator 5a: NSTEACS patients informed of the risks and benefits of coronary angiography</w:t>
      </w:r>
      <w:bookmarkEnd w:id="18"/>
      <w:r>
        <w:rPr>
          <w:rFonts w:cs="Times New Roman"/>
        </w:rPr>
        <w:t xml:space="preserve"> </w:t>
      </w:r>
    </w:p>
    <w:p w:rsidR="001423B0" w:rsidRDefault="001423B0" w:rsidP="001423B0">
      <w:pPr>
        <w:pStyle w:val="x01-heading-level-3"/>
        <w:rPr>
          <w:rFonts w:cs="Times New Roman"/>
        </w:rPr>
      </w:pPr>
      <w:r>
        <w:rPr>
          <w:rFonts w:cs="Times New Roman"/>
        </w:rPr>
        <w:t>Definitional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Name:</w:t>
      </w:r>
      <w:r w:rsidRPr="00AE1791">
        <w:rPr>
          <w:rFonts w:cs="Times New Roman"/>
          <w:sz w:val="20"/>
          <w:szCs w:val="20"/>
        </w:rPr>
        <w:t xml:space="preserve"> Proportion of patients with NSTEACS who, having been assessed as intermediate or high-risk using a guideline-recommended tool, are informed of the risks and benefits of coronary angiography.</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Rationale:</w:t>
      </w:r>
      <w:r w:rsidRPr="00AE1791">
        <w:rPr>
          <w:rFonts w:cs="Times New Roman"/>
          <w:sz w:val="20"/>
          <w:szCs w:val="20"/>
        </w:rPr>
        <w:t xml:space="preserve"> High-risk patients should be treated aggressively with medical management and arrangements should be made for coronary angiography and revascularisation where appropriate, except in those with severe comorbidities, including general frailty.</w:t>
      </w:r>
      <w:r w:rsidRPr="00AE1791">
        <w:rPr>
          <w:rStyle w:val="x02-body-superscript"/>
          <w:rFonts w:cs="Times New Roman"/>
          <w:sz w:val="20"/>
          <w:szCs w:val="20"/>
        </w:rPr>
        <w:t>1,2</w:t>
      </w:r>
      <w:r w:rsidRPr="00AE1791">
        <w:rPr>
          <w:rFonts w:cs="Times New Roman"/>
          <w:sz w:val="20"/>
          <w:szCs w:val="20"/>
        </w:rPr>
        <w:t xml:space="preserve"> Informing patients of the risks and benefits of a procedure ensures that the delivery of care is consumer-centred and aligns with the </w:t>
      </w:r>
      <w:r w:rsidRPr="00AE1791">
        <w:rPr>
          <w:rStyle w:val="x02-body-italic"/>
          <w:rFonts w:cs="Times New Roman"/>
          <w:sz w:val="20"/>
          <w:szCs w:val="20"/>
        </w:rPr>
        <w:t>Australian Safety and Quality Framework for Health Care</w:t>
      </w:r>
      <w:r w:rsidRPr="00AE1791">
        <w:rPr>
          <w:rFonts w:cs="Times New Roman"/>
          <w:sz w:val="20"/>
          <w:szCs w:val="20"/>
        </w:rPr>
        <w:t>.</w:t>
      </w:r>
      <w:r w:rsidRPr="00AE1791">
        <w:rPr>
          <w:rStyle w:val="x02-body-superscript"/>
          <w:rFonts w:cs="Times New Roman"/>
          <w:sz w:val="20"/>
          <w:szCs w:val="20"/>
        </w:rPr>
        <w:t xml:space="preserve">3 </w:t>
      </w:r>
    </w:p>
    <w:p w:rsidR="001423B0" w:rsidRDefault="001423B0" w:rsidP="001423B0">
      <w:pPr>
        <w:pStyle w:val="x01-heading-level-3"/>
        <w:rPr>
          <w:rFonts w:cs="Times New Roman"/>
        </w:rPr>
      </w:pPr>
      <w:r>
        <w:rPr>
          <w:rFonts w:cs="Times New Roman"/>
        </w:rPr>
        <w:t>Collection and usage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Computation:</w:t>
      </w:r>
      <w:r w:rsidRPr="00AE1791">
        <w:rPr>
          <w:rFonts w:cs="Times New Roman"/>
          <w:sz w:val="20"/>
          <w:szCs w:val="20"/>
        </w:rPr>
        <w:t xml:space="preserve"> </w:t>
      </w:r>
      <w:r w:rsidRPr="00AE1791">
        <w:rPr>
          <w:rStyle w:val="x02-body-italic"/>
          <w:rFonts w:cs="Times New Roman"/>
          <w:sz w:val="20"/>
          <w:szCs w:val="20"/>
        </w:rPr>
        <w:t>(Numerator ÷ denominator) x 100</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Numerator:</w:t>
      </w:r>
      <w:r w:rsidRPr="00AE1791">
        <w:rPr>
          <w:rFonts w:cs="Times New Roman"/>
          <w:sz w:val="20"/>
          <w:szCs w:val="20"/>
        </w:rPr>
        <w:t xml:space="preserve"> Total number of NSTEACS patients, who, having been assessed as intermediate or high-risk using a guideline-recommended tool, whose records have documented evidence that they were informed of the risks and benefits of coronary angiography, based upon their clinical situation. </w:t>
      </w:r>
    </w:p>
    <w:p w:rsidR="001423B0" w:rsidRPr="00AE1791" w:rsidRDefault="001423B0" w:rsidP="001423B0">
      <w:pPr>
        <w:pStyle w:val="x02-body-copy-before-bullet"/>
        <w:rPr>
          <w:rStyle w:val="x02-body-italic-underline"/>
          <w:sz w:val="20"/>
          <w:szCs w:val="20"/>
        </w:rPr>
      </w:pPr>
      <w:r w:rsidRPr="00AE1791">
        <w:rPr>
          <w:rStyle w:val="x02-body-medium"/>
          <w:rFonts w:cs="Times New Roman"/>
          <w:sz w:val="20"/>
          <w:szCs w:val="20"/>
        </w:rPr>
        <w:t>Numerator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AE1791" w:rsidRDefault="001423B0" w:rsidP="001423B0">
      <w:pPr>
        <w:pStyle w:val="x02-body-copy-before-bullet"/>
        <w:rPr>
          <w:rFonts w:cs="Times New Roman"/>
          <w:sz w:val="20"/>
          <w:szCs w:val="20"/>
        </w:rPr>
      </w:pPr>
      <w:r w:rsidRPr="00AE1791">
        <w:rPr>
          <w:rFonts w:cs="Times New Roman"/>
          <w:sz w:val="20"/>
          <w:szCs w:val="20"/>
        </w:rPr>
        <w:t xml:space="preserve">Patients with a final diagnosis of acute </w:t>
      </w:r>
      <w:proofErr w:type="spellStart"/>
      <w:r w:rsidRPr="00AE1791">
        <w:rPr>
          <w:rFonts w:cs="Times New Roman"/>
          <w:sz w:val="20"/>
          <w:szCs w:val="20"/>
        </w:rPr>
        <w:t>subendocardial</w:t>
      </w:r>
      <w:proofErr w:type="spellEnd"/>
      <w:r w:rsidRPr="00AE1791">
        <w:rPr>
          <w:rFonts w:cs="Times New Roman"/>
          <w:sz w:val="20"/>
          <w:szCs w:val="20"/>
        </w:rPr>
        <w:t xml:space="preserve"> myocardial infarction (NSTEMI) (I21.4)</w:t>
      </w:r>
    </w:p>
    <w:p w:rsidR="001423B0" w:rsidRPr="00AE1791" w:rsidRDefault="001423B0" w:rsidP="001423B0">
      <w:pPr>
        <w:pStyle w:val="x02-body-copy-before-bullet"/>
        <w:rPr>
          <w:rFonts w:cs="Times New Roman"/>
          <w:sz w:val="20"/>
          <w:szCs w:val="20"/>
        </w:rPr>
      </w:pPr>
      <w:r w:rsidRPr="00AE1791">
        <w:rPr>
          <w:rFonts w:cs="Times New Roman"/>
          <w:sz w:val="20"/>
          <w:szCs w:val="20"/>
        </w:rPr>
        <w:t>OR</w:t>
      </w:r>
    </w:p>
    <w:p w:rsidR="001423B0" w:rsidRPr="00AE1791" w:rsidRDefault="001423B0" w:rsidP="001423B0">
      <w:pPr>
        <w:pStyle w:val="x02-body-copy-before-bullet"/>
        <w:rPr>
          <w:rFonts w:cs="Times New Roman"/>
          <w:sz w:val="20"/>
          <w:szCs w:val="20"/>
        </w:rPr>
      </w:pPr>
      <w:r w:rsidRPr="00AE1791">
        <w:rPr>
          <w:rFonts w:cs="Times New Roman"/>
          <w:sz w:val="20"/>
          <w:szCs w:val="20"/>
        </w:rPr>
        <w:t>patients with a final diagnosis of unstable angina (UA) (I20.0).</w:t>
      </w:r>
      <w:r w:rsidRPr="00AE1791">
        <w:rPr>
          <w:rStyle w:val="x02-body-superscript"/>
          <w:rFonts w:cs="Times New Roman"/>
          <w:sz w:val="20"/>
          <w:szCs w:val="20"/>
        </w:rPr>
        <w:t>a</w:t>
      </w:r>
    </w:p>
    <w:p w:rsidR="001423B0" w:rsidRPr="00AE1791" w:rsidRDefault="001423B0" w:rsidP="001423B0">
      <w:pPr>
        <w:pStyle w:val="x02-body-copy-before-bullet"/>
        <w:rPr>
          <w:rFonts w:cs="Times New Roman"/>
          <w:sz w:val="20"/>
          <w:szCs w:val="20"/>
        </w:rPr>
      </w:pPr>
      <w:r w:rsidRPr="00AE1791">
        <w:rPr>
          <w:rFonts w:cs="Times New Roman"/>
          <w:sz w:val="20"/>
          <w:szCs w:val="20"/>
        </w:rPr>
        <w:t>Care type = ‘1’ (acute care).</w:t>
      </w:r>
      <w:r w:rsidRPr="00AE1791">
        <w:rPr>
          <w:rStyle w:val="x02-body-superscript"/>
          <w:rFonts w:cs="Times New Roman"/>
          <w:sz w:val="20"/>
          <w:szCs w:val="20"/>
        </w:rPr>
        <w:t>b</w:t>
      </w:r>
    </w:p>
    <w:p w:rsidR="001423B0" w:rsidRPr="00AE1791" w:rsidRDefault="001423B0" w:rsidP="001423B0">
      <w:pPr>
        <w:pStyle w:val="x02-body-copy"/>
        <w:rPr>
          <w:rStyle w:val="x02-body-italic-underline"/>
          <w:sz w:val="20"/>
          <w:szCs w:val="20"/>
        </w:rPr>
      </w:pPr>
      <w:r w:rsidRPr="00AE1791">
        <w:rPr>
          <w:rStyle w:val="x02-body-italic-underline"/>
          <w:rFonts w:cs="Times New Roman"/>
          <w:sz w:val="20"/>
          <w:szCs w:val="20"/>
        </w:rPr>
        <w:t>Exclusions</w:t>
      </w:r>
    </w:p>
    <w:p w:rsidR="001423B0" w:rsidRPr="00AE1791" w:rsidRDefault="001423B0" w:rsidP="001423B0">
      <w:pPr>
        <w:pStyle w:val="x02-body-copy"/>
        <w:rPr>
          <w:rFonts w:cs="Times New Roman"/>
          <w:sz w:val="20"/>
          <w:szCs w:val="20"/>
        </w:rPr>
      </w:pPr>
      <w:r w:rsidRPr="00AE1791">
        <w:rPr>
          <w:rFonts w:cs="Times New Roman"/>
          <w:sz w:val="20"/>
          <w:szCs w:val="20"/>
        </w:rPr>
        <w:t>Nil.</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Denominator:</w:t>
      </w:r>
      <w:r w:rsidRPr="00AE1791">
        <w:rPr>
          <w:rFonts w:cs="Times New Roman"/>
          <w:sz w:val="20"/>
          <w:szCs w:val="20"/>
        </w:rPr>
        <w:t xml:space="preserve"> Total number of NSTEACS patients assessed as intermediate or high risk using a guideline-recommended tool.</w:t>
      </w:r>
    </w:p>
    <w:p w:rsidR="001423B0" w:rsidRPr="00AE1791" w:rsidRDefault="001423B0" w:rsidP="001423B0">
      <w:pPr>
        <w:pStyle w:val="x02-body-copy-before-bullet"/>
        <w:rPr>
          <w:rStyle w:val="x02-body-italic-underline"/>
          <w:sz w:val="20"/>
          <w:szCs w:val="20"/>
        </w:rPr>
      </w:pPr>
      <w:r w:rsidRPr="00AE1791">
        <w:rPr>
          <w:rStyle w:val="x02-body-medium"/>
          <w:rFonts w:cs="Times New Roman"/>
          <w:sz w:val="20"/>
          <w:szCs w:val="20"/>
        </w:rPr>
        <w:t>Denominator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AE1791" w:rsidRDefault="001423B0" w:rsidP="001423B0">
      <w:pPr>
        <w:pStyle w:val="x02-body-copy-before-bullet"/>
        <w:rPr>
          <w:rFonts w:cs="Times New Roman"/>
          <w:sz w:val="20"/>
          <w:szCs w:val="20"/>
        </w:rPr>
      </w:pPr>
      <w:r w:rsidRPr="00AE1791">
        <w:rPr>
          <w:rFonts w:cs="Times New Roman"/>
          <w:sz w:val="20"/>
          <w:szCs w:val="20"/>
        </w:rPr>
        <w:t xml:space="preserve">Patients with a final diagnosis of acute </w:t>
      </w:r>
      <w:proofErr w:type="spellStart"/>
      <w:r w:rsidRPr="00AE1791">
        <w:rPr>
          <w:rFonts w:cs="Times New Roman"/>
          <w:sz w:val="20"/>
          <w:szCs w:val="20"/>
        </w:rPr>
        <w:t>subendocardial</w:t>
      </w:r>
      <w:proofErr w:type="spellEnd"/>
      <w:r w:rsidRPr="00AE1791">
        <w:rPr>
          <w:rFonts w:cs="Times New Roman"/>
          <w:sz w:val="20"/>
          <w:szCs w:val="20"/>
        </w:rPr>
        <w:t xml:space="preserve"> myocardial infarction (NSTEMI) (I21.4)</w:t>
      </w:r>
    </w:p>
    <w:p w:rsidR="001423B0" w:rsidRPr="00AE1791" w:rsidRDefault="001423B0" w:rsidP="001423B0">
      <w:pPr>
        <w:pStyle w:val="x02-body-copy-before-bullet"/>
        <w:rPr>
          <w:rFonts w:cs="Times New Roman"/>
          <w:sz w:val="20"/>
          <w:szCs w:val="20"/>
        </w:rPr>
      </w:pPr>
      <w:r w:rsidRPr="00AE1791">
        <w:rPr>
          <w:rFonts w:cs="Times New Roman"/>
          <w:sz w:val="20"/>
          <w:szCs w:val="20"/>
        </w:rPr>
        <w:t>OR</w:t>
      </w:r>
    </w:p>
    <w:p w:rsidR="001423B0" w:rsidRDefault="001423B0" w:rsidP="001423B0">
      <w:pPr>
        <w:pStyle w:val="x02-body-copy-before-bullet"/>
        <w:rPr>
          <w:rFonts w:cs="Times New Roman"/>
        </w:rPr>
      </w:pPr>
    </w:p>
    <w:p w:rsidR="001423B0" w:rsidRDefault="001423B0" w:rsidP="001423B0">
      <w:pPr>
        <w:pStyle w:val="x02-body-copy-before-bullet"/>
        <w:rPr>
          <w:rFonts w:cs="Times New Roman"/>
        </w:rPr>
      </w:pPr>
    </w:p>
    <w:p w:rsidR="001423B0" w:rsidRDefault="001423B0" w:rsidP="001423B0">
      <w:pPr>
        <w:pStyle w:val="x04-footnotes"/>
        <w:rPr>
          <w:rFonts w:cs="Times New Roman"/>
        </w:rPr>
      </w:pPr>
      <w:r>
        <w:rPr>
          <w:rFonts w:cs="Times New Roman"/>
        </w:rPr>
        <w:t>a ICD-10-AM (</w:t>
      </w:r>
      <w:r w:rsidR="00751C89">
        <w:rPr>
          <w:rFonts w:cs="Times New Roman"/>
        </w:rPr>
        <w:t>9</w:t>
      </w:r>
      <w:r>
        <w:rPr>
          <w:rFonts w:cs="Times New Roman"/>
        </w:rPr>
        <w:t>th edition).</w:t>
      </w:r>
    </w:p>
    <w:p w:rsidR="001423B0" w:rsidRDefault="001423B0" w:rsidP="001423B0">
      <w:pPr>
        <w:pStyle w:val="x04-footnotes"/>
        <w:rPr>
          <w:rFonts w:cs="Times New Roman"/>
        </w:rPr>
      </w:pPr>
      <w:r>
        <w:rPr>
          <w:rFonts w:cs="Times New Roman"/>
        </w:rPr>
        <w:t xml:space="preserve">b </w:t>
      </w:r>
      <w:proofErr w:type="spellStart"/>
      <w:r>
        <w:rPr>
          <w:rFonts w:cs="Times New Roman"/>
        </w:rPr>
        <w:t>METeOR</w:t>
      </w:r>
      <w:proofErr w:type="spellEnd"/>
      <w:r>
        <w:rPr>
          <w:rFonts w:cs="Times New Roman"/>
        </w:rPr>
        <w:t xml:space="preserve"> identifier: 491557.</w:t>
      </w:r>
    </w:p>
    <w:p w:rsidR="001423B0" w:rsidRPr="00791686" w:rsidRDefault="001423B0" w:rsidP="001423B0">
      <w:pPr>
        <w:pStyle w:val="x02-body-copy-before-bullet"/>
        <w:rPr>
          <w:rFonts w:cs="Times New Roman"/>
          <w:sz w:val="20"/>
          <w:szCs w:val="20"/>
        </w:rPr>
      </w:pPr>
      <w:r>
        <w:rPr>
          <w:rFonts w:cs="Times New Roman"/>
        </w:rPr>
        <w:lastRenderedPageBreak/>
        <w:t>p</w:t>
      </w:r>
      <w:r w:rsidRPr="00791686">
        <w:rPr>
          <w:rFonts w:cs="Times New Roman"/>
          <w:sz w:val="20"/>
          <w:szCs w:val="20"/>
        </w:rPr>
        <w:t>atients with a final diagnosis of unstable angina (UA) (I20.0).</w:t>
      </w:r>
      <w:r w:rsidRPr="00791686">
        <w:rPr>
          <w:rStyle w:val="x02-body-superscript"/>
          <w:rFonts w:cs="Times New Roman"/>
          <w:sz w:val="20"/>
          <w:szCs w:val="20"/>
        </w:rPr>
        <w:t>a</w:t>
      </w:r>
      <w:r w:rsidRPr="00791686">
        <w:rPr>
          <w:rFonts w:cs="Times New Roman"/>
          <w:sz w:val="20"/>
          <w:szCs w:val="20"/>
        </w:rPr>
        <w:t xml:space="preserve"> </w:t>
      </w:r>
    </w:p>
    <w:p w:rsidR="001423B0" w:rsidRPr="00791686" w:rsidRDefault="001423B0" w:rsidP="001423B0">
      <w:pPr>
        <w:pStyle w:val="x02-body-copy-before-bullet"/>
        <w:rPr>
          <w:rFonts w:cs="Times New Roman"/>
          <w:sz w:val="20"/>
          <w:szCs w:val="20"/>
        </w:rPr>
      </w:pPr>
      <w:r w:rsidRPr="00791686">
        <w:rPr>
          <w:rFonts w:cs="Times New Roman"/>
          <w:sz w:val="20"/>
          <w:szCs w:val="20"/>
        </w:rPr>
        <w:t>Care type = ‘1’ (acute care).</w:t>
      </w:r>
      <w:r w:rsidRPr="00791686">
        <w:rPr>
          <w:rStyle w:val="x02-body-superscript"/>
          <w:rFonts w:cs="Times New Roman"/>
          <w:sz w:val="20"/>
          <w:szCs w:val="20"/>
        </w:rPr>
        <w:t>b</w:t>
      </w:r>
    </w:p>
    <w:p w:rsidR="001423B0" w:rsidRPr="00791686" w:rsidRDefault="001423B0" w:rsidP="001423B0">
      <w:pPr>
        <w:pStyle w:val="x02-body-copy"/>
        <w:rPr>
          <w:rStyle w:val="x02-body-italic-underline"/>
          <w:sz w:val="20"/>
          <w:szCs w:val="20"/>
        </w:rPr>
      </w:pPr>
      <w:r w:rsidRPr="00791686">
        <w:rPr>
          <w:rStyle w:val="x02-body-italic-underline"/>
          <w:rFonts w:cs="Times New Roman"/>
          <w:sz w:val="20"/>
          <w:szCs w:val="20"/>
        </w:rPr>
        <w:t>Exclusions</w:t>
      </w:r>
    </w:p>
    <w:p w:rsidR="001423B0" w:rsidRPr="00791686" w:rsidRDefault="001423B0" w:rsidP="001423B0">
      <w:pPr>
        <w:pStyle w:val="x02-body-copy"/>
        <w:rPr>
          <w:rFonts w:cs="Times New Roman"/>
          <w:sz w:val="20"/>
          <w:szCs w:val="20"/>
        </w:rPr>
      </w:pPr>
      <w:r w:rsidRPr="00791686">
        <w:rPr>
          <w:rFonts w:cs="Times New Roman"/>
          <w:sz w:val="20"/>
          <w:szCs w:val="20"/>
        </w:rPr>
        <w:t>Patients for whom angiography is contraindicated, and for whom the contraindication is documented.</w:t>
      </w:r>
    </w:p>
    <w:p w:rsidR="001423B0" w:rsidRPr="00791686" w:rsidRDefault="001423B0" w:rsidP="001423B0">
      <w:pPr>
        <w:pStyle w:val="x02-body-copy"/>
        <w:rPr>
          <w:rFonts w:cs="Times New Roman"/>
          <w:sz w:val="20"/>
          <w:szCs w:val="20"/>
        </w:rPr>
      </w:pPr>
      <w:r w:rsidRPr="00791686">
        <w:rPr>
          <w:rStyle w:val="x02-body-medium"/>
          <w:rFonts w:cs="Times New Roman"/>
          <w:sz w:val="20"/>
          <w:szCs w:val="20"/>
        </w:rPr>
        <w:t>Setting:</w:t>
      </w:r>
      <w:r w:rsidRPr="00791686">
        <w:rPr>
          <w:rFonts w:cs="Times New Roman"/>
          <w:sz w:val="20"/>
          <w:szCs w:val="20"/>
        </w:rPr>
        <w:t xml:space="preserve"> Acute/hospital.</w:t>
      </w:r>
    </w:p>
    <w:p w:rsidR="001423B0" w:rsidRPr="00791686" w:rsidRDefault="001423B0" w:rsidP="001423B0">
      <w:pPr>
        <w:pStyle w:val="x02-body-copy-before-bullet"/>
        <w:rPr>
          <w:rFonts w:cs="Times New Roman"/>
          <w:sz w:val="20"/>
          <w:szCs w:val="20"/>
        </w:rPr>
      </w:pPr>
      <w:r w:rsidRPr="00791686">
        <w:rPr>
          <w:rStyle w:val="x02-body-medium"/>
          <w:rFonts w:cs="Times New Roman"/>
          <w:sz w:val="20"/>
          <w:szCs w:val="20"/>
        </w:rPr>
        <w:t>Comments:</w:t>
      </w:r>
      <w:r w:rsidRPr="00791686">
        <w:rPr>
          <w:rFonts w:cs="Times New Roman"/>
          <w:sz w:val="20"/>
          <w:szCs w:val="20"/>
        </w:rPr>
        <w:t xml:space="preserve"> Refer to the </w:t>
      </w:r>
      <w:r w:rsidRPr="00791686">
        <w:rPr>
          <w:rStyle w:val="x02-body-italic"/>
          <w:rFonts w:cs="Times New Roman"/>
          <w:sz w:val="20"/>
          <w:szCs w:val="20"/>
        </w:rPr>
        <w:t>Guidelines</w:t>
      </w:r>
      <w:r w:rsidRPr="00791686">
        <w:rPr>
          <w:rFonts w:cs="Times New Roman"/>
          <w:sz w:val="20"/>
          <w:szCs w:val="20"/>
        </w:rPr>
        <w:t xml:space="preserve"> for features associated with high-risk, intermediate-risk and low-risk NSTEACS.</w:t>
      </w:r>
      <w:r w:rsidRPr="00791686">
        <w:rPr>
          <w:rStyle w:val="x02-body-superscript"/>
          <w:rFonts w:cs="Times New Roman"/>
          <w:sz w:val="20"/>
          <w:szCs w:val="20"/>
        </w:rPr>
        <w:t>1</w:t>
      </w:r>
      <w:r w:rsidRPr="00791686">
        <w:rPr>
          <w:rFonts w:cs="Times New Roman"/>
          <w:sz w:val="20"/>
          <w:szCs w:val="20"/>
        </w:rPr>
        <w:t xml:space="preserve"> </w:t>
      </w:r>
    </w:p>
    <w:p w:rsidR="001423B0" w:rsidRDefault="001423B0" w:rsidP="001423B0">
      <w:pPr>
        <w:pStyle w:val="x02-body-copy"/>
        <w:rPr>
          <w:rFonts w:cs="Times New Roman"/>
        </w:rPr>
      </w:pPr>
      <w:r w:rsidRPr="00791686">
        <w:rPr>
          <w:rFonts w:cs="Times New Roman"/>
          <w:sz w:val="20"/>
          <w:szCs w:val="20"/>
        </w:rPr>
        <w:t>Contraindications for angiography may include advanced care directives, being on a palliative care pathway, and clinical judgement, subject to discussion with patients, family and carers</w:t>
      </w:r>
      <w:r>
        <w:rPr>
          <w:rFonts w:cs="Times New Roman"/>
        </w:rPr>
        <w:t>.</w:t>
      </w:r>
    </w:p>
    <w:p w:rsidR="001423B0" w:rsidRDefault="001423B0" w:rsidP="001423B0">
      <w:pPr>
        <w:pStyle w:val="x01-heading-level-3"/>
        <w:rPr>
          <w:rFonts w:cs="Times New Roman"/>
        </w:rPr>
      </w:pPr>
      <w:r>
        <w:rPr>
          <w:rFonts w:cs="Times New Roman"/>
        </w:rPr>
        <w:t>References</w:t>
      </w:r>
    </w:p>
    <w:p w:rsidR="001423B0" w:rsidRDefault="001423B0" w:rsidP="001423B0">
      <w:pPr>
        <w:pStyle w:val="x04-footnotes"/>
        <w:ind w:left="142" w:hanging="142"/>
        <w:rPr>
          <w:rFonts w:cs="Times New Roman"/>
        </w:rPr>
      </w:pPr>
      <w:r>
        <w:rPr>
          <w:rFonts w:cs="Times New Roman"/>
        </w:rPr>
        <w:t>1. Acute Coronary Syndrome Guidelines Working Group. Guidelines for the management of acute coronary syndromes 2006. Medical Journal of Australia. 2006;184(8):S1–S30.</w:t>
      </w:r>
    </w:p>
    <w:p w:rsidR="001423B0" w:rsidRDefault="001423B0" w:rsidP="001423B0">
      <w:pPr>
        <w:pStyle w:val="x04-footnotes"/>
        <w:ind w:left="142" w:hanging="142"/>
        <w:rPr>
          <w:rFonts w:cs="Times New Roman"/>
        </w:rPr>
      </w:pPr>
      <w:r>
        <w:rPr>
          <w:rFonts w:cs="Times New Roman"/>
        </w:rPr>
        <w:t>2. Australian Health Ministers’ Advisory Council. Better cardiac care for Aboriginal and Torres Strait Islander people: post-forum report. Sydney: AHMAC, May 2014.</w:t>
      </w:r>
    </w:p>
    <w:p w:rsidR="001423B0" w:rsidRDefault="001423B0" w:rsidP="001423B0">
      <w:pPr>
        <w:pStyle w:val="x04-footnotes"/>
        <w:ind w:left="142" w:hanging="142"/>
        <w:rPr>
          <w:rFonts w:cs="Times New Roman"/>
        </w:rPr>
      </w:pPr>
      <w:r>
        <w:rPr>
          <w:rFonts w:cs="Times New Roman"/>
        </w:rPr>
        <w:t xml:space="preserve">3. Australian Commission on Safety and Quality in Health Care. Australian Safety and Quality Framework for Health Care. Sydney: ACSQHC, 2010. [cited May 2014]; Available from </w:t>
      </w:r>
      <w:r>
        <w:rPr>
          <w:rStyle w:val="x03-web-hyperlink"/>
          <w:rFonts w:cs="Times New Roman"/>
        </w:rPr>
        <w:t>www.safetyandquality.gov.au/wp-content/uploads/2012/04/Australian-SandQ-Framework1.pdf</w:t>
      </w:r>
      <w:r>
        <w:rPr>
          <w:rFonts w:cs="Times New Roman"/>
        </w:rPr>
        <w:t>.</w:t>
      </w:r>
    </w:p>
    <w:p w:rsidR="001423B0" w:rsidRDefault="001423B0" w:rsidP="001423B0">
      <w:pPr>
        <w:pStyle w:val="x04-footnotes"/>
        <w:rPr>
          <w:rFonts w:cs="Times New Roman"/>
        </w:rPr>
      </w:pPr>
    </w:p>
    <w:p w:rsidR="001423B0" w:rsidRDefault="001423B0" w:rsidP="001423B0">
      <w:pPr>
        <w:pStyle w:val="x04-footnotes"/>
        <w:rPr>
          <w:rFonts w:cs="Times New Roman"/>
        </w:rPr>
      </w:pPr>
      <w:r w:rsidRPr="00E951BA">
        <w:rPr>
          <w:b/>
          <w:noProof/>
          <w:sz w:val="20"/>
          <w:szCs w:val="20"/>
          <w:lang w:eastAsia="en-AU"/>
        </w:rPr>
        <w:drawing>
          <wp:anchor distT="0" distB="0" distL="114300" distR="114300" simplePos="0" relativeHeight="251669504" behindDoc="0" locked="0" layoutInCell="1" allowOverlap="1" wp14:anchorId="2F61C650" wp14:editId="5501B5D7">
            <wp:simplePos x="0" y="0"/>
            <wp:positionH relativeFrom="column">
              <wp:posOffset>19050</wp:posOffset>
            </wp:positionH>
            <wp:positionV relativeFrom="paragraph">
              <wp:posOffset>60325</wp:posOffset>
            </wp:positionV>
            <wp:extent cx="3200400" cy="3200400"/>
            <wp:effectExtent l="0" t="0" r="0" b="0"/>
            <wp:wrapNone/>
            <wp:docPr id="13" name="Picture 13" descr="Logo - people meeting" title="Quality statement 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ultation.png"/>
                    <pic:cNvPicPr/>
                  </pic:nvPicPr>
                  <pic:blipFill>
                    <a:blip r:embed="rId18">
                      <a:alphaModFix amt="26000"/>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anchor>
        </w:drawing>
      </w: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p>
    <w:p w:rsidR="001423B0" w:rsidRDefault="001423B0" w:rsidP="001423B0">
      <w:pPr>
        <w:pStyle w:val="x04-footnotes"/>
        <w:rPr>
          <w:rFonts w:cs="Times New Roman"/>
        </w:rPr>
      </w:pPr>
      <w:r>
        <w:rPr>
          <w:rFonts w:cs="Times New Roman"/>
        </w:rPr>
        <w:t>a ICD-10-AM (</w:t>
      </w:r>
      <w:r w:rsidR="00751C89">
        <w:rPr>
          <w:rFonts w:cs="Times New Roman"/>
        </w:rPr>
        <w:t>9</w:t>
      </w:r>
      <w:r>
        <w:rPr>
          <w:rFonts w:cs="Times New Roman"/>
        </w:rPr>
        <w:t>th edition).</w:t>
      </w:r>
    </w:p>
    <w:p w:rsidR="001423B0" w:rsidRPr="00AE1791" w:rsidRDefault="001423B0" w:rsidP="001423B0">
      <w:pPr>
        <w:pStyle w:val="x04-footnotes"/>
        <w:rPr>
          <w:rFonts w:cs="Times New Roman"/>
        </w:rPr>
      </w:pPr>
      <w:r>
        <w:rPr>
          <w:rFonts w:cs="Times New Roman"/>
        </w:rPr>
        <w:t xml:space="preserve">b </w:t>
      </w:r>
      <w:proofErr w:type="spellStart"/>
      <w:r>
        <w:rPr>
          <w:rFonts w:cs="Times New Roman"/>
        </w:rPr>
        <w:t>METeOR</w:t>
      </w:r>
      <w:proofErr w:type="spellEnd"/>
      <w:r>
        <w:rPr>
          <w:rFonts w:cs="Times New Roman"/>
        </w:rPr>
        <w:t xml:space="preserve"> identifier: 491557.</w:t>
      </w:r>
      <w:r>
        <w:rPr>
          <w:rFonts w:cs="Times New Roman"/>
        </w:rPr>
        <w:br w:type="page"/>
      </w:r>
    </w:p>
    <w:p w:rsidR="001423B0" w:rsidRDefault="001423B0" w:rsidP="001423B0">
      <w:pPr>
        <w:pStyle w:val="x01-heading-level-1"/>
        <w:rPr>
          <w:rFonts w:cs="Times New Roman"/>
        </w:rPr>
      </w:pPr>
      <w:bookmarkStart w:id="19" w:name="_Toc278988971"/>
      <w:r>
        <w:rPr>
          <w:rFonts w:cs="Times New Roman"/>
        </w:rPr>
        <w:lastRenderedPageBreak/>
        <w:t>Quality statement 6 – Individualised care plan</w:t>
      </w:r>
      <w:bookmarkEnd w:id="19"/>
    </w:p>
    <w:p w:rsidR="001423B0" w:rsidRDefault="001423B0" w:rsidP="001423B0">
      <w:pPr>
        <w:pStyle w:val="x02-intro"/>
        <w:rPr>
          <w:rFonts w:cs="Times New Roman"/>
        </w:rPr>
      </w:pPr>
      <w:r>
        <w:rPr>
          <w:rFonts w:cs="Times New Roman"/>
        </w:rPr>
        <w:t xml:space="preserve">Before a patient with an acute coronary syndrome leaves the hospital, they are involved in the development of an individualised care plan. This plan identifies the lifestyle modifications and medicines needed to manage their risk factors, addresses their psychosocial needs and includes a referral to an appropriate cardiac rehabilitation or another secondary prevention program. This plan is provided to the patient and their general practitioner or ongoing clinical provider within 48 hours of discharge. </w:t>
      </w:r>
    </w:p>
    <w:p w:rsidR="001423B0" w:rsidRDefault="001423B0" w:rsidP="001423B0">
      <w:pPr>
        <w:pStyle w:val="heading-level-3-aqua"/>
        <w:rPr>
          <w:rFonts w:cs="Times New Roman"/>
        </w:rPr>
      </w:pPr>
      <w:bookmarkStart w:id="20" w:name="_Toc278988972"/>
      <w:r>
        <w:rPr>
          <w:rFonts w:cs="Times New Roman"/>
        </w:rPr>
        <w:t>Indicator 6a: ACS patients with an individualised care plan</w:t>
      </w:r>
      <w:bookmarkEnd w:id="20"/>
    </w:p>
    <w:p w:rsidR="001423B0" w:rsidRDefault="001423B0" w:rsidP="001423B0">
      <w:pPr>
        <w:pStyle w:val="x01-heading-level-3"/>
        <w:rPr>
          <w:rFonts w:cs="Times New Roman"/>
        </w:rPr>
      </w:pPr>
      <w:r>
        <w:rPr>
          <w:rFonts w:cs="Times New Roman"/>
        </w:rPr>
        <w:t>Definitional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Name:</w:t>
      </w:r>
      <w:r w:rsidRPr="00AE1791">
        <w:rPr>
          <w:rFonts w:cs="Times New Roman"/>
          <w:sz w:val="20"/>
          <w:szCs w:val="20"/>
        </w:rPr>
        <w:t xml:space="preserve"> Proportion of ACS patients provided with a written, individualised care plan (addressing factors such as gradual physical </w:t>
      </w:r>
      <w:proofErr w:type="spellStart"/>
      <w:r w:rsidRPr="00AE1791">
        <w:rPr>
          <w:rFonts w:cs="Times New Roman"/>
          <w:sz w:val="20"/>
          <w:szCs w:val="20"/>
        </w:rPr>
        <w:t>activity,</w:t>
      </w:r>
      <w:r w:rsidRPr="00AE1791">
        <w:rPr>
          <w:rStyle w:val="x02-body-superscript"/>
          <w:rFonts w:cs="Times New Roman"/>
          <w:sz w:val="20"/>
          <w:szCs w:val="20"/>
        </w:rPr>
        <w:t>a</w:t>
      </w:r>
      <w:proofErr w:type="spellEnd"/>
      <w:r w:rsidRPr="00AE1791">
        <w:rPr>
          <w:rFonts w:cs="Times New Roman"/>
          <w:sz w:val="20"/>
          <w:szCs w:val="20"/>
        </w:rPr>
        <w:t xml:space="preserve"> smoking cessation and therapies addressing psychosocial needs).</w:t>
      </w:r>
    </w:p>
    <w:p w:rsidR="001423B0" w:rsidRPr="00AE1791" w:rsidRDefault="001423B0" w:rsidP="001423B0">
      <w:pPr>
        <w:pStyle w:val="x02-body-copy-before-bullet"/>
        <w:rPr>
          <w:rFonts w:cs="Times New Roman"/>
          <w:sz w:val="20"/>
          <w:szCs w:val="20"/>
        </w:rPr>
      </w:pPr>
      <w:r w:rsidRPr="00AE1791">
        <w:rPr>
          <w:rStyle w:val="x02-body-medium"/>
          <w:rFonts w:cs="Times New Roman"/>
          <w:sz w:val="20"/>
          <w:szCs w:val="20"/>
        </w:rPr>
        <w:t>Rationale:</w:t>
      </w:r>
      <w:r w:rsidRPr="00AE1791">
        <w:rPr>
          <w:rFonts w:cs="Times New Roman"/>
          <w:sz w:val="20"/>
          <w:szCs w:val="20"/>
        </w:rPr>
        <w:t xml:space="preserve"> ACS patients can successfully contribute to managing their own condition. As such, all patients should be provided with a written care plan for chest pain which includes quitting smoking, good nutrition, moderating alcohol intake, regular physical activity and weight management, as appropriate.</w:t>
      </w:r>
    </w:p>
    <w:p w:rsidR="001423B0" w:rsidRPr="00AE1791" w:rsidRDefault="001423B0" w:rsidP="001423B0">
      <w:pPr>
        <w:pStyle w:val="x02-body-copy-before-bullet"/>
        <w:rPr>
          <w:rFonts w:cs="Times New Roman"/>
          <w:sz w:val="20"/>
          <w:szCs w:val="20"/>
        </w:rPr>
      </w:pPr>
      <w:r w:rsidRPr="00AE1791">
        <w:rPr>
          <w:rFonts w:cs="Times New Roman"/>
          <w:sz w:val="20"/>
          <w:szCs w:val="20"/>
        </w:rPr>
        <w:t>Additionally the care plan should include:</w:t>
      </w:r>
    </w:p>
    <w:p w:rsidR="001423B0" w:rsidRPr="00AE1791" w:rsidRDefault="001423B0" w:rsidP="001423B0">
      <w:pPr>
        <w:pStyle w:val="02Bulletslevel1"/>
        <w:rPr>
          <w:sz w:val="20"/>
          <w:szCs w:val="20"/>
        </w:rPr>
      </w:pPr>
      <w:r w:rsidRPr="00AE1791">
        <w:rPr>
          <w:sz w:val="20"/>
          <w:szCs w:val="20"/>
        </w:rPr>
        <w:t>rest and self-administration of short-acting nitrates</w:t>
      </w:r>
    </w:p>
    <w:p w:rsidR="001423B0" w:rsidRPr="00AE1791" w:rsidRDefault="001423B0" w:rsidP="001423B0">
      <w:pPr>
        <w:pStyle w:val="02Bulletslevel1"/>
        <w:rPr>
          <w:sz w:val="20"/>
          <w:szCs w:val="20"/>
        </w:rPr>
      </w:pPr>
      <w:r w:rsidRPr="00AE1791">
        <w:rPr>
          <w:sz w:val="20"/>
          <w:szCs w:val="20"/>
        </w:rPr>
        <w:t>self-administration of aspirin unless contraindicated (most patients should already be taking aspirin)</w:t>
      </w:r>
    </w:p>
    <w:p w:rsidR="001423B0" w:rsidRPr="00AE1791" w:rsidRDefault="001423B0" w:rsidP="001423B0">
      <w:pPr>
        <w:pStyle w:val="02Bulletslevel1"/>
        <w:rPr>
          <w:sz w:val="20"/>
          <w:szCs w:val="20"/>
        </w:rPr>
      </w:pPr>
      <w:r w:rsidRPr="00AE1791">
        <w:rPr>
          <w:sz w:val="20"/>
          <w:szCs w:val="20"/>
        </w:rPr>
        <w:t xml:space="preserve">calling an ambulance (e.g. dialling 000) if chest pain or discomfort is not completely relieved within 10 minutes </w:t>
      </w:r>
    </w:p>
    <w:p w:rsidR="001423B0" w:rsidRPr="00AE1791" w:rsidRDefault="001423B0" w:rsidP="001423B0">
      <w:pPr>
        <w:pStyle w:val="02Bulletslevel1"/>
        <w:rPr>
          <w:sz w:val="20"/>
          <w:szCs w:val="20"/>
        </w:rPr>
      </w:pPr>
      <w:r w:rsidRPr="00AE1791">
        <w:rPr>
          <w:sz w:val="20"/>
          <w:szCs w:val="20"/>
        </w:rPr>
        <w:t>individualised clinician notification and care plan for those living in areas where an ambulance is not readily available.</w:t>
      </w:r>
      <w:r w:rsidRPr="00AE1791">
        <w:rPr>
          <w:rStyle w:val="x02-body-superscript"/>
          <w:sz w:val="20"/>
          <w:szCs w:val="20"/>
        </w:rPr>
        <w:t>1</w:t>
      </w:r>
      <w:r w:rsidRPr="00AE1791">
        <w:rPr>
          <w:sz w:val="20"/>
          <w:szCs w:val="20"/>
        </w:rPr>
        <w:t xml:space="preserve"> </w:t>
      </w:r>
    </w:p>
    <w:p w:rsidR="001423B0" w:rsidRDefault="001423B0" w:rsidP="001423B0">
      <w:pPr>
        <w:pStyle w:val="x01-heading-level-3"/>
        <w:rPr>
          <w:rFonts w:cs="Times New Roman"/>
        </w:rPr>
      </w:pPr>
      <w:r>
        <w:rPr>
          <w:rFonts w:cs="Times New Roman"/>
        </w:rPr>
        <w:t>Collection and usage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Computation:</w:t>
      </w:r>
      <w:r w:rsidRPr="00AE1791">
        <w:rPr>
          <w:rFonts w:cs="Times New Roman"/>
          <w:sz w:val="20"/>
          <w:szCs w:val="20"/>
        </w:rPr>
        <w:t xml:space="preserve"> </w:t>
      </w:r>
      <w:r w:rsidRPr="00AE1791">
        <w:rPr>
          <w:rStyle w:val="x02-body-italic"/>
          <w:rFonts w:cs="Times New Roman"/>
          <w:sz w:val="20"/>
          <w:szCs w:val="20"/>
        </w:rPr>
        <w:t>(Numerator ÷ denominator) x 100</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Numerator:</w:t>
      </w:r>
      <w:r w:rsidRPr="00AE1791">
        <w:rPr>
          <w:rFonts w:cs="Times New Roman"/>
          <w:sz w:val="20"/>
          <w:szCs w:val="20"/>
        </w:rPr>
        <w:t xml:space="preserve"> Total number of ACS patients provided with a written, individualised care plan (addressing factors such as gradual physical </w:t>
      </w:r>
      <w:proofErr w:type="spellStart"/>
      <w:r w:rsidRPr="00AE1791">
        <w:rPr>
          <w:rFonts w:cs="Times New Roman"/>
          <w:sz w:val="20"/>
          <w:szCs w:val="20"/>
        </w:rPr>
        <w:t>activity</w:t>
      </w:r>
      <w:r w:rsidRPr="00AE1791">
        <w:rPr>
          <w:rStyle w:val="x02-body-superscript"/>
          <w:rFonts w:cs="Times New Roman"/>
          <w:sz w:val="20"/>
          <w:szCs w:val="20"/>
        </w:rPr>
        <w:t>a</w:t>
      </w:r>
      <w:proofErr w:type="spellEnd"/>
      <w:r w:rsidRPr="00AE1791">
        <w:rPr>
          <w:rFonts w:cs="Times New Roman"/>
          <w:sz w:val="20"/>
          <w:szCs w:val="20"/>
        </w:rPr>
        <w:t>, smoking cessation and therapies addressing psychosocial needs).</w:t>
      </w:r>
    </w:p>
    <w:p w:rsidR="001423B0" w:rsidRPr="00AE1791" w:rsidRDefault="001423B0" w:rsidP="001423B0">
      <w:pPr>
        <w:pStyle w:val="x02-body-copy-before-bullet"/>
        <w:rPr>
          <w:rStyle w:val="x02-body-italic-underline"/>
          <w:sz w:val="20"/>
          <w:szCs w:val="20"/>
        </w:rPr>
      </w:pPr>
      <w:r w:rsidRPr="00AE1791">
        <w:rPr>
          <w:rStyle w:val="x02-body-medium"/>
          <w:rFonts w:cs="Times New Roman"/>
          <w:sz w:val="20"/>
          <w:szCs w:val="20"/>
        </w:rPr>
        <w:t>Numerator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AE1791" w:rsidRDefault="001423B0" w:rsidP="001423B0">
      <w:pPr>
        <w:pStyle w:val="x02-body-copy-before-bullet"/>
        <w:rPr>
          <w:rFonts w:cs="Times New Roman"/>
          <w:b/>
          <w:sz w:val="20"/>
          <w:szCs w:val="20"/>
        </w:rPr>
      </w:pPr>
      <w:r w:rsidRPr="00AE1791">
        <w:rPr>
          <w:rFonts w:cs="Times New Roman"/>
          <w:sz w:val="20"/>
          <w:szCs w:val="20"/>
        </w:rPr>
        <w:t>Patients with a final diagnosis of UA (</w:t>
      </w:r>
      <w:r w:rsidR="002918FB">
        <w:rPr>
          <w:rFonts w:cs="Times New Roman"/>
          <w:sz w:val="20"/>
          <w:szCs w:val="20"/>
        </w:rPr>
        <w:t>I</w:t>
      </w:r>
      <w:r w:rsidRPr="00AE1791">
        <w:rPr>
          <w:rFonts w:cs="Times New Roman"/>
          <w:sz w:val="20"/>
          <w:szCs w:val="20"/>
        </w:rPr>
        <w:t>20.x) o</w:t>
      </w:r>
      <w:r w:rsidR="009960AB">
        <w:rPr>
          <w:rFonts w:cs="Times New Roman"/>
          <w:sz w:val="20"/>
          <w:szCs w:val="20"/>
        </w:rPr>
        <w:t>r acute myocardial infarction (I</w:t>
      </w:r>
      <w:r w:rsidRPr="00AE1791">
        <w:rPr>
          <w:rFonts w:cs="Times New Roman"/>
          <w:sz w:val="20"/>
          <w:szCs w:val="20"/>
        </w:rPr>
        <w:t>21.x).</w:t>
      </w:r>
      <w:r w:rsidRPr="00AE1791">
        <w:rPr>
          <w:rStyle w:val="x02-body-superscript"/>
          <w:rFonts w:cs="Times New Roman"/>
          <w:sz w:val="20"/>
          <w:szCs w:val="20"/>
        </w:rPr>
        <w:t>b</w:t>
      </w:r>
    </w:p>
    <w:p w:rsidR="001423B0" w:rsidRPr="00AE1791" w:rsidRDefault="001423B0" w:rsidP="001423B0">
      <w:pPr>
        <w:pStyle w:val="x02-body-copy-before-bullet"/>
        <w:rPr>
          <w:rFonts w:cs="Times New Roman"/>
          <w:sz w:val="20"/>
          <w:szCs w:val="20"/>
        </w:rPr>
      </w:pPr>
      <w:r w:rsidRPr="00AE1791">
        <w:rPr>
          <w:rFonts w:cs="Times New Roman"/>
          <w:sz w:val="20"/>
          <w:szCs w:val="20"/>
        </w:rPr>
        <w:t>Care type = ‘1’ (acute care).</w:t>
      </w:r>
      <w:r w:rsidRPr="00AE1791">
        <w:rPr>
          <w:rStyle w:val="x02-body-superscript"/>
          <w:rFonts w:cs="Times New Roman"/>
          <w:sz w:val="20"/>
          <w:szCs w:val="20"/>
        </w:rPr>
        <w:t>c</w:t>
      </w:r>
    </w:p>
    <w:p w:rsidR="001423B0" w:rsidRDefault="001423B0" w:rsidP="001423B0">
      <w:pPr>
        <w:pStyle w:val="x04-footnotes"/>
        <w:tabs>
          <w:tab w:val="left" w:pos="284"/>
        </w:tabs>
        <w:rPr>
          <w:rStyle w:val="x02-body-italic-underline"/>
          <w:rFonts w:cs="Times New Roman"/>
        </w:rPr>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roofErr w:type="spellStart"/>
      <w:r>
        <w:t>a</w:t>
      </w:r>
      <w:proofErr w:type="spellEnd"/>
      <w:r>
        <w:tab/>
        <w:t>Except for patients who are very debilitated.</w:t>
      </w:r>
    </w:p>
    <w:p w:rsidR="001423B0" w:rsidRDefault="001423B0" w:rsidP="001423B0">
      <w:pPr>
        <w:pStyle w:val="04Footnotes"/>
      </w:pPr>
      <w:r w:rsidRPr="00AE11C4">
        <w:t>b</w:t>
      </w:r>
      <w:r w:rsidRPr="00AE11C4">
        <w:tab/>
        <w:t>ICD-10-AM (</w:t>
      </w:r>
      <w:r w:rsidR="00751C89" w:rsidRPr="008D7C96">
        <w:rPr>
          <w:color w:val="auto"/>
        </w:rPr>
        <w:t>9</w:t>
      </w:r>
      <w:r w:rsidRPr="008D7C96">
        <w:rPr>
          <w:color w:val="auto"/>
        </w:rPr>
        <w:t>t</w:t>
      </w:r>
      <w:r w:rsidRPr="00AE11C4">
        <w:t>h edition).</w:t>
      </w:r>
    </w:p>
    <w:p w:rsidR="001423B0" w:rsidRPr="00AE11C4" w:rsidRDefault="001423B0" w:rsidP="001423B0">
      <w:pPr>
        <w:pStyle w:val="04Footnotes"/>
      </w:pPr>
      <w:r w:rsidRPr="00AE11C4">
        <w:t>c</w:t>
      </w:r>
      <w:r w:rsidRPr="00AE11C4">
        <w:tab/>
      </w:r>
      <w:proofErr w:type="spellStart"/>
      <w:r w:rsidRPr="00AE11C4">
        <w:t>METeOR</w:t>
      </w:r>
      <w:proofErr w:type="spellEnd"/>
      <w:r w:rsidRPr="00AE11C4">
        <w:t xml:space="preserve"> identifier: 491557.</w:t>
      </w:r>
    </w:p>
    <w:p w:rsidR="001423B0" w:rsidRDefault="001423B0" w:rsidP="001423B0">
      <w:pPr>
        <w:pStyle w:val="x04-footnotes"/>
        <w:tabs>
          <w:tab w:val="left" w:pos="284"/>
        </w:tabs>
        <w:rPr>
          <w:rStyle w:val="x02-body-italic-underline"/>
          <w:rFonts w:cs="HelveticaNeue-Light"/>
          <w:color w:val="000000"/>
          <w:spacing w:val="2"/>
          <w:szCs w:val="16"/>
          <w:lang w:val="en-GB"/>
        </w:rPr>
      </w:pPr>
      <w:r>
        <w:rPr>
          <w:rStyle w:val="x02-body-italic-underline"/>
          <w:rFonts w:cs="Times New Roman"/>
        </w:rPr>
        <w:br w:type="page"/>
      </w:r>
    </w:p>
    <w:p w:rsidR="001423B0" w:rsidRPr="00AE1791" w:rsidRDefault="001423B0" w:rsidP="001423B0">
      <w:pPr>
        <w:pStyle w:val="x02-body-copy"/>
        <w:rPr>
          <w:rStyle w:val="x02-body-italic-underline"/>
          <w:sz w:val="20"/>
          <w:szCs w:val="20"/>
        </w:rPr>
      </w:pPr>
      <w:r w:rsidRPr="00AE1791">
        <w:rPr>
          <w:rStyle w:val="x02-body-italic-underline"/>
          <w:rFonts w:cs="Times New Roman"/>
          <w:sz w:val="20"/>
          <w:szCs w:val="20"/>
        </w:rPr>
        <w:lastRenderedPageBreak/>
        <w:t>Exclusions</w:t>
      </w:r>
    </w:p>
    <w:p w:rsidR="001423B0" w:rsidRPr="00AE1791" w:rsidRDefault="001423B0" w:rsidP="001423B0">
      <w:pPr>
        <w:pStyle w:val="x02-body-copy"/>
        <w:rPr>
          <w:rFonts w:cs="Times New Roman"/>
          <w:sz w:val="20"/>
          <w:szCs w:val="20"/>
        </w:rPr>
      </w:pPr>
      <w:r w:rsidRPr="00AE1791">
        <w:rPr>
          <w:rFonts w:cs="Times New Roman"/>
          <w:sz w:val="20"/>
          <w:szCs w:val="20"/>
        </w:rPr>
        <w:t>Discharge on palliative care pathway, or where adherence to a secondary prevention plan is not indicated.</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Denominator:</w:t>
      </w:r>
      <w:r w:rsidRPr="00AE1791">
        <w:rPr>
          <w:rFonts w:cs="Times New Roman"/>
          <w:sz w:val="20"/>
          <w:szCs w:val="20"/>
        </w:rPr>
        <w:t xml:space="preserve"> Total number of ACS patients discharged from hospital.</w:t>
      </w:r>
    </w:p>
    <w:p w:rsidR="001423B0" w:rsidRPr="00AE1791" w:rsidRDefault="001423B0" w:rsidP="001423B0">
      <w:pPr>
        <w:pStyle w:val="x02-body-copy-before-bullet"/>
        <w:rPr>
          <w:rStyle w:val="x02-body-italic-underline"/>
          <w:sz w:val="20"/>
          <w:szCs w:val="20"/>
        </w:rPr>
      </w:pPr>
      <w:r w:rsidRPr="00AE1791">
        <w:rPr>
          <w:rStyle w:val="x02-body-medium"/>
          <w:rFonts w:cs="Times New Roman"/>
          <w:sz w:val="20"/>
          <w:szCs w:val="20"/>
        </w:rPr>
        <w:t>Denominator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8D7C96" w:rsidRDefault="001423B0" w:rsidP="001423B0">
      <w:pPr>
        <w:pStyle w:val="x02-body-copy-before-bullet"/>
        <w:rPr>
          <w:rFonts w:cs="Times New Roman"/>
          <w:sz w:val="20"/>
          <w:szCs w:val="20"/>
        </w:rPr>
      </w:pPr>
      <w:r w:rsidRPr="00AE1791">
        <w:rPr>
          <w:rFonts w:cs="Times New Roman"/>
          <w:sz w:val="20"/>
          <w:szCs w:val="20"/>
        </w:rPr>
        <w:t>Patients</w:t>
      </w:r>
      <w:r w:rsidR="009C70F4">
        <w:rPr>
          <w:rFonts w:cs="Times New Roman"/>
          <w:sz w:val="20"/>
          <w:szCs w:val="20"/>
        </w:rPr>
        <w:t xml:space="preserve"> with a final diagnosis of UA (I</w:t>
      </w:r>
      <w:r w:rsidRPr="00AE1791">
        <w:rPr>
          <w:rFonts w:cs="Times New Roman"/>
          <w:sz w:val="20"/>
          <w:szCs w:val="20"/>
        </w:rPr>
        <w:t>20.x) o</w:t>
      </w:r>
      <w:r w:rsidR="009C70F4">
        <w:rPr>
          <w:rFonts w:cs="Times New Roman"/>
          <w:sz w:val="20"/>
          <w:szCs w:val="20"/>
        </w:rPr>
        <w:t>r acute myocardial infarction (I</w:t>
      </w:r>
      <w:r w:rsidRPr="00AE1791">
        <w:rPr>
          <w:rFonts w:cs="Times New Roman"/>
          <w:sz w:val="20"/>
          <w:szCs w:val="20"/>
        </w:rPr>
        <w:t>21.x).</w:t>
      </w:r>
      <w:r w:rsidR="00937788" w:rsidRPr="008D7C96">
        <w:rPr>
          <w:rFonts w:cs="Times New Roman"/>
          <w:sz w:val="20"/>
          <w:szCs w:val="20"/>
          <w:vertAlign w:val="superscript"/>
        </w:rPr>
        <w:t>a</w:t>
      </w:r>
    </w:p>
    <w:p w:rsidR="001423B0" w:rsidRPr="008D7C96" w:rsidRDefault="001423B0" w:rsidP="001423B0">
      <w:pPr>
        <w:pStyle w:val="x02-body-copy-before-bullet"/>
        <w:rPr>
          <w:rFonts w:cs="Times New Roman"/>
          <w:sz w:val="20"/>
          <w:szCs w:val="20"/>
        </w:rPr>
      </w:pPr>
      <w:r w:rsidRPr="00AE1791">
        <w:rPr>
          <w:rFonts w:cs="Times New Roman"/>
          <w:sz w:val="20"/>
          <w:szCs w:val="20"/>
        </w:rPr>
        <w:t>Care type = ‘1’ (acute care</w:t>
      </w:r>
      <w:r w:rsidRPr="008D7C96">
        <w:rPr>
          <w:rFonts w:cs="Times New Roman"/>
          <w:sz w:val="20"/>
          <w:szCs w:val="20"/>
        </w:rPr>
        <w:t>).</w:t>
      </w:r>
      <w:r w:rsidR="00937788" w:rsidRPr="008D7C96">
        <w:rPr>
          <w:rStyle w:val="x02-body-superscript"/>
          <w:rFonts w:cs="Times New Roman"/>
          <w:sz w:val="20"/>
          <w:szCs w:val="20"/>
        </w:rPr>
        <w:t>b</w:t>
      </w:r>
    </w:p>
    <w:p w:rsidR="001423B0" w:rsidRPr="00AE1791" w:rsidRDefault="001423B0" w:rsidP="001423B0">
      <w:pPr>
        <w:pStyle w:val="x02-body-copy"/>
        <w:rPr>
          <w:rStyle w:val="x02-body-italic-underline"/>
          <w:sz w:val="20"/>
          <w:szCs w:val="20"/>
        </w:rPr>
      </w:pPr>
      <w:r w:rsidRPr="00AE1791">
        <w:rPr>
          <w:rStyle w:val="x02-body-italic-underline"/>
          <w:rFonts w:cs="Times New Roman"/>
          <w:sz w:val="20"/>
          <w:szCs w:val="20"/>
        </w:rPr>
        <w:t>Exclusions</w:t>
      </w:r>
    </w:p>
    <w:p w:rsidR="001423B0" w:rsidRPr="00AE1791" w:rsidRDefault="001423B0" w:rsidP="001423B0">
      <w:pPr>
        <w:pStyle w:val="x02-body-copy"/>
        <w:rPr>
          <w:rFonts w:cs="Times New Roman"/>
          <w:sz w:val="20"/>
          <w:szCs w:val="20"/>
        </w:rPr>
      </w:pPr>
      <w:r w:rsidRPr="00AE1791">
        <w:rPr>
          <w:rFonts w:cs="Times New Roman"/>
          <w:sz w:val="20"/>
          <w:szCs w:val="20"/>
        </w:rPr>
        <w:t>Discharge on palliative care pathway, or where adherence to a secondary prevention plan is not indicated.</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Setting:</w:t>
      </w:r>
      <w:r w:rsidRPr="00AE1791">
        <w:rPr>
          <w:rFonts w:cs="Times New Roman"/>
          <w:sz w:val="20"/>
          <w:szCs w:val="20"/>
        </w:rPr>
        <w:t xml:space="preserve"> Acute/hospital.</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Comments:</w:t>
      </w:r>
      <w:r w:rsidRPr="00AE1791">
        <w:rPr>
          <w:rFonts w:cs="Times New Roman"/>
          <w:sz w:val="20"/>
          <w:szCs w:val="20"/>
        </w:rPr>
        <w:t xml:space="preserve"> Resources provided to patients who do not speak English may require translation into other languages.</w:t>
      </w:r>
    </w:p>
    <w:p w:rsidR="001423B0" w:rsidRDefault="001423B0" w:rsidP="001423B0">
      <w:pPr>
        <w:pStyle w:val="x01-heading-level-3"/>
        <w:rPr>
          <w:rFonts w:cs="Times New Roman"/>
        </w:rPr>
      </w:pPr>
      <w:r>
        <w:rPr>
          <w:rFonts w:cs="Times New Roman"/>
        </w:rPr>
        <w:t>Reference</w:t>
      </w:r>
    </w:p>
    <w:p w:rsidR="001423B0" w:rsidRDefault="001423B0" w:rsidP="001423B0">
      <w:pPr>
        <w:pStyle w:val="x04-footnotes"/>
        <w:ind w:left="142" w:hanging="142"/>
        <w:rPr>
          <w:rFonts w:cs="Times New Roman"/>
        </w:rPr>
      </w:pPr>
      <w:r>
        <w:rPr>
          <w:rFonts w:cs="Times New Roman"/>
        </w:rPr>
        <w:t>1. Acute Coronary Syndrome Guidelines Working Group. Guidelines for the management of acute coronary syndromes 2006. Medical Journal of Australia. 2006;184(8):S1–S30.</w:t>
      </w: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r w:rsidRPr="00E951BA">
        <w:rPr>
          <w:b/>
          <w:noProof/>
          <w:sz w:val="20"/>
          <w:szCs w:val="20"/>
          <w:lang w:val="en-AU" w:eastAsia="en-AU"/>
        </w:rPr>
        <w:drawing>
          <wp:anchor distT="0" distB="0" distL="114300" distR="114300" simplePos="0" relativeHeight="251670528" behindDoc="0" locked="0" layoutInCell="1" allowOverlap="1" wp14:anchorId="3DE1719B" wp14:editId="0CD009C6">
            <wp:simplePos x="0" y="0"/>
            <wp:positionH relativeFrom="column">
              <wp:posOffset>176530</wp:posOffset>
            </wp:positionH>
            <wp:positionV relativeFrom="paragraph">
              <wp:posOffset>122555</wp:posOffset>
            </wp:positionV>
            <wp:extent cx="2604135" cy="2604135"/>
            <wp:effectExtent l="0" t="0" r="5715" b="5715"/>
            <wp:wrapNone/>
            <wp:docPr id="14" name="Picture 14" descr="Logo - care plan " title="Quality statement 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s.png"/>
                    <pic:cNvPicPr/>
                  </pic:nvPicPr>
                  <pic:blipFill>
                    <a:blip r:embed="rId19">
                      <a:alphaModFix amt="30000"/>
                      <a:extLst>
                        <a:ext uri="{28A0092B-C50C-407E-A947-70E740481C1C}">
                          <a14:useLocalDpi xmlns:a14="http://schemas.microsoft.com/office/drawing/2010/main" val="0"/>
                        </a:ext>
                      </a:extLst>
                    </a:blip>
                    <a:stretch>
                      <a:fillRect/>
                    </a:stretch>
                  </pic:blipFill>
                  <pic:spPr>
                    <a:xfrm>
                      <a:off x="0" y="0"/>
                      <a:ext cx="2604135" cy="2604135"/>
                    </a:xfrm>
                    <a:prstGeom prst="rect">
                      <a:avLst/>
                    </a:prstGeom>
                  </pic:spPr>
                </pic:pic>
              </a:graphicData>
            </a:graphic>
          </wp:anchor>
        </w:drawing>
      </w: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Default="001423B0" w:rsidP="001423B0">
      <w:pPr>
        <w:pStyle w:val="04Footnotes"/>
      </w:pPr>
    </w:p>
    <w:p w:rsidR="001423B0" w:rsidRPr="008D7C96" w:rsidRDefault="00937788" w:rsidP="001423B0">
      <w:pPr>
        <w:pStyle w:val="04Footnotes"/>
        <w:rPr>
          <w:color w:val="auto"/>
        </w:rPr>
      </w:pPr>
      <w:r w:rsidRPr="008D7C96">
        <w:rPr>
          <w:color w:val="auto"/>
        </w:rPr>
        <w:t>a</w:t>
      </w:r>
      <w:r w:rsidR="001423B0" w:rsidRPr="008D7C96">
        <w:rPr>
          <w:color w:val="auto"/>
        </w:rPr>
        <w:tab/>
        <w:t>ICD-10-AM (</w:t>
      </w:r>
      <w:r w:rsidR="00751C89" w:rsidRPr="008D7C96">
        <w:rPr>
          <w:color w:val="auto"/>
        </w:rPr>
        <w:t>9</w:t>
      </w:r>
      <w:r w:rsidR="001423B0" w:rsidRPr="008D7C96">
        <w:rPr>
          <w:color w:val="auto"/>
        </w:rPr>
        <w:t>th edition).</w:t>
      </w:r>
    </w:p>
    <w:p w:rsidR="00B9183F" w:rsidRPr="00DF3986" w:rsidRDefault="00937788" w:rsidP="00B9183F">
      <w:pPr>
        <w:pStyle w:val="04Footnotes"/>
        <w:rPr>
          <w:color w:val="FF0000"/>
        </w:rPr>
      </w:pPr>
      <w:r w:rsidRPr="008D7C96">
        <w:rPr>
          <w:color w:val="auto"/>
        </w:rPr>
        <w:t>b</w:t>
      </w:r>
      <w:r w:rsidR="00B9183F" w:rsidRPr="008D7C96">
        <w:rPr>
          <w:color w:val="auto"/>
        </w:rPr>
        <w:tab/>
      </w:r>
      <w:proofErr w:type="spellStart"/>
      <w:r w:rsidR="00B9183F" w:rsidRPr="008D7C96">
        <w:rPr>
          <w:color w:val="auto"/>
        </w:rPr>
        <w:t>METeOR</w:t>
      </w:r>
      <w:proofErr w:type="spellEnd"/>
      <w:r w:rsidR="00B9183F" w:rsidRPr="008D7C96">
        <w:rPr>
          <w:color w:val="auto"/>
        </w:rPr>
        <w:t xml:space="preserve"> identifier: 491557</w:t>
      </w:r>
      <w:r w:rsidR="00B9183F" w:rsidRPr="00DF3986">
        <w:rPr>
          <w:color w:val="FF0000"/>
        </w:rPr>
        <w:t>.</w:t>
      </w:r>
    </w:p>
    <w:p w:rsidR="001423B0" w:rsidRPr="00AE1791" w:rsidRDefault="001423B0" w:rsidP="001423B0">
      <w:pPr>
        <w:rPr>
          <w:rFonts w:cs="Times New Roman"/>
          <w:b/>
          <w:bCs/>
          <w:color w:val="00988E"/>
          <w:sz w:val="28"/>
          <w:szCs w:val="28"/>
        </w:rPr>
      </w:pPr>
      <w:r>
        <w:rPr>
          <w:rFonts w:cs="Times New Roman"/>
        </w:rPr>
        <w:br w:type="page"/>
      </w:r>
      <w:bookmarkStart w:id="21" w:name="_Toc278988973"/>
      <w:r w:rsidRPr="00AE1791">
        <w:rPr>
          <w:rFonts w:cs="Times New Roman"/>
          <w:b/>
          <w:color w:val="00988E"/>
          <w:sz w:val="40"/>
          <w:szCs w:val="40"/>
        </w:rPr>
        <w:lastRenderedPageBreak/>
        <w:t xml:space="preserve">Quality statement 6 – Individualised care plan </w:t>
      </w:r>
    </w:p>
    <w:p w:rsidR="001423B0" w:rsidRDefault="001423B0" w:rsidP="001423B0">
      <w:pPr>
        <w:pStyle w:val="heading-level-3-aqua"/>
        <w:rPr>
          <w:rFonts w:cs="Times New Roman"/>
        </w:rPr>
      </w:pPr>
      <w:r>
        <w:rPr>
          <w:rFonts w:cs="Times New Roman"/>
        </w:rPr>
        <w:t>Indicator 6b: Patients discharged on aspirin or dual antiplatelet therapy</w:t>
      </w:r>
      <w:bookmarkEnd w:id="21"/>
      <w:r>
        <w:rPr>
          <w:rFonts w:cs="Times New Roman"/>
        </w:rPr>
        <w:t xml:space="preserve"> </w:t>
      </w:r>
    </w:p>
    <w:p w:rsidR="001423B0" w:rsidRDefault="001423B0" w:rsidP="001423B0">
      <w:pPr>
        <w:pStyle w:val="x01-heading-level-3"/>
        <w:rPr>
          <w:rFonts w:cs="Times New Roman"/>
        </w:rPr>
      </w:pPr>
      <w:r>
        <w:rPr>
          <w:rFonts w:cs="Times New Roman"/>
        </w:rPr>
        <w:t>Definitional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Name:</w:t>
      </w:r>
      <w:r w:rsidRPr="00AE1791">
        <w:rPr>
          <w:rFonts w:cs="Times New Roman"/>
          <w:sz w:val="20"/>
          <w:szCs w:val="20"/>
        </w:rPr>
        <w:t xml:space="preserve"> Proportion of patients with a final diagnosis of an ACS who are prescribed aspirin or dual antiplatelet therapy at hospital discharge.</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Rationale:</w:t>
      </w:r>
      <w:r w:rsidRPr="00AE1791">
        <w:rPr>
          <w:rFonts w:cs="Times New Roman"/>
          <w:sz w:val="20"/>
          <w:szCs w:val="20"/>
        </w:rPr>
        <w:t xml:space="preserve"> ACS patients on aspirin and dual antiplatelet therapies have a reduced risk of secondary cardiac events. The </w:t>
      </w:r>
      <w:r w:rsidRPr="00AE1791">
        <w:rPr>
          <w:rStyle w:val="x02-body-italic"/>
          <w:rFonts w:cs="Times New Roman"/>
          <w:sz w:val="20"/>
          <w:szCs w:val="20"/>
        </w:rPr>
        <w:t>Guidelines</w:t>
      </w:r>
      <w:r w:rsidRPr="00AE1791">
        <w:rPr>
          <w:rFonts w:cs="Times New Roman"/>
          <w:sz w:val="20"/>
          <w:szCs w:val="20"/>
        </w:rPr>
        <w:t xml:space="preserve"> recommend that, before discharge, patients with an ACS should be initiated on a medication regimen, including antiplatelet agent(s), beta-blocker, angiotensin-converting enzyme inhibitor, statin and other therapies as appropriate.</w:t>
      </w:r>
      <w:r w:rsidRPr="00AE1791">
        <w:rPr>
          <w:rStyle w:val="x02-body-superscript"/>
          <w:rFonts w:cs="Times New Roman"/>
          <w:sz w:val="20"/>
          <w:szCs w:val="20"/>
        </w:rPr>
        <w:t>1</w:t>
      </w:r>
    </w:p>
    <w:p w:rsidR="001423B0" w:rsidRDefault="001423B0" w:rsidP="001423B0">
      <w:pPr>
        <w:pStyle w:val="x01-heading-level-3"/>
        <w:rPr>
          <w:rFonts w:cs="Times New Roman"/>
        </w:rPr>
      </w:pPr>
      <w:r>
        <w:rPr>
          <w:rFonts w:cs="Times New Roman"/>
        </w:rPr>
        <w:t>Collection and usage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Computation:</w:t>
      </w:r>
      <w:r w:rsidRPr="00AE1791">
        <w:rPr>
          <w:rFonts w:cs="Times New Roman"/>
          <w:sz w:val="20"/>
          <w:szCs w:val="20"/>
        </w:rPr>
        <w:t xml:space="preserve"> </w:t>
      </w:r>
      <w:r w:rsidRPr="00AE1791">
        <w:rPr>
          <w:rStyle w:val="x02-body-italic"/>
          <w:rFonts w:cs="Times New Roman"/>
          <w:sz w:val="20"/>
          <w:szCs w:val="20"/>
        </w:rPr>
        <w:t>(Numerator ÷ denominator) x 100</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Numerator:</w:t>
      </w:r>
      <w:r w:rsidRPr="00AE1791">
        <w:rPr>
          <w:rFonts w:cs="Times New Roman"/>
          <w:sz w:val="20"/>
          <w:szCs w:val="20"/>
        </w:rPr>
        <w:t xml:space="preserve"> Total number of patients with a final diagnosis of ACS who are prescribed aspirin or other dual antiplatelet therapy at hospital discharge.</w:t>
      </w:r>
    </w:p>
    <w:p w:rsidR="001423B0" w:rsidRPr="00AE1791" w:rsidRDefault="001423B0" w:rsidP="001423B0">
      <w:pPr>
        <w:pStyle w:val="x02-body-copy-before-bullet"/>
        <w:rPr>
          <w:rStyle w:val="x02-body-italic-underline"/>
          <w:sz w:val="20"/>
          <w:szCs w:val="20"/>
        </w:rPr>
      </w:pPr>
      <w:r w:rsidRPr="00AE1791">
        <w:rPr>
          <w:rStyle w:val="x02-body-medium"/>
          <w:rFonts w:cs="Times New Roman"/>
          <w:sz w:val="20"/>
          <w:szCs w:val="20"/>
        </w:rPr>
        <w:t>Numerator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AE1791" w:rsidRDefault="001423B0" w:rsidP="001423B0">
      <w:pPr>
        <w:pStyle w:val="x02-body-copy-before-bullet"/>
        <w:rPr>
          <w:rFonts w:cs="Times New Roman"/>
          <w:sz w:val="20"/>
          <w:szCs w:val="20"/>
        </w:rPr>
      </w:pPr>
      <w:r w:rsidRPr="00AE1791">
        <w:rPr>
          <w:rFonts w:cs="Times New Roman"/>
          <w:sz w:val="20"/>
          <w:szCs w:val="20"/>
        </w:rPr>
        <w:t>Patients with a fina</w:t>
      </w:r>
      <w:r w:rsidR="00E44F80">
        <w:rPr>
          <w:rFonts w:cs="Times New Roman"/>
          <w:sz w:val="20"/>
          <w:szCs w:val="20"/>
        </w:rPr>
        <w:t>l diagnosis of UA (I</w:t>
      </w:r>
      <w:r w:rsidRPr="00AE1791">
        <w:rPr>
          <w:rFonts w:cs="Times New Roman"/>
          <w:sz w:val="20"/>
          <w:szCs w:val="20"/>
        </w:rPr>
        <w:t>20.x) o</w:t>
      </w:r>
      <w:r w:rsidR="00E44F80">
        <w:rPr>
          <w:rFonts w:cs="Times New Roman"/>
          <w:sz w:val="20"/>
          <w:szCs w:val="20"/>
        </w:rPr>
        <w:t>r acute myocardial infarction (I</w:t>
      </w:r>
      <w:r w:rsidRPr="00AE1791">
        <w:rPr>
          <w:rFonts w:cs="Times New Roman"/>
          <w:sz w:val="20"/>
          <w:szCs w:val="20"/>
        </w:rPr>
        <w:t>21.x).</w:t>
      </w:r>
      <w:r w:rsidRPr="00AE1791">
        <w:rPr>
          <w:rStyle w:val="x02-body-superscript"/>
          <w:rFonts w:cs="Times New Roman"/>
          <w:sz w:val="20"/>
          <w:szCs w:val="20"/>
        </w:rPr>
        <w:t>a</w:t>
      </w:r>
    </w:p>
    <w:p w:rsidR="001423B0" w:rsidRPr="00AE1791" w:rsidRDefault="001423B0" w:rsidP="001423B0">
      <w:pPr>
        <w:pStyle w:val="x02-body-copy-before-bullet"/>
        <w:rPr>
          <w:rFonts w:cs="Times New Roman"/>
          <w:sz w:val="20"/>
          <w:szCs w:val="20"/>
        </w:rPr>
      </w:pPr>
      <w:r w:rsidRPr="00AE1791">
        <w:rPr>
          <w:rFonts w:cs="Times New Roman"/>
          <w:sz w:val="20"/>
          <w:szCs w:val="20"/>
        </w:rPr>
        <w:t>Care type = ‘1’ (acute care).</w:t>
      </w:r>
      <w:r w:rsidRPr="00AE1791">
        <w:rPr>
          <w:rStyle w:val="x02-body-superscript"/>
          <w:rFonts w:cs="Times New Roman"/>
          <w:sz w:val="20"/>
          <w:szCs w:val="20"/>
        </w:rPr>
        <w:t>b</w:t>
      </w:r>
    </w:p>
    <w:p w:rsidR="001423B0" w:rsidRPr="00AE1791" w:rsidRDefault="001423B0" w:rsidP="001423B0">
      <w:pPr>
        <w:pStyle w:val="x02-body-copy"/>
        <w:rPr>
          <w:rStyle w:val="x02-body-italic-underline"/>
          <w:sz w:val="20"/>
          <w:szCs w:val="20"/>
        </w:rPr>
      </w:pPr>
      <w:r w:rsidRPr="00AE1791">
        <w:rPr>
          <w:rStyle w:val="x02-body-italic-underline"/>
          <w:rFonts w:cs="Times New Roman"/>
          <w:sz w:val="20"/>
          <w:szCs w:val="20"/>
        </w:rPr>
        <w:t>Exclusions</w:t>
      </w:r>
    </w:p>
    <w:p w:rsidR="001423B0" w:rsidRPr="00AE1791" w:rsidRDefault="001423B0" w:rsidP="001423B0">
      <w:pPr>
        <w:pStyle w:val="x02-body-copy"/>
        <w:rPr>
          <w:rFonts w:cs="Times New Roman"/>
          <w:sz w:val="20"/>
          <w:szCs w:val="20"/>
        </w:rPr>
      </w:pPr>
      <w:r w:rsidRPr="00AE1791">
        <w:rPr>
          <w:rFonts w:cs="Times New Roman"/>
          <w:sz w:val="20"/>
          <w:szCs w:val="20"/>
        </w:rPr>
        <w:t>Nil.</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Denominator:</w:t>
      </w:r>
      <w:r w:rsidRPr="00AE1791">
        <w:rPr>
          <w:rFonts w:cs="Times New Roman"/>
          <w:sz w:val="20"/>
          <w:szCs w:val="20"/>
        </w:rPr>
        <w:t xml:space="preserve"> Total number of patients with a final diagnosis of ACS who are discharged from hospital.</w:t>
      </w:r>
    </w:p>
    <w:p w:rsidR="001423B0" w:rsidRPr="00AE1791" w:rsidRDefault="001423B0" w:rsidP="001423B0">
      <w:pPr>
        <w:pStyle w:val="x02-body-copy-before-bullet"/>
        <w:rPr>
          <w:rStyle w:val="x02-body-italic-underline"/>
          <w:sz w:val="20"/>
          <w:szCs w:val="20"/>
        </w:rPr>
      </w:pPr>
      <w:r w:rsidRPr="00AE1791">
        <w:rPr>
          <w:rStyle w:val="x02-body-medium"/>
          <w:rFonts w:cs="Times New Roman"/>
          <w:sz w:val="20"/>
          <w:szCs w:val="20"/>
        </w:rPr>
        <w:t>Denominator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AE1791" w:rsidRDefault="001423B0" w:rsidP="001423B0">
      <w:pPr>
        <w:pStyle w:val="x02-body-copy-before-bullet"/>
        <w:rPr>
          <w:rFonts w:cs="Times New Roman"/>
          <w:sz w:val="20"/>
          <w:szCs w:val="20"/>
        </w:rPr>
      </w:pPr>
      <w:r w:rsidRPr="00AE1791">
        <w:rPr>
          <w:rFonts w:cs="Times New Roman"/>
          <w:sz w:val="20"/>
          <w:szCs w:val="20"/>
        </w:rPr>
        <w:t>Patients</w:t>
      </w:r>
      <w:r w:rsidR="00E44F80">
        <w:rPr>
          <w:rFonts w:cs="Times New Roman"/>
          <w:sz w:val="20"/>
          <w:szCs w:val="20"/>
        </w:rPr>
        <w:t xml:space="preserve"> with a final diagnosis of UA (I</w:t>
      </w:r>
      <w:r w:rsidRPr="00AE1791">
        <w:rPr>
          <w:rFonts w:cs="Times New Roman"/>
          <w:sz w:val="20"/>
          <w:szCs w:val="20"/>
        </w:rPr>
        <w:t>20.x) o</w:t>
      </w:r>
      <w:r w:rsidR="00E44F80">
        <w:rPr>
          <w:rFonts w:cs="Times New Roman"/>
          <w:sz w:val="20"/>
          <w:szCs w:val="20"/>
        </w:rPr>
        <w:t>r acute myocardial infarction (I</w:t>
      </w:r>
      <w:r w:rsidRPr="00AE1791">
        <w:rPr>
          <w:rFonts w:cs="Times New Roman"/>
          <w:sz w:val="20"/>
          <w:szCs w:val="20"/>
        </w:rPr>
        <w:t>21.x).</w:t>
      </w:r>
      <w:r w:rsidRPr="00AE1791">
        <w:rPr>
          <w:rStyle w:val="x02-body-superscript"/>
          <w:rFonts w:cs="Times New Roman"/>
          <w:sz w:val="20"/>
          <w:szCs w:val="20"/>
        </w:rPr>
        <w:t>a</w:t>
      </w:r>
    </w:p>
    <w:p w:rsidR="001423B0" w:rsidRPr="00AE1791" w:rsidRDefault="001423B0" w:rsidP="001423B0">
      <w:pPr>
        <w:pStyle w:val="x02-body-copy-before-bullet"/>
        <w:rPr>
          <w:rFonts w:cs="Times New Roman"/>
          <w:sz w:val="20"/>
          <w:szCs w:val="20"/>
        </w:rPr>
      </w:pPr>
      <w:r w:rsidRPr="00AE1791">
        <w:rPr>
          <w:rFonts w:cs="Times New Roman"/>
          <w:sz w:val="20"/>
          <w:szCs w:val="20"/>
        </w:rPr>
        <w:t>Care type = ‘1’ (acute care).</w:t>
      </w:r>
      <w:r w:rsidRPr="00AE1791">
        <w:rPr>
          <w:rStyle w:val="x02-body-superscript"/>
          <w:rFonts w:cs="Times New Roman"/>
          <w:sz w:val="20"/>
          <w:szCs w:val="20"/>
        </w:rPr>
        <w:t>b</w:t>
      </w:r>
    </w:p>
    <w:p w:rsidR="001423B0" w:rsidRPr="00AE1791" w:rsidRDefault="001423B0" w:rsidP="001423B0">
      <w:pPr>
        <w:pStyle w:val="x02-body-copy"/>
        <w:rPr>
          <w:rStyle w:val="x02-body-italic-underline"/>
          <w:sz w:val="20"/>
          <w:szCs w:val="20"/>
        </w:rPr>
      </w:pPr>
      <w:r w:rsidRPr="00AE1791">
        <w:rPr>
          <w:rStyle w:val="x02-body-italic-underline"/>
          <w:rFonts w:cs="Times New Roman"/>
          <w:sz w:val="20"/>
          <w:szCs w:val="20"/>
        </w:rPr>
        <w:t>Exclusions</w:t>
      </w:r>
    </w:p>
    <w:p w:rsidR="001423B0" w:rsidRPr="00AE1791" w:rsidRDefault="001423B0" w:rsidP="001423B0">
      <w:pPr>
        <w:pStyle w:val="x02-body-copy"/>
        <w:rPr>
          <w:rFonts w:cs="Times New Roman"/>
          <w:sz w:val="20"/>
          <w:szCs w:val="20"/>
        </w:rPr>
      </w:pPr>
      <w:r w:rsidRPr="00AE1791">
        <w:rPr>
          <w:rFonts w:cs="Times New Roman"/>
          <w:sz w:val="20"/>
          <w:szCs w:val="20"/>
        </w:rPr>
        <w:t>ACS patients for whom aspirin and other antiplatelet therapies are contraindicated, and for whom the contraindication is documented.</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Setting:</w:t>
      </w:r>
      <w:r w:rsidRPr="00AE1791">
        <w:rPr>
          <w:rFonts w:cs="Times New Roman"/>
          <w:sz w:val="20"/>
          <w:szCs w:val="20"/>
        </w:rPr>
        <w:t xml:space="preserve"> Acute/hospital.</w:t>
      </w:r>
    </w:p>
    <w:p w:rsidR="001423B0" w:rsidRDefault="001423B0" w:rsidP="001423B0">
      <w:pPr>
        <w:pStyle w:val="x02-body-copy"/>
        <w:rPr>
          <w:rFonts w:cs="Times New Roman"/>
          <w:sz w:val="20"/>
          <w:szCs w:val="20"/>
        </w:rPr>
      </w:pPr>
      <w:r w:rsidRPr="00AE1791">
        <w:rPr>
          <w:rStyle w:val="x02-body-medium"/>
          <w:rFonts w:cs="Times New Roman"/>
          <w:sz w:val="20"/>
          <w:szCs w:val="20"/>
        </w:rPr>
        <w:t>Comments:</w:t>
      </w:r>
      <w:r w:rsidRPr="00AE1791">
        <w:rPr>
          <w:rFonts w:cs="Times New Roman"/>
          <w:sz w:val="20"/>
          <w:szCs w:val="20"/>
        </w:rPr>
        <w:t xml:space="preserve"> Contraindications for aspirin and other antiplatelet therapies may include advanced care directives, being on a palliative care pathway, and clinical judgement, subject to discussion with patients, family and carers.</w:t>
      </w:r>
    </w:p>
    <w:p w:rsidR="001423B0" w:rsidRDefault="001423B0" w:rsidP="001423B0">
      <w:pPr>
        <w:pStyle w:val="x02-body-copy"/>
        <w:rPr>
          <w:rFonts w:cs="Times New Roman"/>
          <w:sz w:val="20"/>
          <w:szCs w:val="20"/>
        </w:rPr>
      </w:pPr>
    </w:p>
    <w:p w:rsidR="001423B0" w:rsidRDefault="001423B0" w:rsidP="001423B0">
      <w:pPr>
        <w:pStyle w:val="x02-body-copy"/>
        <w:rPr>
          <w:rFonts w:cs="Times New Roman"/>
          <w:sz w:val="20"/>
          <w:szCs w:val="20"/>
        </w:rPr>
      </w:pPr>
    </w:p>
    <w:p w:rsidR="001423B0" w:rsidRPr="00AE1791" w:rsidRDefault="001423B0" w:rsidP="001423B0">
      <w:pPr>
        <w:pStyle w:val="x02-body-copy"/>
        <w:rPr>
          <w:rFonts w:cs="Times New Roman"/>
          <w:sz w:val="20"/>
          <w:szCs w:val="20"/>
        </w:rPr>
      </w:pPr>
    </w:p>
    <w:p w:rsidR="001423B0" w:rsidRDefault="001423B0" w:rsidP="001423B0">
      <w:pPr>
        <w:pStyle w:val="x04-footnotes"/>
        <w:rPr>
          <w:rFonts w:cs="Times New Roman"/>
        </w:rPr>
      </w:pPr>
      <w:r>
        <w:rPr>
          <w:rFonts w:cs="Times New Roman"/>
        </w:rPr>
        <w:t>a ICD-10-</w:t>
      </w:r>
      <w:r w:rsidRPr="008D7C96">
        <w:rPr>
          <w:rFonts w:cs="Times New Roman"/>
        </w:rPr>
        <w:t>AM (</w:t>
      </w:r>
      <w:r w:rsidR="00751C89" w:rsidRPr="008D7C96">
        <w:rPr>
          <w:rFonts w:cs="Times New Roman"/>
        </w:rPr>
        <w:t>9</w:t>
      </w:r>
      <w:r w:rsidRPr="008D7C96">
        <w:rPr>
          <w:rFonts w:cs="Times New Roman"/>
        </w:rPr>
        <w:t xml:space="preserve">th </w:t>
      </w:r>
      <w:r>
        <w:rPr>
          <w:rFonts w:cs="Times New Roman"/>
        </w:rPr>
        <w:t>edition).</w:t>
      </w:r>
    </w:p>
    <w:p w:rsidR="001423B0" w:rsidRDefault="001423B0" w:rsidP="001423B0">
      <w:pPr>
        <w:pStyle w:val="x04-footnotes"/>
        <w:rPr>
          <w:rFonts w:cs="Times New Roman"/>
        </w:rPr>
      </w:pPr>
      <w:r>
        <w:rPr>
          <w:rFonts w:cs="Times New Roman"/>
        </w:rPr>
        <w:t xml:space="preserve">b </w:t>
      </w:r>
      <w:proofErr w:type="spellStart"/>
      <w:r>
        <w:rPr>
          <w:rFonts w:cs="Times New Roman"/>
        </w:rPr>
        <w:t>METeOR</w:t>
      </w:r>
      <w:proofErr w:type="spellEnd"/>
      <w:r>
        <w:rPr>
          <w:rFonts w:cs="Times New Roman"/>
        </w:rPr>
        <w:t xml:space="preserve"> identifier: 491557.</w:t>
      </w:r>
    </w:p>
    <w:p w:rsidR="001423B0" w:rsidRDefault="001423B0" w:rsidP="001423B0">
      <w:pPr>
        <w:rPr>
          <w:rFonts w:cs="Times New Roman"/>
          <w:b/>
          <w:bCs/>
          <w:color w:val="4D4F4D"/>
          <w:sz w:val="28"/>
          <w:szCs w:val="28"/>
        </w:rPr>
      </w:pPr>
      <w:r>
        <w:rPr>
          <w:rFonts w:cs="Times New Roman"/>
        </w:rPr>
        <w:br w:type="page"/>
      </w:r>
    </w:p>
    <w:p w:rsidR="001423B0" w:rsidRDefault="001423B0" w:rsidP="001423B0">
      <w:pPr>
        <w:pStyle w:val="x01-heading-level-3"/>
        <w:rPr>
          <w:rFonts w:cs="Times New Roman"/>
        </w:rPr>
      </w:pPr>
      <w:r>
        <w:rPr>
          <w:rFonts w:cs="Times New Roman"/>
        </w:rPr>
        <w:lastRenderedPageBreak/>
        <w:t>References</w:t>
      </w:r>
    </w:p>
    <w:p w:rsidR="001423B0" w:rsidRDefault="001423B0" w:rsidP="001423B0">
      <w:pPr>
        <w:pStyle w:val="x04-footnotes"/>
        <w:ind w:left="142" w:hanging="142"/>
        <w:rPr>
          <w:rFonts w:cs="Times New Roman"/>
        </w:rPr>
      </w:pPr>
      <w:r>
        <w:rPr>
          <w:rFonts w:cs="Times New Roman"/>
        </w:rPr>
        <w:t>1. Acute Coronary Syndrome Guidelines Working Group. Guidelines for the management of acute coronary syndromes 2006. Medical Journal of Australia. 2006;184(8):S1–S30.</w:t>
      </w:r>
    </w:p>
    <w:p w:rsidR="001423B0" w:rsidRDefault="001423B0" w:rsidP="001423B0">
      <w:pPr>
        <w:pStyle w:val="x04-footnotes"/>
        <w:ind w:left="142" w:hanging="142"/>
        <w:rPr>
          <w:rStyle w:val="x02-body-medium"/>
        </w:rPr>
      </w:pPr>
      <w:r>
        <w:rPr>
          <w:rStyle w:val="x02-body-medium"/>
          <w:rFonts w:cs="Times New Roman"/>
        </w:rPr>
        <w:t>Supplementary sources:</w:t>
      </w:r>
    </w:p>
    <w:p w:rsidR="001423B0" w:rsidRDefault="001423B0" w:rsidP="001423B0">
      <w:pPr>
        <w:pStyle w:val="x04-footnotes"/>
        <w:ind w:left="142" w:hanging="142"/>
        <w:rPr>
          <w:rFonts w:cs="Times New Roman"/>
        </w:rPr>
      </w:pPr>
      <w:r>
        <w:rPr>
          <w:rFonts w:cs="Times New Roman"/>
        </w:rPr>
        <w:t xml:space="preserve">2. Chew DP, </w:t>
      </w:r>
      <w:proofErr w:type="spellStart"/>
      <w:r>
        <w:rPr>
          <w:rFonts w:cs="Times New Roman"/>
        </w:rPr>
        <w:t>Aroney</w:t>
      </w:r>
      <w:proofErr w:type="spellEnd"/>
      <w:r>
        <w:rPr>
          <w:rFonts w:cs="Times New Roman"/>
        </w:rPr>
        <w:t xml:space="preserve"> CN, </w:t>
      </w:r>
      <w:proofErr w:type="spellStart"/>
      <w:r>
        <w:rPr>
          <w:rFonts w:cs="Times New Roman"/>
        </w:rPr>
        <w:t>Aylward</w:t>
      </w:r>
      <w:proofErr w:type="spellEnd"/>
      <w:r>
        <w:rPr>
          <w:rFonts w:cs="Times New Roman"/>
        </w:rPr>
        <w:t xml:space="preserve"> P, et al. 2011 addendum to the National Heart Foundation of Australia/Cardiac Society of Australia and New Zealand guidelines for the management of acute coronary syndromes (ACS) 2006. Heart, Lung and Circulation. 2011;20:487–502.</w:t>
      </w:r>
    </w:p>
    <w:p w:rsidR="001423B0" w:rsidRDefault="001423B0" w:rsidP="001423B0">
      <w:pPr>
        <w:pStyle w:val="x04-footnotes"/>
        <w:ind w:left="142" w:hanging="142"/>
        <w:rPr>
          <w:rFonts w:cs="Times New Roman"/>
        </w:rPr>
      </w:pPr>
      <w:r>
        <w:rPr>
          <w:rFonts w:cs="Times New Roman"/>
        </w:rPr>
        <w:t xml:space="preserve">3. </w:t>
      </w:r>
      <w:proofErr w:type="spellStart"/>
      <w:r>
        <w:rPr>
          <w:rFonts w:cs="Times New Roman"/>
        </w:rPr>
        <w:t>Aroney</w:t>
      </w:r>
      <w:proofErr w:type="spellEnd"/>
      <w:r>
        <w:rPr>
          <w:rFonts w:cs="Times New Roman"/>
        </w:rPr>
        <w:t xml:space="preserve"> CN, </w:t>
      </w:r>
      <w:proofErr w:type="spellStart"/>
      <w:r>
        <w:rPr>
          <w:rFonts w:cs="Times New Roman"/>
        </w:rPr>
        <w:t>Aylward</w:t>
      </w:r>
      <w:proofErr w:type="spellEnd"/>
      <w:r>
        <w:rPr>
          <w:rFonts w:cs="Times New Roman"/>
        </w:rPr>
        <w:t xml:space="preserve"> P, Chew DP, et al. 2007 Addendum to the National Heart Foundation of Australia/Cardiac Society of Australia and New Zealand Guidelines for the management of acute coronary syndromes. Medical Journal of Australia. 2008;188(5):302–3.</w:t>
      </w:r>
    </w:p>
    <w:p w:rsidR="001423B0" w:rsidRDefault="001423B0" w:rsidP="001423B0">
      <w:pPr>
        <w:pStyle w:val="x04-footnotes"/>
        <w:ind w:left="142" w:hanging="142"/>
        <w:rPr>
          <w:rFonts w:cs="Times New Roman"/>
        </w:rPr>
      </w:pPr>
      <w:r>
        <w:rPr>
          <w:rFonts w:cs="Times New Roman"/>
        </w:rPr>
        <w:t xml:space="preserve">4. Chew DP, </w:t>
      </w:r>
      <w:proofErr w:type="spellStart"/>
      <w:r>
        <w:rPr>
          <w:rFonts w:cs="Times New Roman"/>
        </w:rPr>
        <w:t>Amerena</w:t>
      </w:r>
      <w:proofErr w:type="spellEnd"/>
      <w:r>
        <w:rPr>
          <w:rFonts w:cs="Times New Roman"/>
        </w:rPr>
        <w:t xml:space="preserve"> JV, Coverdale SG, et al. Invasive management and late clinical outcomes in contemporary Australian management of acute coronary syndromes: observations from the ACACIA registry. Medical Journal of Australia. 2008;188(12):691–697.</w:t>
      </w:r>
    </w:p>
    <w:p w:rsidR="001423B0" w:rsidRDefault="001423B0" w:rsidP="001423B0">
      <w:pPr>
        <w:pStyle w:val="x04-footnotes"/>
        <w:ind w:left="142" w:hanging="142"/>
        <w:rPr>
          <w:rFonts w:cs="Times New Roman"/>
        </w:rPr>
      </w:pPr>
      <w:r>
        <w:rPr>
          <w:rFonts w:cs="Times New Roman"/>
        </w:rPr>
        <w:t xml:space="preserve">5. </w:t>
      </w:r>
      <w:proofErr w:type="spellStart"/>
      <w:r>
        <w:rPr>
          <w:rFonts w:cs="Times New Roman"/>
        </w:rPr>
        <w:t>Chassin</w:t>
      </w:r>
      <w:proofErr w:type="spellEnd"/>
      <w:r>
        <w:rPr>
          <w:rFonts w:cs="Times New Roman"/>
        </w:rPr>
        <w:t xml:space="preserve"> MR, Loeb JM, Schmaltz SP, et al. Accountability measures – using measurement to promote quality improvement. New England Journal of Medicine. 2010;363(7):683–688.</w:t>
      </w:r>
    </w:p>
    <w:p w:rsidR="001423B0" w:rsidRPr="00AE1791" w:rsidRDefault="001423B0" w:rsidP="001423B0">
      <w:pPr>
        <w:rPr>
          <w:rFonts w:cs="Times New Roman"/>
          <w:b/>
          <w:bCs/>
          <w:color w:val="00988E"/>
          <w:sz w:val="28"/>
          <w:szCs w:val="28"/>
        </w:rPr>
      </w:pPr>
      <w:r>
        <w:rPr>
          <w:rFonts w:cs="Times New Roman"/>
        </w:rPr>
        <w:br w:type="page"/>
      </w:r>
      <w:bookmarkStart w:id="22" w:name="_Toc278988974"/>
      <w:r w:rsidRPr="00AE1791">
        <w:rPr>
          <w:rFonts w:cs="Times New Roman"/>
          <w:b/>
          <w:color w:val="00988E"/>
          <w:sz w:val="40"/>
          <w:szCs w:val="40"/>
        </w:rPr>
        <w:lastRenderedPageBreak/>
        <w:t xml:space="preserve">Quality statement 6 – Individualised care plan </w:t>
      </w:r>
    </w:p>
    <w:p w:rsidR="001423B0" w:rsidRDefault="001423B0" w:rsidP="001423B0">
      <w:pPr>
        <w:pStyle w:val="heading-level-3-aqua"/>
        <w:rPr>
          <w:rFonts w:cs="Times New Roman"/>
        </w:rPr>
      </w:pPr>
      <w:r>
        <w:rPr>
          <w:rFonts w:cs="Times New Roman"/>
        </w:rPr>
        <w:t>Indicator 6c: Patients discharged on lipid lowering therapy</w:t>
      </w:r>
      <w:bookmarkEnd w:id="22"/>
    </w:p>
    <w:p w:rsidR="001423B0" w:rsidRDefault="001423B0" w:rsidP="001423B0">
      <w:pPr>
        <w:pStyle w:val="x01-heading-level-3"/>
        <w:rPr>
          <w:rFonts w:cs="Times New Roman"/>
        </w:rPr>
      </w:pPr>
      <w:r>
        <w:rPr>
          <w:rFonts w:cs="Times New Roman"/>
        </w:rPr>
        <w:t>Definitional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Name:</w:t>
      </w:r>
      <w:r w:rsidRPr="00AE1791">
        <w:rPr>
          <w:rFonts w:cs="Times New Roman"/>
          <w:sz w:val="20"/>
          <w:szCs w:val="20"/>
        </w:rPr>
        <w:t xml:space="preserve"> Proportion of patients with a final diagnosis of an ACS who are prescribed lipid lowering therapy at hospital discharge.</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Rationale:</w:t>
      </w:r>
      <w:r w:rsidRPr="00AE1791">
        <w:rPr>
          <w:rFonts w:cs="Times New Roman"/>
          <w:sz w:val="20"/>
          <w:szCs w:val="20"/>
        </w:rPr>
        <w:t xml:space="preserve"> Lowering lipid levels (using statin) is an effective primary and secondary prevention treatment for vascular events, including stroke.</w:t>
      </w:r>
      <w:r w:rsidRPr="00AE1791">
        <w:rPr>
          <w:rStyle w:val="x02-body-superscript"/>
          <w:rFonts w:cs="Times New Roman"/>
          <w:sz w:val="20"/>
          <w:szCs w:val="20"/>
        </w:rPr>
        <w:t>1</w:t>
      </w:r>
      <w:r w:rsidRPr="00AE1791">
        <w:rPr>
          <w:rFonts w:cs="Times New Roman"/>
          <w:sz w:val="20"/>
          <w:szCs w:val="20"/>
        </w:rPr>
        <w:t xml:space="preserve"> </w:t>
      </w:r>
    </w:p>
    <w:p w:rsidR="001423B0" w:rsidRDefault="001423B0" w:rsidP="001423B0">
      <w:pPr>
        <w:pStyle w:val="x01-heading-level-3"/>
        <w:rPr>
          <w:rFonts w:cs="Times New Roman"/>
        </w:rPr>
      </w:pPr>
      <w:r>
        <w:rPr>
          <w:rFonts w:cs="Times New Roman"/>
        </w:rPr>
        <w:t>Collection and usage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Computation:</w:t>
      </w:r>
      <w:r w:rsidRPr="00AE1791">
        <w:rPr>
          <w:rFonts w:cs="Times New Roman"/>
          <w:sz w:val="20"/>
          <w:szCs w:val="20"/>
        </w:rPr>
        <w:t xml:space="preserve"> </w:t>
      </w:r>
      <w:r w:rsidRPr="00AE1791">
        <w:rPr>
          <w:rStyle w:val="x02-body-italic"/>
          <w:rFonts w:cs="Times New Roman"/>
          <w:sz w:val="20"/>
          <w:szCs w:val="20"/>
        </w:rPr>
        <w:t>(Numerator ÷ denominator) x 100</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Numerator:</w:t>
      </w:r>
      <w:r w:rsidRPr="00AE1791">
        <w:rPr>
          <w:rFonts w:cs="Times New Roman"/>
          <w:sz w:val="20"/>
          <w:szCs w:val="20"/>
        </w:rPr>
        <w:t xml:space="preserve"> Total number of patients with a final diagnosis of ACS who are prescribed a statin or other lipid lowering therapy at hospital discharge. </w:t>
      </w:r>
    </w:p>
    <w:p w:rsidR="001423B0" w:rsidRPr="00AE1791" w:rsidRDefault="001423B0" w:rsidP="001423B0">
      <w:pPr>
        <w:pStyle w:val="x02-body-copy-before-bullet"/>
        <w:rPr>
          <w:rStyle w:val="x02-body-italic-underline"/>
          <w:sz w:val="20"/>
          <w:szCs w:val="20"/>
        </w:rPr>
      </w:pPr>
      <w:r w:rsidRPr="00AE1791">
        <w:rPr>
          <w:rStyle w:val="x02-body-medium"/>
          <w:rFonts w:cs="Times New Roman"/>
          <w:sz w:val="20"/>
          <w:szCs w:val="20"/>
        </w:rPr>
        <w:t>Numerator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AE1791" w:rsidRDefault="001423B0" w:rsidP="001423B0">
      <w:pPr>
        <w:pStyle w:val="x02-body-copy-before-bullet"/>
        <w:rPr>
          <w:rFonts w:cs="Times New Roman"/>
          <w:sz w:val="20"/>
          <w:szCs w:val="20"/>
        </w:rPr>
      </w:pPr>
      <w:r w:rsidRPr="00AE1791">
        <w:rPr>
          <w:rFonts w:cs="Times New Roman"/>
          <w:sz w:val="20"/>
          <w:szCs w:val="20"/>
        </w:rPr>
        <w:t>Patients</w:t>
      </w:r>
      <w:r w:rsidR="001849CA">
        <w:rPr>
          <w:rFonts w:cs="Times New Roman"/>
          <w:sz w:val="20"/>
          <w:szCs w:val="20"/>
        </w:rPr>
        <w:t xml:space="preserve"> with a final diagnosis of UA (I</w:t>
      </w:r>
      <w:r w:rsidRPr="00AE1791">
        <w:rPr>
          <w:rFonts w:cs="Times New Roman"/>
          <w:sz w:val="20"/>
          <w:szCs w:val="20"/>
        </w:rPr>
        <w:t>20.x) o</w:t>
      </w:r>
      <w:r w:rsidR="001849CA">
        <w:rPr>
          <w:rFonts w:cs="Times New Roman"/>
          <w:sz w:val="20"/>
          <w:szCs w:val="20"/>
        </w:rPr>
        <w:t>r acute myocardial infarction (I</w:t>
      </w:r>
      <w:r w:rsidRPr="00AE1791">
        <w:rPr>
          <w:rFonts w:cs="Times New Roman"/>
          <w:sz w:val="20"/>
          <w:szCs w:val="20"/>
        </w:rPr>
        <w:t>21.x).</w:t>
      </w:r>
      <w:r w:rsidRPr="00AE1791">
        <w:rPr>
          <w:rStyle w:val="x02-body-superscript"/>
          <w:rFonts w:cs="Times New Roman"/>
          <w:sz w:val="20"/>
          <w:szCs w:val="20"/>
        </w:rPr>
        <w:t>a</w:t>
      </w:r>
    </w:p>
    <w:p w:rsidR="001423B0" w:rsidRPr="00AE1791" w:rsidRDefault="001423B0" w:rsidP="001423B0">
      <w:pPr>
        <w:pStyle w:val="x02-body-copy-before-bullet"/>
        <w:rPr>
          <w:rFonts w:cs="Times New Roman"/>
          <w:sz w:val="20"/>
          <w:szCs w:val="20"/>
        </w:rPr>
      </w:pPr>
      <w:r w:rsidRPr="00AE1791">
        <w:rPr>
          <w:rFonts w:cs="Times New Roman"/>
          <w:sz w:val="20"/>
          <w:szCs w:val="20"/>
        </w:rPr>
        <w:t>Care type = ‘1’ (acute care).</w:t>
      </w:r>
      <w:r w:rsidRPr="00AE1791">
        <w:rPr>
          <w:rStyle w:val="x02-body-superscript"/>
          <w:rFonts w:cs="Times New Roman"/>
          <w:sz w:val="20"/>
          <w:szCs w:val="20"/>
        </w:rPr>
        <w:t>b</w:t>
      </w:r>
    </w:p>
    <w:p w:rsidR="001423B0" w:rsidRPr="00AE1791" w:rsidRDefault="001423B0" w:rsidP="001423B0">
      <w:pPr>
        <w:pStyle w:val="x02-body-copy"/>
        <w:rPr>
          <w:rStyle w:val="x02-body-italic-underline"/>
          <w:sz w:val="20"/>
          <w:szCs w:val="20"/>
        </w:rPr>
      </w:pPr>
      <w:r w:rsidRPr="00AE1791">
        <w:rPr>
          <w:rStyle w:val="x02-body-italic-underline"/>
          <w:rFonts w:cs="Times New Roman"/>
          <w:sz w:val="20"/>
          <w:szCs w:val="20"/>
        </w:rPr>
        <w:t>Exclusions</w:t>
      </w:r>
    </w:p>
    <w:p w:rsidR="001423B0" w:rsidRPr="00AE1791" w:rsidRDefault="001423B0" w:rsidP="001423B0">
      <w:pPr>
        <w:pStyle w:val="x02-body-copy"/>
        <w:rPr>
          <w:rFonts w:cs="Times New Roman"/>
          <w:sz w:val="20"/>
          <w:szCs w:val="20"/>
        </w:rPr>
      </w:pPr>
      <w:r w:rsidRPr="00AE1791">
        <w:rPr>
          <w:rFonts w:cs="Times New Roman"/>
          <w:sz w:val="20"/>
          <w:szCs w:val="20"/>
        </w:rPr>
        <w:t>Nil.</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Denominator:</w:t>
      </w:r>
      <w:r w:rsidRPr="00AE1791">
        <w:rPr>
          <w:rFonts w:cs="Times New Roman"/>
          <w:sz w:val="20"/>
          <w:szCs w:val="20"/>
        </w:rPr>
        <w:t xml:space="preserve"> Total number of patients with a final diagnosis of ACS who are discharged from hospital.</w:t>
      </w:r>
    </w:p>
    <w:p w:rsidR="001423B0" w:rsidRPr="00AE1791" w:rsidRDefault="001423B0" w:rsidP="001423B0">
      <w:pPr>
        <w:pStyle w:val="x02-body-copy-before-bullet"/>
        <w:rPr>
          <w:rStyle w:val="x02-body-italic-underline"/>
          <w:sz w:val="20"/>
          <w:szCs w:val="20"/>
        </w:rPr>
      </w:pPr>
      <w:r w:rsidRPr="00AE1791">
        <w:rPr>
          <w:rStyle w:val="x02-body-medium"/>
          <w:rFonts w:cs="Times New Roman"/>
          <w:sz w:val="20"/>
          <w:szCs w:val="20"/>
        </w:rPr>
        <w:t>Denominator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AE1791" w:rsidRDefault="001423B0" w:rsidP="001423B0">
      <w:pPr>
        <w:pStyle w:val="x02-body-copy-before-bullet"/>
        <w:rPr>
          <w:rFonts w:cs="Times New Roman"/>
          <w:sz w:val="20"/>
          <w:szCs w:val="20"/>
        </w:rPr>
      </w:pPr>
      <w:r w:rsidRPr="00AE1791">
        <w:rPr>
          <w:rFonts w:cs="Times New Roman"/>
          <w:sz w:val="20"/>
          <w:szCs w:val="20"/>
        </w:rPr>
        <w:t>Patients</w:t>
      </w:r>
      <w:r w:rsidR="001849CA">
        <w:rPr>
          <w:rFonts w:cs="Times New Roman"/>
          <w:sz w:val="20"/>
          <w:szCs w:val="20"/>
        </w:rPr>
        <w:t xml:space="preserve"> with a final diagnosis of UA (I</w:t>
      </w:r>
      <w:r w:rsidRPr="00AE1791">
        <w:rPr>
          <w:rFonts w:cs="Times New Roman"/>
          <w:sz w:val="20"/>
          <w:szCs w:val="20"/>
        </w:rPr>
        <w:t>20.x) o</w:t>
      </w:r>
      <w:r w:rsidR="001849CA">
        <w:rPr>
          <w:rFonts w:cs="Times New Roman"/>
          <w:sz w:val="20"/>
          <w:szCs w:val="20"/>
        </w:rPr>
        <w:t>r acute myocardial infarction (I</w:t>
      </w:r>
      <w:r w:rsidRPr="00AE1791">
        <w:rPr>
          <w:rFonts w:cs="Times New Roman"/>
          <w:sz w:val="20"/>
          <w:szCs w:val="20"/>
        </w:rPr>
        <w:t>21.x).</w:t>
      </w:r>
      <w:r w:rsidRPr="00AE1791">
        <w:rPr>
          <w:rStyle w:val="x02-body-superscript"/>
          <w:rFonts w:cs="Times New Roman"/>
          <w:sz w:val="20"/>
          <w:szCs w:val="20"/>
        </w:rPr>
        <w:t>a</w:t>
      </w:r>
    </w:p>
    <w:p w:rsidR="001423B0" w:rsidRPr="00AE1791" w:rsidRDefault="001423B0" w:rsidP="001423B0">
      <w:pPr>
        <w:pStyle w:val="x02-body-copy-before-bullet"/>
        <w:rPr>
          <w:rFonts w:cs="Times New Roman"/>
          <w:sz w:val="20"/>
          <w:szCs w:val="20"/>
        </w:rPr>
      </w:pPr>
      <w:r w:rsidRPr="00AE1791">
        <w:rPr>
          <w:rFonts w:cs="Times New Roman"/>
          <w:sz w:val="20"/>
          <w:szCs w:val="20"/>
        </w:rPr>
        <w:t>Care type = ‘1’ (acute care).</w:t>
      </w:r>
      <w:r w:rsidRPr="00AE1791">
        <w:rPr>
          <w:rStyle w:val="x02-body-superscript"/>
          <w:rFonts w:cs="Times New Roman"/>
          <w:sz w:val="20"/>
          <w:szCs w:val="20"/>
        </w:rPr>
        <w:t>b</w:t>
      </w:r>
    </w:p>
    <w:p w:rsidR="001423B0" w:rsidRPr="00AE1791" w:rsidRDefault="001423B0" w:rsidP="001423B0">
      <w:pPr>
        <w:pStyle w:val="x02-body-copy"/>
        <w:rPr>
          <w:rStyle w:val="x02-body-italic-underline"/>
          <w:sz w:val="20"/>
          <w:szCs w:val="20"/>
        </w:rPr>
      </w:pPr>
      <w:r w:rsidRPr="00AE1791">
        <w:rPr>
          <w:rStyle w:val="x02-body-italic-underline"/>
          <w:rFonts w:cs="Times New Roman"/>
          <w:sz w:val="20"/>
          <w:szCs w:val="20"/>
        </w:rPr>
        <w:t>Exclusions</w:t>
      </w:r>
    </w:p>
    <w:p w:rsidR="001423B0" w:rsidRPr="00AE1791" w:rsidRDefault="001423B0" w:rsidP="001423B0">
      <w:pPr>
        <w:pStyle w:val="x02-body-copy"/>
        <w:rPr>
          <w:rFonts w:cs="Times New Roman"/>
          <w:sz w:val="20"/>
          <w:szCs w:val="20"/>
        </w:rPr>
      </w:pPr>
      <w:r w:rsidRPr="00AE1791">
        <w:rPr>
          <w:rFonts w:cs="Times New Roman"/>
          <w:sz w:val="20"/>
          <w:szCs w:val="20"/>
        </w:rPr>
        <w:t>Statin-intolerant ACS patients, and other ACS patients for whom statins or other lipid-lowering therapies are contraindicated and for whom the contraindication is documented.</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Setting:</w:t>
      </w:r>
      <w:r w:rsidRPr="00AE1791">
        <w:rPr>
          <w:rFonts w:cs="Times New Roman"/>
          <w:sz w:val="20"/>
          <w:szCs w:val="20"/>
        </w:rPr>
        <w:t xml:space="preserve"> Acute/hospital.</w:t>
      </w:r>
    </w:p>
    <w:p w:rsidR="001423B0" w:rsidRDefault="001423B0" w:rsidP="001423B0">
      <w:pPr>
        <w:pStyle w:val="x02-body-copy-before-bullet"/>
        <w:rPr>
          <w:rFonts w:cs="Times New Roman"/>
          <w:sz w:val="20"/>
          <w:szCs w:val="20"/>
        </w:rPr>
      </w:pPr>
      <w:r w:rsidRPr="00AE1791">
        <w:rPr>
          <w:rStyle w:val="x02-body-medium"/>
          <w:rFonts w:cs="Times New Roman"/>
          <w:sz w:val="20"/>
          <w:szCs w:val="20"/>
        </w:rPr>
        <w:t>Comments:</w:t>
      </w:r>
      <w:r w:rsidRPr="00AE1791">
        <w:rPr>
          <w:rFonts w:cs="Times New Roman"/>
          <w:sz w:val="20"/>
          <w:szCs w:val="20"/>
        </w:rPr>
        <w:t xml:space="preserve"> Contraindications for statins may include advanced care directives, being on a palliative care pathway, and clinical judgement, subject to discussion with patients, family and carers.</w:t>
      </w:r>
    </w:p>
    <w:p w:rsidR="001423B0" w:rsidRDefault="001423B0" w:rsidP="001423B0">
      <w:pPr>
        <w:pStyle w:val="x02-body-copy-before-bullet"/>
        <w:rPr>
          <w:rFonts w:cs="Times New Roman"/>
          <w:sz w:val="20"/>
          <w:szCs w:val="20"/>
        </w:rPr>
      </w:pPr>
    </w:p>
    <w:p w:rsidR="001423B0" w:rsidRDefault="001423B0" w:rsidP="001423B0">
      <w:pPr>
        <w:pStyle w:val="x02-body-copy-before-bullet"/>
        <w:rPr>
          <w:rFonts w:cs="Times New Roman"/>
          <w:sz w:val="20"/>
          <w:szCs w:val="20"/>
        </w:rPr>
      </w:pPr>
    </w:p>
    <w:p w:rsidR="001423B0" w:rsidRDefault="001423B0" w:rsidP="001423B0">
      <w:pPr>
        <w:pStyle w:val="x02-body-copy-before-bullet"/>
        <w:rPr>
          <w:rFonts w:cs="Times New Roman"/>
          <w:sz w:val="20"/>
          <w:szCs w:val="20"/>
        </w:rPr>
      </w:pPr>
    </w:p>
    <w:p w:rsidR="001423B0" w:rsidRDefault="001423B0" w:rsidP="001423B0">
      <w:pPr>
        <w:pStyle w:val="x02-body-copy-before-bullet"/>
        <w:rPr>
          <w:rFonts w:cs="Times New Roman"/>
          <w:sz w:val="20"/>
          <w:szCs w:val="20"/>
        </w:rPr>
      </w:pPr>
    </w:p>
    <w:p w:rsidR="001423B0" w:rsidRPr="00AE1791" w:rsidRDefault="001423B0" w:rsidP="001423B0">
      <w:pPr>
        <w:pStyle w:val="x02-body-copy-before-bullet"/>
        <w:rPr>
          <w:rFonts w:cs="Times New Roman"/>
          <w:sz w:val="20"/>
          <w:szCs w:val="20"/>
        </w:rPr>
      </w:pPr>
    </w:p>
    <w:p w:rsidR="001423B0" w:rsidRDefault="001423B0" w:rsidP="001423B0">
      <w:pPr>
        <w:pStyle w:val="x04-footnotes"/>
        <w:rPr>
          <w:rFonts w:cs="Times New Roman"/>
        </w:rPr>
      </w:pPr>
      <w:r>
        <w:rPr>
          <w:rFonts w:cs="Times New Roman"/>
        </w:rPr>
        <w:t>a ICD-10-</w:t>
      </w:r>
      <w:r w:rsidRPr="008D7C96">
        <w:rPr>
          <w:rFonts w:cs="Times New Roman"/>
        </w:rPr>
        <w:t>AM (</w:t>
      </w:r>
      <w:r w:rsidR="00E965F4" w:rsidRPr="008D7C96">
        <w:rPr>
          <w:rFonts w:cs="Times New Roman"/>
        </w:rPr>
        <w:t>9</w:t>
      </w:r>
      <w:r w:rsidRPr="008D7C96">
        <w:rPr>
          <w:rFonts w:cs="Times New Roman"/>
        </w:rPr>
        <w:t>th edition</w:t>
      </w:r>
      <w:r>
        <w:rPr>
          <w:rFonts w:cs="Times New Roman"/>
        </w:rPr>
        <w:t>).</w:t>
      </w:r>
    </w:p>
    <w:p w:rsidR="001423B0" w:rsidRDefault="001423B0" w:rsidP="001423B0">
      <w:pPr>
        <w:pStyle w:val="x04-footnotes"/>
        <w:rPr>
          <w:rFonts w:cs="Times New Roman"/>
        </w:rPr>
      </w:pPr>
      <w:r>
        <w:rPr>
          <w:rFonts w:cs="Times New Roman"/>
        </w:rPr>
        <w:t xml:space="preserve">b </w:t>
      </w:r>
      <w:proofErr w:type="spellStart"/>
      <w:r>
        <w:rPr>
          <w:rFonts w:cs="Times New Roman"/>
        </w:rPr>
        <w:t>METeOR</w:t>
      </w:r>
      <w:proofErr w:type="spellEnd"/>
      <w:r>
        <w:rPr>
          <w:rFonts w:cs="Times New Roman"/>
        </w:rPr>
        <w:t xml:space="preserve"> identifier: 491557.</w:t>
      </w:r>
    </w:p>
    <w:p w:rsidR="001423B0" w:rsidRDefault="001423B0" w:rsidP="001423B0">
      <w:pPr>
        <w:rPr>
          <w:rFonts w:cs="Times New Roman"/>
          <w:b/>
          <w:bCs/>
          <w:color w:val="4D4F4D"/>
          <w:sz w:val="28"/>
          <w:szCs w:val="28"/>
        </w:rPr>
      </w:pPr>
      <w:r>
        <w:rPr>
          <w:rFonts w:cs="Times New Roman"/>
        </w:rPr>
        <w:br w:type="page"/>
      </w:r>
    </w:p>
    <w:p w:rsidR="001423B0" w:rsidRDefault="001423B0" w:rsidP="001423B0">
      <w:pPr>
        <w:pStyle w:val="x01-heading-level-3"/>
        <w:rPr>
          <w:rFonts w:cs="Times New Roman"/>
        </w:rPr>
      </w:pPr>
      <w:r>
        <w:rPr>
          <w:rFonts w:cs="Times New Roman"/>
        </w:rPr>
        <w:lastRenderedPageBreak/>
        <w:t>References</w:t>
      </w:r>
    </w:p>
    <w:p w:rsidR="001423B0" w:rsidRDefault="001423B0" w:rsidP="001423B0">
      <w:pPr>
        <w:pStyle w:val="x04-footnotes"/>
        <w:ind w:left="142" w:hanging="142"/>
        <w:rPr>
          <w:rFonts w:cs="Times New Roman"/>
        </w:rPr>
      </w:pPr>
      <w:r>
        <w:rPr>
          <w:rFonts w:cs="Times New Roman"/>
        </w:rPr>
        <w:t xml:space="preserve">1. </w:t>
      </w:r>
      <w:proofErr w:type="spellStart"/>
      <w:r>
        <w:rPr>
          <w:rFonts w:cs="Times New Roman"/>
        </w:rPr>
        <w:t>Amarenco</w:t>
      </w:r>
      <w:proofErr w:type="spellEnd"/>
      <w:r>
        <w:rPr>
          <w:rFonts w:cs="Times New Roman"/>
        </w:rPr>
        <w:t xml:space="preserve"> P, </w:t>
      </w:r>
      <w:proofErr w:type="spellStart"/>
      <w:r>
        <w:rPr>
          <w:rFonts w:cs="Times New Roman"/>
        </w:rPr>
        <w:t>Bogousslavsky</w:t>
      </w:r>
      <w:proofErr w:type="spellEnd"/>
      <w:r>
        <w:rPr>
          <w:rFonts w:cs="Times New Roman"/>
        </w:rPr>
        <w:t xml:space="preserve"> J, Callahan III A, et al. High-dose atorvastatin after stroke or transient ischemic attack. New England Journal of Medicine. 2006;355(6):549–559.</w:t>
      </w:r>
    </w:p>
    <w:p w:rsidR="001423B0" w:rsidRDefault="001423B0" w:rsidP="001423B0">
      <w:pPr>
        <w:pStyle w:val="x04-footnotes"/>
        <w:ind w:left="142" w:hanging="142"/>
        <w:rPr>
          <w:rStyle w:val="x02-body-medium"/>
        </w:rPr>
      </w:pPr>
      <w:r>
        <w:rPr>
          <w:rStyle w:val="x02-body-medium"/>
          <w:rFonts w:cs="Times New Roman"/>
        </w:rPr>
        <w:t>Supplementary sources:</w:t>
      </w:r>
    </w:p>
    <w:p w:rsidR="001423B0" w:rsidRDefault="001423B0" w:rsidP="001423B0">
      <w:pPr>
        <w:pStyle w:val="x04-footnotes"/>
        <w:ind w:left="142" w:hanging="142"/>
        <w:rPr>
          <w:rFonts w:cs="Times New Roman"/>
        </w:rPr>
      </w:pPr>
      <w:r>
        <w:rPr>
          <w:rFonts w:cs="Times New Roman"/>
        </w:rPr>
        <w:t xml:space="preserve">2. </w:t>
      </w:r>
      <w:proofErr w:type="spellStart"/>
      <w:r>
        <w:rPr>
          <w:rFonts w:cs="Times New Roman"/>
        </w:rPr>
        <w:t>Aliprandi</w:t>
      </w:r>
      <w:proofErr w:type="spellEnd"/>
      <w:r>
        <w:rPr>
          <w:rFonts w:cs="Times New Roman"/>
        </w:rPr>
        <w:t xml:space="preserve">-Costa BJ, </w:t>
      </w:r>
      <w:proofErr w:type="spellStart"/>
      <w:r>
        <w:rPr>
          <w:rFonts w:cs="Times New Roman"/>
        </w:rPr>
        <w:t>Ranasinghe</w:t>
      </w:r>
      <w:proofErr w:type="spellEnd"/>
      <w:r>
        <w:rPr>
          <w:rFonts w:cs="Times New Roman"/>
        </w:rPr>
        <w:t xml:space="preserve"> I, Chow V, et al. Management and outcomes of patients with acute coronary syndromes in Australia and New Zealand 2000–2007. Medical Journal of Australia. 2011;195(3):116–121.</w:t>
      </w:r>
    </w:p>
    <w:p w:rsidR="001423B0" w:rsidRDefault="001423B0" w:rsidP="001423B0">
      <w:pPr>
        <w:pStyle w:val="x04-footnotes"/>
        <w:ind w:left="142" w:hanging="142"/>
        <w:rPr>
          <w:rFonts w:cs="Times New Roman"/>
        </w:rPr>
      </w:pPr>
      <w:r>
        <w:rPr>
          <w:rFonts w:cs="Times New Roman"/>
        </w:rPr>
        <w:t xml:space="preserve">3. Chew DP, </w:t>
      </w:r>
      <w:proofErr w:type="spellStart"/>
      <w:r>
        <w:rPr>
          <w:rFonts w:cs="Times New Roman"/>
        </w:rPr>
        <w:t>Amerena</w:t>
      </w:r>
      <w:proofErr w:type="spellEnd"/>
      <w:r>
        <w:rPr>
          <w:rFonts w:cs="Times New Roman"/>
        </w:rPr>
        <w:t xml:space="preserve"> JV, Coverdale SG, et al. Invasive management and late clinical outcomes in contemporary Australian management of acute coronary syndromes: observations from the ACACIA registry. Medical Journal of Australia. 2008;188(12):691–697.</w:t>
      </w:r>
    </w:p>
    <w:p w:rsidR="001423B0" w:rsidRDefault="001423B0" w:rsidP="001423B0">
      <w:pPr>
        <w:pStyle w:val="x04-footnotes"/>
        <w:ind w:left="142" w:hanging="142"/>
        <w:rPr>
          <w:rFonts w:cs="Times New Roman"/>
        </w:rPr>
      </w:pPr>
      <w:r>
        <w:rPr>
          <w:rFonts w:cs="Times New Roman"/>
        </w:rPr>
        <w:t xml:space="preserve">4. </w:t>
      </w:r>
      <w:proofErr w:type="spellStart"/>
      <w:r>
        <w:rPr>
          <w:rFonts w:cs="Times New Roman"/>
        </w:rPr>
        <w:t>Krumholz</w:t>
      </w:r>
      <w:proofErr w:type="spellEnd"/>
      <w:r>
        <w:rPr>
          <w:rFonts w:cs="Times New Roman"/>
        </w:rPr>
        <w:t xml:space="preserve"> HM, Anderson JL, </w:t>
      </w:r>
      <w:proofErr w:type="spellStart"/>
      <w:r>
        <w:rPr>
          <w:rFonts w:cs="Times New Roman"/>
        </w:rPr>
        <w:t>Bachelder</w:t>
      </w:r>
      <w:proofErr w:type="spellEnd"/>
      <w:r>
        <w:rPr>
          <w:rFonts w:cs="Times New Roman"/>
        </w:rPr>
        <w:t xml:space="preserve"> BL, et al. 2008 performance measures for adults with ST-elevation and non-ST elevation myocardial infarction: a report of the American College of Cardiology/American Heart Association Task Force on Performance Measures. Circulation. 2008;118(24):2596–2648.</w:t>
      </w:r>
    </w:p>
    <w:p w:rsidR="001423B0" w:rsidRDefault="001423B0" w:rsidP="001423B0">
      <w:pPr>
        <w:pStyle w:val="x04-footnotes-last"/>
        <w:ind w:left="142" w:hanging="142"/>
        <w:rPr>
          <w:rFonts w:cs="Times New Roman"/>
        </w:rPr>
      </w:pPr>
      <w:r>
        <w:rPr>
          <w:rFonts w:cs="Times New Roman"/>
        </w:rPr>
        <w:t xml:space="preserve">5. Chew DP, </w:t>
      </w:r>
      <w:proofErr w:type="spellStart"/>
      <w:r>
        <w:rPr>
          <w:rFonts w:cs="Times New Roman"/>
        </w:rPr>
        <w:t>Aroney</w:t>
      </w:r>
      <w:proofErr w:type="spellEnd"/>
      <w:r>
        <w:rPr>
          <w:rFonts w:cs="Times New Roman"/>
        </w:rPr>
        <w:t xml:space="preserve"> CN, </w:t>
      </w:r>
      <w:proofErr w:type="spellStart"/>
      <w:r>
        <w:rPr>
          <w:rFonts w:cs="Times New Roman"/>
        </w:rPr>
        <w:t>Aylward</w:t>
      </w:r>
      <w:proofErr w:type="spellEnd"/>
      <w:r>
        <w:rPr>
          <w:rFonts w:cs="Times New Roman"/>
        </w:rPr>
        <w:t xml:space="preserve"> P, et al. 2011 addendum to the National Heart Foundation of Australia/Cardiac Society of Australia and New Zealand guidelines for the management of acute coronary syndromes (ACS) 2006. Heart, Lung and Circulation. 2011;20:487–502.</w:t>
      </w:r>
    </w:p>
    <w:p w:rsidR="001423B0" w:rsidRDefault="001423B0" w:rsidP="001423B0">
      <w:pPr>
        <w:pStyle w:val="x04-footnotes-last"/>
        <w:ind w:left="142" w:hanging="142"/>
        <w:rPr>
          <w:rFonts w:cs="Times New Roman"/>
        </w:rPr>
      </w:pPr>
    </w:p>
    <w:p w:rsidR="001423B0" w:rsidRPr="00AE1791" w:rsidRDefault="001423B0" w:rsidP="001423B0">
      <w:pPr>
        <w:rPr>
          <w:rFonts w:cs="Times New Roman"/>
          <w:b/>
          <w:bCs/>
          <w:color w:val="00988E"/>
          <w:sz w:val="28"/>
          <w:szCs w:val="28"/>
        </w:rPr>
      </w:pPr>
      <w:r>
        <w:rPr>
          <w:rFonts w:cs="Times New Roman"/>
        </w:rPr>
        <w:br w:type="page"/>
      </w:r>
      <w:bookmarkStart w:id="23" w:name="_Toc278988975"/>
      <w:r w:rsidRPr="00AE1791">
        <w:rPr>
          <w:rFonts w:cs="Times New Roman"/>
          <w:b/>
          <w:color w:val="00988E"/>
          <w:sz w:val="40"/>
          <w:szCs w:val="40"/>
        </w:rPr>
        <w:lastRenderedPageBreak/>
        <w:t xml:space="preserve">Quality statement 6 – Individualised care plan </w:t>
      </w:r>
    </w:p>
    <w:p w:rsidR="001423B0" w:rsidRDefault="001423B0" w:rsidP="001423B0">
      <w:pPr>
        <w:pStyle w:val="heading-level-3-aqua"/>
        <w:rPr>
          <w:rFonts w:cs="Times New Roman"/>
        </w:rPr>
      </w:pPr>
      <w:r>
        <w:rPr>
          <w:rFonts w:cs="Times New Roman"/>
        </w:rPr>
        <w:t>Indicator 6d: Patients referred to cardiac rehabilitation or other secondary prevention program</w:t>
      </w:r>
      <w:bookmarkEnd w:id="23"/>
    </w:p>
    <w:p w:rsidR="001423B0" w:rsidRDefault="001423B0" w:rsidP="001423B0">
      <w:pPr>
        <w:pStyle w:val="x01-heading-level-3"/>
        <w:rPr>
          <w:rFonts w:cs="Times New Roman"/>
        </w:rPr>
      </w:pPr>
      <w:r>
        <w:rPr>
          <w:rFonts w:cs="Times New Roman"/>
        </w:rPr>
        <w:t>Definitional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Name:</w:t>
      </w:r>
      <w:r w:rsidRPr="00AE1791">
        <w:rPr>
          <w:rFonts w:cs="Times New Roman"/>
          <w:sz w:val="20"/>
          <w:szCs w:val="20"/>
        </w:rPr>
        <w:t xml:space="preserve"> Proportion of patients with documented referral prior to discharge to a cardiac rehabilitation or an alternative secondary prevention program.</w:t>
      </w:r>
    </w:p>
    <w:p w:rsidR="001423B0" w:rsidRPr="00AE1791" w:rsidRDefault="001423B0" w:rsidP="001423B0">
      <w:pPr>
        <w:pStyle w:val="x02-body-copy-before-bullet"/>
        <w:rPr>
          <w:rFonts w:cs="Times New Roman"/>
          <w:sz w:val="20"/>
          <w:szCs w:val="20"/>
        </w:rPr>
      </w:pPr>
      <w:r w:rsidRPr="00AE1791">
        <w:rPr>
          <w:rStyle w:val="x02-body-medium"/>
          <w:rFonts w:cs="Times New Roman"/>
          <w:sz w:val="20"/>
          <w:szCs w:val="20"/>
        </w:rPr>
        <w:t>Rationale:</w:t>
      </w:r>
      <w:r w:rsidRPr="00AE1791">
        <w:rPr>
          <w:rFonts w:cs="Times New Roman"/>
          <w:sz w:val="20"/>
          <w:szCs w:val="20"/>
        </w:rPr>
        <w:t xml:space="preserve"> Cardiac rehabilitation or other secondary prevention programs are recommended to reduce risk of subsequent cardiac events.</w:t>
      </w:r>
    </w:p>
    <w:p w:rsidR="001423B0" w:rsidRPr="00AE1791" w:rsidRDefault="001423B0" w:rsidP="001423B0">
      <w:pPr>
        <w:pStyle w:val="x02-body-copy"/>
        <w:rPr>
          <w:rFonts w:cs="Times New Roman"/>
          <w:sz w:val="20"/>
          <w:szCs w:val="20"/>
        </w:rPr>
      </w:pPr>
      <w:r w:rsidRPr="00AE1791">
        <w:rPr>
          <w:rFonts w:cs="Times New Roman"/>
          <w:sz w:val="20"/>
          <w:szCs w:val="20"/>
        </w:rPr>
        <w:t>All patients with cardiovascular disease should have access, and be actively referred, to comprehensive ongoing prevention and cardiac rehabilitation services. Specific guidelines are available for Indigenous populations.</w:t>
      </w:r>
      <w:r w:rsidRPr="00AE1791">
        <w:rPr>
          <w:rStyle w:val="x02-body-superscript"/>
          <w:rFonts w:cs="Times New Roman"/>
          <w:sz w:val="20"/>
          <w:szCs w:val="20"/>
        </w:rPr>
        <w:t>1</w:t>
      </w:r>
    </w:p>
    <w:p w:rsidR="001423B0" w:rsidRDefault="001423B0" w:rsidP="001423B0">
      <w:pPr>
        <w:pStyle w:val="x01-heading-level-3"/>
        <w:rPr>
          <w:rFonts w:cs="Times New Roman"/>
        </w:rPr>
      </w:pPr>
      <w:r>
        <w:rPr>
          <w:rFonts w:cs="Times New Roman"/>
        </w:rPr>
        <w:t>Collection and usage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Computation:</w:t>
      </w:r>
      <w:r w:rsidRPr="00AE1791">
        <w:rPr>
          <w:rFonts w:cs="Times New Roman"/>
          <w:sz w:val="20"/>
          <w:szCs w:val="20"/>
        </w:rPr>
        <w:t xml:space="preserve"> </w:t>
      </w:r>
      <w:r w:rsidRPr="00AE1791">
        <w:rPr>
          <w:rStyle w:val="x02-body-italic"/>
          <w:rFonts w:cs="Times New Roman"/>
          <w:sz w:val="20"/>
          <w:szCs w:val="20"/>
        </w:rPr>
        <w:t>(Numerator ÷ denominator) x 100</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Numerator:</w:t>
      </w:r>
      <w:r w:rsidRPr="00AE1791">
        <w:rPr>
          <w:rFonts w:cs="Times New Roman"/>
          <w:sz w:val="20"/>
          <w:szCs w:val="20"/>
        </w:rPr>
        <w:t xml:space="preserve"> Total number of patients with a final diagnosis of ACS with a documented referral prior to discharge to a cardiac rehabilitation or an alternative secondary prevention program.</w:t>
      </w:r>
    </w:p>
    <w:p w:rsidR="001423B0" w:rsidRPr="00AE1791" w:rsidRDefault="001423B0" w:rsidP="001423B0">
      <w:pPr>
        <w:pStyle w:val="x02-body-copy-before-bullet"/>
        <w:rPr>
          <w:rStyle w:val="x02-body-italic-underline"/>
          <w:sz w:val="20"/>
          <w:szCs w:val="20"/>
        </w:rPr>
      </w:pPr>
      <w:r w:rsidRPr="00AE1791">
        <w:rPr>
          <w:rStyle w:val="x02-body-medium"/>
          <w:rFonts w:cs="Times New Roman"/>
          <w:sz w:val="20"/>
          <w:szCs w:val="20"/>
        </w:rPr>
        <w:t>Numerator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AE1791" w:rsidRDefault="001423B0" w:rsidP="001423B0">
      <w:pPr>
        <w:pStyle w:val="x02-body-copy-before-bullet"/>
        <w:rPr>
          <w:rFonts w:cs="Times New Roman"/>
          <w:sz w:val="20"/>
          <w:szCs w:val="20"/>
        </w:rPr>
      </w:pPr>
      <w:r w:rsidRPr="00AE1791">
        <w:rPr>
          <w:rFonts w:cs="Times New Roman"/>
          <w:sz w:val="20"/>
          <w:szCs w:val="20"/>
        </w:rPr>
        <w:t>Patients</w:t>
      </w:r>
      <w:r w:rsidR="00694A49">
        <w:rPr>
          <w:rFonts w:cs="Times New Roman"/>
          <w:sz w:val="20"/>
          <w:szCs w:val="20"/>
        </w:rPr>
        <w:t xml:space="preserve"> with a final diagnosis of UA (I</w:t>
      </w:r>
      <w:r w:rsidRPr="00AE1791">
        <w:rPr>
          <w:rFonts w:cs="Times New Roman"/>
          <w:sz w:val="20"/>
          <w:szCs w:val="20"/>
        </w:rPr>
        <w:t>20.x) o</w:t>
      </w:r>
      <w:r w:rsidR="00694A49">
        <w:rPr>
          <w:rFonts w:cs="Times New Roman"/>
          <w:sz w:val="20"/>
          <w:szCs w:val="20"/>
        </w:rPr>
        <w:t>r acute myocardial infarction (I</w:t>
      </w:r>
      <w:r w:rsidRPr="00AE1791">
        <w:rPr>
          <w:rFonts w:cs="Times New Roman"/>
          <w:sz w:val="20"/>
          <w:szCs w:val="20"/>
        </w:rPr>
        <w:t>21.x).</w:t>
      </w:r>
      <w:r w:rsidRPr="00AE1791">
        <w:rPr>
          <w:rStyle w:val="x02-body-superscript"/>
          <w:rFonts w:cs="Times New Roman"/>
          <w:sz w:val="20"/>
          <w:szCs w:val="20"/>
        </w:rPr>
        <w:t>a</w:t>
      </w:r>
    </w:p>
    <w:p w:rsidR="001423B0" w:rsidRPr="00AE1791" w:rsidRDefault="001423B0" w:rsidP="001423B0">
      <w:pPr>
        <w:pStyle w:val="x02-body-copy-before-bullet"/>
        <w:rPr>
          <w:rFonts w:cs="Times New Roman"/>
          <w:sz w:val="20"/>
          <w:szCs w:val="20"/>
        </w:rPr>
      </w:pPr>
      <w:r w:rsidRPr="00AE1791">
        <w:rPr>
          <w:rFonts w:cs="Times New Roman"/>
          <w:sz w:val="20"/>
          <w:szCs w:val="20"/>
        </w:rPr>
        <w:t>Care type = ‘1’ (acute care).</w:t>
      </w:r>
      <w:r w:rsidRPr="00AE1791">
        <w:rPr>
          <w:rStyle w:val="x02-body-superscript"/>
          <w:rFonts w:cs="Times New Roman"/>
          <w:sz w:val="20"/>
          <w:szCs w:val="20"/>
        </w:rPr>
        <w:t>b</w:t>
      </w:r>
    </w:p>
    <w:p w:rsidR="001423B0" w:rsidRPr="00AE1791" w:rsidRDefault="001423B0" w:rsidP="001423B0">
      <w:pPr>
        <w:pStyle w:val="x02-body-copy"/>
        <w:rPr>
          <w:rStyle w:val="x02-body-italic-underline"/>
          <w:sz w:val="20"/>
          <w:szCs w:val="20"/>
        </w:rPr>
      </w:pPr>
      <w:r w:rsidRPr="00AE1791">
        <w:rPr>
          <w:rStyle w:val="x02-body-italic-underline"/>
          <w:rFonts w:cs="Times New Roman"/>
          <w:sz w:val="20"/>
          <w:szCs w:val="20"/>
        </w:rPr>
        <w:t>Exclusions</w:t>
      </w:r>
    </w:p>
    <w:p w:rsidR="001423B0" w:rsidRPr="00AE1791" w:rsidRDefault="001423B0" w:rsidP="001423B0">
      <w:pPr>
        <w:pStyle w:val="x02-body-copy"/>
        <w:rPr>
          <w:rFonts w:cs="Times New Roman"/>
          <w:sz w:val="20"/>
          <w:szCs w:val="20"/>
        </w:rPr>
      </w:pPr>
      <w:r w:rsidRPr="00AE1791">
        <w:rPr>
          <w:rFonts w:cs="Times New Roman"/>
          <w:sz w:val="20"/>
          <w:szCs w:val="20"/>
        </w:rPr>
        <w:t>Patients for whom cardiac rehabilitation or other secondary prevention program are contraindicated, and for whom the contraindication is documented.</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Denominator:</w:t>
      </w:r>
      <w:r w:rsidRPr="00AE1791">
        <w:rPr>
          <w:rFonts w:cs="Times New Roman"/>
          <w:sz w:val="20"/>
          <w:szCs w:val="20"/>
        </w:rPr>
        <w:t xml:space="preserve"> Total number of patients with a final diagnosis of ACS discharged from hospital.</w:t>
      </w:r>
    </w:p>
    <w:p w:rsidR="001423B0" w:rsidRPr="00AE1791" w:rsidRDefault="001423B0" w:rsidP="001423B0">
      <w:pPr>
        <w:pStyle w:val="x02-body-copy"/>
        <w:rPr>
          <w:rStyle w:val="x02-body-italic-underline"/>
          <w:sz w:val="20"/>
          <w:szCs w:val="20"/>
        </w:rPr>
      </w:pPr>
      <w:r w:rsidRPr="00AE1791">
        <w:rPr>
          <w:rStyle w:val="x02-body-medium"/>
          <w:rFonts w:cs="Times New Roman"/>
          <w:sz w:val="20"/>
          <w:szCs w:val="20"/>
        </w:rPr>
        <w:t>Denominator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AE1791" w:rsidRDefault="001423B0" w:rsidP="001423B0">
      <w:pPr>
        <w:pStyle w:val="x02-body-copy"/>
        <w:rPr>
          <w:rFonts w:cs="Times New Roman"/>
          <w:b/>
          <w:sz w:val="20"/>
          <w:szCs w:val="20"/>
        </w:rPr>
      </w:pPr>
      <w:r w:rsidRPr="00AE1791">
        <w:rPr>
          <w:rFonts w:cs="Times New Roman"/>
          <w:sz w:val="20"/>
          <w:szCs w:val="20"/>
        </w:rPr>
        <w:t>Patients</w:t>
      </w:r>
      <w:r w:rsidR="00694A49">
        <w:rPr>
          <w:rFonts w:cs="Times New Roman"/>
          <w:sz w:val="20"/>
          <w:szCs w:val="20"/>
        </w:rPr>
        <w:t xml:space="preserve"> with a final diagnosis of UA (I</w:t>
      </w:r>
      <w:r w:rsidRPr="00AE1791">
        <w:rPr>
          <w:rFonts w:cs="Times New Roman"/>
          <w:sz w:val="20"/>
          <w:szCs w:val="20"/>
        </w:rPr>
        <w:t>20.x) o</w:t>
      </w:r>
      <w:r w:rsidR="00694A49">
        <w:rPr>
          <w:rFonts w:cs="Times New Roman"/>
          <w:sz w:val="20"/>
          <w:szCs w:val="20"/>
        </w:rPr>
        <w:t>r acute myocardial infarction (I</w:t>
      </w:r>
      <w:r w:rsidRPr="00AE1791">
        <w:rPr>
          <w:rFonts w:cs="Times New Roman"/>
          <w:sz w:val="20"/>
          <w:szCs w:val="20"/>
        </w:rPr>
        <w:t>21.x).</w:t>
      </w:r>
      <w:r w:rsidRPr="00AE1791">
        <w:rPr>
          <w:rStyle w:val="x02-body-superscript"/>
          <w:rFonts w:cs="Times New Roman"/>
          <w:sz w:val="20"/>
          <w:szCs w:val="20"/>
        </w:rPr>
        <w:t>a</w:t>
      </w:r>
    </w:p>
    <w:p w:rsidR="001423B0" w:rsidRPr="00AE1791" w:rsidRDefault="001423B0" w:rsidP="001423B0">
      <w:pPr>
        <w:pStyle w:val="x02-body-copy"/>
        <w:rPr>
          <w:rFonts w:cs="Times New Roman"/>
          <w:sz w:val="20"/>
          <w:szCs w:val="20"/>
        </w:rPr>
      </w:pPr>
      <w:r w:rsidRPr="00AE1791">
        <w:rPr>
          <w:rFonts w:cs="Times New Roman"/>
          <w:sz w:val="20"/>
          <w:szCs w:val="20"/>
        </w:rPr>
        <w:t>Care type = ‘1’ (acute care).</w:t>
      </w:r>
      <w:r w:rsidRPr="00AE1791">
        <w:rPr>
          <w:rStyle w:val="x02-body-superscript"/>
          <w:rFonts w:cs="Times New Roman"/>
          <w:sz w:val="20"/>
          <w:szCs w:val="20"/>
        </w:rPr>
        <w:t>b</w:t>
      </w:r>
    </w:p>
    <w:p w:rsidR="001423B0" w:rsidRPr="00AE1791" w:rsidRDefault="001423B0" w:rsidP="001423B0">
      <w:pPr>
        <w:pStyle w:val="x02-body-copy"/>
        <w:rPr>
          <w:rStyle w:val="x02-body-italic-underline"/>
          <w:sz w:val="20"/>
          <w:szCs w:val="20"/>
        </w:rPr>
      </w:pPr>
      <w:r w:rsidRPr="00AE1791">
        <w:rPr>
          <w:rStyle w:val="x02-body-italic-underline"/>
          <w:rFonts w:cs="Times New Roman"/>
          <w:sz w:val="20"/>
          <w:szCs w:val="20"/>
        </w:rPr>
        <w:t>Exclusions</w:t>
      </w:r>
    </w:p>
    <w:p w:rsidR="001423B0" w:rsidRPr="00AE1791" w:rsidRDefault="001423B0" w:rsidP="001423B0">
      <w:pPr>
        <w:pStyle w:val="x02-body-copy"/>
        <w:rPr>
          <w:rFonts w:cs="Times New Roman"/>
          <w:sz w:val="20"/>
          <w:szCs w:val="20"/>
        </w:rPr>
      </w:pPr>
      <w:r w:rsidRPr="00AE1791">
        <w:rPr>
          <w:rFonts w:cs="Times New Roman"/>
          <w:sz w:val="20"/>
          <w:szCs w:val="20"/>
        </w:rPr>
        <w:t>Patients for whom cardiac rehabilitation or other secondary prevention programs are contraindicated, and for whom the contraindication is documented.</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Setting:</w:t>
      </w:r>
      <w:r w:rsidRPr="00AE1791">
        <w:rPr>
          <w:rFonts w:cs="Times New Roman"/>
          <w:sz w:val="20"/>
          <w:szCs w:val="20"/>
        </w:rPr>
        <w:t xml:space="preserve"> Acute/hospital.</w:t>
      </w:r>
    </w:p>
    <w:p w:rsidR="001423B0" w:rsidRDefault="001423B0" w:rsidP="001423B0">
      <w:pPr>
        <w:pStyle w:val="x02-body-copy-before-bullet"/>
        <w:rPr>
          <w:rFonts w:cs="Times New Roman"/>
          <w:sz w:val="20"/>
          <w:szCs w:val="20"/>
        </w:rPr>
      </w:pPr>
      <w:r w:rsidRPr="00AE1791">
        <w:rPr>
          <w:rStyle w:val="x02-body-medium"/>
          <w:rFonts w:cs="Times New Roman"/>
          <w:sz w:val="20"/>
          <w:szCs w:val="20"/>
        </w:rPr>
        <w:t>Comments:</w:t>
      </w:r>
      <w:r w:rsidRPr="00AE1791">
        <w:rPr>
          <w:rFonts w:cs="Times New Roman"/>
          <w:sz w:val="20"/>
          <w:szCs w:val="20"/>
        </w:rPr>
        <w:t xml:space="preserve"> Contraindications for cardiac rehabilitation and other secondary prevention programs may include advanced care directives, being on a palliative care pathway, and clinical judgement, subject to discussion with patients, family and carers.</w:t>
      </w:r>
    </w:p>
    <w:p w:rsidR="001423B0" w:rsidRPr="00AE1791" w:rsidRDefault="001423B0" w:rsidP="001423B0">
      <w:pPr>
        <w:pStyle w:val="x02-body-copy-before-bullet"/>
        <w:rPr>
          <w:rFonts w:cs="Times New Roman"/>
          <w:sz w:val="20"/>
          <w:szCs w:val="20"/>
        </w:rPr>
      </w:pPr>
    </w:p>
    <w:p w:rsidR="001423B0" w:rsidRDefault="001423B0" w:rsidP="001423B0">
      <w:pPr>
        <w:pStyle w:val="x04-footnotes"/>
        <w:rPr>
          <w:rFonts w:cs="Times New Roman"/>
        </w:rPr>
      </w:pPr>
      <w:r>
        <w:rPr>
          <w:rFonts w:cs="Times New Roman"/>
        </w:rPr>
        <w:t xml:space="preserve">a ICD-10-AM </w:t>
      </w:r>
      <w:r w:rsidRPr="008D7C96">
        <w:rPr>
          <w:rFonts w:cs="Times New Roman"/>
        </w:rPr>
        <w:t>(</w:t>
      </w:r>
      <w:r w:rsidR="002D409C" w:rsidRPr="008D7C96">
        <w:rPr>
          <w:rFonts w:cs="Times New Roman"/>
        </w:rPr>
        <w:t>9</w:t>
      </w:r>
      <w:r w:rsidRPr="008D7C96">
        <w:rPr>
          <w:rFonts w:cs="Times New Roman"/>
        </w:rPr>
        <w:t>th edition</w:t>
      </w:r>
      <w:r>
        <w:rPr>
          <w:rFonts w:cs="Times New Roman"/>
        </w:rPr>
        <w:t>).</w:t>
      </w:r>
    </w:p>
    <w:p w:rsidR="001423B0" w:rsidRDefault="001423B0" w:rsidP="001423B0">
      <w:pPr>
        <w:pStyle w:val="x04-footnotes"/>
        <w:rPr>
          <w:rFonts w:cs="Times New Roman"/>
        </w:rPr>
      </w:pPr>
      <w:r>
        <w:rPr>
          <w:rFonts w:cs="Times New Roman"/>
        </w:rPr>
        <w:t xml:space="preserve">b </w:t>
      </w:r>
      <w:proofErr w:type="spellStart"/>
      <w:r>
        <w:rPr>
          <w:rFonts w:cs="Times New Roman"/>
        </w:rPr>
        <w:t>METeOR</w:t>
      </w:r>
      <w:proofErr w:type="spellEnd"/>
      <w:r>
        <w:rPr>
          <w:rFonts w:cs="Times New Roman"/>
        </w:rPr>
        <w:t xml:space="preserve"> identifier: 491557.</w:t>
      </w:r>
    </w:p>
    <w:p w:rsidR="001423B0" w:rsidRPr="00AE1791" w:rsidRDefault="001423B0" w:rsidP="001423B0">
      <w:pPr>
        <w:pStyle w:val="x02-body-copy-before-bullet"/>
        <w:rPr>
          <w:rStyle w:val="x02-body-italic"/>
          <w:rFonts w:cs="Times New Roman"/>
          <w:i w:val="0"/>
          <w:sz w:val="20"/>
          <w:szCs w:val="20"/>
        </w:rPr>
      </w:pPr>
      <w:r w:rsidRPr="00AE1791">
        <w:rPr>
          <w:rFonts w:cs="Times New Roman"/>
          <w:sz w:val="20"/>
          <w:szCs w:val="20"/>
        </w:rPr>
        <w:lastRenderedPageBreak/>
        <w:t>The World Health Organization has defined cardiac rehabilitation as:</w:t>
      </w:r>
    </w:p>
    <w:p w:rsidR="001423B0" w:rsidRPr="00AE1791" w:rsidRDefault="001423B0" w:rsidP="001423B0">
      <w:pPr>
        <w:pStyle w:val="x02-body-copy-before-bullet"/>
        <w:rPr>
          <w:rFonts w:cs="Times New Roman"/>
          <w:sz w:val="20"/>
          <w:szCs w:val="20"/>
        </w:rPr>
      </w:pPr>
      <w:r w:rsidRPr="00AE1791">
        <w:rPr>
          <w:rStyle w:val="x02-body-italic"/>
          <w:rFonts w:cs="Times New Roman"/>
          <w:sz w:val="20"/>
          <w:szCs w:val="20"/>
        </w:rPr>
        <w:t>‘the sum of activities required to influence favourably the underlying cause of the disease, as well as the best possible, physical, mental and social conditions, so that they (people) may, by their own efforts preserve or resume when lost, as normal a place as possible in the community. Rehabilitation cannot be regarded as an isolated form or stage of therapy but must be integrated within secondary prevention services of which it forms only one face.’</w:t>
      </w:r>
      <w:r w:rsidRPr="00AE1791">
        <w:rPr>
          <w:rStyle w:val="x02-body-superscript"/>
          <w:rFonts w:cs="Times New Roman"/>
          <w:sz w:val="20"/>
          <w:szCs w:val="20"/>
        </w:rPr>
        <w:t>2</w:t>
      </w:r>
    </w:p>
    <w:p w:rsidR="001423B0" w:rsidRPr="00AE1791" w:rsidRDefault="001423B0" w:rsidP="001423B0">
      <w:pPr>
        <w:pStyle w:val="x02-body-copy"/>
        <w:rPr>
          <w:rFonts w:cs="Times New Roman"/>
          <w:sz w:val="20"/>
          <w:szCs w:val="20"/>
        </w:rPr>
      </w:pPr>
      <w:r w:rsidRPr="00AE1791">
        <w:rPr>
          <w:rFonts w:cs="Times New Roman"/>
          <w:sz w:val="20"/>
          <w:szCs w:val="20"/>
        </w:rPr>
        <w:t xml:space="preserve">For additional information on cardiac rehabilitation, see the </w:t>
      </w:r>
      <w:r w:rsidRPr="00AE1791">
        <w:rPr>
          <w:rStyle w:val="x02-body-italic"/>
          <w:rFonts w:cs="Times New Roman"/>
          <w:sz w:val="20"/>
          <w:szCs w:val="20"/>
        </w:rPr>
        <w:t>Recommended Framework for Cardiac Rehabilitation</w:t>
      </w:r>
      <w:r w:rsidRPr="00AE1791">
        <w:rPr>
          <w:rFonts w:cs="Times New Roman"/>
          <w:sz w:val="20"/>
          <w:szCs w:val="20"/>
        </w:rPr>
        <w:t>.</w:t>
      </w:r>
      <w:r w:rsidRPr="00AE1791">
        <w:rPr>
          <w:rStyle w:val="x02-body-superscript"/>
          <w:rFonts w:cs="Times New Roman"/>
          <w:sz w:val="20"/>
          <w:szCs w:val="20"/>
        </w:rPr>
        <w:t>3</w:t>
      </w:r>
      <w:r w:rsidRPr="00AE1791">
        <w:rPr>
          <w:rFonts w:cs="Times New Roman"/>
          <w:sz w:val="20"/>
          <w:szCs w:val="20"/>
        </w:rPr>
        <w:t xml:space="preserve"> </w:t>
      </w:r>
    </w:p>
    <w:p w:rsidR="001423B0" w:rsidRDefault="001423B0" w:rsidP="001423B0">
      <w:pPr>
        <w:pStyle w:val="x01-heading-level-3"/>
        <w:rPr>
          <w:rFonts w:cs="Times New Roman"/>
        </w:rPr>
      </w:pPr>
      <w:r>
        <w:rPr>
          <w:rFonts w:cs="Times New Roman"/>
        </w:rPr>
        <w:t>References</w:t>
      </w:r>
    </w:p>
    <w:p w:rsidR="001423B0" w:rsidRDefault="001423B0" w:rsidP="001423B0">
      <w:pPr>
        <w:pStyle w:val="x04-footnotes"/>
        <w:ind w:left="142" w:hanging="142"/>
        <w:rPr>
          <w:rFonts w:cs="Times New Roman"/>
        </w:rPr>
      </w:pPr>
      <w:r>
        <w:rPr>
          <w:rFonts w:cs="Times New Roman"/>
        </w:rPr>
        <w:t>1. National Health and Medical Research Council. Strengthening cardiac rehabilitation and secondary prevention for Aboriginal and Torres Strait Islander peoples. Canberra: NHMRC, 2005.</w:t>
      </w:r>
    </w:p>
    <w:p w:rsidR="001423B0" w:rsidRDefault="001423B0" w:rsidP="001423B0">
      <w:pPr>
        <w:pStyle w:val="x04-footnotes"/>
        <w:ind w:left="142" w:hanging="142"/>
        <w:rPr>
          <w:rFonts w:cs="Times New Roman"/>
        </w:rPr>
      </w:pPr>
      <w:r>
        <w:rPr>
          <w:rFonts w:cs="Times New Roman"/>
        </w:rPr>
        <w:t>2. World Health Organization. Needs and action priorities in cardiac rehabilitation and secondary prevention in patients with CHD. Geneva: WHO, 1993.</w:t>
      </w:r>
    </w:p>
    <w:p w:rsidR="001423B0" w:rsidRDefault="001423B0" w:rsidP="001423B0">
      <w:pPr>
        <w:pStyle w:val="x04-footnotes"/>
        <w:ind w:left="142" w:hanging="142"/>
        <w:rPr>
          <w:rFonts w:cs="Times New Roman"/>
        </w:rPr>
      </w:pPr>
      <w:r>
        <w:rPr>
          <w:rFonts w:cs="Times New Roman"/>
        </w:rPr>
        <w:t>3. National Heart Foundation of Australia and Australian Cardiac Rehabilitation Association. Recommended framework for cardiac rehabilitation ‘04. Canberra: NHFA and ACRA, 2004.</w:t>
      </w:r>
    </w:p>
    <w:p w:rsidR="001423B0" w:rsidRDefault="001423B0" w:rsidP="001423B0">
      <w:pPr>
        <w:pStyle w:val="x04-footnotes"/>
        <w:ind w:left="142" w:hanging="142"/>
        <w:rPr>
          <w:rFonts w:cs="Times New Roman"/>
        </w:rPr>
      </w:pPr>
    </w:p>
    <w:p w:rsidR="001423B0" w:rsidRPr="00AE1791" w:rsidRDefault="001423B0" w:rsidP="001423B0">
      <w:pPr>
        <w:rPr>
          <w:rFonts w:cs="Times New Roman"/>
          <w:b/>
          <w:bCs/>
          <w:color w:val="00988E"/>
          <w:sz w:val="28"/>
          <w:szCs w:val="28"/>
        </w:rPr>
      </w:pPr>
      <w:r>
        <w:rPr>
          <w:rFonts w:cs="Times New Roman"/>
        </w:rPr>
        <w:br w:type="page"/>
      </w:r>
      <w:bookmarkStart w:id="24" w:name="_Toc278988976"/>
      <w:r w:rsidRPr="00AE1791">
        <w:rPr>
          <w:rFonts w:cs="Times New Roman"/>
          <w:b/>
          <w:color w:val="00988E"/>
          <w:sz w:val="40"/>
          <w:szCs w:val="40"/>
        </w:rPr>
        <w:lastRenderedPageBreak/>
        <w:t xml:space="preserve">Quality statement 6 – Individualised care plan </w:t>
      </w:r>
    </w:p>
    <w:p w:rsidR="001423B0" w:rsidRDefault="001423B0" w:rsidP="001423B0">
      <w:pPr>
        <w:pStyle w:val="heading-level-3-aqua"/>
        <w:rPr>
          <w:rFonts w:cs="Times New Roman"/>
        </w:rPr>
      </w:pPr>
      <w:r>
        <w:rPr>
          <w:rFonts w:cs="Times New Roman"/>
        </w:rPr>
        <w:t>Indicator 6e: Discharge summary provided to general practitioner or ongoing clinical provider within 48 hours of discharge</w:t>
      </w:r>
      <w:bookmarkEnd w:id="24"/>
    </w:p>
    <w:p w:rsidR="001423B0" w:rsidRDefault="001423B0" w:rsidP="001423B0">
      <w:pPr>
        <w:pStyle w:val="x01-heading-level-3"/>
        <w:rPr>
          <w:rFonts w:cs="Times New Roman"/>
        </w:rPr>
      </w:pPr>
      <w:r>
        <w:rPr>
          <w:rFonts w:cs="Times New Roman"/>
        </w:rPr>
        <w:t>Definitional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Name:</w:t>
      </w:r>
      <w:r w:rsidRPr="00AE1791">
        <w:rPr>
          <w:rFonts w:cs="Times New Roman"/>
          <w:sz w:val="20"/>
          <w:szCs w:val="20"/>
        </w:rPr>
        <w:t xml:space="preserve"> Proportion of patients whose discharge summary is provided to their general practitioner (GP) or ongoing clinical provider within 48 hours of discharge.</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Rationale:</w:t>
      </w:r>
      <w:r w:rsidRPr="00AE1791">
        <w:rPr>
          <w:rFonts w:cs="Times New Roman"/>
          <w:sz w:val="20"/>
          <w:szCs w:val="20"/>
        </w:rPr>
        <w:t xml:space="preserve"> The provision of a discharge summary to a GP or ongoing clinical provider demonstrates appropriate clinical handover.</w:t>
      </w:r>
      <w:r w:rsidRPr="00AE1791">
        <w:rPr>
          <w:rStyle w:val="x02-body-superscript"/>
          <w:rFonts w:cs="Times New Roman"/>
          <w:sz w:val="20"/>
          <w:szCs w:val="20"/>
        </w:rPr>
        <w:t>1</w:t>
      </w:r>
      <w:r w:rsidRPr="00AE1791">
        <w:rPr>
          <w:rFonts w:cs="Times New Roman"/>
          <w:sz w:val="20"/>
          <w:szCs w:val="20"/>
        </w:rPr>
        <w:t xml:space="preserve"> </w:t>
      </w:r>
    </w:p>
    <w:p w:rsidR="001423B0" w:rsidRDefault="001423B0" w:rsidP="001423B0">
      <w:pPr>
        <w:pStyle w:val="x01-heading-level-3"/>
        <w:rPr>
          <w:rFonts w:cs="Times New Roman"/>
        </w:rPr>
      </w:pPr>
      <w:r>
        <w:rPr>
          <w:rFonts w:cs="Times New Roman"/>
        </w:rPr>
        <w:t>Collection and usage attributes</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Computation:</w:t>
      </w:r>
      <w:r w:rsidRPr="00AE1791">
        <w:rPr>
          <w:rFonts w:cs="Times New Roman"/>
          <w:sz w:val="20"/>
          <w:szCs w:val="20"/>
        </w:rPr>
        <w:t xml:space="preserve"> </w:t>
      </w:r>
      <w:r w:rsidRPr="00AE1791">
        <w:rPr>
          <w:rStyle w:val="x02-body-italic"/>
          <w:rFonts w:cs="Times New Roman"/>
          <w:sz w:val="20"/>
          <w:szCs w:val="20"/>
        </w:rPr>
        <w:t>(Numerator ÷ denominator) x 100</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Numerator:</w:t>
      </w:r>
      <w:r w:rsidRPr="00AE1791">
        <w:rPr>
          <w:rFonts w:cs="Times New Roman"/>
          <w:sz w:val="20"/>
          <w:szCs w:val="20"/>
        </w:rPr>
        <w:t xml:space="preserve"> Total number of patients with a final diagnosis of ACS whose discharge summary has been provided to their GP or relevant health service within 48 hours of discharge.</w:t>
      </w:r>
    </w:p>
    <w:p w:rsidR="001423B0" w:rsidRPr="00AE1791" w:rsidRDefault="001423B0" w:rsidP="001423B0">
      <w:pPr>
        <w:pStyle w:val="x02-body-copy-before-bullet"/>
        <w:rPr>
          <w:rStyle w:val="x02-body-italic-underline"/>
          <w:sz w:val="20"/>
          <w:szCs w:val="20"/>
        </w:rPr>
      </w:pPr>
      <w:r w:rsidRPr="00AE1791">
        <w:rPr>
          <w:rStyle w:val="x02-body-medium"/>
          <w:rFonts w:cs="Times New Roman"/>
          <w:sz w:val="20"/>
          <w:szCs w:val="20"/>
        </w:rPr>
        <w:t>Numerator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AE1791" w:rsidRDefault="001423B0" w:rsidP="001423B0">
      <w:pPr>
        <w:pStyle w:val="x02-body-copy-before-bullet"/>
        <w:rPr>
          <w:rFonts w:cs="Times New Roman"/>
          <w:sz w:val="20"/>
          <w:szCs w:val="20"/>
        </w:rPr>
      </w:pPr>
      <w:r w:rsidRPr="00AE1791">
        <w:rPr>
          <w:rFonts w:cs="Times New Roman"/>
          <w:sz w:val="20"/>
          <w:szCs w:val="20"/>
        </w:rPr>
        <w:t>Patients</w:t>
      </w:r>
      <w:r w:rsidR="0074732E">
        <w:rPr>
          <w:rFonts w:cs="Times New Roman"/>
          <w:sz w:val="20"/>
          <w:szCs w:val="20"/>
        </w:rPr>
        <w:t xml:space="preserve"> with a final diagnosis of UA (I</w:t>
      </w:r>
      <w:r w:rsidRPr="00AE1791">
        <w:rPr>
          <w:rFonts w:cs="Times New Roman"/>
          <w:sz w:val="20"/>
          <w:szCs w:val="20"/>
        </w:rPr>
        <w:t>20.x) o</w:t>
      </w:r>
      <w:r w:rsidR="0074732E">
        <w:rPr>
          <w:rFonts w:cs="Times New Roman"/>
          <w:sz w:val="20"/>
          <w:szCs w:val="20"/>
        </w:rPr>
        <w:t>r acute myocardial infarction (I</w:t>
      </w:r>
      <w:r w:rsidRPr="00AE1791">
        <w:rPr>
          <w:rFonts w:cs="Times New Roman"/>
          <w:sz w:val="20"/>
          <w:szCs w:val="20"/>
        </w:rPr>
        <w:t>21.x).</w:t>
      </w:r>
      <w:r w:rsidRPr="00AE1791">
        <w:rPr>
          <w:rStyle w:val="x02-body-superscript"/>
          <w:rFonts w:cs="Times New Roman"/>
          <w:sz w:val="20"/>
          <w:szCs w:val="20"/>
        </w:rPr>
        <w:t>a</w:t>
      </w:r>
    </w:p>
    <w:p w:rsidR="001423B0" w:rsidRPr="00AE1791" w:rsidRDefault="001423B0" w:rsidP="001423B0">
      <w:pPr>
        <w:pStyle w:val="x02-body-copy-before-bullet"/>
        <w:rPr>
          <w:rFonts w:cs="Times New Roman"/>
          <w:sz w:val="20"/>
          <w:szCs w:val="20"/>
        </w:rPr>
      </w:pPr>
      <w:r w:rsidRPr="00AE1791">
        <w:rPr>
          <w:rFonts w:cs="Times New Roman"/>
          <w:sz w:val="20"/>
          <w:szCs w:val="20"/>
        </w:rPr>
        <w:t>Care type = ‘1’ (acute care).</w:t>
      </w:r>
      <w:r w:rsidRPr="00AE1791">
        <w:rPr>
          <w:rStyle w:val="x02-body-superscript"/>
          <w:rFonts w:cs="Times New Roman"/>
          <w:sz w:val="20"/>
          <w:szCs w:val="20"/>
        </w:rPr>
        <w:t>b</w:t>
      </w:r>
    </w:p>
    <w:p w:rsidR="001423B0" w:rsidRPr="00AE1791" w:rsidRDefault="001423B0" w:rsidP="001423B0">
      <w:pPr>
        <w:pStyle w:val="x02-body-copy"/>
        <w:rPr>
          <w:rStyle w:val="x02-body-italic-underline"/>
          <w:sz w:val="20"/>
          <w:szCs w:val="20"/>
        </w:rPr>
      </w:pPr>
      <w:r w:rsidRPr="00AE1791">
        <w:rPr>
          <w:rStyle w:val="x02-body-italic-underline"/>
          <w:rFonts w:cs="Times New Roman"/>
          <w:sz w:val="20"/>
          <w:szCs w:val="20"/>
        </w:rPr>
        <w:t>Exclusions</w:t>
      </w:r>
    </w:p>
    <w:p w:rsidR="001423B0" w:rsidRPr="00AE1791" w:rsidRDefault="001423B0" w:rsidP="001423B0">
      <w:pPr>
        <w:pStyle w:val="x02-body-copy"/>
        <w:rPr>
          <w:rFonts w:cs="Times New Roman"/>
          <w:sz w:val="20"/>
          <w:szCs w:val="20"/>
        </w:rPr>
      </w:pPr>
      <w:r w:rsidRPr="00AE1791">
        <w:rPr>
          <w:rFonts w:cs="Times New Roman"/>
          <w:sz w:val="20"/>
          <w:szCs w:val="20"/>
        </w:rPr>
        <w:t>Nil.</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Denominator:</w:t>
      </w:r>
      <w:r w:rsidRPr="00AE1791">
        <w:rPr>
          <w:rFonts w:cs="Times New Roman"/>
          <w:sz w:val="20"/>
          <w:szCs w:val="20"/>
        </w:rPr>
        <w:t xml:space="preserve"> Total number of patients with a final diagnosis of ACS discharged from hospital.</w:t>
      </w:r>
    </w:p>
    <w:p w:rsidR="001423B0" w:rsidRPr="00AE1791" w:rsidRDefault="001423B0" w:rsidP="001423B0">
      <w:pPr>
        <w:pStyle w:val="x02-body-copy-before-bullet"/>
        <w:rPr>
          <w:rStyle w:val="x02-body-italic-underline"/>
          <w:sz w:val="20"/>
          <w:szCs w:val="20"/>
        </w:rPr>
      </w:pPr>
      <w:r w:rsidRPr="00AE1791">
        <w:rPr>
          <w:rStyle w:val="x02-body-medium"/>
          <w:rFonts w:cs="Times New Roman"/>
          <w:sz w:val="20"/>
          <w:szCs w:val="20"/>
        </w:rPr>
        <w:t>Denominator criteria:</w:t>
      </w:r>
      <w:r w:rsidRPr="00AE1791">
        <w:rPr>
          <w:rFonts w:cs="Times New Roman"/>
          <w:sz w:val="20"/>
          <w:szCs w:val="20"/>
        </w:rPr>
        <w:t xml:space="preserve"> </w:t>
      </w:r>
      <w:r w:rsidRPr="00AE1791">
        <w:rPr>
          <w:rStyle w:val="x02-body-italic-underline"/>
          <w:rFonts w:cs="Times New Roman"/>
          <w:sz w:val="20"/>
          <w:szCs w:val="20"/>
        </w:rPr>
        <w:t>Inclusions</w:t>
      </w:r>
    </w:p>
    <w:p w:rsidR="001423B0" w:rsidRPr="00AE1791" w:rsidRDefault="001423B0" w:rsidP="001423B0">
      <w:pPr>
        <w:pStyle w:val="x02-body-copy-before-bullet"/>
        <w:rPr>
          <w:rFonts w:cs="Times New Roman"/>
          <w:sz w:val="20"/>
          <w:szCs w:val="20"/>
        </w:rPr>
      </w:pPr>
      <w:r w:rsidRPr="00AE1791">
        <w:rPr>
          <w:rFonts w:cs="Times New Roman"/>
          <w:sz w:val="20"/>
          <w:szCs w:val="20"/>
        </w:rPr>
        <w:t>Patients</w:t>
      </w:r>
      <w:r w:rsidR="0074732E">
        <w:rPr>
          <w:rFonts w:cs="Times New Roman"/>
          <w:sz w:val="20"/>
          <w:szCs w:val="20"/>
        </w:rPr>
        <w:t xml:space="preserve"> with a final diagnosis of UA (I</w:t>
      </w:r>
      <w:r w:rsidRPr="00AE1791">
        <w:rPr>
          <w:rFonts w:cs="Times New Roman"/>
          <w:sz w:val="20"/>
          <w:szCs w:val="20"/>
        </w:rPr>
        <w:t>20.x) o</w:t>
      </w:r>
      <w:r w:rsidR="0074732E">
        <w:rPr>
          <w:rFonts w:cs="Times New Roman"/>
          <w:sz w:val="20"/>
          <w:szCs w:val="20"/>
        </w:rPr>
        <w:t>r acute myocardial infarction (I</w:t>
      </w:r>
      <w:r w:rsidRPr="00AE1791">
        <w:rPr>
          <w:rFonts w:cs="Times New Roman"/>
          <w:sz w:val="20"/>
          <w:szCs w:val="20"/>
        </w:rPr>
        <w:t>21.x).</w:t>
      </w:r>
      <w:r w:rsidRPr="00AE1791">
        <w:rPr>
          <w:rStyle w:val="x02-body-superscript"/>
          <w:rFonts w:cs="Times New Roman"/>
          <w:sz w:val="20"/>
          <w:szCs w:val="20"/>
        </w:rPr>
        <w:t>a</w:t>
      </w:r>
    </w:p>
    <w:p w:rsidR="001423B0" w:rsidRPr="00AE1791" w:rsidRDefault="001423B0" w:rsidP="001423B0">
      <w:pPr>
        <w:pStyle w:val="x02-body-copy-before-bullet"/>
        <w:rPr>
          <w:rFonts w:cs="Times New Roman"/>
          <w:sz w:val="20"/>
          <w:szCs w:val="20"/>
        </w:rPr>
      </w:pPr>
      <w:r w:rsidRPr="00AE1791">
        <w:rPr>
          <w:rFonts w:cs="Times New Roman"/>
          <w:sz w:val="20"/>
          <w:szCs w:val="20"/>
        </w:rPr>
        <w:t>Care type = ‘1’ (acute care).</w:t>
      </w:r>
      <w:r w:rsidRPr="00AE1791">
        <w:rPr>
          <w:rStyle w:val="x02-body-superscript"/>
          <w:rFonts w:cs="Times New Roman"/>
          <w:sz w:val="20"/>
          <w:szCs w:val="20"/>
        </w:rPr>
        <w:t>b</w:t>
      </w:r>
    </w:p>
    <w:p w:rsidR="001423B0" w:rsidRPr="00AE1791" w:rsidRDefault="001423B0" w:rsidP="001423B0">
      <w:pPr>
        <w:pStyle w:val="x02-body-copy"/>
        <w:rPr>
          <w:rStyle w:val="x02-body-italic-underline"/>
          <w:sz w:val="20"/>
          <w:szCs w:val="20"/>
        </w:rPr>
      </w:pPr>
      <w:r w:rsidRPr="00AE1791">
        <w:rPr>
          <w:rStyle w:val="x02-body-italic-underline"/>
          <w:rFonts w:cs="Times New Roman"/>
          <w:sz w:val="20"/>
          <w:szCs w:val="20"/>
        </w:rPr>
        <w:t>Exclusions</w:t>
      </w:r>
    </w:p>
    <w:p w:rsidR="001423B0" w:rsidRPr="00AE1791" w:rsidRDefault="001423B0" w:rsidP="001423B0">
      <w:pPr>
        <w:pStyle w:val="x02-body-copy"/>
        <w:rPr>
          <w:rFonts w:cs="Times New Roman"/>
          <w:sz w:val="20"/>
          <w:szCs w:val="20"/>
        </w:rPr>
      </w:pPr>
      <w:r w:rsidRPr="00AE1791">
        <w:rPr>
          <w:rFonts w:cs="Times New Roman"/>
          <w:sz w:val="20"/>
          <w:szCs w:val="20"/>
        </w:rPr>
        <w:t>Nil.</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Setting:</w:t>
      </w:r>
      <w:r w:rsidRPr="00AE1791">
        <w:rPr>
          <w:rFonts w:cs="Times New Roman"/>
          <w:sz w:val="20"/>
          <w:szCs w:val="20"/>
        </w:rPr>
        <w:t xml:space="preserve"> Acute/hospital.</w:t>
      </w:r>
    </w:p>
    <w:p w:rsidR="001423B0" w:rsidRPr="00AE1791" w:rsidRDefault="001423B0" w:rsidP="001423B0">
      <w:pPr>
        <w:pStyle w:val="x02-body-copy"/>
        <w:rPr>
          <w:rFonts w:cs="Times New Roman"/>
          <w:sz w:val="20"/>
          <w:szCs w:val="20"/>
        </w:rPr>
      </w:pPr>
      <w:r w:rsidRPr="00AE1791">
        <w:rPr>
          <w:rStyle w:val="x02-body-medium"/>
          <w:rFonts w:cs="Times New Roman"/>
          <w:sz w:val="20"/>
          <w:szCs w:val="20"/>
        </w:rPr>
        <w:t>Comments:</w:t>
      </w:r>
      <w:r w:rsidRPr="00AE1791">
        <w:rPr>
          <w:rFonts w:cs="Times New Roman"/>
          <w:sz w:val="20"/>
          <w:szCs w:val="20"/>
        </w:rPr>
        <w:t xml:space="preserve"> Nil.</w:t>
      </w:r>
    </w:p>
    <w:p w:rsidR="001423B0" w:rsidRDefault="001423B0" w:rsidP="001423B0">
      <w:pPr>
        <w:pStyle w:val="x01-heading-level-3"/>
        <w:rPr>
          <w:rFonts w:cs="Times New Roman"/>
        </w:rPr>
      </w:pPr>
      <w:r>
        <w:rPr>
          <w:rFonts w:cs="Times New Roman"/>
        </w:rPr>
        <w:t>Reference</w:t>
      </w:r>
    </w:p>
    <w:p w:rsidR="001423B0" w:rsidRDefault="001423B0" w:rsidP="001423B0">
      <w:pPr>
        <w:pStyle w:val="x04-footnotes"/>
        <w:numPr>
          <w:ilvl w:val="0"/>
          <w:numId w:val="16"/>
        </w:numPr>
        <w:ind w:left="426"/>
        <w:rPr>
          <w:rFonts w:cs="Times New Roman"/>
        </w:rPr>
      </w:pPr>
      <w:r>
        <w:rPr>
          <w:rFonts w:cs="Times New Roman"/>
        </w:rPr>
        <w:t>Australian Commission on Safety and Quality in Health Care. Accreditation evidence of implementation of the National Safety and Quality Health Service (NSQHS) Standards. Sydney: ACSQHC, 2013.</w:t>
      </w:r>
    </w:p>
    <w:p w:rsidR="001423B0" w:rsidRDefault="001423B0" w:rsidP="001423B0">
      <w:pPr>
        <w:pStyle w:val="x04-footnotes"/>
        <w:ind w:left="720"/>
        <w:rPr>
          <w:rFonts w:cs="Times New Roman"/>
        </w:rPr>
      </w:pPr>
    </w:p>
    <w:p w:rsidR="001423B0" w:rsidRDefault="001423B0" w:rsidP="001423B0">
      <w:pPr>
        <w:pStyle w:val="x04-footnotes"/>
        <w:ind w:left="720"/>
        <w:rPr>
          <w:rFonts w:cs="Times New Roman"/>
        </w:rPr>
      </w:pPr>
    </w:p>
    <w:p w:rsidR="001423B0" w:rsidRDefault="001423B0" w:rsidP="001423B0">
      <w:pPr>
        <w:pStyle w:val="x04-footnotes"/>
        <w:ind w:left="720"/>
        <w:rPr>
          <w:rFonts w:cs="Times New Roman"/>
        </w:rPr>
      </w:pPr>
    </w:p>
    <w:p w:rsidR="001423B0" w:rsidRDefault="001423B0" w:rsidP="001423B0">
      <w:pPr>
        <w:pStyle w:val="x04-footnotes"/>
        <w:ind w:left="720"/>
        <w:rPr>
          <w:rFonts w:cs="Times New Roman"/>
        </w:rPr>
      </w:pPr>
    </w:p>
    <w:p w:rsidR="001423B0" w:rsidRPr="008D7C96" w:rsidRDefault="001423B0" w:rsidP="001423B0">
      <w:pPr>
        <w:pStyle w:val="x04-footnotes"/>
        <w:rPr>
          <w:rFonts w:cs="Times New Roman"/>
        </w:rPr>
      </w:pPr>
      <w:r>
        <w:rPr>
          <w:rFonts w:cs="Times New Roman"/>
        </w:rPr>
        <w:t>a ICD-10-</w:t>
      </w:r>
      <w:r w:rsidRPr="008D7C96">
        <w:rPr>
          <w:rFonts w:cs="Times New Roman"/>
        </w:rPr>
        <w:t>AM (</w:t>
      </w:r>
      <w:r w:rsidR="002D409C" w:rsidRPr="008D7C96">
        <w:rPr>
          <w:rFonts w:cs="Times New Roman"/>
        </w:rPr>
        <w:t>9</w:t>
      </w:r>
      <w:r w:rsidRPr="008D7C96">
        <w:rPr>
          <w:rFonts w:cs="Times New Roman"/>
        </w:rPr>
        <w:t>th edition).</w:t>
      </w:r>
    </w:p>
    <w:p w:rsidR="001423B0" w:rsidRDefault="001423B0" w:rsidP="001423B0">
      <w:pPr>
        <w:pStyle w:val="x04-footnotes"/>
        <w:rPr>
          <w:rFonts w:cs="Times New Roman"/>
        </w:rPr>
      </w:pPr>
      <w:r>
        <w:rPr>
          <w:rFonts w:cs="Times New Roman"/>
        </w:rPr>
        <w:t xml:space="preserve">b </w:t>
      </w:r>
      <w:proofErr w:type="spellStart"/>
      <w:r>
        <w:rPr>
          <w:rFonts w:cs="Times New Roman"/>
        </w:rPr>
        <w:t>METeOR</w:t>
      </w:r>
      <w:proofErr w:type="spellEnd"/>
      <w:r>
        <w:rPr>
          <w:rFonts w:cs="Times New Roman"/>
        </w:rPr>
        <w:t xml:space="preserve"> identifier: 491557.</w:t>
      </w:r>
    </w:p>
    <w:p w:rsidR="001423B0" w:rsidRDefault="001423B0" w:rsidP="001423B0">
      <w:pPr>
        <w:rPr>
          <w:rFonts w:cs="Times New Roman"/>
          <w:sz w:val="16"/>
        </w:rPr>
      </w:pPr>
      <w:r>
        <w:rPr>
          <w:rFonts w:cs="Times New Roman"/>
        </w:rPr>
        <w:br w:type="page"/>
      </w:r>
    </w:p>
    <w:p w:rsidR="001423B0" w:rsidRDefault="001423B0" w:rsidP="001423B0">
      <w:pPr>
        <w:pStyle w:val="x01-heading-level-1"/>
        <w:rPr>
          <w:rFonts w:cs="Times New Roman"/>
        </w:rPr>
      </w:pPr>
      <w:bookmarkStart w:id="25" w:name="_Toc278988977"/>
      <w:r>
        <w:rPr>
          <w:rFonts w:cs="Times New Roman"/>
        </w:rPr>
        <w:lastRenderedPageBreak/>
        <w:t>Indicators of effectiveness</w:t>
      </w:r>
      <w:bookmarkEnd w:id="25"/>
    </w:p>
    <w:p w:rsidR="001423B0" w:rsidRPr="00AE1791" w:rsidRDefault="001423B0" w:rsidP="001423B0">
      <w:pPr>
        <w:pStyle w:val="x02-intro"/>
        <w:rPr>
          <w:rFonts w:cs="Times New Roman"/>
          <w:sz w:val="20"/>
          <w:szCs w:val="20"/>
        </w:rPr>
      </w:pPr>
      <w:r w:rsidRPr="00AE1791">
        <w:rPr>
          <w:rFonts w:cs="Times New Roman"/>
          <w:sz w:val="20"/>
          <w:szCs w:val="20"/>
        </w:rPr>
        <w:t>Indicators of effectiveness, also known as outcome indicators, provide markers of how close care is to recommended care, allow healthcare services to monitor outcomes, and provide signals to patients and clinicians on quality of care.</w:t>
      </w:r>
    </w:p>
    <w:p w:rsidR="001423B0" w:rsidRPr="00AE1791" w:rsidRDefault="001423B0" w:rsidP="001423B0">
      <w:pPr>
        <w:pStyle w:val="x02-body-copy-before-bullet"/>
        <w:rPr>
          <w:rFonts w:cs="Times New Roman"/>
          <w:sz w:val="20"/>
          <w:szCs w:val="20"/>
        </w:rPr>
      </w:pPr>
      <w:r w:rsidRPr="00AE1791">
        <w:rPr>
          <w:rFonts w:cs="Times New Roman"/>
          <w:sz w:val="20"/>
          <w:szCs w:val="20"/>
        </w:rPr>
        <w:t xml:space="preserve">In 2009, Australian health ministers endorsed the recommendation by the Commission that hospitals routinely review a set of </w:t>
      </w:r>
      <w:r w:rsidRPr="00AE1791">
        <w:rPr>
          <w:rStyle w:val="x02-body-italic"/>
          <w:rFonts w:cs="Times New Roman"/>
          <w:sz w:val="20"/>
          <w:szCs w:val="20"/>
        </w:rPr>
        <w:t>core hospital-level outcome indicators</w:t>
      </w:r>
      <w:r w:rsidRPr="00AE1791">
        <w:rPr>
          <w:rFonts w:cs="Times New Roman"/>
          <w:sz w:val="20"/>
          <w:szCs w:val="20"/>
        </w:rPr>
        <w:t>. The indicator set includes:</w:t>
      </w:r>
    </w:p>
    <w:p w:rsidR="001423B0" w:rsidRPr="00AE1791" w:rsidRDefault="001423B0" w:rsidP="001423B0">
      <w:pPr>
        <w:pStyle w:val="02Bulletslevel1"/>
        <w:rPr>
          <w:sz w:val="20"/>
          <w:szCs w:val="20"/>
        </w:rPr>
      </w:pPr>
      <w:r w:rsidRPr="00AE1791">
        <w:rPr>
          <w:sz w:val="20"/>
          <w:szCs w:val="20"/>
        </w:rPr>
        <w:t xml:space="preserve">in-hospital mortality for acute myocardial infarction </w:t>
      </w:r>
    </w:p>
    <w:p w:rsidR="001423B0" w:rsidRPr="00AE1791" w:rsidRDefault="001423B0" w:rsidP="001423B0">
      <w:pPr>
        <w:pStyle w:val="02Bulletslevel1"/>
        <w:rPr>
          <w:sz w:val="20"/>
          <w:szCs w:val="20"/>
        </w:rPr>
      </w:pPr>
      <w:r w:rsidRPr="00AE1791">
        <w:rPr>
          <w:sz w:val="20"/>
          <w:szCs w:val="20"/>
        </w:rPr>
        <w:t>unplanned readmission within 30 days following management of acute myocardial infarction.</w:t>
      </w:r>
    </w:p>
    <w:p w:rsidR="001423B0" w:rsidRPr="00AE1791" w:rsidRDefault="001423B0" w:rsidP="001423B0">
      <w:pPr>
        <w:pStyle w:val="x02-body-copy"/>
        <w:rPr>
          <w:rFonts w:cs="Times New Roman"/>
          <w:sz w:val="20"/>
          <w:szCs w:val="20"/>
        </w:rPr>
      </w:pPr>
      <w:r w:rsidRPr="00AE1791">
        <w:rPr>
          <w:rFonts w:cs="Times New Roman"/>
          <w:sz w:val="20"/>
          <w:szCs w:val="20"/>
        </w:rPr>
        <w:t xml:space="preserve">These indicators were subsequently included in the national health </w:t>
      </w:r>
      <w:r w:rsidRPr="00AE1791">
        <w:rPr>
          <w:rStyle w:val="x02-body-italic"/>
          <w:rFonts w:cs="Times New Roman"/>
          <w:sz w:val="20"/>
          <w:szCs w:val="20"/>
        </w:rPr>
        <w:t>Performance and Accountability Framework</w:t>
      </w:r>
      <w:r w:rsidRPr="00AE1791">
        <w:rPr>
          <w:rFonts w:cs="Times New Roman"/>
          <w:sz w:val="20"/>
          <w:szCs w:val="20"/>
        </w:rPr>
        <w:t xml:space="preserve"> (PAF).</w:t>
      </w:r>
      <w:proofErr w:type="spellStart"/>
      <w:r w:rsidRPr="00AE1791">
        <w:rPr>
          <w:rStyle w:val="x02-body-superscript"/>
          <w:rFonts w:cs="Times New Roman"/>
          <w:sz w:val="20"/>
          <w:szCs w:val="20"/>
        </w:rPr>
        <w:t>a</w:t>
      </w:r>
      <w:proofErr w:type="spellEnd"/>
      <w:r w:rsidRPr="00AE1791">
        <w:rPr>
          <w:rFonts w:cs="Times New Roman"/>
          <w:sz w:val="20"/>
          <w:szCs w:val="20"/>
        </w:rPr>
        <w:t xml:space="preserve"> The PAF specifies indicators that are intended to be publicly reported by the National Health Performance Authority at hospital and Local Hospital Network level. The specification for these indicators is published on the Commission’s web </w:t>
      </w:r>
      <w:proofErr w:type="spellStart"/>
      <w:r w:rsidRPr="00AE1791">
        <w:rPr>
          <w:rFonts w:cs="Times New Roman"/>
          <w:sz w:val="20"/>
          <w:szCs w:val="20"/>
        </w:rPr>
        <w:t>site,</w:t>
      </w:r>
      <w:r w:rsidRPr="00AE1791">
        <w:rPr>
          <w:rStyle w:val="x02-body-superscript"/>
          <w:rFonts w:cs="Times New Roman"/>
          <w:sz w:val="20"/>
          <w:szCs w:val="20"/>
        </w:rPr>
        <w:t>b</w:t>
      </w:r>
      <w:proofErr w:type="spellEnd"/>
      <w:r w:rsidRPr="00AE1791">
        <w:rPr>
          <w:rFonts w:cs="Times New Roman"/>
          <w:sz w:val="20"/>
          <w:szCs w:val="20"/>
        </w:rPr>
        <w:t xml:space="preserve"> and the public and private hospital sector have been provided with a toolkit which enables local generation of these indicators.</w:t>
      </w:r>
    </w:p>
    <w:p w:rsidR="001423B0" w:rsidRPr="00AE1791" w:rsidRDefault="001423B0" w:rsidP="001423B0">
      <w:pPr>
        <w:pStyle w:val="x02-body-copy"/>
        <w:rPr>
          <w:rFonts w:cs="Times New Roman"/>
          <w:sz w:val="20"/>
          <w:szCs w:val="20"/>
        </w:rPr>
      </w:pPr>
      <w:r w:rsidRPr="00AE1791">
        <w:rPr>
          <w:rFonts w:cs="Times New Roman"/>
          <w:sz w:val="20"/>
          <w:szCs w:val="20"/>
        </w:rPr>
        <w:t>Ongoing monitoring and review of a set of outcome-based indicators can detect significant variance and highlight issues of data quality and consistency, or quality of care. High outlier rates should be seen as a prompt to further investigation. Several jurisdictions and private hospital ownership groups generate these indicators, and provide them to hospitals for routine review and investigation of high outlier rates.</w:t>
      </w:r>
    </w:p>
    <w:p w:rsidR="001423B0" w:rsidRPr="00AE1791" w:rsidRDefault="001423B0" w:rsidP="001423B0">
      <w:pPr>
        <w:pStyle w:val="x02-body-copy-before-bullet"/>
        <w:rPr>
          <w:rFonts w:cs="Times New Roman"/>
          <w:sz w:val="20"/>
          <w:szCs w:val="20"/>
        </w:rPr>
      </w:pPr>
      <w:r w:rsidRPr="00AE1791">
        <w:rPr>
          <w:rFonts w:cs="Times New Roman"/>
          <w:sz w:val="20"/>
          <w:szCs w:val="20"/>
        </w:rPr>
        <w:t>Where routine access to linked data sets is available, or where individual patient follow-up is authorised for studies and registries, the following endpoints are sometimes used in monitoring acute myocardial infarction patient outcomes:</w:t>
      </w:r>
    </w:p>
    <w:p w:rsidR="001423B0" w:rsidRPr="00AE1791" w:rsidRDefault="001423B0" w:rsidP="001423B0">
      <w:pPr>
        <w:pStyle w:val="02Bulletslevel1"/>
        <w:rPr>
          <w:sz w:val="20"/>
          <w:szCs w:val="20"/>
        </w:rPr>
      </w:pPr>
      <w:r w:rsidRPr="00AE1791">
        <w:rPr>
          <w:sz w:val="20"/>
          <w:szCs w:val="20"/>
        </w:rPr>
        <w:t>30-day mortality following acute myocardial infarction (the NSW Bureau of Health Information reports risk-adjusted, linked 30-day acute myocardial infarction mortality rates for NSW)</w:t>
      </w:r>
      <w:r w:rsidRPr="00AE1791">
        <w:rPr>
          <w:rStyle w:val="x02-body-superscript"/>
          <w:sz w:val="20"/>
          <w:szCs w:val="20"/>
        </w:rPr>
        <w:t>c</w:t>
      </w:r>
    </w:p>
    <w:p w:rsidR="001423B0" w:rsidRPr="00AE1791" w:rsidRDefault="001423B0" w:rsidP="001423B0">
      <w:pPr>
        <w:pStyle w:val="02Bulletslevel1"/>
        <w:rPr>
          <w:sz w:val="20"/>
          <w:szCs w:val="20"/>
        </w:rPr>
      </w:pPr>
      <w:r w:rsidRPr="00AE1791">
        <w:rPr>
          <w:sz w:val="20"/>
          <w:szCs w:val="20"/>
        </w:rPr>
        <w:t>One-year mortality following hospital management of patients with acute myocardial infarction.</w:t>
      </w:r>
    </w:p>
    <w:p w:rsidR="001423B0" w:rsidRDefault="001423B0" w:rsidP="001423B0">
      <w:pPr>
        <w:pStyle w:val="x02-body-copy"/>
        <w:rPr>
          <w:rStyle w:val="x02-body-superscript"/>
          <w:rFonts w:cs="Times New Roman"/>
          <w:sz w:val="20"/>
          <w:szCs w:val="20"/>
        </w:rPr>
      </w:pPr>
      <w:r w:rsidRPr="00AE1791">
        <w:rPr>
          <w:rFonts w:cs="Times New Roman"/>
          <w:sz w:val="20"/>
          <w:szCs w:val="20"/>
        </w:rPr>
        <w:t xml:space="preserve">By measuring one-year mortality for acute myocardial infarction patients, the Australian Acute Coronary Syndrome Prospective Audit (ACACIA) revealed a substantial burden of late morbidity and mortality among patients with </w:t>
      </w:r>
      <w:proofErr w:type="spellStart"/>
      <w:r w:rsidRPr="00AE1791">
        <w:rPr>
          <w:rFonts w:cs="Times New Roman"/>
          <w:sz w:val="20"/>
          <w:szCs w:val="20"/>
        </w:rPr>
        <w:t>ACS.</w:t>
      </w:r>
      <w:r w:rsidRPr="00AE1791">
        <w:rPr>
          <w:rStyle w:val="x02-body-superscript"/>
          <w:rFonts w:cs="Times New Roman"/>
          <w:sz w:val="20"/>
          <w:szCs w:val="20"/>
        </w:rPr>
        <w:t>d</w:t>
      </w:r>
      <w:proofErr w:type="spellEnd"/>
    </w:p>
    <w:p w:rsidR="001423B0" w:rsidRDefault="001423B0" w:rsidP="001423B0">
      <w:pPr>
        <w:pStyle w:val="x02-body-copy"/>
        <w:rPr>
          <w:rStyle w:val="x02-body-superscript"/>
          <w:rFonts w:cs="Times New Roman"/>
          <w:sz w:val="20"/>
          <w:szCs w:val="20"/>
        </w:rPr>
      </w:pPr>
    </w:p>
    <w:p w:rsidR="001423B0" w:rsidRDefault="001423B0" w:rsidP="001423B0">
      <w:pPr>
        <w:pStyle w:val="x02-body-copy"/>
        <w:rPr>
          <w:rStyle w:val="x02-body-superscript"/>
          <w:rFonts w:cs="Times New Roman"/>
          <w:sz w:val="20"/>
          <w:szCs w:val="20"/>
        </w:rPr>
      </w:pPr>
    </w:p>
    <w:p w:rsidR="001423B0" w:rsidRDefault="001423B0" w:rsidP="001423B0">
      <w:pPr>
        <w:pStyle w:val="x02-body-copy"/>
        <w:rPr>
          <w:rStyle w:val="x02-body-superscript"/>
          <w:rFonts w:cs="Times New Roman"/>
          <w:sz w:val="20"/>
          <w:szCs w:val="20"/>
        </w:rPr>
      </w:pPr>
    </w:p>
    <w:p w:rsidR="001423B0" w:rsidRDefault="001423B0" w:rsidP="001423B0">
      <w:pPr>
        <w:pStyle w:val="x02-body-copy"/>
        <w:rPr>
          <w:rStyle w:val="x02-body-superscript"/>
          <w:rFonts w:cs="Times New Roman"/>
          <w:sz w:val="20"/>
          <w:szCs w:val="20"/>
        </w:rPr>
      </w:pPr>
    </w:p>
    <w:p w:rsidR="001423B0" w:rsidRDefault="001423B0" w:rsidP="001423B0">
      <w:pPr>
        <w:pStyle w:val="x02-body-copy"/>
        <w:rPr>
          <w:rStyle w:val="x02-body-superscript"/>
          <w:rFonts w:cs="Times New Roman"/>
          <w:sz w:val="20"/>
          <w:szCs w:val="20"/>
        </w:rPr>
      </w:pPr>
    </w:p>
    <w:p w:rsidR="001423B0" w:rsidRDefault="001423B0" w:rsidP="001423B0">
      <w:pPr>
        <w:pStyle w:val="x02-body-copy"/>
        <w:rPr>
          <w:rStyle w:val="x02-body-superscript"/>
          <w:rFonts w:cs="Times New Roman"/>
          <w:sz w:val="20"/>
          <w:szCs w:val="20"/>
        </w:rPr>
      </w:pPr>
    </w:p>
    <w:p w:rsidR="001423B0" w:rsidRPr="00AE1791" w:rsidRDefault="001423B0" w:rsidP="001423B0">
      <w:pPr>
        <w:pStyle w:val="x02-body-copy"/>
        <w:rPr>
          <w:rFonts w:cs="Times New Roman"/>
          <w:sz w:val="20"/>
          <w:szCs w:val="20"/>
        </w:rPr>
      </w:pPr>
    </w:p>
    <w:p w:rsidR="001423B0" w:rsidRDefault="001423B0" w:rsidP="001423B0">
      <w:pPr>
        <w:pStyle w:val="x04-footnotes"/>
        <w:rPr>
          <w:rFonts w:cs="Times New Roman"/>
        </w:rPr>
      </w:pPr>
      <w:proofErr w:type="spellStart"/>
      <w:r>
        <w:rPr>
          <w:rFonts w:cs="Times New Roman"/>
        </w:rPr>
        <w:t>a</w:t>
      </w:r>
      <w:proofErr w:type="spellEnd"/>
      <w:r>
        <w:rPr>
          <w:rFonts w:cs="Times New Roman"/>
        </w:rPr>
        <w:t xml:space="preserve"> Available at </w:t>
      </w:r>
      <w:r>
        <w:rPr>
          <w:rStyle w:val="x03-web-hyperlink"/>
          <w:rFonts w:cs="Times New Roman"/>
        </w:rPr>
        <w:t>www.nhpa.gov.au/internet/nhpa/publishing.nsf/Content/PAF</w:t>
      </w:r>
      <w:r>
        <w:rPr>
          <w:rFonts w:cs="Times New Roman"/>
        </w:rPr>
        <w:t xml:space="preserve">. </w:t>
      </w:r>
    </w:p>
    <w:p w:rsidR="001423B0" w:rsidRDefault="001423B0" w:rsidP="001423B0">
      <w:pPr>
        <w:pStyle w:val="x04-footnotes"/>
        <w:rPr>
          <w:rFonts w:cs="Times New Roman"/>
        </w:rPr>
      </w:pPr>
      <w:r>
        <w:rPr>
          <w:rFonts w:cs="Times New Roman"/>
        </w:rPr>
        <w:t xml:space="preserve">b See </w:t>
      </w:r>
      <w:r>
        <w:rPr>
          <w:rStyle w:val="x03-web-hyperlink"/>
          <w:rFonts w:cs="Times New Roman"/>
        </w:rPr>
        <w:t>www.safetyandquality.gov.au/our-work/information-strategy/indicators/core-hospital-based-outcome-indicators/</w:t>
      </w:r>
      <w:r>
        <w:rPr>
          <w:rFonts w:cs="Times New Roman"/>
        </w:rPr>
        <w:t>.</w:t>
      </w:r>
    </w:p>
    <w:p w:rsidR="001423B0" w:rsidRDefault="001423B0" w:rsidP="001423B0">
      <w:pPr>
        <w:pStyle w:val="x04-footnotes"/>
        <w:rPr>
          <w:rFonts w:cs="Times New Roman"/>
        </w:rPr>
      </w:pPr>
      <w:r>
        <w:rPr>
          <w:rFonts w:cs="Times New Roman"/>
        </w:rPr>
        <w:t xml:space="preserve">c See </w:t>
      </w:r>
      <w:r>
        <w:rPr>
          <w:rStyle w:val="x03-web-hyperlink"/>
          <w:rFonts w:cs="Times New Roman"/>
        </w:rPr>
        <w:t>bhi.nsw.gov.au/__data/assets/pdf_file/0004/177205/APR_HealthcareInFocus2012_effectiveness-appropriateness.pdf</w:t>
      </w:r>
      <w:r>
        <w:rPr>
          <w:rFonts w:cs="Times New Roman"/>
        </w:rPr>
        <w:t>.</w:t>
      </w:r>
    </w:p>
    <w:p w:rsidR="001423B0" w:rsidRDefault="001423B0" w:rsidP="001423B0">
      <w:pPr>
        <w:pStyle w:val="x04-footnotes"/>
        <w:ind w:left="142" w:hanging="142"/>
        <w:rPr>
          <w:rFonts w:cs="Times New Roman"/>
        </w:rPr>
      </w:pPr>
      <w:r>
        <w:rPr>
          <w:rFonts w:cs="Times New Roman"/>
        </w:rPr>
        <w:t>d Chew DP, et al. Invasive management and late clinical outcomes in contemporary Australian management of acute coronary syndromes: observations from the ACACIA registry. Medical Journal of Australia, 2008;88(12):691–697.</w:t>
      </w:r>
    </w:p>
    <w:p w:rsidR="001423B0" w:rsidRDefault="001423B0" w:rsidP="001423B0">
      <w:pPr>
        <w:rPr>
          <w:rStyle w:val="x02-gotham-bold--figures-"/>
          <w:sz w:val="16"/>
        </w:rPr>
      </w:pPr>
      <w:r>
        <w:rPr>
          <w:rStyle w:val="x02-gotham-bold--figures-"/>
          <w:rFonts w:cs="Times New Roman"/>
        </w:rPr>
        <w:br w:type="page"/>
      </w:r>
    </w:p>
    <w:p w:rsidR="001423B0" w:rsidRDefault="001423B0" w:rsidP="001423B0">
      <w:pPr>
        <w:pStyle w:val="x04-footnotes"/>
        <w:rPr>
          <w:rStyle w:val="x02-gotham-bold--figures-"/>
          <w:sz w:val="24"/>
        </w:rPr>
      </w:pPr>
      <w:r>
        <w:rPr>
          <w:rFonts w:cs="Times New Roman"/>
          <w:b/>
          <w:noProof/>
          <w:lang w:eastAsia="en-AU"/>
        </w:rPr>
        <w:lastRenderedPageBreak/>
        <mc:AlternateContent>
          <mc:Choice Requires="wps">
            <w:drawing>
              <wp:anchor distT="0" distB="0" distL="114300" distR="114300" simplePos="0" relativeHeight="251660288" behindDoc="1" locked="0" layoutInCell="1" allowOverlap="1" wp14:anchorId="0F248F30" wp14:editId="0895D478">
                <wp:simplePos x="0" y="0"/>
                <wp:positionH relativeFrom="column">
                  <wp:posOffset>-570865</wp:posOffset>
                </wp:positionH>
                <wp:positionV relativeFrom="paragraph">
                  <wp:posOffset>-1828165</wp:posOffset>
                </wp:positionV>
                <wp:extent cx="7543800" cy="10629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10629900"/>
                        </a:xfrm>
                        <a:prstGeom prst="rect">
                          <a:avLst/>
                        </a:prstGeom>
                        <a:solidFill>
                          <a:schemeClr val="bg1"/>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756A75" w:rsidRDefault="00756A75" w:rsidP="001423B0">
                            <w:r>
                              <w:rPr>
                                <w:noProof/>
                                <w:lang w:eastAsia="en-AU"/>
                              </w:rPr>
                              <w:drawing>
                                <wp:inline distT="0" distB="0" distL="0" distR="0" wp14:anchorId="7024A58D" wp14:editId="48F00D54">
                                  <wp:extent cx="7511415" cy="10629900"/>
                                  <wp:effectExtent l="0" t="0" r="0" b="0"/>
                                  <wp:docPr id="10" name="Picture 10" descr="Back cover"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a:blip r:embed="rId20">
                                            <a:extLst>
                                              <a:ext uri="{28A0092B-C50C-407E-A947-70E740481C1C}">
                                                <a14:useLocalDpi xmlns:a14="http://schemas.microsoft.com/office/drawing/2010/main" val="0"/>
                                              </a:ext>
                                            </a:extLst>
                                          </a:blip>
                                          <a:stretch>
                                            <a:fillRect/>
                                          </a:stretch>
                                        </pic:blipFill>
                                        <pic:spPr>
                                          <a:xfrm>
                                            <a:off x="0" y="0"/>
                                            <a:ext cx="7511415" cy="106299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4.95pt;margin-top:-143.95pt;width:594pt;height:8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" fillcolor="white [3212]" stroked="f">
                <v:path arrowok="t"/>
                <v:textbox inset="0,0,0,0">
                  <w:txbxContent>
                    <w:p w:rsidR="00756A75" w:rsidRDefault="00756A75" w:rsidP="001423B0">
                      <w:r>
                        <w:rPr>
                          <w:noProof/>
                          <w:lang w:eastAsia="en-AU"/>
                        </w:rPr>
                        <w:drawing>
                          <wp:inline distT="0" distB="0" distL="0" distR="0" wp14:anchorId="7024A58D" wp14:editId="48F00D54">
                            <wp:extent cx="7511415" cy="10629900"/>
                            <wp:effectExtent l="0" t="0" r="0" b="0"/>
                            <wp:docPr id="10" name="Picture 10" descr="Back cover"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png"/>
                                    <pic:cNvPicPr/>
                                  </pic:nvPicPr>
                                  <pic:blipFill>
                                    <a:blip r:embed="rId21">
                                      <a:extLst>
                                        <a:ext uri="{28A0092B-C50C-407E-A947-70E740481C1C}">
                                          <a14:useLocalDpi xmlns:a14="http://schemas.microsoft.com/office/drawing/2010/main" val="0"/>
                                        </a:ext>
                                      </a:extLst>
                                    </a:blip>
                                    <a:stretch>
                                      <a:fillRect/>
                                    </a:stretch>
                                  </pic:blipFill>
                                  <pic:spPr>
                                    <a:xfrm>
                                      <a:off x="0" y="0"/>
                                      <a:ext cx="7511415" cy="10629900"/>
                                    </a:xfrm>
                                    <a:prstGeom prst="rect">
                                      <a:avLst/>
                                    </a:prstGeom>
                                  </pic:spPr>
                                </pic:pic>
                              </a:graphicData>
                            </a:graphic>
                          </wp:inline>
                        </w:drawing>
                      </w:r>
                    </w:p>
                  </w:txbxContent>
                </v:textbox>
              </v:shape>
            </w:pict>
          </mc:Fallback>
        </mc:AlternateContent>
      </w:r>
    </w:p>
    <w:p w:rsidR="001423B0" w:rsidRDefault="001423B0" w:rsidP="001423B0">
      <w:pPr>
        <w:pStyle w:val="x04-footnotes"/>
        <w:rPr>
          <w:rStyle w:val="x02-gotham-bold--figures-"/>
          <w:rFonts w:cs="Times New Roman"/>
          <w:b w:val="0"/>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Style w:val="x02-gotham-bold--figures-"/>
        </w:rPr>
      </w:pPr>
    </w:p>
    <w:p w:rsidR="001423B0" w:rsidRDefault="001423B0" w:rsidP="001423B0">
      <w:pPr>
        <w:pStyle w:val="x04-footnotes"/>
        <w:rPr>
          <w:rFonts w:cs="Times New Roman"/>
        </w:rPr>
      </w:pPr>
      <w:r>
        <w:rPr>
          <w:rFonts w:cs="Times New Roman"/>
          <w:b/>
          <w:noProof/>
          <w:lang w:eastAsia="en-AU"/>
        </w:rPr>
        <mc:AlternateContent>
          <mc:Choice Requires="wps">
            <w:drawing>
              <wp:anchor distT="0" distB="0" distL="114300" distR="114300" simplePos="0" relativeHeight="251659264" behindDoc="1" locked="0" layoutInCell="1" allowOverlap="1" wp14:anchorId="0A6EFC5A" wp14:editId="5ED3C995">
                <wp:simplePos x="0" y="0"/>
                <wp:positionH relativeFrom="column">
                  <wp:posOffset>-570865</wp:posOffset>
                </wp:positionH>
                <wp:positionV relativeFrom="paragraph">
                  <wp:posOffset>-1828165</wp:posOffset>
                </wp:positionV>
                <wp:extent cx="7658100" cy="10744200"/>
                <wp:effectExtent l="0" t="0" r="0" b="0"/>
                <wp:wrapNone/>
                <wp:docPr id="5" name="Text Box 5" descr="Contact details Australian Commission on Safety and Quality in Health Care" title="Contact details Australian Commission on Safety and Quality in Health Car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0" cy="1074420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756A75" w:rsidRDefault="00756A75" w:rsidP="001423B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alt="Title: Contact details Australian Commission on Safety and Quality in Health Care  - Description: Contact details Australian Commission on Safety and Quality in Health Care" style="position:absolute;margin-left:-44.95pt;margin-top:-143.95pt;width:603pt;height:8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" filled="f" stroked="f">
                <v:path arrowok="t"/>
                <v:textbox inset="0,0,0,0">
                  <w:txbxContent>
                    <w:p w:rsidR="00756A75" w:rsidRDefault="00756A75" w:rsidP="001423B0"/>
                  </w:txbxContent>
                </v:textbox>
              </v:shape>
            </w:pict>
          </mc:Fallback>
        </mc:AlternateContent>
      </w:r>
      <w:r>
        <w:rPr>
          <w:rStyle w:val="x02-gotham-bold--figures-"/>
          <w:rFonts w:cs="Times New Roman"/>
        </w:rPr>
        <w:t>Australian Commission on Safety and Quality in Health Care</w:t>
      </w:r>
    </w:p>
    <w:p w:rsidR="001423B0" w:rsidRDefault="001423B0" w:rsidP="001423B0">
      <w:pPr>
        <w:pStyle w:val="x04-footnotes"/>
        <w:rPr>
          <w:rFonts w:cs="Times New Roman"/>
        </w:rPr>
      </w:pPr>
      <w:r>
        <w:rPr>
          <w:rStyle w:val="white"/>
          <w:rFonts w:cs="Times New Roman"/>
        </w:rPr>
        <w:t xml:space="preserve">Level 5, 255 Elizabeth Street, SYDNEY NSW 2000 </w:t>
      </w:r>
      <w:r>
        <w:rPr>
          <w:rFonts w:cs="Times New Roman"/>
        </w:rPr>
        <w:br/>
      </w:r>
      <w:r>
        <w:rPr>
          <w:rStyle w:val="white"/>
          <w:rFonts w:cs="Times New Roman"/>
        </w:rPr>
        <w:t>GPO Box 5480, SYDNEY NSW 2001</w:t>
      </w:r>
    </w:p>
    <w:p w:rsidR="001423B0" w:rsidRDefault="001423B0" w:rsidP="001423B0">
      <w:pPr>
        <w:pStyle w:val="x04-footnotes"/>
        <w:rPr>
          <w:rFonts w:cs="Times New Roman"/>
        </w:rPr>
      </w:pPr>
      <w:r>
        <w:rPr>
          <w:rStyle w:val="white"/>
          <w:rFonts w:cs="Times New Roman"/>
        </w:rPr>
        <w:t xml:space="preserve">Telephone: (02) 9126 3600 </w:t>
      </w:r>
      <w:r>
        <w:rPr>
          <w:rFonts w:cs="Times New Roman"/>
        </w:rPr>
        <w:br/>
      </w:r>
      <w:r>
        <w:rPr>
          <w:rStyle w:val="white"/>
          <w:rFonts w:cs="Times New Roman"/>
        </w:rPr>
        <w:t>Fax: (02) 9126 3613</w:t>
      </w:r>
    </w:p>
    <w:p w:rsidR="001423B0" w:rsidRDefault="001423B0" w:rsidP="001423B0">
      <w:pPr>
        <w:pStyle w:val="x04-footnotes"/>
        <w:rPr>
          <w:rFonts w:cs="Times New Roman"/>
        </w:rPr>
      </w:pPr>
      <w:r>
        <w:rPr>
          <w:rStyle w:val="white"/>
          <w:rFonts w:cs="Times New Roman"/>
        </w:rPr>
        <w:t xml:space="preserve">ccs@safetyandquality.gov.au </w:t>
      </w:r>
      <w:r>
        <w:rPr>
          <w:rFonts w:cs="Times New Roman"/>
          <w:b/>
          <w:bCs/>
        </w:rPr>
        <w:br/>
      </w:r>
      <w:r>
        <w:rPr>
          <w:rStyle w:val="white-medium"/>
          <w:rFonts w:cs="Times New Roman"/>
        </w:rPr>
        <w:t>www.safetyandquality.gov.au</w:t>
      </w:r>
    </w:p>
    <w:p w:rsidR="00003743" w:rsidRPr="00003743" w:rsidRDefault="00003743" w:rsidP="00003743">
      <w:pPr>
        <w:rPr>
          <w:rStyle w:val="IntenseReference"/>
          <w:b w:val="0"/>
          <w:bCs w:val="0"/>
          <w:i w:val="0"/>
          <w:smallCaps w:val="0"/>
          <w:color w:val="auto"/>
          <w:spacing w:val="0"/>
        </w:rPr>
      </w:pPr>
    </w:p>
    <w:sectPr w:rsidR="00003743" w:rsidRPr="00003743" w:rsidSect="00CA1A7A">
      <w:headerReference w:type="default" r:id="rId22"/>
      <w:footerReference w:type="even" r:id="rId23"/>
      <w:footerReference w:type="default" r:id="rId24"/>
      <w:headerReference w:type="first" r:id="rId25"/>
      <w:pgSz w:w="11901" w:h="16840"/>
      <w:pgMar w:top="2835" w:right="1021" w:bottom="1304" w:left="1021"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C68" w:rsidRDefault="00731C68">
      <w:r>
        <w:separator/>
      </w:r>
    </w:p>
  </w:endnote>
  <w:endnote w:type="continuationSeparator" w:id="0">
    <w:p w:rsidR="00731C68" w:rsidRDefault="00731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75" w:rsidRDefault="00756A75" w:rsidP="00CA1A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6A75" w:rsidRDefault="00756A75" w:rsidP="00CA1A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75" w:rsidRPr="00C92DF3" w:rsidRDefault="00756A75" w:rsidP="00CA1A7A">
    <w:pPr>
      <w:pStyle w:val="Footer"/>
      <w:framePr w:wrap="around" w:vAnchor="text" w:hAnchor="margin" w:xAlign="right" w:y="1"/>
      <w:rPr>
        <w:rStyle w:val="PageNumber"/>
        <w:rFonts w:cs="Arial"/>
      </w:rPr>
    </w:pPr>
    <w:r w:rsidRPr="00C92DF3">
      <w:rPr>
        <w:rStyle w:val="PageNumber"/>
        <w:rFonts w:cs="Arial"/>
      </w:rPr>
      <w:fldChar w:fldCharType="begin"/>
    </w:r>
    <w:r w:rsidRPr="00C92DF3">
      <w:rPr>
        <w:rStyle w:val="PageNumber"/>
        <w:rFonts w:cs="Arial"/>
      </w:rPr>
      <w:instrText xml:space="preserve">PAGE  </w:instrText>
    </w:r>
    <w:r w:rsidRPr="00C92DF3">
      <w:rPr>
        <w:rStyle w:val="PageNumber"/>
        <w:rFonts w:cs="Arial"/>
      </w:rPr>
      <w:fldChar w:fldCharType="separate"/>
    </w:r>
    <w:r w:rsidR="00466D97">
      <w:rPr>
        <w:rStyle w:val="PageNumber"/>
        <w:rFonts w:cs="Arial"/>
        <w:noProof/>
      </w:rPr>
      <w:t>35</w:t>
    </w:r>
    <w:r w:rsidRPr="00C92DF3">
      <w:rPr>
        <w:rStyle w:val="PageNumber"/>
        <w:rFonts w:cs="Arial"/>
      </w:rPr>
      <w:fldChar w:fldCharType="end"/>
    </w:r>
  </w:p>
  <w:p w:rsidR="00756A75" w:rsidRPr="001F0305" w:rsidRDefault="00756A75" w:rsidP="00CA1A7A">
    <w:pPr>
      <w:pStyle w:val="05Pagefooter"/>
      <w:ind w:right="360"/>
    </w:pPr>
    <w:r w:rsidRPr="001F0305">
      <w:t xml:space="preserve">Indicator Specification: Acute Coronary Syndromes Clinical Care Standard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C68" w:rsidRDefault="00731C68">
      <w:r>
        <w:separator/>
      </w:r>
    </w:p>
  </w:footnote>
  <w:footnote w:type="continuationSeparator" w:id="0">
    <w:p w:rsidR="00731C68" w:rsidRDefault="00731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75" w:rsidRDefault="00756A75" w:rsidP="00CA1A7A">
    <w:pPr>
      <w:pStyle w:val="Header"/>
      <w:tabs>
        <w:tab w:val="left" w:pos="5082"/>
      </w:tabs>
    </w:pPr>
    <w:r>
      <w:rPr>
        <w:noProof/>
        <w:lang w:eastAsia="en-AU"/>
      </w:rPr>
      <w:drawing>
        <wp:anchor distT="0" distB="0" distL="114300" distR="114300" simplePos="0" relativeHeight="251659264" behindDoc="1" locked="0" layoutInCell="1" allowOverlap="1" wp14:anchorId="56FD21DD" wp14:editId="4808EE15">
          <wp:simplePos x="0" y="0"/>
          <wp:positionH relativeFrom="column">
            <wp:posOffset>-685800</wp:posOffset>
          </wp:positionH>
          <wp:positionV relativeFrom="paragraph">
            <wp:posOffset>-478790</wp:posOffset>
          </wp:positionV>
          <wp:extent cx="7559040" cy="1408176"/>
          <wp:effectExtent l="0" t="0" r="0" b="0"/>
          <wp:wrapNone/>
          <wp:docPr id="11" name="Picture 11" descr="Clinical Care Standards logo " title="Clinical Care Standard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408176"/>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A75" w:rsidRDefault="00756A75">
    <w:pPr>
      <w:pStyle w:val="Header"/>
    </w:pPr>
    <w:r>
      <w:rPr>
        <w:noProof/>
        <w:lang w:eastAsia="en-AU"/>
      </w:rPr>
      <w:drawing>
        <wp:anchor distT="0" distB="0" distL="114300" distR="114300" simplePos="0" relativeHeight="251660288" behindDoc="1" locked="0" layoutInCell="1" allowOverlap="1" wp14:anchorId="01B3F09E" wp14:editId="6F228662">
          <wp:simplePos x="0" y="0"/>
          <wp:positionH relativeFrom="column">
            <wp:posOffset>-688249</wp:posOffset>
          </wp:positionH>
          <wp:positionV relativeFrom="paragraph">
            <wp:posOffset>-476341</wp:posOffset>
          </wp:positionV>
          <wp:extent cx="7556499" cy="10685744"/>
          <wp:effectExtent l="0" t="0" r="6985" b="1905"/>
          <wp:wrapNone/>
          <wp:docPr id="12" name="Picture 12" descr="Front cover design" title="Front cov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stretch>
                    <a:fillRect/>
                  </a:stretch>
                </pic:blipFill>
                <pic:spPr>
                  <a:xfrm>
                    <a:off x="0" y="0"/>
                    <a:ext cx="7556499" cy="10685744"/>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39D2"/>
    <w:multiLevelType w:val="hybridMultilevel"/>
    <w:tmpl w:val="37985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F094C"/>
    <w:multiLevelType w:val="multilevel"/>
    <w:tmpl w:val="52969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D1F1AC4"/>
    <w:multiLevelType w:val="multilevel"/>
    <w:tmpl w:val="331A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6F04F1"/>
    <w:multiLevelType w:val="multilevel"/>
    <w:tmpl w:val="707C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701316"/>
    <w:multiLevelType w:val="multilevel"/>
    <w:tmpl w:val="E388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86431A"/>
    <w:multiLevelType w:val="multilevel"/>
    <w:tmpl w:val="4ECA1010"/>
    <w:lvl w:ilvl="0">
      <w:start w:val="1"/>
      <w:numFmt w:val="bullet"/>
      <w:pStyle w:val="02Bulletslevel1"/>
      <w:lvlText w:val=""/>
      <w:lvlJc w:val="left"/>
      <w:pPr>
        <w:ind w:left="717" w:hanging="360"/>
      </w:pPr>
      <w:rPr>
        <w:rFonts w:ascii="Symbol" w:hAnsi="Symbol" w:hint="default"/>
        <w:color w:val="00988E"/>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9A6AB8"/>
    <w:multiLevelType w:val="multilevel"/>
    <w:tmpl w:val="C42E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C8163C"/>
    <w:multiLevelType w:val="multilevel"/>
    <w:tmpl w:val="3BEC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B6465C"/>
    <w:multiLevelType w:val="multilevel"/>
    <w:tmpl w:val="EEEE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B94DE3"/>
    <w:multiLevelType w:val="multilevel"/>
    <w:tmpl w:val="8856F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33179E"/>
    <w:multiLevelType w:val="multilevel"/>
    <w:tmpl w:val="6FBA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142CF7"/>
    <w:multiLevelType w:val="multilevel"/>
    <w:tmpl w:val="5AE8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5C1359"/>
    <w:multiLevelType w:val="multilevel"/>
    <w:tmpl w:val="ECDA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CC62A8"/>
    <w:multiLevelType w:val="multilevel"/>
    <w:tmpl w:val="15AA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342414"/>
    <w:multiLevelType w:val="multilevel"/>
    <w:tmpl w:val="BA78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7F38AD"/>
    <w:multiLevelType w:val="multilevel"/>
    <w:tmpl w:val="FA3E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7"/>
  </w:num>
  <w:num w:numId="4">
    <w:abstractNumId w:val="11"/>
  </w:num>
  <w:num w:numId="5">
    <w:abstractNumId w:val="10"/>
  </w:num>
  <w:num w:numId="6">
    <w:abstractNumId w:val="8"/>
  </w:num>
  <w:num w:numId="7">
    <w:abstractNumId w:val="9"/>
  </w:num>
  <w:num w:numId="8">
    <w:abstractNumId w:val="14"/>
  </w:num>
  <w:num w:numId="9">
    <w:abstractNumId w:val="15"/>
  </w:num>
  <w:num w:numId="10">
    <w:abstractNumId w:val="3"/>
  </w:num>
  <w:num w:numId="11">
    <w:abstractNumId w:val="13"/>
  </w:num>
  <w:num w:numId="12">
    <w:abstractNumId w:val="12"/>
  </w:num>
  <w:num w:numId="13">
    <w:abstractNumId w:val="2"/>
  </w:num>
  <w:num w:numId="14">
    <w:abstractNumId w:val="4"/>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3B0"/>
    <w:rsid w:val="00003743"/>
    <w:rsid w:val="00016DB8"/>
    <w:rsid w:val="00067456"/>
    <w:rsid w:val="00083497"/>
    <w:rsid w:val="001423B0"/>
    <w:rsid w:val="00163016"/>
    <w:rsid w:val="001849CA"/>
    <w:rsid w:val="001B3443"/>
    <w:rsid w:val="0027130A"/>
    <w:rsid w:val="002918FB"/>
    <w:rsid w:val="002A2FCA"/>
    <w:rsid w:val="002D409C"/>
    <w:rsid w:val="002E3BB5"/>
    <w:rsid w:val="0030786C"/>
    <w:rsid w:val="00324E68"/>
    <w:rsid w:val="003D17F9"/>
    <w:rsid w:val="004503D1"/>
    <w:rsid w:val="00466D97"/>
    <w:rsid w:val="004848C7"/>
    <w:rsid w:val="004867E2"/>
    <w:rsid w:val="005030AA"/>
    <w:rsid w:val="005E788C"/>
    <w:rsid w:val="00694A49"/>
    <w:rsid w:val="006A7D11"/>
    <w:rsid w:val="00731C68"/>
    <w:rsid w:val="0074732E"/>
    <w:rsid w:val="00751C89"/>
    <w:rsid w:val="00756A75"/>
    <w:rsid w:val="0077342C"/>
    <w:rsid w:val="007B3A4B"/>
    <w:rsid w:val="007B7A65"/>
    <w:rsid w:val="008264EB"/>
    <w:rsid w:val="008B4ED4"/>
    <w:rsid w:val="008D7C96"/>
    <w:rsid w:val="00937788"/>
    <w:rsid w:val="009960AB"/>
    <w:rsid w:val="009C5F96"/>
    <w:rsid w:val="009C70F4"/>
    <w:rsid w:val="009C717E"/>
    <w:rsid w:val="00A4512D"/>
    <w:rsid w:val="00A705AF"/>
    <w:rsid w:val="00A75C1D"/>
    <w:rsid w:val="00B00B4A"/>
    <w:rsid w:val="00B42851"/>
    <w:rsid w:val="00B9183F"/>
    <w:rsid w:val="00BB395C"/>
    <w:rsid w:val="00C31C32"/>
    <w:rsid w:val="00C855F5"/>
    <w:rsid w:val="00CA1A7A"/>
    <w:rsid w:val="00CB5B1A"/>
    <w:rsid w:val="00DF010C"/>
    <w:rsid w:val="00DF3986"/>
    <w:rsid w:val="00E224D2"/>
    <w:rsid w:val="00E44F80"/>
    <w:rsid w:val="00E965F4"/>
    <w:rsid w:val="00EB6D31"/>
    <w:rsid w:val="00ED6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3B0"/>
    <w:rPr>
      <w:rFonts w:ascii="Arial" w:eastAsiaTheme="minorEastAsia" w:hAnsi="Arial" w:cstheme="minorBidi"/>
      <w:sz w:val="24"/>
      <w:szCs w:val="24"/>
      <w:lang w:eastAsia="en-US"/>
    </w:rPr>
  </w:style>
  <w:style w:type="paragraph" w:styleId="Heading1">
    <w:name w:val="heading 1"/>
    <w:basedOn w:val="Normal"/>
    <w:next w:val="Normal"/>
    <w:qFormat/>
    <w:rsid w:val="00A705AF"/>
    <w:pPr>
      <w:keepNext/>
      <w:spacing w:before="240" w:after="60"/>
      <w:outlineLvl w:val="0"/>
    </w:pPr>
    <w:rPr>
      <w:rFonts w:cs="Arial"/>
      <w:b/>
      <w:bCs/>
      <w:kern w:val="28"/>
      <w:sz w:val="28"/>
      <w:szCs w:val="32"/>
    </w:rPr>
  </w:style>
  <w:style w:type="paragraph" w:styleId="Heading2">
    <w:name w:val="heading 2"/>
    <w:basedOn w:val="Normal"/>
    <w:next w:val="Normal"/>
    <w:qFormat/>
    <w:rsid w:val="00A705AF"/>
    <w:pPr>
      <w:keepNext/>
      <w:spacing w:before="240" w:after="60"/>
      <w:outlineLvl w:val="1"/>
    </w:pPr>
    <w:rPr>
      <w:rFonts w:cs="Arial"/>
      <w:b/>
      <w:bCs/>
      <w:i/>
      <w:iCs/>
      <w:szCs w:val="28"/>
    </w:rPr>
  </w:style>
  <w:style w:type="paragraph" w:styleId="Heading3">
    <w:name w:val="heading 3"/>
    <w:basedOn w:val="Normal"/>
    <w:next w:val="Normal"/>
    <w:qFormat/>
    <w:rsid w:val="00A705AF"/>
    <w:pPr>
      <w:keepNext/>
      <w:spacing w:before="240" w:after="60"/>
      <w:outlineLvl w:val="2"/>
    </w:pPr>
    <w:rPr>
      <w:rFonts w:cs="Arial"/>
      <w:bCs/>
      <w:szCs w:val="26"/>
    </w:rPr>
  </w:style>
  <w:style w:type="paragraph" w:styleId="Heading4">
    <w:name w:val="heading 4"/>
    <w:basedOn w:val="Normal"/>
    <w:next w:val="Normal"/>
    <w:qFormat/>
    <w:rsid w:val="00A705AF"/>
    <w:pPr>
      <w:keepNext/>
      <w:spacing w:before="240" w:after="60"/>
      <w:outlineLvl w:val="3"/>
    </w:pPr>
    <w:rPr>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customStyle="1" w:styleId="x00-cover-h0">
    <w:name w:val="x00-cover-h0"/>
    <w:basedOn w:val="Normal"/>
    <w:rsid w:val="001423B0"/>
    <w:pPr>
      <w:jc w:val="right"/>
    </w:pPr>
    <w:rPr>
      <w:color w:val="716F6E"/>
      <w:sz w:val="56"/>
      <w:szCs w:val="56"/>
    </w:rPr>
  </w:style>
  <w:style w:type="paragraph" w:customStyle="1" w:styleId="x00-cover-head-">
    <w:name w:val="x00-cover-head-"/>
    <w:basedOn w:val="Normal"/>
    <w:rsid w:val="001423B0"/>
    <w:pPr>
      <w:jc w:val="right"/>
    </w:pPr>
    <w:rPr>
      <w:rFonts w:cs="Times New Roman"/>
      <w:b/>
      <w:bCs/>
      <w:color w:val="716F6E"/>
      <w:sz w:val="48"/>
      <w:szCs w:val="48"/>
    </w:rPr>
  </w:style>
  <w:style w:type="paragraph" w:customStyle="1" w:styleId="x05-citation">
    <w:name w:val="x05-citation"/>
    <w:basedOn w:val="Normal"/>
    <w:rsid w:val="001423B0"/>
    <w:pPr>
      <w:spacing w:before="120" w:after="120" w:line="200" w:lineRule="exact"/>
    </w:pPr>
    <w:rPr>
      <w:sz w:val="16"/>
    </w:rPr>
  </w:style>
  <w:style w:type="character" w:customStyle="1" w:styleId="x02-body-bold">
    <w:name w:val="x02-body-bold"/>
    <w:basedOn w:val="DefaultParagraphFont"/>
    <w:rsid w:val="001423B0"/>
    <w:rPr>
      <w:rFonts w:ascii="Arial" w:hAnsi="Arial"/>
      <w:b/>
    </w:rPr>
  </w:style>
  <w:style w:type="paragraph" w:customStyle="1" w:styleId="x05-citation-heading">
    <w:name w:val="x05-citation-heading"/>
    <w:basedOn w:val="Normal"/>
    <w:rsid w:val="001423B0"/>
    <w:pPr>
      <w:spacing w:before="120" w:line="280" w:lineRule="exact"/>
    </w:pPr>
    <w:rPr>
      <w:b/>
      <w:bCs/>
      <w:color w:val="4D4F4D"/>
    </w:rPr>
  </w:style>
  <w:style w:type="paragraph" w:customStyle="1" w:styleId="x01-heading-level-1">
    <w:name w:val="x01-heading-level-1"/>
    <w:basedOn w:val="Normal"/>
    <w:rsid w:val="001423B0"/>
    <w:pPr>
      <w:spacing w:before="120" w:after="120" w:line="440" w:lineRule="exact"/>
    </w:pPr>
    <w:rPr>
      <w:b/>
      <w:bCs/>
      <w:color w:val="00988E"/>
      <w:sz w:val="40"/>
      <w:szCs w:val="40"/>
    </w:rPr>
  </w:style>
  <w:style w:type="character" w:customStyle="1" w:styleId="grey">
    <w:name w:val="grey"/>
    <w:basedOn w:val="DefaultParagraphFont"/>
    <w:rsid w:val="001423B0"/>
    <w:rPr>
      <w:rFonts w:ascii="Arial" w:hAnsi="Arial"/>
      <w:color w:val="4D4F4D"/>
    </w:rPr>
  </w:style>
  <w:style w:type="paragraph" w:customStyle="1" w:styleId="x00-contents-body-with-underline">
    <w:name w:val="x00-contents-body-with-underline"/>
    <w:basedOn w:val="Normal"/>
    <w:rsid w:val="001423B0"/>
    <w:pPr>
      <w:pBdr>
        <w:top w:val="dotted" w:sz="12" w:space="1" w:color="716F6E"/>
        <w:bottom w:val="dotted" w:sz="12" w:space="1" w:color="716F6E"/>
        <w:between w:val="dotted" w:sz="12" w:space="1" w:color="716F6E"/>
      </w:pBdr>
      <w:tabs>
        <w:tab w:val="right" w:pos="9639"/>
      </w:tabs>
      <w:spacing w:before="100" w:beforeAutospacing="1" w:after="100" w:afterAutospacing="1"/>
    </w:pPr>
    <w:rPr>
      <w:b/>
      <w:bCs/>
      <w:color w:val="4D4F4D"/>
      <w:sz w:val="22"/>
      <w:szCs w:val="22"/>
    </w:rPr>
  </w:style>
  <w:style w:type="character" w:customStyle="1" w:styleId="x02-body-medium">
    <w:name w:val="x02-body-medium"/>
    <w:basedOn w:val="DefaultParagraphFont"/>
    <w:rsid w:val="001423B0"/>
    <w:rPr>
      <w:rFonts w:ascii="Arial" w:hAnsi="Arial"/>
      <w:b/>
    </w:rPr>
  </w:style>
  <w:style w:type="paragraph" w:customStyle="1" w:styleId="x00-contents-second-level">
    <w:name w:val="x00-contents-second-level"/>
    <w:basedOn w:val="Normal"/>
    <w:rsid w:val="001423B0"/>
    <w:pPr>
      <w:tabs>
        <w:tab w:val="right" w:pos="9639"/>
      </w:tabs>
      <w:spacing w:before="120" w:after="120" w:line="280" w:lineRule="exact"/>
      <w:ind w:left="284"/>
    </w:pPr>
  </w:style>
  <w:style w:type="paragraph" w:customStyle="1" w:styleId="x02-body-copy">
    <w:name w:val="x02-body-copy"/>
    <w:basedOn w:val="Normal"/>
    <w:rsid w:val="001423B0"/>
    <w:pPr>
      <w:spacing w:before="120" w:after="120" w:line="260" w:lineRule="exact"/>
    </w:pPr>
  </w:style>
  <w:style w:type="character" w:customStyle="1" w:styleId="x02-intro-italic">
    <w:name w:val="x02-intro-italic"/>
    <w:basedOn w:val="DefaultParagraphFont"/>
    <w:rsid w:val="001423B0"/>
    <w:rPr>
      <w:rFonts w:ascii="Arial" w:hAnsi="Arial"/>
      <w:i/>
    </w:rPr>
  </w:style>
  <w:style w:type="paragraph" w:customStyle="1" w:styleId="x02-intro">
    <w:name w:val="x02-intro"/>
    <w:basedOn w:val="Normal"/>
    <w:rsid w:val="001423B0"/>
    <w:pPr>
      <w:spacing w:before="120" w:after="120" w:line="300" w:lineRule="exact"/>
    </w:pPr>
  </w:style>
  <w:style w:type="character" w:customStyle="1" w:styleId="x02-gotham-bold--figures-">
    <w:name w:val="x02-gotham-bold--figures-"/>
    <w:basedOn w:val="DefaultParagraphFont"/>
    <w:rsid w:val="001423B0"/>
    <w:rPr>
      <w:rFonts w:ascii="Arial" w:hAnsi="Arial"/>
      <w:b/>
    </w:rPr>
  </w:style>
  <w:style w:type="paragraph" w:customStyle="1" w:styleId="x02-intro-b4-bullet">
    <w:name w:val="x02-intro-b4-bullet"/>
    <w:basedOn w:val="Normal"/>
    <w:rsid w:val="001423B0"/>
    <w:pPr>
      <w:spacing w:before="120" w:after="120" w:line="300" w:lineRule="exact"/>
    </w:pPr>
  </w:style>
  <w:style w:type="character" w:customStyle="1" w:styleId="x02-body-superscript">
    <w:name w:val="x02-body-superscript"/>
    <w:basedOn w:val="DefaultParagraphFont"/>
    <w:rsid w:val="001423B0"/>
    <w:rPr>
      <w:rFonts w:ascii="Arial" w:hAnsi="Arial"/>
      <w:caps w:val="0"/>
      <w:smallCaps w:val="0"/>
      <w:strike w:val="0"/>
      <w:dstrike w:val="0"/>
      <w:vanish w:val="0"/>
      <w:vertAlign w:val="superscript"/>
    </w:rPr>
  </w:style>
  <w:style w:type="paragraph" w:customStyle="1" w:styleId="x04-footnotes-last">
    <w:name w:val="x04-footnotes-last"/>
    <w:basedOn w:val="Normal"/>
    <w:rsid w:val="001423B0"/>
    <w:pPr>
      <w:spacing w:before="120" w:line="200" w:lineRule="exact"/>
    </w:pPr>
    <w:rPr>
      <w:sz w:val="16"/>
    </w:rPr>
  </w:style>
  <w:style w:type="paragraph" w:customStyle="1" w:styleId="x02-body-copy-before-bullet">
    <w:name w:val="x02-body-copy-before-bullet"/>
    <w:basedOn w:val="Normal"/>
    <w:rsid w:val="001423B0"/>
    <w:pPr>
      <w:spacing w:before="120" w:after="120" w:line="260" w:lineRule="exact"/>
    </w:pPr>
  </w:style>
  <w:style w:type="paragraph" w:customStyle="1" w:styleId="x01-heading-level-3">
    <w:name w:val="x01-heading-level-3"/>
    <w:basedOn w:val="Normal"/>
    <w:rsid w:val="001423B0"/>
    <w:pPr>
      <w:spacing w:before="120" w:line="320" w:lineRule="exact"/>
    </w:pPr>
    <w:rPr>
      <w:b/>
      <w:bCs/>
      <w:color w:val="4D4F4D"/>
      <w:sz w:val="28"/>
      <w:szCs w:val="28"/>
    </w:rPr>
  </w:style>
  <w:style w:type="character" w:customStyle="1" w:styleId="x02-body-italic">
    <w:name w:val="x02-body-italic"/>
    <w:basedOn w:val="DefaultParagraphFont"/>
    <w:rsid w:val="001423B0"/>
    <w:rPr>
      <w:rFonts w:ascii="Arial" w:hAnsi="Arial"/>
      <w:i/>
    </w:rPr>
  </w:style>
  <w:style w:type="character" w:customStyle="1" w:styleId="x03-web-hyperlink">
    <w:name w:val="x03-web-hyperlink"/>
    <w:basedOn w:val="DefaultParagraphFont"/>
    <w:rsid w:val="001423B0"/>
    <w:rPr>
      <w:rFonts w:ascii="Arial" w:hAnsi="Arial"/>
      <w:b/>
      <w:bCs/>
      <w:color w:val="00988E"/>
    </w:rPr>
  </w:style>
  <w:style w:type="paragraph" w:customStyle="1" w:styleId="x04-footnotes">
    <w:name w:val="x04-footnotes"/>
    <w:basedOn w:val="Normal"/>
    <w:rsid w:val="001423B0"/>
    <w:pPr>
      <w:spacing w:before="120" w:line="200" w:lineRule="exact"/>
    </w:pPr>
    <w:rPr>
      <w:sz w:val="16"/>
    </w:rPr>
  </w:style>
  <w:style w:type="paragraph" w:customStyle="1" w:styleId="heading-level-3-aqua">
    <w:name w:val="heading-level-3-aqua"/>
    <w:basedOn w:val="Normal"/>
    <w:rsid w:val="001423B0"/>
    <w:pPr>
      <w:spacing w:before="240" w:after="120" w:line="320" w:lineRule="exact"/>
    </w:pPr>
    <w:rPr>
      <w:b/>
      <w:bCs/>
      <w:color w:val="00988E"/>
      <w:sz w:val="28"/>
      <w:szCs w:val="28"/>
    </w:rPr>
  </w:style>
  <w:style w:type="character" w:customStyle="1" w:styleId="x02-body-italic-underline">
    <w:name w:val="x02-body-italic-underline"/>
    <w:basedOn w:val="DefaultParagraphFont"/>
    <w:rsid w:val="001423B0"/>
    <w:rPr>
      <w:rFonts w:ascii="Arial" w:hAnsi="Arial"/>
      <w:i/>
      <w:iCs/>
      <w:u w:val="single"/>
    </w:rPr>
  </w:style>
  <w:style w:type="character" w:customStyle="1" w:styleId="white-medium">
    <w:name w:val="white-medium"/>
    <w:basedOn w:val="DefaultParagraphFont"/>
    <w:rsid w:val="001423B0"/>
  </w:style>
  <w:style w:type="paragraph" w:customStyle="1" w:styleId="x01-heading-level-2">
    <w:name w:val="x01-heading-level-2"/>
    <w:basedOn w:val="Normal"/>
    <w:rsid w:val="001423B0"/>
    <w:pPr>
      <w:spacing w:before="120" w:after="120" w:line="360" w:lineRule="exact"/>
    </w:pPr>
    <w:rPr>
      <w:b/>
      <w:bCs/>
      <w:color w:val="00988E"/>
      <w:sz w:val="32"/>
      <w:szCs w:val="32"/>
    </w:rPr>
  </w:style>
  <w:style w:type="character" w:customStyle="1" w:styleId="white">
    <w:name w:val="white"/>
    <w:basedOn w:val="DefaultParagraphFont"/>
    <w:rsid w:val="001423B0"/>
  </w:style>
  <w:style w:type="paragraph" w:styleId="Header">
    <w:name w:val="header"/>
    <w:basedOn w:val="Normal"/>
    <w:link w:val="HeaderChar"/>
    <w:uiPriority w:val="99"/>
    <w:unhideWhenUsed/>
    <w:rsid w:val="001423B0"/>
    <w:pPr>
      <w:tabs>
        <w:tab w:val="center" w:pos="4320"/>
        <w:tab w:val="right" w:pos="8640"/>
      </w:tabs>
    </w:pPr>
  </w:style>
  <w:style w:type="character" w:customStyle="1" w:styleId="HeaderChar">
    <w:name w:val="Header Char"/>
    <w:basedOn w:val="DefaultParagraphFont"/>
    <w:link w:val="Header"/>
    <w:uiPriority w:val="99"/>
    <w:rsid w:val="001423B0"/>
    <w:rPr>
      <w:rFonts w:ascii="Arial" w:eastAsiaTheme="minorEastAsia" w:hAnsi="Arial" w:cstheme="minorBidi"/>
      <w:sz w:val="24"/>
      <w:szCs w:val="24"/>
      <w:lang w:eastAsia="en-US"/>
    </w:rPr>
  </w:style>
  <w:style w:type="paragraph" w:styleId="Footer">
    <w:name w:val="footer"/>
    <w:basedOn w:val="Normal"/>
    <w:link w:val="FooterChar"/>
    <w:uiPriority w:val="99"/>
    <w:unhideWhenUsed/>
    <w:rsid w:val="001423B0"/>
    <w:pPr>
      <w:tabs>
        <w:tab w:val="center" w:pos="4320"/>
        <w:tab w:val="right" w:pos="8640"/>
      </w:tabs>
    </w:pPr>
  </w:style>
  <w:style w:type="character" w:customStyle="1" w:styleId="FooterChar">
    <w:name w:val="Footer Char"/>
    <w:basedOn w:val="DefaultParagraphFont"/>
    <w:link w:val="Footer"/>
    <w:uiPriority w:val="99"/>
    <w:rsid w:val="001423B0"/>
    <w:rPr>
      <w:rFonts w:ascii="Arial" w:eastAsiaTheme="minorEastAsia" w:hAnsi="Arial" w:cstheme="minorBidi"/>
      <w:sz w:val="24"/>
      <w:szCs w:val="24"/>
      <w:lang w:eastAsia="en-US"/>
    </w:rPr>
  </w:style>
  <w:style w:type="paragraph" w:styleId="BalloonText">
    <w:name w:val="Balloon Text"/>
    <w:basedOn w:val="Normal"/>
    <w:link w:val="BalloonTextChar"/>
    <w:uiPriority w:val="99"/>
    <w:unhideWhenUsed/>
    <w:rsid w:val="001423B0"/>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423B0"/>
    <w:rPr>
      <w:rFonts w:ascii="Lucida Grande" w:eastAsiaTheme="minorEastAsia" w:hAnsi="Lucida Grande" w:cs="Lucida Grande"/>
      <w:sz w:val="18"/>
      <w:szCs w:val="18"/>
      <w:lang w:eastAsia="en-US"/>
    </w:rPr>
  </w:style>
  <w:style w:type="paragraph" w:customStyle="1" w:styleId="05Pagefooter">
    <w:name w:val="05_Page footer"/>
    <w:basedOn w:val="Normal"/>
    <w:uiPriority w:val="99"/>
    <w:rsid w:val="001423B0"/>
    <w:pPr>
      <w:widowControl w:val="0"/>
      <w:tabs>
        <w:tab w:val="left" w:pos="283"/>
        <w:tab w:val="left" w:pos="567"/>
        <w:tab w:val="left" w:pos="850"/>
        <w:tab w:val="left" w:pos="1134"/>
        <w:tab w:val="left" w:pos="1417"/>
        <w:tab w:val="left" w:pos="1701"/>
      </w:tabs>
      <w:suppressAutoHyphens/>
      <w:autoSpaceDE w:val="0"/>
      <w:autoSpaceDN w:val="0"/>
      <w:adjustRightInd w:val="0"/>
      <w:spacing w:line="260" w:lineRule="atLeast"/>
      <w:textAlignment w:val="center"/>
    </w:pPr>
    <w:rPr>
      <w:rFonts w:eastAsia="Times New Roman" w:cs="HelveticaNeue-Light"/>
      <w:color w:val="4D4F4D"/>
      <w:spacing w:val="2"/>
      <w:sz w:val="18"/>
      <w:szCs w:val="18"/>
      <w:lang w:val="en-GB"/>
    </w:rPr>
  </w:style>
  <w:style w:type="character" w:styleId="PageNumber">
    <w:name w:val="page number"/>
    <w:basedOn w:val="DefaultParagraphFont"/>
    <w:uiPriority w:val="99"/>
    <w:unhideWhenUsed/>
    <w:rsid w:val="001423B0"/>
    <w:rPr>
      <w:rFonts w:ascii="Arial" w:hAnsi="Arial"/>
      <w:color w:val="4D4F4D"/>
      <w:sz w:val="18"/>
      <w:szCs w:val="18"/>
    </w:rPr>
  </w:style>
  <w:style w:type="paragraph" w:customStyle="1" w:styleId="02Bulletslevel1">
    <w:name w:val="02_Bullets level 1"/>
    <w:basedOn w:val="Normal"/>
    <w:qFormat/>
    <w:rsid w:val="001423B0"/>
    <w:pPr>
      <w:numPr>
        <w:numId w:val="1"/>
      </w:numPr>
      <w:spacing w:before="120" w:after="120" w:line="260" w:lineRule="exact"/>
      <w:ind w:left="284" w:hanging="284"/>
    </w:pPr>
    <w:rPr>
      <w:rFonts w:eastAsia="Times New Roman" w:cs="Times New Roman"/>
    </w:rPr>
  </w:style>
  <w:style w:type="paragraph" w:customStyle="1" w:styleId="04Footnotes">
    <w:name w:val="04_Footnotes"/>
    <w:basedOn w:val="Normal"/>
    <w:uiPriority w:val="99"/>
    <w:rsid w:val="001423B0"/>
    <w:pPr>
      <w:widowControl w:val="0"/>
      <w:tabs>
        <w:tab w:val="left" w:pos="283"/>
        <w:tab w:val="left" w:pos="567"/>
        <w:tab w:val="left" w:pos="850"/>
        <w:tab w:val="left" w:pos="1134"/>
        <w:tab w:val="left" w:pos="1417"/>
        <w:tab w:val="left" w:pos="1701"/>
      </w:tabs>
      <w:suppressAutoHyphens/>
      <w:autoSpaceDE w:val="0"/>
      <w:autoSpaceDN w:val="0"/>
      <w:adjustRightInd w:val="0"/>
      <w:spacing w:after="57" w:line="200" w:lineRule="atLeast"/>
      <w:textAlignment w:val="center"/>
    </w:pPr>
    <w:rPr>
      <w:rFonts w:ascii="HelveticaNeue-Light" w:eastAsia="Times New Roman" w:hAnsi="HelveticaNeue-Light" w:cs="HelveticaNeue-Light"/>
      <w:color w:val="000000"/>
      <w:spacing w:val="2"/>
      <w:sz w:val="16"/>
      <w:szCs w:val="16"/>
      <w:lang w:val="en-GB"/>
    </w:rPr>
  </w:style>
  <w:style w:type="paragraph" w:styleId="TOC1">
    <w:name w:val="toc 1"/>
    <w:basedOn w:val="Normal"/>
    <w:next w:val="Normal"/>
    <w:autoRedefine/>
    <w:uiPriority w:val="39"/>
    <w:unhideWhenUsed/>
    <w:rsid w:val="001423B0"/>
    <w:pPr>
      <w:spacing w:before="120"/>
    </w:pPr>
    <w:rPr>
      <w:rFonts w:asciiTheme="minorHAnsi" w:hAnsiTheme="minorHAnsi"/>
      <w:b/>
      <w:sz w:val="22"/>
      <w:szCs w:val="22"/>
    </w:rPr>
  </w:style>
  <w:style w:type="paragraph" w:styleId="TOC2">
    <w:name w:val="toc 2"/>
    <w:basedOn w:val="Normal"/>
    <w:next w:val="Normal"/>
    <w:autoRedefine/>
    <w:uiPriority w:val="39"/>
    <w:unhideWhenUsed/>
    <w:rsid w:val="001423B0"/>
    <w:pPr>
      <w:ind w:left="200"/>
    </w:pPr>
    <w:rPr>
      <w:rFonts w:asciiTheme="minorHAnsi" w:hAnsiTheme="minorHAnsi"/>
      <w:i/>
      <w:sz w:val="22"/>
      <w:szCs w:val="22"/>
    </w:rPr>
  </w:style>
  <w:style w:type="paragraph" w:styleId="TOC3">
    <w:name w:val="toc 3"/>
    <w:basedOn w:val="Normal"/>
    <w:next w:val="Normal"/>
    <w:autoRedefine/>
    <w:uiPriority w:val="39"/>
    <w:unhideWhenUsed/>
    <w:rsid w:val="001423B0"/>
    <w:pPr>
      <w:ind w:left="400"/>
    </w:pPr>
    <w:rPr>
      <w:rFonts w:asciiTheme="minorHAnsi" w:hAnsiTheme="minorHAnsi"/>
      <w:sz w:val="22"/>
      <w:szCs w:val="22"/>
    </w:rPr>
  </w:style>
  <w:style w:type="paragraph" w:styleId="TOC4">
    <w:name w:val="toc 4"/>
    <w:basedOn w:val="Normal"/>
    <w:next w:val="Normal"/>
    <w:autoRedefine/>
    <w:uiPriority w:val="39"/>
    <w:unhideWhenUsed/>
    <w:rsid w:val="001423B0"/>
    <w:pPr>
      <w:ind w:left="600"/>
    </w:pPr>
    <w:rPr>
      <w:rFonts w:asciiTheme="minorHAnsi" w:hAnsiTheme="minorHAnsi"/>
    </w:rPr>
  </w:style>
  <w:style w:type="paragraph" w:styleId="TOC5">
    <w:name w:val="toc 5"/>
    <w:basedOn w:val="Normal"/>
    <w:next w:val="Normal"/>
    <w:autoRedefine/>
    <w:uiPriority w:val="39"/>
    <w:unhideWhenUsed/>
    <w:rsid w:val="001423B0"/>
    <w:pPr>
      <w:ind w:left="800"/>
    </w:pPr>
    <w:rPr>
      <w:rFonts w:asciiTheme="minorHAnsi" w:hAnsiTheme="minorHAnsi"/>
    </w:rPr>
  </w:style>
  <w:style w:type="paragraph" w:styleId="TOC6">
    <w:name w:val="toc 6"/>
    <w:basedOn w:val="Normal"/>
    <w:next w:val="Normal"/>
    <w:autoRedefine/>
    <w:uiPriority w:val="39"/>
    <w:unhideWhenUsed/>
    <w:rsid w:val="001423B0"/>
    <w:pPr>
      <w:ind w:left="1000"/>
    </w:pPr>
    <w:rPr>
      <w:rFonts w:asciiTheme="minorHAnsi" w:hAnsiTheme="minorHAnsi"/>
    </w:rPr>
  </w:style>
  <w:style w:type="paragraph" w:styleId="TOC7">
    <w:name w:val="toc 7"/>
    <w:basedOn w:val="Normal"/>
    <w:next w:val="Normal"/>
    <w:autoRedefine/>
    <w:uiPriority w:val="39"/>
    <w:unhideWhenUsed/>
    <w:rsid w:val="001423B0"/>
    <w:pPr>
      <w:ind w:left="1200"/>
    </w:pPr>
    <w:rPr>
      <w:rFonts w:asciiTheme="minorHAnsi" w:hAnsiTheme="minorHAnsi"/>
    </w:rPr>
  </w:style>
  <w:style w:type="paragraph" w:styleId="TOC8">
    <w:name w:val="toc 8"/>
    <w:basedOn w:val="Normal"/>
    <w:next w:val="Normal"/>
    <w:autoRedefine/>
    <w:uiPriority w:val="39"/>
    <w:unhideWhenUsed/>
    <w:rsid w:val="001423B0"/>
    <w:pPr>
      <w:ind w:left="1400"/>
    </w:pPr>
    <w:rPr>
      <w:rFonts w:asciiTheme="minorHAnsi" w:hAnsiTheme="minorHAnsi"/>
    </w:rPr>
  </w:style>
  <w:style w:type="paragraph" w:styleId="TOC9">
    <w:name w:val="toc 9"/>
    <w:basedOn w:val="Normal"/>
    <w:next w:val="Normal"/>
    <w:autoRedefine/>
    <w:uiPriority w:val="39"/>
    <w:unhideWhenUsed/>
    <w:rsid w:val="001423B0"/>
    <w:pPr>
      <w:ind w:left="1600"/>
    </w:pPr>
    <w:rPr>
      <w:rFonts w:asciiTheme="minorHAnsi" w:hAnsiTheme="minorHAnsi"/>
    </w:rPr>
  </w:style>
  <w:style w:type="character" w:styleId="Hyperlink">
    <w:name w:val="Hyperlink"/>
    <w:basedOn w:val="DefaultParagraphFont"/>
    <w:rsid w:val="001423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3B0"/>
    <w:rPr>
      <w:rFonts w:ascii="Arial" w:eastAsiaTheme="minorEastAsia" w:hAnsi="Arial" w:cstheme="minorBidi"/>
      <w:sz w:val="24"/>
      <w:szCs w:val="24"/>
      <w:lang w:eastAsia="en-US"/>
    </w:rPr>
  </w:style>
  <w:style w:type="paragraph" w:styleId="Heading1">
    <w:name w:val="heading 1"/>
    <w:basedOn w:val="Normal"/>
    <w:next w:val="Normal"/>
    <w:qFormat/>
    <w:rsid w:val="00A705AF"/>
    <w:pPr>
      <w:keepNext/>
      <w:spacing w:before="240" w:after="60"/>
      <w:outlineLvl w:val="0"/>
    </w:pPr>
    <w:rPr>
      <w:rFonts w:cs="Arial"/>
      <w:b/>
      <w:bCs/>
      <w:kern w:val="28"/>
      <w:sz w:val="28"/>
      <w:szCs w:val="32"/>
    </w:rPr>
  </w:style>
  <w:style w:type="paragraph" w:styleId="Heading2">
    <w:name w:val="heading 2"/>
    <w:basedOn w:val="Normal"/>
    <w:next w:val="Normal"/>
    <w:qFormat/>
    <w:rsid w:val="00A705AF"/>
    <w:pPr>
      <w:keepNext/>
      <w:spacing w:before="240" w:after="60"/>
      <w:outlineLvl w:val="1"/>
    </w:pPr>
    <w:rPr>
      <w:rFonts w:cs="Arial"/>
      <w:b/>
      <w:bCs/>
      <w:i/>
      <w:iCs/>
      <w:szCs w:val="28"/>
    </w:rPr>
  </w:style>
  <w:style w:type="paragraph" w:styleId="Heading3">
    <w:name w:val="heading 3"/>
    <w:basedOn w:val="Normal"/>
    <w:next w:val="Normal"/>
    <w:qFormat/>
    <w:rsid w:val="00A705AF"/>
    <w:pPr>
      <w:keepNext/>
      <w:spacing w:before="240" w:after="60"/>
      <w:outlineLvl w:val="2"/>
    </w:pPr>
    <w:rPr>
      <w:rFonts w:cs="Arial"/>
      <w:bCs/>
      <w:szCs w:val="26"/>
    </w:rPr>
  </w:style>
  <w:style w:type="paragraph" w:styleId="Heading4">
    <w:name w:val="heading 4"/>
    <w:basedOn w:val="Normal"/>
    <w:next w:val="Normal"/>
    <w:qFormat/>
    <w:rsid w:val="00A705AF"/>
    <w:pPr>
      <w:keepNext/>
      <w:spacing w:before="240" w:after="60"/>
      <w:outlineLvl w:val="3"/>
    </w:pPr>
    <w:rPr>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customStyle="1" w:styleId="x00-cover-h0">
    <w:name w:val="x00-cover-h0"/>
    <w:basedOn w:val="Normal"/>
    <w:rsid w:val="001423B0"/>
    <w:pPr>
      <w:jc w:val="right"/>
    </w:pPr>
    <w:rPr>
      <w:color w:val="716F6E"/>
      <w:sz w:val="56"/>
      <w:szCs w:val="56"/>
    </w:rPr>
  </w:style>
  <w:style w:type="paragraph" w:customStyle="1" w:styleId="x00-cover-head-">
    <w:name w:val="x00-cover-head-"/>
    <w:basedOn w:val="Normal"/>
    <w:rsid w:val="001423B0"/>
    <w:pPr>
      <w:jc w:val="right"/>
    </w:pPr>
    <w:rPr>
      <w:rFonts w:cs="Times New Roman"/>
      <w:b/>
      <w:bCs/>
      <w:color w:val="716F6E"/>
      <w:sz w:val="48"/>
      <w:szCs w:val="48"/>
    </w:rPr>
  </w:style>
  <w:style w:type="paragraph" w:customStyle="1" w:styleId="x05-citation">
    <w:name w:val="x05-citation"/>
    <w:basedOn w:val="Normal"/>
    <w:rsid w:val="001423B0"/>
    <w:pPr>
      <w:spacing w:before="120" w:after="120" w:line="200" w:lineRule="exact"/>
    </w:pPr>
    <w:rPr>
      <w:sz w:val="16"/>
    </w:rPr>
  </w:style>
  <w:style w:type="character" w:customStyle="1" w:styleId="x02-body-bold">
    <w:name w:val="x02-body-bold"/>
    <w:basedOn w:val="DefaultParagraphFont"/>
    <w:rsid w:val="001423B0"/>
    <w:rPr>
      <w:rFonts w:ascii="Arial" w:hAnsi="Arial"/>
      <w:b/>
    </w:rPr>
  </w:style>
  <w:style w:type="paragraph" w:customStyle="1" w:styleId="x05-citation-heading">
    <w:name w:val="x05-citation-heading"/>
    <w:basedOn w:val="Normal"/>
    <w:rsid w:val="001423B0"/>
    <w:pPr>
      <w:spacing w:before="120" w:line="280" w:lineRule="exact"/>
    </w:pPr>
    <w:rPr>
      <w:b/>
      <w:bCs/>
      <w:color w:val="4D4F4D"/>
    </w:rPr>
  </w:style>
  <w:style w:type="paragraph" w:customStyle="1" w:styleId="x01-heading-level-1">
    <w:name w:val="x01-heading-level-1"/>
    <w:basedOn w:val="Normal"/>
    <w:rsid w:val="001423B0"/>
    <w:pPr>
      <w:spacing w:before="120" w:after="120" w:line="440" w:lineRule="exact"/>
    </w:pPr>
    <w:rPr>
      <w:b/>
      <w:bCs/>
      <w:color w:val="00988E"/>
      <w:sz w:val="40"/>
      <w:szCs w:val="40"/>
    </w:rPr>
  </w:style>
  <w:style w:type="character" w:customStyle="1" w:styleId="grey">
    <w:name w:val="grey"/>
    <w:basedOn w:val="DefaultParagraphFont"/>
    <w:rsid w:val="001423B0"/>
    <w:rPr>
      <w:rFonts w:ascii="Arial" w:hAnsi="Arial"/>
      <w:color w:val="4D4F4D"/>
    </w:rPr>
  </w:style>
  <w:style w:type="paragraph" w:customStyle="1" w:styleId="x00-contents-body-with-underline">
    <w:name w:val="x00-contents-body-with-underline"/>
    <w:basedOn w:val="Normal"/>
    <w:rsid w:val="001423B0"/>
    <w:pPr>
      <w:pBdr>
        <w:top w:val="dotted" w:sz="12" w:space="1" w:color="716F6E"/>
        <w:bottom w:val="dotted" w:sz="12" w:space="1" w:color="716F6E"/>
        <w:between w:val="dotted" w:sz="12" w:space="1" w:color="716F6E"/>
      </w:pBdr>
      <w:tabs>
        <w:tab w:val="right" w:pos="9639"/>
      </w:tabs>
      <w:spacing w:before="100" w:beforeAutospacing="1" w:after="100" w:afterAutospacing="1"/>
    </w:pPr>
    <w:rPr>
      <w:b/>
      <w:bCs/>
      <w:color w:val="4D4F4D"/>
      <w:sz w:val="22"/>
      <w:szCs w:val="22"/>
    </w:rPr>
  </w:style>
  <w:style w:type="character" w:customStyle="1" w:styleId="x02-body-medium">
    <w:name w:val="x02-body-medium"/>
    <w:basedOn w:val="DefaultParagraphFont"/>
    <w:rsid w:val="001423B0"/>
    <w:rPr>
      <w:rFonts w:ascii="Arial" w:hAnsi="Arial"/>
      <w:b/>
    </w:rPr>
  </w:style>
  <w:style w:type="paragraph" w:customStyle="1" w:styleId="x00-contents-second-level">
    <w:name w:val="x00-contents-second-level"/>
    <w:basedOn w:val="Normal"/>
    <w:rsid w:val="001423B0"/>
    <w:pPr>
      <w:tabs>
        <w:tab w:val="right" w:pos="9639"/>
      </w:tabs>
      <w:spacing w:before="120" w:after="120" w:line="280" w:lineRule="exact"/>
      <w:ind w:left="284"/>
    </w:pPr>
  </w:style>
  <w:style w:type="paragraph" w:customStyle="1" w:styleId="x02-body-copy">
    <w:name w:val="x02-body-copy"/>
    <w:basedOn w:val="Normal"/>
    <w:rsid w:val="001423B0"/>
    <w:pPr>
      <w:spacing w:before="120" w:after="120" w:line="260" w:lineRule="exact"/>
    </w:pPr>
  </w:style>
  <w:style w:type="character" w:customStyle="1" w:styleId="x02-intro-italic">
    <w:name w:val="x02-intro-italic"/>
    <w:basedOn w:val="DefaultParagraphFont"/>
    <w:rsid w:val="001423B0"/>
    <w:rPr>
      <w:rFonts w:ascii="Arial" w:hAnsi="Arial"/>
      <w:i/>
    </w:rPr>
  </w:style>
  <w:style w:type="paragraph" w:customStyle="1" w:styleId="x02-intro">
    <w:name w:val="x02-intro"/>
    <w:basedOn w:val="Normal"/>
    <w:rsid w:val="001423B0"/>
    <w:pPr>
      <w:spacing w:before="120" w:after="120" w:line="300" w:lineRule="exact"/>
    </w:pPr>
  </w:style>
  <w:style w:type="character" w:customStyle="1" w:styleId="x02-gotham-bold--figures-">
    <w:name w:val="x02-gotham-bold--figures-"/>
    <w:basedOn w:val="DefaultParagraphFont"/>
    <w:rsid w:val="001423B0"/>
    <w:rPr>
      <w:rFonts w:ascii="Arial" w:hAnsi="Arial"/>
      <w:b/>
    </w:rPr>
  </w:style>
  <w:style w:type="paragraph" w:customStyle="1" w:styleId="x02-intro-b4-bullet">
    <w:name w:val="x02-intro-b4-bullet"/>
    <w:basedOn w:val="Normal"/>
    <w:rsid w:val="001423B0"/>
    <w:pPr>
      <w:spacing w:before="120" w:after="120" w:line="300" w:lineRule="exact"/>
    </w:pPr>
  </w:style>
  <w:style w:type="character" w:customStyle="1" w:styleId="x02-body-superscript">
    <w:name w:val="x02-body-superscript"/>
    <w:basedOn w:val="DefaultParagraphFont"/>
    <w:rsid w:val="001423B0"/>
    <w:rPr>
      <w:rFonts w:ascii="Arial" w:hAnsi="Arial"/>
      <w:caps w:val="0"/>
      <w:smallCaps w:val="0"/>
      <w:strike w:val="0"/>
      <w:dstrike w:val="0"/>
      <w:vanish w:val="0"/>
      <w:vertAlign w:val="superscript"/>
    </w:rPr>
  </w:style>
  <w:style w:type="paragraph" w:customStyle="1" w:styleId="x04-footnotes-last">
    <w:name w:val="x04-footnotes-last"/>
    <w:basedOn w:val="Normal"/>
    <w:rsid w:val="001423B0"/>
    <w:pPr>
      <w:spacing w:before="120" w:line="200" w:lineRule="exact"/>
    </w:pPr>
    <w:rPr>
      <w:sz w:val="16"/>
    </w:rPr>
  </w:style>
  <w:style w:type="paragraph" w:customStyle="1" w:styleId="x02-body-copy-before-bullet">
    <w:name w:val="x02-body-copy-before-bullet"/>
    <w:basedOn w:val="Normal"/>
    <w:rsid w:val="001423B0"/>
    <w:pPr>
      <w:spacing w:before="120" w:after="120" w:line="260" w:lineRule="exact"/>
    </w:pPr>
  </w:style>
  <w:style w:type="paragraph" w:customStyle="1" w:styleId="x01-heading-level-3">
    <w:name w:val="x01-heading-level-3"/>
    <w:basedOn w:val="Normal"/>
    <w:rsid w:val="001423B0"/>
    <w:pPr>
      <w:spacing w:before="120" w:line="320" w:lineRule="exact"/>
    </w:pPr>
    <w:rPr>
      <w:b/>
      <w:bCs/>
      <w:color w:val="4D4F4D"/>
      <w:sz w:val="28"/>
      <w:szCs w:val="28"/>
    </w:rPr>
  </w:style>
  <w:style w:type="character" w:customStyle="1" w:styleId="x02-body-italic">
    <w:name w:val="x02-body-italic"/>
    <w:basedOn w:val="DefaultParagraphFont"/>
    <w:rsid w:val="001423B0"/>
    <w:rPr>
      <w:rFonts w:ascii="Arial" w:hAnsi="Arial"/>
      <w:i/>
    </w:rPr>
  </w:style>
  <w:style w:type="character" w:customStyle="1" w:styleId="x03-web-hyperlink">
    <w:name w:val="x03-web-hyperlink"/>
    <w:basedOn w:val="DefaultParagraphFont"/>
    <w:rsid w:val="001423B0"/>
    <w:rPr>
      <w:rFonts w:ascii="Arial" w:hAnsi="Arial"/>
      <w:b/>
      <w:bCs/>
      <w:color w:val="00988E"/>
    </w:rPr>
  </w:style>
  <w:style w:type="paragraph" w:customStyle="1" w:styleId="x04-footnotes">
    <w:name w:val="x04-footnotes"/>
    <w:basedOn w:val="Normal"/>
    <w:rsid w:val="001423B0"/>
    <w:pPr>
      <w:spacing w:before="120" w:line="200" w:lineRule="exact"/>
    </w:pPr>
    <w:rPr>
      <w:sz w:val="16"/>
    </w:rPr>
  </w:style>
  <w:style w:type="paragraph" w:customStyle="1" w:styleId="heading-level-3-aqua">
    <w:name w:val="heading-level-3-aqua"/>
    <w:basedOn w:val="Normal"/>
    <w:rsid w:val="001423B0"/>
    <w:pPr>
      <w:spacing w:before="240" w:after="120" w:line="320" w:lineRule="exact"/>
    </w:pPr>
    <w:rPr>
      <w:b/>
      <w:bCs/>
      <w:color w:val="00988E"/>
      <w:sz w:val="28"/>
      <w:szCs w:val="28"/>
    </w:rPr>
  </w:style>
  <w:style w:type="character" w:customStyle="1" w:styleId="x02-body-italic-underline">
    <w:name w:val="x02-body-italic-underline"/>
    <w:basedOn w:val="DefaultParagraphFont"/>
    <w:rsid w:val="001423B0"/>
    <w:rPr>
      <w:rFonts w:ascii="Arial" w:hAnsi="Arial"/>
      <w:i/>
      <w:iCs/>
      <w:u w:val="single"/>
    </w:rPr>
  </w:style>
  <w:style w:type="character" w:customStyle="1" w:styleId="white-medium">
    <w:name w:val="white-medium"/>
    <w:basedOn w:val="DefaultParagraphFont"/>
    <w:rsid w:val="001423B0"/>
  </w:style>
  <w:style w:type="paragraph" w:customStyle="1" w:styleId="x01-heading-level-2">
    <w:name w:val="x01-heading-level-2"/>
    <w:basedOn w:val="Normal"/>
    <w:rsid w:val="001423B0"/>
    <w:pPr>
      <w:spacing w:before="120" w:after="120" w:line="360" w:lineRule="exact"/>
    </w:pPr>
    <w:rPr>
      <w:b/>
      <w:bCs/>
      <w:color w:val="00988E"/>
      <w:sz w:val="32"/>
      <w:szCs w:val="32"/>
    </w:rPr>
  </w:style>
  <w:style w:type="character" w:customStyle="1" w:styleId="white">
    <w:name w:val="white"/>
    <w:basedOn w:val="DefaultParagraphFont"/>
    <w:rsid w:val="001423B0"/>
  </w:style>
  <w:style w:type="paragraph" w:styleId="Header">
    <w:name w:val="header"/>
    <w:basedOn w:val="Normal"/>
    <w:link w:val="HeaderChar"/>
    <w:uiPriority w:val="99"/>
    <w:unhideWhenUsed/>
    <w:rsid w:val="001423B0"/>
    <w:pPr>
      <w:tabs>
        <w:tab w:val="center" w:pos="4320"/>
        <w:tab w:val="right" w:pos="8640"/>
      </w:tabs>
    </w:pPr>
  </w:style>
  <w:style w:type="character" w:customStyle="1" w:styleId="HeaderChar">
    <w:name w:val="Header Char"/>
    <w:basedOn w:val="DefaultParagraphFont"/>
    <w:link w:val="Header"/>
    <w:uiPriority w:val="99"/>
    <w:rsid w:val="001423B0"/>
    <w:rPr>
      <w:rFonts w:ascii="Arial" w:eastAsiaTheme="minorEastAsia" w:hAnsi="Arial" w:cstheme="minorBidi"/>
      <w:sz w:val="24"/>
      <w:szCs w:val="24"/>
      <w:lang w:eastAsia="en-US"/>
    </w:rPr>
  </w:style>
  <w:style w:type="paragraph" w:styleId="Footer">
    <w:name w:val="footer"/>
    <w:basedOn w:val="Normal"/>
    <w:link w:val="FooterChar"/>
    <w:uiPriority w:val="99"/>
    <w:unhideWhenUsed/>
    <w:rsid w:val="001423B0"/>
    <w:pPr>
      <w:tabs>
        <w:tab w:val="center" w:pos="4320"/>
        <w:tab w:val="right" w:pos="8640"/>
      </w:tabs>
    </w:pPr>
  </w:style>
  <w:style w:type="character" w:customStyle="1" w:styleId="FooterChar">
    <w:name w:val="Footer Char"/>
    <w:basedOn w:val="DefaultParagraphFont"/>
    <w:link w:val="Footer"/>
    <w:uiPriority w:val="99"/>
    <w:rsid w:val="001423B0"/>
    <w:rPr>
      <w:rFonts w:ascii="Arial" w:eastAsiaTheme="minorEastAsia" w:hAnsi="Arial" w:cstheme="minorBidi"/>
      <w:sz w:val="24"/>
      <w:szCs w:val="24"/>
      <w:lang w:eastAsia="en-US"/>
    </w:rPr>
  </w:style>
  <w:style w:type="paragraph" w:styleId="BalloonText">
    <w:name w:val="Balloon Text"/>
    <w:basedOn w:val="Normal"/>
    <w:link w:val="BalloonTextChar"/>
    <w:uiPriority w:val="99"/>
    <w:unhideWhenUsed/>
    <w:rsid w:val="001423B0"/>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423B0"/>
    <w:rPr>
      <w:rFonts w:ascii="Lucida Grande" w:eastAsiaTheme="minorEastAsia" w:hAnsi="Lucida Grande" w:cs="Lucida Grande"/>
      <w:sz w:val="18"/>
      <w:szCs w:val="18"/>
      <w:lang w:eastAsia="en-US"/>
    </w:rPr>
  </w:style>
  <w:style w:type="paragraph" w:customStyle="1" w:styleId="05Pagefooter">
    <w:name w:val="05_Page footer"/>
    <w:basedOn w:val="Normal"/>
    <w:uiPriority w:val="99"/>
    <w:rsid w:val="001423B0"/>
    <w:pPr>
      <w:widowControl w:val="0"/>
      <w:tabs>
        <w:tab w:val="left" w:pos="283"/>
        <w:tab w:val="left" w:pos="567"/>
        <w:tab w:val="left" w:pos="850"/>
        <w:tab w:val="left" w:pos="1134"/>
        <w:tab w:val="left" w:pos="1417"/>
        <w:tab w:val="left" w:pos="1701"/>
      </w:tabs>
      <w:suppressAutoHyphens/>
      <w:autoSpaceDE w:val="0"/>
      <w:autoSpaceDN w:val="0"/>
      <w:adjustRightInd w:val="0"/>
      <w:spacing w:line="260" w:lineRule="atLeast"/>
      <w:textAlignment w:val="center"/>
    </w:pPr>
    <w:rPr>
      <w:rFonts w:eastAsia="Times New Roman" w:cs="HelveticaNeue-Light"/>
      <w:color w:val="4D4F4D"/>
      <w:spacing w:val="2"/>
      <w:sz w:val="18"/>
      <w:szCs w:val="18"/>
      <w:lang w:val="en-GB"/>
    </w:rPr>
  </w:style>
  <w:style w:type="character" w:styleId="PageNumber">
    <w:name w:val="page number"/>
    <w:basedOn w:val="DefaultParagraphFont"/>
    <w:uiPriority w:val="99"/>
    <w:unhideWhenUsed/>
    <w:rsid w:val="001423B0"/>
    <w:rPr>
      <w:rFonts w:ascii="Arial" w:hAnsi="Arial"/>
      <w:color w:val="4D4F4D"/>
      <w:sz w:val="18"/>
      <w:szCs w:val="18"/>
    </w:rPr>
  </w:style>
  <w:style w:type="paragraph" w:customStyle="1" w:styleId="02Bulletslevel1">
    <w:name w:val="02_Bullets level 1"/>
    <w:basedOn w:val="Normal"/>
    <w:qFormat/>
    <w:rsid w:val="001423B0"/>
    <w:pPr>
      <w:numPr>
        <w:numId w:val="1"/>
      </w:numPr>
      <w:spacing w:before="120" w:after="120" w:line="260" w:lineRule="exact"/>
      <w:ind w:left="284" w:hanging="284"/>
    </w:pPr>
    <w:rPr>
      <w:rFonts w:eastAsia="Times New Roman" w:cs="Times New Roman"/>
    </w:rPr>
  </w:style>
  <w:style w:type="paragraph" w:customStyle="1" w:styleId="04Footnotes">
    <w:name w:val="04_Footnotes"/>
    <w:basedOn w:val="Normal"/>
    <w:uiPriority w:val="99"/>
    <w:rsid w:val="001423B0"/>
    <w:pPr>
      <w:widowControl w:val="0"/>
      <w:tabs>
        <w:tab w:val="left" w:pos="283"/>
        <w:tab w:val="left" w:pos="567"/>
        <w:tab w:val="left" w:pos="850"/>
        <w:tab w:val="left" w:pos="1134"/>
        <w:tab w:val="left" w:pos="1417"/>
        <w:tab w:val="left" w:pos="1701"/>
      </w:tabs>
      <w:suppressAutoHyphens/>
      <w:autoSpaceDE w:val="0"/>
      <w:autoSpaceDN w:val="0"/>
      <w:adjustRightInd w:val="0"/>
      <w:spacing w:after="57" w:line="200" w:lineRule="atLeast"/>
      <w:textAlignment w:val="center"/>
    </w:pPr>
    <w:rPr>
      <w:rFonts w:ascii="HelveticaNeue-Light" w:eastAsia="Times New Roman" w:hAnsi="HelveticaNeue-Light" w:cs="HelveticaNeue-Light"/>
      <w:color w:val="000000"/>
      <w:spacing w:val="2"/>
      <w:sz w:val="16"/>
      <w:szCs w:val="16"/>
      <w:lang w:val="en-GB"/>
    </w:rPr>
  </w:style>
  <w:style w:type="paragraph" w:styleId="TOC1">
    <w:name w:val="toc 1"/>
    <w:basedOn w:val="Normal"/>
    <w:next w:val="Normal"/>
    <w:autoRedefine/>
    <w:uiPriority w:val="39"/>
    <w:unhideWhenUsed/>
    <w:rsid w:val="001423B0"/>
    <w:pPr>
      <w:spacing w:before="120"/>
    </w:pPr>
    <w:rPr>
      <w:rFonts w:asciiTheme="minorHAnsi" w:hAnsiTheme="minorHAnsi"/>
      <w:b/>
      <w:sz w:val="22"/>
      <w:szCs w:val="22"/>
    </w:rPr>
  </w:style>
  <w:style w:type="paragraph" w:styleId="TOC2">
    <w:name w:val="toc 2"/>
    <w:basedOn w:val="Normal"/>
    <w:next w:val="Normal"/>
    <w:autoRedefine/>
    <w:uiPriority w:val="39"/>
    <w:unhideWhenUsed/>
    <w:rsid w:val="001423B0"/>
    <w:pPr>
      <w:ind w:left="200"/>
    </w:pPr>
    <w:rPr>
      <w:rFonts w:asciiTheme="minorHAnsi" w:hAnsiTheme="minorHAnsi"/>
      <w:i/>
      <w:sz w:val="22"/>
      <w:szCs w:val="22"/>
    </w:rPr>
  </w:style>
  <w:style w:type="paragraph" w:styleId="TOC3">
    <w:name w:val="toc 3"/>
    <w:basedOn w:val="Normal"/>
    <w:next w:val="Normal"/>
    <w:autoRedefine/>
    <w:uiPriority w:val="39"/>
    <w:unhideWhenUsed/>
    <w:rsid w:val="001423B0"/>
    <w:pPr>
      <w:ind w:left="400"/>
    </w:pPr>
    <w:rPr>
      <w:rFonts w:asciiTheme="minorHAnsi" w:hAnsiTheme="minorHAnsi"/>
      <w:sz w:val="22"/>
      <w:szCs w:val="22"/>
    </w:rPr>
  </w:style>
  <w:style w:type="paragraph" w:styleId="TOC4">
    <w:name w:val="toc 4"/>
    <w:basedOn w:val="Normal"/>
    <w:next w:val="Normal"/>
    <w:autoRedefine/>
    <w:uiPriority w:val="39"/>
    <w:unhideWhenUsed/>
    <w:rsid w:val="001423B0"/>
    <w:pPr>
      <w:ind w:left="600"/>
    </w:pPr>
    <w:rPr>
      <w:rFonts w:asciiTheme="minorHAnsi" w:hAnsiTheme="minorHAnsi"/>
    </w:rPr>
  </w:style>
  <w:style w:type="paragraph" w:styleId="TOC5">
    <w:name w:val="toc 5"/>
    <w:basedOn w:val="Normal"/>
    <w:next w:val="Normal"/>
    <w:autoRedefine/>
    <w:uiPriority w:val="39"/>
    <w:unhideWhenUsed/>
    <w:rsid w:val="001423B0"/>
    <w:pPr>
      <w:ind w:left="800"/>
    </w:pPr>
    <w:rPr>
      <w:rFonts w:asciiTheme="minorHAnsi" w:hAnsiTheme="minorHAnsi"/>
    </w:rPr>
  </w:style>
  <w:style w:type="paragraph" w:styleId="TOC6">
    <w:name w:val="toc 6"/>
    <w:basedOn w:val="Normal"/>
    <w:next w:val="Normal"/>
    <w:autoRedefine/>
    <w:uiPriority w:val="39"/>
    <w:unhideWhenUsed/>
    <w:rsid w:val="001423B0"/>
    <w:pPr>
      <w:ind w:left="1000"/>
    </w:pPr>
    <w:rPr>
      <w:rFonts w:asciiTheme="minorHAnsi" w:hAnsiTheme="minorHAnsi"/>
    </w:rPr>
  </w:style>
  <w:style w:type="paragraph" w:styleId="TOC7">
    <w:name w:val="toc 7"/>
    <w:basedOn w:val="Normal"/>
    <w:next w:val="Normal"/>
    <w:autoRedefine/>
    <w:uiPriority w:val="39"/>
    <w:unhideWhenUsed/>
    <w:rsid w:val="001423B0"/>
    <w:pPr>
      <w:ind w:left="1200"/>
    </w:pPr>
    <w:rPr>
      <w:rFonts w:asciiTheme="minorHAnsi" w:hAnsiTheme="minorHAnsi"/>
    </w:rPr>
  </w:style>
  <w:style w:type="paragraph" w:styleId="TOC8">
    <w:name w:val="toc 8"/>
    <w:basedOn w:val="Normal"/>
    <w:next w:val="Normal"/>
    <w:autoRedefine/>
    <w:uiPriority w:val="39"/>
    <w:unhideWhenUsed/>
    <w:rsid w:val="001423B0"/>
    <w:pPr>
      <w:ind w:left="1400"/>
    </w:pPr>
    <w:rPr>
      <w:rFonts w:asciiTheme="minorHAnsi" w:hAnsiTheme="minorHAnsi"/>
    </w:rPr>
  </w:style>
  <w:style w:type="paragraph" w:styleId="TOC9">
    <w:name w:val="toc 9"/>
    <w:basedOn w:val="Normal"/>
    <w:next w:val="Normal"/>
    <w:autoRedefine/>
    <w:uiPriority w:val="39"/>
    <w:unhideWhenUsed/>
    <w:rsid w:val="001423B0"/>
    <w:pPr>
      <w:ind w:left="1600"/>
    </w:pPr>
    <w:rPr>
      <w:rFonts w:asciiTheme="minorHAnsi" w:hAnsiTheme="minorHAnsi"/>
    </w:rPr>
  </w:style>
  <w:style w:type="character" w:styleId="Hyperlink">
    <w:name w:val="Hyperlink"/>
    <w:basedOn w:val="DefaultParagraphFont"/>
    <w:rsid w:val="001423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7646</Words>
  <Characters>48394</Characters>
  <Application>Microsoft Office Word</Application>
  <DocSecurity>4</DocSecurity>
  <Lines>403</Lines>
  <Paragraphs>111</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55929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Templonuevo Joas</dc:creator>
  <cp:lastModifiedBy>CORNELIUS, Aimee</cp:lastModifiedBy>
  <cp:revision>2</cp:revision>
  <cp:lastPrinted>2016-01-25T02:01:00Z</cp:lastPrinted>
  <dcterms:created xsi:type="dcterms:W3CDTF">2016-01-28T03:38:00Z</dcterms:created>
  <dcterms:modified xsi:type="dcterms:W3CDTF">2016-01-28T03:38:00Z</dcterms:modified>
</cp:coreProperties>
</file>