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E0A" w:rsidRDefault="00F87E45" w:rsidP="00C6718F">
      <w:pPr>
        <w:autoSpaceDE w:val="0"/>
        <w:autoSpaceDN w:val="0"/>
        <w:adjustRightInd w:val="0"/>
        <w:rPr>
          <w:rStyle w:val="IntenseReference"/>
          <w:b w:val="0"/>
          <w:bCs w:val="0"/>
          <w:i w:val="0"/>
          <w:smallCaps w:val="0"/>
          <w:color w:val="auto"/>
          <w:spacing w:val="0"/>
        </w:rPr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7A687374" wp14:editId="142222FA">
            <wp:simplePos x="0" y="0"/>
            <wp:positionH relativeFrom="column">
              <wp:posOffset>5213985</wp:posOffset>
            </wp:positionH>
            <wp:positionV relativeFrom="paragraph">
              <wp:posOffset>926465</wp:posOffset>
            </wp:positionV>
            <wp:extent cx="9620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386" y="21330"/>
                <wp:lineTo x="21386" y="0"/>
                <wp:lineTo x="0" y="0"/>
              </wp:wrapPolygon>
            </wp:wrapTight>
            <wp:docPr id="23" name="Picture 23" descr="Left arm photo of skin staining" title="Photo showing patient skin st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2" b="10963"/>
                    <a:stretch/>
                  </pic:blipFill>
                  <pic:spPr bwMode="auto">
                    <a:xfrm>
                      <a:off x="0" y="0"/>
                      <a:ext cx="962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69F3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Learning Workshop 4 was held via webinar on Friday 23 September 2016 and focussed on </w:t>
      </w:r>
      <w:r w:rsidR="00FE625C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IV iron infusions and potential adverse events. </w:t>
      </w:r>
      <w:r w:rsidR="00267B74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>Dr Pradeep Jayasuriya</w:t>
      </w:r>
      <w:r w:rsidR="00C6718F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, a member of the Commission’s Patient Blood Management (PBM) Project Reference Group, and a </w:t>
      </w:r>
      <w:r w:rsidR="007F4F99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GP </w:t>
      </w:r>
      <w:r w:rsidR="00C6718F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who established </w:t>
      </w:r>
      <w:r w:rsidR="00F470F6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Australia’s </w:t>
      </w:r>
      <w:r w:rsidR="00C6718F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>first community</w:t>
      </w:r>
      <w:r w:rsidR="00F470F6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>-</w:t>
      </w:r>
      <w:r w:rsidR="00C6718F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based iron infusion centre in </w:t>
      </w:r>
      <w:r w:rsidR="00F71E0A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>Belmont</w:t>
      </w:r>
      <w:r w:rsidR="00F470F6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>, Western Australia,</w:t>
      </w:r>
      <w:r w:rsidR="00F71E0A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 </w:t>
      </w:r>
      <w:r w:rsidR="00267B74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>presented</w:t>
      </w:r>
      <w:r w:rsidR="00C6718F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 on common GP concerns</w:t>
      </w:r>
      <w:r w:rsidR="00267B74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>.</w:t>
      </w:r>
      <w:r w:rsidR="00071B03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  </w:t>
      </w:r>
      <w:r w:rsidR="00C6718F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Discussion included the need for patient consent, </w:t>
      </w:r>
      <w:r w:rsidR="00F71E0A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>referral pathways for investigation, dosage regimens and IV cannulation experience.</w:t>
      </w:r>
    </w:p>
    <w:p w:rsidR="00F71E0A" w:rsidRDefault="00F71E0A" w:rsidP="00C6718F">
      <w:pPr>
        <w:autoSpaceDE w:val="0"/>
        <w:autoSpaceDN w:val="0"/>
        <w:adjustRightInd w:val="0"/>
        <w:rPr>
          <w:rStyle w:val="IntenseReference"/>
          <w:b w:val="0"/>
          <w:bCs w:val="0"/>
          <w:i w:val="0"/>
          <w:smallCaps w:val="0"/>
          <w:color w:val="auto"/>
          <w:spacing w:val="0"/>
        </w:rPr>
      </w:pPr>
    </w:p>
    <w:p w:rsidR="007F4F99" w:rsidRDefault="00F71E0A" w:rsidP="007F4F99">
      <w:pPr>
        <w:autoSpaceDE w:val="0"/>
        <w:autoSpaceDN w:val="0"/>
        <w:adjustRightInd w:val="0"/>
      </w:pPr>
      <w:r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One </w:t>
      </w:r>
      <w:r w:rsidR="00C34414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potential </w:t>
      </w:r>
      <w:r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adverse event </w:t>
      </w:r>
      <w:r w:rsidR="007F4F99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of administering IV iron </w:t>
      </w:r>
      <w:r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is skin </w:t>
      </w:r>
      <w:r w:rsidR="00071B03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staining </w:t>
      </w:r>
      <w:r>
        <w:rPr>
          <w:rStyle w:val="IntenseReference"/>
          <w:b w:val="0"/>
          <w:bCs w:val="0"/>
          <w:i w:val="0"/>
          <w:smallCaps w:val="0"/>
          <w:color w:val="auto"/>
          <w:spacing w:val="0"/>
        </w:rPr>
        <w:t>f</w:t>
      </w:r>
      <w:r w:rsidR="001A3795" w:rsidRPr="00071B03">
        <w:t>rom paravenous leakage of iron solutions</w:t>
      </w:r>
      <w:r w:rsidR="00C34414">
        <w:t>.  Staining</w:t>
      </w:r>
      <w:r>
        <w:t xml:space="preserve"> </w:t>
      </w:r>
      <w:r w:rsidR="007F4F99">
        <w:t xml:space="preserve">may </w:t>
      </w:r>
      <w:r>
        <w:t>be permanent</w:t>
      </w:r>
      <w:r w:rsidR="00C34414">
        <w:t>,</w:t>
      </w:r>
      <w:r>
        <w:t xml:space="preserve"> but the </w:t>
      </w:r>
      <w:r w:rsidR="00071B03">
        <w:t>l</w:t>
      </w:r>
      <w:r w:rsidR="001A3795" w:rsidRPr="00071B03">
        <w:t xml:space="preserve">ength and duration of staining </w:t>
      </w:r>
      <w:r w:rsidR="00C34414">
        <w:t xml:space="preserve">appears to be </w:t>
      </w:r>
      <w:r w:rsidR="001A3795" w:rsidRPr="00071B03">
        <w:t xml:space="preserve">related to volume of </w:t>
      </w:r>
      <w:r>
        <w:t xml:space="preserve">the </w:t>
      </w:r>
      <w:r w:rsidR="001A3795" w:rsidRPr="00071B03">
        <w:t>drug extravagated</w:t>
      </w:r>
      <w:r>
        <w:t>.</w:t>
      </w:r>
      <w:r w:rsidR="00F470F6">
        <w:t xml:space="preserve">  The carboxymaltose product information notes a frequency of </w:t>
      </w:r>
      <w:r w:rsidR="003F1DF3" w:rsidRPr="00F470F6">
        <w:t>1-10/1000</w:t>
      </w:r>
      <w:r w:rsidR="00C34414">
        <w:t>; the B</w:t>
      </w:r>
      <w:r w:rsidR="00F470F6">
        <w:t xml:space="preserve">elmont </w:t>
      </w:r>
      <w:r w:rsidR="00C34414">
        <w:t>C</w:t>
      </w:r>
      <w:r w:rsidR="00F470F6">
        <w:t xml:space="preserve">linic </w:t>
      </w:r>
      <w:r w:rsidR="00C34414">
        <w:t xml:space="preserve">(WA) </w:t>
      </w:r>
      <w:r w:rsidR="00F470F6">
        <w:t>experience is n</w:t>
      </w:r>
      <w:r w:rsidR="003F1DF3" w:rsidRPr="00F470F6">
        <w:t>il after 1500</w:t>
      </w:r>
      <w:r w:rsidR="00F470F6">
        <w:t>.</w:t>
      </w:r>
    </w:p>
    <w:p w:rsidR="007F4F99" w:rsidRDefault="007F4F99" w:rsidP="007F4F99">
      <w:pPr>
        <w:autoSpaceDE w:val="0"/>
        <w:autoSpaceDN w:val="0"/>
        <w:adjustRightInd w:val="0"/>
      </w:pPr>
    </w:p>
    <w:p w:rsidR="006265D3" w:rsidRPr="00FE625C" w:rsidRDefault="0061614F" w:rsidP="003D234A">
      <w:pPr>
        <w:autoSpaceDE w:val="0"/>
        <w:autoSpaceDN w:val="0"/>
        <w:adjustRightInd w:val="0"/>
        <w:spacing w:after="240"/>
        <w:rPr>
          <w:szCs w:val="22"/>
        </w:rPr>
      </w:pPr>
      <w:r>
        <w:rPr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381000</wp:posOffset>
                </wp:positionV>
                <wp:extent cx="958850" cy="1905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1028" y="19440"/>
                    <wp:lineTo x="21028" y="0"/>
                    <wp:lineTo x="0" y="0"/>
                  </wp:wrapPolygon>
                </wp:wrapTight>
                <wp:docPr id="24" name="Text Box 24" descr="Caption for the patient photo of skin staining" title="Example of Skin Stain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4F99" w:rsidRPr="007F4F99" w:rsidRDefault="007F4F99" w:rsidP="007F4F99">
                            <w:pPr>
                              <w:pStyle w:val="Caption"/>
                              <w:spacing w:after="0"/>
                              <w:jc w:val="right"/>
                              <w:rPr>
                                <w:b w:val="0"/>
                                <w:noProof/>
                                <w:color w:val="0070C0"/>
                                <w:sz w:val="16"/>
                                <w:szCs w:val="24"/>
                              </w:rPr>
                            </w:pPr>
                            <w:r w:rsidRPr="007F4F99">
                              <w:rPr>
                                <w:b w:val="0"/>
                                <w:color w:val="0070C0"/>
                                <w:sz w:val="16"/>
                              </w:rPr>
                              <w:t xml:space="preserve">Figure </w:t>
                            </w:r>
                            <w:r w:rsidRPr="007F4F99">
                              <w:rPr>
                                <w:b w:val="0"/>
                                <w:color w:val="0070C0"/>
                                <w:sz w:val="16"/>
                              </w:rPr>
                              <w:fldChar w:fldCharType="begin"/>
                            </w:r>
                            <w:r w:rsidRPr="007F4F99">
                              <w:rPr>
                                <w:b w:val="0"/>
                                <w:color w:val="0070C0"/>
                                <w:sz w:val="16"/>
                              </w:rPr>
                              <w:instrText xml:space="preserve"> SEQ Figure \* ARABIC </w:instrText>
                            </w:r>
                            <w:r w:rsidRPr="007F4F99">
                              <w:rPr>
                                <w:b w:val="0"/>
                                <w:color w:val="0070C0"/>
                                <w:sz w:val="16"/>
                              </w:rPr>
                              <w:fldChar w:fldCharType="separate"/>
                            </w:r>
                            <w:r w:rsidR="00F87E45">
                              <w:rPr>
                                <w:b w:val="0"/>
                                <w:noProof/>
                                <w:color w:val="0070C0"/>
                                <w:sz w:val="16"/>
                              </w:rPr>
                              <w:t>1</w:t>
                            </w:r>
                            <w:r w:rsidRPr="007F4F99">
                              <w:rPr>
                                <w:b w:val="0"/>
                                <w:color w:val="0070C0"/>
                                <w:sz w:val="16"/>
                              </w:rPr>
                              <w:fldChar w:fldCharType="end"/>
                            </w:r>
                            <w:r w:rsidRPr="007F4F99">
                              <w:rPr>
                                <w:b w:val="0"/>
                                <w:color w:val="0070C0"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b w:val="0"/>
                                <w:color w:val="0070C0"/>
                                <w:sz w:val="16"/>
                              </w:rPr>
                              <w:t xml:space="preserve"> </w:t>
                            </w:r>
                            <w:r w:rsidRPr="007F4F99">
                              <w:rPr>
                                <w:b w:val="0"/>
                                <w:color w:val="0070C0"/>
                                <w:sz w:val="16"/>
                              </w:rPr>
                              <w:t>Skin Stain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alt="Title: Example of Skin Staining - Description: Caption for the patient photo of skin staining" style="position:absolute;margin-left:410.55pt;margin-top:30pt;width:75.5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" stroked="f">
                <v:textbox inset="0,0,0,0">
                  <w:txbxContent>
                    <w:p w:rsidR="007F4F99" w:rsidRPr="007F4F99" w:rsidRDefault="007F4F99" w:rsidP="007F4F99">
                      <w:pPr>
                        <w:pStyle w:val="Caption"/>
                        <w:spacing w:after="0"/>
                        <w:jc w:val="right"/>
                        <w:rPr>
                          <w:b w:val="0"/>
                          <w:noProof/>
                          <w:color w:val="0070C0"/>
                          <w:sz w:val="16"/>
                          <w:szCs w:val="24"/>
                        </w:rPr>
                      </w:pPr>
                      <w:r w:rsidRPr="007F4F99">
                        <w:rPr>
                          <w:b w:val="0"/>
                          <w:color w:val="0070C0"/>
                          <w:sz w:val="16"/>
                        </w:rPr>
                        <w:t xml:space="preserve">Figure </w:t>
                      </w:r>
                      <w:r w:rsidRPr="007F4F99">
                        <w:rPr>
                          <w:b w:val="0"/>
                          <w:color w:val="0070C0"/>
                          <w:sz w:val="16"/>
                        </w:rPr>
                        <w:fldChar w:fldCharType="begin"/>
                      </w:r>
                      <w:r w:rsidRPr="007F4F99">
                        <w:rPr>
                          <w:b w:val="0"/>
                          <w:color w:val="0070C0"/>
                          <w:sz w:val="16"/>
                        </w:rPr>
                        <w:instrText xml:space="preserve"> SEQ Figure \* ARABIC </w:instrText>
                      </w:r>
                      <w:r w:rsidRPr="007F4F99">
                        <w:rPr>
                          <w:b w:val="0"/>
                          <w:color w:val="0070C0"/>
                          <w:sz w:val="16"/>
                        </w:rPr>
                        <w:fldChar w:fldCharType="separate"/>
                      </w:r>
                      <w:r w:rsidR="00F87E45">
                        <w:rPr>
                          <w:b w:val="0"/>
                          <w:noProof/>
                          <w:color w:val="0070C0"/>
                          <w:sz w:val="16"/>
                        </w:rPr>
                        <w:t>1</w:t>
                      </w:r>
                      <w:r w:rsidRPr="007F4F99">
                        <w:rPr>
                          <w:b w:val="0"/>
                          <w:color w:val="0070C0"/>
                          <w:sz w:val="16"/>
                        </w:rPr>
                        <w:fldChar w:fldCharType="end"/>
                      </w:r>
                      <w:r w:rsidRPr="007F4F99">
                        <w:rPr>
                          <w:b w:val="0"/>
                          <w:color w:val="0070C0"/>
                          <w:sz w:val="16"/>
                        </w:rPr>
                        <w:t xml:space="preserve">: </w:t>
                      </w:r>
                      <w:r>
                        <w:rPr>
                          <w:b w:val="0"/>
                          <w:color w:val="0070C0"/>
                          <w:sz w:val="16"/>
                        </w:rPr>
                        <w:t xml:space="preserve"> </w:t>
                      </w:r>
                      <w:r w:rsidRPr="007F4F99">
                        <w:rPr>
                          <w:b w:val="0"/>
                          <w:color w:val="0070C0"/>
                          <w:sz w:val="16"/>
                        </w:rPr>
                        <w:t>Skin Stain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71B03" w:rsidRPr="00FE625C">
        <w:rPr>
          <w:szCs w:val="22"/>
        </w:rPr>
        <w:t>Sue Ireland</w:t>
      </w:r>
      <w:r w:rsidR="006265D3" w:rsidRPr="00FE625C">
        <w:rPr>
          <w:szCs w:val="22"/>
        </w:rPr>
        <w:t xml:space="preserve"> from S</w:t>
      </w:r>
      <w:r w:rsidR="00F470F6">
        <w:rPr>
          <w:szCs w:val="22"/>
        </w:rPr>
        <w:t>outh Australia (SA)</w:t>
      </w:r>
      <w:r w:rsidR="006265D3" w:rsidRPr="00FE625C">
        <w:rPr>
          <w:szCs w:val="22"/>
        </w:rPr>
        <w:t xml:space="preserve"> Health </w:t>
      </w:r>
      <w:r w:rsidR="007F4F99">
        <w:rPr>
          <w:szCs w:val="22"/>
        </w:rPr>
        <w:t xml:space="preserve">advised </w:t>
      </w:r>
      <w:r w:rsidR="006265D3" w:rsidRPr="00FE625C">
        <w:rPr>
          <w:szCs w:val="22"/>
        </w:rPr>
        <w:t>o</w:t>
      </w:r>
      <w:r w:rsidR="007F4F99">
        <w:rPr>
          <w:szCs w:val="22"/>
        </w:rPr>
        <w:t xml:space="preserve">f initial results </w:t>
      </w:r>
      <w:r w:rsidR="00F470F6">
        <w:rPr>
          <w:szCs w:val="22"/>
        </w:rPr>
        <w:t>of</w:t>
      </w:r>
      <w:r w:rsidR="007F4F99">
        <w:rPr>
          <w:szCs w:val="22"/>
        </w:rPr>
        <w:t xml:space="preserve"> a </w:t>
      </w:r>
      <w:r w:rsidR="006265D3" w:rsidRPr="00FE625C">
        <w:rPr>
          <w:szCs w:val="22"/>
        </w:rPr>
        <w:t xml:space="preserve">review of IV iron infusion incidents associated with the use of ferric carboxymaltose in SA public hospitals. The data provided </w:t>
      </w:r>
      <w:r w:rsidR="003D234A">
        <w:rPr>
          <w:szCs w:val="22"/>
        </w:rPr>
        <w:t>is</w:t>
      </w:r>
      <w:r w:rsidR="006265D3" w:rsidRPr="00FE625C">
        <w:rPr>
          <w:szCs w:val="22"/>
        </w:rPr>
        <w:t xml:space="preserve"> based on voluntary reporting of incidents on the </w:t>
      </w:r>
      <w:r w:rsidR="00FE625C" w:rsidRPr="00FE625C">
        <w:rPr>
          <w:szCs w:val="22"/>
        </w:rPr>
        <w:t xml:space="preserve">Safety Learning System (SLS) </w:t>
      </w:r>
      <w:r w:rsidR="006265D3" w:rsidRPr="00FE625C">
        <w:rPr>
          <w:szCs w:val="22"/>
        </w:rPr>
        <w:t>by hospital staff associated with ferric carboxymaltose administration.</w:t>
      </w:r>
      <w:r w:rsidR="00FE625C" w:rsidRPr="00FE625C">
        <w:rPr>
          <w:szCs w:val="22"/>
        </w:rPr>
        <w:t xml:space="preserve"> A comparison with the incident rate of other IV iron products is yet to be completed.</w:t>
      </w:r>
    </w:p>
    <w:p w:rsidR="00071B03" w:rsidRDefault="003D234A" w:rsidP="003D234A">
      <w:pPr>
        <w:tabs>
          <w:tab w:val="num" w:pos="720"/>
          <w:tab w:val="num" w:pos="2160"/>
        </w:tabs>
        <w:spacing w:after="120"/>
      </w:pPr>
      <w:r>
        <w:rPr>
          <w:noProof/>
          <w:lang w:eastAsia="en-AU"/>
        </w:rPr>
        <w:drawing>
          <wp:inline distT="0" distB="0" distL="0" distR="0" wp14:anchorId="146198A8" wp14:editId="7F2A2BFC">
            <wp:extent cx="2705100" cy="609600"/>
            <wp:effectExtent l="0" t="0" r="0" b="0"/>
            <wp:docPr id="7" name="Picture 7" descr="Shows the BloodSafe eLearning Australia logo" title="Bloods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odsafeelearninglogo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4"/>
                    <a:stretch/>
                  </pic:blipFill>
                  <pic:spPr bwMode="auto">
                    <a:xfrm>
                      <a:off x="0" y="0"/>
                      <a:ext cx="270510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A76" w:rsidRDefault="007F4F99" w:rsidP="00071B03">
      <w:pPr>
        <w:tabs>
          <w:tab w:val="num" w:pos="720"/>
          <w:tab w:val="num" w:pos="2160"/>
        </w:tabs>
      </w:pPr>
      <w:r>
        <w:t xml:space="preserve">SA Health’s </w:t>
      </w:r>
      <w:r w:rsidR="00071B03">
        <w:t xml:space="preserve">Bloodsafe </w:t>
      </w:r>
      <w:r w:rsidR="00A46A76">
        <w:t>e</w:t>
      </w:r>
      <w:r w:rsidR="00071B03">
        <w:t>Learning Australia</w:t>
      </w:r>
      <w:r>
        <w:t xml:space="preserve"> is </w:t>
      </w:r>
      <w:r w:rsidR="00FE625C">
        <w:t xml:space="preserve">an award winning </w:t>
      </w:r>
      <w:r w:rsidR="00071B03" w:rsidRPr="00071B03">
        <w:t xml:space="preserve">transfusion practice </w:t>
      </w:r>
      <w:r w:rsidR="00FE625C">
        <w:t>web</w:t>
      </w:r>
      <w:r w:rsidR="00A46A76">
        <w:t>site provid</w:t>
      </w:r>
      <w:r>
        <w:t>ing PBM</w:t>
      </w:r>
      <w:r w:rsidR="00071B03" w:rsidRPr="00071B03">
        <w:t xml:space="preserve"> education</w:t>
      </w:r>
      <w:r w:rsidR="00071B03">
        <w:t xml:space="preserve">. </w:t>
      </w:r>
      <w:r w:rsidR="00FE625C">
        <w:t>The BloodSafe R</w:t>
      </w:r>
      <w:r w:rsidR="00071B03">
        <w:t xml:space="preserve">esource </w:t>
      </w:r>
      <w:r w:rsidR="00FE625C">
        <w:t>C</w:t>
      </w:r>
      <w:r w:rsidR="00071B03">
        <w:t xml:space="preserve">entre contains </w:t>
      </w:r>
      <w:r w:rsidR="00A46A76">
        <w:t>valuable resources including:</w:t>
      </w:r>
    </w:p>
    <w:p w:rsidR="00071B03" w:rsidRDefault="00071B03" w:rsidP="00071B03">
      <w:pPr>
        <w:tabs>
          <w:tab w:val="num" w:pos="720"/>
          <w:tab w:val="num" w:pos="2160"/>
        </w:tabs>
      </w:pPr>
    </w:p>
    <w:p w:rsidR="00A46A76" w:rsidRPr="00FE625C" w:rsidRDefault="00361EC8" w:rsidP="003D234A">
      <w:pPr>
        <w:pStyle w:val="ListParagraph"/>
        <w:numPr>
          <w:ilvl w:val="0"/>
          <w:numId w:val="4"/>
        </w:numPr>
        <w:tabs>
          <w:tab w:val="num" w:pos="567"/>
          <w:tab w:val="num" w:pos="2160"/>
        </w:tabs>
        <w:spacing w:after="120"/>
        <w:ind w:left="567" w:hanging="567"/>
        <w:contextualSpacing w:val="0"/>
      </w:pPr>
      <w:r>
        <w:t xml:space="preserve">Videos </w:t>
      </w:r>
      <w:r w:rsidR="00FA15B5">
        <w:t>includ</w:t>
      </w:r>
      <w:r w:rsidR="003D234A">
        <w:t>e</w:t>
      </w:r>
      <w:r w:rsidR="00FA15B5">
        <w:t xml:space="preserve"> </w:t>
      </w:r>
      <w:r w:rsidR="00A46A76" w:rsidRPr="00FE625C">
        <w:t>important information on how to safely administer IV Iron in primary care; an introduction to the principles and benefits of PBM; a discussion about PBM and transfusion between a surgeon and patient; intraoperative PBM strategies to minimise blood loss in cardiothoracic surgery; and</w:t>
      </w:r>
      <w:r>
        <w:t>,</w:t>
      </w:r>
      <w:r w:rsidR="00A46A76" w:rsidRPr="00FE625C">
        <w:t xml:space="preserve"> a guide to assessing the patient with GI bleedin</w:t>
      </w:r>
      <w:r w:rsidR="003D234A">
        <w:t>g</w:t>
      </w:r>
      <w:r w:rsidR="00A46A76" w:rsidRPr="00FE625C">
        <w:t>.</w:t>
      </w:r>
    </w:p>
    <w:p w:rsidR="00A46A76" w:rsidRPr="00FE625C" w:rsidRDefault="00361EC8" w:rsidP="003D234A">
      <w:pPr>
        <w:pStyle w:val="ListParagraph"/>
        <w:numPr>
          <w:ilvl w:val="0"/>
          <w:numId w:val="4"/>
        </w:numPr>
        <w:tabs>
          <w:tab w:val="num" w:pos="567"/>
        </w:tabs>
        <w:spacing w:after="120"/>
        <w:ind w:left="567" w:hanging="567"/>
        <w:contextualSpacing w:val="0"/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  <w: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t xml:space="preserve">Tools </w:t>
      </w:r>
      <w:r w:rsidR="003D234A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t xml:space="preserve">include </w:t>
      </w:r>
      <w:r w:rsidR="00A46A76" w:rsidRPr="00FE625C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t xml:space="preserve">a protocol for administering IV </w:t>
      </w:r>
      <w:r w:rsidR="00FA15B5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t>f</w:t>
      </w:r>
      <w:r w:rsidR="00A46A76" w:rsidRPr="00FE625C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t xml:space="preserve">erric </w:t>
      </w:r>
      <w:r w:rsidR="00FA15B5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t>c</w:t>
      </w:r>
      <w:r w:rsidR="00A46A76" w:rsidRPr="00FE625C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t>arboxymaltose</w:t>
      </w:r>
      <w:r w:rsidR="00FA15B5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t xml:space="preserve">, </w:t>
      </w:r>
      <w:r w:rsidR="00A46A76" w:rsidRPr="00FE625C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t xml:space="preserve">a checklist for prescribers from WA Health; </w:t>
      </w:r>
      <w:r w:rsidR="00FA15B5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t xml:space="preserve">a </w:t>
      </w:r>
      <w:r w:rsidR="00A46A76" w:rsidRPr="00FE625C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t xml:space="preserve">prescribing checklist for IV iron </w:t>
      </w:r>
      <w:r w:rsidR="00FA15B5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t>f</w:t>
      </w:r>
      <w:r w:rsidR="00A46A76" w:rsidRPr="00FE625C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t>rom NPS MedicineWise and consumer information.</w:t>
      </w:r>
    </w:p>
    <w:p w:rsidR="00A46A76" w:rsidRPr="00FE625C" w:rsidRDefault="00A46A76" w:rsidP="003D234A">
      <w:pPr>
        <w:pStyle w:val="ListParagraph"/>
        <w:numPr>
          <w:ilvl w:val="0"/>
          <w:numId w:val="4"/>
        </w:numPr>
        <w:shd w:val="clear" w:color="auto" w:fill="FFFFFF"/>
        <w:tabs>
          <w:tab w:val="num" w:pos="567"/>
          <w:tab w:val="num" w:pos="720"/>
          <w:tab w:val="num" w:pos="2160"/>
        </w:tabs>
        <w:spacing w:after="120"/>
        <w:ind w:left="567" w:hanging="567"/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  <w:r w:rsidRPr="00FE625C">
        <w:rPr>
          <w:rFonts w:cs="Arial"/>
          <w:szCs w:val="22"/>
        </w:rPr>
        <w:t>The iron deficiency anaemia</w:t>
      </w:r>
      <w:r w:rsidR="00FA15B5">
        <w:rPr>
          <w:rFonts w:cs="Arial"/>
          <w:szCs w:val="22"/>
        </w:rPr>
        <w:t xml:space="preserve"> (IDA)</w:t>
      </w:r>
      <w:r w:rsidR="00361EC8">
        <w:rPr>
          <w:rFonts w:cs="Arial"/>
          <w:szCs w:val="22"/>
        </w:rPr>
        <w:t xml:space="preserve"> app, </w:t>
      </w:r>
      <w:r w:rsidR="00361EC8" w:rsidRPr="00FE625C">
        <w:rPr>
          <w:rFonts w:cs="Arial"/>
          <w:szCs w:val="22"/>
        </w:rPr>
        <w:t>available for download for iOS and Android</w:t>
      </w:r>
      <w:r w:rsidR="00361EC8">
        <w:rPr>
          <w:rFonts w:cs="Arial"/>
          <w:szCs w:val="22"/>
        </w:rPr>
        <w:t xml:space="preserve">, provides the IDA algorithm which </w:t>
      </w:r>
      <w:r w:rsidRPr="00FE625C">
        <w:rPr>
          <w:rFonts w:cs="Arial"/>
          <w:szCs w:val="22"/>
        </w:rPr>
        <w:t xml:space="preserve">is an educational tool designed to increase </w:t>
      </w:r>
      <w:r w:rsidR="00FA15B5">
        <w:rPr>
          <w:rFonts w:cs="Arial"/>
          <w:szCs w:val="22"/>
        </w:rPr>
        <w:t xml:space="preserve">the </w:t>
      </w:r>
      <w:r w:rsidRPr="00FE625C">
        <w:rPr>
          <w:rFonts w:cs="Arial"/>
          <w:szCs w:val="22"/>
        </w:rPr>
        <w:t xml:space="preserve">understanding of the diagnosis, investigation and management of </w:t>
      </w:r>
      <w:r w:rsidR="00FA15B5">
        <w:rPr>
          <w:rFonts w:cs="Arial"/>
          <w:szCs w:val="22"/>
        </w:rPr>
        <w:t>IDA.</w:t>
      </w:r>
    </w:p>
    <w:p w:rsidR="00D8421C" w:rsidRDefault="00D8421C" w:rsidP="00003743">
      <w:pPr>
        <w:rPr>
          <w:rStyle w:val="IntenseReference"/>
          <w:b w:val="0"/>
          <w:bCs w:val="0"/>
          <w:i w:val="0"/>
          <w:smallCaps w:val="0"/>
          <w:color w:val="auto"/>
          <w:spacing w:val="0"/>
        </w:rPr>
      </w:pPr>
    </w:p>
    <w:p w:rsidR="00267B74" w:rsidRDefault="00267B74" w:rsidP="006265D3">
      <w:pPr>
        <w:rPr>
          <w:rStyle w:val="IntenseReference"/>
          <w:b w:val="0"/>
          <w:bCs w:val="0"/>
          <w:i w:val="0"/>
          <w:smallCaps w:val="0"/>
          <w:color w:val="auto"/>
          <w:spacing w:val="0"/>
        </w:rPr>
      </w:pPr>
      <w:r>
        <w:rPr>
          <w:rStyle w:val="IntenseReference"/>
          <w:b w:val="0"/>
          <w:bCs w:val="0"/>
          <w:i w:val="0"/>
          <w:smallCaps w:val="0"/>
          <w:color w:val="auto"/>
          <w:spacing w:val="0"/>
        </w:rPr>
        <w:t>For fu</w:t>
      </w:r>
      <w:r w:rsidR="006265D3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>r</w:t>
      </w:r>
      <w:r>
        <w:rPr>
          <w:rStyle w:val="IntenseReference"/>
          <w:b w:val="0"/>
          <w:bCs w:val="0"/>
          <w:i w:val="0"/>
          <w:smallCaps w:val="0"/>
          <w:color w:val="auto"/>
          <w:spacing w:val="0"/>
        </w:rPr>
        <w:t>ther information</w:t>
      </w:r>
      <w:r w:rsidR="00FE625C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 go to</w:t>
      </w:r>
      <w:r w:rsidR="002B3C43">
        <w:rPr>
          <w:rStyle w:val="IntenseReference"/>
          <w:b w:val="0"/>
          <w:bCs w:val="0"/>
          <w:i w:val="0"/>
          <w:smallCaps w:val="0"/>
          <w:color w:val="auto"/>
          <w:spacing w:val="0"/>
        </w:rPr>
        <w:t xml:space="preserve"> www.bloodsafeelearning.org.au.</w:t>
      </w:r>
    </w:p>
    <w:p w:rsidR="00A46A76" w:rsidRDefault="00A46A76" w:rsidP="00A46A76">
      <w:pPr>
        <w:rPr>
          <w:rStyle w:val="IntenseReference"/>
          <w:b w:val="0"/>
          <w:bCs w:val="0"/>
          <w:i w:val="0"/>
          <w:smallCaps w:val="0"/>
          <w:color w:val="auto"/>
          <w:spacing w:val="0"/>
        </w:rPr>
      </w:pPr>
    </w:p>
    <w:p w:rsidR="005379F6" w:rsidRDefault="006265D3" w:rsidP="00003743">
      <w:pPr>
        <w:rPr>
          <w:rStyle w:val="IntenseReference"/>
          <w:b w:val="0"/>
          <w:bCs w:val="0"/>
          <w:i w:val="0"/>
          <w:smallCaps w:val="0"/>
          <w:color w:val="auto"/>
          <w:spacing w:val="0"/>
        </w:rPr>
      </w:pPr>
      <w:r w:rsidRPr="00FE625C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>The</w:t>
      </w:r>
      <w:r w:rsidR="003D234A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 xml:space="preserve">re was also </w:t>
      </w:r>
      <w:r w:rsidRPr="00FE625C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 xml:space="preserve">discussion </w:t>
      </w:r>
      <w:r w:rsidR="00361EC8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>of the p</w:t>
      </w:r>
      <w:r w:rsidRPr="00FE625C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>atient pathway and a review</w:t>
      </w:r>
      <w:r w:rsidR="00361EC8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 xml:space="preserve"> being undertaken by the Collaborative pro</w:t>
      </w:r>
      <w:r w:rsidRPr="00FE625C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>ject coordinators on patient management</w:t>
      </w:r>
      <w:r w:rsidR="003D234A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 xml:space="preserve"> to examine </w:t>
      </w:r>
      <w:r w:rsidRPr="00FE625C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 xml:space="preserve">why the Collaborative data </w:t>
      </w:r>
      <w:r w:rsidR="00361EC8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 xml:space="preserve">is showing </w:t>
      </w:r>
      <w:r w:rsidRPr="00FE625C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>high rates for assessment</w:t>
      </w:r>
      <w:r w:rsidR="003D234A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 xml:space="preserve"> </w:t>
      </w:r>
      <w:r w:rsidRPr="00FE625C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 xml:space="preserve">with lower </w:t>
      </w:r>
      <w:r w:rsidR="003D234A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 xml:space="preserve">rates of </w:t>
      </w:r>
      <w:r w:rsidRPr="00FE625C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 xml:space="preserve">management.  The results will be examined </w:t>
      </w:r>
      <w:r w:rsidR="008E5597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 xml:space="preserve">and potential strategies to improve </w:t>
      </w:r>
      <w:r w:rsidR="00361EC8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>management developed</w:t>
      </w:r>
      <w:r w:rsidR="008E5597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 xml:space="preserve"> at </w:t>
      </w:r>
      <w:r w:rsidRPr="00FE625C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 xml:space="preserve">the next </w:t>
      </w:r>
      <w:r w:rsidR="00361EC8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>p</w:t>
      </w:r>
      <w:r w:rsidRPr="00FE625C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 xml:space="preserve">roject </w:t>
      </w:r>
      <w:r w:rsidR="00361EC8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>c</w:t>
      </w:r>
      <w:r w:rsidRPr="00FE625C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 xml:space="preserve">oordinator </w:t>
      </w:r>
      <w:r w:rsidR="00361EC8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>w</w:t>
      </w:r>
      <w:r w:rsidRPr="00FE625C">
        <w:rPr>
          <w:rStyle w:val="IntenseReference"/>
          <w:b w:val="0"/>
          <w:bCs w:val="0"/>
          <w:i w:val="0"/>
          <w:smallCaps w:val="0"/>
          <w:color w:val="auto"/>
          <w:spacing w:val="0"/>
          <w:szCs w:val="22"/>
        </w:rPr>
        <w:t>orkshop in November 2016.</w:t>
      </w:r>
    </w:p>
    <w:p w:rsidR="005379F6" w:rsidRDefault="005379F6">
      <w:pPr>
        <w:rPr>
          <w:rStyle w:val="IntenseReference"/>
          <w:b w:val="0"/>
          <w:bCs w:val="0"/>
          <w:i w:val="0"/>
          <w:smallCaps w:val="0"/>
          <w:color w:val="auto"/>
          <w:spacing w:val="0"/>
        </w:rPr>
        <w:sectPr w:rsidR="005379F6" w:rsidSect="007F1178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3686" w:right="1134" w:bottom="1134" w:left="1134" w:header="709" w:footer="709" w:gutter="0"/>
          <w:cols w:space="708"/>
          <w:titlePg/>
          <w:docGrid w:linePitch="360"/>
        </w:sectPr>
      </w:pPr>
    </w:p>
    <w:p w:rsidR="00CB2F02" w:rsidRPr="00165718" w:rsidRDefault="005379F6" w:rsidP="002B1B36">
      <w:pPr>
        <w:rPr>
          <w:rFonts w:cs="Arial"/>
          <w:b/>
          <w:bCs/>
          <w:color w:val="993366"/>
          <w:szCs w:val="22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8EC0A16" wp14:editId="224BC510">
                <wp:simplePos x="0" y="0"/>
                <wp:positionH relativeFrom="column">
                  <wp:posOffset>60496</wp:posOffset>
                </wp:positionH>
                <wp:positionV relativeFrom="paragraph">
                  <wp:posOffset>-2074266</wp:posOffset>
                </wp:positionV>
                <wp:extent cx="5954752" cy="342900"/>
                <wp:effectExtent l="0" t="0" r="825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752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79F6" w:rsidRDefault="005379F6" w:rsidP="005379F6">
                            <w:pPr>
                              <w:widowControl w:val="0"/>
                              <w:rPr>
                                <w:rFonts w:ascii="Candara" w:hAnsi="Candar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Overview of Collaborative Activity to May 2016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.75pt;margin-top:-163.35pt;width:468.9pt;height:2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5379F6" w:rsidRDefault="005379F6" w:rsidP="005379F6">
                      <w:pPr>
                        <w:widowControl w:val="0"/>
                        <w:rPr>
                          <w:rFonts w:ascii="Candara" w:hAnsi="Candara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FFFFFF"/>
                          <w:sz w:val="40"/>
                          <w:szCs w:val="40"/>
                        </w:rPr>
                        <w:t>Overview of Collaborative Activity to May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36576" distB="36576" distL="36576" distR="36576" simplePos="0" relativeHeight="251662336" behindDoc="0" locked="0" layoutInCell="1" allowOverlap="1" wp14:anchorId="4FD3ACD6" wp14:editId="069A6629">
            <wp:simplePos x="0" y="0"/>
            <wp:positionH relativeFrom="column">
              <wp:posOffset>-17563</wp:posOffset>
            </wp:positionH>
            <wp:positionV relativeFrom="paragraph">
              <wp:posOffset>-2130022</wp:posOffset>
            </wp:positionV>
            <wp:extent cx="6155473" cy="479502"/>
            <wp:effectExtent l="0" t="0" r="0" b="0"/>
            <wp:wrapNone/>
            <wp:docPr id="5" name="Picture 5" descr="blood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odbann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001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F02" w:rsidRPr="00165718">
        <w:rPr>
          <w:rFonts w:cs="Arial"/>
          <w:b/>
          <w:bCs/>
          <w:color w:val="993366"/>
          <w:szCs w:val="22"/>
        </w:rPr>
        <w:t xml:space="preserve">Figure 1: </w:t>
      </w:r>
      <w:r w:rsidR="00CB2F02" w:rsidRPr="00165718">
        <w:rPr>
          <w:rFonts w:cs="Arial"/>
          <w:b/>
          <w:bCs/>
          <w:color w:val="993366"/>
          <w:kern w:val="24"/>
          <w:szCs w:val="22"/>
        </w:rPr>
        <w:t xml:space="preserve">Total patient procedures by test by health service, </w:t>
      </w:r>
      <w:r w:rsidR="00E5409C" w:rsidRPr="00165718">
        <w:rPr>
          <w:rFonts w:cs="Arial"/>
          <w:b/>
          <w:bCs/>
          <w:color w:val="993366"/>
          <w:kern w:val="24"/>
          <w:szCs w:val="22"/>
        </w:rPr>
        <w:t>May</w:t>
      </w:r>
      <w:r w:rsidR="00CB2F02" w:rsidRPr="00165718">
        <w:rPr>
          <w:rFonts w:cs="Arial"/>
          <w:b/>
          <w:bCs/>
          <w:color w:val="993366"/>
          <w:kern w:val="24"/>
          <w:szCs w:val="22"/>
        </w:rPr>
        <w:t xml:space="preserve"> 2015 to </w:t>
      </w:r>
      <w:r w:rsidR="00F669F3">
        <w:rPr>
          <w:rFonts w:cs="Arial"/>
          <w:b/>
          <w:bCs/>
          <w:color w:val="993366"/>
          <w:kern w:val="24"/>
          <w:szCs w:val="22"/>
        </w:rPr>
        <w:t>August</w:t>
      </w:r>
      <w:r w:rsidR="00E5409C" w:rsidRPr="00165718">
        <w:rPr>
          <w:rFonts w:cs="Arial"/>
          <w:b/>
          <w:bCs/>
          <w:color w:val="993366"/>
          <w:kern w:val="24"/>
          <w:szCs w:val="22"/>
        </w:rPr>
        <w:t xml:space="preserve"> </w:t>
      </w:r>
      <w:r w:rsidR="00CB2F02" w:rsidRPr="00165718">
        <w:rPr>
          <w:rFonts w:cs="Arial"/>
          <w:b/>
          <w:bCs/>
          <w:color w:val="993366"/>
          <w:kern w:val="24"/>
          <w:szCs w:val="22"/>
        </w:rPr>
        <w:t>2016</w:t>
      </w:r>
      <w:r w:rsidR="00CB2F02" w:rsidRPr="00165718">
        <w:rPr>
          <w:rFonts w:cs="Arial"/>
          <w:color w:val="993366"/>
          <w:szCs w:val="22"/>
        </w:rPr>
        <w:t xml:space="preserve"> </w:t>
      </w:r>
    </w:p>
    <w:p w:rsidR="00730650" w:rsidRPr="002B1B36" w:rsidRDefault="00730650" w:rsidP="006C1E86">
      <w:pPr>
        <w:autoSpaceDE w:val="0"/>
        <w:autoSpaceDN w:val="0"/>
        <w:adjustRightInd w:val="0"/>
        <w:spacing w:after="240"/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  <w:r w:rsidRPr="002B1B36">
        <w:rPr>
          <w:rFonts w:cs="Arial"/>
          <w:szCs w:val="22"/>
          <w:lang w:eastAsia="en-AU"/>
        </w:rPr>
        <w:t xml:space="preserve">A total of 8405 patient procedures have been recorded by NPBMC sites between May 2015 and August 2016. Across NPBMC sites, 7686 (91%) have a haemoglobin recorded and </w:t>
      </w:r>
      <w:r w:rsidR="002B1B36" w:rsidRPr="002B1B36">
        <w:rPr>
          <w:rFonts w:cs="Arial"/>
          <w:szCs w:val="22"/>
          <w:lang w:eastAsia="en-AU"/>
        </w:rPr>
        <w:t>3198</w:t>
      </w:r>
      <w:r w:rsidRPr="002B1B36">
        <w:rPr>
          <w:rFonts w:cs="Arial"/>
          <w:szCs w:val="22"/>
          <w:lang w:eastAsia="en-AU"/>
        </w:rPr>
        <w:t xml:space="preserve"> (37%) have iron studies recorded. Patients for whom iron studies have been recorded usually also have a haemoglobin recorded.</w:t>
      </w:r>
    </w:p>
    <w:p w:rsidR="00CB2F02" w:rsidRPr="00E5409C" w:rsidRDefault="00E136B9" w:rsidP="00003743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  <w:r w:rsidRPr="00E136B9">
        <w:rPr>
          <w:rFonts w:cs="Arial"/>
          <w:noProof/>
          <w:szCs w:val="22"/>
          <w:lang w:eastAsia="en-AU"/>
        </w:rPr>
        <w:drawing>
          <wp:inline distT="0" distB="0" distL="0" distR="0" wp14:anchorId="717B4470" wp14:editId="20FD7CAB">
            <wp:extent cx="6005971" cy="3456000"/>
            <wp:effectExtent l="0" t="0" r="0" b="0"/>
            <wp:docPr id="2050" name="Picture 2" descr="This chart shows the total patient procedures for all12 Collaborative sites for haemoglobin and iron studies." title="Total patient procedures by test by health service, May 2015 to August 201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971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B2F02" w:rsidRPr="00E5409C" w:rsidRDefault="00CB2F02" w:rsidP="00CC57B1">
      <w:pPr>
        <w:tabs>
          <w:tab w:val="left" w:pos="6673"/>
        </w:tabs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</w:p>
    <w:p w:rsidR="00E5409C" w:rsidRPr="00165718" w:rsidRDefault="00E5409C" w:rsidP="007E5F48">
      <w:pPr>
        <w:widowControl w:val="0"/>
        <w:spacing w:after="240"/>
        <w:rPr>
          <w:rFonts w:cs="Arial"/>
          <w:b/>
          <w:bCs/>
          <w:color w:val="993366"/>
          <w:szCs w:val="22"/>
        </w:rPr>
      </w:pPr>
      <w:r w:rsidRPr="00165718">
        <w:rPr>
          <w:rFonts w:cs="Arial"/>
          <w:b/>
          <w:bCs/>
          <w:color w:val="993366"/>
          <w:szCs w:val="22"/>
        </w:rPr>
        <w:t xml:space="preserve">Figure 2: </w:t>
      </w:r>
      <w:r w:rsidRPr="00165718">
        <w:rPr>
          <w:rFonts w:cs="Arial"/>
          <w:b/>
          <w:bCs/>
          <w:color w:val="993366"/>
          <w:kern w:val="24"/>
          <w:szCs w:val="22"/>
        </w:rPr>
        <w:t xml:space="preserve">Total procedures by surgical stream by health service, May 2015 to </w:t>
      </w:r>
      <w:r w:rsidR="00F669F3">
        <w:rPr>
          <w:rFonts w:cs="Arial"/>
          <w:b/>
          <w:bCs/>
          <w:color w:val="993366"/>
          <w:kern w:val="24"/>
          <w:szCs w:val="22"/>
        </w:rPr>
        <w:t>August</w:t>
      </w:r>
      <w:r w:rsidR="00D8421C" w:rsidRPr="00165718">
        <w:rPr>
          <w:rFonts w:cs="Arial"/>
          <w:b/>
          <w:bCs/>
          <w:color w:val="993366"/>
          <w:kern w:val="24"/>
          <w:szCs w:val="22"/>
        </w:rPr>
        <w:t xml:space="preserve"> </w:t>
      </w:r>
      <w:r w:rsidRPr="00165718">
        <w:rPr>
          <w:rFonts w:cs="Arial"/>
          <w:b/>
          <w:bCs/>
          <w:color w:val="993366"/>
          <w:kern w:val="24"/>
          <w:szCs w:val="22"/>
        </w:rPr>
        <w:t>2016</w:t>
      </w:r>
      <w:r w:rsidRPr="00165718">
        <w:rPr>
          <w:rFonts w:cs="Arial"/>
          <w:color w:val="993366"/>
          <w:szCs w:val="22"/>
        </w:rPr>
        <w:t xml:space="preserve"> </w:t>
      </w:r>
    </w:p>
    <w:p w:rsidR="00730650" w:rsidRPr="002B1B36" w:rsidRDefault="00730650" w:rsidP="006C1E86">
      <w:pPr>
        <w:autoSpaceDE w:val="0"/>
        <w:autoSpaceDN w:val="0"/>
        <w:adjustRightInd w:val="0"/>
        <w:spacing w:after="240"/>
        <w:rPr>
          <w:rFonts w:cs="Arial"/>
          <w:szCs w:val="22"/>
        </w:rPr>
      </w:pPr>
      <w:r w:rsidRPr="002B1B36">
        <w:rPr>
          <w:rFonts w:cs="Arial"/>
          <w:szCs w:val="22"/>
          <w:lang w:eastAsia="en-AU"/>
        </w:rPr>
        <w:t xml:space="preserve">Ten out of 12 NPBMC sites are recording data for all three surgical streams (gastrointestinal, orthopaedic and gynaecology). The majority of procedures recorded from May 2015 to </w:t>
      </w:r>
      <w:r w:rsidR="002B1B36" w:rsidRPr="002B1B36">
        <w:rPr>
          <w:rFonts w:cs="Arial"/>
          <w:szCs w:val="22"/>
          <w:lang w:eastAsia="en-AU"/>
        </w:rPr>
        <w:t>August</w:t>
      </w:r>
      <w:r w:rsidRPr="002B1B36">
        <w:rPr>
          <w:rFonts w:cs="Arial"/>
          <w:szCs w:val="22"/>
          <w:lang w:eastAsia="en-AU"/>
        </w:rPr>
        <w:t xml:space="preserve"> 2016 were for orthopaedic surgery.</w:t>
      </w:r>
    </w:p>
    <w:p w:rsidR="007E5F48" w:rsidRDefault="00E136B9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  <w:r w:rsidRPr="00E136B9">
        <w:rPr>
          <w:rFonts w:cs="Arial"/>
          <w:noProof/>
          <w:szCs w:val="22"/>
          <w:lang w:eastAsia="en-AU"/>
        </w:rPr>
        <w:drawing>
          <wp:inline distT="0" distB="0" distL="0" distR="0" wp14:anchorId="66710760" wp14:editId="1934E53D">
            <wp:extent cx="5905104" cy="3456000"/>
            <wp:effectExtent l="0" t="0" r="0" b="0"/>
            <wp:docPr id="1026" name="Picture 2" descr="This chart shows that Ten out of 12 NPBMC sites are recording data for all three surgical streams (gastrointestinal, orthopaedic and gynaecology).&#10;" title="Total procedures by surgical stream by health service, May 2015 to August 201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04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7E5F48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br w:type="page"/>
      </w:r>
    </w:p>
    <w:p w:rsidR="007E5F48" w:rsidRPr="00E5409C" w:rsidRDefault="007E5F48" w:rsidP="007E5F48">
      <w:pPr>
        <w:autoSpaceDE w:val="0"/>
        <w:autoSpaceDN w:val="0"/>
        <w:adjustRightInd w:val="0"/>
        <w:spacing w:after="240"/>
        <w:ind w:right="142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lastRenderedPageBreak/>
        <w:t>Figure 3: Percentage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of patients receiving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pre-operative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assessment for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anaemia by health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service, as at end of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="00F669F3">
        <w:rPr>
          <w:rFonts w:cs="Arial"/>
          <w:b/>
          <w:bCs/>
          <w:color w:val="9A3366"/>
          <w:szCs w:val="22"/>
          <w:lang w:eastAsia="en-AU"/>
        </w:rPr>
        <w:t>August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 2016</w:t>
      </w:r>
    </w:p>
    <w:p w:rsidR="007E5F48" w:rsidRDefault="007E5F48" w:rsidP="006C1E86">
      <w:pPr>
        <w:autoSpaceDE w:val="0"/>
        <w:autoSpaceDN w:val="0"/>
        <w:adjustRightInd w:val="0"/>
        <w:spacing w:after="240"/>
        <w:ind w:right="142"/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t>The percentage of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 xml:space="preserve">patients </w:t>
      </w:r>
      <w:r>
        <w:rPr>
          <w:rFonts w:cs="Arial"/>
          <w:color w:val="000000"/>
          <w:szCs w:val="22"/>
          <w:lang w:eastAsia="en-AU"/>
        </w:rPr>
        <w:t xml:space="preserve">in whom </w:t>
      </w:r>
      <w:r w:rsidR="00B2673E">
        <w:rPr>
          <w:rFonts w:cs="Arial"/>
          <w:color w:val="000000"/>
          <w:szCs w:val="22"/>
          <w:lang w:eastAsia="en-AU"/>
        </w:rPr>
        <w:t xml:space="preserve">a </w:t>
      </w:r>
      <w:r w:rsidR="00B2673E" w:rsidRPr="00E5409C">
        <w:rPr>
          <w:rFonts w:cs="Arial"/>
          <w:color w:val="000000"/>
          <w:szCs w:val="22"/>
          <w:lang w:eastAsia="en-AU"/>
        </w:rPr>
        <w:t>pre</w:t>
      </w:r>
      <w:r>
        <w:rPr>
          <w:rFonts w:cs="Arial"/>
          <w:color w:val="000000"/>
          <w:szCs w:val="22"/>
          <w:lang w:eastAsia="en-AU"/>
        </w:rPr>
        <w:t>-</w:t>
      </w:r>
      <w:r w:rsidRPr="00E5409C">
        <w:rPr>
          <w:rFonts w:cs="Arial"/>
          <w:color w:val="000000"/>
          <w:szCs w:val="22"/>
          <w:lang w:eastAsia="en-AU"/>
        </w:rPr>
        <w:t>operative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haemoglobin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was recorded varie</w:t>
      </w:r>
      <w:r>
        <w:rPr>
          <w:rFonts w:cs="Arial"/>
          <w:color w:val="000000"/>
          <w:szCs w:val="22"/>
          <w:lang w:eastAsia="en-AU"/>
        </w:rPr>
        <w:t xml:space="preserve">d </w:t>
      </w:r>
      <w:r w:rsidRPr="00E5409C">
        <w:rPr>
          <w:rFonts w:cs="Arial"/>
          <w:color w:val="000000"/>
          <w:szCs w:val="22"/>
          <w:lang w:eastAsia="en-AU"/>
        </w:rPr>
        <w:t xml:space="preserve">across participating </w:t>
      </w:r>
      <w:r>
        <w:rPr>
          <w:rFonts w:cs="Arial"/>
          <w:color w:val="000000"/>
          <w:szCs w:val="22"/>
          <w:lang w:eastAsia="en-AU"/>
        </w:rPr>
        <w:t xml:space="preserve">NPBMC </w:t>
      </w:r>
      <w:r w:rsidRPr="00E5409C">
        <w:rPr>
          <w:rFonts w:cs="Arial"/>
          <w:color w:val="000000"/>
          <w:szCs w:val="22"/>
          <w:lang w:eastAsia="en-AU"/>
        </w:rPr>
        <w:t>sites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 xml:space="preserve">from </w:t>
      </w:r>
      <w:r w:rsidR="00E136B9">
        <w:rPr>
          <w:rFonts w:cs="Arial"/>
          <w:color w:val="000000"/>
          <w:szCs w:val="22"/>
          <w:lang w:eastAsia="en-AU"/>
        </w:rPr>
        <w:t>69</w:t>
      </w:r>
      <w:r w:rsidRPr="007D1A8B">
        <w:rPr>
          <w:rFonts w:cs="Arial"/>
          <w:color w:val="000000"/>
          <w:szCs w:val="22"/>
          <w:lang w:eastAsia="en-AU"/>
        </w:rPr>
        <w:t>% to 100</w:t>
      </w:r>
      <w:r w:rsidRPr="00E5409C">
        <w:rPr>
          <w:rFonts w:cs="Arial"/>
          <w:color w:val="000000"/>
          <w:szCs w:val="22"/>
          <w:lang w:eastAsia="en-AU"/>
        </w:rPr>
        <w:t>%.</w:t>
      </w:r>
    </w:p>
    <w:p w:rsidR="007E5F48" w:rsidRDefault="00E136B9" w:rsidP="007E5F48">
      <w:pPr>
        <w:autoSpaceDE w:val="0"/>
        <w:autoSpaceDN w:val="0"/>
        <w:adjustRightInd w:val="0"/>
        <w:ind w:right="141"/>
        <w:rPr>
          <w:rFonts w:cs="Arial"/>
          <w:color w:val="000000"/>
          <w:szCs w:val="22"/>
          <w:lang w:eastAsia="en-AU"/>
        </w:rPr>
      </w:pPr>
      <w:r w:rsidRPr="00E136B9">
        <w:rPr>
          <w:rFonts w:cs="Arial"/>
          <w:noProof/>
          <w:color w:val="000000"/>
          <w:szCs w:val="22"/>
          <w:lang w:eastAsia="en-AU"/>
        </w:rPr>
        <w:drawing>
          <wp:inline distT="0" distB="0" distL="0" distR="0" wp14:anchorId="090586DD" wp14:editId="341383CF">
            <wp:extent cx="6029502" cy="3384000"/>
            <wp:effectExtent l="0" t="0" r="0" b="0"/>
            <wp:docPr id="3074" name="Picture 2" descr="This chart shows the percentage of patients in whom a pre-operative haemoglobin was recorded varied across participating NPBMC sites from 69% to 100% across the 12 Collaborative sites with an average of 91%&#10;&#10;" title="Percentage of patients receiving pre-operative assessment for anaemia by health service, as at end of August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0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E5F48" w:rsidRDefault="007E5F48" w:rsidP="007E5F48">
      <w:pPr>
        <w:autoSpaceDE w:val="0"/>
        <w:autoSpaceDN w:val="0"/>
        <w:adjustRightInd w:val="0"/>
        <w:ind w:right="141"/>
        <w:rPr>
          <w:rFonts w:cs="Arial"/>
          <w:color w:val="000000"/>
          <w:szCs w:val="22"/>
          <w:lang w:eastAsia="en-AU"/>
        </w:rPr>
      </w:pPr>
    </w:p>
    <w:p w:rsidR="007E5F48" w:rsidRPr="00E5409C" w:rsidRDefault="007E5F48" w:rsidP="007E5F48">
      <w:pPr>
        <w:autoSpaceDE w:val="0"/>
        <w:autoSpaceDN w:val="0"/>
        <w:adjustRightInd w:val="0"/>
        <w:spacing w:after="240"/>
        <w:ind w:right="142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>Figure 4: Percentage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of patients receiving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pre-operative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assessment for iron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deficiency by health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Pr="00E5409C">
        <w:rPr>
          <w:rFonts w:cs="Arial"/>
          <w:b/>
          <w:bCs/>
          <w:color w:val="9A3366"/>
          <w:szCs w:val="22"/>
          <w:lang w:eastAsia="en-AU"/>
        </w:rPr>
        <w:t>service, as at end of</w:t>
      </w:r>
      <w:r>
        <w:rPr>
          <w:rFonts w:cs="Arial"/>
          <w:b/>
          <w:bCs/>
          <w:color w:val="9A3366"/>
          <w:szCs w:val="22"/>
          <w:lang w:eastAsia="en-AU"/>
        </w:rPr>
        <w:t xml:space="preserve"> </w:t>
      </w:r>
      <w:r w:rsidR="00F669F3">
        <w:rPr>
          <w:rFonts w:cs="Arial"/>
          <w:b/>
          <w:bCs/>
          <w:color w:val="9A3366"/>
          <w:szCs w:val="22"/>
          <w:lang w:eastAsia="en-AU"/>
        </w:rPr>
        <w:t>August</w:t>
      </w: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 2016</w:t>
      </w:r>
    </w:p>
    <w:p w:rsidR="007E5F48" w:rsidRPr="00E5409C" w:rsidRDefault="007E5F48" w:rsidP="006C1E86">
      <w:pPr>
        <w:autoSpaceDE w:val="0"/>
        <w:autoSpaceDN w:val="0"/>
        <w:adjustRightInd w:val="0"/>
        <w:spacing w:after="240"/>
        <w:ind w:right="142"/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t>There was greater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variability in the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 xml:space="preserve">percentage of patients </w:t>
      </w:r>
      <w:r>
        <w:rPr>
          <w:rFonts w:cs="Arial"/>
          <w:color w:val="000000"/>
          <w:szCs w:val="22"/>
          <w:lang w:eastAsia="en-AU"/>
        </w:rPr>
        <w:t xml:space="preserve">in whom </w:t>
      </w:r>
      <w:r w:rsidRPr="00E5409C">
        <w:rPr>
          <w:rFonts w:cs="Arial"/>
          <w:color w:val="000000"/>
          <w:szCs w:val="22"/>
          <w:lang w:eastAsia="en-AU"/>
        </w:rPr>
        <w:t>pre-operative iron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studies were recorded</w:t>
      </w:r>
      <w:r w:rsidR="00D22D71">
        <w:rPr>
          <w:rFonts w:cs="Arial"/>
          <w:color w:val="000000"/>
          <w:szCs w:val="22"/>
          <w:lang w:eastAsia="en-AU"/>
        </w:rPr>
        <w:t>,</w:t>
      </w:r>
      <w:r>
        <w:rPr>
          <w:rFonts w:cs="Arial"/>
          <w:color w:val="000000"/>
          <w:szCs w:val="22"/>
          <w:lang w:eastAsia="en-AU"/>
        </w:rPr>
        <w:t xml:space="preserve"> from </w:t>
      </w:r>
      <w:r w:rsidR="00E136B9">
        <w:rPr>
          <w:rFonts w:cs="Arial"/>
          <w:color w:val="000000"/>
          <w:szCs w:val="22"/>
          <w:lang w:eastAsia="en-AU"/>
        </w:rPr>
        <w:t>9</w:t>
      </w:r>
      <w:r w:rsidRPr="00073586">
        <w:rPr>
          <w:rFonts w:cs="Arial"/>
          <w:color w:val="000000"/>
          <w:szCs w:val="22"/>
          <w:lang w:eastAsia="en-AU"/>
        </w:rPr>
        <w:t xml:space="preserve">% and </w:t>
      </w:r>
      <w:r w:rsidR="00E136B9">
        <w:rPr>
          <w:rFonts w:cs="Arial"/>
          <w:color w:val="000000"/>
          <w:szCs w:val="22"/>
          <w:lang w:eastAsia="en-AU"/>
        </w:rPr>
        <w:t>72</w:t>
      </w:r>
      <w:r>
        <w:rPr>
          <w:rFonts w:cs="Arial"/>
          <w:color w:val="000000"/>
          <w:szCs w:val="22"/>
          <w:lang w:eastAsia="en-AU"/>
        </w:rPr>
        <w:t>%</w:t>
      </w:r>
      <w:r w:rsidRPr="00E5409C">
        <w:rPr>
          <w:rFonts w:cs="Arial"/>
          <w:color w:val="000000"/>
          <w:szCs w:val="22"/>
          <w:lang w:eastAsia="en-AU"/>
        </w:rPr>
        <w:t>.</w:t>
      </w:r>
    </w:p>
    <w:p w:rsidR="00C77C02" w:rsidRPr="00E5409C" w:rsidRDefault="00E136B9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  <w:r w:rsidRPr="00E136B9">
        <w:rPr>
          <w:rFonts w:cs="Arial"/>
          <w:noProof/>
          <w:color w:val="000000"/>
          <w:szCs w:val="22"/>
          <w:lang w:eastAsia="en-AU"/>
        </w:rPr>
        <w:drawing>
          <wp:inline distT="0" distB="0" distL="0" distR="0" wp14:anchorId="494B1374" wp14:editId="603625E6">
            <wp:extent cx="5995639" cy="3384000"/>
            <wp:effectExtent l="0" t="0" r="0" b="0"/>
            <wp:docPr id="10242" name="Picture 2" descr="This chartshows there was greater variability in the percentage of patients in whom pre-operative iron studies were recorded from 9% and 72% across the 12 Collaborative sites with an average of 38%&#10;" title="Percentage of patients receiving pre-operative assessment for iron deficiency by health service, as at end of August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39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5409C" w:rsidRPr="00E5409C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br w:type="page"/>
      </w:r>
    </w:p>
    <w:p w:rsidR="00E5409C" w:rsidRDefault="00E5409C" w:rsidP="00E5409C">
      <w:pPr>
        <w:autoSpaceDE w:val="0"/>
        <w:autoSpaceDN w:val="0"/>
        <w:adjustRightInd w:val="0"/>
        <w:rPr>
          <w:rFonts w:cs="Arial"/>
          <w:b/>
          <w:bCs/>
          <w:color w:val="9A3366"/>
          <w:szCs w:val="22"/>
          <w:lang w:eastAsia="en-AU"/>
        </w:rPr>
        <w:sectPr w:rsidR="00E5409C" w:rsidSect="00E5409C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E5409C" w:rsidRPr="002B15CC" w:rsidRDefault="00E5409C" w:rsidP="00E5409C">
      <w:pPr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</w:pPr>
      <w:r w:rsidRPr="002B15CC"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  <w:lastRenderedPageBreak/>
        <w:t>ANAEMIA</w:t>
      </w:r>
    </w:p>
    <w:p w:rsidR="00E5409C" w:rsidRPr="00E5409C" w:rsidRDefault="00E5409C" w:rsidP="00E5409C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</w:p>
    <w:p w:rsidR="00E5409C" w:rsidRPr="00E5409C" w:rsidRDefault="00E5409C" w:rsidP="007E5F48">
      <w:pPr>
        <w:autoSpaceDE w:val="0"/>
        <w:autoSpaceDN w:val="0"/>
        <w:adjustRightInd w:val="0"/>
        <w:spacing w:after="240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Figure </w:t>
      </w:r>
      <w:r w:rsidR="007E5F48">
        <w:rPr>
          <w:rFonts w:cs="Arial"/>
          <w:b/>
          <w:bCs/>
          <w:color w:val="9A3366"/>
          <w:szCs w:val="22"/>
          <w:lang w:eastAsia="en-AU"/>
        </w:rPr>
        <w:t>5</w:t>
      </w:r>
      <w:r w:rsidRPr="00E5409C">
        <w:rPr>
          <w:rFonts w:cs="Arial"/>
          <w:b/>
          <w:bCs/>
          <w:color w:val="9A3366"/>
          <w:szCs w:val="22"/>
          <w:lang w:eastAsia="en-AU"/>
        </w:rPr>
        <w:t>: The total percentage of patients assessed for anaemia each month is steadily increasing</w:t>
      </w:r>
    </w:p>
    <w:p w:rsidR="00730650" w:rsidRPr="007877A2" w:rsidRDefault="00730650" w:rsidP="006C1E86">
      <w:pPr>
        <w:autoSpaceDE w:val="0"/>
        <w:autoSpaceDN w:val="0"/>
        <w:adjustRightInd w:val="0"/>
        <w:spacing w:after="240"/>
        <w:rPr>
          <w:rFonts w:cs="Arial"/>
          <w:szCs w:val="22"/>
          <w:lang w:eastAsia="en-AU"/>
        </w:rPr>
      </w:pPr>
      <w:r w:rsidRPr="007877A2">
        <w:rPr>
          <w:rFonts w:cs="Arial"/>
          <w:szCs w:val="22"/>
          <w:lang w:eastAsia="en-AU"/>
        </w:rPr>
        <w:t xml:space="preserve">Patients undergoing major surgical procedures are at increased risk of haemorrhage. Pre-operative assessment of the patient's haemoglobin levels assists clinicians in identifying and managing patients in whom anaemia is a risk factor for adverse surgical outcomes. The percentage of patients assessed for anaemia each month has increased over the duration of the Collaborative from 90% in May 2015 to </w:t>
      </w:r>
      <w:r w:rsidR="007877A2" w:rsidRPr="007877A2">
        <w:rPr>
          <w:rFonts w:cs="Arial"/>
          <w:szCs w:val="22"/>
          <w:lang w:eastAsia="en-AU"/>
        </w:rPr>
        <w:t>100</w:t>
      </w:r>
      <w:r w:rsidRPr="007877A2">
        <w:rPr>
          <w:rFonts w:cs="Arial"/>
          <w:szCs w:val="22"/>
          <w:lang w:eastAsia="en-AU"/>
        </w:rPr>
        <w:t xml:space="preserve">% in </w:t>
      </w:r>
      <w:r w:rsidR="007877A2" w:rsidRPr="007877A2">
        <w:rPr>
          <w:rFonts w:cs="Arial"/>
          <w:szCs w:val="22"/>
          <w:lang w:eastAsia="en-AU"/>
        </w:rPr>
        <w:t>August</w:t>
      </w:r>
      <w:r w:rsidRPr="007877A2">
        <w:rPr>
          <w:rFonts w:cs="Arial"/>
          <w:szCs w:val="22"/>
          <w:lang w:eastAsia="en-AU"/>
        </w:rPr>
        <w:t xml:space="preserve"> 2016.</w:t>
      </w:r>
    </w:p>
    <w:p w:rsidR="003F182F" w:rsidRDefault="003F182F" w:rsidP="003F182F">
      <w:pPr>
        <w:jc w:val="center"/>
        <w:rPr>
          <w:rFonts w:cs="Arial"/>
          <w:color w:val="000000"/>
          <w:szCs w:val="22"/>
          <w:lang w:eastAsia="en-AU"/>
        </w:rPr>
      </w:pPr>
      <w:r>
        <w:rPr>
          <w:rFonts w:cs="Arial"/>
          <w:noProof/>
          <w:color w:val="000000"/>
          <w:szCs w:val="22"/>
          <w:lang w:eastAsia="en-AU"/>
        </w:rPr>
        <w:drawing>
          <wp:inline distT="0" distB="0" distL="0" distR="0" wp14:anchorId="19B7A4A8">
            <wp:extent cx="5111360" cy="3060000"/>
            <wp:effectExtent l="0" t="0" r="0" b="7620"/>
            <wp:docPr id="19" name="Picture 19" descr="The trend line graph shows the percentage of patients assessed for anaemia each month has increased over the duration of the Collaborative from 90% in May 2015 to 100% in August 2016.&#10;" title="The total percentage of patients assessed for anaemia each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360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182F" w:rsidRDefault="003F182F" w:rsidP="00E5409C">
      <w:pPr>
        <w:rPr>
          <w:rFonts w:cs="Arial"/>
          <w:color w:val="000000"/>
          <w:szCs w:val="22"/>
          <w:lang w:eastAsia="en-AU"/>
        </w:rPr>
      </w:pPr>
    </w:p>
    <w:p w:rsidR="00E5409C" w:rsidRPr="00E5409C" w:rsidRDefault="00730650" w:rsidP="007E5F48">
      <w:pPr>
        <w:autoSpaceDE w:val="0"/>
        <w:autoSpaceDN w:val="0"/>
        <w:adjustRightInd w:val="0"/>
        <w:spacing w:after="240"/>
        <w:rPr>
          <w:rFonts w:cs="Arial"/>
          <w:b/>
          <w:bCs/>
          <w:color w:val="9A3366"/>
          <w:szCs w:val="22"/>
          <w:lang w:eastAsia="en-AU"/>
        </w:rPr>
      </w:pPr>
      <w:r>
        <w:rPr>
          <w:rFonts w:cs="Arial"/>
          <w:b/>
          <w:bCs/>
          <w:color w:val="9A3366"/>
          <w:szCs w:val="22"/>
          <w:lang w:eastAsia="en-AU"/>
        </w:rPr>
        <w:t>Fi</w:t>
      </w:r>
      <w:r w:rsidR="00E5409C" w:rsidRPr="00E5409C">
        <w:rPr>
          <w:rFonts w:cs="Arial"/>
          <w:b/>
          <w:bCs/>
          <w:color w:val="9A3366"/>
          <w:szCs w:val="22"/>
          <w:lang w:eastAsia="en-AU"/>
        </w:rPr>
        <w:t xml:space="preserve">gure </w:t>
      </w:r>
      <w:r w:rsidR="007E5F48">
        <w:rPr>
          <w:rFonts w:cs="Arial"/>
          <w:b/>
          <w:bCs/>
          <w:color w:val="9A3366"/>
          <w:szCs w:val="22"/>
          <w:lang w:eastAsia="en-AU"/>
        </w:rPr>
        <w:t>6</w:t>
      </w:r>
      <w:r w:rsidR="00E5409C" w:rsidRPr="00E5409C">
        <w:rPr>
          <w:rFonts w:cs="Arial"/>
          <w:b/>
          <w:bCs/>
          <w:color w:val="9A3366"/>
          <w:szCs w:val="22"/>
          <w:lang w:eastAsia="en-AU"/>
        </w:rPr>
        <w:t>: Those patients confirmed as anaemic who have been managed</w:t>
      </w:r>
    </w:p>
    <w:p w:rsidR="00730650" w:rsidRDefault="00730650" w:rsidP="00307C73">
      <w:pPr>
        <w:autoSpaceDE w:val="0"/>
        <w:autoSpaceDN w:val="0"/>
        <w:adjustRightInd w:val="0"/>
        <w:spacing w:after="240"/>
        <w:rPr>
          <w:rFonts w:cs="Arial"/>
          <w:szCs w:val="22"/>
          <w:lang w:eastAsia="en-AU"/>
        </w:rPr>
      </w:pPr>
      <w:r w:rsidRPr="007877A2">
        <w:rPr>
          <w:rFonts w:cs="Arial"/>
          <w:szCs w:val="22"/>
          <w:lang w:eastAsia="en-AU"/>
        </w:rPr>
        <w:t xml:space="preserve">The data shows that rates of anaemia management have varied between </w:t>
      </w:r>
      <w:r w:rsidR="00C758D1">
        <w:rPr>
          <w:rFonts w:cs="Arial"/>
          <w:szCs w:val="22"/>
          <w:lang w:eastAsia="en-AU"/>
        </w:rPr>
        <w:t>19</w:t>
      </w:r>
      <w:r w:rsidRPr="007877A2">
        <w:rPr>
          <w:rFonts w:cs="Arial"/>
          <w:szCs w:val="22"/>
          <w:lang w:eastAsia="en-AU"/>
        </w:rPr>
        <w:t xml:space="preserve">% and </w:t>
      </w:r>
      <w:r w:rsidR="00C758D1">
        <w:rPr>
          <w:rFonts w:cs="Arial"/>
          <w:szCs w:val="22"/>
          <w:lang w:eastAsia="en-AU"/>
        </w:rPr>
        <w:t>52</w:t>
      </w:r>
      <w:r w:rsidRPr="007877A2">
        <w:rPr>
          <w:rFonts w:cs="Arial"/>
          <w:szCs w:val="22"/>
          <w:lang w:eastAsia="en-AU"/>
        </w:rPr>
        <w:t xml:space="preserve">% </w:t>
      </w:r>
      <w:r w:rsidR="00C758D1">
        <w:rPr>
          <w:rFonts w:cs="Arial"/>
          <w:szCs w:val="22"/>
          <w:lang w:eastAsia="en-AU"/>
        </w:rPr>
        <w:t>over the term of the Collaborative to A</w:t>
      </w:r>
      <w:r w:rsidR="007877A2">
        <w:rPr>
          <w:rFonts w:cs="Arial"/>
          <w:szCs w:val="22"/>
          <w:lang w:eastAsia="en-AU"/>
        </w:rPr>
        <w:t>ugust</w:t>
      </w:r>
      <w:r w:rsidRPr="007877A2">
        <w:rPr>
          <w:rFonts w:cs="Arial"/>
          <w:szCs w:val="22"/>
          <w:lang w:eastAsia="en-AU"/>
        </w:rPr>
        <w:t xml:space="preserve"> 2016.</w:t>
      </w:r>
    </w:p>
    <w:p w:rsidR="00FE625C" w:rsidRDefault="003F182F" w:rsidP="003F182F">
      <w:pPr>
        <w:autoSpaceDE w:val="0"/>
        <w:autoSpaceDN w:val="0"/>
        <w:adjustRightInd w:val="0"/>
        <w:jc w:val="center"/>
        <w:rPr>
          <w:rFonts w:cs="Arial"/>
          <w:szCs w:val="22"/>
          <w:lang w:eastAsia="en-AU"/>
        </w:rPr>
      </w:pPr>
      <w:r>
        <w:rPr>
          <w:rFonts w:cs="Arial"/>
          <w:noProof/>
          <w:szCs w:val="22"/>
          <w:lang w:eastAsia="en-AU"/>
        </w:rPr>
        <w:drawing>
          <wp:inline distT="0" distB="0" distL="0" distR="0" wp14:anchorId="1BAD3CF6">
            <wp:extent cx="5100706" cy="3060000"/>
            <wp:effectExtent l="0" t="0" r="5080" b="7620"/>
            <wp:docPr id="20" name="Picture 20" descr="This trend line graph shows that rates of anaemia management have varied between 19% and 52% over the term of the Collaborative to August 2016.&#10;" title="Those patients confirmed as anaemic who have been mana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06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09C" w:rsidRPr="00E5409C" w:rsidRDefault="00E5409C" w:rsidP="006C1E86">
      <w:pPr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br w:type="page"/>
      </w:r>
    </w:p>
    <w:p w:rsidR="009D1F77" w:rsidRPr="002B15CC" w:rsidRDefault="009D1F77" w:rsidP="009D1F77">
      <w:pPr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</w:pPr>
      <w:r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  <w:lastRenderedPageBreak/>
        <w:t>IRON DEFICIENCY</w:t>
      </w:r>
    </w:p>
    <w:p w:rsidR="009D1F77" w:rsidRDefault="009D1F77" w:rsidP="009D1F77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</w:p>
    <w:p w:rsidR="007E5F48" w:rsidRPr="00E5409C" w:rsidRDefault="007E5F48" w:rsidP="007E5F48">
      <w:pPr>
        <w:autoSpaceDE w:val="0"/>
        <w:autoSpaceDN w:val="0"/>
        <w:adjustRightInd w:val="0"/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t>A patient's iron stores can be assessed safely and inexpensively with a simple blood test. Patients who undergo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major surgery lose varying amounts of blood as a result of their surgery. This decreases their haemoglobin levels,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which in some patients results in anaemia. Patients use their iron stores to produce haemoglobin. Knowledge of the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patient's iron stores assists clinicians to identify patients who need iron replacement to support haemoglobin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production post</w:t>
      </w:r>
      <w:r>
        <w:rPr>
          <w:rFonts w:cs="Arial"/>
          <w:color w:val="000000"/>
          <w:szCs w:val="22"/>
          <w:lang w:eastAsia="en-AU"/>
        </w:rPr>
        <w:t>-</w:t>
      </w:r>
      <w:r w:rsidRPr="00E5409C">
        <w:rPr>
          <w:rFonts w:cs="Arial"/>
          <w:color w:val="000000"/>
          <w:szCs w:val="22"/>
          <w:lang w:eastAsia="en-AU"/>
        </w:rPr>
        <w:t>operatively.</w:t>
      </w:r>
    </w:p>
    <w:p w:rsidR="007E5F48" w:rsidRPr="00E5409C" w:rsidRDefault="007E5F48" w:rsidP="009D1F77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</w:p>
    <w:p w:rsidR="00E5409C" w:rsidRPr="00E5409C" w:rsidRDefault="00E5409C" w:rsidP="007E5F48">
      <w:pPr>
        <w:autoSpaceDE w:val="0"/>
        <w:autoSpaceDN w:val="0"/>
        <w:adjustRightInd w:val="0"/>
        <w:spacing w:after="240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Figure </w:t>
      </w:r>
      <w:r w:rsidR="007E5F48">
        <w:rPr>
          <w:rFonts w:cs="Arial"/>
          <w:b/>
          <w:bCs/>
          <w:color w:val="9A3366"/>
          <w:szCs w:val="22"/>
          <w:lang w:eastAsia="en-AU"/>
        </w:rPr>
        <w:t>7</w:t>
      </w:r>
      <w:r w:rsidRPr="00E5409C">
        <w:rPr>
          <w:rFonts w:cs="Arial"/>
          <w:b/>
          <w:bCs/>
          <w:color w:val="9A3366"/>
          <w:szCs w:val="22"/>
          <w:lang w:eastAsia="en-AU"/>
        </w:rPr>
        <w:t>: The percentage of patients assessed for iron deficiency is increasing</w:t>
      </w:r>
    </w:p>
    <w:p w:rsidR="007E5F48" w:rsidRDefault="007E5F48" w:rsidP="006C1E86">
      <w:pPr>
        <w:autoSpaceDE w:val="0"/>
        <w:autoSpaceDN w:val="0"/>
        <w:adjustRightInd w:val="0"/>
        <w:spacing w:after="240"/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t xml:space="preserve">Rates of pre-operative </w:t>
      </w:r>
      <w:r>
        <w:rPr>
          <w:rFonts w:cs="Arial"/>
          <w:color w:val="000000"/>
          <w:szCs w:val="22"/>
          <w:lang w:eastAsia="en-AU"/>
        </w:rPr>
        <w:t xml:space="preserve">assessment </w:t>
      </w:r>
      <w:r w:rsidRPr="00E5409C">
        <w:rPr>
          <w:rFonts w:cs="Arial"/>
          <w:color w:val="000000"/>
          <w:szCs w:val="22"/>
          <w:lang w:eastAsia="en-AU"/>
        </w:rPr>
        <w:t xml:space="preserve">of iron deficiency have </w:t>
      </w:r>
      <w:r>
        <w:rPr>
          <w:rFonts w:cs="Arial"/>
          <w:color w:val="000000"/>
          <w:szCs w:val="22"/>
          <w:lang w:eastAsia="en-AU"/>
        </w:rPr>
        <w:t xml:space="preserve">steadily </w:t>
      </w:r>
      <w:r w:rsidRPr="00E5409C">
        <w:rPr>
          <w:rFonts w:cs="Arial"/>
          <w:color w:val="000000"/>
          <w:szCs w:val="22"/>
          <w:lang w:eastAsia="en-AU"/>
        </w:rPr>
        <w:t>increased over the duration of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the Collaborative</w:t>
      </w:r>
      <w:r>
        <w:rPr>
          <w:rFonts w:cs="Arial"/>
          <w:color w:val="000000"/>
          <w:szCs w:val="22"/>
          <w:lang w:eastAsia="en-AU"/>
        </w:rPr>
        <w:t>.</w:t>
      </w:r>
    </w:p>
    <w:p w:rsidR="00E5409C" w:rsidRDefault="003F182F" w:rsidP="003F182F">
      <w:pPr>
        <w:jc w:val="center"/>
        <w:rPr>
          <w:rFonts w:cs="Arial"/>
          <w:color w:val="000000"/>
          <w:szCs w:val="22"/>
          <w:lang w:eastAsia="en-AU"/>
        </w:rPr>
      </w:pPr>
      <w:r>
        <w:rPr>
          <w:rFonts w:cs="Arial"/>
          <w:noProof/>
          <w:color w:val="000000"/>
          <w:szCs w:val="22"/>
          <w:lang w:eastAsia="en-AU"/>
        </w:rPr>
        <w:drawing>
          <wp:inline distT="0" distB="0" distL="0" distR="0" wp14:anchorId="395233A5">
            <wp:extent cx="5100706" cy="3060000"/>
            <wp:effectExtent l="0" t="0" r="5080" b="7620"/>
            <wp:docPr id="21" name="Picture 21" descr="This trendline graph shows the rates of pre-operative assessment of iron deficiency have steadily increased over the duration of the Collaborative.&#10;" title="The percentage of patients assessed for iron defici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06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09C" w:rsidRPr="00E5409C" w:rsidRDefault="00E5409C" w:rsidP="00E5409C">
      <w:pPr>
        <w:rPr>
          <w:rFonts w:cs="Arial"/>
          <w:color w:val="000000"/>
          <w:szCs w:val="22"/>
          <w:lang w:eastAsia="en-AU"/>
        </w:rPr>
      </w:pPr>
    </w:p>
    <w:p w:rsidR="00E5409C" w:rsidRPr="00E5409C" w:rsidRDefault="00E5409C" w:rsidP="007E5F48">
      <w:pPr>
        <w:autoSpaceDE w:val="0"/>
        <w:autoSpaceDN w:val="0"/>
        <w:adjustRightInd w:val="0"/>
        <w:spacing w:after="240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 xml:space="preserve">Figure </w:t>
      </w:r>
      <w:r w:rsidR="007E5F48">
        <w:rPr>
          <w:rFonts w:cs="Arial"/>
          <w:b/>
          <w:bCs/>
          <w:color w:val="9A3366"/>
          <w:szCs w:val="22"/>
          <w:lang w:eastAsia="en-AU"/>
        </w:rPr>
        <w:t>8</w:t>
      </w:r>
      <w:r w:rsidRPr="00E5409C">
        <w:rPr>
          <w:rFonts w:cs="Arial"/>
          <w:b/>
          <w:bCs/>
          <w:color w:val="9A3366"/>
          <w:szCs w:val="22"/>
          <w:lang w:eastAsia="en-AU"/>
        </w:rPr>
        <w:t>: Those patients confirmed as iron deficient who have been managed</w:t>
      </w:r>
    </w:p>
    <w:p w:rsidR="007E5F48" w:rsidRDefault="007E5F48" w:rsidP="006C1E86">
      <w:pPr>
        <w:autoSpaceDE w:val="0"/>
        <w:autoSpaceDN w:val="0"/>
        <w:adjustRightInd w:val="0"/>
        <w:spacing w:after="240"/>
        <w:rPr>
          <w:rFonts w:cs="Arial"/>
          <w:color w:val="000000"/>
          <w:szCs w:val="22"/>
          <w:lang w:eastAsia="en-AU"/>
        </w:rPr>
      </w:pPr>
      <w:r w:rsidRPr="001B1DEC">
        <w:rPr>
          <w:rFonts w:cs="Arial"/>
          <w:color w:val="000000"/>
          <w:szCs w:val="22"/>
          <w:lang w:eastAsia="en-AU"/>
        </w:rPr>
        <w:t xml:space="preserve">The data shows that between 38% and </w:t>
      </w:r>
      <w:r w:rsidR="007877A2" w:rsidRPr="001B1DEC">
        <w:rPr>
          <w:rFonts w:cs="Arial"/>
          <w:color w:val="000000"/>
          <w:szCs w:val="22"/>
          <w:lang w:eastAsia="en-AU"/>
        </w:rPr>
        <w:t>62</w:t>
      </w:r>
      <w:r w:rsidRPr="001B1DEC">
        <w:rPr>
          <w:rFonts w:cs="Arial"/>
          <w:color w:val="000000"/>
          <w:szCs w:val="22"/>
          <w:lang w:eastAsia="en-AU"/>
        </w:rPr>
        <w:t xml:space="preserve">% of patients were managed for iron deficiency from May 2015 to </w:t>
      </w:r>
      <w:r w:rsidR="001B1DEC">
        <w:rPr>
          <w:rFonts w:cs="Arial"/>
          <w:color w:val="000000"/>
          <w:szCs w:val="22"/>
          <w:lang w:eastAsia="en-AU"/>
        </w:rPr>
        <w:t>August</w:t>
      </w:r>
      <w:r w:rsidR="007877A2" w:rsidRPr="001B1DEC">
        <w:rPr>
          <w:rFonts w:cs="Arial"/>
          <w:color w:val="000000"/>
          <w:szCs w:val="22"/>
          <w:lang w:eastAsia="en-AU"/>
        </w:rPr>
        <w:t xml:space="preserve"> 2016</w:t>
      </w:r>
      <w:r w:rsidR="001B1DEC">
        <w:rPr>
          <w:rFonts w:cs="Arial"/>
          <w:color w:val="000000"/>
          <w:szCs w:val="22"/>
          <w:lang w:eastAsia="en-AU"/>
        </w:rPr>
        <w:t>.</w:t>
      </w:r>
    </w:p>
    <w:p w:rsidR="00361EC8" w:rsidRDefault="003F182F" w:rsidP="00361EC8">
      <w:pPr>
        <w:jc w:val="center"/>
        <w:rPr>
          <w:rFonts w:cs="Arial"/>
          <w:color w:val="000000"/>
          <w:szCs w:val="22"/>
          <w:lang w:eastAsia="en-AU"/>
        </w:rPr>
        <w:sectPr w:rsidR="00361EC8" w:rsidSect="005B2FBB">
          <w:type w:val="continuous"/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  <w:r>
        <w:rPr>
          <w:rFonts w:cs="Arial"/>
          <w:noProof/>
          <w:color w:val="000000"/>
          <w:szCs w:val="22"/>
          <w:lang w:eastAsia="en-AU"/>
        </w:rPr>
        <w:drawing>
          <wp:inline distT="0" distB="0" distL="0" distR="0" wp14:anchorId="0F94880F">
            <wp:extent cx="5100706" cy="3060000"/>
            <wp:effectExtent l="0" t="0" r="5080" b="7620"/>
            <wp:docPr id="22" name="Picture 22" descr="This trendline graph shows that between 38% and 62% of patients were managed for iron deficiency from May 2015 to August 2016.&#10;" title="Those patients confirmed as iron deficient who have been mana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06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F77" w:rsidRPr="002B15CC" w:rsidRDefault="009D1F77" w:rsidP="00361EC8">
      <w:pPr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</w:pPr>
      <w:r w:rsidRPr="002B15CC"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  <w:lastRenderedPageBreak/>
        <w:t>ANAEMIA</w:t>
      </w:r>
    </w:p>
    <w:p w:rsidR="009D1F77" w:rsidRDefault="009D1F77" w:rsidP="009D1F77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</w:p>
    <w:p w:rsidR="007E5F48" w:rsidRDefault="007E5F48" w:rsidP="006C1E86">
      <w:pPr>
        <w:autoSpaceDE w:val="0"/>
        <w:autoSpaceDN w:val="0"/>
        <w:adjustRightInd w:val="0"/>
        <w:spacing w:after="240"/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t xml:space="preserve">Recording of patient assessment for anaemia varies </w:t>
      </w:r>
      <w:r w:rsidR="000B2A86">
        <w:rPr>
          <w:rFonts w:cs="Arial"/>
          <w:color w:val="000000"/>
          <w:szCs w:val="22"/>
          <w:lang w:eastAsia="en-AU"/>
        </w:rPr>
        <w:t>with</w:t>
      </w:r>
      <w:r>
        <w:rPr>
          <w:rFonts w:cs="Arial"/>
          <w:color w:val="000000"/>
          <w:szCs w:val="22"/>
          <w:lang w:eastAsia="en-AU"/>
        </w:rPr>
        <w:t xml:space="preserve"> the</w:t>
      </w:r>
      <w:r w:rsidRPr="00E5409C">
        <w:rPr>
          <w:rFonts w:cs="Arial"/>
          <w:color w:val="000000"/>
          <w:szCs w:val="22"/>
          <w:lang w:eastAsia="en-AU"/>
        </w:rPr>
        <w:t xml:space="preserve"> type of surgery</w:t>
      </w:r>
      <w:r w:rsidR="00D22D71">
        <w:rPr>
          <w:rFonts w:cs="Arial"/>
          <w:color w:val="000000"/>
          <w:szCs w:val="22"/>
          <w:lang w:eastAsia="en-AU"/>
        </w:rPr>
        <w:t>; this aspect will be further assessed</w:t>
      </w:r>
      <w:r w:rsidRPr="00E5409C">
        <w:rPr>
          <w:rFonts w:cs="Arial"/>
          <w:color w:val="000000"/>
          <w:szCs w:val="22"/>
          <w:lang w:eastAsia="en-AU"/>
        </w:rPr>
        <w:t>. Rates are highest for patients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undergoing orthopaedic surgery and lowest for those undergoing gynaecolog</w:t>
      </w:r>
      <w:r>
        <w:rPr>
          <w:rFonts w:cs="Arial"/>
          <w:color w:val="000000"/>
          <w:szCs w:val="22"/>
          <w:lang w:eastAsia="en-AU"/>
        </w:rPr>
        <w:t>ical</w:t>
      </w:r>
      <w:r w:rsidRPr="00E5409C">
        <w:rPr>
          <w:rFonts w:cs="Arial"/>
          <w:color w:val="000000"/>
          <w:szCs w:val="22"/>
          <w:lang w:eastAsia="en-AU"/>
        </w:rPr>
        <w:t xml:space="preserve"> surgery. Recording of assessment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for anaemia has improved in all surgical streams over the duration of the Collaborative. The target is for 100% of patients to have an assessment for anaemia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recorded in their patient record</w:t>
      </w:r>
      <w:r>
        <w:rPr>
          <w:rFonts w:cs="Arial"/>
          <w:color w:val="000000"/>
          <w:szCs w:val="22"/>
          <w:lang w:eastAsia="en-AU"/>
        </w:rPr>
        <w:t>.</w:t>
      </w:r>
    </w:p>
    <w:p w:rsidR="00E5409C" w:rsidRPr="00E5409C" w:rsidRDefault="007E5F48" w:rsidP="007E5F48">
      <w:pPr>
        <w:autoSpaceDE w:val="0"/>
        <w:autoSpaceDN w:val="0"/>
        <w:adjustRightInd w:val="0"/>
        <w:spacing w:after="240"/>
        <w:rPr>
          <w:rFonts w:cs="Arial"/>
          <w:b/>
          <w:bCs/>
          <w:color w:val="9A3366"/>
          <w:szCs w:val="22"/>
          <w:lang w:eastAsia="en-AU"/>
        </w:rPr>
      </w:pPr>
      <w:r>
        <w:rPr>
          <w:rFonts w:cs="Arial"/>
          <w:b/>
          <w:bCs/>
          <w:color w:val="9A3366"/>
          <w:szCs w:val="22"/>
          <w:lang w:eastAsia="en-AU"/>
        </w:rPr>
        <w:t>Figure 9</w:t>
      </w:r>
      <w:r w:rsidR="00E5409C" w:rsidRPr="00E5409C">
        <w:rPr>
          <w:rFonts w:cs="Arial"/>
          <w:b/>
          <w:bCs/>
          <w:color w:val="9A3366"/>
          <w:szCs w:val="22"/>
          <w:lang w:eastAsia="en-AU"/>
        </w:rPr>
        <w:t>: Percentage of patients with anaemia who were assessed by surgical stream by quarter</w:t>
      </w:r>
    </w:p>
    <w:p w:rsidR="00E5409C" w:rsidRPr="00E5409C" w:rsidRDefault="00730650" w:rsidP="00E5409C">
      <w:pPr>
        <w:rPr>
          <w:rFonts w:cs="Arial"/>
          <w:color w:val="000000"/>
          <w:szCs w:val="22"/>
          <w:lang w:eastAsia="en-AU"/>
        </w:rPr>
      </w:pPr>
      <w:r w:rsidRPr="00730650">
        <w:rPr>
          <w:rFonts w:cs="Arial"/>
          <w:noProof/>
          <w:szCs w:val="22"/>
          <w:lang w:eastAsia="en-AU"/>
        </w:rPr>
        <w:drawing>
          <wp:inline distT="0" distB="0" distL="0" distR="0" wp14:anchorId="0AAAEFE3" wp14:editId="5AC17FDA">
            <wp:extent cx="6272910" cy="2880000"/>
            <wp:effectExtent l="0" t="0" r="0" b="0"/>
            <wp:docPr id="17410" name="Picture 2" descr="This graph shows the total percentage of patients assessed with anaemia by the three surgical streams, gynaecology, gastrointenstinal and orthopaedics" title="Percentage of patients with anaemia who were assessed by surgical stream by qu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91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409C" w:rsidRPr="00E5409C" w:rsidRDefault="00E5409C" w:rsidP="00E5409C">
      <w:pPr>
        <w:rPr>
          <w:rFonts w:cs="Arial"/>
          <w:color w:val="000000"/>
          <w:szCs w:val="22"/>
          <w:lang w:eastAsia="en-AU"/>
        </w:rPr>
      </w:pPr>
    </w:p>
    <w:p w:rsidR="00E5409C" w:rsidRPr="00E5409C" w:rsidRDefault="00E5409C" w:rsidP="007E5F48">
      <w:pPr>
        <w:autoSpaceDE w:val="0"/>
        <w:autoSpaceDN w:val="0"/>
        <w:adjustRightInd w:val="0"/>
        <w:spacing w:after="240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>Figure 1</w:t>
      </w:r>
      <w:r w:rsidR="007E5F48">
        <w:rPr>
          <w:rFonts w:cs="Arial"/>
          <w:b/>
          <w:bCs/>
          <w:color w:val="9A3366"/>
          <w:szCs w:val="22"/>
          <w:lang w:eastAsia="en-AU"/>
        </w:rPr>
        <w:t>0</w:t>
      </w:r>
      <w:r w:rsidRPr="00E5409C">
        <w:rPr>
          <w:rFonts w:cs="Arial"/>
          <w:b/>
          <w:bCs/>
          <w:color w:val="9A3366"/>
          <w:szCs w:val="22"/>
          <w:lang w:eastAsia="en-AU"/>
        </w:rPr>
        <w:t>: Percentage of patients with anaemia who were managed by surgical stream by quarter</w:t>
      </w:r>
    </w:p>
    <w:p w:rsidR="007E5F48" w:rsidRDefault="007E5F48" w:rsidP="006C1E86">
      <w:pPr>
        <w:autoSpaceDE w:val="0"/>
        <w:autoSpaceDN w:val="0"/>
        <w:adjustRightInd w:val="0"/>
        <w:spacing w:after="240"/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t>Management of patients with anaemia has improved in the gynaecological and gastrointestinal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surgical streams but not in the orthopaedic stream. A large percentage of patients diagnosed with anaemia in each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 xml:space="preserve">surgical stream have no management recorded, particularly in orthopaedics, where over </w:t>
      </w:r>
      <w:r w:rsidRPr="007877A2">
        <w:rPr>
          <w:rFonts w:cs="Arial"/>
          <w:color w:val="000000"/>
          <w:szCs w:val="22"/>
          <w:lang w:eastAsia="en-AU"/>
        </w:rPr>
        <w:t>8</w:t>
      </w:r>
      <w:r w:rsidR="007877A2" w:rsidRPr="007877A2">
        <w:rPr>
          <w:rFonts w:cs="Arial"/>
          <w:color w:val="000000"/>
          <w:szCs w:val="22"/>
          <w:lang w:eastAsia="en-AU"/>
        </w:rPr>
        <w:t>1</w:t>
      </w:r>
      <w:r w:rsidRPr="00126670">
        <w:rPr>
          <w:rFonts w:cs="Arial"/>
          <w:color w:val="000000"/>
          <w:szCs w:val="22"/>
          <w:lang w:eastAsia="en-AU"/>
        </w:rPr>
        <w:t>%</w:t>
      </w:r>
      <w:r w:rsidRPr="00E5409C">
        <w:rPr>
          <w:rFonts w:cs="Arial"/>
          <w:color w:val="000000"/>
          <w:szCs w:val="22"/>
          <w:lang w:eastAsia="en-AU"/>
        </w:rPr>
        <w:t xml:space="preserve"> of patients with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anaemia in the last quarter had no management recorded.</w:t>
      </w:r>
    </w:p>
    <w:p w:rsidR="00E5409C" w:rsidRPr="00E5409C" w:rsidRDefault="00730650">
      <w:pPr>
        <w:rPr>
          <w:rFonts w:cs="Arial"/>
          <w:color w:val="000000"/>
          <w:szCs w:val="22"/>
          <w:lang w:eastAsia="en-AU"/>
        </w:rPr>
      </w:pPr>
      <w:r w:rsidRPr="00730650">
        <w:rPr>
          <w:rFonts w:cs="Arial"/>
          <w:noProof/>
          <w:color w:val="000000"/>
          <w:szCs w:val="22"/>
          <w:lang w:eastAsia="en-AU"/>
        </w:rPr>
        <w:drawing>
          <wp:inline distT="0" distB="0" distL="0" distR="0" wp14:anchorId="4C52A45D" wp14:editId="19785948">
            <wp:extent cx="6268279" cy="2915478"/>
            <wp:effectExtent l="0" t="0" r="0" b="0"/>
            <wp:docPr id="19458" name="Picture 2" descr="This graph shows the total percentage of patients assessed with anaemia by the three surgical streams, gynaecology, gastrointenstinal and orthopaedics" title="Percentage of patients wtih anaemia who were managed by surgical stream by qu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01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5409C" w:rsidRPr="00E5409C">
        <w:rPr>
          <w:rFonts w:cs="Arial"/>
          <w:color w:val="000000"/>
          <w:szCs w:val="22"/>
          <w:lang w:eastAsia="en-AU"/>
        </w:rPr>
        <w:br w:type="page"/>
      </w:r>
    </w:p>
    <w:p w:rsidR="00E5409C" w:rsidRPr="009D1F77" w:rsidRDefault="00E5409C" w:rsidP="00E5409C">
      <w:pPr>
        <w:rPr>
          <w:rFonts w:cs="Arial"/>
          <w:b/>
          <w:color w:val="000000"/>
          <w:sz w:val="28"/>
          <w:szCs w:val="22"/>
          <w:lang w:eastAsia="en-AU"/>
        </w:rPr>
      </w:pPr>
      <w:r w:rsidRPr="009D1F77">
        <w:rPr>
          <w:rFonts w:cs="Arial"/>
          <w:b/>
          <w:color w:val="000000"/>
          <w:sz w:val="28"/>
          <w:szCs w:val="22"/>
          <w:lang w:eastAsia="en-AU"/>
        </w:rPr>
        <w:lastRenderedPageBreak/>
        <w:t>IRON DEFICIENCY</w:t>
      </w:r>
    </w:p>
    <w:p w:rsidR="00E5409C" w:rsidRPr="00E5409C" w:rsidRDefault="00E5409C" w:rsidP="00E5409C">
      <w:pPr>
        <w:rPr>
          <w:rFonts w:cs="Arial"/>
          <w:color w:val="000000"/>
          <w:szCs w:val="22"/>
          <w:lang w:eastAsia="en-AU"/>
        </w:rPr>
      </w:pPr>
    </w:p>
    <w:p w:rsidR="00E5409C" w:rsidRPr="00E5409C" w:rsidRDefault="00E5409C" w:rsidP="007E5F48">
      <w:pPr>
        <w:autoSpaceDE w:val="0"/>
        <w:autoSpaceDN w:val="0"/>
        <w:adjustRightInd w:val="0"/>
        <w:spacing w:after="240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>Figure 1</w:t>
      </w:r>
      <w:r w:rsidR="007E5F48">
        <w:rPr>
          <w:rFonts w:cs="Arial"/>
          <w:b/>
          <w:bCs/>
          <w:color w:val="9A3366"/>
          <w:szCs w:val="22"/>
          <w:lang w:eastAsia="en-AU"/>
        </w:rPr>
        <w:t>1</w:t>
      </w:r>
      <w:r w:rsidRPr="00E5409C">
        <w:rPr>
          <w:rFonts w:cs="Arial"/>
          <w:b/>
          <w:bCs/>
          <w:color w:val="9A3366"/>
          <w:szCs w:val="22"/>
          <w:lang w:eastAsia="en-AU"/>
        </w:rPr>
        <w:t>: Percentage of patients assessed for iron deficiency by surgical stream by quarter</w:t>
      </w:r>
    </w:p>
    <w:p w:rsidR="007E5F48" w:rsidRDefault="007E5F48" w:rsidP="006C1E86">
      <w:pPr>
        <w:autoSpaceDE w:val="0"/>
        <w:autoSpaceDN w:val="0"/>
        <w:adjustRightInd w:val="0"/>
        <w:spacing w:after="240"/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t xml:space="preserve">Recording of patient assessment for iron deficiency has improved in each surgical stream </w:t>
      </w:r>
      <w:r>
        <w:rPr>
          <w:rFonts w:cs="Arial"/>
          <w:color w:val="000000"/>
          <w:szCs w:val="22"/>
          <w:lang w:eastAsia="en-AU"/>
        </w:rPr>
        <w:t xml:space="preserve">from May 2015 to </w:t>
      </w:r>
      <w:r w:rsidR="00F669F3">
        <w:rPr>
          <w:rFonts w:cs="Arial"/>
          <w:color w:val="000000"/>
          <w:szCs w:val="22"/>
          <w:lang w:eastAsia="en-AU"/>
        </w:rPr>
        <w:t>August</w:t>
      </w:r>
      <w:r>
        <w:rPr>
          <w:rFonts w:cs="Arial"/>
          <w:color w:val="000000"/>
          <w:szCs w:val="22"/>
          <w:lang w:eastAsia="en-AU"/>
        </w:rPr>
        <w:t xml:space="preserve"> 2016</w:t>
      </w:r>
      <w:r w:rsidRPr="00E5409C">
        <w:rPr>
          <w:rFonts w:cs="Arial"/>
          <w:color w:val="000000"/>
          <w:szCs w:val="22"/>
          <w:lang w:eastAsia="en-AU"/>
        </w:rPr>
        <w:t>. Rates are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highest for patients undergoing orthopaedic surgery and lowest for those undergoing gynaecolog</w:t>
      </w:r>
      <w:r>
        <w:rPr>
          <w:rFonts w:cs="Arial"/>
          <w:color w:val="000000"/>
          <w:szCs w:val="22"/>
          <w:lang w:eastAsia="en-AU"/>
        </w:rPr>
        <w:t>ical</w:t>
      </w:r>
      <w:r w:rsidRPr="00E5409C">
        <w:rPr>
          <w:rFonts w:cs="Arial"/>
          <w:color w:val="000000"/>
          <w:szCs w:val="22"/>
          <w:lang w:eastAsia="en-AU"/>
        </w:rPr>
        <w:t xml:space="preserve"> surgery. Although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recording of assessment for iron deficiency has improved in all surgical streams over the duration of the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Collaborative, the overall percentage is well below 100%. This may</w:t>
      </w:r>
      <w:r>
        <w:rPr>
          <w:rFonts w:cs="Arial"/>
          <w:color w:val="000000"/>
          <w:szCs w:val="22"/>
          <w:lang w:eastAsia="en-AU"/>
        </w:rPr>
        <w:t>,</w:t>
      </w:r>
      <w:r w:rsidRPr="00E5409C">
        <w:rPr>
          <w:rFonts w:cs="Arial"/>
          <w:color w:val="000000"/>
          <w:szCs w:val="22"/>
          <w:lang w:eastAsia="en-AU"/>
        </w:rPr>
        <w:t xml:space="preserve"> in part</w:t>
      </w:r>
      <w:r>
        <w:rPr>
          <w:rFonts w:cs="Arial"/>
          <w:color w:val="000000"/>
          <w:szCs w:val="22"/>
          <w:lang w:eastAsia="en-AU"/>
        </w:rPr>
        <w:t>,</w:t>
      </w:r>
      <w:r w:rsidRPr="00E5409C">
        <w:rPr>
          <w:rFonts w:cs="Arial"/>
          <w:color w:val="000000"/>
          <w:szCs w:val="22"/>
          <w:lang w:eastAsia="en-AU"/>
        </w:rPr>
        <w:t xml:space="preserve"> be due to some sites only performing iron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 xml:space="preserve">studies on patients </w:t>
      </w:r>
      <w:r>
        <w:rPr>
          <w:rFonts w:cs="Arial"/>
          <w:color w:val="000000"/>
          <w:szCs w:val="22"/>
          <w:lang w:eastAsia="en-AU"/>
        </w:rPr>
        <w:t xml:space="preserve">in whom </w:t>
      </w:r>
      <w:r w:rsidRPr="00E5409C">
        <w:rPr>
          <w:rFonts w:cs="Arial"/>
          <w:color w:val="000000"/>
          <w:szCs w:val="22"/>
          <w:lang w:eastAsia="en-AU"/>
        </w:rPr>
        <w:t>anaemia has been identified, whereas other sites perform iron studies on all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patients in these surgical streams.</w:t>
      </w:r>
    </w:p>
    <w:p w:rsidR="00E5409C" w:rsidRPr="00E5409C" w:rsidRDefault="00730650" w:rsidP="00E5409C">
      <w:pPr>
        <w:rPr>
          <w:rFonts w:cs="Arial"/>
          <w:color w:val="000000"/>
          <w:szCs w:val="22"/>
          <w:lang w:eastAsia="en-AU"/>
        </w:rPr>
      </w:pPr>
      <w:r w:rsidRPr="00730650">
        <w:rPr>
          <w:rFonts w:cs="Arial"/>
          <w:noProof/>
          <w:szCs w:val="22"/>
          <w:lang w:eastAsia="en-AU"/>
        </w:rPr>
        <w:drawing>
          <wp:inline distT="0" distB="0" distL="0" distR="0" wp14:anchorId="3905DC4C" wp14:editId="30E131D7">
            <wp:extent cx="6350301" cy="2844000"/>
            <wp:effectExtent l="0" t="0" r="0" b="0"/>
            <wp:docPr id="20482" name="Picture 2" descr="This graph shows the total percentage of patients assessed with iron deficiency by the three surgical streams, gynaecology, gastrointenstinal and orthopaedics" title="Percentage of patients assessed for iron deficiency by surgical st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01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409C" w:rsidRPr="00E5409C" w:rsidRDefault="00E5409C" w:rsidP="00E5409C">
      <w:pPr>
        <w:rPr>
          <w:rFonts w:cs="Arial"/>
          <w:color w:val="000000"/>
          <w:szCs w:val="22"/>
          <w:lang w:eastAsia="en-AU"/>
        </w:rPr>
      </w:pPr>
    </w:p>
    <w:p w:rsidR="00E5409C" w:rsidRPr="00E5409C" w:rsidRDefault="00E5409C" w:rsidP="007E5F48">
      <w:pPr>
        <w:autoSpaceDE w:val="0"/>
        <w:autoSpaceDN w:val="0"/>
        <w:adjustRightInd w:val="0"/>
        <w:spacing w:after="240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>Figure 1</w:t>
      </w:r>
      <w:r w:rsidR="007E5F48">
        <w:rPr>
          <w:rFonts w:cs="Arial"/>
          <w:b/>
          <w:bCs/>
          <w:color w:val="9A3366"/>
          <w:szCs w:val="22"/>
          <w:lang w:eastAsia="en-AU"/>
        </w:rPr>
        <w:t>2</w:t>
      </w:r>
      <w:r w:rsidRPr="00E5409C">
        <w:rPr>
          <w:rFonts w:cs="Arial"/>
          <w:b/>
          <w:bCs/>
          <w:color w:val="9A3366"/>
          <w:szCs w:val="22"/>
          <w:lang w:eastAsia="en-AU"/>
        </w:rPr>
        <w:t>: Percentage of patients managed for iron deficiency by surgical stream by quarter</w:t>
      </w:r>
    </w:p>
    <w:p w:rsidR="007E5F48" w:rsidRPr="00E5409C" w:rsidRDefault="007E5F48" w:rsidP="006C1E86">
      <w:pPr>
        <w:autoSpaceDE w:val="0"/>
        <w:autoSpaceDN w:val="0"/>
        <w:adjustRightInd w:val="0"/>
        <w:spacing w:after="240"/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t xml:space="preserve">Recorded management of patients who were diagnosed with iron deficiency </w:t>
      </w:r>
      <w:r>
        <w:rPr>
          <w:rFonts w:cs="Arial"/>
          <w:color w:val="000000"/>
          <w:szCs w:val="22"/>
          <w:lang w:eastAsia="en-AU"/>
        </w:rPr>
        <w:t xml:space="preserve">does </w:t>
      </w:r>
      <w:r w:rsidRPr="00E5409C">
        <w:rPr>
          <w:rFonts w:cs="Arial"/>
          <w:color w:val="000000"/>
          <w:szCs w:val="22"/>
          <w:lang w:eastAsia="en-AU"/>
        </w:rPr>
        <w:t>not vary greatly across surgical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 xml:space="preserve">streams </w:t>
      </w:r>
      <w:r>
        <w:rPr>
          <w:rFonts w:cs="Arial"/>
          <w:color w:val="000000"/>
          <w:szCs w:val="22"/>
          <w:lang w:eastAsia="en-AU"/>
        </w:rPr>
        <w:t xml:space="preserve">from May 2015 to </w:t>
      </w:r>
      <w:r w:rsidR="00F669F3">
        <w:rPr>
          <w:rFonts w:cs="Arial"/>
          <w:color w:val="000000"/>
          <w:szCs w:val="22"/>
          <w:lang w:eastAsia="en-AU"/>
        </w:rPr>
        <w:t>August</w:t>
      </w:r>
      <w:r>
        <w:rPr>
          <w:rFonts w:cs="Arial"/>
          <w:color w:val="000000"/>
          <w:szCs w:val="22"/>
          <w:lang w:eastAsia="en-AU"/>
        </w:rPr>
        <w:t xml:space="preserve"> 2016</w:t>
      </w:r>
      <w:r w:rsidRPr="00E5409C">
        <w:rPr>
          <w:rFonts w:cs="Arial"/>
          <w:color w:val="000000"/>
          <w:szCs w:val="22"/>
          <w:lang w:eastAsia="en-AU"/>
        </w:rPr>
        <w:t>.</w:t>
      </w:r>
    </w:p>
    <w:p w:rsidR="00E5409C" w:rsidRPr="00E5409C" w:rsidRDefault="00730650" w:rsidP="00E5409C">
      <w:pPr>
        <w:rPr>
          <w:rFonts w:cs="Arial"/>
          <w:color w:val="000000"/>
          <w:szCs w:val="22"/>
          <w:lang w:eastAsia="en-AU"/>
        </w:rPr>
      </w:pPr>
      <w:r w:rsidRPr="00730650">
        <w:rPr>
          <w:rFonts w:cs="Arial"/>
          <w:noProof/>
          <w:szCs w:val="22"/>
          <w:lang w:eastAsia="en-AU"/>
        </w:rPr>
        <w:drawing>
          <wp:inline distT="0" distB="0" distL="0" distR="0" wp14:anchorId="4A41E3F7" wp14:editId="5CD352EB">
            <wp:extent cx="6243394" cy="2844000"/>
            <wp:effectExtent l="0" t="0" r="0" b="0"/>
            <wp:docPr id="22530" name="Picture 2" descr="This graph shows the total percentage of patients diagnosed with iron deficiency who were managed by the three surgical streams, gynaecology, gastrointenstinal and orthopaedics" title="Percentage of patients managed for iron defiiciency by surgical st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94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409C" w:rsidRPr="00E5409C" w:rsidRDefault="00E5409C" w:rsidP="006C1E86">
      <w:pPr>
        <w:autoSpaceDE w:val="0"/>
        <w:autoSpaceDN w:val="0"/>
        <w:adjustRightInd w:val="0"/>
        <w:spacing w:before="240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>For further information:</w:t>
      </w:r>
    </w:p>
    <w:p w:rsidR="00E5409C" w:rsidRPr="00E5409C" w:rsidRDefault="00E5409C" w:rsidP="00E5409C">
      <w:pPr>
        <w:autoSpaceDE w:val="0"/>
        <w:autoSpaceDN w:val="0"/>
        <w:adjustRightInd w:val="0"/>
        <w:rPr>
          <w:rFonts w:cs="Arial"/>
          <w:color w:val="660033"/>
          <w:szCs w:val="22"/>
          <w:lang w:eastAsia="en-AU"/>
        </w:rPr>
      </w:pPr>
      <w:r w:rsidRPr="00E5409C">
        <w:rPr>
          <w:rFonts w:cs="Arial"/>
          <w:b/>
          <w:bCs/>
          <w:color w:val="000000"/>
          <w:szCs w:val="22"/>
          <w:lang w:eastAsia="en-AU"/>
        </w:rPr>
        <w:t xml:space="preserve">Website: </w:t>
      </w:r>
      <w:r w:rsidRPr="00E5409C">
        <w:rPr>
          <w:rFonts w:cs="Arial"/>
          <w:color w:val="660033"/>
          <w:szCs w:val="22"/>
          <w:lang w:eastAsia="en-AU"/>
        </w:rPr>
        <w:t>www.safetyandquality.gov.au/national-priorities/pbm-collaborative/</w:t>
      </w:r>
    </w:p>
    <w:p w:rsidR="00E5409C" w:rsidRPr="00E5409C" w:rsidRDefault="00E5409C" w:rsidP="00E5409C">
      <w:pPr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b/>
          <w:bCs/>
          <w:color w:val="000000"/>
          <w:szCs w:val="22"/>
          <w:lang w:eastAsia="en-AU"/>
        </w:rPr>
        <w:t xml:space="preserve">Email: </w:t>
      </w:r>
      <w:r w:rsidRPr="00E5409C">
        <w:rPr>
          <w:rFonts w:cs="Arial"/>
          <w:color w:val="660033"/>
          <w:szCs w:val="22"/>
          <w:lang w:eastAsia="en-AU"/>
        </w:rPr>
        <w:t xml:space="preserve">pbmcollaborative@safetyandquality.gov.au </w:t>
      </w:r>
      <w:r w:rsidRPr="00E5409C">
        <w:rPr>
          <w:rFonts w:cs="Arial"/>
          <w:b/>
          <w:bCs/>
          <w:color w:val="000000"/>
          <w:szCs w:val="22"/>
          <w:lang w:eastAsia="en-AU"/>
        </w:rPr>
        <w:t xml:space="preserve">Twitter: </w:t>
      </w:r>
      <w:r w:rsidRPr="00E5409C">
        <w:rPr>
          <w:rFonts w:cs="Arial"/>
          <w:color w:val="000000"/>
          <w:szCs w:val="22"/>
          <w:lang w:eastAsia="en-AU"/>
        </w:rPr>
        <w:t xml:space="preserve">@ACSQHC </w:t>
      </w:r>
      <w:r w:rsidRPr="00E5409C">
        <w:rPr>
          <w:rFonts w:cs="Arial"/>
          <w:b/>
          <w:bCs/>
          <w:color w:val="000000"/>
          <w:szCs w:val="22"/>
          <w:lang w:eastAsia="en-AU"/>
        </w:rPr>
        <w:t xml:space="preserve">Phone: </w:t>
      </w:r>
      <w:r w:rsidRPr="00E5409C">
        <w:rPr>
          <w:rFonts w:cs="Arial"/>
          <w:color w:val="000000"/>
          <w:szCs w:val="22"/>
          <w:lang w:eastAsia="en-AU"/>
        </w:rPr>
        <w:t>02 9126 3600</w:t>
      </w:r>
    </w:p>
    <w:sectPr w:rsidR="00E5409C" w:rsidRPr="00E5409C" w:rsidSect="00361EC8">
      <w:pgSz w:w="11906" w:h="16838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D47" w:rsidRDefault="00B83D47" w:rsidP="005379F6">
      <w:r>
        <w:separator/>
      </w:r>
    </w:p>
  </w:endnote>
  <w:endnote w:type="continuationSeparator" w:id="0">
    <w:p w:rsidR="00B83D47" w:rsidRDefault="00B83D47" w:rsidP="00537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2C9" w:rsidRDefault="005122C9" w:rsidP="005122C9">
    <w:pPr>
      <w:pStyle w:val="Footer"/>
      <w:jc w:val="right"/>
    </w:pPr>
    <w:r w:rsidRPr="006265D3">
      <w:rPr>
        <w:sz w:val="18"/>
      </w:rPr>
      <w:t xml:space="preserve">Page </w:t>
    </w:r>
    <w:r w:rsidRPr="006265D3">
      <w:rPr>
        <w:sz w:val="18"/>
      </w:rPr>
      <w:fldChar w:fldCharType="begin"/>
    </w:r>
    <w:r w:rsidRPr="006265D3">
      <w:rPr>
        <w:sz w:val="18"/>
      </w:rPr>
      <w:instrText xml:space="preserve"> PAGE   \* MERGEFORMAT </w:instrText>
    </w:r>
    <w:r w:rsidRPr="006265D3">
      <w:rPr>
        <w:sz w:val="18"/>
      </w:rPr>
      <w:fldChar w:fldCharType="separate"/>
    </w:r>
    <w:r w:rsidR="00404F28">
      <w:rPr>
        <w:noProof/>
        <w:sz w:val="18"/>
      </w:rPr>
      <w:t>2</w:t>
    </w:r>
    <w:r w:rsidRPr="006265D3">
      <w:rPr>
        <w:noProof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2C9" w:rsidRDefault="00C34414" w:rsidP="00C34414">
    <w:pPr>
      <w:pStyle w:val="Footer"/>
    </w:pPr>
    <w:r w:rsidRPr="00C34414">
      <w:rPr>
        <w:color w:val="A6A6A6" w:themeColor="background1" w:themeShade="A6"/>
        <w:sz w:val="18"/>
      </w:rPr>
      <w:t>D16-32033</w:t>
    </w:r>
    <w:r>
      <w:rPr>
        <w:sz w:val="18"/>
      </w:rPr>
      <w:tab/>
    </w:r>
    <w:r>
      <w:rPr>
        <w:sz w:val="18"/>
      </w:rPr>
      <w:tab/>
    </w:r>
    <w:r w:rsidR="005122C9" w:rsidRPr="006265D3">
      <w:rPr>
        <w:sz w:val="18"/>
      </w:rPr>
      <w:t xml:space="preserve">Page </w:t>
    </w:r>
    <w:r w:rsidR="005122C9" w:rsidRPr="006265D3">
      <w:rPr>
        <w:sz w:val="18"/>
      </w:rPr>
      <w:fldChar w:fldCharType="begin"/>
    </w:r>
    <w:r w:rsidR="005122C9" w:rsidRPr="006265D3">
      <w:rPr>
        <w:sz w:val="18"/>
      </w:rPr>
      <w:instrText xml:space="preserve"> PAGE   \* MERGEFORMAT </w:instrText>
    </w:r>
    <w:r w:rsidR="005122C9" w:rsidRPr="006265D3">
      <w:rPr>
        <w:sz w:val="18"/>
      </w:rPr>
      <w:fldChar w:fldCharType="separate"/>
    </w:r>
    <w:r w:rsidR="00404F28">
      <w:rPr>
        <w:noProof/>
        <w:sz w:val="18"/>
      </w:rPr>
      <w:t>1</w:t>
    </w:r>
    <w:r w:rsidR="005122C9" w:rsidRPr="006265D3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D47" w:rsidRDefault="00B83D47" w:rsidP="005379F6">
      <w:r>
        <w:separator/>
      </w:r>
    </w:p>
  </w:footnote>
  <w:footnote w:type="continuationSeparator" w:id="0">
    <w:p w:rsidR="00B83D47" w:rsidRDefault="00B83D47" w:rsidP="005379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09C" w:rsidRDefault="0061777B" w:rsidP="0061777B">
    <w:pPr>
      <w:widowControl w:val="0"/>
    </w:pPr>
    <w:r w:rsidRPr="0061777B">
      <w:rPr>
        <w:rFonts w:cs="Arial"/>
        <w:b/>
        <w:bCs/>
        <w:color w:val="000000" w:themeColor="text1"/>
        <w:sz w:val="32"/>
        <w:szCs w:val="40"/>
      </w:rPr>
      <w:t xml:space="preserve">Overview of Collaborative Activity to </w:t>
    </w:r>
    <w:r w:rsidR="00F669F3">
      <w:rPr>
        <w:rFonts w:cs="Arial"/>
        <w:b/>
        <w:bCs/>
        <w:color w:val="000000" w:themeColor="text1"/>
        <w:sz w:val="32"/>
        <w:szCs w:val="40"/>
      </w:rPr>
      <w:t>August</w:t>
    </w:r>
    <w:r w:rsidRPr="0061777B">
      <w:rPr>
        <w:rFonts w:cs="Arial"/>
        <w:b/>
        <w:bCs/>
        <w:color w:val="000000" w:themeColor="text1"/>
        <w:sz w:val="32"/>
        <w:szCs w:val="40"/>
      </w:rPr>
      <w:t xml:space="preserve"> 2016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77B" w:rsidRDefault="0061777B" w:rsidP="0061777B">
    <w:pPr>
      <w:pStyle w:val="msoaccenttext7"/>
      <w:widowControl w:val="0"/>
      <w:jc w:val="right"/>
      <w:rPr>
        <w:rFonts w:ascii="Candara" w:hAnsi="Candara"/>
        <w:b/>
        <w:bCs/>
        <w:color w:val="993366"/>
        <w:sz w:val="32"/>
        <w:szCs w:val="36"/>
        <w:lang w:val="en-US"/>
        <w14:ligatures w14:val="none"/>
      </w:rPr>
    </w:pPr>
    <w:r>
      <w:rPr>
        <w:rFonts w:ascii="Candara" w:hAnsi="Candara"/>
        <w:b/>
        <w:bCs/>
        <w:noProof/>
        <w:color w:val="993366"/>
        <w:sz w:val="28"/>
        <w:szCs w:val="28"/>
        <w14:ligatures w14:val="none"/>
        <w14:cntxtAlts w14:val="0"/>
      </w:rPr>
      <w:drawing>
        <wp:inline distT="0" distB="0" distL="0" distR="0">
          <wp:extent cx="6277982" cy="1170305"/>
          <wp:effectExtent l="0" t="0" r="8890" b="0"/>
          <wp:docPr id="1" name="Picture 1" descr="National Patient Blood Management Collaborative Lo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7982" cy="11703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:rsidR="005379F6" w:rsidRDefault="005F2FEC">
    <w:pPr>
      <w:pStyle w:val="Header"/>
    </w:pPr>
    <w:r w:rsidRPr="005F2FEC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706B12" wp14:editId="7CC85C04">
              <wp:simplePos x="0" y="0"/>
              <wp:positionH relativeFrom="column">
                <wp:posOffset>4405630</wp:posOffset>
              </wp:positionH>
              <wp:positionV relativeFrom="paragraph">
                <wp:posOffset>58064</wp:posOffset>
              </wp:positionV>
              <wp:extent cx="1873250" cy="557530"/>
              <wp:effectExtent l="0" t="0" r="0" b="0"/>
              <wp:wrapNone/>
              <wp:docPr id="3" name="Text Box 3" descr="Information Bulletin for the month of ####" title="Headin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0" cy="5575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9E5D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5F2FEC" w:rsidRPr="005379F6" w:rsidRDefault="005F2FEC" w:rsidP="005F2FEC">
                          <w:pPr>
                            <w:widowControl w:val="0"/>
                            <w:jc w:val="right"/>
                            <w:rPr>
                              <w:rFonts w:ascii="Candara" w:hAnsi="Candara"/>
                              <w:b/>
                              <w:bCs/>
                              <w:color w:val="993366"/>
                              <w:sz w:val="32"/>
                              <w:szCs w:val="36"/>
                              <w:lang w:val="en-US"/>
                            </w:rPr>
                          </w:pPr>
                          <w:r w:rsidRPr="005379F6">
                            <w:rPr>
                              <w:rFonts w:ascii="Candara" w:hAnsi="Candara"/>
                              <w:b/>
                              <w:bCs/>
                              <w:color w:val="993366"/>
                              <w:sz w:val="32"/>
                              <w:szCs w:val="36"/>
                              <w:lang w:val="en-US"/>
                            </w:rPr>
                            <w:t>Information Bulletin</w:t>
                          </w:r>
                        </w:p>
                        <w:p w:rsidR="005F2FEC" w:rsidRDefault="007E5F48" w:rsidP="005F2FEC">
                          <w:pPr>
                            <w:widowControl w:val="0"/>
                            <w:jc w:val="right"/>
                            <w:rPr>
                              <w:rFonts w:ascii="Candara" w:hAnsi="Candara"/>
                              <w:b/>
                              <w:bCs/>
                              <w:color w:val="993366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bCs/>
                              <w:color w:val="993366"/>
                              <w:sz w:val="28"/>
                              <w:szCs w:val="28"/>
                              <w:lang w:val="en-US"/>
                            </w:rPr>
                            <w:t>September</w:t>
                          </w:r>
                          <w:r w:rsidR="005F2FEC">
                            <w:rPr>
                              <w:rFonts w:ascii="Candara" w:hAnsi="Candara"/>
                              <w:b/>
                              <w:bCs/>
                              <w:color w:val="993366"/>
                              <w:sz w:val="28"/>
                              <w:szCs w:val="28"/>
                              <w:lang w:val="en-US"/>
                            </w:rPr>
                            <w:t xml:space="preserve"> 2016</w:t>
                          </w:r>
                        </w:p>
                      </w:txbxContent>
                    </wps:txbx>
                    <wps:bodyPr rot="0" vert="horz" wrap="square" lIns="36195" tIns="36195" rIns="36195" bIns="36195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alt="Title: Heading - Description: Information Bulletin for the month of ####" style="position:absolute;margin-left:346.9pt;margin-top:4.55pt;width:147.5pt;height:4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" stroked="f" strokecolor="black [0]" strokeweight="0" insetpen="t">
              <v:shadow color="#e9e5dc"/>
              <v:textbox inset="2.85pt,2.85pt,2.85pt,2.85pt">
                <w:txbxContent>
                  <w:p w:rsidR="005F2FEC" w:rsidRPr="005379F6" w:rsidRDefault="005F2FEC" w:rsidP="005F2FEC">
                    <w:pPr>
                      <w:widowControl w:val="0"/>
                      <w:jc w:val="right"/>
                      <w:rPr>
                        <w:rFonts w:ascii="Candara" w:hAnsi="Candara"/>
                        <w:b/>
                        <w:bCs/>
                        <w:color w:val="993366"/>
                        <w:sz w:val="32"/>
                        <w:szCs w:val="36"/>
                        <w:lang w:val="en-US"/>
                      </w:rPr>
                    </w:pPr>
                    <w:r w:rsidRPr="005379F6">
                      <w:rPr>
                        <w:rFonts w:ascii="Candara" w:hAnsi="Candara"/>
                        <w:b/>
                        <w:bCs/>
                        <w:color w:val="993366"/>
                        <w:sz w:val="32"/>
                        <w:szCs w:val="36"/>
                        <w:lang w:val="en-US"/>
                      </w:rPr>
                      <w:t>Information Bulletin</w:t>
                    </w:r>
                  </w:p>
                  <w:p w:rsidR="005F2FEC" w:rsidRDefault="007E5F48" w:rsidP="005F2FEC">
                    <w:pPr>
                      <w:widowControl w:val="0"/>
                      <w:jc w:val="right"/>
                      <w:rPr>
                        <w:rFonts w:ascii="Candara" w:hAnsi="Candara"/>
                        <w:b/>
                        <w:bCs/>
                        <w:color w:val="993366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color w:val="993366"/>
                        <w:sz w:val="28"/>
                        <w:szCs w:val="28"/>
                        <w:lang w:val="en-US"/>
                      </w:rPr>
                      <w:t>September</w:t>
                    </w:r>
                    <w:r w:rsidR="005F2FEC">
                      <w:rPr>
                        <w:rFonts w:ascii="Candara" w:hAnsi="Candara"/>
                        <w:b/>
                        <w:bCs/>
                        <w:color w:val="993366"/>
                        <w:sz w:val="28"/>
                        <w:szCs w:val="28"/>
                        <w:lang w:val="en-US"/>
                      </w:rPr>
                      <w:t xml:space="preserve"> 2016</w:t>
                    </w:r>
                  </w:p>
                </w:txbxContent>
              </v:textbox>
            </v:shape>
          </w:pict>
        </mc:Fallback>
      </mc:AlternateContent>
    </w:r>
    <w:r w:rsidRPr="005F2FEC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5247C8A" wp14:editId="53CA92D9">
          <wp:simplePos x="0" y="0"/>
          <wp:positionH relativeFrom="column">
            <wp:posOffset>29210</wp:posOffset>
          </wp:positionH>
          <wp:positionV relativeFrom="paragraph">
            <wp:posOffset>58420</wp:posOffset>
          </wp:positionV>
          <wp:extent cx="4036695" cy="569595"/>
          <wp:effectExtent l="0" t="0" r="1905" b="1905"/>
          <wp:wrapTight wrapText="bothSides">
            <wp:wrapPolygon edited="0">
              <wp:start x="0" y="0"/>
              <wp:lineTo x="0" y="20950"/>
              <wp:lineTo x="21508" y="20950"/>
              <wp:lineTo x="21508" y="0"/>
              <wp:lineTo x="0" y="0"/>
            </wp:wrapPolygon>
          </wp:wrapTight>
          <wp:docPr id="2" name="Picture 2" descr="Logo for the Australian Commission of Safety and Quality in Health Care" title="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6695" cy="5695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A4436"/>
    <w:multiLevelType w:val="hybridMultilevel"/>
    <w:tmpl w:val="0B4CCA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8C7E46"/>
    <w:multiLevelType w:val="multilevel"/>
    <w:tmpl w:val="19AA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DF0989"/>
    <w:multiLevelType w:val="hybridMultilevel"/>
    <w:tmpl w:val="0192B8D2"/>
    <w:lvl w:ilvl="0" w:tplc="01A8C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20C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4D21E">
      <w:start w:val="1026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CAE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47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5E1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8E1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EE3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EC0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A541B30"/>
    <w:multiLevelType w:val="hybridMultilevel"/>
    <w:tmpl w:val="6982FEE4"/>
    <w:lvl w:ilvl="0" w:tplc="FA5C4DA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3246008A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21200CC6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48B83AE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C4F0AE4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8B42CA5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294353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F712337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E90AC4A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4">
    <w:nsid w:val="6D830169"/>
    <w:multiLevelType w:val="hybridMultilevel"/>
    <w:tmpl w:val="6ADE6880"/>
    <w:lvl w:ilvl="0" w:tplc="69DA3E1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9C1C838E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3D22BAA0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353821E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95C88DA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259AF22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3592B2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57E8C79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A7C4B23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5">
    <w:nsid w:val="79046F75"/>
    <w:multiLevelType w:val="hybridMultilevel"/>
    <w:tmpl w:val="4496B2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79B"/>
    <w:rsid w:val="00003743"/>
    <w:rsid w:val="00010440"/>
    <w:rsid w:val="0001316B"/>
    <w:rsid w:val="00067456"/>
    <w:rsid w:val="00071B03"/>
    <w:rsid w:val="000B2A86"/>
    <w:rsid w:val="00165718"/>
    <w:rsid w:val="001A3795"/>
    <w:rsid w:val="001B1DEC"/>
    <w:rsid w:val="001B3443"/>
    <w:rsid w:val="001D7EC7"/>
    <w:rsid w:val="00257C17"/>
    <w:rsid w:val="00267B74"/>
    <w:rsid w:val="002A5BA7"/>
    <w:rsid w:val="002B15CC"/>
    <w:rsid w:val="002B1B36"/>
    <w:rsid w:val="002B3C43"/>
    <w:rsid w:val="0030139C"/>
    <w:rsid w:val="0030786C"/>
    <w:rsid w:val="00307C73"/>
    <w:rsid w:val="00361DCE"/>
    <w:rsid w:val="00361EC8"/>
    <w:rsid w:val="003D17F9"/>
    <w:rsid w:val="003D234A"/>
    <w:rsid w:val="003F182F"/>
    <w:rsid w:val="003F1DF3"/>
    <w:rsid w:val="00404F28"/>
    <w:rsid w:val="004867E2"/>
    <w:rsid w:val="005122C9"/>
    <w:rsid w:val="005379F6"/>
    <w:rsid w:val="005B2FBB"/>
    <w:rsid w:val="005F2FEC"/>
    <w:rsid w:val="0061614F"/>
    <w:rsid w:val="0061777B"/>
    <w:rsid w:val="0062579B"/>
    <w:rsid w:val="006265D3"/>
    <w:rsid w:val="006972B7"/>
    <w:rsid w:val="006C1E86"/>
    <w:rsid w:val="00730650"/>
    <w:rsid w:val="00776C99"/>
    <w:rsid w:val="00782A21"/>
    <w:rsid w:val="007877A2"/>
    <w:rsid w:val="007E5F48"/>
    <w:rsid w:val="007F1178"/>
    <w:rsid w:val="007F4F99"/>
    <w:rsid w:val="008264EB"/>
    <w:rsid w:val="008E5597"/>
    <w:rsid w:val="0098249B"/>
    <w:rsid w:val="00993CAF"/>
    <w:rsid w:val="009A0D68"/>
    <w:rsid w:val="009B71DA"/>
    <w:rsid w:val="009D1F77"/>
    <w:rsid w:val="00A04E5C"/>
    <w:rsid w:val="00A4512D"/>
    <w:rsid w:val="00A46A76"/>
    <w:rsid w:val="00A705AF"/>
    <w:rsid w:val="00B2673E"/>
    <w:rsid w:val="00B42851"/>
    <w:rsid w:val="00B83D47"/>
    <w:rsid w:val="00C073F0"/>
    <w:rsid w:val="00C34414"/>
    <w:rsid w:val="00C6718F"/>
    <w:rsid w:val="00C758D1"/>
    <w:rsid w:val="00C77C02"/>
    <w:rsid w:val="00CB2F02"/>
    <w:rsid w:val="00CB5B1A"/>
    <w:rsid w:val="00CC57B1"/>
    <w:rsid w:val="00D22D71"/>
    <w:rsid w:val="00D8421C"/>
    <w:rsid w:val="00E136B9"/>
    <w:rsid w:val="00E44C44"/>
    <w:rsid w:val="00E5409C"/>
    <w:rsid w:val="00E957E6"/>
    <w:rsid w:val="00F470F6"/>
    <w:rsid w:val="00F669F3"/>
    <w:rsid w:val="00F71E0A"/>
    <w:rsid w:val="00F87E45"/>
    <w:rsid w:val="00F9198A"/>
    <w:rsid w:val="00FA15B5"/>
    <w:rsid w:val="00FE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2F02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A705AF"/>
    <w:pPr>
      <w:keepNext/>
      <w:spacing w:before="240" w:after="60"/>
      <w:outlineLvl w:val="0"/>
    </w:pPr>
    <w:rPr>
      <w:rFonts w:cs="Arial"/>
      <w:b/>
      <w:bCs/>
      <w:kern w:val="28"/>
      <w:sz w:val="28"/>
      <w:szCs w:val="32"/>
    </w:rPr>
  </w:style>
  <w:style w:type="paragraph" w:styleId="Heading2">
    <w:name w:val="heading 2"/>
    <w:basedOn w:val="Normal"/>
    <w:next w:val="Normal"/>
    <w:qFormat/>
    <w:rsid w:val="00A705AF"/>
    <w:pPr>
      <w:keepNext/>
      <w:spacing w:before="240" w:after="60"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A705AF"/>
    <w:pPr>
      <w:keepNext/>
      <w:spacing w:before="240" w:after="60"/>
      <w:outlineLvl w:val="2"/>
    </w:pPr>
    <w:rPr>
      <w:rFonts w:cs="Arial"/>
      <w:bCs/>
      <w:szCs w:val="26"/>
    </w:rPr>
  </w:style>
  <w:style w:type="paragraph" w:styleId="Heading4">
    <w:name w:val="heading 4"/>
    <w:basedOn w:val="Normal"/>
    <w:next w:val="Normal"/>
    <w:qFormat/>
    <w:rsid w:val="00A705AF"/>
    <w:pPr>
      <w:keepNext/>
      <w:spacing w:before="240" w:after="60"/>
      <w:outlineLvl w:val="3"/>
    </w:pPr>
    <w:rPr>
      <w:bCs/>
      <w:sz w:val="28"/>
      <w:szCs w:val="28"/>
    </w:rPr>
  </w:style>
  <w:style w:type="paragraph" w:styleId="Heading5">
    <w:name w:val="heading 5"/>
    <w:basedOn w:val="Normal"/>
    <w:next w:val="Normal"/>
    <w:qFormat/>
    <w:rsid w:val="00A705AF"/>
    <w:pPr>
      <w:keepNext/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A705AF"/>
    <w:pPr>
      <w:keepNext/>
      <w:spacing w:before="240" w:after="60"/>
      <w:outlineLvl w:val="5"/>
    </w:pPr>
    <w:rPr>
      <w:b/>
      <w:bCs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A705AF"/>
    <w:rPr>
      <w:i/>
      <w:iCs/>
    </w:rPr>
  </w:style>
  <w:style w:type="character" w:styleId="Strong">
    <w:name w:val="Strong"/>
    <w:basedOn w:val="DefaultParagraphFont"/>
    <w:uiPriority w:val="22"/>
    <w:qFormat/>
    <w:rsid w:val="00A705A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A705AF"/>
    <w:pPr>
      <w:numPr>
        <w:ilvl w:val="1"/>
      </w:numPr>
    </w:pPr>
    <w:rPr>
      <w:rFonts w:asciiTheme="majorHAnsi" w:eastAsiaTheme="majorEastAsia" w:hAnsiTheme="majorHAnsi" w:cstheme="majorBidi"/>
      <w:iCs/>
      <w:spacing w:val="15"/>
    </w:rPr>
  </w:style>
  <w:style w:type="character" w:customStyle="1" w:styleId="SubtitleChar">
    <w:name w:val="Subtitle Char"/>
    <w:basedOn w:val="DefaultParagraphFont"/>
    <w:link w:val="Subtitle"/>
    <w:rsid w:val="00A705AF"/>
    <w:rPr>
      <w:rFonts w:asciiTheme="majorHAnsi" w:eastAsiaTheme="majorEastAsia" w:hAnsiTheme="majorHAnsi" w:cstheme="majorBidi"/>
      <w:iCs/>
      <w:spacing w:val="15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A705AF"/>
    <w:pPr>
      <w:pBdr>
        <w:bottom w:val="single" w:sz="8" w:space="4" w:color="4F81BD" w:themeColor="accent1"/>
      </w:pBdr>
      <w:spacing w:after="300"/>
      <w:contextualSpacing/>
      <w:jc w:val="center"/>
    </w:pPr>
    <w:rPr>
      <w:rFonts w:eastAsiaTheme="majorEastAsia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A705AF"/>
    <w:rPr>
      <w:rFonts w:ascii="Arial" w:eastAsiaTheme="majorEastAsia" w:hAnsi="Arial" w:cstheme="majorBidi"/>
      <w:b/>
      <w:kern w:val="28"/>
      <w:sz w:val="32"/>
      <w:szCs w:val="52"/>
      <w:lang w:eastAsia="en-US"/>
    </w:rPr>
  </w:style>
  <w:style w:type="paragraph" w:styleId="NoSpacing">
    <w:name w:val="No Spacing"/>
    <w:uiPriority w:val="1"/>
    <w:qFormat/>
    <w:rsid w:val="00A4512D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4512D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A4512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4512D"/>
    <w:rPr>
      <w:i/>
      <w:iCs/>
      <w:color w:val="000000" w:themeColor="text1"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12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12D"/>
    <w:rPr>
      <w:b/>
      <w:bCs/>
      <w:i/>
      <w:iCs/>
      <w:color w:val="4F81BD" w:themeColor="accent1"/>
      <w:sz w:val="24"/>
      <w:szCs w:val="24"/>
      <w:lang w:eastAsia="en-US"/>
    </w:rPr>
  </w:style>
  <w:style w:type="character" w:styleId="SubtleReference">
    <w:name w:val="Subtle Reference"/>
    <w:basedOn w:val="DefaultParagraphFont"/>
    <w:uiPriority w:val="31"/>
    <w:qFormat/>
    <w:rsid w:val="00A4512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4512D"/>
    <w:rPr>
      <w:b/>
      <w:bCs/>
      <w:i/>
      <w:smallCaps/>
      <w:color w:val="C0504D" w:themeColor="accent2"/>
      <w:spacing w:val="5"/>
      <w:u w:val="none"/>
    </w:rPr>
  </w:style>
  <w:style w:type="character" w:styleId="BookTitle">
    <w:name w:val="Book Title"/>
    <w:basedOn w:val="DefaultParagraphFont"/>
    <w:uiPriority w:val="33"/>
    <w:qFormat/>
    <w:rsid w:val="00A4512D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4512D"/>
    <w:pPr>
      <w:ind w:left="720"/>
      <w:contextualSpacing/>
    </w:pPr>
  </w:style>
  <w:style w:type="paragraph" w:customStyle="1" w:styleId="msoaccenttext7">
    <w:name w:val="msoaccenttext7"/>
    <w:rsid w:val="0062579B"/>
    <w:rPr>
      <w:rFonts w:ascii="Rockwell Condensed" w:hAnsi="Rockwell Condensed"/>
      <w:color w:val="000000"/>
      <w:kern w:val="28"/>
      <w:sz w:val="27"/>
      <w:szCs w:val="27"/>
      <w14:ligatures w14:val="standard"/>
      <w14:cntxtAlts/>
    </w:rPr>
  </w:style>
  <w:style w:type="paragraph" w:styleId="Header">
    <w:name w:val="header"/>
    <w:basedOn w:val="Normal"/>
    <w:link w:val="HeaderChar"/>
    <w:rsid w:val="005379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379F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5379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379F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7F11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117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267B7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71B03"/>
    <w:pPr>
      <w:spacing w:after="150"/>
    </w:pPr>
    <w:rPr>
      <w:rFonts w:ascii="Times New Roman" w:hAnsi="Times New Roman"/>
      <w:sz w:val="24"/>
      <w:lang w:eastAsia="en-AU"/>
    </w:rPr>
  </w:style>
  <w:style w:type="paragraph" w:styleId="Caption">
    <w:name w:val="caption"/>
    <w:basedOn w:val="Normal"/>
    <w:next w:val="Normal"/>
    <w:unhideWhenUsed/>
    <w:qFormat/>
    <w:rsid w:val="007F4F99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2F02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A705AF"/>
    <w:pPr>
      <w:keepNext/>
      <w:spacing w:before="240" w:after="60"/>
      <w:outlineLvl w:val="0"/>
    </w:pPr>
    <w:rPr>
      <w:rFonts w:cs="Arial"/>
      <w:b/>
      <w:bCs/>
      <w:kern w:val="28"/>
      <w:sz w:val="28"/>
      <w:szCs w:val="32"/>
    </w:rPr>
  </w:style>
  <w:style w:type="paragraph" w:styleId="Heading2">
    <w:name w:val="heading 2"/>
    <w:basedOn w:val="Normal"/>
    <w:next w:val="Normal"/>
    <w:qFormat/>
    <w:rsid w:val="00A705AF"/>
    <w:pPr>
      <w:keepNext/>
      <w:spacing w:before="240" w:after="60"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A705AF"/>
    <w:pPr>
      <w:keepNext/>
      <w:spacing w:before="240" w:after="60"/>
      <w:outlineLvl w:val="2"/>
    </w:pPr>
    <w:rPr>
      <w:rFonts w:cs="Arial"/>
      <w:bCs/>
      <w:szCs w:val="26"/>
    </w:rPr>
  </w:style>
  <w:style w:type="paragraph" w:styleId="Heading4">
    <w:name w:val="heading 4"/>
    <w:basedOn w:val="Normal"/>
    <w:next w:val="Normal"/>
    <w:qFormat/>
    <w:rsid w:val="00A705AF"/>
    <w:pPr>
      <w:keepNext/>
      <w:spacing w:before="240" w:after="60"/>
      <w:outlineLvl w:val="3"/>
    </w:pPr>
    <w:rPr>
      <w:bCs/>
      <w:sz w:val="28"/>
      <w:szCs w:val="28"/>
    </w:rPr>
  </w:style>
  <w:style w:type="paragraph" w:styleId="Heading5">
    <w:name w:val="heading 5"/>
    <w:basedOn w:val="Normal"/>
    <w:next w:val="Normal"/>
    <w:qFormat/>
    <w:rsid w:val="00A705AF"/>
    <w:pPr>
      <w:keepNext/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A705AF"/>
    <w:pPr>
      <w:keepNext/>
      <w:spacing w:before="240" w:after="60"/>
      <w:outlineLvl w:val="5"/>
    </w:pPr>
    <w:rPr>
      <w:b/>
      <w:bCs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A705AF"/>
    <w:rPr>
      <w:i/>
      <w:iCs/>
    </w:rPr>
  </w:style>
  <w:style w:type="character" w:styleId="Strong">
    <w:name w:val="Strong"/>
    <w:basedOn w:val="DefaultParagraphFont"/>
    <w:uiPriority w:val="22"/>
    <w:qFormat/>
    <w:rsid w:val="00A705A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A705AF"/>
    <w:pPr>
      <w:numPr>
        <w:ilvl w:val="1"/>
      </w:numPr>
    </w:pPr>
    <w:rPr>
      <w:rFonts w:asciiTheme="majorHAnsi" w:eastAsiaTheme="majorEastAsia" w:hAnsiTheme="majorHAnsi" w:cstheme="majorBidi"/>
      <w:iCs/>
      <w:spacing w:val="15"/>
    </w:rPr>
  </w:style>
  <w:style w:type="character" w:customStyle="1" w:styleId="SubtitleChar">
    <w:name w:val="Subtitle Char"/>
    <w:basedOn w:val="DefaultParagraphFont"/>
    <w:link w:val="Subtitle"/>
    <w:rsid w:val="00A705AF"/>
    <w:rPr>
      <w:rFonts w:asciiTheme="majorHAnsi" w:eastAsiaTheme="majorEastAsia" w:hAnsiTheme="majorHAnsi" w:cstheme="majorBidi"/>
      <w:iCs/>
      <w:spacing w:val="15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A705AF"/>
    <w:pPr>
      <w:pBdr>
        <w:bottom w:val="single" w:sz="8" w:space="4" w:color="4F81BD" w:themeColor="accent1"/>
      </w:pBdr>
      <w:spacing w:after="300"/>
      <w:contextualSpacing/>
      <w:jc w:val="center"/>
    </w:pPr>
    <w:rPr>
      <w:rFonts w:eastAsiaTheme="majorEastAsia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A705AF"/>
    <w:rPr>
      <w:rFonts w:ascii="Arial" w:eastAsiaTheme="majorEastAsia" w:hAnsi="Arial" w:cstheme="majorBidi"/>
      <w:b/>
      <w:kern w:val="28"/>
      <w:sz w:val="32"/>
      <w:szCs w:val="52"/>
      <w:lang w:eastAsia="en-US"/>
    </w:rPr>
  </w:style>
  <w:style w:type="paragraph" w:styleId="NoSpacing">
    <w:name w:val="No Spacing"/>
    <w:uiPriority w:val="1"/>
    <w:qFormat/>
    <w:rsid w:val="00A4512D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4512D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A4512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4512D"/>
    <w:rPr>
      <w:i/>
      <w:iCs/>
      <w:color w:val="000000" w:themeColor="text1"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12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12D"/>
    <w:rPr>
      <w:b/>
      <w:bCs/>
      <w:i/>
      <w:iCs/>
      <w:color w:val="4F81BD" w:themeColor="accent1"/>
      <w:sz w:val="24"/>
      <w:szCs w:val="24"/>
      <w:lang w:eastAsia="en-US"/>
    </w:rPr>
  </w:style>
  <w:style w:type="character" w:styleId="SubtleReference">
    <w:name w:val="Subtle Reference"/>
    <w:basedOn w:val="DefaultParagraphFont"/>
    <w:uiPriority w:val="31"/>
    <w:qFormat/>
    <w:rsid w:val="00A4512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4512D"/>
    <w:rPr>
      <w:b/>
      <w:bCs/>
      <w:i/>
      <w:smallCaps/>
      <w:color w:val="C0504D" w:themeColor="accent2"/>
      <w:spacing w:val="5"/>
      <w:u w:val="none"/>
    </w:rPr>
  </w:style>
  <w:style w:type="character" w:styleId="BookTitle">
    <w:name w:val="Book Title"/>
    <w:basedOn w:val="DefaultParagraphFont"/>
    <w:uiPriority w:val="33"/>
    <w:qFormat/>
    <w:rsid w:val="00A4512D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4512D"/>
    <w:pPr>
      <w:ind w:left="720"/>
      <w:contextualSpacing/>
    </w:pPr>
  </w:style>
  <w:style w:type="paragraph" w:customStyle="1" w:styleId="msoaccenttext7">
    <w:name w:val="msoaccenttext7"/>
    <w:rsid w:val="0062579B"/>
    <w:rPr>
      <w:rFonts w:ascii="Rockwell Condensed" w:hAnsi="Rockwell Condensed"/>
      <w:color w:val="000000"/>
      <w:kern w:val="28"/>
      <w:sz w:val="27"/>
      <w:szCs w:val="27"/>
      <w14:ligatures w14:val="standard"/>
      <w14:cntxtAlts/>
    </w:rPr>
  </w:style>
  <w:style w:type="paragraph" w:styleId="Header">
    <w:name w:val="header"/>
    <w:basedOn w:val="Normal"/>
    <w:link w:val="HeaderChar"/>
    <w:rsid w:val="005379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379F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5379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379F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7F11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117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267B7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71B03"/>
    <w:pPr>
      <w:spacing w:after="150"/>
    </w:pPr>
    <w:rPr>
      <w:rFonts w:ascii="Times New Roman" w:hAnsi="Times New Roman"/>
      <w:sz w:val="24"/>
      <w:lang w:eastAsia="en-AU"/>
    </w:rPr>
  </w:style>
  <w:style w:type="paragraph" w:styleId="Caption">
    <w:name w:val="caption"/>
    <w:basedOn w:val="Normal"/>
    <w:next w:val="Normal"/>
    <w:unhideWhenUsed/>
    <w:qFormat/>
    <w:rsid w:val="007F4F99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01905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82592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4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840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042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855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561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712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5790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7321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F8981-378A-4D45-B883-80A968747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1155</Words>
  <Characters>6634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 Health And Ageing</Company>
  <LinksUpToDate>false</LinksUpToDate>
  <CharactersWithSpaces>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DANIELS, Ruth</dc:creator>
  <cp:lastModifiedBy>MEADOWCROFT, Melissa</cp:lastModifiedBy>
  <cp:revision>2</cp:revision>
  <cp:lastPrinted>2016-09-26T02:00:00Z</cp:lastPrinted>
  <dcterms:created xsi:type="dcterms:W3CDTF">2016-10-07T04:27:00Z</dcterms:created>
  <dcterms:modified xsi:type="dcterms:W3CDTF">2016-10-07T04:27:00Z</dcterms:modified>
</cp:coreProperties>
</file>