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72B" w:rsidRDefault="002C40FB" w:rsidP="0005372B">
      <w:pPr>
        <w:autoSpaceDE w:val="0"/>
        <w:autoSpaceDN w:val="0"/>
        <w:adjustRightInd w:val="0"/>
        <w:rPr>
          <w:rFonts w:ascii="Arial" w:hAnsi="Arial" w:cs="Arial"/>
          <w:b/>
          <w:color w:val="000000"/>
          <w:sz w:val="22"/>
          <w:szCs w:val="22"/>
        </w:rPr>
      </w:pPr>
      <w:bookmarkStart w:id="0" w:name="_GoBack"/>
      <w:bookmarkEnd w:id="0"/>
      <w:r>
        <w:rPr>
          <w:rFonts w:ascii="Arial" w:hAnsi="Arial" w:cs="Arial"/>
          <w:b/>
          <w:noProof/>
          <w:color w:val="000000"/>
          <w:sz w:val="22"/>
          <w:szCs w:val="22"/>
          <w:lang w:val="en-AU" w:eastAsia="en-AU"/>
        </w:rPr>
        <w:drawing>
          <wp:anchor distT="0" distB="0" distL="114300" distR="114300" simplePos="0" relativeHeight="251657728" behindDoc="1" locked="0" layoutInCell="1" allowOverlap="1">
            <wp:simplePos x="0" y="0"/>
            <wp:positionH relativeFrom="column">
              <wp:posOffset>-76200</wp:posOffset>
            </wp:positionH>
            <wp:positionV relativeFrom="paragraph">
              <wp:posOffset>-221615</wp:posOffset>
            </wp:positionV>
            <wp:extent cx="5257800" cy="739140"/>
            <wp:effectExtent l="0" t="0" r="0" b="3810"/>
            <wp:wrapTight wrapText="bothSides">
              <wp:wrapPolygon edited="0">
                <wp:start x="0" y="0"/>
                <wp:lineTo x="0" y="21155"/>
                <wp:lineTo x="21522" y="21155"/>
                <wp:lineTo x="21522" y="0"/>
                <wp:lineTo x="0" y="0"/>
              </wp:wrapPolygon>
            </wp:wrapTight>
            <wp:docPr id="2" name="Picture 2" descr="Australian Commission on Safety and Quality in Health Care logo" title="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6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DF3" w:rsidRDefault="00116DF3" w:rsidP="0005372B">
      <w:pPr>
        <w:autoSpaceDE w:val="0"/>
        <w:autoSpaceDN w:val="0"/>
        <w:adjustRightInd w:val="0"/>
        <w:rPr>
          <w:rFonts w:ascii="Arial" w:hAnsi="Arial" w:cs="Arial"/>
          <w:b/>
          <w:color w:val="000000"/>
          <w:sz w:val="22"/>
          <w:szCs w:val="22"/>
        </w:rPr>
      </w:pPr>
    </w:p>
    <w:p w:rsidR="00116DF3" w:rsidRPr="00884548" w:rsidRDefault="00116DF3" w:rsidP="0005372B">
      <w:pPr>
        <w:autoSpaceDE w:val="0"/>
        <w:autoSpaceDN w:val="0"/>
        <w:adjustRightInd w:val="0"/>
        <w:rPr>
          <w:rFonts w:ascii="Arial" w:hAnsi="Arial" w:cs="Arial"/>
          <w:b/>
          <w:color w:val="000000"/>
          <w:sz w:val="22"/>
          <w:szCs w:val="22"/>
        </w:rPr>
      </w:pPr>
    </w:p>
    <w:p w:rsidR="00C5500E" w:rsidRPr="00884548" w:rsidRDefault="00C5500E" w:rsidP="0005372B">
      <w:pPr>
        <w:autoSpaceDE w:val="0"/>
        <w:autoSpaceDN w:val="0"/>
        <w:adjustRightInd w:val="0"/>
        <w:rPr>
          <w:rFonts w:ascii="Arial" w:hAnsi="Arial" w:cs="Arial"/>
          <w:b/>
          <w:color w:val="000000"/>
          <w:sz w:val="22"/>
          <w:szCs w:val="22"/>
        </w:rPr>
      </w:pPr>
    </w:p>
    <w:p w:rsidR="00D34CA7" w:rsidRPr="00884548" w:rsidRDefault="00884548" w:rsidP="0005372B">
      <w:pPr>
        <w:autoSpaceDE w:val="0"/>
        <w:autoSpaceDN w:val="0"/>
        <w:adjustRightInd w:val="0"/>
        <w:rPr>
          <w:rFonts w:ascii="Arial" w:hAnsi="Arial" w:cs="Arial"/>
          <w:color w:val="000000"/>
          <w:sz w:val="22"/>
          <w:szCs w:val="22"/>
        </w:rPr>
      </w:pPr>
      <w:r w:rsidRPr="00884548">
        <w:rPr>
          <w:rFonts w:ascii="Arial" w:hAnsi="Arial" w:cs="Arial"/>
          <w:b/>
          <w:i/>
          <w:color w:val="000000"/>
          <w:sz w:val="22"/>
          <w:szCs w:val="22"/>
        </w:rPr>
        <w:tab/>
      </w:r>
      <w:r w:rsidRPr="00884548">
        <w:rPr>
          <w:rFonts w:ascii="Arial" w:hAnsi="Arial" w:cs="Arial"/>
          <w:b/>
          <w:i/>
          <w:color w:val="000000"/>
          <w:sz w:val="22"/>
          <w:szCs w:val="22"/>
        </w:rPr>
        <w:tab/>
      </w:r>
      <w:r w:rsidRPr="00884548">
        <w:rPr>
          <w:rFonts w:ascii="Arial" w:hAnsi="Arial" w:cs="Arial"/>
          <w:b/>
          <w:i/>
          <w:color w:val="000000"/>
          <w:sz w:val="22"/>
          <w:szCs w:val="22"/>
        </w:rPr>
        <w:tab/>
      </w:r>
      <w:r w:rsidRPr="00884548">
        <w:rPr>
          <w:rFonts w:ascii="Arial" w:hAnsi="Arial" w:cs="Arial"/>
          <w:b/>
          <w:i/>
          <w:color w:val="000000"/>
          <w:sz w:val="22"/>
          <w:szCs w:val="22"/>
        </w:rPr>
        <w:tab/>
      </w:r>
      <w:r w:rsidRPr="00884548">
        <w:rPr>
          <w:rFonts w:ascii="Arial" w:hAnsi="Arial" w:cs="Arial"/>
          <w:b/>
          <w:i/>
          <w:color w:val="000000"/>
          <w:sz w:val="22"/>
          <w:szCs w:val="22"/>
        </w:rPr>
        <w:tab/>
      </w:r>
      <w:r w:rsidR="00FB5D9A" w:rsidRPr="00884548">
        <w:rPr>
          <w:rFonts w:ascii="Arial" w:hAnsi="Arial" w:cs="Arial"/>
          <w:i/>
          <w:color w:val="000000"/>
          <w:sz w:val="22"/>
          <w:szCs w:val="22"/>
        </w:rPr>
        <w:tab/>
      </w:r>
      <w:r w:rsidR="00FB5D9A" w:rsidRPr="00884548">
        <w:rPr>
          <w:rFonts w:ascii="Arial" w:hAnsi="Arial" w:cs="Arial"/>
          <w:color w:val="000000"/>
          <w:sz w:val="22"/>
          <w:szCs w:val="22"/>
        </w:rPr>
        <w:tab/>
      </w:r>
      <w:r w:rsidR="00FB5D9A" w:rsidRPr="00884548">
        <w:rPr>
          <w:rFonts w:ascii="Arial" w:hAnsi="Arial" w:cs="Arial"/>
          <w:color w:val="000000"/>
          <w:sz w:val="22"/>
          <w:szCs w:val="22"/>
        </w:rPr>
        <w:tab/>
      </w:r>
      <w:r w:rsidR="00FB5D9A" w:rsidRPr="00884548">
        <w:rPr>
          <w:rFonts w:ascii="Arial" w:hAnsi="Arial" w:cs="Arial"/>
          <w:color w:val="000000"/>
          <w:sz w:val="22"/>
          <w:szCs w:val="22"/>
        </w:rPr>
        <w:tab/>
      </w:r>
      <w:r w:rsidR="00FB5D9A" w:rsidRPr="00884548">
        <w:rPr>
          <w:rFonts w:ascii="Arial" w:hAnsi="Arial" w:cs="Arial"/>
          <w:color w:val="000000"/>
          <w:sz w:val="22"/>
          <w:szCs w:val="22"/>
        </w:rPr>
        <w:tab/>
      </w:r>
      <w:r w:rsidR="00FB5D9A" w:rsidRPr="00884548">
        <w:rPr>
          <w:rFonts w:ascii="Arial" w:hAnsi="Arial" w:cs="Arial"/>
          <w:color w:val="000000"/>
          <w:sz w:val="22"/>
          <w:szCs w:val="22"/>
        </w:rPr>
        <w:tab/>
      </w:r>
      <w:r w:rsidR="00FB5D9A" w:rsidRPr="00884548">
        <w:rPr>
          <w:rFonts w:ascii="Arial" w:hAnsi="Arial" w:cs="Arial"/>
          <w:color w:val="808080"/>
          <w:sz w:val="18"/>
          <w:szCs w:val="18"/>
        </w:rPr>
        <w:t>TRIM: D14-</w:t>
      </w:r>
      <w:r w:rsidR="006A42B1" w:rsidRPr="00884548">
        <w:rPr>
          <w:rFonts w:ascii="Arial" w:hAnsi="Arial" w:cs="Arial"/>
          <w:color w:val="808080"/>
          <w:sz w:val="18"/>
          <w:szCs w:val="18"/>
        </w:rPr>
        <w:t>29298</w:t>
      </w:r>
    </w:p>
    <w:p w:rsidR="007E05E6" w:rsidRPr="003A2FB4" w:rsidRDefault="007E05E6" w:rsidP="0005372B">
      <w:pPr>
        <w:autoSpaceDE w:val="0"/>
        <w:autoSpaceDN w:val="0"/>
        <w:adjustRightInd w:val="0"/>
        <w:rPr>
          <w:rFonts w:ascii="Arial" w:hAnsi="Arial" w:cs="Arial"/>
          <w:b/>
          <w:caps/>
          <w:color w:val="000000"/>
          <w:sz w:val="22"/>
          <w:szCs w:val="22"/>
        </w:rPr>
      </w:pPr>
    </w:p>
    <w:p w:rsidR="003A2FB4" w:rsidRPr="003A2FB4" w:rsidRDefault="003A2FB4" w:rsidP="003A2FB4">
      <w:pPr>
        <w:autoSpaceDE w:val="0"/>
        <w:autoSpaceDN w:val="0"/>
        <w:adjustRightInd w:val="0"/>
        <w:jc w:val="center"/>
        <w:rPr>
          <w:rFonts w:ascii="Arial" w:hAnsi="Arial" w:cs="Arial"/>
          <w:color w:val="000000"/>
          <w:lang w:val="en-AU" w:eastAsia="en-AU"/>
        </w:rPr>
      </w:pPr>
      <w:r w:rsidRPr="003A2FB4">
        <w:rPr>
          <w:rFonts w:ascii="Arial" w:hAnsi="Arial" w:cs="Arial"/>
          <w:b/>
          <w:color w:val="000000"/>
        </w:rPr>
        <w:t>Addressing health literacy through a new national approach</w:t>
      </w:r>
    </w:p>
    <w:p w:rsidR="003A2FB4" w:rsidRPr="003A2FB4" w:rsidRDefault="003A2FB4" w:rsidP="003A2FB4">
      <w:pPr>
        <w:autoSpaceDE w:val="0"/>
        <w:autoSpaceDN w:val="0"/>
        <w:adjustRightInd w:val="0"/>
        <w:jc w:val="center"/>
        <w:rPr>
          <w:rFonts w:ascii="Arial" w:hAnsi="Arial" w:cs="Arial"/>
          <w:color w:val="000000"/>
          <w:sz w:val="22"/>
          <w:szCs w:val="22"/>
          <w:lang w:val="en-AU" w:eastAsia="en-AU"/>
        </w:rPr>
      </w:pPr>
    </w:p>
    <w:p w:rsidR="003A2FB4" w:rsidRPr="003A2FB4" w:rsidRDefault="003A2FB4" w:rsidP="003A2FB4">
      <w:pPr>
        <w:rPr>
          <w:rFonts w:ascii="Arial" w:hAnsi="Arial" w:cs="Arial"/>
          <w:sz w:val="22"/>
          <w:szCs w:val="22"/>
        </w:rPr>
      </w:pPr>
      <w:r w:rsidRPr="003A2FB4">
        <w:rPr>
          <w:rFonts w:ascii="Arial" w:hAnsi="Arial" w:cs="Arial"/>
          <w:sz w:val="22"/>
          <w:szCs w:val="22"/>
        </w:rPr>
        <w:t xml:space="preserve">Almost 60% of Australians have a low level of individual health literacy. This is important to the safety, quality and effectiveness of health care, according to the </w:t>
      </w:r>
      <w:r w:rsidRPr="003A2FB4">
        <w:rPr>
          <w:rFonts w:ascii="Arial" w:hAnsi="Arial" w:cs="Arial"/>
          <w:i/>
          <w:sz w:val="22"/>
          <w:szCs w:val="22"/>
        </w:rPr>
        <w:t>National Statement on Health Literacy</w:t>
      </w:r>
      <w:r w:rsidRPr="003A2FB4">
        <w:rPr>
          <w:rFonts w:ascii="Arial" w:hAnsi="Arial" w:cs="Arial"/>
          <w:sz w:val="22"/>
          <w:szCs w:val="22"/>
        </w:rPr>
        <w:t xml:space="preserve"> (national statement) released today by the Australian Commission on Safety and Quality in Health Care (the Commission).</w:t>
      </w:r>
    </w:p>
    <w:p w:rsidR="003A2FB4" w:rsidRPr="003A2FB4" w:rsidRDefault="003A2FB4" w:rsidP="003A2FB4">
      <w:pPr>
        <w:rPr>
          <w:rFonts w:ascii="Arial" w:hAnsi="Arial" w:cs="Arial"/>
          <w:sz w:val="22"/>
          <w:szCs w:val="22"/>
        </w:rPr>
      </w:pPr>
    </w:p>
    <w:p w:rsidR="003A2FB4" w:rsidRPr="003A2FB4" w:rsidRDefault="003A2FB4" w:rsidP="003A2FB4">
      <w:pPr>
        <w:rPr>
          <w:rFonts w:ascii="Arial" w:hAnsi="Arial" w:cs="Arial"/>
          <w:sz w:val="22"/>
          <w:szCs w:val="22"/>
        </w:rPr>
      </w:pPr>
      <w:r w:rsidRPr="003A2FB4">
        <w:rPr>
          <w:rFonts w:ascii="Arial" w:hAnsi="Arial" w:cs="Arial"/>
          <w:sz w:val="22"/>
          <w:szCs w:val="22"/>
        </w:rPr>
        <w:t xml:space="preserve">Low levels of individual health literacy contribute to poorer health outcomes, increased risk of an adverse event and higher healthcare costs. People with low levels of health literacy may not understand their medication instructions, be able to interpret nutrition labels on food, or be able to understand the risks associated with different treatment options enough to make an informed choice. </w:t>
      </w:r>
    </w:p>
    <w:p w:rsidR="003A2FB4" w:rsidRPr="003A2FB4" w:rsidRDefault="003A2FB4" w:rsidP="003A2FB4">
      <w:pPr>
        <w:rPr>
          <w:rFonts w:ascii="Arial" w:hAnsi="Arial" w:cs="Arial"/>
          <w:sz w:val="22"/>
          <w:szCs w:val="22"/>
        </w:rPr>
      </w:pPr>
    </w:p>
    <w:p w:rsidR="003A2FB4" w:rsidRPr="003A2FB4" w:rsidRDefault="003A2FB4" w:rsidP="003A2FB4">
      <w:pPr>
        <w:rPr>
          <w:rFonts w:ascii="Arial" w:hAnsi="Arial" w:cs="Arial"/>
          <w:sz w:val="22"/>
          <w:szCs w:val="22"/>
        </w:rPr>
      </w:pPr>
      <w:r w:rsidRPr="003A2FB4">
        <w:rPr>
          <w:rFonts w:ascii="Arial" w:hAnsi="Arial" w:cs="Arial"/>
          <w:sz w:val="22"/>
          <w:szCs w:val="22"/>
        </w:rPr>
        <w:t>The Commission has been working with healthcare professionals, consumers, policy makers and researchers to explore the role that health literacy plays in safe and high-quality care and to develop a national approach as a basis for coordinated and collaborative action.</w:t>
      </w:r>
    </w:p>
    <w:p w:rsidR="003A2FB4" w:rsidRPr="003A2FB4" w:rsidRDefault="003A2FB4" w:rsidP="003A2FB4">
      <w:pPr>
        <w:pStyle w:val="Body1"/>
        <w:spacing w:before="0" w:after="0"/>
        <w:rPr>
          <w:rFonts w:ascii="Arial" w:hAnsi="Arial" w:cs="Arial"/>
          <w:sz w:val="22"/>
          <w:szCs w:val="22"/>
        </w:rPr>
      </w:pPr>
    </w:p>
    <w:p w:rsidR="003A2FB4" w:rsidRPr="003A2FB4" w:rsidRDefault="003A2FB4" w:rsidP="003A2FB4">
      <w:pPr>
        <w:pStyle w:val="Body1"/>
        <w:spacing w:before="0" w:after="0"/>
        <w:rPr>
          <w:rFonts w:ascii="Arial" w:hAnsi="Arial" w:cs="Arial"/>
          <w:sz w:val="22"/>
          <w:szCs w:val="22"/>
        </w:rPr>
      </w:pPr>
      <w:r w:rsidRPr="003A2FB4">
        <w:rPr>
          <w:rFonts w:ascii="Arial" w:hAnsi="Arial" w:cs="Arial"/>
          <w:sz w:val="22"/>
          <w:szCs w:val="22"/>
        </w:rPr>
        <w:t xml:space="preserve">The </w:t>
      </w:r>
      <w:r w:rsidRPr="003A2FB4">
        <w:rPr>
          <w:rFonts w:ascii="Arial" w:hAnsi="Arial" w:cs="Arial"/>
          <w:i/>
          <w:sz w:val="22"/>
          <w:szCs w:val="22"/>
        </w:rPr>
        <w:t xml:space="preserve">National Statement on Health Literacy </w:t>
      </w:r>
      <w:r w:rsidRPr="003A2FB4">
        <w:rPr>
          <w:rFonts w:ascii="Arial" w:hAnsi="Arial" w:cs="Arial"/>
          <w:sz w:val="22"/>
          <w:szCs w:val="22"/>
        </w:rPr>
        <w:t>proposes a coordinated approach to health literacy based on:</w:t>
      </w:r>
    </w:p>
    <w:p w:rsidR="003A2FB4" w:rsidRPr="003A2FB4" w:rsidRDefault="003A2FB4" w:rsidP="003A2FB4">
      <w:pPr>
        <w:pStyle w:val="Body1"/>
        <w:numPr>
          <w:ilvl w:val="0"/>
          <w:numId w:val="2"/>
        </w:numPr>
        <w:spacing w:before="0" w:after="0"/>
        <w:rPr>
          <w:rFonts w:ascii="Arial" w:hAnsi="Arial" w:cs="Arial"/>
          <w:sz w:val="22"/>
          <w:szCs w:val="22"/>
        </w:rPr>
      </w:pPr>
      <w:r w:rsidRPr="003A2FB4">
        <w:rPr>
          <w:rFonts w:ascii="Arial" w:hAnsi="Arial" w:cs="Arial"/>
          <w:sz w:val="22"/>
          <w:szCs w:val="22"/>
        </w:rPr>
        <w:t>embedding health literacy into systems</w:t>
      </w:r>
    </w:p>
    <w:p w:rsidR="003A2FB4" w:rsidRPr="003A2FB4" w:rsidRDefault="003A2FB4" w:rsidP="003A2FB4">
      <w:pPr>
        <w:pStyle w:val="Body1"/>
        <w:numPr>
          <w:ilvl w:val="0"/>
          <w:numId w:val="2"/>
        </w:numPr>
        <w:spacing w:before="0" w:after="0"/>
        <w:rPr>
          <w:rFonts w:ascii="Arial" w:hAnsi="Arial" w:cs="Arial"/>
          <w:sz w:val="22"/>
          <w:szCs w:val="22"/>
        </w:rPr>
      </w:pPr>
      <w:r w:rsidRPr="003A2FB4">
        <w:rPr>
          <w:rFonts w:ascii="Arial" w:hAnsi="Arial" w:cs="Arial"/>
          <w:sz w:val="22"/>
          <w:szCs w:val="22"/>
        </w:rPr>
        <w:t>ensuring effective communication</w:t>
      </w:r>
    </w:p>
    <w:p w:rsidR="003A2FB4" w:rsidRPr="003A2FB4" w:rsidRDefault="003A2FB4" w:rsidP="003A2FB4">
      <w:pPr>
        <w:pStyle w:val="Body1"/>
        <w:numPr>
          <w:ilvl w:val="0"/>
          <w:numId w:val="2"/>
        </w:numPr>
        <w:spacing w:before="0" w:after="0"/>
        <w:rPr>
          <w:rFonts w:ascii="Arial" w:hAnsi="Arial" w:cs="Arial"/>
          <w:sz w:val="22"/>
          <w:szCs w:val="22"/>
        </w:rPr>
      </w:pPr>
      <w:proofErr w:type="gramStart"/>
      <w:r w:rsidRPr="003A2FB4">
        <w:rPr>
          <w:rFonts w:ascii="Arial" w:hAnsi="Arial" w:cs="Arial"/>
          <w:sz w:val="22"/>
          <w:szCs w:val="22"/>
        </w:rPr>
        <w:t>integrating</w:t>
      </w:r>
      <w:proofErr w:type="gramEnd"/>
      <w:r w:rsidRPr="003A2FB4">
        <w:rPr>
          <w:rFonts w:ascii="Arial" w:hAnsi="Arial" w:cs="Arial"/>
          <w:sz w:val="22"/>
          <w:szCs w:val="22"/>
        </w:rPr>
        <w:t xml:space="preserve"> health literacy into education. </w:t>
      </w:r>
    </w:p>
    <w:p w:rsidR="003A2FB4" w:rsidRPr="003A2FB4" w:rsidRDefault="003A2FB4" w:rsidP="003A2FB4">
      <w:pPr>
        <w:pStyle w:val="Body1"/>
        <w:spacing w:before="0" w:after="0"/>
        <w:rPr>
          <w:rFonts w:ascii="Arial" w:hAnsi="Arial" w:cs="Arial"/>
          <w:sz w:val="22"/>
          <w:szCs w:val="22"/>
        </w:rPr>
      </w:pPr>
    </w:p>
    <w:p w:rsidR="003A2FB4" w:rsidRPr="003A2FB4" w:rsidRDefault="003A2FB4" w:rsidP="003A2FB4">
      <w:pPr>
        <w:pStyle w:val="Body1"/>
        <w:spacing w:before="0" w:after="0"/>
        <w:rPr>
          <w:rFonts w:ascii="Arial" w:hAnsi="Arial" w:cs="Arial"/>
          <w:sz w:val="22"/>
          <w:szCs w:val="22"/>
        </w:rPr>
      </w:pPr>
      <w:r w:rsidRPr="003A2FB4">
        <w:rPr>
          <w:rFonts w:ascii="Arial" w:hAnsi="Arial" w:cs="Arial"/>
          <w:sz w:val="22"/>
          <w:szCs w:val="22"/>
        </w:rPr>
        <w:t>This has now been endorsed by Australian, state and territory Health Ministers as the national approach to health literacy.</w:t>
      </w:r>
    </w:p>
    <w:p w:rsidR="003A2FB4" w:rsidRPr="003A2FB4" w:rsidRDefault="003A2FB4" w:rsidP="003A2FB4">
      <w:pPr>
        <w:rPr>
          <w:rFonts w:ascii="Arial" w:hAnsi="Arial" w:cs="Arial"/>
          <w:sz w:val="22"/>
          <w:szCs w:val="22"/>
        </w:rPr>
      </w:pPr>
    </w:p>
    <w:p w:rsidR="003A2FB4" w:rsidRPr="003A2FB4" w:rsidRDefault="003A2FB4" w:rsidP="003A2FB4">
      <w:pPr>
        <w:rPr>
          <w:rFonts w:ascii="Arial" w:hAnsi="Arial" w:cs="Arial"/>
          <w:sz w:val="22"/>
          <w:szCs w:val="22"/>
        </w:rPr>
      </w:pPr>
      <w:r w:rsidRPr="003A2FB4">
        <w:rPr>
          <w:rFonts w:ascii="Arial" w:hAnsi="Arial" w:cs="Arial"/>
          <w:sz w:val="22"/>
          <w:szCs w:val="22"/>
        </w:rPr>
        <w:t xml:space="preserve">According to Professor </w:t>
      </w:r>
      <w:proofErr w:type="spellStart"/>
      <w:r w:rsidR="00C15B37">
        <w:rPr>
          <w:rFonts w:ascii="Arial" w:hAnsi="Arial" w:cs="Arial"/>
          <w:sz w:val="22"/>
          <w:szCs w:val="22"/>
        </w:rPr>
        <w:t>Villis</w:t>
      </w:r>
      <w:proofErr w:type="spellEnd"/>
      <w:r w:rsidR="00C15B37">
        <w:rPr>
          <w:rFonts w:ascii="Arial" w:hAnsi="Arial" w:cs="Arial"/>
          <w:sz w:val="22"/>
          <w:szCs w:val="22"/>
        </w:rPr>
        <w:t xml:space="preserve"> Marshall</w:t>
      </w:r>
      <w:r w:rsidRPr="003A2FB4">
        <w:rPr>
          <w:rFonts w:ascii="Arial" w:hAnsi="Arial" w:cs="Arial"/>
          <w:sz w:val="22"/>
          <w:szCs w:val="22"/>
        </w:rPr>
        <w:t>,</w:t>
      </w:r>
      <w:r w:rsidR="00C15B37">
        <w:rPr>
          <w:rFonts w:ascii="Arial" w:hAnsi="Arial" w:cs="Arial"/>
          <w:sz w:val="22"/>
          <w:szCs w:val="22"/>
        </w:rPr>
        <w:t xml:space="preserve"> Chair of</w:t>
      </w:r>
      <w:r w:rsidRPr="003A2FB4">
        <w:rPr>
          <w:rFonts w:ascii="Arial" w:hAnsi="Arial" w:cs="Arial"/>
          <w:sz w:val="22"/>
          <w:szCs w:val="22"/>
        </w:rPr>
        <w:t xml:space="preserve"> the Commission, addressing health literacy is critical to effective partnerships with consumers. Improving health literacy contributes to a greater sense of empowerment, better quality of care and can also lead to improved outcomes for people and their families.</w:t>
      </w:r>
    </w:p>
    <w:p w:rsidR="003A2FB4" w:rsidRPr="003A2FB4" w:rsidRDefault="003A2FB4" w:rsidP="003A2FB4">
      <w:pPr>
        <w:rPr>
          <w:rFonts w:ascii="Arial" w:hAnsi="Arial" w:cs="Arial"/>
          <w:sz w:val="22"/>
          <w:szCs w:val="22"/>
        </w:rPr>
      </w:pPr>
    </w:p>
    <w:p w:rsidR="003A2FB4" w:rsidRPr="003A2FB4" w:rsidRDefault="003A2FB4" w:rsidP="003A2FB4">
      <w:pPr>
        <w:rPr>
          <w:rFonts w:ascii="Arial" w:hAnsi="Arial" w:cs="Arial"/>
          <w:sz w:val="22"/>
          <w:szCs w:val="22"/>
        </w:rPr>
      </w:pPr>
      <w:r w:rsidRPr="003A2FB4">
        <w:rPr>
          <w:rFonts w:ascii="Arial" w:hAnsi="Arial" w:cs="Arial"/>
          <w:sz w:val="22"/>
          <w:szCs w:val="22"/>
        </w:rPr>
        <w:t>“This National Statement highlights that there are lots of ways that we can make it easier for people to understand the health system and their health choices. Healthcare providers, managers, policy makers and consumers can all take action to address health literacy.”</w:t>
      </w:r>
    </w:p>
    <w:p w:rsidR="003A2FB4" w:rsidRPr="003A2FB4" w:rsidRDefault="003A2FB4" w:rsidP="003A2FB4">
      <w:pPr>
        <w:rPr>
          <w:rFonts w:ascii="Arial" w:hAnsi="Arial" w:cs="Arial"/>
          <w:sz w:val="22"/>
          <w:szCs w:val="22"/>
        </w:rPr>
      </w:pPr>
      <w:r w:rsidRPr="003A2FB4">
        <w:rPr>
          <w:rFonts w:ascii="Arial" w:hAnsi="Arial" w:cs="Arial"/>
          <w:sz w:val="22"/>
          <w:szCs w:val="22"/>
        </w:rPr>
        <w:t xml:space="preserve"> </w:t>
      </w:r>
    </w:p>
    <w:p w:rsidR="003A2FB4" w:rsidRPr="003A2FB4" w:rsidRDefault="003A2FB4" w:rsidP="003A2FB4">
      <w:pPr>
        <w:rPr>
          <w:rFonts w:ascii="Arial" w:hAnsi="Arial" w:cs="Arial"/>
          <w:sz w:val="22"/>
          <w:szCs w:val="22"/>
        </w:rPr>
      </w:pPr>
      <w:r w:rsidRPr="003A2FB4">
        <w:rPr>
          <w:rFonts w:ascii="Arial" w:hAnsi="Arial" w:cs="Arial"/>
          <w:sz w:val="22"/>
          <w:szCs w:val="22"/>
        </w:rPr>
        <w:t xml:space="preserve">Professor </w:t>
      </w:r>
      <w:r w:rsidR="00C15B37">
        <w:rPr>
          <w:rFonts w:ascii="Arial" w:hAnsi="Arial" w:cs="Arial"/>
          <w:sz w:val="22"/>
          <w:szCs w:val="22"/>
        </w:rPr>
        <w:t>Marshall</w:t>
      </w:r>
      <w:r w:rsidRPr="003A2FB4">
        <w:rPr>
          <w:rFonts w:ascii="Arial" w:hAnsi="Arial" w:cs="Arial"/>
          <w:sz w:val="22"/>
          <w:szCs w:val="22"/>
        </w:rPr>
        <w:t xml:space="preserve"> encourages healthcare </w:t>
      </w:r>
      <w:proofErr w:type="spellStart"/>
      <w:r w:rsidRPr="003A2FB4">
        <w:rPr>
          <w:rFonts w:ascii="Arial" w:hAnsi="Arial" w:cs="Arial"/>
          <w:sz w:val="22"/>
          <w:szCs w:val="22"/>
        </w:rPr>
        <w:t>organisations</w:t>
      </w:r>
      <w:proofErr w:type="spellEnd"/>
      <w:r w:rsidRPr="003A2FB4">
        <w:rPr>
          <w:rFonts w:ascii="Arial" w:hAnsi="Arial" w:cs="Arial"/>
          <w:sz w:val="22"/>
          <w:szCs w:val="22"/>
        </w:rPr>
        <w:t xml:space="preserve"> and providers to think about health literacy when designing and delivering health care, including how services are </w:t>
      </w:r>
      <w:proofErr w:type="spellStart"/>
      <w:r w:rsidRPr="003A2FB4">
        <w:rPr>
          <w:rFonts w:ascii="Arial" w:hAnsi="Arial" w:cs="Arial"/>
          <w:sz w:val="22"/>
          <w:szCs w:val="22"/>
        </w:rPr>
        <w:t>organised</w:t>
      </w:r>
      <w:proofErr w:type="spellEnd"/>
      <w:r w:rsidRPr="003A2FB4">
        <w:rPr>
          <w:rFonts w:ascii="Arial" w:hAnsi="Arial" w:cs="Arial"/>
          <w:sz w:val="22"/>
          <w:szCs w:val="22"/>
        </w:rPr>
        <w:t xml:space="preserve"> and how information is prepared and provided.</w:t>
      </w:r>
    </w:p>
    <w:p w:rsidR="003A2FB4" w:rsidRPr="003A2FB4" w:rsidRDefault="003A2FB4" w:rsidP="003A2FB4">
      <w:pPr>
        <w:rPr>
          <w:rFonts w:ascii="Arial" w:hAnsi="Arial" w:cs="Arial"/>
          <w:sz w:val="22"/>
          <w:szCs w:val="22"/>
        </w:rPr>
      </w:pPr>
    </w:p>
    <w:p w:rsidR="003A2FB4" w:rsidRPr="003A2FB4" w:rsidRDefault="003A2FB4" w:rsidP="003A2FB4">
      <w:pPr>
        <w:rPr>
          <w:rFonts w:ascii="Arial" w:hAnsi="Arial" w:cs="Arial"/>
          <w:sz w:val="22"/>
          <w:szCs w:val="22"/>
        </w:rPr>
      </w:pPr>
      <w:r w:rsidRPr="003A2FB4">
        <w:rPr>
          <w:rFonts w:ascii="Arial" w:hAnsi="Arial" w:cs="Arial"/>
          <w:sz w:val="22"/>
          <w:szCs w:val="22"/>
        </w:rPr>
        <w:t xml:space="preserve">“Patients should not be afraid to ask for more information or for information to be provided in different ways so that they can make informed decisions and act on them. Patients should let their healthcare providers know when something is not easy to understand, and to seek support when they need it,” says Professor </w:t>
      </w:r>
      <w:r w:rsidR="00C15B37">
        <w:rPr>
          <w:rFonts w:ascii="Arial" w:hAnsi="Arial" w:cs="Arial"/>
          <w:sz w:val="22"/>
          <w:szCs w:val="22"/>
        </w:rPr>
        <w:t>Marshall</w:t>
      </w:r>
      <w:r w:rsidRPr="003A2FB4">
        <w:rPr>
          <w:rFonts w:ascii="Arial" w:hAnsi="Arial" w:cs="Arial"/>
          <w:sz w:val="22"/>
          <w:szCs w:val="22"/>
        </w:rPr>
        <w:t>.</w:t>
      </w:r>
    </w:p>
    <w:p w:rsidR="003A2FB4" w:rsidRPr="003A2FB4" w:rsidRDefault="003A2FB4" w:rsidP="003A2FB4">
      <w:pPr>
        <w:rPr>
          <w:rFonts w:ascii="Arial" w:hAnsi="Arial" w:cs="Arial"/>
          <w:sz w:val="22"/>
          <w:szCs w:val="22"/>
        </w:rPr>
      </w:pPr>
    </w:p>
    <w:p w:rsidR="00C5500E" w:rsidRPr="00C5500E" w:rsidRDefault="00C5500E" w:rsidP="00C5500E">
      <w:pPr>
        <w:ind w:left="1440" w:hanging="1440"/>
        <w:rPr>
          <w:rFonts w:ascii="Arial" w:hAnsi="Arial" w:cs="Arial"/>
          <w:i/>
          <w:sz w:val="22"/>
          <w:szCs w:val="22"/>
          <w:u w:val="single"/>
        </w:rPr>
      </w:pPr>
      <w:r w:rsidRPr="00C5500E">
        <w:rPr>
          <w:rFonts w:ascii="Arial" w:hAnsi="Arial" w:cs="Arial"/>
          <w:i/>
          <w:sz w:val="22"/>
          <w:szCs w:val="22"/>
          <w:u w:val="single"/>
        </w:rPr>
        <w:t>D</w:t>
      </w:r>
      <w:r>
        <w:rPr>
          <w:rFonts w:ascii="Arial" w:hAnsi="Arial" w:cs="Arial"/>
          <w:i/>
          <w:sz w:val="22"/>
          <w:szCs w:val="22"/>
          <w:u w:val="single"/>
        </w:rPr>
        <w:t>ownload:</w:t>
      </w:r>
    </w:p>
    <w:p w:rsidR="00C5500E" w:rsidRPr="00C5500E" w:rsidRDefault="0056441A" w:rsidP="00C5500E">
      <w:pPr>
        <w:pStyle w:val="ListParagraph"/>
        <w:numPr>
          <w:ilvl w:val="0"/>
          <w:numId w:val="3"/>
        </w:numPr>
        <w:rPr>
          <w:rFonts w:ascii="Arial" w:hAnsi="Arial" w:cs="Arial"/>
          <w:i/>
          <w:sz w:val="22"/>
          <w:szCs w:val="22"/>
        </w:rPr>
      </w:pPr>
      <w:hyperlink r:id="rId9" w:history="1">
        <w:r w:rsidR="003A2FB4" w:rsidRPr="00C5500E">
          <w:rPr>
            <w:rStyle w:val="Hyperlink"/>
            <w:rFonts w:ascii="Arial" w:hAnsi="Arial" w:cs="Arial"/>
            <w:i/>
            <w:sz w:val="22"/>
            <w:szCs w:val="22"/>
          </w:rPr>
          <w:t>Health literacy: Taking action on safety and quality</w:t>
        </w:r>
      </w:hyperlink>
    </w:p>
    <w:p w:rsidR="003A2FB4" w:rsidRPr="00C5500E" w:rsidRDefault="0056441A" w:rsidP="00C5500E">
      <w:pPr>
        <w:pStyle w:val="ListParagraph"/>
        <w:numPr>
          <w:ilvl w:val="0"/>
          <w:numId w:val="3"/>
        </w:numPr>
        <w:rPr>
          <w:rFonts w:ascii="Arial" w:hAnsi="Arial" w:cs="Arial"/>
          <w:sz w:val="22"/>
          <w:szCs w:val="22"/>
        </w:rPr>
      </w:pPr>
      <w:hyperlink r:id="rId10" w:history="1">
        <w:r w:rsidR="003A2FB4" w:rsidRPr="00C5500E">
          <w:rPr>
            <w:rStyle w:val="Hyperlink"/>
            <w:rFonts w:ascii="Arial" w:hAnsi="Arial" w:cs="Arial"/>
            <w:i/>
            <w:sz w:val="22"/>
            <w:szCs w:val="22"/>
          </w:rPr>
          <w:t>National Statement on Health Literacy</w:t>
        </w:r>
      </w:hyperlink>
    </w:p>
    <w:p w:rsidR="003A2FB4" w:rsidRPr="003A2FB4" w:rsidRDefault="003A2FB4" w:rsidP="003A2FB4">
      <w:pPr>
        <w:rPr>
          <w:rFonts w:ascii="Arial" w:hAnsi="Arial" w:cs="Arial"/>
          <w:b/>
          <w:color w:val="000000"/>
          <w:sz w:val="22"/>
          <w:szCs w:val="22"/>
          <w:lang w:val="en-AU" w:eastAsia="en-AU"/>
        </w:rPr>
      </w:pPr>
    </w:p>
    <w:p w:rsidR="003A2FB4" w:rsidRPr="003A2FB4" w:rsidRDefault="003A2FB4" w:rsidP="003A2FB4">
      <w:pPr>
        <w:rPr>
          <w:rFonts w:ascii="Arial" w:hAnsi="Arial" w:cs="Arial"/>
          <w:b/>
          <w:color w:val="000000"/>
          <w:sz w:val="22"/>
          <w:szCs w:val="22"/>
          <w:lang w:val="en-AU" w:eastAsia="en-AU"/>
        </w:rPr>
      </w:pPr>
      <w:r w:rsidRPr="003A2FB4">
        <w:rPr>
          <w:rFonts w:ascii="Arial" w:hAnsi="Arial" w:cs="Arial"/>
          <w:b/>
          <w:color w:val="000000"/>
          <w:sz w:val="22"/>
          <w:szCs w:val="22"/>
          <w:lang w:val="en-AU" w:eastAsia="en-AU"/>
        </w:rPr>
        <w:t>Australian Commission on Safety and Quality in Health Care</w:t>
      </w:r>
    </w:p>
    <w:p w:rsidR="003A2FB4" w:rsidRPr="003A2FB4" w:rsidRDefault="003A2FB4" w:rsidP="003A2FB4">
      <w:pPr>
        <w:rPr>
          <w:rFonts w:ascii="Arial" w:hAnsi="Arial" w:cs="Arial"/>
          <w:sz w:val="22"/>
          <w:szCs w:val="22"/>
        </w:rPr>
      </w:pPr>
      <w:r w:rsidRPr="003A2FB4">
        <w:rPr>
          <w:rFonts w:ascii="Arial" w:hAnsi="Arial" w:cs="Arial"/>
          <w:sz w:val="22"/>
          <w:szCs w:val="22"/>
        </w:rPr>
        <w:t xml:space="preserve">The Commission is a government agency that leads and coordinates national improvements in safety and quality in health care across Australia. The Commission aims to support health care professionals, </w:t>
      </w:r>
      <w:proofErr w:type="spellStart"/>
      <w:r w:rsidRPr="003A2FB4">
        <w:rPr>
          <w:rFonts w:ascii="Arial" w:hAnsi="Arial" w:cs="Arial"/>
          <w:sz w:val="22"/>
          <w:szCs w:val="22"/>
        </w:rPr>
        <w:t>organisations</w:t>
      </w:r>
      <w:proofErr w:type="spellEnd"/>
      <w:r w:rsidRPr="003A2FB4">
        <w:rPr>
          <w:rFonts w:ascii="Arial" w:hAnsi="Arial" w:cs="Arial"/>
          <w:sz w:val="22"/>
          <w:szCs w:val="22"/>
        </w:rPr>
        <w:t xml:space="preserve"> and policy makers who work with patients and </w:t>
      </w:r>
      <w:proofErr w:type="spellStart"/>
      <w:r w:rsidRPr="003A2FB4">
        <w:rPr>
          <w:rFonts w:ascii="Arial" w:hAnsi="Arial" w:cs="Arial"/>
          <w:sz w:val="22"/>
          <w:szCs w:val="22"/>
        </w:rPr>
        <w:t>carers</w:t>
      </w:r>
      <w:proofErr w:type="spellEnd"/>
      <w:r w:rsidRPr="003A2FB4">
        <w:rPr>
          <w:rFonts w:ascii="Arial" w:hAnsi="Arial" w:cs="Arial"/>
          <w:sz w:val="22"/>
          <w:szCs w:val="22"/>
        </w:rPr>
        <w:t>.</w:t>
      </w:r>
    </w:p>
    <w:p w:rsidR="007655FB" w:rsidRPr="007655FB" w:rsidRDefault="007655FB" w:rsidP="007655FB">
      <w:pPr>
        <w:spacing w:line="360" w:lineRule="auto"/>
        <w:rPr>
          <w:rFonts w:ascii="Arial" w:hAnsi="Arial" w:cs="Arial"/>
          <w:color w:val="000000"/>
          <w:sz w:val="22"/>
          <w:szCs w:val="22"/>
          <w:lang w:val="en-AU" w:eastAsia="en-AU"/>
        </w:rPr>
      </w:pPr>
    </w:p>
    <w:p w:rsidR="007655FB" w:rsidRPr="007655FB" w:rsidRDefault="007655FB" w:rsidP="007655FB">
      <w:pPr>
        <w:autoSpaceDE w:val="0"/>
        <w:autoSpaceDN w:val="0"/>
        <w:adjustRightInd w:val="0"/>
        <w:spacing w:before="240" w:line="360" w:lineRule="auto"/>
        <w:jc w:val="center"/>
        <w:rPr>
          <w:rFonts w:ascii="Arial" w:hAnsi="Arial" w:cs="Arial"/>
          <w:i/>
          <w:color w:val="000000"/>
          <w:sz w:val="22"/>
          <w:szCs w:val="22"/>
        </w:rPr>
      </w:pPr>
      <w:r>
        <w:rPr>
          <w:rFonts w:ascii="Arial" w:hAnsi="Arial" w:cs="Arial"/>
          <w:i/>
          <w:color w:val="000000"/>
          <w:sz w:val="22"/>
          <w:szCs w:val="22"/>
        </w:rPr>
        <w:t xml:space="preserve">Media inquiries can be directed to </w:t>
      </w:r>
      <w:r w:rsidR="0063318C">
        <w:rPr>
          <w:rFonts w:ascii="Arial" w:hAnsi="Arial" w:cs="Arial"/>
          <w:i/>
          <w:color w:val="000000"/>
          <w:sz w:val="22"/>
          <w:szCs w:val="22"/>
        </w:rPr>
        <w:t xml:space="preserve">Lisa </w:t>
      </w:r>
      <w:proofErr w:type="spellStart"/>
      <w:r w:rsidR="0063318C">
        <w:rPr>
          <w:rFonts w:ascii="Arial" w:hAnsi="Arial" w:cs="Arial"/>
          <w:i/>
          <w:color w:val="000000"/>
          <w:sz w:val="22"/>
          <w:szCs w:val="22"/>
        </w:rPr>
        <w:t>Parcsi</w:t>
      </w:r>
      <w:proofErr w:type="spellEnd"/>
      <w:r w:rsidRPr="007655FB">
        <w:rPr>
          <w:rFonts w:ascii="Arial" w:hAnsi="Arial" w:cs="Arial"/>
          <w:i/>
          <w:color w:val="000000"/>
          <w:sz w:val="22"/>
          <w:szCs w:val="22"/>
        </w:rPr>
        <w:t>, Communications Manager</w:t>
      </w:r>
      <w:r>
        <w:rPr>
          <w:rFonts w:ascii="Arial" w:hAnsi="Arial" w:cs="Arial"/>
          <w:i/>
          <w:color w:val="000000"/>
          <w:sz w:val="22"/>
          <w:szCs w:val="22"/>
        </w:rPr>
        <w:t>, by calling (02</w:t>
      </w:r>
      <w:r w:rsidR="0063318C">
        <w:rPr>
          <w:rFonts w:ascii="Arial" w:hAnsi="Arial" w:cs="Arial"/>
          <w:i/>
          <w:color w:val="000000"/>
          <w:sz w:val="22"/>
          <w:szCs w:val="22"/>
        </w:rPr>
        <w:t>) 9126 3605 or email lisa.parcsi</w:t>
      </w:r>
      <w:r>
        <w:rPr>
          <w:rFonts w:ascii="Arial" w:hAnsi="Arial" w:cs="Arial"/>
          <w:i/>
          <w:color w:val="000000"/>
          <w:sz w:val="22"/>
          <w:szCs w:val="22"/>
        </w:rPr>
        <w:t>@safetyandquality.gov.au</w:t>
      </w:r>
    </w:p>
    <w:p w:rsidR="00C5500E" w:rsidRPr="007E28D7" w:rsidRDefault="007655FB" w:rsidP="00C5500E">
      <w:pPr>
        <w:autoSpaceDE w:val="0"/>
        <w:autoSpaceDN w:val="0"/>
        <w:adjustRightInd w:val="0"/>
        <w:spacing w:before="240" w:line="360" w:lineRule="auto"/>
        <w:jc w:val="center"/>
        <w:rPr>
          <w:rFonts w:ascii="Arial" w:hAnsi="Arial" w:cs="Arial"/>
          <w:b/>
          <w:color w:val="000000"/>
          <w:sz w:val="22"/>
          <w:szCs w:val="22"/>
        </w:rPr>
      </w:pPr>
      <w:r>
        <w:rPr>
          <w:rFonts w:ascii="Arial" w:hAnsi="Arial" w:cs="Arial"/>
          <w:b/>
          <w:color w:val="000000"/>
          <w:sz w:val="22"/>
          <w:szCs w:val="22"/>
        </w:rPr>
        <w:t>- E</w:t>
      </w:r>
      <w:r w:rsidRPr="007655FB">
        <w:rPr>
          <w:rFonts w:ascii="Arial" w:hAnsi="Arial" w:cs="Arial"/>
          <w:b/>
          <w:color w:val="000000"/>
          <w:sz w:val="22"/>
          <w:szCs w:val="22"/>
        </w:rPr>
        <w:t xml:space="preserve">nds </w:t>
      </w:r>
      <w:r w:rsidR="00C5500E">
        <w:rPr>
          <w:rFonts w:ascii="Arial" w:hAnsi="Arial" w:cs="Arial"/>
          <w:b/>
          <w:color w:val="000000"/>
          <w:sz w:val="22"/>
          <w:szCs w:val="22"/>
        </w:rPr>
        <w:t>-</w:t>
      </w:r>
    </w:p>
    <w:sectPr w:rsidR="00C5500E" w:rsidRPr="007E28D7" w:rsidSect="00D34CA7">
      <w:footerReference w:type="default" r:id="rId11"/>
      <w:pgSz w:w="12240" w:h="15840"/>
      <w:pgMar w:top="1200" w:right="1220" w:bottom="1200" w:left="12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E18" w:rsidRDefault="008B4E18" w:rsidP="00F67AE2">
      <w:r>
        <w:separator/>
      </w:r>
    </w:p>
  </w:endnote>
  <w:endnote w:type="continuationSeparator" w:id="0">
    <w:p w:rsidR="008B4E18" w:rsidRDefault="008B4E18" w:rsidP="00F6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AE2" w:rsidRPr="00F67AE2" w:rsidRDefault="00F67AE2" w:rsidP="00F67AE2">
    <w:pPr>
      <w:pStyle w:val="Footer"/>
      <w:jc w:val="center"/>
      <w:rPr>
        <w:rFonts w:ascii="Arial" w:hAnsi="Arial" w:cs="Arial"/>
        <w:sz w:val="20"/>
        <w:szCs w:val="20"/>
      </w:rPr>
    </w:pPr>
    <w:r w:rsidRPr="00F67AE2">
      <w:rPr>
        <w:rFonts w:ascii="Arial" w:hAnsi="Arial" w:cs="Arial"/>
        <w:sz w:val="20"/>
        <w:szCs w:val="20"/>
      </w:rPr>
      <w:t xml:space="preserve">Page </w:t>
    </w:r>
    <w:r w:rsidRPr="00F67AE2">
      <w:rPr>
        <w:rFonts w:ascii="Arial" w:hAnsi="Arial" w:cs="Arial"/>
        <w:sz w:val="20"/>
        <w:szCs w:val="20"/>
      </w:rPr>
      <w:fldChar w:fldCharType="begin"/>
    </w:r>
    <w:r w:rsidRPr="00F67AE2">
      <w:rPr>
        <w:rFonts w:ascii="Arial" w:hAnsi="Arial" w:cs="Arial"/>
        <w:sz w:val="20"/>
        <w:szCs w:val="20"/>
      </w:rPr>
      <w:instrText xml:space="preserve"> PAGE  \* Arabic  \* MERGEFORMAT </w:instrText>
    </w:r>
    <w:r w:rsidRPr="00F67AE2">
      <w:rPr>
        <w:rFonts w:ascii="Arial" w:hAnsi="Arial" w:cs="Arial"/>
        <w:sz w:val="20"/>
        <w:szCs w:val="20"/>
      </w:rPr>
      <w:fldChar w:fldCharType="separate"/>
    </w:r>
    <w:r w:rsidR="0056441A">
      <w:rPr>
        <w:rFonts w:ascii="Arial" w:hAnsi="Arial" w:cs="Arial"/>
        <w:noProof/>
        <w:sz w:val="20"/>
        <w:szCs w:val="20"/>
      </w:rPr>
      <w:t>1</w:t>
    </w:r>
    <w:r w:rsidRPr="00F67AE2">
      <w:rPr>
        <w:rFonts w:ascii="Arial" w:hAnsi="Arial" w:cs="Arial"/>
        <w:sz w:val="20"/>
        <w:szCs w:val="20"/>
      </w:rPr>
      <w:fldChar w:fldCharType="end"/>
    </w:r>
    <w:r w:rsidRPr="00F67AE2">
      <w:rPr>
        <w:rFonts w:ascii="Arial" w:hAnsi="Arial" w:cs="Arial"/>
        <w:sz w:val="20"/>
        <w:szCs w:val="20"/>
      </w:rPr>
      <w:t xml:space="preserve"> of </w:t>
    </w:r>
    <w:r w:rsidRPr="00F67AE2">
      <w:rPr>
        <w:rFonts w:ascii="Arial" w:hAnsi="Arial" w:cs="Arial"/>
        <w:sz w:val="20"/>
        <w:szCs w:val="20"/>
      </w:rPr>
      <w:fldChar w:fldCharType="begin"/>
    </w:r>
    <w:r w:rsidRPr="00F67AE2">
      <w:rPr>
        <w:rFonts w:ascii="Arial" w:hAnsi="Arial" w:cs="Arial"/>
        <w:sz w:val="20"/>
        <w:szCs w:val="20"/>
      </w:rPr>
      <w:instrText xml:space="preserve"> NUMPAGES  \* Arabic  \* MERGEFORMAT </w:instrText>
    </w:r>
    <w:r w:rsidRPr="00F67AE2">
      <w:rPr>
        <w:rFonts w:ascii="Arial" w:hAnsi="Arial" w:cs="Arial"/>
        <w:sz w:val="20"/>
        <w:szCs w:val="20"/>
      </w:rPr>
      <w:fldChar w:fldCharType="separate"/>
    </w:r>
    <w:r w:rsidR="0056441A">
      <w:rPr>
        <w:rFonts w:ascii="Arial" w:hAnsi="Arial" w:cs="Arial"/>
        <w:noProof/>
        <w:sz w:val="20"/>
        <w:szCs w:val="20"/>
      </w:rPr>
      <w:t>2</w:t>
    </w:r>
    <w:r w:rsidRPr="00F67AE2">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E18" w:rsidRDefault="008B4E18" w:rsidP="00F67AE2">
      <w:r>
        <w:separator/>
      </w:r>
    </w:p>
  </w:footnote>
  <w:footnote w:type="continuationSeparator" w:id="0">
    <w:p w:rsidR="008B4E18" w:rsidRDefault="008B4E18" w:rsidP="00F67A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4790A"/>
    <w:multiLevelType w:val="hybridMultilevel"/>
    <w:tmpl w:val="7C0E9942"/>
    <w:lvl w:ilvl="0" w:tplc="061E0336">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nsid w:val="372E2DEF"/>
    <w:multiLevelType w:val="hybridMultilevel"/>
    <w:tmpl w:val="BA5253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682819EA"/>
    <w:multiLevelType w:val="hybridMultilevel"/>
    <w:tmpl w:val="A518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2B"/>
    <w:rsid w:val="000011D5"/>
    <w:rsid w:val="000144B5"/>
    <w:rsid w:val="00020A01"/>
    <w:rsid w:val="0002203A"/>
    <w:rsid w:val="00022834"/>
    <w:rsid w:val="0002284D"/>
    <w:rsid w:val="000335B0"/>
    <w:rsid w:val="000446C2"/>
    <w:rsid w:val="0005372B"/>
    <w:rsid w:val="00061188"/>
    <w:rsid w:val="000774DA"/>
    <w:rsid w:val="0009325C"/>
    <w:rsid w:val="000B336B"/>
    <w:rsid w:val="000B4570"/>
    <w:rsid w:val="000D44D0"/>
    <w:rsid w:val="000F3336"/>
    <w:rsid w:val="000F4322"/>
    <w:rsid w:val="00116DF3"/>
    <w:rsid w:val="001359AE"/>
    <w:rsid w:val="00142C3F"/>
    <w:rsid w:val="001462CC"/>
    <w:rsid w:val="00156A80"/>
    <w:rsid w:val="00162400"/>
    <w:rsid w:val="0016257C"/>
    <w:rsid w:val="00172BF9"/>
    <w:rsid w:val="001B4F59"/>
    <w:rsid w:val="001C2E59"/>
    <w:rsid w:val="001C2E9B"/>
    <w:rsid w:val="001D4AA2"/>
    <w:rsid w:val="001E1DB3"/>
    <w:rsid w:val="00211011"/>
    <w:rsid w:val="0021790D"/>
    <w:rsid w:val="00222D58"/>
    <w:rsid w:val="00230035"/>
    <w:rsid w:val="002349C6"/>
    <w:rsid w:val="0025641B"/>
    <w:rsid w:val="002631C7"/>
    <w:rsid w:val="00267A5E"/>
    <w:rsid w:val="00290BDB"/>
    <w:rsid w:val="002949C7"/>
    <w:rsid w:val="002A2C3C"/>
    <w:rsid w:val="002A6CFB"/>
    <w:rsid w:val="002A7E51"/>
    <w:rsid w:val="002C40FB"/>
    <w:rsid w:val="002D5FF5"/>
    <w:rsid w:val="002F27E5"/>
    <w:rsid w:val="00313444"/>
    <w:rsid w:val="00316B1C"/>
    <w:rsid w:val="0032010A"/>
    <w:rsid w:val="003227B6"/>
    <w:rsid w:val="00330431"/>
    <w:rsid w:val="00330900"/>
    <w:rsid w:val="003472CC"/>
    <w:rsid w:val="00365CF9"/>
    <w:rsid w:val="0037237D"/>
    <w:rsid w:val="003744DB"/>
    <w:rsid w:val="00383B2C"/>
    <w:rsid w:val="00383B73"/>
    <w:rsid w:val="00392834"/>
    <w:rsid w:val="003951EA"/>
    <w:rsid w:val="003A2FB4"/>
    <w:rsid w:val="003C3AE2"/>
    <w:rsid w:val="003D3157"/>
    <w:rsid w:val="003E6DD8"/>
    <w:rsid w:val="003F6894"/>
    <w:rsid w:val="003F6D7E"/>
    <w:rsid w:val="00400C73"/>
    <w:rsid w:val="00404D0D"/>
    <w:rsid w:val="0040738A"/>
    <w:rsid w:val="0040776C"/>
    <w:rsid w:val="00411180"/>
    <w:rsid w:val="00416D44"/>
    <w:rsid w:val="0042732B"/>
    <w:rsid w:val="00443758"/>
    <w:rsid w:val="00487D9C"/>
    <w:rsid w:val="00496F9D"/>
    <w:rsid w:val="004D3015"/>
    <w:rsid w:val="0050372A"/>
    <w:rsid w:val="00504535"/>
    <w:rsid w:val="005161F7"/>
    <w:rsid w:val="00542668"/>
    <w:rsid w:val="0056441A"/>
    <w:rsid w:val="005724CA"/>
    <w:rsid w:val="005A46C3"/>
    <w:rsid w:val="005A5221"/>
    <w:rsid w:val="005A616D"/>
    <w:rsid w:val="005C6333"/>
    <w:rsid w:val="005F1866"/>
    <w:rsid w:val="00610CE6"/>
    <w:rsid w:val="006206C7"/>
    <w:rsid w:val="00625B44"/>
    <w:rsid w:val="0062663E"/>
    <w:rsid w:val="00626AF6"/>
    <w:rsid w:val="0063318C"/>
    <w:rsid w:val="00633448"/>
    <w:rsid w:val="0064608B"/>
    <w:rsid w:val="00685074"/>
    <w:rsid w:val="006924EA"/>
    <w:rsid w:val="006A42B1"/>
    <w:rsid w:val="006B726C"/>
    <w:rsid w:val="006D4C91"/>
    <w:rsid w:val="006D6B83"/>
    <w:rsid w:val="006E739F"/>
    <w:rsid w:val="006F63F3"/>
    <w:rsid w:val="00701A2B"/>
    <w:rsid w:val="0071402D"/>
    <w:rsid w:val="007152A3"/>
    <w:rsid w:val="007244D6"/>
    <w:rsid w:val="0074767C"/>
    <w:rsid w:val="00751B60"/>
    <w:rsid w:val="00756079"/>
    <w:rsid w:val="007655FB"/>
    <w:rsid w:val="007B11FA"/>
    <w:rsid w:val="007C69E5"/>
    <w:rsid w:val="007E05E6"/>
    <w:rsid w:val="007E28D7"/>
    <w:rsid w:val="007E2A38"/>
    <w:rsid w:val="007F65AA"/>
    <w:rsid w:val="00814D49"/>
    <w:rsid w:val="008237F2"/>
    <w:rsid w:val="00830BDC"/>
    <w:rsid w:val="00834E60"/>
    <w:rsid w:val="008363D8"/>
    <w:rsid w:val="00863ECD"/>
    <w:rsid w:val="008704AF"/>
    <w:rsid w:val="00884548"/>
    <w:rsid w:val="008932AE"/>
    <w:rsid w:val="00896B00"/>
    <w:rsid w:val="008A017F"/>
    <w:rsid w:val="008B4E18"/>
    <w:rsid w:val="008C49FD"/>
    <w:rsid w:val="008D1A90"/>
    <w:rsid w:val="008E608A"/>
    <w:rsid w:val="008E756D"/>
    <w:rsid w:val="008F31CB"/>
    <w:rsid w:val="008F358E"/>
    <w:rsid w:val="009050EC"/>
    <w:rsid w:val="00907670"/>
    <w:rsid w:val="00951F20"/>
    <w:rsid w:val="0098080A"/>
    <w:rsid w:val="00985821"/>
    <w:rsid w:val="00991CD1"/>
    <w:rsid w:val="009A701C"/>
    <w:rsid w:val="009B5E93"/>
    <w:rsid w:val="009B6F4E"/>
    <w:rsid w:val="009B7199"/>
    <w:rsid w:val="009C16E5"/>
    <w:rsid w:val="009E2A61"/>
    <w:rsid w:val="009E4699"/>
    <w:rsid w:val="00A018F4"/>
    <w:rsid w:val="00A034B5"/>
    <w:rsid w:val="00A20A7B"/>
    <w:rsid w:val="00A22AFE"/>
    <w:rsid w:val="00A44080"/>
    <w:rsid w:val="00A7595B"/>
    <w:rsid w:val="00AA048E"/>
    <w:rsid w:val="00AA6FC8"/>
    <w:rsid w:val="00AB19C6"/>
    <w:rsid w:val="00AB444D"/>
    <w:rsid w:val="00AC2900"/>
    <w:rsid w:val="00AE1A3F"/>
    <w:rsid w:val="00AF5DA3"/>
    <w:rsid w:val="00B07A17"/>
    <w:rsid w:val="00B12EFA"/>
    <w:rsid w:val="00B32674"/>
    <w:rsid w:val="00B36944"/>
    <w:rsid w:val="00B5588C"/>
    <w:rsid w:val="00B62401"/>
    <w:rsid w:val="00B72ACB"/>
    <w:rsid w:val="00BC5272"/>
    <w:rsid w:val="00BD1003"/>
    <w:rsid w:val="00BF2A74"/>
    <w:rsid w:val="00BF3F79"/>
    <w:rsid w:val="00C029FB"/>
    <w:rsid w:val="00C15B37"/>
    <w:rsid w:val="00C32D68"/>
    <w:rsid w:val="00C52303"/>
    <w:rsid w:val="00C5500E"/>
    <w:rsid w:val="00C869FC"/>
    <w:rsid w:val="00C91E5E"/>
    <w:rsid w:val="00C92D16"/>
    <w:rsid w:val="00C94217"/>
    <w:rsid w:val="00CC61C5"/>
    <w:rsid w:val="00CD3C37"/>
    <w:rsid w:val="00CE2BBF"/>
    <w:rsid w:val="00CE59E4"/>
    <w:rsid w:val="00D03006"/>
    <w:rsid w:val="00D05AF9"/>
    <w:rsid w:val="00D05BF1"/>
    <w:rsid w:val="00D1103B"/>
    <w:rsid w:val="00D179A8"/>
    <w:rsid w:val="00D219E7"/>
    <w:rsid w:val="00D24B1A"/>
    <w:rsid w:val="00D34CA7"/>
    <w:rsid w:val="00D34EB6"/>
    <w:rsid w:val="00D44100"/>
    <w:rsid w:val="00D5469C"/>
    <w:rsid w:val="00D55572"/>
    <w:rsid w:val="00D7423A"/>
    <w:rsid w:val="00D91FBB"/>
    <w:rsid w:val="00DA6B80"/>
    <w:rsid w:val="00DC2727"/>
    <w:rsid w:val="00DE7DB8"/>
    <w:rsid w:val="00DF70CF"/>
    <w:rsid w:val="00E02B6D"/>
    <w:rsid w:val="00E05402"/>
    <w:rsid w:val="00E124C7"/>
    <w:rsid w:val="00E141C0"/>
    <w:rsid w:val="00E325DE"/>
    <w:rsid w:val="00E42B33"/>
    <w:rsid w:val="00E61535"/>
    <w:rsid w:val="00E61DF9"/>
    <w:rsid w:val="00E713F1"/>
    <w:rsid w:val="00E8144E"/>
    <w:rsid w:val="00EA3022"/>
    <w:rsid w:val="00EB4FB3"/>
    <w:rsid w:val="00EB7D5E"/>
    <w:rsid w:val="00EC3E5D"/>
    <w:rsid w:val="00F12594"/>
    <w:rsid w:val="00F25A90"/>
    <w:rsid w:val="00F32DDA"/>
    <w:rsid w:val="00F65C46"/>
    <w:rsid w:val="00F67AE2"/>
    <w:rsid w:val="00F75B9C"/>
    <w:rsid w:val="00F82855"/>
    <w:rsid w:val="00F95FA8"/>
    <w:rsid w:val="00FA62E3"/>
    <w:rsid w:val="00FB187A"/>
    <w:rsid w:val="00FB2032"/>
    <w:rsid w:val="00FB3DA9"/>
    <w:rsid w:val="00FB5D9A"/>
    <w:rsid w:val="00FC3C07"/>
    <w:rsid w:val="00FE59B3"/>
    <w:rsid w:val="00FF2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72B"/>
    <w:rPr>
      <w:color w:val="0000FF"/>
      <w:u w:val="single"/>
    </w:rPr>
  </w:style>
  <w:style w:type="paragraph" w:styleId="Header">
    <w:name w:val="header"/>
    <w:basedOn w:val="Normal"/>
    <w:link w:val="HeaderChar"/>
    <w:rsid w:val="00F67AE2"/>
    <w:pPr>
      <w:tabs>
        <w:tab w:val="center" w:pos="4513"/>
        <w:tab w:val="right" w:pos="9026"/>
      </w:tabs>
    </w:pPr>
  </w:style>
  <w:style w:type="character" w:customStyle="1" w:styleId="HeaderChar">
    <w:name w:val="Header Char"/>
    <w:link w:val="Header"/>
    <w:rsid w:val="00F67AE2"/>
    <w:rPr>
      <w:sz w:val="24"/>
      <w:szCs w:val="24"/>
      <w:lang w:val="en-US" w:eastAsia="en-US"/>
    </w:rPr>
  </w:style>
  <w:style w:type="paragraph" w:styleId="Footer">
    <w:name w:val="footer"/>
    <w:basedOn w:val="Normal"/>
    <w:link w:val="FooterChar"/>
    <w:rsid w:val="00F67AE2"/>
    <w:pPr>
      <w:tabs>
        <w:tab w:val="center" w:pos="4513"/>
        <w:tab w:val="right" w:pos="9026"/>
      </w:tabs>
    </w:pPr>
  </w:style>
  <w:style w:type="character" w:customStyle="1" w:styleId="FooterChar">
    <w:name w:val="Footer Char"/>
    <w:link w:val="Footer"/>
    <w:rsid w:val="00F67AE2"/>
    <w:rPr>
      <w:sz w:val="24"/>
      <w:szCs w:val="24"/>
      <w:lang w:val="en-US" w:eastAsia="en-US"/>
    </w:rPr>
  </w:style>
  <w:style w:type="paragraph" w:customStyle="1" w:styleId="Body1">
    <w:name w:val="Body 1"/>
    <w:autoRedefine/>
    <w:rsid w:val="003A2FB4"/>
    <w:pPr>
      <w:spacing w:before="240" w:after="240"/>
      <w:ind w:right="-74"/>
    </w:pPr>
    <w:rPr>
      <w:rFonts w:ascii="Helvetica" w:eastAsia="Arial Unicode MS" w:hAnsi="Helvetica"/>
      <w:color w:val="000000"/>
      <w:sz w:val="24"/>
    </w:rPr>
  </w:style>
  <w:style w:type="paragraph" w:styleId="ListParagraph">
    <w:name w:val="List Paragraph"/>
    <w:basedOn w:val="Normal"/>
    <w:uiPriority w:val="34"/>
    <w:qFormat/>
    <w:rsid w:val="00C550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72B"/>
    <w:rPr>
      <w:color w:val="0000FF"/>
      <w:u w:val="single"/>
    </w:rPr>
  </w:style>
  <w:style w:type="paragraph" w:styleId="Header">
    <w:name w:val="header"/>
    <w:basedOn w:val="Normal"/>
    <w:link w:val="HeaderChar"/>
    <w:rsid w:val="00F67AE2"/>
    <w:pPr>
      <w:tabs>
        <w:tab w:val="center" w:pos="4513"/>
        <w:tab w:val="right" w:pos="9026"/>
      </w:tabs>
    </w:pPr>
  </w:style>
  <w:style w:type="character" w:customStyle="1" w:styleId="HeaderChar">
    <w:name w:val="Header Char"/>
    <w:link w:val="Header"/>
    <w:rsid w:val="00F67AE2"/>
    <w:rPr>
      <w:sz w:val="24"/>
      <w:szCs w:val="24"/>
      <w:lang w:val="en-US" w:eastAsia="en-US"/>
    </w:rPr>
  </w:style>
  <w:style w:type="paragraph" w:styleId="Footer">
    <w:name w:val="footer"/>
    <w:basedOn w:val="Normal"/>
    <w:link w:val="FooterChar"/>
    <w:rsid w:val="00F67AE2"/>
    <w:pPr>
      <w:tabs>
        <w:tab w:val="center" w:pos="4513"/>
        <w:tab w:val="right" w:pos="9026"/>
      </w:tabs>
    </w:pPr>
  </w:style>
  <w:style w:type="character" w:customStyle="1" w:styleId="FooterChar">
    <w:name w:val="Footer Char"/>
    <w:link w:val="Footer"/>
    <w:rsid w:val="00F67AE2"/>
    <w:rPr>
      <w:sz w:val="24"/>
      <w:szCs w:val="24"/>
      <w:lang w:val="en-US" w:eastAsia="en-US"/>
    </w:rPr>
  </w:style>
  <w:style w:type="paragraph" w:customStyle="1" w:styleId="Body1">
    <w:name w:val="Body 1"/>
    <w:autoRedefine/>
    <w:rsid w:val="003A2FB4"/>
    <w:pPr>
      <w:spacing w:before="240" w:after="240"/>
      <w:ind w:right="-74"/>
    </w:pPr>
    <w:rPr>
      <w:rFonts w:ascii="Helvetica" w:eastAsia="Arial Unicode MS" w:hAnsi="Helvetica"/>
      <w:color w:val="000000"/>
      <w:sz w:val="24"/>
    </w:rPr>
  </w:style>
  <w:style w:type="paragraph" w:styleId="ListParagraph">
    <w:name w:val="List Paragraph"/>
    <w:basedOn w:val="Normal"/>
    <w:uiPriority w:val="34"/>
    <w:qFormat/>
    <w:rsid w:val="00C550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043513">
      <w:bodyDiv w:val="1"/>
      <w:marLeft w:val="0"/>
      <w:marRight w:val="0"/>
      <w:marTop w:val="0"/>
      <w:marBottom w:val="0"/>
      <w:divBdr>
        <w:top w:val="none" w:sz="0" w:space="0" w:color="auto"/>
        <w:left w:val="none" w:sz="0" w:space="0" w:color="auto"/>
        <w:bottom w:val="none" w:sz="0" w:space="0" w:color="auto"/>
        <w:right w:val="none" w:sz="0" w:space="0" w:color="auto"/>
      </w:divBdr>
      <w:divsChild>
        <w:div w:id="489446865">
          <w:marLeft w:val="0"/>
          <w:marRight w:val="0"/>
          <w:marTop w:val="0"/>
          <w:marBottom w:val="0"/>
          <w:divBdr>
            <w:top w:val="none" w:sz="0" w:space="0" w:color="auto"/>
            <w:left w:val="none" w:sz="0" w:space="0" w:color="auto"/>
            <w:bottom w:val="none" w:sz="0" w:space="0" w:color="auto"/>
            <w:right w:val="none" w:sz="0" w:space="0" w:color="auto"/>
          </w:divBdr>
          <w:divsChild>
            <w:div w:id="536697953">
              <w:marLeft w:val="0"/>
              <w:marRight w:val="0"/>
              <w:marTop w:val="0"/>
              <w:marBottom w:val="0"/>
              <w:divBdr>
                <w:top w:val="none" w:sz="0" w:space="0" w:color="auto"/>
                <w:left w:val="none" w:sz="0" w:space="0" w:color="auto"/>
                <w:bottom w:val="none" w:sz="0" w:space="0" w:color="auto"/>
                <w:right w:val="none" w:sz="0" w:space="0" w:color="auto"/>
              </w:divBdr>
              <w:divsChild>
                <w:div w:id="1849248040">
                  <w:marLeft w:val="0"/>
                  <w:marRight w:val="0"/>
                  <w:marTop w:val="0"/>
                  <w:marBottom w:val="0"/>
                  <w:divBdr>
                    <w:top w:val="none" w:sz="0" w:space="0" w:color="auto"/>
                    <w:left w:val="none" w:sz="0" w:space="0" w:color="auto"/>
                    <w:bottom w:val="none" w:sz="0" w:space="0" w:color="auto"/>
                    <w:right w:val="none" w:sz="0" w:space="0" w:color="auto"/>
                  </w:divBdr>
                  <w:divsChild>
                    <w:div w:id="1819179413">
                      <w:marLeft w:val="0"/>
                      <w:marRight w:val="0"/>
                      <w:marTop w:val="0"/>
                      <w:marBottom w:val="0"/>
                      <w:divBdr>
                        <w:top w:val="none" w:sz="0" w:space="0" w:color="auto"/>
                        <w:left w:val="none" w:sz="0" w:space="0" w:color="auto"/>
                        <w:bottom w:val="none" w:sz="0" w:space="0" w:color="auto"/>
                        <w:right w:val="none" w:sz="0" w:space="0" w:color="auto"/>
                      </w:divBdr>
                      <w:divsChild>
                        <w:div w:id="1329475737">
                          <w:marLeft w:val="0"/>
                          <w:marRight w:val="0"/>
                          <w:marTop w:val="0"/>
                          <w:marBottom w:val="0"/>
                          <w:divBdr>
                            <w:top w:val="none" w:sz="0" w:space="0" w:color="auto"/>
                            <w:left w:val="none" w:sz="0" w:space="0" w:color="auto"/>
                            <w:bottom w:val="none" w:sz="0" w:space="0" w:color="auto"/>
                            <w:right w:val="none" w:sz="0" w:space="0" w:color="auto"/>
                          </w:divBdr>
                          <w:divsChild>
                            <w:div w:id="191890197">
                              <w:marLeft w:val="0"/>
                              <w:marRight w:val="0"/>
                              <w:marTop w:val="0"/>
                              <w:marBottom w:val="0"/>
                              <w:divBdr>
                                <w:top w:val="none" w:sz="0" w:space="0" w:color="auto"/>
                                <w:left w:val="none" w:sz="0" w:space="0" w:color="auto"/>
                                <w:bottom w:val="none" w:sz="0" w:space="0" w:color="auto"/>
                                <w:right w:val="none" w:sz="0" w:space="0" w:color="auto"/>
                              </w:divBdr>
                              <w:divsChild>
                                <w:div w:id="1976370814">
                                  <w:marLeft w:val="0"/>
                                  <w:marRight w:val="0"/>
                                  <w:marTop w:val="0"/>
                                  <w:marBottom w:val="0"/>
                                  <w:divBdr>
                                    <w:top w:val="none" w:sz="0" w:space="0" w:color="auto"/>
                                    <w:left w:val="none" w:sz="0" w:space="0" w:color="auto"/>
                                    <w:bottom w:val="none" w:sz="0" w:space="0" w:color="auto"/>
                                    <w:right w:val="none" w:sz="0" w:space="0" w:color="auto"/>
                                  </w:divBdr>
                                  <w:divsChild>
                                    <w:div w:id="403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afetyandquality.gov.au/publications/health-literacy-national-statement" TargetMode="External"/><Relationship Id="rId4" Type="http://schemas.openxmlformats.org/officeDocument/2006/relationships/settings" Target="settings.xml"/><Relationship Id="rId9" Type="http://schemas.openxmlformats.org/officeDocument/2006/relationships/hyperlink" Target="http://www.safetyandquality.gov.au/publications/health-literacy-taking-action-to-improve-safety-and-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2915</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haller</dc:creator>
  <cp:lastModifiedBy>Hall Erica</cp:lastModifiedBy>
  <cp:revision>2</cp:revision>
  <cp:lastPrinted>2014-08-21T23:25:00Z</cp:lastPrinted>
  <dcterms:created xsi:type="dcterms:W3CDTF">2014-08-22T01:18:00Z</dcterms:created>
  <dcterms:modified xsi:type="dcterms:W3CDTF">2014-08-22T01:18:00Z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