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17D4A" w14:textId="471C36F7" w:rsidR="004239AC" w:rsidRDefault="00A37D81" w:rsidP="00543D44">
      <w:pPr>
        <w:autoSpaceDE w:val="0"/>
        <w:autoSpaceDN w:val="0"/>
        <w:adjustRightInd w:val="0"/>
        <w:spacing w:before="200" w:line="276" w:lineRule="auto"/>
        <w:rPr>
          <w:rFonts w:ascii="Arial" w:hAnsi="Arial" w:cs="Arial"/>
          <w:sz w:val="22"/>
          <w:szCs w:val="22"/>
        </w:rPr>
      </w:pPr>
      <w:r>
        <w:rPr>
          <w:rFonts w:ascii="Arial" w:hAnsi="Arial" w:cs="Arial"/>
          <w:noProof/>
          <w:sz w:val="22"/>
          <w:szCs w:val="22"/>
          <w:lang w:val="en-AU" w:eastAsia="ko-KR"/>
        </w:rPr>
        <w:drawing>
          <wp:anchor distT="0" distB="0" distL="114300" distR="114300" simplePos="0" relativeHeight="251660288" behindDoc="0" locked="0" layoutInCell="1" allowOverlap="1" wp14:anchorId="08D23E7B" wp14:editId="1F112C23">
            <wp:simplePos x="0" y="0"/>
            <wp:positionH relativeFrom="column">
              <wp:posOffset>225425</wp:posOffset>
            </wp:positionH>
            <wp:positionV relativeFrom="paragraph">
              <wp:posOffset>-521335</wp:posOffset>
            </wp:positionV>
            <wp:extent cx="4152900" cy="58737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AU" w:eastAsia="ko-KR"/>
        </w:rPr>
        <w:drawing>
          <wp:anchor distT="0" distB="0" distL="114300" distR="114300" simplePos="0" relativeHeight="251659264" behindDoc="0" locked="0" layoutInCell="1" allowOverlap="1" wp14:anchorId="1471AD8D" wp14:editId="20758E27">
            <wp:simplePos x="0" y="0"/>
            <wp:positionH relativeFrom="column">
              <wp:posOffset>4566285</wp:posOffset>
            </wp:positionH>
            <wp:positionV relativeFrom="paragraph">
              <wp:posOffset>-875665</wp:posOffset>
            </wp:positionV>
            <wp:extent cx="914400" cy="1339215"/>
            <wp:effectExtent l="0" t="0" r="0" b="0"/>
            <wp:wrapNone/>
            <wp:docPr id="9" name="Picture 9" descr="D:\Users\ahnsta\AppData\Local\Microsoft\Windows\Temporary Internet Files\Content.Outlook\6FKJ6P2J\NCAS_RGB_full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hnsta\AppData\Local\Microsoft\Windows\Temporary Internet Files\Content.Outlook\6FKJ6P2J\NCAS_RGB_fullnam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03E98" w14:textId="031EC476" w:rsidR="00543D44" w:rsidRPr="00543D44" w:rsidRDefault="0088060A" w:rsidP="004239AC">
      <w:pPr>
        <w:autoSpaceDE w:val="0"/>
        <w:autoSpaceDN w:val="0"/>
        <w:adjustRightInd w:val="0"/>
        <w:spacing w:line="276" w:lineRule="auto"/>
        <w:rPr>
          <w:rFonts w:ascii="Arial" w:hAnsi="Arial" w:cs="Arial"/>
          <w:sz w:val="22"/>
          <w:szCs w:val="22"/>
        </w:rPr>
      </w:pPr>
      <w:r>
        <w:rPr>
          <w:rFonts w:ascii="Arial" w:hAnsi="Arial" w:cs="Arial"/>
          <w:sz w:val="22"/>
          <w:szCs w:val="22"/>
        </w:rPr>
        <w:t xml:space="preserve"> </w:t>
      </w:r>
      <w:r w:rsidR="00543D44">
        <w:rPr>
          <w:rFonts w:ascii="Arial" w:hAnsi="Arial" w:cs="Arial"/>
          <w:sz w:val="22"/>
          <w:szCs w:val="22"/>
        </w:rPr>
        <w:t xml:space="preserve">24 </w:t>
      </w:r>
      <w:r w:rsidR="00FF4DD5">
        <w:rPr>
          <w:rFonts w:ascii="Arial" w:hAnsi="Arial" w:cs="Arial"/>
          <w:sz w:val="22"/>
          <w:szCs w:val="22"/>
        </w:rPr>
        <w:t>July 2015</w:t>
      </w:r>
    </w:p>
    <w:p w14:paraId="22FE4EB2" w14:textId="77777777" w:rsidR="0088060A" w:rsidRPr="0088060A" w:rsidRDefault="0088060A" w:rsidP="006D2034">
      <w:pPr>
        <w:autoSpaceDE w:val="0"/>
        <w:autoSpaceDN w:val="0"/>
        <w:adjustRightInd w:val="0"/>
        <w:spacing w:line="276" w:lineRule="auto"/>
        <w:jc w:val="center"/>
        <w:rPr>
          <w:rFonts w:ascii="Arial" w:hAnsi="Arial" w:cs="Arial"/>
          <w:b/>
          <w:sz w:val="22"/>
          <w:szCs w:val="22"/>
        </w:rPr>
      </w:pPr>
      <w:r w:rsidRPr="0088060A">
        <w:rPr>
          <w:rFonts w:ascii="Arial" w:hAnsi="Arial" w:cs="Arial"/>
          <w:b/>
          <w:sz w:val="22"/>
          <w:szCs w:val="22"/>
        </w:rPr>
        <w:t>Latest report shows room for improvement in antimicrobial use in Australian hospitals</w:t>
      </w:r>
    </w:p>
    <w:p w14:paraId="111DD7B6" w14:textId="77777777" w:rsidR="0088060A" w:rsidRPr="0088060A" w:rsidRDefault="0088060A" w:rsidP="00543D44">
      <w:pPr>
        <w:pStyle w:val="NormalWeb"/>
        <w:shd w:val="clear" w:color="auto" w:fill="FFFFFF"/>
        <w:spacing w:before="200" w:beforeAutospacing="0" w:after="225" w:afterAutospacing="0" w:line="276" w:lineRule="auto"/>
        <w:rPr>
          <w:rFonts w:ascii="Arial" w:hAnsi="Arial" w:cs="Arial"/>
          <w:sz w:val="22"/>
          <w:szCs w:val="22"/>
        </w:rPr>
      </w:pPr>
      <w:r w:rsidRPr="0088060A">
        <w:rPr>
          <w:rFonts w:ascii="Arial" w:hAnsi="Arial" w:cs="Arial"/>
          <w:sz w:val="22"/>
          <w:szCs w:val="22"/>
        </w:rPr>
        <w:t>The latest report on antimicrobial prescribing practices provides important information about the rate and appropriateness of antimicrobial use in Australian hospitals.</w:t>
      </w:r>
    </w:p>
    <w:p w14:paraId="40E91AD0" w14:textId="77777777" w:rsidR="0088060A" w:rsidRPr="0088060A" w:rsidRDefault="0088060A" w:rsidP="00543D44">
      <w:pPr>
        <w:pStyle w:val="NormalWeb"/>
        <w:shd w:val="clear" w:color="auto" w:fill="FFFFFF"/>
        <w:spacing w:before="200" w:beforeAutospacing="0" w:after="0" w:afterAutospacing="0" w:line="276" w:lineRule="auto"/>
        <w:rPr>
          <w:rFonts w:ascii="Arial" w:hAnsi="Arial" w:cs="Arial"/>
          <w:sz w:val="22"/>
          <w:szCs w:val="22"/>
        </w:rPr>
      </w:pPr>
      <w:r w:rsidRPr="0088060A">
        <w:rPr>
          <w:rFonts w:ascii="Arial" w:hAnsi="Arial" w:cs="Arial"/>
          <w:sz w:val="22"/>
          <w:szCs w:val="22"/>
        </w:rPr>
        <w:t>The report,</w:t>
      </w:r>
      <w:r w:rsidRPr="0088060A">
        <w:rPr>
          <w:rStyle w:val="apple-converted-space"/>
          <w:rFonts w:ascii="Arial" w:hAnsi="Arial" w:cs="Arial"/>
          <w:sz w:val="22"/>
          <w:szCs w:val="22"/>
        </w:rPr>
        <w:t> </w:t>
      </w:r>
      <w:r w:rsidRPr="00FF4DD5">
        <w:rPr>
          <w:rFonts w:ascii="Arial" w:hAnsi="Arial" w:cs="Arial"/>
          <w:i/>
          <w:iCs/>
          <w:sz w:val="22"/>
          <w:szCs w:val="22"/>
          <w:bdr w:val="none" w:sz="0" w:space="0" w:color="auto" w:frame="1"/>
        </w:rPr>
        <w:t>National Antimicrobial Prescribing Practice: results of the 2014 National Antimicrobial Prescribing Survey</w:t>
      </w:r>
      <w:r w:rsidRPr="0088060A">
        <w:rPr>
          <w:rStyle w:val="apple-converted-space"/>
          <w:rFonts w:ascii="Arial" w:hAnsi="Arial" w:cs="Arial"/>
          <w:sz w:val="22"/>
          <w:szCs w:val="22"/>
        </w:rPr>
        <w:t> </w:t>
      </w:r>
      <w:r w:rsidRPr="0088060A">
        <w:rPr>
          <w:rFonts w:ascii="Arial" w:hAnsi="Arial" w:cs="Arial"/>
          <w:sz w:val="22"/>
          <w:szCs w:val="22"/>
        </w:rPr>
        <w:t xml:space="preserve">(NAPS), was released by the Australian Commission on Safety and Quality </w:t>
      </w:r>
      <w:r w:rsidR="00F00F15">
        <w:rPr>
          <w:rFonts w:ascii="Arial" w:hAnsi="Arial" w:cs="Arial"/>
          <w:sz w:val="22"/>
          <w:szCs w:val="22"/>
        </w:rPr>
        <w:t xml:space="preserve">in Health Care (the Commission) and </w:t>
      </w:r>
      <w:r w:rsidR="00F00F15" w:rsidRPr="0088060A">
        <w:rPr>
          <w:rFonts w:ascii="Arial" w:hAnsi="Arial" w:cs="Arial"/>
          <w:sz w:val="22"/>
          <w:szCs w:val="22"/>
        </w:rPr>
        <w:t xml:space="preserve">the </w:t>
      </w:r>
      <w:r w:rsidR="00F00F15">
        <w:rPr>
          <w:rFonts w:ascii="Arial" w:hAnsi="Arial" w:cs="Arial"/>
          <w:sz w:val="22"/>
          <w:szCs w:val="22"/>
        </w:rPr>
        <w:t>National</w:t>
      </w:r>
      <w:r w:rsidR="00F00F15" w:rsidRPr="0088060A">
        <w:rPr>
          <w:rFonts w:ascii="Arial" w:hAnsi="Arial" w:cs="Arial"/>
          <w:sz w:val="22"/>
          <w:szCs w:val="22"/>
        </w:rPr>
        <w:t xml:space="preserve"> Centre for Antimicrobial Stewardship</w:t>
      </w:r>
      <w:r w:rsidR="00F00F15">
        <w:rPr>
          <w:rFonts w:ascii="Arial" w:hAnsi="Arial" w:cs="Arial"/>
          <w:sz w:val="22"/>
          <w:szCs w:val="22"/>
        </w:rPr>
        <w:t xml:space="preserve"> (NCAS)</w:t>
      </w:r>
      <w:r w:rsidR="00C45E1B">
        <w:rPr>
          <w:rFonts w:ascii="Arial" w:hAnsi="Arial" w:cs="Arial"/>
          <w:sz w:val="22"/>
          <w:szCs w:val="22"/>
        </w:rPr>
        <w:t xml:space="preserve"> at t</w:t>
      </w:r>
      <w:r w:rsidR="001309D2">
        <w:rPr>
          <w:rFonts w:ascii="Arial" w:hAnsi="Arial" w:cs="Arial"/>
          <w:sz w:val="22"/>
          <w:szCs w:val="22"/>
        </w:rPr>
        <w:t xml:space="preserve">he Peter Doherty </w:t>
      </w:r>
      <w:r w:rsidR="00244D05">
        <w:rPr>
          <w:rFonts w:ascii="Arial" w:hAnsi="Arial" w:cs="Arial"/>
          <w:sz w:val="22"/>
          <w:szCs w:val="22"/>
        </w:rPr>
        <w:t>Institute</w:t>
      </w:r>
      <w:r w:rsidR="001309D2">
        <w:rPr>
          <w:rFonts w:ascii="Arial" w:hAnsi="Arial" w:cs="Arial"/>
          <w:sz w:val="22"/>
          <w:szCs w:val="22"/>
        </w:rPr>
        <w:t xml:space="preserve"> for Infection and Immunity</w:t>
      </w:r>
      <w:r w:rsidR="00F00F15">
        <w:rPr>
          <w:rFonts w:ascii="Arial" w:hAnsi="Arial" w:cs="Arial"/>
          <w:sz w:val="22"/>
          <w:szCs w:val="22"/>
        </w:rPr>
        <w:t>.</w:t>
      </w:r>
    </w:p>
    <w:p w14:paraId="49B67228" w14:textId="77777777" w:rsidR="0088060A" w:rsidRPr="0088060A" w:rsidRDefault="0088060A" w:rsidP="00543D44">
      <w:pPr>
        <w:pStyle w:val="Default"/>
        <w:spacing w:before="200" w:after="120" w:line="276" w:lineRule="auto"/>
        <w:rPr>
          <w:rFonts w:eastAsia="Arial Unicode MS"/>
          <w:color w:val="auto"/>
          <w:sz w:val="22"/>
          <w:szCs w:val="22"/>
        </w:rPr>
      </w:pPr>
      <w:r w:rsidRPr="0088060A">
        <w:rPr>
          <w:color w:val="auto"/>
          <w:sz w:val="22"/>
          <w:szCs w:val="22"/>
          <w:shd w:val="clear" w:color="auto" w:fill="FFFFFF"/>
        </w:rPr>
        <w:t>The 2014 report summarises the results of a voluntary annual audit of 248 hospitals (197 public and 51 private) from across Australia. This resulted in a data set of almost 20,000 prescriptions.</w:t>
      </w:r>
    </w:p>
    <w:p w14:paraId="77464524" w14:textId="3435489C" w:rsidR="00694E34" w:rsidRPr="0088060A" w:rsidRDefault="001309D2" w:rsidP="00543D44">
      <w:pPr>
        <w:pStyle w:val="Default"/>
        <w:spacing w:before="200" w:after="120" w:line="276" w:lineRule="auto"/>
        <w:rPr>
          <w:color w:val="auto"/>
          <w:sz w:val="22"/>
          <w:szCs w:val="22"/>
          <w:shd w:val="clear" w:color="auto" w:fill="FFFFFF"/>
        </w:rPr>
      </w:pPr>
      <w:r>
        <w:rPr>
          <w:color w:val="auto"/>
          <w:sz w:val="22"/>
          <w:szCs w:val="22"/>
          <w:shd w:val="clear" w:color="auto" w:fill="FFFFFF"/>
        </w:rPr>
        <w:t xml:space="preserve">University of Melbourne </w:t>
      </w:r>
      <w:r w:rsidR="0088060A" w:rsidRPr="0088060A">
        <w:rPr>
          <w:color w:val="auto"/>
          <w:sz w:val="22"/>
          <w:szCs w:val="22"/>
          <w:shd w:val="clear" w:color="auto" w:fill="FFFFFF"/>
        </w:rPr>
        <w:t xml:space="preserve">Associate Professor Karin Thursky </w:t>
      </w:r>
      <w:r>
        <w:rPr>
          <w:color w:val="auto"/>
          <w:sz w:val="22"/>
          <w:szCs w:val="22"/>
          <w:shd w:val="clear" w:color="auto" w:fill="FFFFFF"/>
        </w:rPr>
        <w:t>Director of</w:t>
      </w:r>
      <w:r w:rsidR="0088060A" w:rsidRPr="0088060A">
        <w:rPr>
          <w:color w:val="auto"/>
          <w:sz w:val="22"/>
          <w:szCs w:val="22"/>
          <w:shd w:val="clear" w:color="auto" w:fill="FFFFFF"/>
        </w:rPr>
        <w:t xml:space="preserve"> </w:t>
      </w:r>
      <w:r w:rsidR="00BF543E">
        <w:rPr>
          <w:color w:val="auto"/>
          <w:sz w:val="22"/>
          <w:szCs w:val="22"/>
          <w:shd w:val="clear" w:color="auto" w:fill="FFFFFF"/>
        </w:rPr>
        <w:t>NCAS</w:t>
      </w:r>
      <w:r w:rsidR="0088060A" w:rsidRPr="0088060A">
        <w:rPr>
          <w:color w:val="auto"/>
          <w:sz w:val="22"/>
          <w:szCs w:val="22"/>
          <w:shd w:val="clear" w:color="auto" w:fill="FFFFFF"/>
        </w:rPr>
        <w:t xml:space="preserve"> said</w:t>
      </w:r>
      <w:r>
        <w:rPr>
          <w:color w:val="auto"/>
          <w:sz w:val="22"/>
          <w:szCs w:val="22"/>
          <w:shd w:val="clear" w:color="auto" w:fill="FFFFFF"/>
        </w:rPr>
        <w:t>,</w:t>
      </w:r>
      <w:r w:rsidR="0088060A" w:rsidRPr="0088060A">
        <w:rPr>
          <w:color w:val="auto"/>
          <w:sz w:val="22"/>
          <w:szCs w:val="22"/>
          <w:shd w:val="clear" w:color="auto" w:fill="FFFFFF"/>
        </w:rPr>
        <w:t xml:space="preserve"> “This report provides a snapshot of medication charts and patient records that have been assessed for appropriateness of antimicrobial prescribing and compliance with guidelines.</w:t>
      </w:r>
      <w:r w:rsidR="00694E34">
        <w:rPr>
          <w:color w:val="auto"/>
          <w:sz w:val="22"/>
          <w:szCs w:val="22"/>
          <w:shd w:val="clear" w:color="auto" w:fill="FFFFFF"/>
        </w:rPr>
        <w:t xml:space="preserve"> </w:t>
      </w:r>
      <w:r w:rsidR="0088060A" w:rsidRPr="0088060A">
        <w:rPr>
          <w:color w:val="auto"/>
          <w:sz w:val="22"/>
          <w:szCs w:val="22"/>
          <w:shd w:val="clear" w:color="auto" w:fill="FFFFFF"/>
        </w:rPr>
        <w:t>Almost one-quarter of the prescriptions surveyed were co</w:t>
      </w:r>
      <w:r w:rsidR="00694E34">
        <w:rPr>
          <w:color w:val="auto"/>
          <w:sz w:val="22"/>
          <w:szCs w:val="22"/>
          <w:shd w:val="clear" w:color="auto" w:fill="FFFFFF"/>
        </w:rPr>
        <w:t>nsidered to have been inappropriate</w:t>
      </w:r>
      <w:r w:rsidR="0088060A" w:rsidRPr="0088060A">
        <w:rPr>
          <w:color w:val="auto"/>
          <w:sz w:val="22"/>
          <w:szCs w:val="22"/>
          <w:shd w:val="clear" w:color="auto" w:fill="FFFFFF"/>
        </w:rPr>
        <w:t>.</w:t>
      </w:r>
      <w:r w:rsidR="00694E34">
        <w:rPr>
          <w:color w:val="auto"/>
          <w:sz w:val="22"/>
          <w:szCs w:val="22"/>
          <w:shd w:val="clear" w:color="auto" w:fill="FFFFFF"/>
        </w:rPr>
        <w:t>”</w:t>
      </w:r>
    </w:p>
    <w:p w14:paraId="5DD76366" w14:textId="05B22364" w:rsidR="00694E34" w:rsidRDefault="0088060A" w:rsidP="00050E57">
      <w:pPr>
        <w:shd w:val="clear" w:color="auto" w:fill="FFFFFF"/>
        <w:spacing w:before="200" w:after="225" w:line="276" w:lineRule="auto"/>
        <w:rPr>
          <w:rFonts w:ascii="Arial" w:hAnsi="Arial" w:cs="Arial"/>
          <w:sz w:val="22"/>
          <w:szCs w:val="22"/>
        </w:rPr>
      </w:pPr>
      <w:r w:rsidRPr="0088060A">
        <w:rPr>
          <w:rFonts w:ascii="Arial" w:hAnsi="Arial" w:cs="Arial"/>
          <w:sz w:val="22"/>
          <w:szCs w:val="22"/>
          <w:shd w:val="clear" w:color="auto" w:fill="FFFFFF"/>
        </w:rPr>
        <w:t>The Commission’s Senior Medical Advisor, Professor John Turnidge, said</w:t>
      </w:r>
      <w:r w:rsidR="001309D2">
        <w:rPr>
          <w:rFonts w:ascii="Arial" w:hAnsi="Arial" w:cs="Arial"/>
          <w:sz w:val="22"/>
          <w:szCs w:val="22"/>
          <w:shd w:val="clear" w:color="auto" w:fill="FFFFFF"/>
        </w:rPr>
        <w:t>,</w:t>
      </w:r>
      <w:r w:rsidRPr="0088060A">
        <w:rPr>
          <w:rFonts w:ascii="Arial" w:hAnsi="Arial" w:cs="Arial"/>
          <w:sz w:val="22"/>
          <w:szCs w:val="22"/>
        </w:rPr>
        <w:t xml:space="preserve"> “Antimicrobial resistance is a serious and looming threat to public health. The single most powerful contributor to resis</w:t>
      </w:r>
      <w:r w:rsidR="00694E34">
        <w:rPr>
          <w:rFonts w:ascii="Arial" w:hAnsi="Arial" w:cs="Arial"/>
          <w:sz w:val="22"/>
          <w:szCs w:val="22"/>
        </w:rPr>
        <w:t>tance is misuse of antibiotics.</w:t>
      </w:r>
    </w:p>
    <w:p w14:paraId="2B0D1A7F" w14:textId="6C600D03" w:rsidR="00694E34" w:rsidRPr="00050E57" w:rsidRDefault="00694E34" w:rsidP="00BA55AC">
      <w:pPr>
        <w:shd w:val="clear" w:color="auto" w:fill="FFFFFF"/>
        <w:spacing w:before="200" w:after="225" w:line="276" w:lineRule="auto"/>
        <w:rPr>
          <w:rFonts w:ascii="Arial" w:hAnsi="Arial" w:cs="Arial"/>
          <w:sz w:val="22"/>
          <w:szCs w:val="22"/>
        </w:rPr>
      </w:pPr>
      <w:r>
        <w:rPr>
          <w:rFonts w:ascii="Arial" w:hAnsi="Arial" w:cs="Arial"/>
          <w:sz w:val="22"/>
          <w:szCs w:val="22"/>
        </w:rPr>
        <w:t>“</w:t>
      </w:r>
      <w:r w:rsidR="0088060A" w:rsidRPr="0088060A">
        <w:rPr>
          <w:rFonts w:ascii="Arial" w:hAnsi="Arial" w:cs="Arial"/>
          <w:sz w:val="22"/>
          <w:szCs w:val="22"/>
        </w:rPr>
        <w:t>The NAPS report shows us there is still significant room for improvement in the appropriateness of antimicrobial prescribing</w:t>
      </w:r>
      <w:r>
        <w:rPr>
          <w:rFonts w:ascii="Arial" w:hAnsi="Arial" w:cs="Arial"/>
          <w:sz w:val="22"/>
          <w:szCs w:val="22"/>
        </w:rPr>
        <w:t xml:space="preserve"> at the hospital level</w:t>
      </w:r>
      <w:r w:rsidR="0088060A" w:rsidRPr="0088060A">
        <w:rPr>
          <w:rFonts w:ascii="Arial" w:hAnsi="Arial" w:cs="Arial"/>
          <w:sz w:val="22"/>
          <w:szCs w:val="22"/>
        </w:rPr>
        <w:t>.</w:t>
      </w:r>
      <w:r>
        <w:rPr>
          <w:rFonts w:ascii="Arial" w:hAnsi="Arial" w:cs="Arial"/>
          <w:sz w:val="22"/>
          <w:szCs w:val="22"/>
        </w:rPr>
        <w:t xml:space="preserve"> </w:t>
      </w:r>
      <w:r w:rsidR="00BA55AC">
        <w:rPr>
          <w:rFonts w:ascii="Arial" w:hAnsi="Arial" w:cs="Arial"/>
          <w:sz w:val="22"/>
          <w:szCs w:val="22"/>
        </w:rPr>
        <w:t>We need to</w:t>
      </w:r>
      <w:r w:rsidRPr="00694E34">
        <w:rPr>
          <w:rFonts w:ascii="Arial" w:hAnsi="Arial" w:cs="Arial"/>
          <w:sz w:val="22"/>
          <w:szCs w:val="22"/>
        </w:rPr>
        <w:t xml:space="preserve"> ensur</w:t>
      </w:r>
      <w:r w:rsidR="00BA55AC">
        <w:rPr>
          <w:rFonts w:ascii="Arial" w:hAnsi="Arial" w:cs="Arial"/>
          <w:sz w:val="22"/>
          <w:szCs w:val="22"/>
        </w:rPr>
        <w:t>e</w:t>
      </w:r>
      <w:r w:rsidRPr="00694E34">
        <w:rPr>
          <w:rFonts w:ascii="Arial" w:hAnsi="Arial" w:cs="Arial"/>
          <w:sz w:val="22"/>
          <w:szCs w:val="22"/>
        </w:rPr>
        <w:t xml:space="preserve"> patients receive the right antibiotic for their condition, the right dose, at the right time and for the right length of time, based on accurate assessment and timely review.</w:t>
      </w:r>
      <w:r w:rsidR="001309D2">
        <w:rPr>
          <w:rFonts w:ascii="Arial" w:hAnsi="Arial" w:cs="Arial"/>
          <w:sz w:val="22"/>
          <w:szCs w:val="22"/>
        </w:rPr>
        <w:t>”</w:t>
      </w:r>
    </w:p>
    <w:p w14:paraId="30BE36D4" w14:textId="77777777" w:rsidR="00050E57" w:rsidRDefault="00BA55AC" w:rsidP="00050E57">
      <w:pPr>
        <w:pStyle w:val="ListParagraph"/>
        <w:spacing w:before="200" w:line="276" w:lineRule="auto"/>
        <w:ind w:left="0"/>
        <w:rPr>
          <w:rFonts w:ascii="Arial" w:hAnsi="Arial" w:cs="Arial"/>
          <w:b/>
          <w:sz w:val="22"/>
          <w:szCs w:val="22"/>
          <w:lang w:eastAsia="ko-KR"/>
        </w:rPr>
      </w:pPr>
      <w:r>
        <w:rPr>
          <w:rFonts w:ascii="Arial" w:eastAsia="Arial Unicode MS" w:hAnsi="Arial" w:cs="Arial"/>
          <w:b/>
          <w:sz w:val="22"/>
          <w:szCs w:val="22"/>
        </w:rPr>
        <w:t>Report h</w:t>
      </w:r>
      <w:r w:rsidR="0088060A" w:rsidRPr="0088060A">
        <w:rPr>
          <w:rFonts w:ascii="Arial" w:eastAsia="Arial Unicode MS" w:hAnsi="Arial" w:cs="Arial"/>
          <w:b/>
          <w:sz w:val="22"/>
          <w:szCs w:val="22"/>
        </w:rPr>
        <w:t xml:space="preserve">ighlights </w:t>
      </w:r>
    </w:p>
    <w:p w14:paraId="0C4A41CE" w14:textId="77777777" w:rsidR="0088060A" w:rsidRPr="00543D44" w:rsidRDefault="0088060A" w:rsidP="00050E57">
      <w:pPr>
        <w:pStyle w:val="ListParagraph"/>
        <w:spacing w:before="200" w:line="276" w:lineRule="auto"/>
        <w:ind w:left="0"/>
        <w:rPr>
          <w:rFonts w:ascii="Arial" w:hAnsi="Arial" w:cs="Arial"/>
          <w:b/>
          <w:sz w:val="22"/>
          <w:szCs w:val="22"/>
          <w:lang w:eastAsia="ko-KR"/>
        </w:rPr>
      </w:pPr>
      <w:r w:rsidRPr="0088060A">
        <w:rPr>
          <w:rFonts w:ascii="Arial" w:hAnsi="Arial" w:cs="Arial"/>
          <w:sz w:val="22"/>
          <w:szCs w:val="22"/>
        </w:rPr>
        <w:t>A total of 248 hospitals (197 public and 51 private) participated in the NAPS in 2014, a 64 per cent increase from the previous year.</w:t>
      </w:r>
      <w:r w:rsidR="00050E57">
        <w:rPr>
          <w:rFonts w:ascii="Arial" w:hAnsi="Arial" w:cs="Arial"/>
          <w:b/>
          <w:sz w:val="22"/>
          <w:szCs w:val="22"/>
          <w:lang w:eastAsia="ko-KR"/>
        </w:rPr>
        <w:t xml:space="preserve"> </w:t>
      </w:r>
      <w:r w:rsidRPr="0088060A">
        <w:rPr>
          <w:rFonts w:ascii="Arial" w:hAnsi="Arial" w:cs="Arial"/>
          <w:sz w:val="22"/>
          <w:szCs w:val="22"/>
        </w:rPr>
        <w:t>The results demonstrate a number of areas where significant improvements can be made at the hospital level, as well as regionally and nationally.</w:t>
      </w:r>
    </w:p>
    <w:p w14:paraId="17CB26B3" w14:textId="77777777" w:rsidR="0088060A" w:rsidRPr="0088060A" w:rsidRDefault="0088060A" w:rsidP="00050E57">
      <w:pPr>
        <w:pStyle w:val="ListParagraph"/>
        <w:spacing w:before="200" w:line="276" w:lineRule="auto"/>
        <w:ind w:left="0"/>
        <w:rPr>
          <w:rFonts w:ascii="Arial" w:hAnsi="Arial" w:cs="Arial"/>
          <w:sz w:val="22"/>
          <w:szCs w:val="22"/>
        </w:rPr>
      </w:pPr>
    </w:p>
    <w:p w14:paraId="6798509B" w14:textId="77777777" w:rsidR="0088060A" w:rsidRPr="0088060A" w:rsidRDefault="0088060A" w:rsidP="00050E57">
      <w:pPr>
        <w:pStyle w:val="ListParagraph"/>
        <w:spacing w:before="200" w:line="276" w:lineRule="auto"/>
        <w:ind w:left="0"/>
        <w:rPr>
          <w:rFonts w:ascii="Arial" w:hAnsi="Arial" w:cs="Arial"/>
          <w:sz w:val="22"/>
          <w:szCs w:val="22"/>
          <w:lang w:eastAsia="ko-KR"/>
        </w:rPr>
      </w:pPr>
      <w:r w:rsidRPr="0088060A">
        <w:rPr>
          <w:rFonts w:ascii="Arial" w:hAnsi="Arial" w:cs="Arial"/>
          <w:sz w:val="22"/>
          <w:szCs w:val="22"/>
        </w:rPr>
        <w:t>The report shows:</w:t>
      </w:r>
    </w:p>
    <w:p w14:paraId="59593142" w14:textId="77777777" w:rsidR="0088060A" w:rsidRPr="0088060A" w:rsidRDefault="0088060A" w:rsidP="006D2034">
      <w:pPr>
        <w:pStyle w:val="ListParagraph"/>
        <w:numPr>
          <w:ilvl w:val="0"/>
          <w:numId w:val="6"/>
        </w:numPr>
        <w:spacing w:before="200" w:line="276" w:lineRule="auto"/>
        <w:ind w:left="567"/>
        <w:rPr>
          <w:rFonts w:ascii="Arial" w:hAnsi="Arial" w:cs="Arial"/>
          <w:sz w:val="22"/>
          <w:szCs w:val="22"/>
        </w:rPr>
      </w:pPr>
      <w:r w:rsidRPr="0088060A">
        <w:rPr>
          <w:rFonts w:ascii="Arial" w:hAnsi="Arial" w:cs="Arial"/>
          <w:sz w:val="22"/>
          <w:szCs w:val="22"/>
        </w:rPr>
        <w:t>Approximately one-quarter (24.3 per cent) of the 19,944 prescriptions surveyed were non-compliant with guidelines, and 23 per cent were deemed to be inappropriate.</w:t>
      </w:r>
    </w:p>
    <w:p w14:paraId="4DC3A0D8" w14:textId="77777777" w:rsidR="0088060A" w:rsidRPr="0088060A" w:rsidRDefault="0088060A" w:rsidP="006D2034">
      <w:pPr>
        <w:pStyle w:val="ListParagraph"/>
        <w:numPr>
          <w:ilvl w:val="0"/>
          <w:numId w:val="6"/>
        </w:numPr>
        <w:spacing w:before="200" w:line="276" w:lineRule="auto"/>
        <w:ind w:left="567"/>
        <w:rPr>
          <w:rFonts w:ascii="Arial" w:hAnsi="Arial" w:cs="Arial"/>
          <w:sz w:val="22"/>
          <w:szCs w:val="22"/>
        </w:rPr>
      </w:pPr>
      <w:r w:rsidRPr="0088060A">
        <w:rPr>
          <w:rFonts w:ascii="Arial" w:hAnsi="Arial" w:cs="Arial"/>
          <w:sz w:val="22"/>
          <w:szCs w:val="22"/>
        </w:rPr>
        <w:t>Only 74 per cent of antimicrobials prescribed had their indications documented in the medical notes (more than 95 per cent is considered best practice).</w:t>
      </w:r>
    </w:p>
    <w:p w14:paraId="64FE5F93" w14:textId="77777777" w:rsidR="0088060A" w:rsidRPr="0088060A" w:rsidRDefault="0088060A" w:rsidP="006D2034">
      <w:pPr>
        <w:pStyle w:val="ListParagraph"/>
        <w:numPr>
          <w:ilvl w:val="0"/>
          <w:numId w:val="6"/>
        </w:numPr>
        <w:spacing w:before="200" w:line="276" w:lineRule="auto"/>
        <w:ind w:left="567"/>
        <w:rPr>
          <w:rFonts w:ascii="Arial" w:hAnsi="Arial" w:cs="Arial"/>
          <w:sz w:val="22"/>
          <w:szCs w:val="22"/>
        </w:rPr>
      </w:pPr>
      <w:r w:rsidRPr="0088060A">
        <w:rPr>
          <w:rFonts w:ascii="Arial" w:hAnsi="Arial" w:cs="Arial"/>
          <w:sz w:val="22"/>
          <w:szCs w:val="22"/>
        </w:rPr>
        <w:t>Surgical prophylaxis continues to be an issue with 35.9 per cent of the survey prescriptions continuing beyond 24 hours (less than 5 per cent is considered best practice).  40.2 per cent of prescriptions for surgical prophylaxis were</w:t>
      </w:r>
      <w:bookmarkStart w:id="0" w:name="_GoBack"/>
      <w:bookmarkEnd w:id="0"/>
      <w:r w:rsidRPr="0088060A">
        <w:rPr>
          <w:rFonts w:ascii="Arial" w:hAnsi="Arial" w:cs="Arial"/>
          <w:sz w:val="22"/>
          <w:szCs w:val="22"/>
        </w:rPr>
        <w:t xml:space="preserve"> also considered inappropriate, mainly due to incorrect duration and dose, and absence of an indication for an antimicrobial.</w:t>
      </w:r>
    </w:p>
    <w:p w14:paraId="0DA573D4" w14:textId="1B5C977C" w:rsidR="0088060A" w:rsidRPr="0088060A" w:rsidRDefault="0088060A" w:rsidP="006D2034">
      <w:pPr>
        <w:pStyle w:val="ListParagraph"/>
        <w:numPr>
          <w:ilvl w:val="0"/>
          <w:numId w:val="6"/>
        </w:numPr>
        <w:spacing w:before="200" w:line="276" w:lineRule="auto"/>
        <w:ind w:left="567"/>
        <w:rPr>
          <w:rFonts w:ascii="Arial" w:hAnsi="Arial" w:cs="Arial"/>
          <w:sz w:val="22"/>
          <w:szCs w:val="22"/>
        </w:rPr>
      </w:pPr>
      <w:r w:rsidRPr="0088060A">
        <w:rPr>
          <w:rFonts w:ascii="Arial" w:hAnsi="Arial" w:cs="Arial"/>
          <w:sz w:val="22"/>
          <w:szCs w:val="22"/>
        </w:rPr>
        <w:t>Infective exacerbation of chronic obstructive pulmonary disease was poorly prescribed (36.8 per cent were deemed inappropriate), as were other respiratory tract infections such as bronchitis (50.7 per cent inappropriate) and exacerbation of asthma (70.0 per cent inappropriate).</w:t>
      </w:r>
    </w:p>
    <w:p w14:paraId="1F59554C" w14:textId="4A2C2578" w:rsidR="00050E57" w:rsidRDefault="00843B12" w:rsidP="006D2034">
      <w:pPr>
        <w:pStyle w:val="ListParagraph"/>
        <w:numPr>
          <w:ilvl w:val="0"/>
          <w:numId w:val="6"/>
        </w:numPr>
        <w:spacing w:before="200" w:line="276" w:lineRule="auto"/>
        <w:ind w:left="567"/>
        <w:rPr>
          <w:rFonts w:ascii="Arial" w:hAnsi="Arial" w:cs="Arial"/>
          <w:sz w:val="22"/>
          <w:szCs w:val="22"/>
        </w:rPr>
      </w:pPr>
      <w:r>
        <w:rPr>
          <w:rFonts w:ascii="Arial" w:hAnsi="Arial" w:cs="Arial"/>
          <w:i/>
          <w:noProof/>
          <w:sz w:val="22"/>
          <w:szCs w:val="22"/>
          <w:lang w:val="en-AU" w:eastAsia="ko-KR"/>
        </w:rPr>
        <w:drawing>
          <wp:anchor distT="0" distB="0" distL="114300" distR="114300" simplePos="0" relativeHeight="251661312" behindDoc="0" locked="0" layoutInCell="1" allowOverlap="1" wp14:anchorId="7A101304" wp14:editId="4E9C2EF9">
            <wp:simplePos x="0" y="0"/>
            <wp:positionH relativeFrom="column">
              <wp:posOffset>-104775</wp:posOffset>
            </wp:positionH>
            <wp:positionV relativeFrom="paragraph">
              <wp:posOffset>170815</wp:posOffset>
            </wp:positionV>
            <wp:extent cx="2320030" cy="65722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9210"/>
                    <a:stretch/>
                  </pic:blipFill>
                  <pic:spPr bwMode="auto">
                    <a:xfrm>
                      <a:off x="0" y="0"/>
                      <a:ext cx="232003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060A" w:rsidRPr="0088060A">
        <w:rPr>
          <w:rFonts w:ascii="Arial" w:hAnsi="Arial" w:cs="Arial"/>
          <w:sz w:val="22"/>
          <w:szCs w:val="22"/>
        </w:rPr>
        <w:t>The most common prescribed antimicrobials were cephazolin, ceftriaxone and metronidazole.</w:t>
      </w:r>
    </w:p>
    <w:p w14:paraId="412A10D0" w14:textId="77777777" w:rsidR="009F103D" w:rsidRPr="009F103D" w:rsidRDefault="009F103D" w:rsidP="009F103D">
      <w:pPr>
        <w:spacing w:before="200" w:line="276" w:lineRule="auto"/>
        <w:rPr>
          <w:rFonts w:ascii="Arial" w:hAnsi="Arial" w:cs="Arial"/>
          <w:sz w:val="22"/>
          <w:szCs w:val="22"/>
        </w:rPr>
      </w:pPr>
      <w:r>
        <w:rPr>
          <w:rFonts w:ascii="Arial" w:hAnsi="Arial" w:cs="Arial"/>
          <w:sz w:val="22"/>
          <w:szCs w:val="22"/>
        </w:rPr>
        <w:lastRenderedPageBreak/>
        <w:t xml:space="preserve">The 2014 NAPS Report is available for download from the Commission’s website on </w:t>
      </w:r>
      <w:hyperlink r:id="rId15" w:history="1">
        <w:r w:rsidRPr="009D67CE">
          <w:rPr>
            <w:rStyle w:val="Hyperlink"/>
            <w:rFonts w:ascii="Arial" w:hAnsi="Arial" w:cs="Arial"/>
            <w:sz w:val="22"/>
            <w:szCs w:val="22"/>
          </w:rPr>
          <w:t>http://www.safetyandquality.gov.au/national-priorities/amr-and-au-surveillance-project/national-antimicrobial-prescribing-survey-naps/</w:t>
        </w:r>
      </w:hyperlink>
      <w:r w:rsidR="006D2034">
        <w:rPr>
          <w:rFonts w:ascii="Arial" w:hAnsi="Arial" w:cs="Arial"/>
          <w:sz w:val="22"/>
          <w:szCs w:val="22"/>
        </w:rPr>
        <w:t>.</w:t>
      </w:r>
    </w:p>
    <w:p w14:paraId="05D3CAFE" w14:textId="77777777" w:rsidR="0088060A" w:rsidRPr="0088060A" w:rsidRDefault="0088060A" w:rsidP="00543D44">
      <w:pPr>
        <w:spacing w:before="200" w:line="276" w:lineRule="auto"/>
        <w:rPr>
          <w:rFonts w:ascii="Arial" w:hAnsi="Arial" w:cs="Arial"/>
          <w:b/>
          <w:sz w:val="22"/>
          <w:szCs w:val="22"/>
          <w:lang w:val="en-AU" w:eastAsia="en-AU"/>
        </w:rPr>
      </w:pPr>
      <w:r w:rsidRPr="0088060A">
        <w:rPr>
          <w:rFonts w:ascii="Arial" w:hAnsi="Arial" w:cs="Arial"/>
          <w:b/>
          <w:sz w:val="22"/>
          <w:szCs w:val="22"/>
          <w:lang w:val="en-AU" w:eastAsia="en-AU"/>
        </w:rPr>
        <w:t>Australian Commission on Safety and Quality in Health Care</w:t>
      </w:r>
    </w:p>
    <w:p w14:paraId="291F1411" w14:textId="77777777" w:rsidR="0088060A" w:rsidRDefault="0088060A" w:rsidP="00543D44">
      <w:pPr>
        <w:spacing w:before="200" w:after="240" w:line="276" w:lineRule="auto"/>
        <w:rPr>
          <w:rFonts w:ascii="Arial" w:hAnsi="Arial" w:cs="Arial"/>
          <w:sz w:val="22"/>
          <w:szCs w:val="22"/>
        </w:rPr>
      </w:pPr>
      <w:r w:rsidRPr="0088060A">
        <w:rPr>
          <w:rFonts w:ascii="Arial" w:hAnsi="Arial" w:cs="Arial"/>
          <w:sz w:val="22"/>
          <w:szCs w:val="22"/>
        </w:rPr>
        <w:t>The Commission is the lead agency for the development and coordination of national improvements in safety and quality in health care across Australia. The Commission aims to support health care professionals, organisations and policy makers who work with patients and carers.</w:t>
      </w:r>
    </w:p>
    <w:p w14:paraId="2851A6F2" w14:textId="77777777" w:rsidR="00050E57" w:rsidRDefault="00050E57" w:rsidP="00050E57">
      <w:pPr>
        <w:pStyle w:val="Default"/>
        <w:spacing w:before="200" w:after="120" w:line="276" w:lineRule="auto"/>
        <w:rPr>
          <w:color w:val="auto"/>
          <w:sz w:val="22"/>
          <w:szCs w:val="22"/>
          <w:shd w:val="clear" w:color="auto" w:fill="FFFFFF"/>
        </w:rPr>
      </w:pPr>
      <w:r w:rsidRPr="0088060A">
        <w:rPr>
          <w:color w:val="auto"/>
          <w:sz w:val="22"/>
          <w:szCs w:val="22"/>
          <w:shd w:val="clear" w:color="auto" w:fill="FFFFFF"/>
        </w:rPr>
        <w:t>The Commission promotes appropriate prescribing and administration of antibiotics to improve the safety and quality of health care through a number of programs including the NSQHS Standards and the Antimicrobial Stewardship Clinical Care Standard with the aim of improving patient outcomes and preventing and containing antibiotic resistance.</w:t>
      </w:r>
    </w:p>
    <w:p w14:paraId="5F7E526D" w14:textId="77777777" w:rsidR="00050E57" w:rsidRDefault="00050E57" w:rsidP="00050E57">
      <w:pPr>
        <w:pStyle w:val="Default"/>
        <w:spacing w:before="200" w:after="120" w:line="276" w:lineRule="auto"/>
        <w:rPr>
          <w:rFonts w:eastAsia="Arial Unicode MS"/>
          <w:color w:val="auto"/>
          <w:sz w:val="22"/>
          <w:szCs w:val="22"/>
        </w:rPr>
      </w:pPr>
      <w:r w:rsidRPr="0088060A">
        <w:rPr>
          <w:color w:val="auto"/>
          <w:sz w:val="22"/>
          <w:szCs w:val="22"/>
          <w:shd w:val="clear" w:color="auto" w:fill="FFFFFF"/>
        </w:rPr>
        <w:t xml:space="preserve">As one of the key elements of Australia’s </w:t>
      </w:r>
      <w:r w:rsidRPr="0088060A">
        <w:rPr>
          <w:i/>
          <w:color w:val="auto"/>
          <w:sz w:val="22"/>
          <w:szCs w:val="22"/>
          <w:shd w:val="clear" w:color="auto" w:fill="FFFFFF"/>
        </w:rPr>
        <w:t>National Antimicrobial Resistance Strategy 2015-2019</w:t>
      </w:r>
      <w:r w:rsidRPr="0088060A">
        <w:rPr>
          <w:rFonts w:eastAsia="Times New Roman"/>
          <w:color w:val="auto"/>
          <w:sz w:val="22"/>
          <w:szCs w:val="22"/>
        </w:rPr>
        <w:t xml:space="preserve">, the Commission is developing a national surveillance system for antimicrobial use and resistance. The Antimicrobial Use and Resistance (AURA) Surveillance System will </w:t>
      </w:r>
      <w:r w:rsidRPr="0088060A">
        <w:rPr>
          <w:rFonts w:eastAsia="Arial Unicode MS"/>
          <w:color w:val="auto"/>
          <w:sz w:val="22"/>
          <w:szCs w:val="22"/>
        </w:rPr>
        <w:t>systematically collect, analyse and respond to rates of resistance and antimicrobial use.</w:t>
      </w:r>
    </w:p>
    <w:p w14:paraId="0C2D0880" w14:textId="77777777" w:rsidR="00C45E1B" w:rsidRDefault="00C45E1B" w:rsidP="00050E57">
      <w:pPr>
        <w:pStyle w:val="Default"/>
        <w:spacing w:before="200" w:after="120" w:line="276" w:lineRule="auto"/>
        <w:rPr>
          <w:rFonts w:eastAsia="Arial Unicode MS"/>
          <w:b/>
          <w:color w:val="auto"/>
          <w:sz w:val="22"/>
          <w:szCs w:val="22"/>
        </w:rPr>
      </w:pPr>
      <w:r w:rsidRPr="003630C1">
        <w:rPr>
          <w:rFonts w:eastAsia="Arial Unicode MS"/>
          <w:b/>
          <w:color w:val="auto"/>
          <w:sz w:val="22"/>
          <w:szCs w:val="22"/>
        </w:rPr>
        <w:t>National Centre for Antimicrobial Stewardship</w:t>
      </w:r>
    </w:p>
    <w:p w14:paraId="36ABD55E" w14:textId="77777777" w:rsidR="00C45E1B" w:rsidRPr="004C1208" w:rsidRDefault="00C45E1B" w:rsidP="004C1208">
      <w:pPr>
        <w:pStyle w:val="Default"/>
        <w:spacing w:before="200" w:after="120" w:line="276" w:lineRule="auto"/>
        <w:rPr>
          <w:color w:val="auto"/>
          <w:sz w:val="22"/>
          <w:szCs w:val="22"/>
          <w:shd w:val="clear" w:color="auto" w:fill="FFFFFF"/>
        </w:rPr>
      </w:pPr>
      <w:r w:rsidRPr="004C1208">
        <w:rPr>
          <w:color w:val="auto"/>
          <w:sz w:val="22"/>
          <w:szCs w:val="22"/>
          <w:shd w:val="clear" w:color="auto" w:fill="FFFFFF"/>
        </w:rPr>
        <w:t>The National Centre for Antimicrobial Stewardship (NCAS) at the Peter Doherty Institute for Infection and Immunity is a multidisciplinary collaborative funded by the National Health and Medical Research Council and founded in partnership with The University of Melbourne, the Royal Melbourne Hospital and Monash University</w:t>
      </w:r>
      <w:r w:rsidR="00244D05" w:rsidRPr="004C1208">
        <w:rPr>
          <w:color w:val="auto"/>
          <w:sz w:val="22"/>
          <w:szCs w:val="22"/>
          <w:shd w:val="clear" w:color="auto" w:fill="FFFFFF"/>
        </w:rPr>
        <w:t xml:space="preserve"> to investigate the patterns of antibiotic usage in humans and animals, identifying inappropriate consumption and over prescription, to ultimately determine successful interventions and decrease the prevalence of antibiotic resistant bacteria.</w:t>
      </w:r>
    </w:p>
    <w:p w14:paraId="792539D5" w14:textId="7B596670" w:rsidR="00C45E1B" w:rsidRPr="004C1208" w:rsidRDefault="00C45E1B" w:rsidP="004C1208">
      <w:pPr>
        <w:pStyle w:val="Default"/>
        <w:spacing w:before="200" w:after="120" w:line="276" w:lineRule="auto"/>
        <w:rPr>
          <w:color w:val="auto"/>
          <w:sz w:val="22"/>
          <w:szCs w:val="22"/>
          <w:shd w:val="clear" w:color="auto" w:fill="FFFFFF"/>
        </w:rPr>
      </w:pPr>
      <w:r w:rsidRPr="004C1208">
        <w:rPr>
          <w:color w:val="auto"/>
          <w:sz w:val="22"/>
          <w:szCs w:val="22"/>
          <w:shd w:val="clear" w:color="auto" w:fill="FFFFFF"/>
        </w:rPr>
        <w:t>The core work of NCAS will be dominated by six streams of research over the next five years, four related to antimicrobial prescribing in</w:t>
      </w:r>
      <w:r w:rsidRPr="004C1208">
        <w:rPr>
          <w:color w:val="auto"/>
          <w:shd w:val="clear" w:color="auto" w:fill="FFFFFF"/>
        </w:rPr>
        <w:t> </w:t>
      </w:r>
      <w:hyperlink r:id="rId16" w:tgtFrame="_blank" w:tooltip="Antimicrobial stewardship in Humans" w:history="1">
        <w:r w:rsidRPr="004C1208">
          <w:rPr>
            <w:color w:val="auto"/>
            <w:shd w:val="clear" w:color="auto" w:fill="FFFFFF"/>
          </w:rPr>
          <w:t>humans</w:t>
        </w:r>
      </w:hyperlink>
      <w:r w:rsidRPr="004C1208">
        <w:rPr>
          <w:color w:val="auto"/>
          <w:sz w:val="22"/>
          <w:szCs w:val="22"/>
          <w:shd w:val="clear" w:color="auto" w:fill="FFFFFF"/>
        </w:rPr>
        <w:t xml:space="preserve"> and two streams dedicated to </w:t>
      </w:r>
      <w:hyperlink r:id="rId17" w:tgtFrame="_blank" w:tooltip="Antimicrobial Stewardship in Animals" w:history="1">
        <w:r w:rsidRPr="004C1208">
          <w:rPr>
            <w:color w:val="auto"/>
            <w:shd w:val="clear" w:color="auto" w:fill="FFFFFF"/>
          </w:rPr>
          <w:t>animals</w:t>
        </w:r>
      </w:hyperlink>
      <w:r w:rsidRPr="004C1208">
        <w:rPr>
          <w:color w:val="auto"/>
          <w:sz w:val="22"/>
          <w:szCs w:val="22"/>
          <w:shd w:val="clear" w:color="auto" w:fill="FFFFFF"/>
        </w:rPr>
        <w:t>.</w:t>
      </w:r>
      <w:r w:rsidR="00AF022B" w:rsidRPr="004C1208">
        <w:rPr>
          <w:color w:val="auto"/>
          <w:sz w:val="22"/>
          <w:szCs w:val="22"/>
          <w:shd w:val="clear" w:color="auto" w:fill="FFFFFF"/>
        </w:rPr>
        <w:t xml:space="preserve"> </w:t>
      </w:r>
      <w:r w:rsidR="004C1208">
        <w:rPr>
          <w:color w:val="auto"/>
          <w:sz w:val="22"/>
          <w:szCs w:val="22"/>
          <w:shd w:val="clear" w:color="auto" w:fill="FFFFFF"/>
        </w:rPr>
        <w:t xml:space="preserve"> </w:t>
      </w:r>
      <w:r w:rsidR="00AF022B" w:rsidRPr="004C1208">
        <w:rPr>
          <w:color w:val="auto"/>
          <w:sz w:val="22"/>
          <w:szCs w:val="22"/>
          <w:shd w:val="clear" w:color="auto" w:fill="FFFFFF"/>
        </w:rPr>
        <w:t xml:space="preserve">This </w:t>
      </w:r>
      <w:r w:rsidR="00AF022B" w:rsidRPr="004C1208">
        <w:rPr>
          <w:i/>
          <w:color w:val="auto"/>
          <w:sz w:val="22"/>
          <w:szCs w:val="22"/>
          <w:shd w:val="clear" w:color="auto" w:fill="FFFFFF"/>
        </w:rPr>
        <w:t>One Health</w:t>
      </w:r>
      <w:r w:rsidR="00AF022B" w:rsidRPr="004C1208">
        <w:rPr>
          <w:color w:val="auto"/>
          <w:sz w:val="22"/>
          <w:szCs w:val="22"/>
          <w:shd w:val="clear" w:color="auto" w:fill="FFFFFF"/>
        </w:rPr>
        <w:t xml:space="preserve"> approach will form part of the National </w:t>
      </w:r>
      <w:r w:rsidR="004C1208">
        <w:rPr>
          <w:color w:val="auto"/>
          <w:sz w:val="22"/>
          <w:szCs w:val="22"/>
          <w:shd w:val="clear" w:color="auto" w:fill="FFFFFF"/>
        </w:rPr>
        <w:t>Antimicrobial Resistance Strategy 2015-2019.</w:t>
      </w:r>
    </w:p>
    <w:p w14:paraId="7C9A89C1" w14:textId="77777777" w:rsidR="0088060A" w:rsidRPr="0088060A" w:rsidRDefault="0088060A" w:rsidP="00543D44">
      <w:pPr>
        <w:spacing w:before="200" w:line="276" w:lineRule="auto"/>
        <w:rPr>
          <w:rFonts w:ascii="Arial" w:hAnsi="Arial" w:cs="Arial"/>
          <w:sz w:val="22"/>
          <w:szCs w:val="22"/>
        </w:rPr>
      </w:pPr>
      <w:r w:rsidRPr="0088060A">
        <w:rPr>
          <w:rFonts w:ascii="Arial" w:hAnsi="Arial" w:cs="Arial"/>
          <w:b/>
          <w:sz w:val="22"/>
          <w:szCs w:val="22"/>
        </w:rPr>
        <w:t>MEDIA INQUIRIES</w:t>
      </w:r>
      <w:r w:rsidRPr="0088060A">
        <w:rPr>
          <w:rFonts w:ascii="Arial" w:hAnsi="Arial" w:cs="Arial"/>
          <w:sz w:val="22"/>
          <w:szCs w:val="22"/>
        </w:rPr>
        <w:t xml:space="preserve"> </w:t>
      </w:r>
    </w:p>
    <w:p w14:paraId="4FA3AD1E" w14:textId="2FBBCA87" w:rsidR="0088060A" w:rsidRPr="00050E57" w:rsidRDefault="0088060A" w:rsidP="00543D44">
      <w:pPr>
        <w:spacing w:before="200" w:line="276" w:lineRule="auto"/>
        <w:rPr>
          <w:rFonts w:ascii="Arial" w:hAnsi="Arial" w:cs="Arial"/>
          <w:sz w:val="22"/>
          <w:szCs w:val="22"/>
        </w:rPr>
      </w:pPr>
      <w:r w:rsidRPr="0088060A">
        <w:rPr>
          <w:rFonts w:ascii="Arial" w:hAnsi="Arial" w:cs="Arial"/>
          <w:sz w:val="22"/>
          <w:szCs w:val="22"/>
        </w:rPr>
        <w:t xml:space="preserve">Erica Hall, </w:t>
      </w:r>
      <w:r w:rsidRPr="0088060A">
        <w:rPr>
          <w:rFonts w:ascii="Arial" w:hAnsi="Arial" w:cs="Arial"/>
          <w:sz w:val="22"/>
          <w:szCs w:val="22"/>
          <w:lang w:val="en-AU" w:eastAsia="en-AU"/>
        </w:rPr>
        <w:t xml:space="preserve">Australian Commission on Safety and Quality in Health </w:t>
      </w:r>
      <w:proofErr w:type="gramStart"/>
      <w:r w:rsidRPr="0088060A">
        <w:rPr>
          <w:rFonts w:ascii="Arial" w:hAnsi="Arial" w:cs="Arial"/>
          <w:sz w:val="22"/>
          <w:szCs w:val="22"/>
          <w:lang w:val="en-AU" w:eastAsia="en-AU"/>
        </w:rPr>
        <w:t>Care</w:t>
      </w:r>
      <w:proofErr w:type="gramEnd"/>
      <w:r w:rsidR="00050E57">
        <w:rPr>
          <w:rFonts w:ascii="Arial" w:hAnsi="Arial" w:cs="Arial"/>
          <w:sz w:val="22"/>
          <w:szCs w:val="22"/>
        </w:rPr>
        <w:br/>
      </w:r>
      <w:r w:rsidRPr="0088060A">
        <w:rPr>
          <w:rFonts w:ascii="Arial" w:hAnsi="Arial" w:cs="Arial"/>
          <w:sz w:val="22"/>
          <w:szCs w:val="22"/>
        </w:rPr>
        <w:t xml:space="preserve">(02) 9126 3600 or </w:t>
      </w:r>
      <w:hyperlink r:id="rId18" w:history="1">
        <w:r w:rsidRPr="0088060A">
          <w:rPr>
            <w:rStyle w:val="Hyperlink"/>
            <w:rFonts w:ascii="Arial" w:hAnsi="Arial" w:cs="Arial"/>
            <w:color w:val="auto"/>
            <w:sz w:val="22"/>
            <w:szCs w:val="22"/>
          </w:rPr>
          <w:t>erica.hall@safetyandquality.gov.au</w:t>
        </w:r>
      </w:hyperlink>
    </w:p>
    <w:p w14:paraId="784E4876" w14:textId="6088E3AC" w:rsidR="0088060A" w:rsidRPr="00554058" w:rsidRDefault="00BA1C58" w:rsidP="00543D44">
      <w:pPr>
        <w:autoSpaceDE w:val="0"/>
        <w:autoSpaceDN w:val="0"/>
        <w:adjustRightInd w:val="0"/>
        <w:spacing w:before="200" w:line="276" w:lineRule="auto"/>
        <w:rPr>
          <w:rFonts w:ascii="Arial" w:hAnsi="Arial" w:cs="Arial"/>
          <w:sz w:val="22"/>
          <w:szCs w:val="22"/>
        </w:rPr>
      </w:pPr>
      <w:r w:rsidRPr="00725B2B">
        <w:rPr>
          <w:rFonts w:ascii="Arial" w:hAnsi="Arial" w:cs="Arial"/>
          <w:sz w:val="22"/>
          <w:szCs w:val="22"/>
        </w:rPr>
        <w:t>Rebecca Elliott</w:t>
      </w:r>
      <w:r w:rsidR="0088060A" w:rsidRPr="00725B2B">
        <w:rPr>
          <w:rFonts w:ascii="Arial" w:hAnsi="Arial" w:cs="Arial"/>
          <w:sz w:val="22"/>
          <w:szCs w:val="22"/>
        </w:rPr>
        <w:t xml:space="preserve">, </w:t>
      </w:r>
      <w:r w:rsidR="00D86B6B">
        <w:rPr>
          <w:rFonts w:ascii="Arial" w:hAnsi="Arial" w:cs="Arial"/>
          <w:sz w:val="22"/>
          <w:szCs w:val="22"/>
        </w:rPr>
        <w:t xml:space="preserve">NCAS at </w:t>
      </w:r>
      <w:r w:rsidR="0088060A" w:rsidRPr="00725B2B">
        <w:rPr>
          <w:rFonts w:ascii="Arial" w:hAnsi="Arial" w:cs="Arial"/>
          <w:sz w:val="22"/>
          <w:szCs w:val="22"/>
        </w:rPr>
        <w:t xml:space="preserve">The </w:t>
      </w:r>
      <w:r w:rsidR="00725B2B">
        <w:rPr>
          <w:rFonts w:ascii="Arial" w:hAnsi="Arial" w:cs="Arial"/>
          <w:sz w:val="22"/>
          <w:szCs w:val="22"/>
        </w:rPr>
        <w:t xml:space="preserve">Peter </w:t>
      </w:r>
      <w:r w:rsidR="0088060A" w:rsidRPr="00725B2B">
        <w:rPr>
          <w:rFonts w:ascii="Arial" w:hAnsi="Arial" w:cs="Arial"/>
          <w:sz w:val="22"/>
          <w:szCs w:val="22"/>
        </w:rPr>
        <w:t>Doherty Institute</w:t>
      </w:r>
      <w:r w:rsidRPr="00725B2B" w:rsidDel="00BA1C58">
        <w:rPr>
          <w:rFonts w:ascii="Arial" w:hAnsi="Arial" w:cs="Arial"/>
          <w:sz w:val="22"/>
          <w:szCs w:val="22"/>
        </w:rPr>
        <w:t xml:space="preserve"> </w:t>
      </w:r>
      <w:r w:rsidR="00725B2B">
        <w:rPr>
          <w:rFonts w:ascii="Arial" w:hAnsi="Arial" w:cs="Arial"/>
          <w:sz w:val="22"/>
          <w:szCs w:val="22"/>
        </w:rPr>
        <w:t>for Infection and Immunity</w:t>
      </w:r>
      <w:r w:rsidR="00050E57" w:rsidRPr="00725B2B">
        <w:rPr>
          <w:rFonts w:ascii="Arial" w:hAnsi="Arial" w:cs="Arial"/>
          <w:sz w:val="22"/>
          <w:szCs w:val="22"/>
        </w:rPr>
        <w:br/>
      </w:r>
      <w:r w:rsidR="00725B2B" w:rsidRPr="00725B2B">
        <w:rPr>
          <w:rFonts w:ascii="Arial" w:hAnsi="Arial" w:cs="Arial"/>
          <w:sz w:val="22"/>
          <w:szCs w:val="22"/>
        </w:rPr>
        <w:t xml:space="preserve">(03) 8344 8360 </w:t>
      </w:r>
      <w:r w:rsidR="0088060A" w:rsidRPr="00725B2B">
        <w:rPr>
          <w:rFonts w:ascii="Arial" w:hAnsi="Arial" w:cs="Arial"/>
          <w:sz w:val="22"/>
          <w:szCs w:val="22"/>
          <w:lang w:val="en-AU"/>
        </w:rPr>
        <w:t xml:space="preserve">or </w:t>
      </w:r>
      <w:hyperlink r:id="rId19" w:history="1">
        <w:r w:rsidR="00725B2B" w:rsidRPr="00554058">
          <w:rPr>
            <w:rStyle w:val="Hyperlink"/>
            <w:rFonts w:ascii="Arial" w:hAnsi="Arial" w:cs="Arial"/>
            <w:color w:val="auto"/>
            <w:sz w:val="22"/>
            <w:szCs w:val="22"/>
            <w:lang w:val="en-AU"/>
          </w:rPr>
          <w:t>Rebecca.Elliott@unimelb.edu.au</w:t>
        </w:r>
      </w:hyperlink>
      <w:r w:rsidR="00725B2B" w:rsidRPr="00554058">
        <w:rPr>
          <w:rFonts w:ascii="Arial" w:hAnsi="Arial" w:cs="Arial"/>
          <w:sz w:val="22"/>
          <w:szCs w:val="22"/>
          <w:lang w:val="en-AU"/>
        </w:rPr>
        <w:t xml:space="preserve"> </w:t>
      </w:r>
    </w:p>
    <w:p w14:paraId="7C0CDC70" w14:textId="63D968EE" w:rsidR="00946ADE" w:rsidRPr="00050E57" w:rsidRDefault="0088060A" w:rsidP="00543D44">
      <w:pPr>
        <w:spacing w:before="200" w:line="276" w:lineRule="auto"/>
        <w:rPr>
          <w:rFonts w:ascii="Arial" w:hAnsi="Arial" w:cs="Arial"/>
          <w:i/>
          <w:sz w:val="22"/>
          <w:szCs w:val="22"/>
          <w:lang w:val="en"/>
        </w:rPr>
      </w:pPr>
      <w:proofErr w:type="gramStart"/>
      <w:r w:rsidRPr="0088060A">
        <w:rPr>
          <w:rFonts w:ascii="Arial" w:hAnsi="Arial" w:cs="Arial"/>
          <w:i/>
          <w:sz w:val="22"/>
          <w:szCs w:val="22"/>
          <w:lang w:val="en"/>
        </w:rPr>
        <w:t>NAPS was</w:t>
      </w:r>
      <w:proofErr w:type="gramEnd"/>
      <w:r w:rsidRPr="0088060A">
        <w:rPr>
          <w:rFonts w:ascii="Arial" w:hAnsi="Arial" w:cs="Arial"/>
          <w:i/>
          <w:sz w:val="22"/>
          <w:szCs w:val="22"/>
          <w:lang w:val="en"/>
        </w:rPr>
        <w:t xml:space="preserve"> funded by the N</w:t>
      </w:r>
      <w:r w:rsidR="000F21A7">
        <w:rPr>
          <w:rFonts w:ascii="Arial" w:hAnsi="Arial" w:cs="Arial"/>
          <w:i/>
          <w:sz w:val="22"/>
          <w:szCs w:val="22"/>
          <w:lang w:val="en"/>
        </w:rPr>
        <w:t xml:space="preserve">ational </w:t>
      </w:r>
      <w:r w:rsidRPr="0088060A">
        <w:rPr>
          <w:rFonts w:ascii="Arial" w:hAnsi="Arial" w:cs="Arial"/>
          <w:i/>
          <w:sz w:val="22"/>
          <w:szCs w:val="22"/>
          <w:lang w:val="en"/>
        </w:rPr>
        <w:t>H</w:t>
      </w:r>
      <w:r w:rsidR="000F21A7">
        <w:rPr>
          <w:rFonts w:ascii="Arial" w:hAnsi="Arial" w:cs="Arial"/>
          <w:i/>
          <w:sz w:val="22"/>
          <w:szCs w:val="22"/>
          <w:lang w:val="en"/>
        </w:rPr>
        <w:t xml:space="preserve">ealth and </w:t>
      </w:r>
      <w:r w:rsidRPr="0088060A">
        <w:rPr>
          <w:rFonts w:ascii="Arial" w:hAnsi="Arial" w:cs="Arial"/>
          <w:i/>
          <w:sz w:val="22"/>
          <w:szCs w:val="22"/>
          <w:lang w:val="en"/>
        </w:rPr>
        <w:t>M</w:t>
      </w:r>
      <w:r w:rsidR="000F21A7">
        <w:rPr>
          <w:rFonts w:ascii="Arial" w:hAnsi="Arial" w:cs="Arial"/>
          <w:i/>
          <w:sz w:val="22"/>
          <w:szCs w:val="22"/>
          <w:lang w:val="en"/>
        </w:rPr>
        <w:t>edica</w:t>
      </w:r>
      <w:r w:rsidR="00B00270">
        <w:rPr>
          <w:rFonts w:ascii="Arial" w:hAnsi="Arial" w:cs="Arial"/>
          <w:i/>
          <w:sz w:val="22"/>
          <w:szCs w:val="22"/>
          <w:lang w:val="en"/>
        </w:rPr>
        <w:t>l</w:t>
      </w:r>
      <w:r w:rsidR="000F21A7">
        <w:rPr>
          <w:rFonts w:ascii="Arial" w:hAnsi="Arial" w:cs="Arial"/>
          <w:i/>
          <w:sz w:val="22"/>
          <w:szCs w:val="22"/>
          <w:lang w:val="en"/>
        </w:rPr>
        <w:t xml:space="preserve"> </w:t>
      </w:r>
      <w:r w:rsidRPr="0088060A">
        <w:rPr>
          <w:rFonts w:ascii="Arial" w:hAnsi="Arial" w:cs="Arial"/>
          <w:i/>
          <w:sz w:val="22"/>
          <w:szCs w:val="22"/>
          <w:lang w:val="en"/>
        </w:rPr>
        <w:t>R</w:t>
      </w:r>
      <w:r w:rsidR="000F21A7">
        <w:rPr>
          <w:rFonts w:ascii="Arial" w:hAnsi="Arial" w:cs="Arial"/>
          <w:i/>
          <w:sz w:val="22"/>
          <w:szCs w:val="22"/>
          <w:lang w:val="en"/>
        </w:rPr>
        <w:t xml:space="preserve">esearch </w:t>
      </w:r>
      <w:r w:rsidRPr="0088060A">
        <w:rPr>
          <w:rFonts w:ascii="Arial" w:hAnsi="Arial" w:cs="Arial"/>
          <w:i/>
          <w:sz w:val="22"/>
          <w:szCs w:val="22"/>
          <w:lang w:val="en"/>
        </w:rPr>
        <w:t>C</w:t>
      </w:r>
      <w:r w:rsidR="000F21A7">
        <w:rPr>
          <w:rFonts w:ascii="Arial" w:hAnsi="Arial" w:cs="Arial"/>
          <w:i/>
          <w:sz w:val="22"/>
          <w:szCs w:val="22"/>
          <w:lang w:val="en"/>
        </w:rPr>
        <w:t>ouncil</w:t>
      </w:r>
      <w:r w:rsidRPr="0088060A">
        <w:rPr>
          <w:rFonts w:ascii="Arial" w:hAnsi="Arial" w:cs="Arial"/>
          <w:i/>
          <w:sz w:val="22"/>
          <w:szCs w:val="22"/>
          <w:lang w:val="en"/>
        </w:rPr>
        <w:t>, with additional support from the Australian Commission on Safety and Quality in Health Care, through the AURA Project.</w:t>
      </w:r>
    </w:p>
    <w:sectPr w:rsidR="00946ADE" w:rsidRPr="00050E57" w:rsidSect="004C1208">
      <w:footerReference w:type="default" r:id="rId20"/>
      <w:pgSz w:w="12240" w:h="15840"/>
      <w:pgMar w:top="1440" w:right="1080" w:bottom="993"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B1B03" w14:textId="77777777" w:rsidR="0063156E" w:rsidRDefault="0063156E" w:rsidP="00F67AE2">
      <w:r>
        <w:separator/>
      </w:r>
    </w:p>
  </w:endnote>
  <w:endnote w:type="continuationSeparator" w:id="0">
    <w:p w14:paraId="2A10CDC7" w14:textId="77777777" w:rsidR="0063156E" w:rsidRDefault="0063156E" w:rsidP="00F6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3A262" w14:textId="65E7DC98" w:rsidR="00DC0E12" w:rsidRPr="004C1208" w:rsidRDefault="004C1208" w:rsidP="00A76639">
    <w:pPr>
      <w:pStyle w:val="Footer"/>
      <w:jc w:val="right"/>
      <w:rPr>
        <w:rFonts w:ascii="Arial" w:hAnsi="Arial" w:cs="Arial"/>
        <w:sz w:val="20"/>
        <w:szCs w:val="20"/>
      </w:rPr>
    </w:pPr>
    <w:r w:rsidRPr="004C1208">
      <w:rPr>
        <w:rFonts w:ascii="Arial" w:hAnsi="Arial" w:cs="Arial"/>
        <w:sz w:val="20"/>
        <w:szCs w:val="20"/>
      </w:rPr>
      <w:t xml:space="preserve">Page </w:t>
    </w:r>
    <w:r w:rsidR="00DC0E12" w:rsidRPr="004C1208">
      <w:rPr>
        <w:rFonts w:ascii="Arial" w:hAnsi="Arial" w:cs="Arial"/>
        <w:sz w:val="20"/>
        <w:szCs w:val="20"/>
      </w:rPr>
      <w:fldChar w:fldCharType="begin"/>
    </w:r>
    <w:r w:rsidR="00DC0E12" w:rsidRPr="004C1208">
      <w:rPr>
        <w:rFonts w:ascii="Arial" w:hAnsi="Arial" w:cs="Arial"/>
        <w:sz w:val="20"/>
        <w:szCs w:val="20"/>
      </w:rPr>
      <w:instrText xml:space="preserve"> PAGE  \* Arabic  \* MERGEFORMAT </w:instrText>
    </w:r>
    <w:r w:rsidR="00DC0E12" w:rsidRPr="004C1208">
      <w:rPr>
        <w:rFonts w:ascii="Arial" w:hAnsi="Arial" w:cs="Arial"/>
        <w:sz w:val="20"/>
        <w:szCs w:val="20"/>
      </w:rPr>
      <w:fldChar w:fldCharType="separate"/>
    </w:r>
    <w:r w:rsidR="00843B12">
      <w:rPr>
        <w:rFonts w:ascii="Arial" w:hAnsi="Arial" w:cs="Arial"/>
        <w:noProof/>
        <w:sz w:val="20"/>
        <w:szCs w:val="20"/>
      </w:rPr>
      <w:t>2</w:t>
    </w:r>
    <w:r w:rsidR="00DC0E12" w:rsidRPr="004C1208">
      <w:rPr>
        <w:rFonts w:ascii="Arial" w:hAnsi="Arial" w:cs="Arial"/>
        <w:noProof/>
        <w:sz w:val="20"/>
        <w:szCs w:val="20"/>
      </w:rPr>
      <w:fldChar w:fldCharType="end"/>
    </w:r>
    <w:r w:rsidRPr="004C1208">
      <w:rPr>
        <w:rFonts w:ascii="Arial" w:hAnsi="Arial" w:cs="Arial"/>
        <w:noProof/>
        <w:sz w:val="20"/>
        <w:szCs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316A5" w14:textId="77777777" w:rsidR="0063156E" w:rsidRDefault="0063156E" w:rsidP="00F67AE2">
      <w:r>
        <w:separator/>
      </w:r>
    </w:p>
  </w:footnote>
  <w:footnote w:type="continuationSeparator" w:id="0">
    <w:p w14:paraId="717C88F8" w14:textId="77777777" w:rsidR="0063156E" w:rsidRDefault="0063156E" w:rsidP="00F67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6A7"/>
    <w:multiLevelType w:val="hybridMultilevel"/>
    <w:tmpl w:val="131675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FE1700E"/>
    <w:multiLevelType w:val="hybridMultilevel"/>
    <w:tmpl w:val="1FDA3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224790A"/>
    <w:multiLevelType w:val="hybridMultilevel"/>
    <w:tmpl w:val="7C0E9942"/>
    <w:lvl w:ilvl="0" w:tplc="061E0336">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nsid w:val="3C204FD0"/>
    <w:multiLevelType w:val="hybridMultilevel"/>
    <w:tmpl w:val="522E46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56DE3ABA"/>
    <w:multiLevelType w:val="hybridMultilevel"/>
    <w:tmpl w:val="890E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FF5AAE"/>
    <w:multiLevelType w:val="hybridMultilevel"/>
    <w:tmpl w:val="381A9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2B"/>
    <w:rsid w:val="0000185E"/>
    <w:rsid w:val="00004731"/>
    <w:rsid w:val="00006A75"/>
    <w:rsid w:val="00013960"/>
    <w:rsid w:val="00016D70"/>
    <w:rsid w:val="00020699"/>
    <w:rsid w:val="00020A01"/>
    <w:rsid w:val="0002203A"/>
    <w:rsid w:val="00022834"/>
    <w:rsid w:val="0002284D"/>
    <w:rsid w:val="00026DA8"/>
    <w:rsid w:val="00031F90"/>
    <w:rsid w:val="000335B0"/>
    <w:rsid w:val="00033A02"/>
    <w:rsid w:val="0004090C"/>
    <w:rsid w:val="000446C2"/>
    <w:rsid w:val="00045890"/>
    <w:rsid w:val="0005040D"/>
    <w:rsid w:val="00050E57"/>
    <w:rsid w:val="0005372B"/>
    <w:rsid w:val="00061188"/>
    <w:rsid w:val="00072BC2"/>
    <w:rsid w:val="000774DA"/>
    <w:rsid w:val="0009325C"/>
    <w:rsid w:val="00093A29"/>
    <w:rsid w:val="000A6216"/>
    <w:rsid w:val="000B4570"/>
    <w:rsid w:val="000B5B07"/>
    <w:rsid w:val="000C36EB"/>
    <w:rsid w:val="000C68B9"/>
    <w:rsid w:val="000D44D0"/>
    <w:rsid w:val="000D59FC"/>
    <w:rsid w:val="000F21A7"/>
    <w:rsid w:val="000F3336"/>
    <w:rsid w:val="000F4322"/>
    <w:rsid w:val="000F7625"/>
    <w:rsid w:val="001034AD"/>
    <w:rsid w:val="001046BB"/>
    <w:rsid w:val="00104A71"/>
    <w:rsid w:val="00116DF3"/>
    <w:rsid w:val="001309D2"/>
    <w:rsid w:val="001359AE"/>
    <w:rsid w:val="0014057E"/>
    <w:rsid w:val="001462CC"/>
    <w:rsid w:val="00156A80"/>
    <w:rsid w:val="00162400"/>
    <w:rsid w:val="0016257C"/>
    <w:rsid w:val="00166371"/>
    <w:rsid w:val="00172BF9"/>
    <w:rsid w:val="00176843"/>
    <w:rsid w:val="00176D61"/>
    <w:rsid w:val="00177D84"/>
    <w:rsid w:val="00184390"/>
    <w:rsid w:val="001941D7"/>
    <w:rsid w:val="001A2883"/>
    <w:rsid w:val="001A5DEB"/>
    <w:rsid w:val="001B4F59"/>
    <w:rsid w:val="001B7AAA"/>
    <w:rsid w:val="001C2E59"/>
    <w:rsid w:val="001C2E9B"/>
    <w:rsid w:val="001D04D1"/>
    <w:rsid w:val="001D4AA2"/>
    <w:rsid w:val="001D4F5D"/>
    <w:rsid w:val="001E1DB3"/>
    <w:rsid w:val="001E39EC"/>
    <w:rsid w:val="001E5352"/>
    <w:rsid w:val="001F25A7"/>
    <w:rsid w:val="001F2860"/>
    <w:rsid w:val="001F730E"/>
    <w:rsid w:val="00211011"/>
    <w:rsid w:val="0021754F"/>
    <w:rsid w:val="0021790D"/>
    <w:rsid w:val="00222D58"/>
    <w:rsid w:val="00222FE7"/>
    <w:rsid w:val="002263AC"/>
    <w:rsid w:val="00230035"/>
    <w:rsid w:val="00230DAC"/>
    <w:rsid w:val="00232778"/>
    <w:rsid w:val="002349C6"/>
    <w:rsid w:val="002428BD"/>
    <w:rsid w:val="00244D05"/>
    <w:rsid w:val="00251ED7"/>
    <w:rsid w:val="0025641B"/>
    <w:rsid w:val="002573AA"/>
    <w:rsid w:val="002631C7"/>
    <w:rsid w:val="0029431C"/>
    <w:rsid w:val="002949C7"/>
    <w:rsid w:val="0029621A"/>
    <w:rsid w:val="002A2C3C"/>
    <w:rsid w:val="002A6CFB"/>
    <w:rsid w:val="002A7E51"/>
    <w:rsid w:val="002A7E70"/>
    <w:rsid w:val="002C16CB"/>
    <w:rsid w:val="002C2DAA"/>
    <w:rsid w:val="002D5FF5"/>
    <w:rsid w:val="002E2826"/>
    <w:rsid w:val="002E2FEA"/>
    <w:rsid w:val="002F27E5"/>
    <w:rsid w:val="002F5AB7"/>
    <w:rsid w:val="003022AC"/>
    <w:rsid w:val="00313444"/>
    <w:rsid w:val="00316B1C"/>
    <w:rsid w:val="0032010A"/>
    <w:rsid w:val="003227B6"/>
    <w:rsid w:val="00324E99"/>
    <w:rsid w:val="00330900"/>
    <w:rsid w:val="00336C91"/>
    <w:rsid w:val="00337292"/>
    <w:rsid w:val="00344BC6"/>
    <w:rsid w:val="003472CC"/>
    <w:rsid w:val="0034759C"/>
    <w:rsid w:val="0035556E"/>
    <w:rsid w:val="003630C1"/>
    <w:rsid w:val="00365CF9"/>
    <w:rsid w:val="0037237D"/>
    <w:rsid w:val="003744DB"/>
    <w:rsid w:val="00383B2C"/>
    <w:rsid w:val="00383B73"/>
    <w:rsid w:val="00392834"/>
    <w:rsid w:val="003951EA"/>
    <w:rsid w:val="003A2F1C"/>
    <w:rsid w:val="003B6AD5"/>
    <w:rsid w:val="003C037F"/>
    <w:rsid w:val="003C6E3B"/>
    <w:rsid w:val="003D3157"/>
    <w:rsid w:val="003D3A19"/>
    <w:rsid w:val="003E6DD8"/>
    <w:rsid w:val="003F1340"/>
    <w:rsid w:val="003F6D7E"/>
    <w:rsid w:val="00400C73"/>
    <w:rsid w:val="00400E4C"/>
    <w:rsid w:val="00401B90"/>
    <w:rsid w:val="00404D0D"/>
    <w:rsid w:val="004052F2"/>
    <w:rsid w:val="0040738A"/>
    <w:rsid w:val="0040776C"/>
    <w:rsid w:val="00411180"/>
    <w:rsid w:val="00416D44"/>
    <w:rsid w:val="004239AC"/>
    <w:rsid w:val="004241F0"/>
    <w:rsid w:val="0042732B"/>
    <w:rsid w:val="00443758"/>
    <w:rsid w:val="0044389C"/>
    <w:rsid w:val="0045722A"/>
    <w:rsid w:val="00463319"/>
    <w:rsid w:val="004653D5"/>
    <w:rsid w:val="004721EF"/>
    <w:rsid w:val="00474C87"/>
    <w:rsid w:val="00487D9C"/>
    <w:rsid w:val="00490168"/>
    <w:rsid w:val="00490DC0"/>
    <w:rsid w:val="004924E9"/>
    <w:rsid w:val="00496F9D"/>
    <w:rsid w:val="004A0095"/>
    <w:rsid w:val="004B3B25"/>
    <w:rsid w:val="004B764F"/>
    <w:rsid w:val="004C1208"/>
    <w:rsid w:val="004C71C5"/>
    <w:rsid w:val="004D18CF"/>
    <w:rsid w:val="00504535"/>
    <w:rsid w:val="00506886"/>
    <w:rsid w:val="005108B4"/>
    <w:rsid w:val="00514E76"/>
    <w:rsid w:val="005161F7"/>
    <w:rsid w:val="00532732"/>
    <w:rsid w:val="0053746E"/>
    <w:rsid w:val="00543D44"/>
    <w:rsid w:val="005471A0"/>
    <w:rsid w:val="00552AA3"/>
    <w:rsid w:val="00554058"/>
    <w:rsid w:val="0055708C"/>
    <w:rsid w:val="00560953"/>
    <w:rsid w:val="00566E80"/>
    <w:rsid w:val="00567BD0"/>
    <w:rsid w:val="005724CA"/>
    <w:rsid w:val="00576220"/>
    <w:rsid w:val="00577BA5"/>
    <w:rsid w:val="00582EB0"/>
    <w:rsid w:val="00584FD8"/>
    <w:rsid w:val="0059750B"/>
    <w:rsid w:val="005A0DFB"/>
    <w:rsid w:val="005A38C3"/>
    <w:rsid w:val="005A46C3"/>
    <w:rsid w:val="005A5221"/>
    <w:rsid w:val="005A616D"/>
    <w:rsid w:val="005B5FAA"/>
    <w:rsid w:val="005C6333"/>
    <w:rsid w:val="005F1866"/>
    <w:rsid w:val="005F212E"/>
    <w:rsid w:val="005F51C9"/>
    <w:rsid w:val="00610C3A"/>
    <w:rsid w:val="00610CE6"/>
    <w:rsid w:val="00613D5D"/>
    <w:rsid w:val="006206C7"/>
    <w:rsid w:val="00625B44"/>
    <w:rsid w:val="0062663E"/>
    <w:rsid w:val="00626AF6"/>
    <w:rsid w:val="0063156E"/>
    <w:rsid w:val="00633448"/>
    <w:rsid w:val="00635159"/>
    <w:rsid w:val="00642BC3"/>
    <w:rsid w:val="00662C40"/>
    <w:rsid w:val="00671CF8"/>
    <w:rsid w:val="0067232E"/>
    <w:rsid w:val="00675134"/>
    <w:rsid w:val="00685074"/>
    <w:rsid w:val="006924EA"/>
    <w:rsid w:val="00694E34"/>
    <w:rsid w:val="006B726C"/>
    <w:rsid w:val="006C37C5"/>
    <w:rsid w:val="006C62B9"/>
    <w:rsid w:val="006D2034"/>
    <w:rsid w:val="006D22DD"/>
    <w:rsid w:val="006D4C91"/>
    <w:rsid w:val="006D6B83"/>
    <w:rsid w:val="006E0D92"/>
    <w:rsid w:val="006E1DB9"/>
    <w:rsid w:val="006E46D2"/>
    <w:rsid w:val="006E739F"/>
    <w:rsid w:val="006F63F3"/>
    <w:rsid w:val="00700C4A"/>
    <w:rsid w:val="00701A2B"/>
    <w:rsid w:val="0070484C"/>
    <w:rsid w:val="0071402D"/>
    <w:rsid w:val="007152A3"/>
    <w:rsid w:val="007244D6"/>
    <w:rsid w:val="00725B2B"/>
    <w:rsid w:val="0073620E"/>
    <w:rsid w:val="007424CC"/>
    <w:rsid w:val="0074767C"/>
    <w:rsid w:val="00751B60"/>
    <w:rsid w:val="00752E81"/>
    <w:rsid w:val="00756079"/>
    <w:rsid w:val="007655FB"/>
    <w:rsid w:val="007714BE"/>
    <w:rsid w:val="00775396"/>
    <w:rsid w:val="007776BB"/>
    <w:rsid w:val="00785939"/>
    <w:rsid w:val="007913E4"/>
    <w:rsid w:val="007A0F67"/>
    <w:rsid w:val="007B11FA"/>
    <w:rsid w:val="007C5CDE"/>
    <w:rsid w:val="007C69E5"/>
    <w:rsid w:val="007D56AD"/>
    <w:rsid w:val="007E05E6"/>
    <w:rsid w:val="007E1ABB"/>
    <w:rsid w:val="007E28D7"/>
    <w:rsid w:val="007E2A38"/>
    <w:rsid w:val="007E5D7E"/>
    <w:rsid w:val="007F1A8E"/>
    <w:rsid w:val="007F65AA"/>
    <w:rsid w:val="00804632"/>
    <w:rsid w:val="00810363"/>
    <w:rsid w:val="00814D49"/>
    <w:rsid w:val="00816A28"/>
    <w:rsid w:val="008237F2"/>
    <w:rsid w:val="00830BDC"/>
    <w:rsid w:val="008363D8"/>
    <w:rsid w:val="00836552"/>
    <w:rsid w:val="0084172F"/>
    <w:rsid w:val="00843B12"/>
    <w:rsid w:val="00844B8E"/>
    <w:rsid w:val="008553A8"/>
    <w:rsid w:val="00863ECD"/>
    <w:rsid w:val="008704AF"/>
    <w:rsid w:val="0087440E"/>
    <w:rsid w:val="008756E3"/>
    <w:rsid w:val="00876764"/>
    <w:rsid w:val="0088060A"/>
    <w:rsid w:val="0088181A"/>
    <w:rsid w:val="0088667D"/>
    <w:rsid w:val="008932AE"/>
    <w:rsid w:val="00896B00"/>
    <w:rsid w:val="008A017F"/>
    <w:rsid w:val="008A0901"/>
    <w:rsid w:val="008B1FD1"/>
    <w:rsid w:val="008C49FD"/>
    <w:rsid w:val="008D1A90"/>
    <w:rsid w:val="008D31F9"/>
    <w:rsid w:val="008D4184"/>
    <w:rsid w:val="008E4B06"/>
    <w:rsid w:val="008E608A"/>
    <w:rsid w:val="008E756D"/>
    <w:rsid w:val="008F2179"/>
    <w:rsid w:val="008F31CB"/>
    <w:rsid w:val="008F358E"/>
    <w:rsid w:val="00904AB5"/>
    <w:rsid w:val="009050EC"/>
    <w:rsid w:val="00907670"/>
    <w:rsid w:val="0091000D"/>
    <w:rsid w:val="00911428"/>
    <w:rsid w:val="009201F8"/>
    <w:rsid w:val="00926E2D"/>
    <w:rsid w:val="009371BB"/>
    <w:rsid w:val="00942274"/>
    <w:rsid w:val="009442EA"/>
    <w:rsid w:val="00945DDC"/>
    <w:rsid w:val="00946ADE"/>
    <w:rsid w:val="00951F20"/>
    <w:rsid w:val="00965549"/>
    <w:rsid w:val="00965E04"/>
    <w:rsid w:val="00971355"/>
    <w:rsid w:val="00971D4F"/>
    <w:rsid w:val="00972575"/>
    <w:rsid w:val="0098080A"/>
    <w:rsid w:val="00985821"/>
    <w:rsid w:val="009874BC"/>
    <w:rsid w:val="00987979"/>
    <w:rsid w:val="00991CD1"/>
    <w:rsid w:val="009A701C"/>
    <w:rsid w:val="009B1638"/>
    <w:rsid w:val="009B6F4E"/>
    <w:rsid w:val="009B7199"/>
    <w:rsid w:val="009C16AB"/>
    <w:rsid w:val="009C16E5"/>
    <w:rsid w:val="009D7128"/>
    <w:rsid w:val="009E0EFB"/>
    <w:rsid w:val="009E22B6"/>
    <w:rsid w:val="009E2A61"/>
    <w:rsid w:val="009E4699"/>
    <w:rsid w:val="009F103D"/>
    <w:rsid w:val="009F369F"/>
    <w:rsid w:val="00A018F4"/>
    <w:rsid w:val="00A034B5"/>
    <w:rsid w:val="00A20A7B"/>
    <w:rsid w:val="00A22AFE"/>
    <w:rsid w:val="00A35147"/>
    <w:rsid w:val="00A37D81"/>
    <w:rsid w:val="00A44080"/>
    <w:rsid w:val="00A61730"/>
    <w:rsid w:val="00A62D54"/>
    <w:rsid w:val="00A7595B"/>
    <w:rsid w:val="00A76639"/>
    <w:rsid w:val="00A86FA3"/>
    <w:rsid w:val="00A93E03"/>
    <w:rsid w:val="00A94B00"/>
    <w:rsid w:val="00AA048E"/>
    <w:rsid w:val="00AA6FC8"/>
    <w:rsid w:val="00AB14C5"/>
    <w:rsid w:val="00AB19C6"/>
    <w:rsid w:val="00AB644C"/>
    <w:rsid w:val="00AC2900"/>
    <w:rsid w:val="00AC4545"/>
    <w:rsid w:val="00AC68A9"/>
    <w:rsid w:val="00AE1A3F"/>
    <w:rsid w:val="00AE4CF2"/>
    <w:rsid w:val="00AF022B"/>
    <w:rsid w:val="00AF5DA3"/>
    <w:rsid w:val="00B00270"/>
    <w:rsid w:val="00B07A17"/>
    <w:rsid w:val="00B115AC"/>
    <w:rsid w:val="00B13B98"/>
    <w:rsid w:val="00B23576"/>
    <w:rsid w:val="00B23F55"/>
    <w:rsid w:val="00B244A3"/>
    <w:rsid w:val="00B272CE"/>
    <w:rsid w:val="00B31D21"/>
    <w:rsid w:val="00B32674"/>
    <w:rsid w:val="00B340FE"/>
    <w:rsid w:val="00B3687A"/>
    <w:rsid w:val="00B36944"/>
    <w:rsid w:val="00B4373D"/>
    <w:rsid w:val="00B4665A"/>
    <w:rsid w:val="00B539DE"/>
    <w:rsid w:val="00B5588C"/>
    <w:rsid w:val="00B56FA3"/>
    <w:rsid w:val="00B62401"/>
    <w:rsid w:val="00B630D5"/>
    <w:rsid w:val="00B72ACB"/>
    <w:rsid w:val="00B7605E"/>
    <w:rsid w:val="00B76599"/>
    <w:rsid w:val="00B82491"/>
    <w:rsid w:val="00B827EE"/>
    <w:rsid w:val="00B866CB"/>
    <w:rsid w:val="00BA1C58"/>
    <w:rsid w:val="00BA4C16"/>
    <w:rsid w:val="00BA55AC"/>
    <w:rsid w:val="00BA791B"/>
    <w:rsid w:val="00BB2033"/>
    <w:rsid w:val="00BB5573"/>
    <w:rsid w:val="00BC5272"/>
    <w:rsid w:val="00BD1003"/>
    <w:rsid w:val="00BE5A1E"/>
    <w:rsid w:val="00BF1215"/>
    <w:rsid w:val="00BF2A74"/>
    <w:rsid w:val="00BF32C4"/>
    <w:rsid w:val="00BF3F79"/>
    <w:rsid w:val="00BF543E"/>
    <w:rsid w:val="00BF5822"/>
    <w:rsid w:val="00C109D3"/>
    <w:rsid w:val="00C13090"/>
    <w:rsid w:val="00C14AD8"/>
    <w:rsid w:val="00C16A03"/>
    <w:rsid w:val="00C16E7E"/>
    <w:rsid w:val="00C231B6"/>
    <w:rsid w:val="00C30D43"/>
    <w:rsid w:val="00C3622F"/>
    <w:rsid w:val="00C410B4"/>
    <w:rsid w:val="00C4354E"/>
    <w:rsid w:val="00C45E1B"/>
    <w:rsid w:val="00C52303"/>
    <w:rsid w:val="00C84B68"/>
    <w:rsid w:val="00C869FC"/>
    <w:rsid w:val="00C9187D"/>
    <w:rsid w:val="00C91E5E"/>
    <w:rsid w:val="00C92D16"/>
    <w:rsid w:val="00C94217"/>
    <w:rsid w:val="00C94864"/>
    <w:rsid w:val="00CB22ED"/>
    <w:rsid w:val="00CB2551"/>
    <w:rsid w:val="00CB54CA"/>
    <w:rsid w:val="00CC423D"/>
    <w:rsid w:val="00CD1D46"/>
    <w:rsid w:val="00CD3C37"/>
    <w:rsid w:val="00CD4D3F"/>
    <w:rsid w:val="00CE14C6"/>
    <w:rsid w:val="00CE59E4"/>
    <w:rsid w:val="00CF6BEB"/>
    <w:rsid w:val="00D03006"/>
    <w:rsid w:val="00D05BF1"/>
    <w:rsid w:val="00D1103B"/>
    <w:rsid w:val="00D11CA7"/>
    <w:rsid w:val="00D179A8"/>
    <w:rsid w:val="00D219E7"/>
    <w:rsid w:val="00D23B92"/>
    <w:rsid w:val="00D24B1A"/>
    <w:rsid w:val="00D33057"/>
    <w:rsid w:val="00D34CA7"/>
    <w:rsid w:val="00D34EB6"/>
    <w:rsid w:val="00D407C6"/>
    <w:rsid w:val="00D44100"/>
    <w:rsid w:val="00D44161"/>
    <w:rsid w:val="00D46F4E"/>
    <w:rsid w:val="00D51978"/>
    <w:rsid w:val="00D5469C"/>
    <w:rsid w:val="00D60ED8"/>
    <w:rsid w:val="00D665E8"/>
    <w:rsid w:val="00D71572"/>
    <w:rsid w:val="00D72ADA"/>
    <w:rsid w:val="00D7423A"/>
    <w:rsid w:val="00D75F82"/>
    <w:rsid w:val="00D76D2C"/>
    <w:rsid w:val="00D86B6B"/>
    <w:rsid w:val="00D91E83"/>
    <w:rsid w:val="00D91FBB"/>
    <w:rsid w:val="00DA1F41"/>
    <w:rsid w:val="00DA344D"/>
    <w:rsid w:val="00DA6B80"/>
    <w:rsid w:val="00DB3D5D"/>
    <w:rsid w:val="00DC0E12"/>
    <w:rsid w:val="00DC2727"/>
    <w:rsid w:val="00DC5945"/>
    <w:rsid w:val="00DD3483"/>
    <w:rsid w:val="00DE7DB8"/>
    <w:rsid w:val="00DF65FB"/>
    <w:rsid w:val="00DF70CF"/>
    <w:rsid w:val="00E02B6D"/>
    <w:rsid w:val="00E05402"/>
    <w:rsid w:val="00E10434"/>
    <w:rsid w:val="00E124C7"/>
    <w:rsid w:val="00E141C0"/>
    <w:rsid w:val="00E20881"/>
    <w:rsid w:val="00E22DEF"/>
    <w:rsid w:val="00E234CE"/>
    <w:rsid w:val="00E314D8"/>
    <w:rsid w:val="00E321FD"/>
    <w:rsid w:val="00E325DE"/>
    <w:rsid w:val="00E418F5"/>
    <w:rsid w:val="00E42B33"/>
    <w:rsid w:val="00E449F7"/>
    <w:rsid w:val="00E51246"/>
    <w:rsid w:val="00E57D7B"/>
    <w:rsid w:val="00E61535"/>
    <w:rsid w:val="00E61DF9"/>
    <w:rsid w:val="00E62F64"/>
    <w:rsid w:val="00E64302"/>
    <w:rsid w:val="00E67A69"/>
    <w:rsid w:val="00E713F1"/>
    <w:rsid w:val="00E7147F"/>
    <w:rsid w:val="00E8144E"/>
    <w:rsid w:val="00E87252"/>
    <w:rsid w:val="00E96DE2"/>
    <w:rsid w:val="00EA2610"/>
    <w:rsid w:val="00EA3022"/>
    <w:rsid w:val="00EA361A"/>
    <w:rsid w:val="00EA7753"/>
    <w:rsid w:val="00EB4FB3"/>
    <w:rsid w:val="00EB5A7F"/>
    <w:rsid w:val="00EB7D5E"/>
    <w:rsid w:val="00EC3E5D"/>
    <w:rsid w:val="00ED00E8"/>
    <w:rsid w:val="00ED35BA"/>
    <w:rsid w:val="00ED47F8"/>
    <w:rsid w:val="00EE3FFA"/>
    <w:rsid w:val="00F00F15"/>
    <w:rsid w:val="00F02916"/>
    <w:rsid w:val="00F13316"/>
    <w:rsid w:val="00F1374A"/>
    <w:rsid w:val="00F15909"/>
    <w:rsid w:val="00F25A90"/>
    <w:rsid w:val="00F25E7C"/>
    <w:rsid w:val="00F32DDA"/>
    <w:rsid w:val="00F37A7D"/>
    <w:rsid w:val="00F4415D"/>
    <w:rsid w:val="00F44769"/>
    <w:rsid w:val="00F4619E"/>
    <w:rsid w:val="00F502C9"/>
    <w:rsid w:val="00F50EB7"/>
    <w:rsid w:val="00F5159A"/>
    <w:rsid w:val="00F53452"/>
    <w:rsid w:val="00F565F5"/>
    <w:rsid w:val="00F65C46"/>
    <w:rsid w:val="00F67AE2"/>
    <w:rsid w:val="00F707D1"/>
    <w:rsid w:val="00F730EF"/>
    <w:rsid w:val="00F75B9C"/>
    <w:rsid w:val="00F82855"/>
    <w:rsid w:val="00F82E14"/>
    <w:rsid w:val="00F83140"/>
    <w:rsid w:val="00F912C9"/>
    <w:rsid w:val="00FA093B"/>
    <w:rsid w:val="00FA3A56"/>
    <w:rsid w:val="00FA62E3"/>
    <w:rsid w:val="00FB187A"/>
    <w:rsid w:val="00FB2032"/>
    <w:rsid w:val="00FB3DA9"/>
    <w:rsid w:val="00FB5D9A"/>
    <w:rsid w:val="00FC3C07"/>
    <w:rsid w:val="00FD3C6E"/>
    <w:rsid w:val="00FE4A8F"/>
    <w:rsid w:val="00FE59B3"/>
    <w:rsid w:val="00FE762D"/>
    <w:rsid w:val="00FF26EF"/>
    <w:rsid w:val="00FF4DD5"/>
    <w:rsid w:val="00FF56A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E2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72B"/>
    <w:rPr>
      <w:color w:val="0000FF"/>
      <w:u w:val="single"/>
    </w:rPr>
  </w:style>
  <w:style w:type="paragraph" w:styleId="Header">
    <w:name w:val="header"/>
    <w:basedOn w:val="Normal"/>
    <w:link w:val="HeaderChar"/>
    <w:rsid w:val="00F67AE2"/>
    <w:pPr>
      <w:tabs>
        <w:tab w:val="center" w:pos="4513"/>
        <w:tab w:val="right" w:pos="9026"/>
      </w:tabs>
    </w:pPr>
  </w:style>
  <w:style w:type="character" w:customStyle="1" w:styleId="HeaderChar">
    <w:name w:val="Header Char"/>
    <w:link w:val="Header"/>
    <w:rsid w:val="00F67AE2"/>
    <w:rPr>
      <w:sz w:val="24"/>
      <w:szCs w:val="24"/>
      <w:lang w:val="en-US" w:eastAsia="en-US"/>
    </w:rPr>
  </w:style>
  <w:style w:type="paragraph" w:styleId="Footer">
    <w:name w:val="footer"/>
    <w:basedOn w:val="Normal"/>
    <w:link w:val="FooterChar"/>
    <w:rsid w:val="00F67AE2"/>
    <w:pPr>
      <w:tabs>
        <w:tab w:val="center" w:pos="4513"/>
        <w:tab w:val="right" w:pos="9026"/>
      </w:tabs>
    </w:pPr>
  </w:style>
  <w:style w:type="character" w:customStyle="1" w:styleId="FooterChar">
    <w:name w:val="Footer Char"/>
    <w:link w:val="Footer"/>
    <w:rsid w:val="00F67AE2"/>
    <w:rPr>
      <w:sz w:val="24"/>
      <w:szCs w:val="24"/>
      <w:lang w:val="en-US" w:eastAsia="en-US"/>
    </w:rPr>
  </w:style>
  <w:style w:type="paragraph" w:styleId="BalloonText">
    <w:name w:val="Balloon Text"/>
    <w:basedOn w:val="Normal"/>
    <w:link w:val="BalloonTextChar"/>
    <w:rsid w:val="0070484C"/>
    <w:rPr>
      <w:rFonts w:ascii="Tahoma" w:hAnsi="Tahoma" w:cs="Tahoma"/>
      <w:sz w:val="16"/>
      <w:szCs w:val="16"/>
    </w:rPr>
  </w:style>
  <w:style w:type="character" w:customStyle="1" w:styleId="BalloonTextChar">
    <w:name w:val="Balloon Text Char"/>
    <w:basedOn w:val="DefaultParagraphFont"/>
    <w:link w:val="BalloonText"/>
    <w:rsid w:val="0070484C"/>
    <w:rPr>
      <w:rFonts w:ascii="Tahoma" w:hAnsi="Tahoma" w:cs="Tahoma"/>
      <w:sz w:val="16"/>
      <w:szCs w:val="16"/>
      <w:lang w:val="en-US" w:eastAsia="en-US"/>
    </w:rPr>
  </w:style>
  <w:style w:type="paragraph" w:styleId="ListParagraph">
    <w:name w:val="List Paragraph"/>
    <w:basedOn w:val="Normal"/>
    <w:uiPriority w:val="34"/>
    <w:qFormat/>
    <w:rsid w:val="00972575"/>
    <w:pPr>
      <w:ind w:left="720"/>
      <w:contextualSpacing/>
    </w:pPr>
  </w:style>
  <w:style w:type="character" w:styleId="CommentReference">
    <w:name w:val="annotation reference"/>
    <w:basedOn w:val="DefaultParagraphFont"/>
    <w:rsid w:val="00FD3C6E"/>
    <w:rPr>
      <w:sz w:val="16"/>
      <w:szCs w:val="16"/>
    </w:rPr>
  </w:style>
  <w:style w:type="paragraph" w:styleId="CommentText">
    <w:name w:val="annotation text"/>
    <w:basedOn w:val="Normal"/>
    <w:link w:val="CommentTextChar"/>
    <w:rsid w:val="00FD3C6E"/>
    <w:rPr>
      <w:sz w:val="20"/>
      <w:szCs w:val="20"/>
    </w:rPr>
  </w:style>
  <w:style w:type="character" w:customStyle="1" w:styleId="CommentTextChar">
    <w:name w:val="Comment Text Char"/>
    <w:basedOn w:val="DefaultParagraphFont"/>
    <w:link w:val="CommentText"/>
    <w:rsid w:val="00FD3C6E"/>
    <w:rPr>
      <w:lang w:val="en-US" w:eastAsia="en-US"/>
    </w:rPr>
  </w:style>
  <w:style w:type="paragraph" w:styleId="CommentSubject">
    <w:name w:val="annotation subject"/>
    <w:basedOn w:val="CommentText"/>
    <w:next w:val="CommentText"/>
    <w:link w:val="CommentSubjectChar"/>
    <w:rsid w:val="00FD3C6E"/>
    <w:rPr>
      <w:b/>
      <w:bCs/>
    </w:rPr>
  </w:style>
  <w:style w:type="character" w:customStyle="1" w:styleId="CommentSubjectChar">
    <w:name w:val="Comment Subject Char"/>
    <w:basedOn w:val="CommentTextChar"/>
    <w:link w:val="CommentSubject"/>
    <w:rsid w:val="00FD3C6E"/>
    <w:rPr>
      <w:b/>
      <w:bCs/>
      <w:lang w:val="en-US" w:eastAsia="en-US"/>
    </w:rPr>
  </w:style>
  <w:style w:type="paragraph" w:styleId="PlainText">
    <w:name w:val="Plain Text"/>
    <w:basedOn w:val="Normal"/>
    <w:link w:val="PlainTextChar"/>
    <w:rsid w:val="007C5CDE"/>
    <w:rPr>
      <w:rFonts w:ascii="Consolas" w:hAnsi="Consolas" w:cs="Consolas"/>
      <w:sz w:val="21"/>
      <w:szCs w:val="21"/>
    </w:rPr>
  </w:style>
  <w:style w:type="character" w:customStyle="1" w:styleId="PlainTextChar">
    <w:name w:val="Plain Text Char"/>
    <w:basedOn w:val="DefaultParagraphFont"/>
    <w:link w:val="PlainText"/>
    <w:rsid w:val="007C5CDE"/>
    <w:rPr>
      <w:rFonts w:ascii="Consolas" w:hAnsi="Consolas" w:cs="Consolas"/>
      <w:sz w:val="21"/>
      <w:szCs w:val="21"/>
      <w:lang w:val="en-US" w:eastAsia="en-US"/>
    </w:rPr>
  </w:style>
  <w:style w:type="paragraph" w:styleId="NormalWeb">
    <w:name w:val="Normal (Web)"/>
    <w:basedOn w:val="Normal"/>
    <w:uiPriority w:val="99"/>
    <w:rsid w:val="0088060A"/>
    <w:pPr>
      <w:spacing w:before="100" w:beforeAutospacing="1" w:after="100" w:afterAutospacing="1"/>
    </w:pPr>
    <w:rPr>
      <w:rFonts w:eastAsia="Malgun Gothic"/>
    </w:rPr>
  </w:style>
  <w:style w:type="character" w:customStyle="1" w:styleId="apple-converted-space">
    <w:name w:val="apple-converted-space"/>
    <w:rsid w:val="0088060A"/>
  </w:style>
  <w:style w:type="paragraph" w:customStyle="1" w:styleId="Default">
    <w:name w:val="Default"/>
    <w:rsid w:val="0088060A"/>
    <w:pPr>
      <w:autoSpaceDE w:val="0"/>
      <w:autoSpaceDN w:val="0"/>
      <w:adjustRightInd w:val="0"/>
    </w:pPr>
    <w:rPr>
      <w:rFonts w:ascii="Arial" w:eastAsia="Malgun Gothic"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72B"/>
    <w:rPr>
      <w:color w:val="0000FF"/>
      <w:u w:val="single"/>
    </w:rPr>
  </w:style>
  <w:style w:type="paragraph" w:styleId="Header">
    <w:name w:val="header"/>
    <w:basedOn w:val="Normal"/>
    <w:link w:val="HeaderChar"/>
    <w:rsid w:val="00F67AE2"/>
    <w:pPr>
      <w:tabs>
        <w:tab w:val="center" w:pos="4513"/>
        <w:tab w:val="right" w:pos="9026"/>
      </w:tabs>
    </w:pPr>
  </w:style>
  <w:style w:type="character" w:customStyle="1" w:styleId="HeaderChar">
    <w:name w:val="Header Char"/>
    <w:link w:val="Header"/>
    <w:rsid w:val="00F67AE2"/>
    <w:rPr>
      <w:sz w:val="24"/>
      <w:szCs w:val="24"/>
      <w:lang w:val="en-US" w:eastAsia="en-US"/>
    </w:rPr>
  </w:style>
  <w:style w:type="paragraph" w:styleId="Footer">
    <w:name w:val="footer"/>
    <w:basedOn w:val="Normal"/>
    <w:link w:val="FooterChar"/>
    <w:rsid w:val="00F67AE2"/>
    <w:pPr>
      <w:tabs>
        <w:tab w:val="center" w:pos="4513"/>
        <w:tab w:val="right" w:pos="9026"/>
      </w:tabs>
    </w:pPr>
  </w:style>
  <w:style w:type="character" w:customStyle="1" w:styleId="FooterChar">
    <w:name w:val="Footer Char"/>
    <w:link w:val="Footer"/>
    <w:rsid w:val="00F67AE2"/>
    <w:rPr>
      <w:sz w:val="24"/>
      <w:szCs w:val="24"/>
      <w:lang w:val="en-US" w:eastAsia="en-US"/>
    </w:rPr>
  </w:style>
  <w:style w:type="paragraph" w:styleId="BalloonText">
    <w:name w:val="Balloon Text"/>
    <w:basedOn w:val="Normal"/>
    <w:link w:val="BalloonTextChar"/>
    <w:rsid w:val="0070484C"/>
    <w:rPr>
      <w:rFonts w:ascii="Tahoma" w:hAnsi="Tahoma" w:cs="Tahoma"/>
      <w:sz w:val="16"/>
      <w:szCs w:val="16"/>
    </w:rPr>
  </w:style>
  <w:style w:type="character" w:customStyle="1" w:styleId="BalloonTextChar">
    <w:name w:val="Balloon Text Char"/>
    <w:basedOn w:val="DefaultParagraphFont"/>
    <w:link w:val="BalloonText"/>
    <w:rsid w:val="0070484C"/>
    <w:rPr>
      <w:rFonts w:ascii="Tahoma" w:hAnsi="Tahoma" w:cs="Tahoma"/>
      <w:sz w:val="16"/>
      <w:szCs w:val="16"/>
      <w:lang w:val="en-US" w:eastAsia="en-US"/>
    </w:rPr>
  </w:style>
  <w:style w:type="paragraph" w:styleId="ListParagraph">
    <w:name w:val="List Paragraph"/>
    <w:basedOn w:val="Normal"/>
    <w:uiPriority w:val="34"/>
    <w:qFormat/>
    <w:rsid w:val="00972575"/>
    <w:pPr>
      <w:ind w:left="720"/>
      <w:contextualSpacing/>
    </w:pPr>
  </w:style>
  <w:style w:type="character" w:styleId="CommentReference">
    <w:name w:val="annotation reference"/>
    <w:basedOn w:val="DefaultParagraphFont"/>
    <w:rsid w:val="00FD3C6E"/>
    <w:rPr>
      <w:sz w:val="16"/>
      <w:szCs w:val="16"/>
    </w:rPr>
  </w:style>
  <w:style w:type="paragraph" w:styleId="CommentText">
    <w:name w:val="annotation text"/>
    <w:basedOn w:val="Normal"/>
    <w:link w:val="CommentTextChar"/>
    <w:rsid w:val="00FD3C6E"/>
    <w:rPr>
      <w:sz w:val="20"/>
      <w:szCs w:val="20"/>
    </w:rPr>
  </w:style>
  <w:style w:type="character" w:customStyle="1" w:styleId="CommentTextChar">
    <w:name w:val="Comment Text Char"/>
    <w:basedOn w:val="DefaultParagraphFont"/>
    <w:link w:val="CommentText"/>
    <w:rsid w:val="00FD3C6E"/>
    <w:rPr>
      <w:lang w:val="en-US" w:eastAsia="en-US"/>
    </w:rPr>
  </w:style>
  <w:style w:type="paragraph" w:styleId="CommentSubject">
    <w:name w:val="annotation subject"/>
    <w:basedOn w:val="CommentText"/>
    <w:next w:val="CommentText"/>
    <w:link w:val="CommentSubjectChar"/>
    <w:rsid w:val="00FD3C6E"/>
    <w:rPr>
      <w:b/>
      <w:bCs/>
    </w:rPr>
  </w:style>
  <w:style w:type="character" w:customStyle="1" w:styleId="CommentSubjectChar">
    <w:name w:val="Comment Subject Char"/>
    <w:basedOn w:val="CommentTextChar"/>
    <w:link w:val="CommentSubject"/>
    <w:rsid w:val="00FD3C6E"/>
    <w:rPr>
      <w:b/>
      <w:bCs/>
      <w:lang w:val="en-US" w:eastAsia="en-US"/>
    </w:rPr>
  </w:style>
  <w:style w:type="paragraph" w:styleId="PlainText">
    <w:name w:val="Plain Text"/>
    <w:basedOn w:val="Normal"/>
    <w:link w:val="PlainTextChar"/>
    <w:rsid w:val="007C5CDE"/>
    <w:rPr>
      <w:rFonts w:ascii="Consolas" w:hAnsi="Consolas" w:cs="Consolas"/>
      <w:sz w:val="21"/>
      <w:szCs w:val="21"/>
    </w:rPr>
  </w:style>
  <w:style w:type="character" w:customStyle="1" w:styleId="PlainTextChar">
    <w:name w:val="Plain Text Char"/>
    <w:basedOn w:val="DefaultParagraphFont"/>
    <w:link w:val="PlainText"/>
    <w:rsid w:val="007C5CDE"/>
    <w:rPr>
      <w:rFonts w:ascii="Consolas" w:hAnsi="Consolas" w:cs="Consolas"/>
      <w:sz w:val="21"/>
      <w:szCs w:val="21"/>
      <w:lang w:val="en-US" w:eastAsia="en-US"/>
    </w:rPr>
  </w:style>
  <w:style w:type="paragraph" w:styleId="NormalWeb">
    <w:name w:val="Normal (Web)"/>
    <w:basedOn w:val="Normal"/>
    <w:uiPriority w:val="99"/>
    <w:rsid w:val="0088060A"/>
    <w:pPr>
      <w:spacing w:before="100" w:beforeAutospacing="1" w:after="100" w:afterAutospacing="1"/>
    </w:pPr>
    <w:rPr>
      <w:rFonts w:eastAsia="Malgun Gothic"/>
    </w:rPr>
  </w:style>
  <w:style w:type="character" w:customStyle="1" w:styleId="apple-converted-space">
    <w:name w:val="apple-converted-space"/>
    <w:rsid w:val="0088060A"/>
  </w:style>
  <w:style w:type="paragraph" w:customStyle="1" w:styleId="Default">
    <w:name w:val="Default"/>
    <w:rsid w:val="0088060A"/>
    <w:pPr>
      <w:autoSpaceDE w:val="0"/>
      <w:autoSpaceDN w:val="0"/>
      <w:adjustRightInd w:val="0"/>
    </w:pPr>
    <w:rPr>
      <w:rFonts w:ascii="Arial" w:eastAsia="Malgun Gothic"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46449">
      <w:bodyDiv w:val="1"/>
      <w:marLeft w:val="0"/>
      <w:marRight w:val="0"/>
      <w:marTop w:val="0"/>
      <w:marBottom w:val="0"/>
      <w:divBdr>
        <w:top w:val="none" w:sz="0" w:space="0" w:color="auto"/>
        <w:left w:val="none" w:sz="0" w:space="0" w:color="auto"/>
        <w:bottom w:val="none" w:sz="0" w:space="0" w:color="auto"/>
        <w:right w:val="none" w:sz="0" w:space="0" w:color="auto"/>
      </w:divBdr>
    </w:div>
    <w:div w:id="1234043513">
      <w:bodyDiv w:val="1"/>
      <w:marLeft w:val="0"/>
      <w:marRight w:val="0"/>
      <w:marTop w:val="0"/>
      <w:marBottom w:val="0"/>
      <w:divBdr>
        <w:top w:val="none" w:sz="0" w:space="0" w:color="auto"/>
        <w:left w:val="none" w:sz="0" w:space="0" w:color="auto"/>
        <w:bottom w:val="none" w:sz="0" w:space="0" w:color="auto"/>
        <w:right w:val="none" w:sz="0" w:space="0" w:color="auto"/>
      </w:divBdr>
      <w:divsChild>
        <w:div w:id="489446865">
          <w:marLeft w:val="0"/>
          <w:marRight w:val="0"/>
          <w:marTop w:val="0"/>
          <w:marBottom w:val="0"/>
          <w:divBdr>
            <w:top w:val="none" w:sz="0" w:space="0" w:color="auto"/>
            <w:left w:val="none" w:sz="0" w:space="0" w:color="auto"/>
            <w:bottom w:val="none" w:sz="0" w:space="0" w:color="auto"/>
            <w:right w:val="none" w:sz="0" w:space="0" w:color="auto"/>
          </w:divBdr>
          <w:divsChild>
            <w:div w:id="536697953">
              <w:marLeft w:val="0"/>
              <w:marRight w:val="0"/>
              <w:marTop w:val="0"/>
              <w:marBottom w:val="0"/>
              <w:divBdr>
                <w:top w:val="none" w:sz="0" w:space="0" w:color="auto"/>
                <w:left w:val="none" w:sz="0" w:space="0" w:color="auto"/>
                <w:bottom w:val="none" w:sz="0" w:space="0" w:color="auto"/>
                <w:right w:val="none" w:sz="0" w:space="0" w:color="auto"/>
              </w:divBdr>
              <w:divsChild>
                <w:div w:id="1849248040">
                  <w:marLeft w:val="0"/>
                  <w:marRight w:val="0"/>
                  <w:marTop w:val="0"/>
                  <w:marBottom w:val="0"/>
                  <w:divBdr>
                    <w:top w:val="none" w:sz="0" w:space="0" w:color="auto"/>
                    <w:left w:val="none" w:sz="0" w:space="0" w:color="auto"/>
                    <w:bottom w:val="none" w:sz="0" w:space="0" w:color="auto"/>
                    <w:right w:val="none" w:sz="0" w:space="0" w:color="auto"/>
                  </w:divBdr>
                  <w:divsChild>
                    <w:div w:id="1819179413">
                      <w:marLeft w:val="0"/>
                      <w:marRight w:val="0"/>
                      <w:marTop w:val="0"/>
                      <w:marBottom w:val="0"/>
                      <w:divBdr>
                        <w:top w:val="none" w:sz="0" w:space="0" w:color="auto"/>
                        <w:left w:val="none" w:sz="0" w:space="0" w:color="auto"/>
                        <w:bottom w:val="none" w:sz="0" w:space="0" w:color="auto"/>
                        <w:right w:val="none" w:sz="0" w:space="0" w:color="auto"/>
                      </w:divBdr>
                      <w:divsChild>
                        <w:div w:id="1329475737">
                          <w:marLeft w:val="0"/>
                          <w:marRight w:val="0"/>
                          <w:marTop w:val="0"/>
                          <w:marBottom w:val="0"/>
                          <w:divBdr>
                            <w:top w:val="none" w:sz="0" w:space="0" w:color="auto"/>
                            <w:left w:val="none" w:sz="0" w:space="0" w:color="auto"/>
                            <w:bottom w:val="none" w:sz="0" w:space="0" w:color="auto"/>
                            <w:right w:val="none" w:sz="0" w:space="0" w:color="auto"/>
                          </w:divBdr>
                          <w:divsChild>
                            <w:div w:id="191890197">
                              <w:marLeft w:val="0"/>
                              <w:marRight w:val="0"/>
                              <w:marTop w:val="0"/>
                              <w:marBottom w:val="0"/>
                              <w:divBdr>
                                <w:top w:val="none" w:sz="0" w:space="0" w:color="auto"/>
                                <w:left w:val="none" w:sz="0" w:space="0" w:color="auto"/>
                                <w:bottom w:val="none" w:sz="0" w:space="0" w:color="auto"/>
                                <w:right w:val="none" w:sz="0" w:space="0" w:color="auto"/>
                              </w:divBdr>
                              <w:divsChild>
                                <w:div w:id="1976370814">
                                  <w:marLeft w:val="0"/>
                                  <w:marRight w:val="0"/>
                                  <w:marTop w:val="0"/>
                                  <w:marBottom w:val="0"/>
                                  <w:divBdr>
                                    <w:top w:val="none" w:sz="0" w:space="0" w:color="auto"/>
                                    <w:left w:val="none" w:sz="0" w:space="0" w:color="auto"/>
                                    <w:bottom w:val="none" w:sz="0" w:space="0" w:color="auto"/>
                                    <w:right w:val="none" w:sz="0" w:space="0" w:color="auto"/>
                                  </w:divBdr>
                                  <w:divsChild>
                                    <w:div w:id="40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erica.hall@safetyandquality.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ncascre.wordpress.com/page-1/" TargetMode="External"/><Relationship Id="rId2" Type="http://schemas.openxmlformats.org/officeDocument/2006/relationships/customXml" Target="../customXml/item2.xml"/><Relationship Id="rId16" Type="http://schemas.openxmlformats.org/officeDocument/2006/relationships/hyperlink" Target="https://ncascre.wordpress.com/antimicrobial-stewardship-in-huma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afetyandquality.gov.au/national-priorities/amr-and-au-surveillance-project/national-antimicrobial-prescribing-survey-naps/" TargetMode="External"/><Relationship Id="rId10" Type="http://schemas.openxmlformats.org/officeDocument/2006/relationships/footnotes" Target="footnotes.xml"/><Relationship Id="rId19" Type="http://schemas.openxmlformats.org/officeDocument/2006/relationships/hyperlink" Target="mailto:Rebecca.Elliott@unimelb.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thoring Document" ma:contentTypeID="0x010100B4A1F787F0C441AC878A307E051D262E0069B38ED95B144E959A9986FA7D37AD3500E0BD72AEA807E842A15B298D610650B4" ma:contentTypeVersion="1" ma:contentTypeDescription="Create a new authoring document." ma:contentTypeScope="" ma:versionID="8783a9cc1b7c910368a049cc518fdf34">
  <xsd:schema xmlns:xsd="http://www.w3.org/2001/XMLSchema" xmlns:xs="http://www.w3.org/2001/XMLSchema" xmlns:p="http://schemas.microsoft.com/office/2006/metadata/properties" xmlns:ns2="b5551a8e-66bd-48fe-aac1-7515927d9d1d" targetNamespace="http://schemas.microsoft.com/office/2006/metadata/properties" ma:root="true" ma:fieldsID="167df48010a679e577f2f4a4e7d71885" ns2:_="">
    <xsd:import namespace="b5551a8e-66bd-48fe-aac1-7515927d9d1d"/>
    <xsd:element name="properties">
      <xsd:complexType>
        <xsd:sequence>
          <xsd:element name="documentManagement">
            <xsd:complexType>
              <xsd:all>
                <xsd:element ref="ns2:AIHW_PPR_ProjectCategoryLookup" minOccurs="0"/>
                <xsd:element ref="ns2:AIHW_PPR_UpdatePen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51a8e-66bd-48fe-aac1-7515927d9d1d" elementFormDefault="qualified">
    <xsd:import namespace="http://schemas.microsoft.com/office/2006/documentManagement/types"/>
    <xsd:import namespace="http://schemas.microsoft.com/office/infopath/2007/PartnerControls"/>
    <xsd:element name="AIHW_PPR_ProjectCategoryLookup" ma:index="8" nillable="true" ma:displayName="Category" ma:description="" ma:list="{86e8d32b-c3ca-486c-b8b7-164a89aa2487}" ma:internalName="AIHW_PPR_ProjectCategoryLookup" ma:showField="Title" ma:web="{b5551a8e-66bd-48fe-aac1-7515927d9d1d}">
      <xsd:complexType>
        <xsd:complexContent>
          <xsd:extension base="dms:MultiChoiceLookup">
            <xsd:sequence>
              <xsd:element name="Value" type="dms:Lookup" maxOccurs="unbounded" minOccurs="0" nillable="true"/>
            </xsd:sequence>
          </xsd:extension>
        </xsd:complexContent>
      </xsd:complexType>
    </xsd:element>
    <xsd:element name="AIHW_PPR_UpdatePending" ma:index="9" nillable="true" ma:displayName="Update Pending" ma:internalName="AIHW_PPR_UpdatePend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HW_PPR_ProjectCategoryLookup xmlns="b5551a8e-66bd-48fe-aac1-7515927d9d1d"/>
    <AIHW_PPR_UpdatePending xmlns="b5551a8e-66bd-48fe-aac1-7515927d9d1d">false</AIHW_PPR_UpdatePendin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5280-6FAC-4E71-AB57-68437F485BAE}">
  <ds:schemaRefs>
    <ds:schemaRef ds:uri="http://schemas.microsoft.com/sharepoint/v3/contenttype/forms"/>
  </ds:schemaRefs>
</ds:datastoreItem>
</file>

<file path=customXml/itemProps2.xml><?xml version="1.0" encoding="utf-8"?>
<ds:datastoreItem xmlns:ds="http://schemas.openxmlformats.org/officeDocument/2006/customXml" ds:itemID="{6EAF1E78-1158-47FB-A656-EEFD8CF4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51a8e-66bd-48fe-aac1-7515927d9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B050B-9155-49E1-A9DE-8401AB0D3CBC}">
  <ds:schemaRefs>
    <ds:schemaRef ds:uri="http://schemas.microsoft.com/office/2006/metadata/properties"/>
    <ds:schemaRef ds:uri="http://schemas.microsoft.com/office/infopath/2007/PartnerControls"/>
    <ds:schemaRef ds:uri="b5551a8e-66bd-48fe-aac1-7515927d9d1d"/>
  </ds:schemaRefs>
</ds:datastoreItem>
</file>

<file path=customXml/itemProps4.xml><?xml version="1.0" encoding="utf-8"?>
<ds:datastoreItem xmlns:ds="http://schemas.openxmlformats.org/officeDocument/2006/customXml" ds:itemID="{A83FDE3E-115B-4C72-8C41-774636F4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haller</dc:creator>
  <cp:lastModifiedBy>Stan Ahn</cp:lastModifiedBy>
  <cp:revision>5</cp:revision>
  <cp:lastPrinted>2015-07-21T03:23:00Z</cp:lastPrinted>
  <dcterms:created xsi:type="dcterms:W3CDTF">2015-07-22T11:37:00Z</dcterms:created>
  <dcterms:modified xsi:type="dcterms:W3CDTF">2015-07-22T22:26:00Z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0x010100B4A1F787F0C441AC878A307E051D262E0069B38ED95B144E959A9986FA7D37AD3500E0BD72AEA807E842A15B298D610650B4</vt:lpwstr>
  </property>
</Properties>
</file>