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21BB6" w14:textId="040A25C3" w:rsidR="00B24DF4" w:rsidRDefault="00B24DF4" w:rsidP="009424A5"/>
    <w:p w14:paraId="14575527" w14:textId="77777777" w:rsidR="001C0F7E" w:rsidRDefault="001C0F7E" w:rsidP="009424A5"/>
    <w:p w14:paraId="79FDE54A" w14:textId="77777777" w:rsidR="00BC07E4" w:rsidRDefault="00BC07E4" w:rsidP="009424A5">
      <w:pPr>
        <w:pStyle w:val="PublicationDate"/>
      </w:pPr>
    </w:p>
    <w:p w14:paraId="1C522F5C" w14:textId="77777777" w:rsidR="00BC07E4" w:rsidRDefault="00BC07E4" w:rsidP="009424A5">
      <w:pPr>
        <w:pStyle w:val="PublicationDate"/>
      </w:pPr>
    </w:p>
    <w:p w14:paraId="17EFB06B" w14:textId="77777777" w:rsidR="00BC07E4" w:rsidRDefault="00BC07E4" w:rsidP="00BC07E4">
      <w:pPr>
        <w:rPr>
          <w:rFonts w:eastAsiaTheme="majorEastAsia"/>
        </w:rPr>
      </w:pPr>
    </w:p>
    <w:p w14:paraId="4C22DB02" w14:textId="77777777" w:rsidR="00DF1354" w:rsidRDefault="00DF1354" w:rsidP="00BC07E4">
      <w:pPr>
        <w:rPr>
          <w:rFonts w:eastAsiaTheme="majorEastAsia"/>
          <w:highlight w:val="yellow"/>
        </w:rPr>
      </w:pPr>
    </w:p>
    <w:p w14:paraId="7038B317" w14:textId="77777777" w:rsidR="00BC07E4" w:rsidRDefault="00BC07E4" w:rsidP="009424A5">
      <w:pPr>
        <w:pStyle w:val="PublicationDate"/>
      </w:pPr>
    </w:p>
    <w:p w14:paraId="4A3B719D" w14:textId="77777777" w:rsidR="00905A5C" w:rsidRDefault="00905A5C" w:rsidP="009424A5">
      <w:pPr>
        <w:pStyle w:val="PublicationDate"/>
      </w:pPr>
    </w:p>
    <w:p w14:paraId="65828267" w14:textId="77777777" w:rsidR="00BC07E4" w:rsidRDefault="00BC07E4" w:rsidP="009424A5">
      <w:pPr>
        <w:pStyle w:val="PublicationDate"/>
      </w:pPr>
    </w:p>
    <w:p w14:paraId="5AD1989C" w14:textId="67610941" w:rsidR="000B0274" w:rsidRDefault="00720140" w:rsidP="009424A5">
      <w:pPr>
        <w:pStyle w:val="PublicationDate"/>
      </w:pPr>
      <w:r>
        <w:t xml:space="preserve"> </w:t>
      </w:r>
    </w:p>
    <w:p w14:paraId="4EDE3888" w14:textId="77777777" w:rsidR="00BC07E4" w:rsidRPr="003C02C5" w:rsidRDefault="00BC07E4" w:rsidP="009424A5">
      <w:pPr>
        <w:pStyle w:val="PublicationDate"/>
      </w:pPr>
    </w:p>
    <w:p w14:paraId="3E2BA5AE" w14:textId="77777777" w:rsidR="00DF1354" w:rsidRPr="00DD30DD" w:rsidRDefault="00DF1354" w:rsidP="00DF1354">
      <w:pPr>
        <w:pStyle w:val="Title"/>
        <w:rPr>
          <w:rFonts w:eastAsia="MS Gothic"/>
          <w:color w:val="FDF0BE"/>
          <w:sz w:val="72"/>
          <w:szCs w:val="72"/>
        </w:rPr>
      </w:pPr>
      <w:r w:rsidRPr="00DD30DD">
        <w:rPr>
          <w:rFonts w:eastAsia="MS Gothic"/>
          <w:b w:val="0"/>
          <w:color w:val="FFFFFF" w:themeColor="background1"/>
          <w:sz w:val="72"/>
          <w:szCs w:val="72"/>
        </w:rPr>
        <w:t>National</w:t>
      </w:r>
      <w:r w:rsidRPr="00DD30DD">
        <w:rPr>
          <w:rFonts w:eastAsia="MS Gothic"/>
          <w:color w:val="FDF0BE"/>
          <w:sz w:val="72"/>
          <w:szCs w:val="72"/>
        </w:rPr>
        <w:t xml:space="preserve"> Tall Man </w:t>
      </w:r>
    </w:p>
    <w:p w14:paraId="2B7FC9BF" w14:textId="77777777" w:rsidR="00DF1354" w:rsidRPr="00DD30DD" w:rsidRDefault="00DF1354" w:rsidP="00DF1354">
      <w:pPr>
        <w:pStyle w:val="Title"/>
        <w:rPr>
          <w:rFonts w:eastAsia="MS Gothic"/>
          <w:color w:val="FDF0BE"/>
          <w:sz w:val="72"/>
          <w:szCs w:val="72"/>
        </w:rPr>
      </w:pPr>
      <w:r w:rsidRPr="00DD30DD">
        <w:rPr>
          <w:rFonts w:eastAsia="MS Gothic"/>
          <w:color w:val="FDF0BE"/>
          <w:sz w:val="72"/>
          <w:szCs w:val="72"/>
        </w:rPr>
        <w:t>Lettering List</w:t>
      </w:r>
    </w:p>
    <w:p w14:paraId="606B6D71" w14:textId="77777777" w:rsidR="00DF1354" w:rsidRDefault="00DF1354" w:rsidP="00DF1354">
      <w:pPr>
        <w:pStyle w:val="Subtitle"/>
        <w:rPr>
          <w:rFonts w:eastAsia="MS Gothic"/>
          <w:color w:val="FFFFFF" w:themeColor="background1"/>
        </w:rPr>
      </w:pPr>
      <w:bookmarkStart w:id="0" w:name="_Toc476822633"/>
      <w:bookmarkStart w:id="1" w:name="_Toc476822654"/>
      <w:bookmarkStart w:id="2" w:name="_Toc476822854"/>
      <w:bookmarkStart w:id="3" w:name="_Toc476823158"/>
      <w:bookmarkStart w:id="4" w:name="_Toc476823667"/>
      <w:r w:rsidRPr="000B6A94">
        <w:rPr>
          <w:rFonts w:eastAsia="MS Gothic"/>
          <w:color w:val="FFFFFF" w:themeColor="background1"/>
        </w:rPr>
        <w:t>Issues register report</w:t>
      </w:r>
    </w:p>
    <w:p w14:paraId="10ACEAFE" w14:textId="77777777" w:rsidR="00720140" w:rsidRDefault="00720140" w:rsidP="00720140">
      <w:pPr>
        <w:rPr>
          <w:rFonts w:eastAsia="MS Gothic"/>
        </w:rPr>
      </w:pPr>
    </w:p>
    <w:p w14:paraId="5C3786BD" w14:textId="77777777" w:rsidR="00720140" w:rsidRPr="00720140" w:rsidRDefault="00720140" w:rsidP="00720140">
      <w:pPr>
        <w:pStyle w:val="PublicationDate"/>
        <w:rPr>
          <w:color w:val="FFFFFF" w:themeColor="background1"/>
          <w:sz w:val="36"/>
        </w:rPr>
      </w:pPr>
      <w:r w:rsidRPr="00720140">
        <w:rPr>
          <w:color w:val="FFFFFF" w:themeColor="background1"/>
          <w:sz w:val="36"/>
        </w:rPr>
        <w:t>November 2017</w:t>
      </w:r>
    </w:p>
    <w:p w14:paraId="54BFC6B9" w14:textId="77777777" w:rsidR="00720140" w:rsidRPr="00720140" w:rsidRDefault="00720140" w:rsidP="00720140">
      <w:pPr>
        <w:rPr>
          <w:rFonts w:eastAsia="MS Gothic"/>
        </w:rPr>
      </w:pPr>
    </w:p>
    <w:p w14:paraId="145265B7" w14:textId="77777777" w:rsidR="00BC07E4" w:rsidRPr="00BC07E4" w:rsidRDefault="00BC07E4" w:rsidP="00BC07E4">
      <w:r>
        <w:br w:type="page"/>
      </w:r>
    </w:p>
    <w:p w14:paraId="3814D2E8"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11EBD551" w14:textId="77777777" w:rsidR="009A007B" w:rsidRPr="009A007B" w:rsidRDefault="009A007B" w:rsidP="009A007B">
      <w:r w:rsidRPr="00B47076">
        <w:t>Phone: (02) 9126 3600</w:t>
      </w:r>
      <w:r>
        <w:br/>
        <w:t>Fax: (02) 9126 3613</w:t>
      </w:r>
    </w:p>
    <w:p w14:paraId="1F633F66" w14:textId="77777777" w:rsidR="009A007B" w:rsidRPr="00A77349" w:rsidRDefault="00DF1354"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t>Email: accreditation</w:t>
      </w:r>
      <w:r w:rsidR="009A007B" w:rsidRPr="00B47076">
        <w:t xml:space="preserve">@safetyandquality.gov.au </w:t>
      </w:r>
      <w:r w:rsidR="009A007B">
        <w:br/>
      </w:r>
      <w:r w:rsidR="009A007B" w:rsidRPr="00B47076">
        <w:t>Website: www.safetyandqu</w:t>
      </w:r>
      <w:r w:rsidR="009A007B" w:rsidRPr="00A77349">
        <w:t>ality.gov.au</w:t>
      </w:r>
      <w:r w:rsidR="009A007B"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3D83DDA8" w14:textId="77777777" w:rsidR="009A007B" w:rsidRPr="005A46DC" w:rsidRDefault="009A007B" w:rsidP="009A007B">
      <w:r w:rsidRPr="005A46DC">
        <w:t xml:space="preserve">ISBN: </w:t>
      </w:r>
      <w:r w:rsidR="00F35E57" w:rsidRPr="005A46DC">
        <w:rPr>
          <w:rFonts w:ascii="Arial" w:hAnsi="Arial" w:cs="Arial"/>
          <w:szCs w:val="20"/>
        </w:rPr>
        <w:t>978-1-925665-18-5</w:t>
      </w:r>
    </w:p>
    <w:p w14:paraId="06DB5951" w14:textId="77777777" w:rsidR="009A007B" w:rsidRPr="009A007B" w:rsidRDefault="009A007B" w:rsidP="009A007B">
      <w:r w:rsidRPr="00B47076">
        <w:t xml:space="preserve">© Australian Commission on Safety and Quality in Health Care </w:t>
      </w:r>
      <w:r w:rsidR="00DF1354">
        <w:t>2017</w:t>
      </w:r>
    </w:p>
    <w:p w14:paraId="27FE1F64"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5B070430"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37387C81"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9"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0D0D3D41" w14:textId="77777777" w:rsidR="00EF5C37" w:rsidRPr="00EF5C37" w:rsidRDefault="00EF5C37" w:rsidP="00EF5C37">
      <w:r w:rsidRPr="00EF5C37">
        <w:rPr>
          <w:noProof/>
        </w:rPr>
        <w:drawing>
          <wp:inline distT="0" distB="0" distL="0" distR="0" wp14:anchorId="678FC407" wp14:editId="11603BA7">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4FF398AA" w14:textId="77777777" w:rsidR="00EF5C37" w:rsidRPr="00EF5C37" w:rsidRDefault="00EF5C37" w:rsidP="00EF5C37">
      <w:r w:rsidRPr="00EF5C37">
        <w:t xml:space="preserve">Enquiries about the licence and any use of this publication are welcome and can be sent to </w:t>
      </w:r>
      <w:hyperlink r:id="rId11" w:history="1">
        <w:r w:rsidRPr="00EF5C37">
          <w:rPr>
            <w:rStyle w:val="Hyperlink"/>
          </w:rPr>
          <w:t>communications@safetyandquality.gov.au</w:t>
        </w:r>
      </w:hyperlink>
      <w:r w:rsidRPr="00EF5C37">
        <w:t>.</w:t>
      </w:r>
    </w:p>
    <w:p w14:paraId="4F34987C" w14:textId="77777777" w:rsidR="00EF5C37" w:rsidRPr="00EF5C37" w:rsidRDefault="00EF5C37" w:rsidP="00EF5C37">
      <w:r w:rsidRPr="00EF5C37">
        <w:t xml:space="preserve">The Commission’s preference is that you attribute this publication (and any material sourced from it) using the following citation: </w:t>
      </w:r>
    </w:p>
    <w:p w14:paraId="2FCAA803" w14:textId="77777777" w:rsidR="009A007B" w:rsidRPr="009A007B" w:rsidRDefault="009A007B" w:rsidP="009A007B"/>
    <w:p w14:paraId="0C9C4233" w14:textId="77777777" w:rsidR="009A007B" w:rsidRPr="009A007B" w:rsidRDefault="009A007B" w:rsidP="009A007B">
      <w:pPr>
        <w:ind w:left="720"/>
      </w:pPr>
      <w:proofErr w:type="gramStart"/>
      <w:r w:rsidRPr="00CD41A5">
        <w:t>Australian Commission on Safety and Quality in Health Care.</w:t>
      </w:r>
      <w:proofErr w:type="gramEnd"/>
      <w:r w:rsidRPr="00CD41A5">
        <w:t xml:space="preserve"> </w:t>
      </w:r>
      <w:r w:rsidR="00CD41A5" w:rsidRPr="007D741C">
        <w:t>National Tall Man Lettering List: Issues register repor</w:t>
      </w:r>
      <w:r w:rsidR="00CD41A5" w:rsidRPr="00D90D1D">
        <w:t>t</w:t>
      </w:r>
      <w:r w:rsidRPr="00CD41A5">
        <w:t xml:space="preserve">. Sydney: ACSQHC; </w:t>
      </w:r>
      <w:r w:rsidR="00CD41A5" w:rsidRPr="00CD41A5">
        <w:t>2017</w:t>
      </w:r>
      <w:r w:rsidR="00CD41A5">
        <w:t>.</w:t>
      </w:r>
      <w:r w:rsidR="00DB5911">
        <w:br/>
      </w:r>
    </w:p>
    <w:p w14:paraId="61A46076" w14:textId="77777777" w:rsidR="002F7E6F" w:rsidRDefault="002F7E6F" w:rsidP="009A007B">
      <w:pPr>
        <w:rPr>
          <w:rStyle w:val="Strong"/>
        </w:rPr>
      </w:pPr>
    </w:p>
    <w:p w14:paraId="7A158912" w14:textId="77777777" w:rsidR="00EF5C37" w:rsidRPr="00EF5C37" w:rsidRDefault="00EF5C37" w:rsidP="00EF5C37">
      <w:pPr>
        <w:rPr>
          <w:b/>
          <w:bCs/>
        </w:rPr>
      </w:pPr>
      <w:r w:rsidRPr="00EF5C37">
        <w:rPr>
          <w:b/>
          <w:bCs/>
        </w:rPr>
        <w:t>Disclaimer</w:t>
      </w:r>
    </w:p>
    <w:p w14:paraId="2738818F" w14:textId="77777777" w:rsidR="00EF5C37" w:rsidRPr="00EF5C37" w:rsidRDefault="00EF5C37" w:rsidP="00EF5C37">
      <w:pPr>
        <w:rPr>
          <w:bCs/>
        </w:rPr>
      </w:pPr>
      <w:r w:rsidRPr="00EF5C37">
        <w:rPr>
          <w:bCs/>
        </w:rP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14:paraId="3DCF14E7" w14:textId="77777777"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r w:rsidR="009A007B" w:rsidRPr="00EF5C37">
        <w:t xml:space="preserve"> </w:t>
      </w:r>
    </w:p>
    <w:p w14:paraId="4C61C679" w14:textId="77777777" w:rsidR="00BC07E4" w:rsidRPr="00BC07E4" w:rsidRDefault="00BC07E4" w:rsidP="009A007B">
      <w:r>
        <w:br w:type="page"/>
      </w:r>
    </w:p>
    <w:bookmarkEnd w:id="4" w:displacedByCustomXml="next"/>
    <w:bookmarkEnd w:id="3" w:displacedByCustomXml="next"/>
    <w:bookmarkEnd w:id="2" w:displacedByCustomXml="next"/>
    <w:bookmarkEnd w:id="1" w:displacedByCustomXml="next"/>
    <w:bookmarkEnd w:id="0" w:displacedByCustomXml="next"/>
    <w:sdt>
      <w:sdtPr>
        <w:rPr>
          <w:rFonts w:asciiTheme="minorHAnsi" w:eastAsia="Times New Roman" w:hAnsiTheme="minorHAnsi" w:cs="Times New Roman"/>
          <w:b w:val="0"/>
          <w:bCs w:val="0"/>
          <w:color w:val="auto"/>
          <w:sz w:val="22"/>
          <w:szCs w:val="22"/>
          <w:lang w:val="en-AU" w:eastAsia="en-AU"/>
        </w:rPr>
        <w:id w:val="1732657615"/>
        <w:docPartObj>
          <w:docPartGallery w:val="Table of Contents"/>
          <w:docPartUnique/>
        </w:docPartObj>
      </w:sdtPr>
      <w:sdtEndPr>
        <w:rPr>
          <w:noProof/>
        </w:rPr>
      </w:sdtEndPr>
      <w:sdtContent>
        <w:p w14:paraId="5E07E0A7" w14:textId="77777777" w:rsidR="00092E02" w:rsidRDefault="00092E02" w:rsidP="00092E02">
          <w:pPr>
            <w:pStyle w:val="TOCHeading"/>
          </w:pPr>
          <w:r>
            <w:t>Contents</w:t>
          </w:r>
        </w:p>
        <w:p w14:paraId="6F42588E" w14:textId="77777777" w:rsidR="00A16EF7" w:rsidRDefault="00092E02">
          <w:pPr>
            <w:pStyle w:val="TOC1"/>
            <w:tabs>
              <w:tab w:val="right" w:leader="dot" w:pos="9062"/>
            </w:tabs>
            <w:rPr>
              <w:rFonts w:eastAsiaTheme="minorEastAsia" w:cstheme="minorBidi"/>
              <w:b w:val="0"/>
              <w:bCs w:val="0"/>
              <w:noProof/>
              <w:color w:val="auto"/>
              <w:sz w:val="22"/>
              <w:szCs w:val="22"/>
            </w:rPr>
          </w:pPr>
          <w:r>
            <w:fldChar w:fldCharType="begin"/>
          </w:r>
          <w:r>
            <w:instrText xml:space="preserve"> TOC \o "1-4" \h \z \u </w:instrText>
          </w:r>
          <w:r>
            <w:fldChar w:fldCharType="separate"/>
          </w:r>
          <w:hyperlink w:anchor="_Toc497401660" w:history="1">
            <w:r w:rsidR="00A16EF7" w:rsidRPr="00C91C36">
              <w:rPr>
                <w:rStyle w:val="Hyperlink"/>
                <w:noProof/>
              </w:rPr>
              <w:t>Introduction</w:t>
            </w:r>
            <w:r w:rsidR="00A16EF7">
              <w:rPr>
                <w:noProof/>
                <w:webHidden/>
              </w:rPr>
              <w:tab/>
            </w:r>
            <w:r w:rsidR="00A16EF7">
              <w:rPr>
                <w:noProof/>
                <w:webHidden/>
              </w:rPr>
              <w:fldChar w:fldCharType="begin"/>
            </w:r>
            <w:r w:rsidR="00A16EF7">
              <w:rPr>
                <w:noProof/>
                <w:webHidden/>
              </w:rPr>
              <w:instrText xml:space="preserve"> PAGEREF _Toc497401660 \h </w:instrText>
            </w:r>
            <w:r w:rsidR="00A16EF7">
              <w:rPr>
                <w:noProof/>
                <w:webHidden/>
              </w:rPr>
            </w:r>
            <w:r w:rsidR="00A16EF7">
              <w:rPr>
                <w:noProof/>
                <w:webHidden/>
              </w:rPr>
              <w:fldChar w:fldCharType="separate"/>
            </w:r>
            <w:r w:rsidR="00AE35B1">
              <w:rPr>
                <w:noProof/>
                <w:webHidden/>
              </w:rPr>
              <w:t>4</w:t>
            </w:r>
            <w:r w:rsidR="00A16EF7">
              <w:rPr>
                <w:noProof/>
                <w:webHidden/>
              </w:rPr>
              <w:fldChar w:fldCharType="end"/>
            </w:r>
          </w:hyperlink>
        </w:p>
        <w:p w14:paraId="5F4C4362" w14:textId="77777777" w:rsidR="00A16EF7" w:rsidRDefault="00431D5E">
          <w:pPr>
            <w:pStyle w:val="TOC2"/>
            <w:rPr>
              <w:rFonts w:eastAsiaTheme="minorEastAsia" w:cstheme="minorBidi"/>
              <w:noProof/>
              <w:szCs w:val="22"/>
            </w:rPr>
          </w:pPr>
          <w:hyperlink w:anchor="_Toc497401661" w:history="1">
            <w:r w:rsidR="00A16EF7" w:rsidRPr="00C91C36">
              <w:rPr>
                <w:rStyle w:val="Hyperlink"/>
                <w:noProof/>
              </w:rPr>
              <w:t>National Tall Man Lettering Issues Register</w:t>
            </w:r>
            <w:r w:rsidR="00A16EF7">
              <w:rPr>
                <w:noProof/>
                <w:webHidden/>
              </w:rPr>
              <w:tab/>
            </w:r>
            <w:r w:rsidR="00A16EF7">
              <w:rPr>
                <w:noProof/>
                <w:webHidden/>
              </w:rPr>
              <w:fldChar w:fldCharType="begin"/>
            </w:r>
            <w:r w:rsidR="00A16EF7">
              <w:rPr>
                <w:noProof/>
                <w:webHidden/>
              </w:rPr>
              <w:instrText xml:space="preserve"> PAGEREF _Toc497401661 \h </w:instrText>
            </w:r>
            <w:r w:rsidR="00A16EF7">
              <w:rPr>
                <w:noProof/>
                <w:webHidden/>
              </w:rPr>
            </w:r>
            <w:r w:rsidR="00A16EF7">
              <w:rPr>
                <w:noProof/>
                <w:webHidden/>
              </w:rPr>
              <w:fldChar w:fldCharType="separate"/>
            </w:r>
            <w:r w:rsidR="00AE35B1">
              <w:rPr>
                <w:noProof/>
                <w:webHidden/>
              </w:rPr>
              <w:t>4</w:t>
            </w:r>
            <w:r w:rsidR="00A16EF7">
              <w:rPr>
                <w:noProof/>
                <w:webHidden/>
              </w:rPr>
              <w:fldChar w:fldCharType="end"/>
            </w:r>
          </w:hyperlink>
        </w:p>
        <w:p w14:paraId="0BC1F3ED" w14:textId="77777777" w:rsidR="00A16EF7" w:rsidRDefault="00431D5E">
          <w:pPr>
            <w:pStyle w:val="TOC1"/>
            <w:tabs>
              <w:tab w:val="right" w:leader="dot" w:pos="9062"/>
            </w:tabs>
            <w:rPr>
              <w:rFonts w:eastAsiaTheme="minorEastAsia" w:cstheme="minorBidi"/>
              <w:b w:val="0"/>
              <w:bCs w:val="0"/>
              <w:noProof/>
              <w:color w:val="auto"/>
              <w:sz w:val="22"/>
              <w:szCs w:val="22"/>
            </w:rPr>
          </w:pPr>
          <w:hyperlink w:anchor="_Toc497401662" w:history="1">
            <w:r w:rsidR="00A16EF7" w:rsidRPr="00C91C36">
              <w:rPr>
                <w:rStyle w:val="Hyperlink"/>
                <w:noProof/>
              </w:rPr>
              <w:t>Figure 1: Issues and outcome summaries</w:t>
            </w:r>
            <w:r w:rsidR="00A16EF7">
              <w:rPr>
                <w:noProof/>
                <w:webHidden/>
              </w:rPr>
              <w:tab/>
            </w:r>
            <w:r w:rsidR="00A16EF7">
              <w:rPr>
                <w:noProof/>
                <w:webHidden/>
              </w:rPr>
              <w:fldChar w:fldCharType="begin"/>
            </w:r>
            <w:r w:rsidR="00A16EF7">
              <w:rPr>
                <w:noProof/>
                <w:webHidden/>
              </w:rPr>
              <w:instrText xml:space="preserve"> PAGEREF _Toc497401662 \h </w:instrText>
            </w:r>
            <w:r w:rsidR="00A16EF7">
              <w:rPr>
                <w:noProof/>
                <w:webHidden/>
              </w:rPr>
            </w:r>
            <w:r w:rsidR="00A16EF7">
              <w:rPr>
                <w:noProof/>
                <w:webHidden/>
              </w:rPr>
              <w:fldChar w:fldCharType="separate"/>
            </w:r>
            <w:r w:rsidR="00AE35B1">
              <w:rPr>
                <w:noProof/>
                <w:webHidden/>
              </w:rPr>
              <w:t>5</w:t>
            </w:r>
            <w:r w:rsidR="00A16EF7">
              <w:rPr>
                <w:noProof/>
                <w:webHidden/>
              </w:rPr>
              <w:fldChar w:fldCharType="end"/>
            </w:r>
          </w:hyperlink>
        </w:p>
        <w:p w14:paraId="2AB77F19" w14:textId="77777777" w:rsidR="00A16EF7" w:rsidRDefault="00431D5E">
          <w:pPr>
            <w:pStyle w:val="TOC1"/>
            <w:tabs>
              <w:tab w:val="right" w:leader="dot" w:pos="9062"/>
            </w:tabs>
            <w:rPr>
              <w:rFonts w:eastAsiaTheme="minorEastAsia" w:cstheme="minorBidi"/>
              <w:b w:val="0"/>
              <w:bCs w:val="0"/>
              <w:noProof/>
              <w:color w:val="auto"/>
              <w:sz w:val="22"/>
              <w:szCs w:val="22"/>
            </w:rPr>
          </w:pPr>
          <w:hyperlink w:anchor="_Toc497401663" w:history="1">
            <w:r w:rsidR="00A16EF7" w:rsidRPr="00C91C36">
              <w:rPr>
                <w:rStyle w:val="Hyperlink"/>
                <w:noProof/>
              </w:rPr>
              <w:t xml:space="preserve">Rationale for the general revision of the </w:t>
            </w:r>
            <w:r w:rsidR="00A16EF7" w:rsidRPr="00C91C36">
              <w:rPr>
                <w:rStyle w:val="Hyperlink"/>
                <w:i/>
                <w:noProof/>
              </w:rPr>
              <w:t>National Tall Man Lettering List</w:t>
            </w:r>
            <w:r w:rsidR="00A16EF7">
              <w:rPr>
                <w:noProof/>
                <w:webHidden/>
              </w:rPr>
              <w:tab/>
            </w:r>
            <w:r w:rsidR="00A16EF7">
              <w:rPr>
                <w:noProof/>
                <w:webHidden/>
              </w:rPr>
              <w:fldChar w:fldCharType="begin"/>
            </w:r>
            <w:r w:rsidR="00A16EF7">
              <w:rPr>
                <w:noProof/>
                <w:webHidden/>
              </w:rPr>
              <w:instrText xml:space="preserve"> PAGEREF _Toc497401663 \h </w:instrText>
            </w:r>
            <w:r w:rsidR="00A16EF7">
              <w:rPr>
                <w:noProof/>
                <w:webHidden/>
              </w:rPr>
            </w:r>
            <w:r w:rsidR="00A16EF7">
              <w:rPr>
                <w:noProof/>
                <w:webHidden/>
              </w:rPr>
              <w:fldChar w:fldCharType="separate"/>
            </w:r>
            <w:r w:rsidR="00AE35B1">
              <w:rPr>
                <w:noProof/>
                <w:webHidden/>
              </w:rPr>
              <w:t>8</w:t>
            </w:r>
            <w:r w:rsidR="00A16EF7">
              <w:rPr>
                <w:noProof/>
                <w:webHidden/>
              </w:rPr>
              <w:fldChar w:fldCharType="end"/>
            </w:r>
          </w:hyperlink>
        </w:p>
        <w:p w14:paraId="5C93BE2B" w14:textId="77777777" w:rsidR="00A16EF7" w:rsidRDefault="00431D5E">
          <w:pPr>
            <w:pStyle w:val="TOC2"/>
            <w:rPr>
              <w:rFonts w:eastAsiaTheme="minorEastAsia" w:cstheme="minorBidi"/>
              <w:noProof/>
              <w:szCs w:val="22"/>
            </w:rPr>
          </w:pPr>
          <w:hyperlink w:anchor="_Toc497401664" w:history="1">
            <w:r w:rsidR="00A16EF7" w:rsidRPr="00C91C36">
              <w:rPr>
                <w:rStyle w:val="Hyperlink"/>
                <w:noProof/>
              </w:rPr>
              <w:t>Discontinued medicines (including brands of medicines)</w:t>
            </w:r>
            <w:r w:rsidR="00A16EF7">
              <w:rPr>
                <w:noProof/>
                <w:webHidden/>
              </w:rPr>
              <w:tab/>
            </w:r>
            <w:r w:rsidR="00A16EF7">
              <w:rPr>
                <w:noProof/>
                <w:webHidden/>
              </w:rPr>
              <w:fldChar w:fldCharType="begin"/>
            </w:r>
            <w:r w:rsidR="00A16EF7">
              <w:rPr>
                <w:noProof/>
                <w:webHidden/>
              </w:rPr>
              <w:instrText xml:space="preserve"> PAGEREF _Toc497401664 \h </w:instrText>
            </w:r>
            <w:r w:rsidR="00A16EF7">
              <w:rPr>
                <w:noProof/>
                <w:webHidden/>
              </w:rPr>
            </w:r>
            <w:r w:rsidR="00A16EF7">
              <w:rPr>
                <w:noProof/>
                <w:webHidden/>
              </w:rPr>
              <w:fldChar w:fldCharType="separate"/>
            </w:r>
            <w:r w:rsidR="00AE35B1">
              <w:rPr>
                <w:noProof/>
                <w:webHidden/>
              </w:rPr>
              <w:t>8</w:t>
            </w:r>
            <w:r w:rsidR="00A16EF7">
              <w:rPr>
                <w:noProof/>
                <w:webHidden/>
              </w:rPr>
              <w:fldChar w:fldCharType="end"/>
            </w:r>
          </w:hyperlink>
        </w:p>
        <w:p w14:paraId="2AF35A87" w14:textId="77777777" w:rsidR="00A16EF7" w:rsidRDefault="00431D5E">
          <w:pPr>
            <w:pStyle w:val="TOC2"/>
            <w:rPr>
              <w:rFonts w:eastAsiaTheme="minorEastAsia" w:cstheme="minorBidi"/>
              <w:noProof/>
              <w:szCs w:val="22"/>
            </w:rPr>
          </w:pPr>
          <w:hyperlink w:anchor="_Toc497401665" w:history="1">
            <w:r w:rsidR="00A16EF7" w:rsidRPr="00C91C36">
              <w:rPr>
                <w:rStyle w:val="Hyperlink"/>
                <w:noProof/>
              </w:rPr>
              <w:t>International harmonisation of medicine names</w:t>
            </w:r>
            <w:r w:rsidR="00A16EF7">
              <w:rPr>
                <w:noProof/>
                <w:webHidden/>
              </w:rPr>
              <w:tab/>
            </w:r>
            <w:r w:rsidR="00A16EF7">
              <w:rPr>
                <w:noProof/>
                <w:webHidden/>
              </w:rPr>
              <w:fldChar w:fldCharType="begin"/>
            </w:r>
            <w:r w:rsidR="00A16EF7">
              <w:rPr>
                <w:noProof/>
                <w:webHidden/>
              </w:rPr>
              <w:instrText xml:space="preserve"> PAGEREF _Toc497401665 \h </w:instrText>
            </w:r>
            <w:r w:rsidR="00A16EF7">
              <w:rPr>
                <w:noProof/>
                <w:webHidden/>
              </w:rPr>
            </w:r>
            <w:r w:rsidR="00A16EF7">
              <w:rPr>
                <w:noProof/>
                <w:webHidden/>
              </w:rPr>
              <w:fldChar w:fldCharType="separate"/>
            </w:r>
            <w:r w:rsidR="00AE35B1">
              <w:rPr>
                <w:noProof/>
                <w:webHidden/>
              </w:rPr>
              <w:t>8</w:t>
            </w:r>
            <w:r w:rsidR="00A16EF7">
              <w:rPr>
                <w:noProof/>
                <w:webHidden/>
              </w:rPr>
              <w:fldChar w:fldCharType="end"/>
            </w:r>
          </w:hyperlink>
        </w:p>
        <w:p w14:paraId="54E4BDE4" w14:textId="77777777" w:rsidR="00A16EF7" w:rsidRDefault="00431D5E">
          <w:pPr>
            <w:pStyle w:val="TOC3"/>
            <w:rPr>
              <w:rFonts w:eastAsiaTheme="minorEastAsia" w:cstheme="minorBidi"/>
              <w:iCs w:val="0"/>
              <w:szCs w:val="22"/>
            </w:rPr>
          </w:pPr>
          <w:hyperlink w:anchor="_Toc497401666" w:history="1">
            <w:r w:rsidR="00A16EF7" w:rsidRPr="00C91C36">
              <w:rPr>
                <w:rStyle w:val="Hyperlink"/>
              </w:rPr>
              <w:t>Table 1: Tall Man Lettering:  List of medicines with dual labelling</w:t>
            </w:r>
            <w:r w:rsidR="00A16EF7">
              <w:rPr>
                <w:webHidden/>
              </w:rPr>
              <w:tab/>
            </w:r>
            <w:r w:rsidR="00A16EF7">
              <w:rPr>
                <w:webHidden/>
              </w:rPr>
              <w:fldChar w:fldCharType="begin"/>
            </w:r>
            <w:r w:rsidR="00A16EF7">
              <w:rPr>
                <w:webHidden/>
              </w:rPr>
              <w:instrText xml:space="preserve"> PAGEREF _Toc497401666 \h </w:instrText>
            </w:r>
            <w:r w:rsidR="00A16EF7">
              <w:rPr>
                <w:webHidden/>
              </w:rPr>
            </w:r>
            <w:r w:rsidR="00A16EF7">
              <w:rPr>
                <w:webHidden/>
              </w:rPr>
              <w:fldChar w:fldCharType="separate"/>
            </w:r>
            <w:r w:rsidR="00AE35B1">
              <w:rPr>
                <w:webHidden/>
              </w:rPr>
              <w:t>9</w:t>
            </w:r>
            <w:r w:rsidR="00A16EF7">
              <w:rPr>
                <w:webHidden/>
              </w:rPr>
              <w:fldChar w:fldCharType="end"/>
            </w:r>
          </w:hyperlink>
        </w:p>
        <w:p w14:paraId="6655AD4A" w14:textId="77777777" w:rsidR="00A16EF7" w:rsidRDefault="00431D5E">
          <w:pPr>
            <w:pStyle w:val="TOC2"/>
            <w:rPr>
              <w:rFonts w:eastAsiaTheme="minorEastAsia" w:cstheme="minorBidi"/>
              <w:noProof/>
              <w:szCs w:val="22"/>
            </w:rPr>
          </w:pPr>
          <w:hyperlink w:anchor="_Toc497401667" w:history="1">
            <w:r w:rsidR="00A16EF7" w:rsidRPr="00C91C36">
              <w:rPr>
                <w:rStyle w:val="Hyperlink"/>
                <w:noProof/>
              </w:rPr>
              <w:t>Other revisions relating to use of ‘sans serif’ font</w:t>
            </w:r>
            <w:r w:rsidR="00A16EF7">
              <w:rPr>
                <w:noProof/>
                <w:webHidden/>
              </w:rPr>
              <w:tab/>
            </w:r>
            <w:r w:rsidR="00A16EF7">
              <w:rPr>
                <w:noProof/>
                <w:webHidden/>
              </w:rPr>
              <w:fldChar w:fldCharType="begin"/>
            </w:r>
            <w:r w:rsidR="00A16EF7">
              <w:rPr>
                <w:noProof/>
                <w:webHidden/>
              </w:rPr>
              <w:instrText xml:space="preserve"> PAGEREF _Toc497401667 \h </w:instrText>
            </w:r>
            <w:r w:rsidR="00A16EF7">
              <w:rPr>
                <w:noProof/>
                <w:webHidden/>
              </w:rPr>
            </w:r>
            <w:r w:rsidR="00A16EF7">
              <w:rPr>
                <w:noProof/>
                <w:webHidden/>
              </w:rPr>
              <w:fldChar w:fldCharType="separate"/>
            </w:r>
            <w:r w:rsidR="00AE35B1">
              <w:rPr>
                <w:noProof/>
                <w:webHidden/>
              </w:rPr>
              <w:t>10</w:t>
            </w:r>
            <w:r w:rsidR="00A16EF7">
              <w:rPr>
                <w:noProof/>
                <w:webHidden/>
              </w:rPr>
              <w:fldChar w:fldCharType="end"/>
            </w:r>
          </w:hyperlink>
        </w:p>
        <w:p w14:paraId="7FE5EB70" w14:textId="77777777" w:rsidR="00A16EF7" w:rsidRDefault="00431D5E">
          <w:pPr>
            <w:pStyle w:val="TOC2"/>
            <w:rPr>
              <w:rFonts w:eastAsiaTheme="minorEastAsia" w:cstheme="minorBidi"/>
              <w:noProof/>
              <w:szCs w:val="22"/>
            </w:rPr>
          </w:pPr>
          <w:hyperlink w:anchor="_Toc497401668" w:history="1">
            <w:r w:rsidR="00A16EF7" w:rsidRPr="00C91C36">
              <w:rPr>
                <w:rStyle w:val="Hyperlink"/>
                <w:noProof/>
              </w:rPr>
              <w:t>Monoclonal antibodies (MABs)</w:t>
            </w:r>
            <w:r w:rsidR="00A16EF7">
              <w:rPr>
                <w:noProof/>
                <w:webHidden/>
              </w:rPr>
              <w:tab/>
            </w:r>
            <w:r w:rsidR="00A16EF7">
              <w:rPr>
                <w:noProof/>
                <w:webHidden/>
              </w:rPr>
              <w:fldChar w:fldCharType="begin"/>
            </w:r>
            <w:r w:rsidR="00A16EF7">
              <w:rPr>
                <w:noProof/>
                <w:webHidden/>
              </w:rPr>
              <w:instrText xml:space="preserve"> PAGEREF _Toc497401668 \h </w:instrText>
            </w:r>
            <w:r w:rsidR="00A16EF7">
              <w:rPr>
                <w:noProof/>
                <w:webHidden/>
              </w:rPr>
            </w:r>
            <w:r w:rsidR="00A16EF7">
              <w:rPr>
                <w:noProof/>
                <w:webHidden/>
              </w:rPr>
              <w:fldChar w:fldCharType="separate"/>
            </w:r>
            <w:r w:rsidR="00AE35B1">
              <w:rPr>
                <w:noProof/>
                <w:webHidden/>
              </w:rPr>
              <w:t>10</w:t>
            </w:r>
            <w:r w:rsidR="00A16EF7">
              <w:rPr>
                <w:noProof/>
                <w:webHidden/>
              </w:rPr>
              <w:fldChar w:fldCharType="end"/>
            </w:r>
          </w:hyperlink>
        </w:p>
        <w:p w14:paraId="328615AF" w14:textId="77777777" w:rsidR="00A16EF7" w:rsidRDefault="00431D5E">
          <w:pPr>
            <w:pStyle w:val="TOC2"/>
            <w:rPr>
              <w:rFonts w:eastAsiaTheme="minorEastAsia" w:cstheme="minorBidi"/>
              <w:noProof/>
              <w:szCs w:val="22"/>
            </w:rPr>
          </w:pPr>
          <w:hyperlink w:anchor="_Toc497401669" w:history="1">
            <w:r w:rsidR="00A16EF7" w:rsidRPr="00C91C36">
              <w:rPr>
                <w:rStyle w:val="Hyperlink"/>
                <w:noProof/>
              </w:rPr>
              <w:t>Neuromuscular blocking agents (NMBAs)</w:t>
            </w:r>
            <w:r w:rsidR="00A16EF7">
              <w:rPr>
                <w:noProof/>
                <w:webHidden/>
              </w:rPr>
              <w:tab/>
            </w:r>
            <w:r w:rsidR="00A16EF7">
              <w:rPr>
                <w:noProof/>
                <w:webHidden/>
              </w:rPr>
              <w:fldChar w:fldCharType="begin"/>
            </w:r>
            <w:r w:rsidR="00A16EF7">
              <w:rPr>
                <w:noProof/>
                <w:webHidden/>
              </w:rPr>
              <w:instrText xml:space="preserve"> PAGEREF _Toc497401669 \h </w:instrText>
            </w:r>
            <w:r w:rsidR="00A16EF7">
              <w:rPr>
                <w:noProof/>
                <w:webHidden/>
              </w:rPr>
            </w:r>
            <w:r w:rsidR="00A16EF7">
              <w:rPr>
                <w:noProof/>
                <w:webHidden/>
              </w:rPr>
              <w:fldChar w:fldCharType="separate"/>
            </w:r>
            <w:r w:rsidR="00AE35B1">
              <w:rPr>
                <w:noProof/>
                <w:webHidden/>
              </w:rPr>
              <w:t>10</w:t>
            </w:r>
            <w:r w:rsidR="00A16EF7">
              <w:rPr>
                <w:noProof/>
                <w:webHidden/>
              </w:rPr>
              <w:fldChar w:fldCharType="end"/>
            </w:r>
          </w:hyperlink>
        </w:p>
        <w:p w14:paraId="5CFAA6ED" w14:textId="4C4E51A8" w:rsidR="00A16EF7" w:rsidRDefault="00431D5E">
          <w:pPr>
            <w:pStyle w:val="TOC3"/>
            <w:rPr>
              <w:rFonts w:eastAsiaTheme="minorEastAsia" w:cstheme="minorBidi"/>
              <w:iCs w:val="0"/>
              <w:szCs w:val="22"/>
            </w:rPr>
          </w:pPr>
          <w:hyperlink w:anchor="_Toc497401670" w:history="1">
            <w:r w:rsidR="00A16EF7" w:rsidRPr="00C91C36">
              <w:rPr>
                <w:rStyle w:val="Hyperlink"/>
              </w:rPr>
              <w:t>Figure 2: Best practice recommendations for NMBAs</w:t>
            </w:r>
            <w:r w:rsidR="00856918">
              <w:rPr>
                <w:rStyle w:val="Hyperlink"/>
              </w:rPr>
              <w:t xml:space="preserve">                                                     </w:t>
            </w:r>
            <w:r w:rsidR="00A16EF7">
              <w:rPr>
                <w:webHidden/>
              </w:rPr>
              <w:fldChar w:fldCharType="begin"/>
            </w:r>
            <w:r w:rsidR="00A16EF7">
              <w:rPr>
                <w:webHidden/>
              </w:rPr>
              <w:instrText xml:space="preserve"> PAGEREF _Toc497401670 \h </w:instrText>
            </w:r>
            <w:r w:rsidR="00A16EF7">
              <w:rPr>
                <w:webHidden/>
              </w:rPr>
            </w:r>
            <w:r w:rsidR="00A16EF7">
              <w:rPr>
                <w:webHidden/>
              </w:rPr>
              <w:fldChar w:fldCharType="separate"/>
            </w:r>
            <w:r w:rsidR="00AE35B1">
              <w:rPr>
                <w:webHidden/>
              </w:rPr>
              <w:t>11</w:t>
            </w:r>
            <w:r w:rsidR="00A16EF7">
              <w:rPr>
                <w:webHidden/>
              </w:rPr>
              <w:fldChar w:fldCharType="end"/>
            </w:r>
          </w:hyperlink>
        </w:p>
        <w:p w14:paraId="16E2AF76" w14:textId="77777777" w:rsidR="00092E02" w:rsidRDefault="00092E02" w:rsidP="00092E02">
          <w:pPr>
            <w:rPr>
              <w:noProof/>
            </w:rPr>
          </w:pPr>
          <w:r>
            <w:rPr>
              <w:rFonts w:cstheme="minorHAnsi"/>
              <w:color w:val="1178A2" w:themeColor="text2"/>
              <w:sz w:val="24"/>
              <w:szCs w:val="20"/>
            </w:rPr>
            <w:fldChar w:fldCharType="end"/>
          </w:r>
        </w:p>
      </w:sdtContent>
    </w:sdt>
    <w:p w14:paraId="117201C9" w14:textId="77777777" w:rsidR="00092E02" w:rsidRDefault="00092E02">
      <w:pPr>
        <w:spacing w:after="80"/>
        <w:rPr>
          <w:rFonts w:cs="Arial"/>
          <w:b/>
          <w:bCs/>
          <w:color w:val="1178A2"/>
          <w:kern w:val="28"/>
          <w:sz w:val="40"/>
          <w:szCs w:val="32"/>
        </w:rPr>
      </w:pPr>
      <w:r>
        <w:br w:type="page"/>
      </w:r>
    </w:p>
    <w:p w14:paraId="5DBB2D2C" w14:textId="77777777" w:rsidR="009B64E3" w:rsidRDefault="00CD41A5" w:rsidP="009424A5">
      <w:pPr>
        <w:pStyle w:val="Heading1"/>
      </w:pPr>
      <w:bookmarkStart w:id="5" w:name="_Toc497401660"/>
      <w:r>
        <w:lastRenderedPageBreak/>
        <w:t>Introduction</w:t>
      </w:r>
      <w:bookmarkEnd w:id="5"/>
    </w:p>
    <w:p w14:paraId="70C0D0D1" w14:textId="77777777" w:rsidR="00CD41A5" w:rsidRDefault="00CD41A5" w:rsidP="00CD41A5">
      <w:pPr>
        <w:rPr>
          <w:rFonts w:cs="Arial"/>
        </w:rPr>
      </w:pPr>
      <w:bookmarkStart w:id="6" w:name="_Toc476822634"/>
      <w:bookmarkStart w:id="7" w:name="_Toc476822655"/>
      <w:bookmarkStart w:id="8" w:name="_Toc476822855"/>
      <w:bookmarkStart w:id="9" w:name="_Toc476823159"/>
      <w:r>
        <w:rPr>
          <w:rFonts w:cs="Arial"/>
        </w:rPr>
        <w:t>The</w:t>
      </w:r>
      <w:r w:rsidRPr="005D1096">
        <w:rPr>
          <w:rFonts w:cs="Arial"/>
        </w:rPr>
        <w:t xml:space="preserve"> Australian Commission on Safety and Quality in Health Care </w:t>
      </w:r>
      <w:r>
        <w:rPr>
          <w:rFonts w:cs="Arial"/>
        </w:rPr>
        <w:t xml:space="preserve">(the Commission) is responsible for the development and stewardship of </w:t>
      </w:r>
      <w:r w:rsidRPr="007D741C">
        <w:rPr>
          <w:rFonts w:cs="Arial"/>
        </w:rPr>
        <w:t>the National Tall Man Lettering List</w:t>
      </w:r>
      <w:r>
        <w:rPr>
          <w:rFonts w:cs="Arial"/>
        </w:rPr>
        <w:t xml:space="preserve">. </w:t>
      </w:r>
    </w:p>
    <w:p w14:paraId="3017C7FB" w14:textId="77777777" w:rsidR="00CD41A5" w:rsidRDefault="00CD41A5" w:rsidP="007A17F7">
      <w:pPr>
        <w:spacing w:after="0"/>
        <w:rPr>
          <w:rFonts w:cs="Arial"/>
        </w:rPr>
      </w:pPr>
      <w:r w:rsidRPr="00223848">
        <w:rPr>
          <w:rFonts w:cs="Arial"/>
        </w:rPr>
        <w:t>Implementing relevant action items in the National Safety and Quality Health Service (NSQHS) Standards</w:t>
      </w:r>
      <w:r>
        <w:rPr>
          <w:rFonts w:cs="Arial"/>
        </w:rPr>
        <w:t xml:space="preserve"> </w:t>
      </w:r>
      <w:r w:rsidRPr="00223848">
        <w:rPr>
          <w:rFonts w:cs="Arial"/>
        </w:rPr>
        <w:t xml:space="preserve">will assist clinicians to safely </w:t>
      </w:r>
      <w:r>
        <w:rPr>
          <w:rFonts w:cs="Arial"/>
        </w:rPr>
        <w:t xml:space="preserve">store, </w:t>
      </w:r>
      <w:r w:rsidRPr="00223848">
        <w:rPr>
          <w:rFonts w:cs="Arial"/>
        </w:rPr>
        <w:t>prescribe, dis</w:t>
      </w:r>
      <w:r>
        <w:rPr>
          <w:rFonts w:cs="Arial"/>
        </w:rPr>
        <w:t xml:space="preserve">pense and administer </w:t>
      </w:r>
      <w:r w:rsidRPr="00223848">
        <w:rPr>
          <w:rFonts w:cs="Arial"/>
        </w:rPr>
        <w:t xml:space="preserve">medicines.  </w:t>
      </w:r>
      <w:r>
        <w:rPr>
          <w:rFonts w:cs="Arial"/>
        </w:rPr>
        <w:t>Health</w:t>
      </w:r>
      <w:r w:rsidRPr="00C3631B">
        <w:rPr>
          <w:rFonts w:cs="Arial"/>
        </w:rPr>
        <w:t xml:space="preserve"> services seeking accreditation under the Australian Health Service Safety and Quality Accreditation scheme are required</w:t>
      </w:r>
      <w:r>
        <w:rPr>
          <w:rFonts w:cs="Arial"/>
        </w:rPr>
        <w:t xml:space="preserve"> to:</w:t>
      </w:r>
      <w:r w:rsidRPr="00C3631B">
        <w:rPr>
          <w:rFonts w:cs="Arial"/>
        </w:rPr>
        <w:t xml:space="preserve"> </w:t>
      </w:r>
    </w:p>
    <w:p w14:paraId="1B5FAAF3" w14:textId="77777777" w:rsidR="00CD41A5" w:rsidRPr="007D741C" w:rsidRDefault="007A17F7" w:rsidP="007D741C">
      <w:pPr>
        <w:pStyle w:val="ListParagraph"/>
        <w:numPr>
          <w:ilvl w:val="0"/>
          <w:numId w:val="30"/>
        </w:numPr>
        <w:spacing w:after="0"/>
        <w:ind w:left="851" w:hanging="284"/>
        <w:rPr>
          <w:rFonts w:eastAsia="Calibri" w:cs="Arial"/>
          <w:szCs w:val="22"/>
        </w:rPr>
      </w:pPr>
      <w:r w:rsidRPr="007D741C">
        <w:rPr>
          <w:rFonts w:eastAsia="Calibri" w:cs="Arial"/>
          <w:szCs w:val="22"/>
        </w:rPr>
        <w:t>P</w:t>
      </w:r>
      <w:r w:rsidR="00CD41A5" w:rsidRPr="007D741C">
        <w:rPr>
          <w:rFonts w:eastAsia="Calibri" w:cs="Arial"/>
          <w:szCs w:val="22"/>
        </w:rPr>
        <w:t>rovide evidence of implementation of safety strategies</w:t>
      </w:r>
    </w:p>
    <w:p w14:paraId="402DD9AF" w14:textId="77777777" w:rsidR="00CD41A5" w:rsidRPr="007D741C" w:rsidRDefault="007A17F7" w:rsidP="007D741C">
      <w:pPr>
        <w:pStyle w:val="ListParagraph"/>
        <w:numPr>
          <w:ilvl w:val="0"/>
          <w:numId w:val="30"/>
        </w:numPr>
        <w:spacing w:after="0"/>
        <w:ind w:left="851" w:hanging="284"/>
        <w:rPr>
          <w:rFonts w:eastAsia="Calibri" w:cs="Arial"/>
          <w:szCs w:val="22"/>
        </w:rPr>
      </w:pPr>
      <w:r w:rsidRPr="007D741C">
        <w:rPr>
          <w:rFonts w:eastAsia="Calibri" w:cs="Arial"/>
          <w:szCs w:val="22"/>
        </w:rPr>
        <w:t>U</w:t>
      </w:r>
      <w:r w:rsidR="00CD41A5" w:rsidRPr="007D741C">
        <w:rPr>
          <w:rFonts w:eastAsia="Calibri" w:cs="Arial"/>
          <w:szCs w:val="22"/>
        </w:rPr>
        <w:t>ndertake regular assessments of the medication management  pathway</w:t>
      </w:r>
    </w:p>
    <w:p w14:paraId="3A04EB43" w14:textId="77777777" w:rsidR="00CD41A5" w:rsidRPr="007D741C" w:rsidRDefault="007A17F7" w:rsidP="007D741C">
      <w:pPr>
        <w:pStyle w:val="ListParagraph"/>
        <w:numPr>
          <w:ilvl w:val="0"/>
          <w:numId w:val="30"/>
        </w:numPr>
        <w:spacing w:after="100" w:afterAutospacing="1"/>
        <w:ind w:left="851" w:hanging="284"/>
        <w:rPr>
          <w:rFonts w:eastAsia="Calibri" w:cs="Arial"/>
          <w:szCs w:val="22"/>
        </w:rPr>
      </w:pPr>
      <w:r w:rsidRPr="007D741C">
        <w:rPr>
          <w:rFonts w:eastAsia="Calibri" w:cs="Arial"/>
          <w:szCs w:val="22"/>
        </w:rPr>
        <w:t>I</w:t>
      </w:r>
      <w:r w:rsidR="00CD41A5" w:rsidRPr="007D741C">
        <w:rPr>
          <w:rFonts w:eastAsia="Calibri" w:cs="Arial"/>
          <w:szCs w:val="22"/>
        </w:rPr>
        <w:t>dentify risks and take action to reduce these risks.</w:t>
      </w:r>
    </w:p>
    <w:p w14:paraId="69C23743" w14:textId="77777777" w:rsidR="00CD41A5" w:rsidRPr="00FF48B3" w:rsidRDefault="00CD41A5" w:rsidP="00CD41A5">
      <w:pPr>
        <w:rPr>
          <w:rFonts w:cs="Arial"/>
        </w:rPr>
      </w:pPr>
      <w:r>
        <w:rPr>
          <w:rFonts w:cs="Arial"/>
        </w:rPr>
        <w:t>T</w:t>
      </w:r>
      <w:r w:rsidRPr="00223848">
        <w:rPr>
          <w:rFonts w:cs="Arial"/>
        </w:rPr>
        <w:t xml:space="preserve">he </w:t>
      </w:r>
      <w:r w:rsidRPr="007D741C">
        <w:rPr>
          <w:rFonts w:cs="Arial"/>
        </w:rPr>
        <w:t>National Tall Man Lettering List</w:t>
      </w:r>
      <w:r>
        <w:rPr>
          <w:rFonts w:cs="Arial"/>
        </w:rPr>
        <w:t xml:space="preserve"> is</w:t>
      </w:r>
      <w:r w:rsidRPr="00223848">
        <w:rPr>
          <w:rFonts w:cs="Arial"/>
        </w:rPr>
        <w:t xml:space="preserve"> </w:t>
      </w:r>
      <w:r>
        <w:rPr>
          <w:rFonts w:cs="Arial"/>
        </w:rPr>
        <w:t>referred to within</w:t>
      </w:r>
      <w:r w:rsidRPr="00223848">
        <w:rPr>
          <w:rFonts w:cs="Arial"/>
        </w:rPr>
        <w:t xml:space="preserve"> </w:t>
      </w:r>
      <w:r>
        <w:rPr>
          <w:rFonts w:cs="Arial"/>
        </w:rPr>
        <w:t xml:space="preserve">NSQHS Standard 4: </w:t>
      </w:r>
      <w:r w:rsidRPr="00223848">
        <w:rPr>
          <w:rFonts w:cs="Arial"/>
        </w:rPr>
        <w:t>Medication Safety</w:t>
      </w:r>
      <w:r>
        <w:rPr>
          <w:rFonts w:cs="Arial"/>
        </w:rPr>
        <w:t xml:space="preserve">.  Health service organisations are encouraged to consider the application of </w:t>
      </w:r>
      <w:r w:rsidRPr="00E62C51">
        <w:rPr>
          <w:rFonts w:cs="Arial"/>
        </w:rPr>
        <w:t>Tall</w:t>
      </w:r>
      <w:r>
        <w:rPr>
          <w:rFonts w:cs="Arial"/>
        </w:rPr>
        <w:t xml:space="preserve"> Man l</w:t>
      </w:r>
      <w:r w:rsidRPr="00E62C51">
        <w:rPr>
          <w:rFonts w:cs="Arial"/>
        </w:rPr>
        <w:t>ettering</w:t>
      </w:r>
      <w:r>
        <w:rPr>
          <w:rFonts w:cs="Arial"/>
        </w:rPr>
        <w:t xml:space="preserve"> </w:t>
      </w:r>
      <w:r w:rsidRPr="00FF48B3">
        <w:rPr>
          <w:rFonts w:cs="Arial"/>
        </w:rPr>
        <w:t xml:space="preserve">to minimise harm associated with </w:t>
      </w:r>
      <w:r w:rsidR="00107242">
        <w:rPr>
          <w:rFonts w:cs="Arial"/>
        </w:rPr>
        <w:t>look-alike sound-alike (</w:t>
      </w:r>
      <w:r w:rsidRPr="00FF48B3">
        <w:rPr>
          <w:rFonts w:cs="Arial"/>
        </w:rPr>
        <w:t>LASA</w:t>
      </w:r>
      <w:r w:rsidR="00107242">
        <w:rPr>
          <w:rFonts w:cs="Arial"/>
        </w:rPr>
        <w:t>)</w:t>
      </w:r>
      <w:r w:rsidRPr="00FF48B3">
        <w:rPr>
          <w:rFonts w:cs="Arial"/>
        </w:rPr>
        <w:t xml:space="preserve"> medicine name pairs</w:t>
      </w:r>
      <w:r>
        <w:rPr>
          <w:rFonts w:cs="Arial"/>
        </w:rPr>
        <w:t>,</w:t>
      </w:r>
      <w:r w:rsidRPr="0096581A">
        <w:rPr>
          <w:rFonts w:cs="Arial"/>
          <w:i/>
        </w:rPr>
        <w:t xml:space="preserve"> </w:t>
      </w:r>
      <w:r w:rsidRPr="00E62C51">
        <w:rPr>
          <w:rFonts w:cs="Arial"/>
        </w:rPr>
        <w:t>along with</w:t>
      </w:r>
      <w:r>
        <w:rPr>
          <w:rFonts w:cs="Arial"/>
          <w:i/>
        </w:rPr>
        <w:t xml:space="preserve"> </w:t>
      </w:r>
      <w:r>
        <w:rPr>
          <w:rFonts w:cs="Arial"/>
        </w:rPr>
        <w:t>other measures</w:t>
      </w:r>
      <w:r w:rsidR="00D90D1D">
        <w:rPr>
          <w:rFonts w:cs="Arial"/>
        </w:rPr>
        <w:t xml:space="preserve"> such as</w:t>
      </w:r>
      <w:r>
        <w:rPr>
          <w:rFonts w:cs="Arial"/>
        </w:rPr>
        <w:t xml:space="preserve"> </w:t>
      </w:r>
      <w:r w:rsidRPr="00FD7590">
        <w:rPr>
          <w:rFonts w:cs="Arial"/>
        </w:rPr>
        <w:t>use of bar code scanners</w:t>
      </w:r>
      <w:r w:rsidR="00D90D1D">
        <w:rPr>
          <w:rFonts w:cs="Arial"/>
        </w:rPr>
        <w:t>,</w:t>
      </w:r>
      <w:r>
        <w:rPr>
          <w:rFonts w:cs="Arial"/>
        </w:rPr>
        <w:t xml:space="preserve"> electronic alerts</w:t>
      </w:r>
      <w:r w:rsidR="00D90D1D">
        <w:rPr>
          <w:rFonts w:cs="Arial"/>
        </w:rPr>
        <w:t xml:space="preserve"> and</w:t>
      </w:r>
      <w:r>
        <w:rPr>
          <w:rFonts w:cs="Arial"/>
        </w:rPr>
        <w:t xml:space="preserve"> </w:t>
      </w:r>
      <w:r w:rsidRPr="00FF48B3">
        <w:rPr>
          <w:rFonts w:cs="Arial"/>
        </w:rPr>
        <w:t>separate storage locations</w:t>
      </w:r>
      <w:r>
        <w:rPr>
          <w:rFonts w:cs="Arial"/>
        </w:rPr>
        <w:t>.</w:t>
      </w:r>
      <w:r w:rsidRPr="00FF48B3">
        <w:rPr>
          <w:rFonts w:cs="Arial"/>
        </w:rPr>
        <w:t xml:space="preserve"> </w:t>
      </w:r>
    </w:p>
    <w:p w14:paraId="5ACF01F2" w14:textId="77777777" w:rsidR="00CD41A5" w:rsidRPr="00994889" w:rsidRDefault="00CD41A5" w:rsidP="00CD41A5">
      <w:pPr>
        <w:pStyle w:val="Heading2"/>
      </w:pPr>
      <w:bookmarkStart w:id="10" w:name="_Toc495069339"/>
      <w:bookmarkStart w:id="11" w:name="_Toc497401661"/>
      <w:bookmarkEnd w:id="6"/>
      <w:bookmarkEnd w:id="7"/>
      <w:bookmarkEnd w:id="8"/>
      <w:bookmarkEnd w:id="9"/>
      <w:r w:rsidRPr="00994889">
        <w:t>National Tall Man Lettering Issues Register</w:t>
      </w:r>
      <w:bookmarkEnd w:id="10"/>
      <w:bookmarkEnd w:id="11"/>
    </w:p>
    <w:p w14:paraId="528A7D60" w14:textId="77777777" w:rsidR="00CD41A5" w:rsidRDefault="00CD41A5" w:rsidP="00CD41A5">
      <w:pPr>
        <w:rPr>
          <w:rFonts w:cs="Arial"/>
        </w:rPr>
      </w:pPr>
      <w:bookmarkStart w:id="12" w:name="_Toc476822635"/>
      <w:bookmarkStart w:id="13" w:name="_Toc476822656"/>
      <w:bookmarkStart w:id="14" w:name="_Toc476822856"/>
      <w:r>
        <w:rPr>
          <w:rFonts w:cs="Arial"/>
        </w:rPr>
        <w:t xml:space="preserve">As part of the </w:t>
      </w:r>
      <w:r w:rsidRPr="007D741C">
        <w:rPr>
          <w:rFonts w:cs="Arial"/>
        </w:rPr>
        <w:t>National Tall Man Lettering List</w:t>
      </w:r>
      <w:r>
        <w:rPr>
          <w:rFonts w:cs="Arial"/>
          <w:i/>
        </w:rPr>
        <w:t xml:space="preserve"> </w:t>
      </w:r>
      <w:r>
        <w:rPr>
          <w:rFonts w:cs="Arial"/>
        </w:rPr>
        <w:t>stewardship, the Commission encourage</w:t>
      </w:r>
      <w:r w:rsidR="00D90D1D">
        <w:rPr>
          <w:rFonts w:cs="Arial"/>
        </w:rPr>
        <w:t>s</w:t>
      </w:r>
      <w:r>
        <w:rPr>
          <w:rFonts w:cs="Arial"/>
        </w:rPr>
        <w:t xml:space="preserve"> frontline clinicians to report any adverse incidents or near-misses related to LASA medicine pairs. Issues notified to the Commission are logged in the National Tall Man Lettering Issues Register and are reviewed by the National Tall Man Lettering Expert Advisory Panel (the panel). </w:t>
      </w:r>
    </w:p>
    <w:p w14:paraId="25F8AB43" w14:textId="77777777" w:rsidR="00CD41A5" w:rsidRDefault="00CD41A5" w:rsidP="00CD41A5">
      <w:pPr>
        <w:rPr>
          <w:rFonts w:cs="Arial"/>
        </w:rPr>
      </w:pPr>
      <w:r w:rsidRPr="00892508">
        <w:rPr>
          <w:rFonts w:cs="Arial"/>
        </w:rPr>
        <w:t xml:space="preserve">The panel is responsible for making recommendations on the medicine name pairs that need to be included in the </w:t>
      </w:r>
      <w:r w:rsidRPr="007D741C">
        <w:rPr>
          <w:rFonts w:cs="Arial"/>
        </w:rPr>
        <w:t>National Tall Man Lettering List</w:t>
      </w:r>
      <w:r w:rsidRPr="00892508">
        <w:rPr>
          <w:rFonts w:cs="Arial"/>
        </w:rPr>
        <w:t>. The panel follows a systematic process to decide on the medicine name pairs that would most benefit from the application of Tall Man lettering.</w:t>
      </w:r>
    </w:p>
    <w:p w14:paraId="4FCEE595" w14:textId="1EE9778C" w:rsidR="00CD41A5" w:rsidRDefault="00CD41A5" w:rsidP="00CD41A5">
      <w:pPr>
        <w:rPr>
          <w:rFonts w:cs="Arial"/>
        </w:rPr>
      </w:pPr>
      <w:r>
        <w:rPr>
          <w:rFonts w:cs="Arial"/>
        </w:rPr>
        <w:t xml:space="preserve">The </w:t>
      </w:r>
      <w:r w:rsidRPr="007D741C">
        <w:rPr>
          <w:rFonts w:cs="Arial"/>
        </w:rPr>
        <w:t>National Tall Man Lettering List</w:t>
      </w:r>
      <w:r w:rsidRPr="00D66E4F">
        <w:rPr>
          <w:rFonts w:cs="Arial"/>
        </w:rPr>
        <w:t xml:space="preserve"> has </w:t>
      </w:r>
      <w:r>
        <w:rPr>
          <w:rFonts w:cs="Arial"/>
        </w:rPr>
        <w:t>evolved</w:t>
      </w:r>
      <w:r w:rsidRPr="00D66E4F">
        <w:rPr>
          <w:rFonts w:cs="Arial"/>
        </w:rPr>
        <w:t xml:space="preserve"> since </w:t>
      </w:r>
      <w:r>
        <w:rPr>
          <w:rFonts w:cs="Arial"/>
        </w:rPr>
        <w:t xml:space="preserve">its </w:t>
      </w:r>
      <w:r w:rsidRPr="00D66E4F">
        <w:rPr>
          <w:rFonts w:cs="Arial"/>
        </w:rPr>
        <w:t xml:space="preserve">introduction </w:t>
      </w:r>
      <w:r>
        <w:rPr>
          <w:rFonts w:cs="Arial"/>
        </w:rPr>
        <w:t>in 2011. The majority of issues lodged on the</w:t>
      </w:r>
      <w:r w:rsidR="00DE6FD8">
        <w:rPr>
          <w:rFonts w:cs="Arial"/>
        </w:rPr>
        <w:t xml:space="preserve"> </w:t>
      </w:r>
      <w:r w:rsidR="00720140">
        <w:rPr>
          <w:rFonts w:cs="Arial"/>
        </w:rPr>
        <w:t>Commission’s</w:t>
      </w:r>
      <w:r>
        <w:rPr>
          <w:rFonts w:cs="Arial"/>
        </w:rPr>
        <w:t xml:space="preserve"> Issues Register have been addressed in </w:t>
      </w:r>
      <w:r w:rsidRPr="00D66E4F">
        <w:rPr>
          <w:rFonts w:cs="Arial"/>
        </w:rPr>
        <w:t xml:space="preserve">the </w:t>
      </w:r>
      <w:hyperlink r:id="rId12" w:history="1">
        <w:r w:rsidRPr="00E46D4E">
          <w:rPr>
            <w:rStyle w:val="Hyperlink"/>
            <w:rFonts w:cs="Arial"/>
            <w:i/>
          </w:rPr>
          <w:t>National Tall Man Lettering List 2017</w:t>
        </w:r>
      </w:hyperlink>
      <w:r>
        <w:rPr>
          <w:rFonts w:cs="Arial"/>
        </w:rPr>
        <w:t>,</w:t>
      </w:r>
      <w:r w:rsidRPr="00D66E4F">
        <w:rPr>
          <w:rFonts w:cs="Arial"/>
        </w:rPr>
        <w:t xml:space="preserve"> so it is important that the</w:t>
      </w:r>
      <w:r>
        <w:rPr>
          <w:rFonts w:cs="Arial"/>
        </w:rPr>
        <w:t xml:space="preserve">se </w:t>
      </w:r>
      <w:r w:rsidRPr="00D66E4F">
        <w:rPr>
          <w:rFonts w:cs="Arial"/>
        </w:rPr>
        <w:t xml:space="preserve">issues and </w:t>
      </w:r>
      <w:r>
        <w:rPr>
          <w:rFonts w:cs="Arial"/>
        </w:rPr>
        <w:t xml:space="preserve">their </w:t>
      </w:r>
      <w:r w:rsidRPr="00D66E4F">
        <w:rPr>
          <w:rFonts w:cs="Arial"/>
        </w:rPr>
        <w:t xml:space="preserve">outcomes are </w:t>
      </w:r>
      <w:r>
        <w:rPr>
          <w:rFonts w:cs="Arial"/>
        </w:rPr>
        <w:t xml:space="preserve">reported and </w:t>
      </w:r>
      <w:r w:rsidRPr="00D66E4F">
        <w:rPr>
          <w:rFonts w:cs="Arial"/>
        </w:rPr>
        <w:t>publicly available</w:t>
      </w:r>
      <w:r>
        <w:rPr>
          <w:rFonts w:cs="Arial"/>
        </w:rPr>
        <w:t>.</w:t>
      </w:r>
      <w:r w:rsidR="00DE6FD8">
        <w:rPr>
          <w:rFonts w:cs="Arial"/>
        </w:rPr>
        <w:t xml:space="preserve"> </w:t>
      </w:r>
      <w:r w:rsidR="00E74472">
        <w:rPr>
          <w:rFonts w:cs="Arial"/>
        </w:rPr>
        <w:t xml:space="preserve">Figure 1 </w:t>
      </w:r>
      <w:r w:rsidR="00DE6FD8">
        <w:rPr>
          <w:rFonts w:cs="Arial"/>
        </w:rPr>
        <w:t xml:space="preserve">lists the issues </w:t>
      </w:r>
      <w:r w:rsidR="00BF5425">
        <w:rPr>
          <w:rFonts w:cs="Arial"/>
        </w:rPr>
        <w:t>and outcome</w:t>
      </w:r>
      <w:r w:rsidR="00DE6FD8">
        <w:rPr>
          <w:rFonts w:cs="Arial"/>
        </w:rPr>
        <w:t xml:space="preserve"> </w:t>
      </w:r>
      <w:r w:rsidR="00BF5425">
        <w:rPr>
          <w:rFonts w:cs="Arial"/>
        </w:rPr>
        <w:t>s</w:t>
      </w:r>
      <w:r w:rsidR="00DE6FD8">
        <w:rPr>
          <w:rFonts w:cs="Arial"/>
        </w:rPr>
        <w:t>ummaries</w:t>
      </w:r>
      <w:r w:rsidR="00BF5425">
        <w:rPr>
          <w:rFonts w:cs="Arial"/>
        </w:rPr>
        <w:t>.</w:t>
      </w:r>
    </w:p>
    <w:p w14:paraId="4F4A6077" w14:textId="77777777" w:rsidR="00BF5425" w:rsidRDefault="00BF5425" w:rsidP="00CD41A5">
      <w:pPr>
        <w:rPr>
          <w:rFonts w:cs="Arial"/>
        </w:rPr>
      </w:pPr>
      <w:r>
        <w:rPr>
          <w:rFonts w:cs="Arial"/>
        </w:rPr>
        <w:t xml:space="preserve">This report also contains information about the rationale for the general revision of the </w:t>
      </w:r>
      <w:r w:rsidRPr="007D741C">
        <w:rPr>
          <w:rFonts w:cs="Arial"/>
        </w:rPr>
        <w:t>National Tall Man Lettering List</w:t>
      </w:r>
      <w:r>
        <w:rPr>
          <w:rFonts w:cs="Arial"/>
        </w:rPr>
        <w:t>.</w:t>
      </w:r>
    </w:p>
    <w:p w14:paraId="73639F2D" w14:textId="77777777" w:rsidR="00CD41A5" w:rsidRDefault="00CD41A5" w:rsidP="00CD41A5">
      <w:pPr>
        <w:rPr>
          <w:rFonts w:cs="Arial"/>
        </w:rPr>
      </w:pPr>
      <w:r>
        <w:rPr>
          <w:rFonts w:cs="Arial"/>
        </w:rPr>
        <w:t>It should be noted that m</w:t>
      </w:r>
      <w:r w:rsidRPr="00AF39FD">
        <w:rPr>
          <w:rFonts w:cs="Arial"/>
        </w:rPr>
        <w:t>onoclonal antibodies (MABs) and tyrosine kinase inhibitors</w:t>
      </w:r>
      <w:r>
        <w:rPr>
          <w:rFonts w:cs="Arial"/>
        </w:rPr>
        <w:t xml:space="preserve"> are not included in the</w:t>
      </w:r>
      <w:r w:rsidRPr="00AF39FD">
        <w:rPr>
          <w:rFonts w:cs="Arial"/>
        </w:rPr>
        <w:t xml:space="preserve"> </w:t>
      </w:r>
      <w:r w:rsidRPr="007D741C">
        <w:rPr>
          <w:rFonts w:cs="Arial"/>
          <w:shd w:val="clear" w:color="auto" w:fill="FFFFFF"/>
        </w:rPr>
        <w:t>National Tall Man Lettering List 2017</w:t>
      </w:r>
      <w:r w:rsidR="00C87488">
        <w:rPr>
          <w:rFonts w:cs="Arial"/>
          <w:shd w:val="clear" w:color="auto" w:fill="FFFFFF"/>
        </w:rPr>
        <w:t>,</w:t>
      </w:r>
      <w:r>
        <w:rPr>
          <w:rFonts w:cs="Arial"/>
          <w:shd w:val="clear" w:color="auto" w:fill="FFFFFF"/>
        </w:rPr>
        <w:t xml:space="preserve"> </w:t>
      </w:r>
      <w:r>
        <w:rPr>
          <w:rFonts w:cs="Arial"/>
        </w:rPr>
        <w:t>and</w:t>
      </w:r>
      <w:r w:rsidRPr="00AF39FD">
        <w:rPr>
          <w:rFonts w:cs="Arial"/>
        </w:rPr>
        <w:t xml:space="preserve"> will be considered in future revisions.</w:t>
      </w:r>
      <w:r w:rsidRPr="00FD7590">
        <w:rPr>
          <w:rFonts w:cs="Arial"/>
        </w:rPr>
        <w:t xml:space="preserve"> </w:t>
      </w:r>
      <w:r w:rsidR="00F04D9A">
        <w:rPr>
          <w:rFonts w:cs="Arial"/>
        </w:rPr>
        <w:t>Further explanation is provided within this report under the rationale for general revision</w:t>
      </w:r>
      <w:r w:rsidR="006626D3">
        <w:rPr>
          <w:rFonts w:cs="Arial"/>
        </w:rPr>
        <w:t xml:space="preserve"> of the </w:t>
      </w:r>
      <w:r w:rsidR="006626D3" w:rsidRPr="007D741C">
        <w:rPr>
          <w:rFonts w:cs="Arial"/>
        </w:rPr>
        <w:t>National Tall Man Lettering List</w:t>
      </w:r>
      <w:r w:rsidR="00F04D9A">
        <w:rPr>
          <w:rFonts w:cs="Arial"/>
        </w:rPr>
        <w:t>.</w:t>
      </w:r>
    </w:p>
    <w:p w14:paraId="4FDE7B68" w14:textId="1D04EB76" w:rsidR="00CD41A5" w:rsidRDefault="00CD41A5" w:rsidP="00CD41A5">
      <w:pPr>
        <w:rPr>
          <w:rFonts w:cs="Arial"/>
        </w:rPr>
      </w:pPr>
      <w:r>
        <w:t xml:space="preserve">For further information refer to </w:t>
      </w:r>
      <w:hyperlink r:id="rId13" w:history="1">
        <w:r w:rsidRPr="00E46D4E">
          <w:rPr>
            <w:rStyle w:val="Hyperlink"/>
            <w:i/>
          </w:rPr>
          <w:t>National Tall Man Lettering List 2017</w:t>
        </w:r>
      </w:hyperlink>
      <w:r w:rsidR="006626D3" w:rsidRPr="009155D2">
        <w:rPr>
          <w:i/>
        </w:rPr>
        <w:t xml:space="preserve"> </w:t>
      </w:r>
      <w:r>
        <w:t>available on the Commission’s website.</w:t>
      </w:r>
    </w:p>
    <w:p w14:paraId="25311A93" w14:textId="77777777" w:rsidR="00CD41A5" w:rsidRDefault="00CD41A5" w:rsidP="00CD41A5">
      <w:pPr>
        <w:rPr>
          <w:rFonts w:cs="Arial"/>
        </w:rPr>
      </w:pPr>
      <w:r>
        <w:rPr>
          <w:rFonts w:cs="Arial"/>
        </w:rPr>
        <w:t>T</w:t>
      </w:r>
      <w:r w:rsidRPr="00D66E4F">
        <w:rPr>
          <w:rFonts w:cs="Arial"/>
        </w:rPr>
        <w:t xml:space="preserve">he Commission invites </w:t>
      </w:r>
      <w:r>
        <w:rPr>
          <w:rFonts w:cs="Arial"/>
          <w:shd w:val="clear" w:color="auto" w:fill="FFFFFF"/>
        </w:rPr>
        <w:t>r</w:t>
      </w:r>
      <w:r w:rsidRPr="00FD7590">
        <w:rPr>
          <w:rFonts w:cs="Arial"/>
          <w:shd w:val="clear" w:color="auto" w:fill="FFFFFF"/>
        </w:rPr>
        <w:t xml:space="preserve">equests for changes to the </w:t>
      </w:r>
      <w:r w:rsidRPr="007D741C">
        <w:rPr>
          <w:rFonts w:cs="Arial"/>
          <w:shd w:val="clear" w:color="auto" w:fill="FFFFFF"/>
        </w:rPr>
        <w:t>National Tall Man Lettering List</w:t>
      </w:r>
      <w:r w:rsidR="00C87488">
        <w:rPr>
          <w:rFonts w:cs="Arial"/>
          <w:shd w:val="clear" w:color="auto" w:fill="FFFFFF"/>
        </w:rPr>
        <w:t>,</w:t>
      </w:r>
      <w:r w:rsidRPr="00FD7590">
        <w:rPr>
          <w:rFonts w:cs="Arial"/>
          <w:shd w:val="clear" w:color="auto" w:fill="FFFFFF"/>
        </w:rPr>
        <w:t xml:space="preserve"> </w:t>
      </w:r>
      <w:r>
        <w:rPr>
          <w:rFonts w:cs="Arial"/>
          <w:shd w:val="clear" w:color="auto" w:fill="FFFFFF"/>
        </w:rPr>
        <w:t xml:space="preserve">which </w:t>
      </w:r>
      <w:r w:rsidRPr="00FD7590">
        <w:rPr>
          <w:rFonts w:cs="Arial"/>
          <w:shd w:val="clear" w:color="auto" w:fill="FFFFFF"/>
        </w:rPr>
        <w:t>can be made to your state or territory representative on the Health Service Medication Expert Advisory Group. Requests should be accompanied by evidence of confusion, including other possible factors</w:t>
      </w:r>
      <w:r>
        <w:rPr>
          <w:rFonts w:cs="Arial"/>
          <w:shd w:val="clear" w:color="auto" w:fill="FFFFFF"/>
        </w:rPr>
        <w:t xml:space="preserve"> contributing to</w:t>
      </w:r>
      <w:r w:rsidRPr="00FD7590">
        <w:rPr>
          <w:rFonts w:cs="Arial"/>
          <w:shd w:val="clear" w:color="auto" w:fill="FFFFFF"/>
        </w:rPr>
        <w:t xml:space="preserve"> the risk of patient harm.</w:t>
      </w:r>
      <w:r w:rsidRPr="00FD7590">
        <w:rPr>
          <w:rFonts w:cs="Arial"/>
          <w:sz w:val="24"/>
        </w:rPr>
        <w:t xml:space="preserve"> </w:t>
      </w:r>
      <w:r>
        <w:rPr>
          <w:rFonts w:cs="Arial"/>
        </w:rPr>
        <w:t>F</w:t>
      </w:r>
      <w:r w:rsidRPr="00D66E4F">
        <w:rPr>
          <w:rFonts w:cs="Arial"/>
        </w:rPr>
        <w:t xml:space="preserve">or health services with no </w:t>
      </w:r>
      <w:r w:rsidR="00C87488">
        <w:rPr>
          <w:rFonts w:cs="Arial"/>
        </w:rPr>
        <w:t>state or territory</w:t>
      </w:r>
      <w:r w:rsidR="00C87488" w:rsidRPr="00D66E4F">
        <w:rPr>
          <w:rFonts w:cs="Arial"/>
        </w:rPr>
        <w:t xml:space="preserve"> </w:t>
      </w:r>
      <w:r w:rsidRPr="00D66E4F">
        <w:rPr>
          <w:rFonts w:cs="Arial"/>
        </w:rPr>
        <w:t xml:space="preserve">representative, </w:t>
      </w:r>
      <w:r>
        <w:rPr>
          <w:rFonts w:cs="Arial"/>
        </w:rPr>
        <w:t xml:space="preserve">please contact </w:t>
      </w:r>
      <w:r w:rsidRPr="00D66E4F">
        <w:rPr>
          <w:rFonts w:cs="Arial"/>
        </w:rPr>
        <w:t xml:space="preserve">the Commission at </w:t>
      </w:r>
      <w:hyperlink r:id="rId14" w:history="1">
        <w:r w:rsidRPr="00CD35AF">
          <w:rPr>
            <w:rStyle w:val="Hyperlink"/>
            <w:rFonts w:cs="Arial"/>
          </w:rPr>
          <w:t>accreditation@safetyandquality.gov.au</w:t>
        </w:r>
      </w:hyperlink>
      <w:r>
        <w:rPr>
          <w:rStyle w:val="Hyperlink"/>
          <w:rFonts w:cs="Arial"/>
        </w:rPr>
        <w:t>.</w:t>
      </w:r>
    </w:p>
    <w:p w14:paraId="67D5526A" w14:textId="77777777" w:rsidR="00096414" w:rsidRPr="00C404E5" w:rsidRDefault="00CD41A5" w:rsidP="00C404E5">
      <w:pPr>
        <w:spacing w:after="80"/>
        <w:rPr>
          <w:rFonts w:cs="Arial"/>
          <w:b/>
          <w:bCs/>
          <w:color w:val="1178A2"/>
          <w:kern w:val="28"/>
          <w:sz w:val="40"/>
          <w:szCs w:val="32"/>
        </w:rPr>
        <w:sectPr w:rsidR="00096414" w:rsidRPr="00C404E5" w:rsidSect="007A17F7">
          <w:footerReference w:type="even" r:id="rId15"/>
          <w:footerReference w:type="default" r:id="rId16"/>
          <w:headerReference w:type="first" r:id="rId17"/>
          <w:footerReference w:type="first" r:id="rId18"/>
          <w:pgSz w:w="11900" w:h="16840"/>
          <w:pgMar w:top="1134" w:right="1410" w:bottom="1304" w:left="1418" w:header="426" w:footer="630" w:gutter="0"/>
          <w:cols w:space="708"/>
          <w:titlePg/>
          <w:docGrid w:linePitch="299"/>
        </w:sectPr>
      </w:pPr>
      <w:r>
        <w:br w:type="page"/>
      </w:r>
      <w:bookmarkStart w:id="15" w:name="_Toc495069340"/>
    </w:p>
    <w:p w14:paraId="7DC7A49D" w14:textId="77777777" w:rsidR="00CD41A5" w:rsidRPr="00223848" w:rsidRDefault="00DE6FD8" w:rsidP="00CD41A5">
      <w:pPr>
        <w:pStyle w:val="Heading1"/>
      </w:pPr>
      <w:bookmarkStart w:id="16" w:name="_Toc497401662"/>
      <w:r>
        <w:lastRenderedPageBreak/>
        <w:t xml:space="preserve">Figure 1: </w:t>
      </w:r>
      <w:r w:rsidR="00CD41A5">
        <w:t>Issues and outcome summar</w:t>
      </w:r>
      <w:bookmarkEnd w:id="15"/>
      <w:r>
        <w:t>ies</w:t>
      </w:r>
      <w:bookmarkEnd w:id="16"/>
    </w:p>
    <w:tbl>
      <w:tblPr>
        <w:tblStyle w:val="TableGrid"/>
        <w:tblW w:w="5000" w:type="pct"/>
        <w:tblInd w:w="-176" w:type="dxa"/>
        <w:tblLayout w:type="fixed"/>
        <w:tblLook w:val="04A0" w:firstRow="1" w:lastRow="0" w:firstColumn="1" w:lastColumn="0" w:noHBand="0" w:noVBand="1"/>
        <w:tblCaption w:val="Table - summary of issues"/>
        <w:tblDescription w:val="Table - summary of issues"/>
      </w:tblPr>
      <w:tblGrid>
        <w:gridCol w:w="566"/>
        <w:gridCol w:w="1830"/>
        <w:gridCol w:w="2674"/>
        <w:gridCol w:w="1407"/>
        <w:gridCol w:w="705"/>
        <w:gridCol w:w="3799"/>
        <w:gridCol w:w="3535"/>
      </w:tblGrid>
      <w:tr w:rsidR="00CD41A5" w:rsidRPr="002911AF" w14:paraId="0EFCC3F0" w14:textId="77777777" w:rsidTr="003C5F0A">
        <w:trPr>
          <w:cnfStyle w:val="100000000000" w:firstRow="1" w:lastRow="0" w:firstColumn="0" w:lastColumn="0" w:oddVBand="0" w:evenVBand="0" w:oddHBand="0" w:evenHBand="0" w:firstRowFirstColumn="0" w:firstRowLastColumn="0" w:lastRowFirstColumn="0" w:lastRowLastColumn="0"/>
          <w:tblHeader/>
        </w:trPr>
        <w:tc>
          <w:tcPr>
            <w:tcW w:w="568" w:type="dxa"/>
            <w:shd w:val="clear" w:color="auto" w:fill="C2E9F8" w:themeFill="text2" w:themeFillTint="33"/>
          </w:tcPr>
          <w:p w14:paraId="6F0321C1" w14:textId="77777777" w:rsidR="00CD41A5" w:rsidRPr="002911AF" w:rsidRDefault="00CD41A5" w:rsidP="003C5F0A">
            <w:pPr>
              <w:pStyle w:val="TableHeading"/>
              <w:rPr>
                <w:sz w:val="22"/>
                <w:szCs w:val="22"/>
              </w:rPr>
            </w:pPr>
            <w:r w:rsidRPr="002911AF">
              <w:rPr>
                <w:sz w:val="22"/>
                <w:szCs w:val="22"/>
              </w:rPr>
              <w:t>No</w:t>
            </w:r>
          </w:p>
        </w:tc>
        <w:tc>
          <w:tcPr>
            <w:tcW w:w="1843" w:type="dxa"/>
            <w:shd w:val="clear" w:color="auto" w:fill="C2E9F8" w:themeFill="text2" w:themeFillTint="33"/>
          </w:tcPr>
          <w:p w14:paraId="6632D9BA" w14:textId="77777777" w:rsidR="00CD41A5" w:rsidRPr="002911AF" w:rsidRDefault="00CD41A5" w:rsidP="003C5F0A">
            <w:pPr>
              <w:pStyle w:val="TableHeading"/>
              <w:rPr>
                <w:sz w:val="22"/>
                <w:szCs w:val="22"/>
              </w:rPr>
            </w:pPr>
            <w:r w:rsidRPr="002911AF">
              <w:rPr>
                <w:sz w:val="22"/>
                <w:szCs w:val="22"/>
              </w:rPr>
              <w:t>Issue</w:t>
            </w:r>
          </w:p>
        </w:tc>
        <w:tc>
          <w:tcPr>
            <w:tcW w:w="2693" w:type="dxa"/>
            <w:shd w:val="clear" w:color="auto" w:fill="C2E9F8" w:themeFill="text2" w:themeFillTint="33"/>
          </w:tcPr>
          <w:p w14:paraId="47D7B512" w14:textId="77777777" w:rsidR="00CD41A5" w:rsidRPr="002911AF" w:rsidRDefault="00CD41A5" w:rsidP="003C5F0A">
            <w:pPr>
              <w:pStyle w:val="TableHeading"/>
              <w:rPr>
                <w:sz w:val="22"/>
                <w:szCs w:val="22"/>
              </w:rPr>
            </w:pPr>
            <w:r w:rsidRPr="002911AF">
              <w:rPr>
                <w:sz w:val="22"/>
                <w:szCs w:val="22"/>
              </w:rPr>
              <w:t>Issue summary</w:t>
            </w:r>
          </w:p>
        </w:tc>
        <w:tc>
          <w:tcPr>
            <w:tcW w:w="1417" w:type="dxa"/>
            <w:shd w:val="clear" w:color="auto" w:fill="C2E9F8" w:themeFill="text2" w:themeFillTint="33"/>
          </w:tcPr>
          <w:p w14:paraId="394A6116" w14:textId="77777777" w:rsidR="00CD41A5" w:rsidRPr="002911AF" w:rsidRDefault="00CD41A5" w:rsidP="003C5F0A">
            <w:pPr>
              <w:pStyle w:val="TableHeading"/>
              <w:rPr>
                <w:sz w:val="22"/>
                <w:szCs w:val="22"/>
              </w:rPr>
            </w:pPr>
            <w:r w:rsidRPr="002911AF">
              <w:rPr>
                <w:sz w:val="22"/>
                <w:szCs w:val="22"/>
              </w:rPr>
              <w:t>Proponent</w:t>
            </w:r>
          </w:p>
        </w:tc>
        <w:tc>
          <w:tcPr>
            <w:tcW w:w="709" w:type="dxa"/>
            <w:shd w:val="clear" w:color="auto" w:fill="C2E9F8" w:themeFill="text2" w:themeFillTint="33"/>
          </w:tcPr>
          <w:p w14:paraId="757B51E5" w14:textId="77777777" w:rsidR="00CD41A5" w:rsidRPr="002911AF" w:rsidRDefault="00CD41A5" w:rsidP="003C5F0A">
            <w:pPr>
              <w:pStyle w:val="TableHeading"/>
              <w:rPr>
                <w:sz w:val="22"/>
                <w:szCs w:val="22"/>
              </w:rPr>
            </w:pPr>
            <w:r w:rsidRPr="002911AF">
              <w:rPr>
                <w:sz w:val="22"/>
                <w:szCs w:val="22"/>
              </w:rPr>
              <w:t>Date</w:t>
            </w:r>
          </w:p>
        </w:tc>
        <w:tc>
          <w:tcPr>
            <w:tcW w:w="3827" w:type="dxa"/>
            <w:shd w:val="clear" w:color="auto" w:fill="C2E9F8" w:themeFill="text2" w:themeFillTint="33"/>
          </w:tcPr>
          <w:p w14:paraId="1701B448" w14:textId="77777777" w:rsidR="00CD41A5" w:rsidRPr="002911AF" w:rsidRDefault="00CD41A5" w:rsidP="003C5F0A">
            <w:pPr>
              <w:pStyle w:val="TableHeading"/>
              <w:rPr>
                <w:sz w:val="22"/>
                <w:szCs w:val="22"/>
              </w:rPr>
            </w:pPr>
            <w:r>
              <w:rPr>
                <w:sz w:val="22"/>
                <w:szCs w:val="22"/>
              </w:rPr>
              <w:t>Outcome</w:t>
            </w:r>
          </w:p>
        </w:tc>
        <w:tc>
          <w:tcPr>
            <w:tcW w:w="3561" w:type="dxa"/>
            <w:shd w:val="clear" w:color="auto" w:fill="C2E9F8" w:themeFill="text2" w:themeFillTint="33"/>
          </w:tcPr>
          <w:p w14:paraId="376DEBD3" w14:textId="77777777" w:rsidR="00CD41A5" w:rsidRPr="002911AF" w:rsidRDefault="00CD41A5" w:rsidP="003C5F0A">
            <w:pPr>
              <w:pStyle w:val="TableHeading"/>
              <w:rPr>
                <w:sz w:val="22"/>
                <w:szCs w:val="22"/>
              </w:rPr>
            </w:pPr>
            <w:r w:rsidRPr="002911AF">
              <w:rPr>
                <w:sz w:val="22"/>
                <w:szCs w:val="22"/>
              </w:rPr>
              <w:t>Reason</w:t>
            </w:r>
          </w:p>
        </w:tc>
      </w:tr>
      <w:tr w:rsidR="00CD41A5" w:rsidRPr="002911AF" w14:paraId="0148D739" w14:textId="77777777" w:rsidTr="003C5F0A">
        <w:tc>
          <w:tcPr>
            <w:tcW w:w="568" w:type="dxa"/>
          </w:tcPr>
          <w:p w14:paraId="11F59034" w14:textId="77777777" w:rsidR="00CD41A5" w:rsidRPr="002911AF" w:rsidRDefault="00CD41A5" w:rsidP="003C5F0A">
            <w:pPr>
              <w:pStyle w:val="TableText"/>
              <w:rPr>
                <w:rFonts w:cs="Arial"/>
                <w:sz w:val="22"/>
                <w:szCs w:val="22"/>
              </w:rPr>
            </w:pPr>
            <w:r>
              <w:rPr>
                <w:rFonts w:cs="Arial"/>
                <w:sz w:val="22"/>
                <w:szCs w:val="22"/>
              </w:rPr>
              <w:t>1</w:t>
            </w:r>
            <w:r w:rsidRPr="002911AF">
              <w:rPr>
                <w:rFonts w:cs="Arial"/>
                <w:sz w:val="22"/>
                <w:szCs w:val="22"/>
              </w:rPr>
              <w:t xml:space="preserve"> </w:t>
            </w:r>
          </w:p>
        </w:tc>
        <w:tc>
          <w:tcPr>
            <w:tcW w:w="1843" w:type="dxa"/>
          </w:tcPr>
          <w:p w14:paraId="14A9CF58" w14:textId="77777777" w:rsidR="00CD41A5" w:rsidRPr="002911AF" w:rsidRDefault="00CD41A5" w:rsidP="003C5F0A">
            <w:pPr>
              <w:pStyle w:val="TableText"/>
              <w:rPr>
                <w:rFonts w:cs="Arial"/>
                <w:sz w:val="20"/>
                <w:szCs w:val="20"/>
              </w:rPr>
            </w:pPr>
            <w:r w:rsidRPr="002911AF">
              <w:rPr>
                <w:rFonts w:cs="Arial"/>
                <w:sz w:val="20"/>
                <w:szCs w:val="20"/>
              </w:rPr>
              <w:t xml:space="preserve">Medicine name pair: </w:t>
            </w:r>
          </w:p>
          <w:p w14:paraId="51841C23" w14:textId="77777777" w:rsidR="00CD41A5" w:rsidRPr="002911AF" w:rsidRDefault="00CD41A5" w:rsidP="003C5F0A">
            <w:pPr>
              <w:pStyle w:val="TableText"/>
              <w:rPr>
                <w:rFonts w:cs="Arial"/>
                <w:sz w:val="20"/>
                <w:szCs w:val="20"/>
              </w:rPr>
            </w:pPr>
            <w:proofErr w:type="spellStart"/>
            <w:r w:rsidRPr="002911AF">
              <w:rPr>
                <w:rFonts w:cs="Arial"/>
                <w:sz w:val="20"/>
                <w:szCs w:val="20"/>
              </w:rPr>
              <w:t>lincomycin</w:t>
            </w:r>
            <w:proofErr w:type="spellEnd"/>
            <w:r w:rsidRPr="002911AF">
              <w:rPr>
                <w:rFonts w:cs="Arial"/>
                <w:sz w:val="20"/>
                <w:szCs w:val="20"/>
              </w:rPr>
              <w:t xml:space="preserve"> and linezolid</w:t>
            </w:r>
          </w:p>
        </w:tc>
        <w:tc>
          <w:tcPr>
            <w:tcW w:w="2693" w:type="dxa"/>
          </w:tcPr>
          <w:p w14:paraId="54385B42" w14:textId="77777777" w:rsidR="00CD41A5" w:rsidRPr="002911AF" w:rsidRDefault="00CD41A5" w:rsidP="003C5F0A">
            <w:pPr>
              <w:pStyle w:val="TableText"/>
              <w:rPr>
                <w:rFonts w:cs="Arial"/>
                <w:sz w:val="20"/>
                <w:szCs w:val="20"/>
              </w:rPr>
            </w:pPr>
            <w:r w:rsidRPr="002911AF">
              <w:rPr>
                <w:rFonts w:cs="Arial"/>
                <w:sz w:val="20"/>
                <w:szCs w:val="20"/>
              </w:rPr>
              <w:t xml:space="preserve">Three (3) </w:t>
            </w:r>
            <w:proofErr w:type="spellStart"/>
            <w:r w:rsidRPr="002911AF">
              <w:rPr>
                <w:rFonts w:cs="Arial"/>
                <w:sz w:val="20"/>
                <w:szCs w:val="20"/>
              </w:rPr>
              <w:t>mixup</w:t>
            </w:r>
            <w:proofErr w:type="spellEnd"/>
            <w:r w:rsidRPr="002911AF">
              <w:rPr>
                <w:rFonts w:cs="Arial"/>
                <w:sz w:val="20"/>
                <w:szCs w:val="20"/>
              </w:rPr>
              <w:t xml:space="preserve"> incidents within a </w:t>
            </w:r>
            <w:r w:rsidR="00C87488">
              <w:rPr>
                <w:rFonts w:cs="Arial"/>
                <w:sz w:val="20"/>
                <w:szCs w:val="20"/>
              </w:rPr>
              <w:t>four-</w:t>
            </w:r>
            <w:r w:rsidRPr="002911AF">
              <w:rPr>
                <w:rFonts w:cs="Arial"/>
                <w:sz w:val="20"/>
                <w:szCs w:val="20"/>
              </w:rPr>
              <w:t xml:space="preserve">month period. Both medicines are 600mg strength, although packaging distinctly different: </w:t>
            </w:r>
          </w:p>
          <w:p w14:paraId="1111C613" w14:textId="77777777" w:rsidR="00CD41A5" w:rsidRPr="002911AF" w:rsidRDefault="00CD41A5" w:rsidP="003C5F0A">
            <w:pPr>
              <w:pStyle w:val="TableText"/>
              <w:rPr>
                <w:rFonts w:cs="Arial"/>
                <w:sz w:val="20"/>
                <w:szCs w:val="20"/>
              </w:rPr>
            </w:pPr>
            <w:r w:rsidRPr="002911AF">
              <w:rPr>
                <w:rFonts w:cs="Arial"/>
                <w:sz w:val="20"/>
                <w:szCs w:val="20"/>
              </w:rPr>
              <w:t>2 mL vial and 300 mL infusion bag respectively</w:t>
            </w:r>
          </w:p>
        </w:tc>
        <w:tc>
          <w:tcPr>
            <w:tcW w:w="1417" w:type="dxa"/>
          </w:tcPr>
          <w:p w14:paraId="71E88B3C" w14:textId="77777777" w:rsidR="00CD41A5" w:rsidRPr="002911AF" w:rsidRDefault="00CD41A5" w:rsidP="003C5F0A">
            <w:pPr>
              <w:pStyle w:val="TableText"/>
              <w:rPr>
                <w:rFonts w:cs="Arial"/>
                <w:sz w:val="20"/>
                <w:szCs w:val="20"/>
              </w:rPr>
            </w:pPr>
            <w:r w:rsidRPr="002911AF">
              <w:rPr>
                <w:rFonts w:cs="Arial"/>
                <w:sz w:val="20"/>
                <w:szCs w:val="20"/>
              </w:rPr>
              <w:t>South Australia</w:t>
            </w:r>
          </w:p>
        </w:tc>
        <w:tc>
          <w:tcPr>
            <w:tcW w:w="709" w:type="dxa"/>
          </w:tcPr>
          <w:p w14:paraId="01326FD1" w14:textId="77777777" w:rsidR="00CD41A5" w:rsidRPr="002911AF" w:rsidRDefault="00CD41A5" w:rsidP="003C5F0A">
            <w:pPr>
              <w:pStyle w:val="TableText"/>
              <w:rPr>
                <w:rFonts w:cs="Arial"/>
                <w:sz w:val="20"/>
                <w:szCs w:val="20"/>
              </w:rPr>
            </w:pPr>
            <w:r w:rsidRPr="002911AF">
              <w:rPr>
                <w:rFonts w:cs="Arial"/>
                <w:sz w:val="20"/>
                <w:szCs w:val="20"/>
              </w:rPr>
              <w:t>Sept 2017</w:t>
            </w:r>
          </w:p>
        </w:tc>
        <w:tc>
          <w:tcPr>
            <w:tcW w:w="3827" w:type="dxa"/>
          </w:tcPr>
          <w:p w14:paraId="06F85183" w14:textId="77777777" w:rsidR="00CD41A5" w:rsidRPr="004522A0" w:rsidRDefault="00CD41A5" w:rsidP="003C5F0A">
            <w:pPr>
              <w:pStyle w:val="TableText"/>
              <w:rPr>
                <w:rFonts w:cs="Arial"/>
                <w:b/>
                <w:sz w:val="20"/>
                <w:szCs w:val="20"/>
              </w:rPr>
            </w:pPr>
            <w:r w:rsidRPr="004522A0">
              <w:rPr>
                <w:rFonts w:cs="Arial"/>
                <w:b/>
                <w:sz w:val="20"/>
                <w:szCs w:val="20"/>
              </w:rPr>
              <w:t>Added to Tall Man Lettering List 2017</w:t>
            </w:r>
          </w:p>
        </w:tc>
        <w:tc>
          <w:tcPr>
            <w:tcW w:w="3561" w:type="dxa"/>
          </w:tcPr>
          <w:p w14:paraId="7F5BC4FC" w14:textId="77777777" w:rsidR="00CD41A5" w:rsidRPr="002911AF" w:rsidRDefault="00CD41A5" w:rsidP="003C5F0A">
            <w:pPr>
              <w:pStyle w:val="TableText"/>
              <w:rPr>
                <w:rFonts w:cs="Arial"/>
                <w:sz w:val="20"/>
                <w:szCs w:val="20"/>
              </w:rPr>
            </w:pPr>
            <w:r w:rsidRPr="002911AF">
              <w:rPr>
                <w:rFonts w:cs="Arial"/>
                <w:sz w:val="20"/>
                <w:szCs w:val="20"/>
              </w:rPr>
              <w:t xml:space="preserve">Considered by expert advisory panel. </w:t>
            </w:r>
          </w:p>
          <w:p w14:paraId="7EA0FE4D" w14:textId="77777777" w:rsidR="00CD41A5" w:rsidRPr="002911AF" w:rsidRDefault="00CD41A5" w:rsidP="003C5F0A">
            <w:pPr>
              <w:pStyle w:val="TableText"/>
              <w:rPr>
                <w:rFonts w:cs="Arial"/>
                <w:sz w:val="20"/>
                <w:szCs w:val="20"/>
              </w:rPr>
            </w:pPr>
            <w:r w:rsidRPr="002911AF">
              <w:rPr>
                <w:rFonts w:cs="Arial"/>
                <w:sz w:val="20"/>
                <w:szCs w:val="20"/>
              </w:rPr>
              <w:t xml:space="preserve">BISIM and risk assessment result demonstrated a </w:t>
            </w:r>
            <w:r w:rsidRPr="00551AB9">
              <w:rPr>
                <w:rFonts w:cs="Arial"/>
                <w:b/>
                <w:sz w:val="20"/>
                <w:szCs w:val="20"/>
              </w:rPr>
              <w:t>medium to high risk</w:t>
            </w:r>
            <w:r w:rsidRPr="002911AF">
              <w:rPr>
                <w:rFonts w:cs="Arial"/>
                <w:sz w:val="20"/>
                <w:szCs w:val="20"/>
              </w:rPr>
              <w:t xml:space="preserve"> of confusion</w:t>
            </w:r>
          </w:p>
        </w:tc>
      </w:tr>
      <w:tr w:rsidR="00CD41A5" w:rsidRPr="002911AF" w14:paraId="6070405F" w14:textId="77777777" w:rsidTr="003C5F0A">
        <w:tc>
          <w:tcPr>
            <w:tcW w:w="568" w:type="dxa"/>
          </w:tcPr>
          <w:p w14:paraId="627553F0" w14:textId="77777777" w:rsidR="00CD41A5" w:rsidRPr="002911AF" w:rsidRDefault="00CD41A5" w:rsidP="003C5F0A">
            <w:pPr>
              <w:pStyle w:val="TableText"/>
              <w:rPr>
                <w:rFonts w:cs="Arial"/>
                <w:sz w:val="22"/>
                <w:szCs w:val="22"/>
              </w:rPr>
            </w:pPr>
            <w:r>
              <w:rPr>
                <w:rFonts w:cs="Arial"/>
                <w:sz w:val="22"/>
                <w:szCs w:val="22"/>
              </w:rPr>
              <w:t>2</w:t>
            </w:r>
          </w:p>
        </w:tc>
        <w:tc>
          <w:tcPr>
            <w:tcW w:w="1843" w:type="dxa"/>
          </w:tcPr>
          <w:p w14:paraId="4A21FACD" w14:textId="77777777" w:rsidR="00CD41A5" w:rsidRPr="002911AF" w:rsidRDefault="00CD41A5" w:rsidP="003C5F0A">
            <w:pPr>
              <w:pStyle w:val="TableText"/>
              <w:rPr>
                <w:rFonts w:cs="Arial"/>
                <w:sz w:val="20"/>
                <w:szCs w:val="20"/>
              </w:rPr>
            </w:pPr>
            <w:r w:rsidRPr="002911AF">
              <w:rPr>
                <w:rFonts w:cs="Arial"/>
                <w:sz w:val="20"/>
                <w:szCs w:val="20"/>
              </w:rPr>
              <w:t xml:space="preserve">Medicine name pairs: </w:t>
            </w:r>
          </w:p>
          <w:p w14:paraId="149F5CE6" w14:textId="77777777" w:rsidR="00CD41A5" w:rsidRDefault="00CD41A5" w:rsidP="003C5F0A">
            <w:pPr>
              <w:pStyle w:val="TableText"/>
              <w:rPr>
                <w:rFonts w:cs="Arial"/>
                <w:sz w:val="20"/>
                <w:szCs w:val="20"/>
              </w:rPr>
            </w:pPr>
            <w:r>
              <w:rPr>
                <w:rFonts w:cs="Arial"/>
                <w:sz w:val="20"/>
                <w:szCs w:val="20"/>
              </w:rPr>
              <w:t xml:space="preserve">- </w:t>
            </w:r>
            <w:r w:rsidRPr="002911AF">
              <w:rPr>
                <w:rFonts w:cs="Arial"/>
                <w:sz w:val="20"/>
                <w:szCs w:val="20"/>
              </w:rPr>
              <w:t>adrenaline and noradrenaline</w:t>
            </w:r>
          </w:p>
          <w:p w14:paraId="40BB8F8A" w14:textId="77777777" w:rsidR="00CD41A5" w:rsidRPr="002911AF" w:rsidRDefault="00CD41A5" w:rsidP="003C5F0A">
            <w:pPr>
              <w:pStyle w:val="TableText"/>
              <w:rPr>
                <w:rFonts w:cs="Arial"/>
                <w:sz w:val="20"/>
                <w:szCs w:val="20"/>
              </w:rPr>
            </w:pPr>
          </w:p>
        </w:tc>
        <w:tc>
          <w:tcPr>
            <w:tcW w:w="2693" w:type="dxa"/>
          </w:tcPr>
          <w:p w14:paraId="767E6C82" w14:textId="77777777" w:rsidR="00CD41A5" w:rsidRPr="002911AF" w:rsidRDefault="00CD41A5" w:rsidP="003C5F0A">
            <w:pPr>
              <w:pStyle w:val="TableText"/>
              <w:rPr>
                <w:rFonts w:cs="Arial"/>
                <w:sz w:val="20"/>
                <w:szCs w:val="20"/>
              </w:rPr>
            </w:pPr>
            <w:r w:rsidRPr="002911AF">
              <w:rPr>
                <w:rFonts w:cs="Arial"/>
                <w:sz w:val="20"/>
                <w:szCs w:val="20"/>
              </w:rPr>
              <w:t xml:space="preserve">Concern </w:t>
            </w:r>
            <w:proofErr w:type="gramStart"/>
            <w:r w:rsidRPr="002911AF">
              <w:rPr>
                <w:rFonts w:cs="Arial"/>
                <w:sz w:val="20"/>
                <w:szCs w:val="20"/>
              </w:rPr>
              <w:t>raised</w:t>
            </w:r>
            <w:proofErr w:type="gramEnd"/>
            <w:r w:rsidRPr="002911AF">
              <w:rPr>
                <w:rFonts w:cs="Arial"/>
                <w:sz w:val="20"/>
                <w:szCs w:val="20"/>
              </w:rPr>
              <w:t xml:space="preserve"> </w:t>
            </w:r>
            <w:r>
              <w:rPr>
                <w:rFonts w:cs="Arial"/>
                <w:sz w:val="20"/>
                <w:szCs w:val="20"/>
              </w:rPr>
              <w:t xml:space="preserve">re potential rather than </w:t>
            </w:r>
            <w:r w:rsidRPr="002911AF">
              <w:rPr>
                <w:rFonts w:cs="Arial"/>
                <w:sz w:val="20"/>
                <w:szCs w:val="20"/>
              </w:rPr>
              <w:t>actual incidence of adverse events and near-misses</w:t>
            </w:r>
            <w:r>
              <w:rPr>
                <w:rFonts w:cs="Arial"/>
                <w:sz w:val="20"/>
                <w:szCs w:val="20"/>
              </w:rPr>
              <w:t xml:space="preserve"> and that this may be an under-representation.</w:t>
            </w:r>
          </w:p>
        </w:tc>
        <w:tc>
          <w:tcPr>
            <w:tcW w:w="1417" w:type="dxa"/>
          </w:tcPr>
          <w:p w14:paraId="6B15AD16" w14:textId="77777777" w:rsidR="00CD41A5" w:rsidRPr="002911AF" w:rsidRDefault="00CD41A5" w:rsidP="003C5F0A">
            <w:pPr>
              <w:pStyle w:val="TableText"/>
              <w:rPr>
                <w:rFonts w:cs="Arial"/>
                <w:sz w:val="20"/>
                <w:szCs w:val="20"/>
              </w:rPr>
            </w:pPr>
            <w:r w:rsidRPr="002911AF">
              <w:rPr>
                <w:rFonts w:cs="Arial"/>
                <w:sz w:val="20"/>
                <w:szCs w:val="20"/>
              </w:rPr>
              <w:t>Queensland</w:t>
            </w:r>
          </w:p>
        </w:tc>
        <w:tc>
          <w:tcPr>
            <w:tcW w:w="709" w:type="dxa"/>
          </w:tcPr>
          <w:p w14:paraId="399E1A8E"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016D9347" w14:textId="77777777" w:rsidR="00CD41A5" w:rsidRPr="002911AF" w:rsidRDefault="00CD41A5" w:rsidP="003C5F0A">
            <w:pPr>
              <w:pStyle w:val="TableText"/>
              <w:rPr>
                <w:rFonts w:cs="Arial"/>
                <w:sz w:val="20"/>
                <w:szCs w:val="20"/>
              </w:rPr>
            </w:pPr>
            <w:r w:rsidRPr="002911AF">
              <w:rPr>
                <w:rFonts w:cs="Arial"/>
                <w:sz w:val="20"/>
                <w:szCs w:val="20"/>
              </w:rPr>
              <w:t>Not to be added to the Tall Man Lettering List 2017</w:t>
            </w:r>
          </w:p>
        </w:tc>
        <w:tc>
          <w:tcPr>
            <w:tcW w:w="3561" w:type="dxa"/>
          </w:tcPr>
          <w:p w14:paraId="63B7CE87" w14:textId="77777777" w:rsidR="00CD41A5" w:rsidRDefault="00CD41A5" w:rsidP="003C5F0A">
            <w:pPr>
              <w:pStyle w:val="TableText"/>
              <w:rPr>
                <w:rFonts w:cs="Arial"/>
                <w:sz w:val="20"/>
                <w:szCs w:val="20"/>
              </w:rPr>
            </w:pPr>
            <w:r w:rsidRPr="002911AF">
              <w:rPr>
                <w:rFonts w:cs="Arial"/>
                <w:sz w:val="20"/>
                <w:szCs w:val="20"/>
              </w:rPr>
              <w:t>Cons</w:t>
            </w:r>
            <w:r>
              <w:rPr>
                <w:rFonts w:cs="Arial"/>
                <w:sz w:val="20"/>
                <w:szCs w:val="20"/>
              </w:rPr>
              <w:t>idered by expert advisory panel.</w:t>
            </w:r>
          </w:p>
          <w:p w14:paraId="1D7AF2AE" w14:textId="77777777" w:rsidR="00CD41A5" w:rsidRDefault="00CD41A5" w:rsidP="003C5F0A">
            <w:pPr>
              <w:pStyle w:val="TableText"/>
              <w:rPr>
                <w:rFonts w:cs="Arial"/>
                <w:sz w:val="20"/>
                <w:szCs w:val="20"/>
              </w:rPr>
            </w:pPr>
            <w:r w:rsidRPr="002911AF">
              <w:rPr>
                <w:rFonts w:cs="Arial"/>
                <w:sz w:val="20"/>
                <w:szCs w:val="20"/>
              </w:rPr>
              <w:t xml:space="preserve">BISIM and risk assessment result showed a </w:t>
            </w:r>
            <w:r w:rsidRPr="00E43E50">
              <w:rPr>
                <w:rFonts w:cs="Arial"/>
                <w:b/>
                <w:sz w:val="20"/>
                <w:szCs w:val="20"/>
              </w:rPr>
              <w:t>low risk</w:t>
            </w:r>
            <w:r w:rsidRPr="002911AF">
              <w:rPr>
                <w:rFonts w:cs="Arial"/>
                <w:sz w:val="20"/>
                <w:szCs w:val="20"/>
              </w:rPr>
              <w:t xml:space="preserve"> of confusion</w:t>
            </w:r>
            <w:r w:rsidR="006626D3">
              <w:rPr>
                <w:rFonts w:cs="Arial"/>
                <w:sz w:val="20"/>
                <w:szCs w:val="20"/>
              </w:rPr>
              <w:t>, also noting a</w:t>
            </w:r>
            <w:r>
              <w:rPr>
                <w:rFonts w:cs="Arial"/>
                <w:sz w:val="20"/>
                <w:szCs w:val="20"/>
              </w:rPr>
              <w:t>pplication of International Harmonisation of Medicine Names to:</w:t>
            </w:r>
          </w:p>
          <w:p w14:paraId="1A502386" w14:textId="77777777" w:rsidR="00063697" w:rsidRDefault="00063697" w:rsidP="00063697">
            <w:pPr>
              <w:pStyle w:val="TableText"/>
              <w:numPr>
                <w:ilvl w:val="0"/>
                <w:numId w:val="26"/>
              </w:numPr>
              <w:spacing w:before="0" w:after="0"/>
              <w:ind w:left="535"/>
              <w:rPr>
                <w:rFonts w:cs="Arial"/>
                <w:sz w:val="20"/>
                <w:szCs w:val="20"/>
              </w:rPr>
            </w:pPr>
            <w:r>
              <w:rPr>
                <w:rFonts w:cs="Arial"/>
                <w:sz w:val="20"/>
                <w:szCs w:val="20"/>
              </w:rPr>
              <w:t>adrenaline (epinephrine)</w:t>
            </w:r>
          </w:p>
          <w:p w14:paraId="31B0A32A" w14:textId="0F6F82C1" w:rsidR="00CD41A5" w:rsidRPr="003C5F0A" w:rsidRDefault="00063697" w:rsidP="00063697">
            <w:pPr>
              <w:pStyle w:val="TableText"/>
              <w:numPr>
                <w:ilvl w:val="0"/>
                <w:numId w:val="26"/>
              </w:numPr>
              <w:spacing w:before="0" w:after="0"/>
              <w:ind w:left="535"/>
              <w:rPr>
                <w:rFonts w:cs="Arial"/>
                <w:sz w:val="20"/>
                <w:szCs w:val="20"/>
              </w:rPr>
            </w:pPr>
            <w:r>
              <w:rPr>
                <w:rFonts w:cs="Arial"/>
                <w:sz w:val="20"/>
                <w:szCs w:val="20"/>
              </w:rPr>
              <w:t>noradrenaline (norepinephrine)</w:t>
            </w:r>
          </w:p>
        </w:tc>
      </w:tr>
      <w:tr w:rsidR="00CD41A5" w:rsidRPr="002911AF" w14:paraId="2F1606E0" w14:textId="77777777" w:rsidTr="003C5F0A">
        <w:tc>
          <w:tcPr>
            <w:tcW w:w="568" w:type="dxa"/>
          </w:tcPr>
          <w:p w14:paraId="4D626C9B" w14:textId="77777777" w:rsidR="00CD41A5" w:rsidRPr="002911AF" w:rsidRDefault="00CD41A5" w:rsidP="003C5F0A">
            <w:pPr>
              <w:pStyle w:val="TableText"/>
              <w:rPr>
                <w:rFonts w:cs="Arial"/>
                <w:sz w:val="22"/>
                <w:szCs w:val="22"/>
              </w:rPr>
            </w:pPr>
            <w:r>
              <w:rPr>
                <w:rFonts w:cs="Arial"/>
                <w:sz w:val="22"/>
                <w:szCs w:val="22"/>
              </w:rPr>
              <w:t>3</w:t>
            </w:r>
          </w:p>
        </w:tc>
        <w:tc>
          <w:tcPr>
            <w:tcW w:w="1843" w:type="dxa"/>
          </w:tcPr>
          <w:p w14:paraId="53ED45F5" w14:textId="77777777" w:rsidR="00CD41A5" w:rsidRPr="002911AF" w:rsidRDefault="00CD41A5" w:rsidP="003C5F0A">
            <w:pPr>
              <w:pStyle w:val="TableText"/>
              <w:rPr>
                <w:rFonts w:cs="Arial"/>
                <w:sz w:val="20"/>
                <w:szCs w:val="20"/>
              </w:rPr>
            </w:pPr>
            <w:r w:rsidRPr="002911AF">
              <w:rPr>
                <w:rFonts w:cs="Arial"/>
                <w:sz w:val="20"/>
                <w:szCs w:val="20"/>
              </w:rPr>
              <w:t xml:space="preserve">Medicine name pair: </w:t>
            </w:r>
          </w:p>
          <w:p w14:paraId="50A1A510" w14:textId="77777777" w:rsidR="00CD41A5" w:rsidRPr="002911AF" w:rsidRDefault="00CD41A5" w:rsidP="003C5F0A">
            <w:pPr>
              <w:pStyle w:val="TableText"/>
              <w:rPr>
                <w:rFonts w:cs="Arial"/>
                <w:sz w:val="20"/>
                <w:szCs w:val="20"/>
              </w:rPr>
            </w:pPr>
            <w:proofErr w:type="spellStart"/>
            <w:r>
              <w:rPr>
                <w:rFonts w:cs="Arial"/>
                <w:sz w:val="20"/>
                <w:szCs w:val="20"/>
              </w:rPr>
              <w:t>dexmede</w:t>
            </w:r>
            <w:r w:rsidRPr="002911AF">
              <w:rPr>
                <w:rFonts w:cs="Arial"/>
                <w:sz w:val="20"/>
                <w:szCs w:val="20"/>
              </w:rPr>
              <w:t>tomidine</w:t>
            </w:r>
            <w:proofErr w:type="spellEnd"/>
            <w:r w:rsidRPr="002911AF">
              <w:rPr>
                <w:rFonts w:cs="Arial"/>
                <w:sz w:val="20"/>
                <w:szCs w:val="20"/>
              </w:rPr>
              <w:t xml:space="preserve"> and dexamethasone</w:t>
            </w:r>
          </w:p>
        </w:tc>
        <w:tc>
          <w:tcPr>
            <w:tcW w:w="2693" w:type="dxa"/>
          </w:tcPr>
          <w:p w14:paraId="64464794" w14:textId="77777777" w:rsidR="00CD41A5" w:rsidRPr="002911AF" w:rsidRDefault="00CD41A5" w:rsidP="003C5F0A">
            <w:pPr>
              <w:pStyle w:val="TableText"/>
              <w:rPr>
                <w:rFonts w:cs="Arial"/>
                <w:sz w:val="20"/>
                <w:szCs w:val="20"/>
              </w:rPr>
            </w:pPr>
            <w:r w:rsidRPr="002911AF">
              <w:rPr>
                <w:rFonts w:cs="Arial"/>
                <w:sz w:val="20"/>
                <w:szCs w:val="20"/>
              </w:rPr>
              <w:t>A near miss incident occurred where the difference between the names was not recognised. Dexamethasone dose/rate selected in</w:t>
            </w:r>
            <w:r>
              <w:rPr>
                <w:rFonts w:cs="Arial"/>
                <w:sz w:val="20"/>
                <w:szCs w:val="20"/>
              </w:rPr>
              <w:t xml:space="preserve"> the smart pump when the </w:t>
            </w:r>
            <w:proofErr w:type="spellStart"/>
            <w:r>
              <w:rPr>
                <w:rFonts w:cs="Arial"/>
                <w:sz w:val="20"/>
                <w:szCs w:val="20"/>
              </w:rPr>
              <w:t>dexmede</w:t>
            </w:r>
            <w:r w:rsidRPr="002911AF">
              <w:rPr>
                <w:rFonts w:cs="Arial"/>
                <w:sz w:val="20"/>
                <w:szCs w:val="20"/>
              </w:rPr>
              <w:t>tomidine</w:t>
            </w:r>
            <w:proofErr w:type="spellEnd"/>
            <w:r w:rsidRPr="002911AF">
              <w:rPr>
                <w:rFonts w:cs="Arial"/>
                <w:sz w:val="20"/>
                <w:szCs w:val="20"/>
              </w:rPr>
              <w:t xml:space="preserve"> dose was charted, prepared for administration.</w:t>
            </w:r>
          </w:p>
        </w:tc>
        <w:tc>
          <w:tcPr>
            <w:tcW w:w="1417" w:type="dxa"/>
          </w:tcPr>
          <w:p w14:paraId="7734E0C3" w14:textId="77777777" w:rsidR="00CD41A5" w:rsidRPr="002911AF" w:rsidRDefault="00CD41A5" w:rsidP="003C5F0A">
            <w:pPr>
              <w:pStyle w:val="TableText"/>
              <w:rPr>
                <w:rFonts w:cs="Arial"/>
                <w:sz w:val="20"/>
                <w:szCs w:val="20"/>
              </w:rPr>
            </w:pPr>
            <w:r w:rsidRPr="002911AF">
              <w:rPr>
                <w:rFonts w:cs="Arial"/>
                <w:sz w:val="20"/>
                <w:szCs w:val="20"/>
              </w:rPr>
              <w:t>NSW</w:t>
            </w:r>
          </w:p>
        </w:tc>
        <w:tc>
          <w:tcPr>
            <w:tcW w:w="709" w:type="dxa"/>
          </w:tcPr>
          <w:p w14:paraId="429F9D8A"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006B84FD" w14:textId="77777777" w:rsidR="00CD41A5" w:rsidRPr="002911AF" w:rsidRDefault="00CD41A5" w:rsidP="003C5F0A">
            <w:pPr>
              <w:pStyle w:val="TableText"/>
              <w:rPr>
                <w:rFonts w:cs="Arial"/>
                <w:sz w:val="20"/>
                <w:szCs w:val="20"/>
              </w:rPr>
            </w:pPr>
            <w:r w:rsidRPr="002911AF">
              <w:rPr>
                <w:rFonts w:cs="Arial"/>
                <w:sz w:val="20"/>
                <w:szCs w:val="20"/>
              </w:rPr>
              <w:t>Not to be added to the Tall Man Lettering List 2017</w:t>
            </w:r>
          </w:p>
        </w:tc>
        <w:tc>
          <w:tcPr>
            <w:tcW w:w="3561" w:type="dxa"/>
          </w:tcPr>
          <w:p w14:paraId="37D986D2" w14:textId="77777777" w:rsidR="00CD41A5" w:rsidRPr="002911AF" w:rsidRDefault="00CD41A5" w:rsidP="003C5F0A">
            <w:pPr>
              <w:pStyle w:val="TableText"/>
              <w:rPr>
                <w:rFonts w:cs="Arial"/>
                <w:sz w:val="20"/>
                <w:szCs w:val="20"/>
              </w:rPr>
            </w:pPr>
            <w:r w:rsidRPr="002911AF">
              <w:rPr>
                <w:rFonts w:cs="Arial"/>
                <w:sz w:val="20"/>
                <w:szCs w:val="20"/>
              </w:rPr>
              <w:t xml:space="preserve">Considered by expert advisory panel BISIM and risk assessment result showed a </w:t>
            </w:r>
            <w:r w:rsidRPr="00E43E50">
              <w:rPr>
                <w:rFonts w:cs="Arial"/>
                <w:b/>
                <w:sz w:val="20"/>
                <w:szCs w:val="20"/>
              </w:rPr>
              <w:t>low risk</w:t>
            </w:r>
            <w:r w:rsidRPr="002911AF">
              <w:rPr>
                <w:rFonts w:cs="Arial"/>
                <w:sz w:val="20"/>
                <w:szCs w:val="20"/>
              </w:rPr>
              <w:t xml:space="preserve"> of confusion</w:t>
            </w:r>
          </w:p>
        </w:tc>
      </w:tr>
      <w:tr w:rsidR="00CD41A5" w:rsidRPr="002911AF" w14:paraId="6FCB2AA9" w14:textId="77777777" w:rsidTr="003C5F0A">
        <w:tc>
          <w:tcPr>
            <w:tcW w:w="568" w:type="dxa"/>
          </w:tcPr>
          <w:p w14:paraId="7B12837B" w14:textId="77777777" w:rsidR="00CD41A5" w:rsidRPr="002911AF" w:rsidRDefault="00CD41A5" w:rsidP="003C5F0A">
            <w:pPr>
              <w:pStyle w:val="TableText"/>
              <w:rPr>
                <w:rFonts w:cs="Arial"/>
                <w:sz w:val="22"/>
                <w:szCs w:val="22"/>
              </w:rPr>
            </w:pPr>
            <w:r>
              <w:rPr>
                <w:rFonts w:cs="Arial"/>
                <w:sz w:val="22"/>
                <w:szCs w:val="22"/>
              </w:rPr>
              <w:t>4</w:t>
            </w:r>
          </w:p>
        </w:tc>
        <w:tc>
          <w:tcPr>
            <w:tcW w:w="1843" w:type="dxa"/>
          </w:tcPr>
          <w:p w14:paraId="104B0A29" w14:textId="77777777" w:rsidR="00CD41A5" w:rsidRPr="002911AF" w:rsidRDefault="00CD41A5" w:rsidP="003C5F0A">
            <w:pPr>
              <w:pStyle w:val="TableText"/>
              <w:rPr>
                <w:rFonts w:cs="Arial"/>
                <w:sz w:val="20"/>
                <w:szCs w:val="20"/>
              </w:rPr>
            </w:pPr>
            <w:r>
              <w:rPr>
                <w:rFonts w:cs="Arial"/>
                <w:sz w:val="20"/>
                <w:szCs w:val="20"/>
              </w:rPr>
              <w:t>Medicine</w:t>
            </w:r>
            <w:r w:rsidRPr="0056155B">
              <w:rPr>
                <w:rFonts w:cs="Arial"/>
                <w:sz w:val="20"/>
                <w:szCs w:val="20"/>
              </w:rPr>
              <w:t xml:space="preserve"> name pair: </w:t>
            </w:r>
            <w:proofErr w:type="spellStart"/>
            <w:r w:rsidRPr="0056155B">
              <w:rPr>
                <w:rFonts w:cs="Arial"/>
                <w:sz w:val="20"/>
                <w:szCs w:val="20"/>
              </w:rPr>
              <w:t>mercaptamine</w:t>
            </w:r>
            <w:proofErr w:type="spellEnd"/>
            <w:r w:rsidRPr="0056155B">
              <w:rPr>
                <w:rFonts w:cs="Arial"/>
                <w:sz w:val="20"/>
                <w:szCs w:val="20"/>
              </w:rPr>
              <w:t xml:space="preserve"> (</w:t>
            </w:r>
            <w:proofErr w:type="spellStart"/>
            <w:r w:rsidRPr="0056155B">
              <w:rPr>
                <w:rFonts w:cs="Arial"/>
                <w:sz w:val="20"/>
                <w:szCs w:val="20"/>
              </w:rPr>
              <w:t>cysteamine</w:t>
            </w:r>
            <w:proofErr w:type="spellEnd"/>
            <w:r w:rsidRPr="0056155B">
              <w:rPr>
                <w:rFonts w:cs="Arial"/>
                <w:sz w:val="20"/>
                <w:szCs w:val="20"/>
              </w:rPr>
              <w:t xml:space="preserve">) and </w:t>
            </w:r>
            <w:proofErr w:type="spellStart"/>
            <w:r w:rsidRPr="0056155B">
              <w:rPr>
                <w:rFonts w:cs="Arial"/>
                <w:sz w:val="20"/>
                <w:szCs w:val="20"/>
              </w:rPr>
              <w:t>mercaptopurine</w:t>
            </w:r>
            <w:proofErr w:type="spellEnd"/>
          </w:p>
        </w:tc>
        <w:tc>
          <w:tcPr>
            <w:tcW w:w="2693" w:type="dxa"/>
          </w:tcPr>
          <w:p w14:paraId="29D17FC4" w14:textId="77777777" w:rsidR="00CD41A5" w:rsidRPr="0056155B" w:rsidRDefault="00CD41A5" w:rsidP="003C5F0A">
            <w:pPr>
              <w:pStyle w:val="TableText"/>
              <w:rPr>
                <w:rFonts w:cs="Arial"/>
                <w:sz w:val="20"/>
                <w:szCs w:val="20"/>
              </w:rPr>
            </w:pPr>
            <w:r w:rsidRPr="0056155B">
              <w:rPr>
                <w:rFonts w:cs="Arial"/>
                <w:sz w:val="20"/>
                <w:szCs w:val="20"/>
              </w:rPr>
              <w:t xml:space="preserve">TGA has released a safety advisory re the change of ingredient name of </w:t>
            </w:r>
            <w:proofErr w:type="spellStart"/>
            <w:r w:rsidRPr="0056155B">
              <w:rPr>
                <w:rFonts w:cs="Arial"/>
                <w:sz w:val="20"/>
                <w:szCs w:val="20"/>
              </w:rPr>
              <w:t>cysteamine</w:t>
            </w:r>
            <w:proofErr w:type="spellEnd"/>
            <w:r w:rsidRPr="0056155B">
              <w:rPr>
                <w:rFonts w:cs="Arial"/>
                <w:sz w:val="20"/>
                <w:szCs w:val="20"/>
              </w:rPr>
              <w:t xml:space="preserve"> to </w:t>
            </w:r>
            <w:proofErr w:type="spellStart"/>
            <w:r w:rsidRPr="0056155B">
              <w:rPr>
                <w:rFonts w:cs="Arial"/>
                <w:sz w:val="20"/>
                <w:szCs w:val="20"/>
              </w:rPr>
              <w:t>mercaptamine</w:t>
            </w:r>
            <w:proofErr w:type="spellEnd"/>
            <w:r w:rsidRPr="0056155B">
              <w:rPr>
                <w:rFonts w:cs="Arial"/>
                <w:sz w:val="20"/>
                <w:szCs w:val="20"/>
              </w:rPr>
              <w:t xml:space="preserve"> at </w:t>
            </w:r>
          </w:p>
          <w:p w14:paraId="651F56DF" w14:textId="77777777" w:rsidR="00CD41A5" w:rsidRPr="002911AF" w:rsidRDefault="00CD41A5" w:rsidP="003C5F0A">
            <w:pPr>
              <w:pStyle w:val="TableText"/>
              <w:rPr>
                <w:rFonts w:cs="Arial"/>
                <w:sz w:val="20"/>
                <w:szCs w:val="20"/>
              </w:rPr>
            </w:pPr>
            <w:r w:rsidRPr="0056155B">
              <w:rPr>
                <w:rFonts w:cs="Arial"/>
                <w:sz w:val="20"/>
                <w:szCs w:val="20"/>
              </w:rPr>
              <w:t>https://www.tga.gov.au/alert/mercaptamine-cysteamine-and-mercaptopurine.</w:t>
            </w:r>
          </w:p>
        </w:tc>
        <w:tc>
          <w:tcPr>
            <w:tcW w:w="1417" w:type="dxa"/>
          </w:tcPr>
          <w:p w14:paraId="7E548C97" w14:textId="77777777" w:rsidR="00CD41A5" w:rsidRPr="002911AF" w:rsidRDefault="00CD41A5" w:rsidP="003C5F0A">
            <w:pPr>
              <w:pStyle w:val="TableText"/>
              <w:rPr>
                <w:rFonts w:cs="Arial"/>
                <w:sz w:val="20"/>
                <w:szCs w:val="20"/>
              </w:rPr>
            </w:pPr>
            <w:r>
              <w:rPr>
                <w:rFonts w:cs="Arial"/>
                <w:sz w:val="20"/>
                <w:szCs w:val="20"/>
              </w:rPr>
              <w:t>NSW</w:t>
            </w:r>
          </w:p>
        </w:tc>
        <w:tc>
          <w:tcPr>
            <w:tcW w:w="709" w:type="dxa"/>
          </w:tcPr>
          <w:p w14:paraId="0CA2660F"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4D3201D3" w14:textId="77777777" w:rsidR="00CD41A5" w:rsidRPr="004522A0" w:rsidRDefault="00CD41A5" w:rsidP="003C5F0A">
            <w:pPr>
              <w:pStyle w:val="TableText"/>
              <w:rPr>
                <w:rFonts w:cs="Arial"/>
                <w:b/>
                <w:sz w:val="20"/>
                <w:szCs w:val="20"/>
              </w:rPr>
            </w:pPr>
            <w:r w:rsidRPr="004522A0">
              <w:rPr>
                <w:rFonts w:cs="Arial"/>
                <w:b/>
                <w:sz w:val="20"/>
                <w:szCs w:val="20"/>
              </w:rPr>
              <w:t>Added to Tall Man Lettering List 2017</w:t>
            </w:r>
          </w:p>
        </w:tc>
        <w:tc>
          <w:tcPr>
            <w:tcW w:w="3561" w:type="dxa"/>
          </w:tcPr>
          <w:p w14:paraId="127CD438" w14:textId="77777777" w:rsidR="00CD41A5" w:rsidRPr="00B901DD" w:rsidRDefault="00CD41A5" w:rsidP="003C5F0A">
            <w:pPr>
              <w:pStyle w:val="TableText"/>
              <w:rPr>
                <w:rFonts w:cs="Arial"/>
                <w:sz w:val="20"/>
                <w:szCs w:val="20"/>
              </w:rPr>
            </w:pPr>
            <w:r w:rsidRPr="00B901DD">
              <w:rPr>
                <w:rFonts w:cs="Arial"/>
                <w:sz w:val="20"/>
                <w:szCs w:val="20"/>
              </w:rPr>
              <w:t xml:space="preserve">Considered by expert advisory panel. </w:t>
            </w:r>
          </w:p>
          <w:p w14:paraId="59E636A4" w14:textId="77777777" w:rsidR="00CD41A5" w:rsidRPr="002911AF" w:rsidRDefault="00CD41A5" w:rsidP="003C5F0A">
            <w:pPr>
              <w:pStyle w:val="TableText"/>
              <w:rPr>
                <w:rFonts w:cs="Arial"/>
                <w:sz w:val="20"/>
                <w:szCs w:val="20"/>
              </w:rPr>
            </w:pPr>
            <w:r w:rsidRPr="00B901DD">
              <w:rPr>
                <w:rFonts w:cs="Arial"/>
                <w:sz w:val="20"/>
                <w:szCs w:val="20"/>
              </w:rPr>
              <w:t xml:space="preserve">BISIM and risk assessment result demonstrated a </w:t>
            </w:r>
            <w:r w:rsidRPr="00551AB9">
              <w:rPr>
                <w:rFonts w:cs="Arial"/>
                <w:b/>
                <w:sz w:val="20"/>
                <w:szCs w:val="20"/>
              </w:rPr>
              <w:t>medium to high risk</w:t>
            </w:r>
            <w:r w:rsidRPr="00B901DD">
              <w:rPr>
                <w:rFonts w:cs="Arial"/>
                <w:sz w:val="20"/>
                <w:szCs w:val="20"/>
              </w:rPr>
              <w:t xml:space="preserve"> of confusion</w:t>
            </w:r>
            <w:r>
              <w:rPr>
                <w:rFonts w:cs="Arial"/>
                <w:sz w:val="20"/>
                <w:szCs w:val="20"/>
              </w:rPr>
              <w:t>.</w:t>
            </w:r>
          </w:p>
        </w:tc>
      </w:tr>
      <w:tr w:rsidR="00CD41A5" w:rsidRPr="002911AF" w14:paraId="79519D5B" w14:textId="77777777" w:rsidTr="003C5F0A">
        <w:tc>
          <w:tcPr>
            <w:tcW w:w="568" w:type="dxa"/>
          </w:tcPr>
          <w:p w14:paraId="6030839D" w14:textId="77777777" w:rsidR="00CD41A5" w:rsidRPr="002911AF" w:rsidRDefault="00CD41A5" w:rsidP="003C5F0A">
            <w:pPr>
              <w:pStyle w:val="TableText"/>
              <w:rPr>
                <w:rFonts w:cs="Arial"/>
                <w:sz w:val="22"/>
                <w:szCs w:val="22"/>
              </w:rPr>
            </w:pPr>
            <w:r>
              <w:rPr>
                <w:rFonts w:cs="Arial"/>
                <w:sz w:val="22"/>
                <w:szCs w:val="22"/>
              </w:rPr>
              <w:lastRenderedPageBreak/>
              <w:t>5</w:t>
            </w:r>
          </w:p>
        </w:tc>
        <w:tc>
          <w:tcPr>
            <w:tcW w:w="1843" w:type="dxa"/>
          </w:tcPr>
          <w:p w14:paraId="4035FF5E" w14:textId="77777777" w:rsidR="00CD41A5" w:rsidRDefault="00CD41A5" w:rsidP="003C5F0A">
            <w:pPr>
              <w:pStyle w:val="TableText"/>
              <w:rPr>
                <w:rFonts w:cs="Arial"/>
                <w:sz w:val="20"/>
                <w:szCs w:val="20"/>
              </w:rPr>
            </w:pPr>
            <w:r>
              <w:rPr>
                <w:rFonts w:cs="Arial"/>
                <w:sz w:val="20"/>
                <w:szCs w:val="20"/>
              </w:rPr>
              <w:t>Medicine</w:t>
            </w:r>
            <w:r w:rsidRPr="0056155B">
              <w:rPr>
                <w:rFonts w:cs="Arial"/>
                <w:sz w:val="20"/>
                <w:szCs w:val="20"/>
              </w:rPr>
              <w:t xml:space="preserve"> name </w:t>
            </w:r>
            <w:r>
              <w:rPr>
                <w:rFonts w:cs="Arial"/>
                <w:sz w:val="20"/>
                <w:szCs w:val="20"/>
              </w:rPr>
              <w:t>c</w:t>
            </w:r>
            <w:r w:rsidRPr="004215DB">
              <w:rPr>
                <w:rFonts w:cs="Arial"/>
                <w:sz w:val="20"/>
                <w:szCs w:val="20"/>
              </w:rPr>
              <w:t>lozapine</w:t>
            </w:r>
            <w:r>
              <w:rPr>
                <w:rFonts w:cs="Arial"/>
                <w:sz w:val="20"/>
                <w:szCs w:val="20"/>
              </w:rPr>
              <w:t>:</w:t>
            </w:r>
          </w:p>
          <w:p w14:paraId="7292911D" w14:textId="77777777" w:rsidR="00CD41A5" w:rsidRDefault="00CD41A5" w:rsidP="003C5F0A">
            <w:pPr>
              <w:pStyle w:val="TableText"/>
              <w:rPr>
                <w:rFonts w:cs="Arial"/>
                <w:sz w:val="20"/>
                <w:szCs w:val="20"/>
              </w:rPr>
            </w:pPr>
            <w:r w:rsidRPr="004215DB">
              <w:rPr>
                <w:rFonts w:cs="Arial"/>
                <w:sz w:val="20"/>
                <w:szCs w:val="20"/>
              </w:rPr>
              <w:t xml:space="preserve">misreading potential with other </w:t>
            </w:r>
            <w:r>
              <w:rPr>
                <w:rFonts w:cs="Arial"/>
                <w:sz w:val="20"/>
                <w:szCs w:val="20"/>
              </w:rPr>
              <w:t>medicine</w:t>
            </w:r>
            <w:r w:rsidRPr="004215DB">
              <w:rPr>
                <w:rFonts w:cs="Arial"/>
                <w:sz w:val="20"/>
                <w:szCs w:val="20"/>
              </w:rPr>
              <w:t xml:space="preserve"> names such as clomipramine and clonidine</w:t>
            </w:r>
          </w:p>
        </w:tc>
        <w:tc>
          <w:tcPr>
            <w:tcW w:w="2693" w:type="dxa"/>
          </w:tcPr>
          <w:p w14:paraId="7BD5E8D0" w14:textId="77777777" w:rsidR="00CD41A5" w:rsidRPr="0056155B" w:rsidRDefault="00CD41A5" w:rsidP="003C5F0A">
            <w:pPr>
              <w:pStyle w:val="TableText"/>
              <w:rPr>
                <w:rFonts w:cs="Arial"/>
                <w:sz w:val="20"/>
                <w:szCs w:val="20"/>
              </w:rPr>
            </w:pPr>
            <w:r w:rsidRPr="004215DB">
              <w:rPr>
                <w:rFonts w:cs="Arial"/>
                <w:sz w:val="20"/>
                <w:szCs w:val="20"/>
              </w:rPr>
              <w:t>Suggestion that the names are very simi</w:t>
            </w:r>
            <w:r>
              <w:rPr>
                <w:rFonts w:cs="Arial"/>
                <w:sz w:val="20"/>
                <w:szCs w:val="20"/>
              </w:rPr>
              <w:t xml:space="preserve">lar and orders could be misread, especially for staff less familiar with clozapine. </w:t>
            </w:r>
          </w:p>
        </w:tc>
        <w:tc>
          <w:tcPr>
            <w:tcW w:w="1417" w:type="dxa"/>
          </w:tcPr>
          <w:p w14:paraId="58516753" w14:textId="77777777" w:rsidR="00CD41A5" w:rsidRDefault="00CD41A5" w:rsidP="003C5F0A">
            <w:pPr>
              <w:pStyle w:val="TableText"/>
              <w:rPr>
                <w:rFonts w:cs="Arial"/>
                <w:sz w:val="20"/>
                <w:szCs w:val="20"/>
              </w:rPr>
            </w:pPr>
            <w:r>
              <w:rPr>
                <w:rFonts w:cs="Arial"/>
                <w:sz w:val="20"/>
                <w:szCs w:val="20"/>
              </w:rPr>
              <w:t>NSW</w:t>
            </w:r>
          </w:p>
        </w:tc>
        <w:tc>
          <w:tcPr>
            <w:tcW w:w="709" w:type="dxa"/>
          </w:tcPr>
          <w:p w14:paraId="45F5CD6B"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01D65BCA" w14:textId="77777777" w:rsidR="00CD41A5" w:rsidRPr="002911AF" w:rsidRDefault="00CD41A5" w:rsidP="003C5F0A">
            <w:pPr>
              <w:pStyle w:val="TableText"/>
              <w:rPr>
                <w:rFonts w:cs="Arial"/>
                <w:sz w:val="20"/>
                <w:szCs w:val="20"/>
              </w:rPr>
            </w:pPr>
            <w:r w:rsidRPr="002911AF">
              <w:rPr>
                <w:rFonts w:cs="Arial"/>
                <w:sz w:val="20"/>
                <w:szCs w:val="20"/>
              </w:rPr>
              <w:t>Not to be added to the Tall Man Lettering List 2017</w:t>
            </w:r>
          </w:p>
        </w:tc>
        <w:tc>
          <w:tcPr>
            <w:tcW w:w="3561" w:type="dxa"/>
          </w:tcPr>
          <w:p w14:paraId="178C06AA" w14:textId="77777777" w:rsidR="00CD41A5" w:rsidRDefault="00CD41A5" w:rsidP="003C5F0A">
            <w:pPr>
              <w:pStyle w:val="TableText"/>
              <w:rPr>
                <w:rFonts w:cs="Arial"/>
                <w:sz w:val="20"/>
                <w:szCs w:val="20"/>
              </w:rPr>
            </w:pPr>
            <w:r w:rsidRPr="002911AF">
              <w:rPr>
                <w:rFonts w:cs="Arial"/>
                <w:sz w:val="20"/>
                <w:szCs w:val="20"/>
              </w:rPr>
              <w:t>Cons</w:t>
            </w:r>
            <w:r>
              <w:rPr>
                <w:rFonts w:cs="Arial"/>
                <w:sz w:val="20"/>
                <w:szCs w:val="20"/>
              </w:rPr>
              <w:t>idered by expert advisory panel.</w:t>
            </w:r>
          </w:p>
          <w:p w14:paraId="71E856AA" w14:textId="77777777" w:rsidR="00CD41A5" w:rsidRPr="002911AF" w:rsidRDefault="00CD41A5" w:rsidP="003C5F0A">
            <w:pPr>
              <w:pStyle w:val="TableText"/>
              <w:rPr>
                <w:rFonts w:cs="Arial"/>
                <w:sz w:val="20"/>
                <w:szCs w:val="20"/>
              </w:rPr>
            </w:pPr>
            <w:r w:rsidRPr="002911AF">
              <w:rPr>
                <w:rFonts w:cs="Arial"/>
                <w:sz w:val="20"/>
                <w:szCs w:val="20"/>
              </w:rPr>
              <w:t xml:space="preserve">BISIM and risk assessment result showed a </w:t>
            </w:r>
            <w:r w:rsidRPr="00E43E50">
              <w:rPr>
                <w:rFonts w:cs="Arial"/>
                <w:b/>
                <w:sz w:val="20"/>
                <w:szCs w:val="20"/>
              </w:rPr>
              <w:t>low risk</w:t>
            </w:r>
            <w:r w:rsidRPr="002911AF">
              <w:rPr>
                <w:rFonts w:cs="Arial"/>
                <w:sz w:val="20"/>
                <w:szCs w:val="20"/>
              </w:rPr>
              <w:t xml:space="preserve"> of confusion</w:t>
            </w:r>
            <w:r>
              <w:rPr>
                <w:rFonts w:cs="Arial"/>
                <w:sz w:val="20"/>
                <w:szCs w:val="20"/>
              </w:rPr>
              <w:t>.</w:t>
            </w:r>
          </w:p>
        </w:tc>
      </w:tr>
      <w:tr w:rsidR="00CD41A5" w:rsidRPr="002911AF" w14:paraId="279457F2" w14:textId="77777777" w:rsidTr="003C5F0A">
        <w:tc>
          <w:tcPr>
            <w:tcW w:w="568" w:type="dxa"/>
          </w:tcPr>
          <w:p w14:paraId="4B0EB7F3" w14:textId="77777777" w:rsidR="00CD41A5" w:rsidRPr="002911AF" w:rsidRDefault="00CD41A5" w:rsidP="003C5F0A">
            <w:pPr>
              <w:pStyle w:val="TableText"/>
              <w:rPr>
                <w:rFonts w:cs="Arial"/>
                <w:sz w:val="22"/>
                <w:szCs w:val="22"/>
              </w:rPr>
            </w:pPr>
            <w:r>
              <w:rPr>
                <w:rFonts w:cs="Arial"/>
                <w:sz w:val="22"/>
                <w:szCs w:val="22"/>
              </w:rPr>
              <w:t>6</w:t>
            </w:r>
          </w:p>
        </w:tc>
        <w:tc>
          <w:tcPr>
            <w:tcW w:w="1843" w:type="dxa"/>
          </w:tcPr>
          <w:p w14:paraId="0EB3C3EA" w14:textId="77777777" w:rsidR="00CD41A5" w:rsidRDefault="00CD41A5" w:rsidP="003C5F0A">
            <w:pPr>
              <w:pStyle w:val="TableText"/>
              <w:rPr>
                <w:rFonts w:cs="Arial"/>
                <w:sz w:val="20"/>
                <w:szCs w:val="20"/>
              </w:rPr>
            </w:pPr>
            <w:r>
              <w:rPr>
                <w:rFonts w:cs="Arial"/>
                <w:sz w:val="20"/>
                <w:szCs w:val="20"/>
              </w:rPr>
              <w:t xml:space="preserve">Medicine name pair: </w:t>
            </w:r>
            <w:proofErr w:type="spellStart"/>
            <w:r>
              <w:rPr>
                <w:rFonts w:cs="Arial"/>
                <w:sz w:val="20"/>
                <w:szCs w:val="20"/>
              </w:rPr>
              <w:t>rise</w:t>
            </w:r>
            <w:r w:rsidRPr="00FA5482">
              <w:rPr>
                <w:rFonts w:cs="Arial"/>
                <w:sz w:val="20"/>
                <w:szCs w:val="20"/>
              </w:rPr>
              <w:t>dronate</w:t>
            </w:r>
            <w:proofErr w:type="spellEnd"/>
            <w:r w:rsidRPr="00FA5482">
              <w:rPr>
                <w:rFonts w:cs="Arial"/>
                <w:sz w:val="20"/>
                <w:szCs w:val="20"/>
              </w:rPr>
              <w:t xml:space="preserve"> and alendronate</w:t>
            </w:r>
          </w:p>
        </w:tc>
        <w:tc>
          <w:tcPr>
            <w:tcW w:w="2693" w:type="dxa"/>
          </w:tcPr>
          <w:p w14:paraId="216FAB4C" w14:textId="77777777" w:rsidR="00CD41A5" w:rsidRPr="0056155B" w:rsidRDefault="00CD41A5" w:rsidP="003C5F0A">
            <w:pPr>
              <w:pStyle w:val="TableText"/>
              <w:rPr>
                <w:rFonts w:cs="Arial"/>
                <w:sz w:val="20"/>
                <w:szCs w:val="20"/>
              </w:rPr>
            </w:pPr>
            <w:r w:rsidRPr="00FA5482">
              <w:rPr>
                <w:rFonts w:cs="Arial"/>
                <w:sz w:val="20"/>
                <w:szCs w:val="20"/>
              </w:rPr>
              <w:t>Potential for harm identified (</w:t>
            </w:r>
            <w:r>
              <w:rPr>
                <w:rFonts w:cs="Arial"/>
                <w:sz w:val="20"/>
                <w:szCs w:val="20"/>
              </w:rPr>
              <w:t>no actual incident reported) relating to look-alike packaging:</w:t>
            </w:r>
            <w:r w:rsidRPr="00FA5482">
              <w:rPr>
                <w:rFonts w:cs="Arial"/>
                <w:sz w:val="20"/>
                <w:szCs w:val="20"/>
              </w:rPr>
              <w:t xml:space="preserve"> Sandoz brand</w:t>
            </w:r>
            <w:r>
              <w:rPr>
                <w:rFonts w:cs="Arial"/>
                <w:sz w:val="20"/>
                <w:szCs w:val="20"/>
              </w:rPr>
              <w:t>.</w:t>
            </w:r>
          </w:p>
        </w:tc>
        <w:tc>
          <w:tcPr>
            <w:tcW w:w="1417" w:type="dxa"/>
          </w:tcPr>
          <w:p w14:paraId="540B3A6E" w14:textId="77777777" w:rsidR="00CD41A5" w:rsidRDefault="00CD41A5" w:rsidP="003C5F0A">
            <w:pPr>
              <w:pStyle w:val="TableText"/>
              <w:rPr>
                <w:rFonts w:cs="Arial"/>
                <w:sz w:val="20"/>
                <w:szCs w:val="20"/>
              </w:rPr>
            </w:pPr>
            <w:r>
              <w:rPr>
                <w:rFonts w:cs="Arial"/>
                <w:sz w:val="20"/>
                <w:szCs w:val="20"/>
              </w:rPr>
              <w:t>NSW</w:t>
            </w:r>
          </w:p>
        </w:tc>
        <w:tc>
          <w:tcPr>
            <w:tcW w:w="709" w:type="dxa"/>
          </w:tcPr>
          <w:p w14:paraId="4DCD742A"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5DEE3FCE" w14:textId="77777777" w:rsidR="00CD41A5" w:rsidRPr="002911AF" w:rsidRDefault="00CD41A5" w:rsidP="003C5F0A">
            <w:pPr>
              <w:pStyle w:val="TableText"/>
              <w:rPr>
                <w:rFonts w:cs="Arial"/>
                <w:sz w:val="20"/>
                <w:szCs w:val="20"/>
              </w:rPr>
            </w:pPr>
            <w:r w:rsidRPr="002911AF">
              <w:rPr>
                <w:rFonts w:cs="Arial"/>
                <w:sz w:val="20"/>
                <w:szCs w:val="20"/>
              </w:rPr>
              <w:t>Not to be added to the Tall Man Lettering List 2017</w:t>
            </w:r>
          </w:p>
        </w:tc>
        <w:tc>
          <w:tcPr>
            <w:tcW w:w="3561" w:type="dxa"/>
          </w:tcPr>
          <w:p w14:paraId="1812A5CB" w14:textId="77777777" w:rsidR="00CD41A5" w:rsidRDefault="00CD41A5" w:rsidP="003C5F0A">
            <w:pPr>
              <w:pStyle w:val="TableText"/>
              <w:rPr>
                <w:rFonts w:cs="Arial"/>
                <w:sz w:val="20"/>
                <w:szCs w:val="20"/>
              </w:rPr>
            </w:pPr>
            <w:r w:rsidRPr="002911AF">
              <w:rPr>
                <w:rFonts w:cs="Arial"/>
                <w:sz w:val="20"/>
                <w:szCs w:val="20"/>
              </w:rPr>
              <w:t>Cons</w:t>
            </w:r>
            <w:r>
              <w:rPr>
                <w:rFonts w:cs="Arial"/>
                <w:sz w:val="20"/>
                <w:szCs w:val="20"/>
              </w:rPr>
              <w:t>idered by expert advisory panel.</w:t>
            </w:r>
          </w:p>
          <w:p w14:paraId="1E6F1C10" w14:textId="77777777" w:rsidR="00CD41A5" w:rsidRPr="002911AF" w:rsidRDefault="00CD41A5" w:rsidP="003C5F0A">
            <w:pPr>
              <w:pStyle w:val="TableText"/>
              <w:rPr>
                <w:rFonts w:cs="Arial"/>
                <w:sz w:val="20"/>
                <w:szCs w:val="20"/>
              </w:rPr>
            </w:pPr>
            <w:r w:rsidRPr="002911AF">
              <w:rPr>
                <w:rFonts w:cs="Arial"/>
                <w:sz w:val="20"/>
                <w:szCs w:val="20"/>
              </w:rPr>
              <w:t xml:space="preserve">BISIM and risk assessment result showed a </w:t>
            </w:r>
            <w:r w:rsidRPr="00E43E50">
              <w:rPr>
                <w:rFonts w:cs="Arial"/>
                <w:b/>
                <w:sz w:val="20"/>
                <w:szCs w:val="20"/>
              </w:rPr>
              <w:t>low risk</w:t>
            </w:r>
            <w:r w:rsidRPr="002911AF">
              <w:rPr>
                <w:rFonts w:cs="Arial"/>
                <w:sz w:val="20"/>
                <w:szCs w:val="20"/>
              </w:rPr>
              <w:t xml:space="preserve"> of confusion</w:t>
            </w:r>
            <w:r>
              <w:rPr>
                <w:rFonts w:cs="Arial"/>
                <w:sz w:val="20"/>
                <w:szCs w:val="20"/>
              </w:rPr>
              <w:t>.</w:t>
            </w:r>
          </w:p>
        </w:tc>
      </w:tr>
      <w:tr w:rsidR="00CD41A5" w:rsidRPr="002911AF" w14:paraId="3AE29FEA" w14:textId="77777777" w:rsidTr="003C5F0A">
        <w:tc>
          <w:tcPr>
            <w:tcW w:w="568" w:type="dxa"/>
          </w:tcPr>
          <w:p w14:paraId="00FEB95B" w14:textId="77777777" w:rsidR="00CD41A5" w:rsidRPr="002911AF" w:rsidRDefault="00CD41A5" w:rsidP="003C5F0A">
            <w:pPr>
              <w:pStyle w:val="TableText"/>
              <w:rPr>
                <w:rFonts w:cs="Arial"/>
                <w:sz w:val="22"/>
                <w:szCs w:val="22"/>
              </w:rPr>
            </w:pPr>
            <w:r>
              <w:rPr>
                <w:rFonts w:cs="Arial"/>
                <w:sz w:val="22"/>
                <w:szCs w:val="22"/>
              </w:rPr>
              <w:t>7</w:t>
            </w:r>
          </w:p>
        </w:tc>
        <w:tc>
          <w:tcPr>
            <w:tcW w:w="1843" w:type="dxa"/>
          </w:tcPr>
          <w:p w14:paraId="471994C0" w14:textId="77777777" w:rsidR="00CD41A5" w:rsidRPr="00D63B2C" w:rsidRDefault="00CD41A5" w:rsidP="003C5F0A">
            <w:pPr>
              <w:pStyle w:val="TableText"/>
              <w:rPr>
                <w:rFonts w:cs="Arial"/>
                <w:b/>
                <w:sz w:val="20"/>
                <w:szCs w:val="20"/>
              </w:rPr>
            </w:pPr>
            <w:r w:rsidRPr="00D63B2C">
              <w:rPr>
                <w:rFonts w:cs="Arial"/>
                <w:b/>
                <w:sz w:val="20"/>
                <w:szCs w:val="20"/>
              </w:rPr>
              <w:t>BRAND</w:t>
            </w:r>
            <w:r>
              <w:rPr>
                <w:rFonts w:cs="Arial"/>
                <w:b/>
                <w:sz w:val="20"/>
                <w:szCs w:val="20"/>
              </w:rPr>
              <w:t xml:space="preserve"> NAMES</w:t>
            </w:r>
          </w:p>
          <w:p w14:paraId="3B6C6889" w14:textId="77777777" w:rsidR="00CD41A5" w:rsidRDefault="00CD41A5" w:rsidP="003C5F0A">
            <w:pPr>
              <w:pStyle w:val="TableText"/>
              <w:rPr>
                <w:rFonts w:cs="Arial"/>
                <w:sz w:val="20"/>
                <w:szCs w:val="20"/>
              </w:rPr>
            </w:pPr>
            <w:r>
              <w:rPr>
                <w:rFonts w:cs="Arial"/>
                <w:sz w:val="20"/>
                <w:szCs w:val="20"/>
              </w:rPr>
              <w:t>Medicine</w:t>
            </w:r>
            <w:r w:rsidRPr="00D63B2C">
              <w:rPr>
                <w:rFonts w:cs="Arial"/>
                <w:sz w:val="20"/>
                <w:szCs w:val="20"/>
              </w:rPr>
              <w:t xml:space="preserve"> name pair: </w:t>
            </w:r>
            <w:proofErr w:type="spellStart"/>
            <w:r w:rsidRPr="00D63B2C">
              <w:rPr>
                <w:rFonts w:cs="Arial"/>
                <w:sz w:val="20"/>
                <w:szCs w:val="20"/>
              </w:rPr>
              <w:t>Pradaxa</w:t>
            </w:r>
            <w:proofErr w:type="spellEnd"/>
            <w:r w:rsidRPr="00D63B2C">
              <w:rPr>
                <w:rFonts w:cs="Arial"/>
                <w:sz w:val="20"/>
                <w:szCs w:val="20"/>
              </w:rPr>
              <w:t xml:space="preserve"> (dabigatran) and </w:t>
            </w:r>
            <w:proofErr w:type="spellStart"/>
            <w:r w:rsidRPr="00D63B2C">
              <w:rPr>
                <w:rFonts w:cs="Arial"/>
                <w:sz w:val="20"/>
                <w:szCs w:val="20"/>
              </w:rPr>
              <w:t>Praxbind</w:t>
            </w:r>
            <w:proofErr w:type="spellEnd"/>
            <w:r w:rsidRPr="00D63B2C">
              <w:rPr>
                <w:rFonts w:cs="Arial"/>
                <w:sz w:val="20"/>
                <w:szCs w:val="20"/>
              </w:rPr>
              <w:t xml:space="preserve"> (</w:t>
            </w:r>
            <w:proofErr w:type="spellStart"/>
            <w:r w:rsidRPr="00D63B2C">
              <w:rPr>
                <w:rFonts w:cs="Arial"/>
                <w:sz w:val="20"/>
                <w:szCs w:val="20"/>
              </w:rPr>
              <w:t>idarucizumab</w:t>
            </w:r>
            <w:proofErr w:type="spellEnd"/>
            <w:r w:rsidRPr="00D63B2C">
              <w:rPr>
                <w:rFonts w:cs="Arial"/>
                <w:sz w:val="20"/>
                <w:szCs w:val="20"/>
              </w:rPr>
              <w:t xml:space="preserve">) - </w:t>
            </w:r>
          </w:p>
        </w:tc>
        <w:tc>
          <w:tcPr>
            <w:tcW w:w="2693" w:type="dxa"/>
          </w:tcPr>
          <w:p w14:paraId="48F32C75" w14:textId="77777777" w:rsidR="00CD41A5" w:rsidRDefault="00CD41A5" w:rsidP="003C5F0A">
            <w:pPr>
              <w:pStyle w:val="TableText"/>
              <w:rPr>
                <w:rFonts w:cs="Arial"/>
                <w:sz w:val="20"/>
                <w:szCs w:val="20"/>
              </w:rPr>
            </w:pPr>
            <w:r w:rsidRPr="00D63B2C">
              <w:rPr>
                <w:rFonts w:cs="Arial"/>
                <w:sz w:val="20"/>
                <w:szCs w:val="20"/>
              </w:rPr>
              <w:t xml:space="preserve">Following the listing of the </w:t>
            </w:r>
            <w:r>
              <w:rPr>
                <w:rFonts w:cs="Arial"/>
                <w:sz w:val="20"/>
                <w:szCs w:val="20"/>
              </w:rPr>
              <w:t>dabigatran</w:t>
            </w:r>
            <w:r w:rsidRPr="00D63B2C">
              <w:rPr>
                <w:rFonts w:cs="Arial"/>
                <w:sz w:val="20"/>
                <w:szCs w:val="20"/>
              </w:rPr>
              <w:t xml:space="preserve"> reversal agent overseas initially during 2015, and now in Australia on the ARTG (May 2016), the need to consider whether there is a risk in the Australian environment.</w:t>
            </w:r>
          </w:p>
          <w:p w14:paraId="33FD526E" w14:textId="77777777" w:rsidR="00CD41A5" w:rsidRPr="0056155B" w:rsidRDefault="00CD41A5" w:rsidP="003C5F0A">
            <w:pPr>
              <w:pStyle w:val="TableText"/>
              <w:rPr>
                <w:rFonts w:cs="Arial"/>
                <w:sz w:val="20"/>
                <w:szCs w:val="20"/>
              </w:rPr>
            </w:pPr>
            <w:r w:rsidRPr="00D63B2C">
              <w:rPr>
                <w:rFonts w:cs="Arial"/>
                <w:sz w:val="20"/>
                <w:szCs w:val="20"/>
              </w:rPr>
              <w:t xml:space="preserve"> </w:t>
            </w:r>
          </w:p>
        </w:tc>
        <w:tc>
          <w:tcPr>
            <w:tcW w:w="1417" w:type="dxa"/>
          </w:tcPr>
          <w:p w14:paraId="18501C35" w14:textId="77777777" w:rsidR="00CD41A5" w:rsidRDefault="00CD41A5" w:rsidP="003C5F0A">
            <w:pPr>
              <w:pStyle w:val="TableText"/>
              <w:rPr>
                <w:rFonts w:cs="Arial"/>
                <w:sz w:val="20"/>
                <w:szCs w:val="20"/>
              </w:rPr>
            </w:pPr>
            <w:r>
              <w:rPr>
                <w:rFonts w:cs="Arial"/>
                <w:sz w:val="20"/>
                <w:szCs w:val="20"/>
              </w:rPr>
              <w:t>International Medication Safety Network (IMSN)</w:t>
            </w:r>
          </w:p>
        </w:tc>
        <w:tc>
          <w:tcPr>
            <w:tcW w:w="709" w:type="dxa"/>
          </w:tcPr>
          <w:p w14:paraId="5456D35A"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21F70315" w14:textId="77777777" w:rsidR="00CD41A5" w:rsidRDefault="00CD41A5" w:rsidP="003C5F0A">
            <w:pPr>
              <w:pStyle w:val="TableText"/>
              <w:rPr>
                <w:rFonts w:cs="Arial"/>
                <w:sz w:val="20"/>
                <w:szCs w:val="20"/>
              </w:rPr>
            </w:pPr>
            <w:r w:rsidRPr="002911AF">
              <w:rPr>
                <w:rFonts w:cs="Arial"/>
                <w:sz w:val="20"/>
                <w:szCs w:val="20"/>
              </w:rPr>
              <w:t>Not to be added to the Tall Man Lettering List 2017</w:t>
            </w:r>
          </w:p>
          <w:p w14:paraId="1C3DF8E0" w14:textId="77777777" w:rsidR="00CD41A5" w:rsidRPr="002911AF" w:rsidRDefault="00CD41A5" w:rsidP="003C5F0A">
            <w:pPr>
              <w:pStyle w:val="TableText"/>
              <w:rPr>
                <w:rFonts w:cs="Arial"/>
                <w:sz w:val="20"/>
                <w:szCs w:val="20"/>
              </w:rPr>
            </w:pPr>
          </w:p>
        </w:tc>
        <w:tc>
          <w:tcPr>
            <w:tcW w:w="3561" w:type="dxa"/>
          </w:tcPr>
          <w:p w14:paraId="10815E5A" w14:textId="77777777" w:rsidR="00CD41A5" w:rsidRDefault="00CD41A5" w:rsidP="003C5F0A">
            <w:pPr>
              <w:pStyle w:val="TableText"/>
              <w:rPr>
                <w:rFonts w:cs="Arial"/>
                <w:sz w:val="20"/>
                <w:szCs w:val="20"/>
              </w:rPr>
            </w:pPr>
            <w:r>
              <w:rPr>
                <w:rFonts w:cs="Arial"/>
                <w:sz w:val="20"/>
                <w:szCs w:val="20"/>
              </w:rPr>
              <w:t>Brand name pair c</w:t>
            </w:r>
            <w:r w:rsidRPr="002911AF">
              <w:rPr>
                <w:rFonts w:cs="Arial"/>
                <w:sz w:val="20"/>
                <w:szCs w:val="20"/>
              </w:rPr>
              <w:t>ons</w:t>
            </w:r>
            <w:r>
              <w:rPr>
                <w:rFonts w:cs="Arial"/>
                <w:sz w:val="20"/>
                <w:szCs w:val="20"/>
              </w:rPr>
              <w:t>idered by expert advisory panel.</w:t>
            </w:r>
          </w:p>
          <w:p w14:paraId="4E0D6648" w14:textId="77777777" w:rsidR="00CD41A5" w:rsidRDefault="00CD41A5" w:rsidP="003C5F0A">
            <w:pPr>
              <w:pStyle w:val="TableText"/>
              <w:rPr>
                <w:rFonts w:cs="Arial"/>
                <w:sz w:val="20"/>
                <w:szCs w:val="20"/>
              </w:rPr>
            </w:pPr>
            <w:r w:rsidRPr="002911AF">
              <w:rPr>
                <w:rFonts w:cs="Arial"/>
                <w:sz w:val="20"/>
                <w:szCs w:val="20"/>
              </w:rPr>
              <w:t xml:space="preserve">BISIM and risk assessment result showed a </w:t>
            </w:r>
            <w:r w:rsidRPr="00E43E50">
              <w:rPr>
                <w:rFonts w:cs="Arial"/>
                <w:b/>
                <w:sz w:val="20"/>
                <w:szCs w:val="20"/>
              </w:rPr>
              <w:t>low risk</w:t>
            </w:r>
            <w:r w:rsidRPr="002911AF">
              <w:rPr>
                <w:rFonts w:cs="Arial"/>
                <w:sz w:val="20"/>
                <w:szCs w:val="20"/>
              </w:rPr>
              <w:t xml:space="preserve"> of confusion</w:t>
            </w:r>
            <w:r>
              <w:rPr>
                <w:rFonts w:cs="Arial"/>
                <w:sz w:val="20"/>
                <w:szCs w:val="20"/>
              </w:rPr>
              <w:t>.</w:t>
            </w:r>
          </w:p>
          <w:p w14:paraId="7319ABD9" w14:textId="77777777" w:rsidR="00CD41A5" w:rsidRPr="002911AF" w:rsidRDefault="00CD41A5" w:rsidP="003C5F0A">
            <w:pPr>
              <w:pStyle w:val="TableText"/>
              <w:rPr>
                <w:rFonts w:cs="Arial"/>
                <w:sz w:val="20"/>
                <w:szCs w:val="20"/>
              </w:rPr>
            </w:pPr>
          </w:p>
        </w:tc>
      </w:tr>
      <w:tr w:rsidR="00CD41A5" w:rsidRPr="002911AF" w14:paraId="6017D6EC" w14:textId="77777777" w:rsidTr="003C5F0A">
        <w:tc>
          <w:tcPr>
            <w:tcW w:w="568" w:type="dxa"/>
          </w:tcPr>
          <w:p w14:paraId="231DA60E" w14:textId="77777777" w:rsidR="00CD41A5" w:rsidRPr="002911AF" w:rsidRDefault="00CD41A5" w:rsidP="003C5F0A">
            <w:pPr>
              <w:pStyle w:val="TableText"/>
              <w:rPr>
                <w:rFonts w:cs="Arial"/>
                <w:sz w:val="22"/>
                <w:szCs w:val="22"/>
              </w:rPr>
            </w:pPr>
            <w:r>
              <w:rPr>
                <w:rFonts w:cs="Arial"/>
                <w:sz w:val="22"/>
                <w:szCs w:val="22"/>
              </w:rPr>
              <w:t>8</w:t>
            </w:r>
          </w:p>
        </w:tc>
        <w:tc>
          <w:tcPr>
            <w:tcW w:w="1843" w:type="dxa"/>
          </w:tcPr>
          <w:p w14:paraId="43783CF4" w14:textId="77777777" w:rsidR="00CD41A5" w:rsidRDefault="00CD41A5" w:rsidP="003C5F0A">
            <w:pPr>
              <w:pStyle w:val="TableText"/>
              <w:rPr>
                <w:rFonts w:cs="Arial"/>
                <w:sz w:val="20"/>
                <w:szCs w:val="20"/>
              </w:rPr>
            </w:pPr>
            <w:r w:rsidRPr="003C7207">
              <w:rPr>
                <w:rFonts w:cs="Arial"/>
                <w:sz w:val="20"/>
                <w:szCs w:val="20"/>
              </w:rPr>
              <w:t xml:space="preserve">Medicine name pair: tramadol and </w:t>
            </w:r>
            <w:proofErr w:type="spellStart"/>
            <w:r w:rsidRPr="003C7207">
              <w:rPr>
                <w:rFonts w:cs="Arial"/>
                <w:sz w:val="20"/>
                <w:szCs w:val="20"/>
              </w:rPr>
              <w:t>tapentadol</w:t>
            </w:r>
            <w:proofErr w:type="spellEnd"/>
          </w:p>
        </w:tc>
        <w:tc>
          <w:tcPr>
            <w:tcW w:w="2693" w:type="dxa"/>
          </w:tcPr>
          <w:p w14:paraId="76C73C9F" w14:textId="77777777" w:rsidR="00CD41A5" w:rsidRPr="0056155B" w:rsidRDefault="00CD41A5" w:rsidP="003C5F0A">
            <w:pPr>
              <w:pStyle w:val="TableText"/>
              <w:rPr>
                <w:rFonts w:cs="Arial"/>
                <w:sz w:val="20"/>
                <w:szCs w:val="20"/>
              </w:rPr>
            </w:pPr>
            <w:r>
              <w:rPr>
                <w:rFonts w:cs="Arial"/>
                <w:sz w:val="20"/>
                <w:szCs w:val="20"/>
              </w:rPr>
              <w:t xml:space="preserve">Several incidents involving administration of </w:t>
            </w:r>
            <w:proofErr w:type="spellStart"/>
            <w:r>
              <w:rPr>
                <w:rFonts w:cs="Arial"/>
                <w:sz w:val="20"/>
                <w:szCs w:val="20"/>
              </w:rPr>
              <w:t>tapentadol</w:t>
            </w:r>
            <w:proofErr w:type="spellEnd"/>
            <w:r>
              <w:rPr>
                <w:rFonts w:cs="Arial"/>
                <w:sz w:val="20"/>
                <w:szCs w:val="20"/>
              </w:rPr>
              <w:t xml:space="preserve"> instead of tramadol. These medicines have a common indication and considered at increased risk of selection error. </w:t>
            </w:r>
          </w:p>
        </w:tc>
        <w:tc>
          <w:tcPr>
            <w:tcW w:w="1417" w:type="dxa"/>
          </w:tcPr>
          <w:p w14:paraId="546D93C0" w14:textId="77777777" w:rsidR="00CD41A5" w:rsidRDefault="00CD41A5" w:rsidP="003C5F0A">
            <w:pPr>
              <w:pStyle w:val="TableText"/>
              <w:rPr>
                <w:rFonts w:cs="Arial"/>
                <w:sz w:val="20"/>
                <w:szCs w:val="20"/>
              </w:rPr>
            </w:pPr>
            <w:r>
              <w:rPr>
                <w:rFonts w:cs="Arial"/>
                <w:sz w:val="20"/>
                <w:szCs w:val="20"/>
              </w:rPr>
              <w:t>Western Australia</w:t>
            </w:r>
          </w:p>
        </w:tc>
        <w:tc>
          <w:tcPr>
            <w:tcW w:w="709" w:type="dxa"/>
          </w:tcPr>
          <w:p w14:paraId="0ACA0D7C" w14:textId="77777777" w:rsidR="00CD41A5" w:rsidRPr="002911AF" w:rsidRDefault="00CD41A5" w:rsidP="003C5F0A">
            <w:pPr>
              <w:pStyle w:val="TableText"/>
              <w:rPr>
                <w:rFonts w:cs="Arial"/>
                <w:sz w:val="20"/>
                <w:szCs w:val="20"/>
              </w:rPr>
            </w:pPr>
            <w:r>
              <w:rPr>
                <w:rFonts w:cs="Arial"/>
                <w:sz w:val="20"/>
                <w:szCs w:val="20"/>
              </w:rPr>
              <w:t>Sept 2017</w:t>
            </w:r>
          </w:p>
        </w:tc>
        <w:tc>
          <w:tcPr>
            <w:tcW w:w="3827" w:type="dxa"/>
          </w:tcPr>
          <w:p w14:paraId="047414A2" w14:textId="77777777" w:rsidR="00CD41A5" w:rsidRPr="004522A0" w:rsidRDefault="00CD41A5" w:rsidP="003C5F0A">
            <w:pPr>
              <w:pStyle w:val="TableText"/>
              <w:rPr>
                <w:rFonts w:cs="Arial"/>
                <w:b/>
                <w:sz w:val="20"/>
                <w:szCs w:val="20"/>
              </w:rPr>
            </w:pPr>
            <w:r w:rsidRPr="004522A0">
              <w:rPr>
                <w:rFonts w:cs="Arial"/>
                <w:b/>
                <w:sz w:val="20"/>
                <w:szCs w:val="20"/>
              </w:rPr>
              <w:t>Added to Tall Man Lettering List 2017</w:t>
            </w:r>
          </w:p>
        </w:tc>
        <w:tc>
          <w:tcPr>
            <w:tcW w:w="3561" w:type="dxa"/>
          </w:tcPr>
          <w:p w14:paraId="7448425F" w14:textId="77777777" w:rsidR="00CD41A5" w:rsidRPr="00B901DD" w:rsidRDefault="00CD41A5" w:rsidP="003C5F0A">
            <w:pPr>
              <w:pStyle w:val="TableText"/>
              <w:rPr>
                <w:rFonts w:cs="Arial"/>
                <w:sz w:val="20"/>
                <w:szCs w:val="20"/>
              </w:rPr>
            </w:pPr>
            <w:r w:rsidRPr="00B901DD">
              <w:rPr>
                <w:rFonts w:cs="Arial"/>
                <w:sz w:val="20"/>
                <w:szCs w:val="20"/>
              </w:rPr>
              <w:t xml:space="preserve">Considered by expert advisory panel. </w:t>
            </w:r>
          </w:p>
          <w:p w14:paraId="13272735" w14:textId="77777777" w:rsidR="00CD41A5" w:rsidRPr="002911AF" w:rsidRDefault="00CD41A5" w:rsidP="003C5F0A">
            <w:pPr>
              <w:pStyle w:val="TableText"/>
              <w:rPr>
                <w:rFonts w:cs="Arial"/>
                <w:sz w:val="20"/>
                <w:szCs w:val="20"/>
              </w:rPr>
            </w:pPr>
            <w:r w:rsidRPr="00B901DD">
              <w:rPr>
                <w:rFonts w:cs="Arial"/>
                <w:sz w:val="20"/>
                <w:szCs w:val="20"/>
              </w:rPr>
              <w:t xml:space="preserve">BISIM and risk assessment result demonstrated a </w:t>
            </w:r>
            <w:r w:rsidRPr="00551AB9">
              <w:rPr>
                <w:rFonts w:cs="Arial"/>
                <w:b/>
                <w:sz w:val="20"/>
                <w:szCs w:val="20"/>
              </w:rPr>
              <w:t>medium to high risk</w:t>
            </w:r>
            <w:r w:rsidRPr="00B901DD">
              <w:rPr>
                <w:rFonts w:cs="Arial"/>
                <w:sz w:val="20"/>
                <w:szCs w:val="20"/>
              </w:rPr>
              <w:t xml:space="preserve"> of confusion</w:t>
            </w:r>
            <w:r>
              <w:rPr>
                <w:rFonts w:cs="Arial"/>
                <w:sz w:val="20"/>
                <w:szCs w:val="20"/>
              </w:rPr>
              <w:t>.</w:t>
            </w:r>
          </w:p>
        </w:tc>
      </w:tr>
      <w:tr w:rsidR="00CD41A5" w:rsidRPr="002911AF" w14:paraId="2B0566C7" w14:textId="77777777" w:rsidTr="003C5F0A">
        <w:tc>
          <w:tcPr>
            <w:tcW w:w="568" w:type="dxa"/>
          </w:tcPr>
          <w:p w14:paraId="0D9CFE32" w14:textId="77777777" w:rsidR="00CD41A5" w:rsidRDefault="00CD41A5" w:rsidP="003C5F0A">
            <w:pPr>
              <w:pStyle w:val="TableText"/>
              <w:rPr>
                <w:rFonts w:cs="Arial"/>
                <w:sz w:val="22"/>
                <w:szCs w:val="22"/>
              </w:rPr>
            </w:pPr>
            <w:r>
              <w:rPr>
                <w:rFonts w:cs="Arial"/>
                <w:sz w:val="22"/>
                <w:szCs w:val="22"/>
              </w:rPr>
              <w:t>9</w:t>
            </w:r>
          </w:p>
        </w:tc>
        <w:tc>
          <w:tcPr>
            <w:tcW w:w="1843" w:type="dxa"/>
          </w:tcPr>
          <w:p w14:paraId="5AD06B33" w14:textId="77777777" w:rsidR="00CD41A5" w:rsidRPr="003C7207" w:rsidRDefault="00CD41A5" w:rsidP="003C5F0A">
            <w:pPr>
              <w:pStyle w:val="TableText"/>
              <w:rPr>
                <w:rFonts w:cs="Arial"/>
                <w:sz w:val="20"/>
                <w:szCs w:val="20"/>
              </w:rPr>
            </w:pPr>
            <w:r>
              <w:rPr>
                <w:rFonts w:cs="Arial"/>
                <w:sz w:val="20"/>
                <w:szCs w:val="20"/>
              </w:rPr>
              <w:t xml:space="preserve">Medicine name pair: rifampicin and </w:t>
            </w:r>
            <w:proofErr w:type="spellStart"/>
            <w:r>
              <w:rPr>
                <w:rFonts w:cs="Arial"/>
                <w:sz w:val="20"/>
                <w:szCs w:val="20"/>
              </w:rPr>
              <w:t>rifaximin</w:t>
            </w:r>
            <w:proofErr w:type="spellEnd"/>
          </w:p>
        </w:tc>
        <w:tc>
          <w:tcPr>
            <w:tcW w:w="2693" w:type="dxa"/>
          </w:tcPr>
          <w:p w14:paraId="08AD75B9" w14:textId="77777777" w:rsidR="00CD41A5" w:rsidRDefault="00CD41A5" w:rsidP="003C5F0A">
            <w:pPr>
              <w:pStyle w:val="TableText"/>
              <w:rPr>
                <w:rFonts w:cs="Arial"/>
                <w:sz w:val="20"/>
                <w:szCs w:val="20"/>
              </w:rPr>
            </w:pPr>
            <w:r w:rsidRPr="00FA5482">
              <w:rPr>
                <w:rFonts w:cs="Arial"/>
                <w:sz w:val="20"/>
                <w:szCs w:val="20"/>
              </w:rPr>
              <w:t xml:space="preserve">Potential for harm identified </w:t>
            </w:r>
            <w:r>
              <w:rPr>
                <w:rFonts w:cs="Arial"/>
                <w:sz w:val="20"/>
                <w:szCs w:val="20"/>
              </w:rPr>
              <w:t xml:space="preserve">internationally by the Institute for Safe Medication Practices (ISMP) and medicines available in Australia </w:t>
            </w:r>
            <w:r w:rsidRPr="00FA5482">
              <w:rPr>
                <w:rFonts w:cs="Arial"/>
                <w:sz w:val="20"/>
                <w:szCs w:val="20"/>
              </w:rPr>
              <w:t>(</w:t>
            </w:r>
            <w:r>
              <w:rPr>
                <w:rFonts w:cs="Arial"/>
                <w:sz w:val="20"/>
                <w:szCs w:val="20"/>
              </w:rPr>
              <w:t>no known incidents reported).</w:t>
            </w:r>
          </w:p>
        </w:tc>
        <w:tc>
          <w:tcPr>
            <w:tcW w:w="1417" w:type="dxa"/>
          </w:tcPr>
          <w:p w14:paraId="0189E6CB" w14:textId="77777777" w:rsidR="00CD41A5" w:rsidRDefault="00CD41A5" w:rsidP="003C5F0A">
            <w:pPr>
              <w:pStyle w:val="TableText"/>
              <w:rPr>
                <w:rFonts w:cs="Arial"/>
                <w:sz w:val="20"/>
                <w:szCs w:val="20"/>
              </w:rPr>
            </w:pPr>
            <w:r>
              <w:rPr>
                <w:rFonts w:cs="Arial"/>
                <w:sz w:val="20"/>
                <w:szCs w:val="20"/>
              </w:rPr>
              <w:t>International listing</w:t>
            </w:r>
          </w:p>
        </w:tc>
        <w:tc>
          <w:tcPr>
            <w:tcW w:w="709" w:type="dxa"/>
          </w:tcPr>
          <w:p w14:paraId="2267B025" w14:textId="77777777" w:rsidR="00CD41A5" w:rsidRDefault="00CD41A5" w:rsidP="003C5F0A">
            <w:pPr>
              <w:pStyle w:val="TableText"/>
              <w:rPr>
                <w:rFonts w:cs="Arial"/>
                <w:sz w:val="20"/>
                <w:szCs w:val="20"/>
              </w:rPr>
            </w:pPr>
            <w:r>
              <w:rPr>
                <w:rFonts w:cs="Arial"/>
                <w:sz w:val="20"/>
                <w:szCs w:val="20"/>
              </w:rPr>
              <w:t>Sept 2017</w:t>
            </w:r>
          </w:p>
        </w:tc>
        <w:tc>
          <w:tcPr>
            <w:tcW w:w="3827" w:type="dxa"/>
          </w:tcPr>
          <w:p w14:paraId="7EDD5055" w14:textId="77777777" w:rsidR="00CD41A5" w:rsidRPr="004522A0" w:rsidRDefault="00CD41A5" w:rsidP="003C5F0A">
            <w:pPr>
              <w:pStyle w:val="TableText"/>
              <w:rPr>
                <w:rFonts w:cs="Arial"/>
                <w:b/>
                <w:sz w:val="20"/>
                <w:szCs w:val="20"/>
              </w:rPr>
            </w:pPr>
            <w:r w:rsidRPr="004522A0">
              <w:rPr>
                <w:rFonts w:cs="Arial"/>
                <w:b/>
                <w:sz w:val="20"/>
                <w:szCs w:val="20"/>
              </w:rPr>
              <w:t>Added to Tall Man Lettering List 2017</w:t>
            </w:r>
          </w:p>
        </w:tc>
        <w:tc>
          <w:tcPr>
            <w:tcW w:w="3561" w:type="dxa"/>
          </w:tcPr>
          <w:p w14:paraId="0B5FD0DE" w14:textId="77777777" w:rsidR="00CD41A5" w:rsidRPr="00B901DD" w:rsidRDefault="00CD41A5" w:rsidP="003C5F0A">
            <w:pPr>
              <w:pStyle w:val="TableText"/>
              <w:rPr>
                <w:rFonts w:cs="Arial"/>
                <w:sz w:val="20"/>
                <w:szCs w:val="20"/>
              </w:rPr>
            </w:pPr>
            <w:r w:rsidRPr="00B901DD">
              <w:rPr>
                <w:rFonts w:cs="Arial"/>
                <w:sz w:val="20"/>
                <w:szCs w:val="20"/>
              </w:rPr>
              <w:t xml:space="preserve">Considered by expert advisory panel. </w:t>
            </w:r>
          </w:p>
          <w:p w14:paraId="75DC99CE" w14:textId="77777777" w:rsidR="00CD41A5" w:rsidRPr="00B901DD" w:rsidRDefault="00CD41A5" w:rsidP="003C5F0A">
            <w:pPr>
              <w:pStyle w:val="TableText"/>
              <w:rPr>
                <w:rFonts w:cs="Arial"/>
                <w:sz w:val="20"/>
                <w:szCs w:val="20"/>
              </w:rPr>
            </w:pPr>
            <w:r w:rsidRPr="00B901DD">
              <w:rPr>
                <w:rFonts w:cs="Arial"/>
                <w:sz w:val="20"/>
                <w:szCs w:val="20"/>
              </w:rPr>
              <w:t xml:space="preserve">BISIM and risk assessment result demonstrated a </w:t>
            </w:r>
            <w:r w:rsidRPr="00551AB9">
              <w:rPr>
                <w:rFonts w:cs="Arial"/>
                <w:b/>
                <w:sz w:val="20"/>
                <w:szCs w:val="20"/>
              </w:rPr>
              <w:t>medium to high risk</w:t>
            </w:r>
            <w:r w:rsidRPr="00B901DD">
              <w:rPr>
                <w:rFonts w:cs="Arial"/>
                <w:sz w:val="20"/>
                <w:szCs w:val="20"/>
              </w:rPr>
              <w:t xml:space="preserve"> of confusion</w:t>
            </w:r>
            <w:r>
              <w:rPr>
                <w:rFonts w:cs="Arial"/>
                <w:sz w:val="20"/>
                <w:szCs w:val="20"/>
              </w:rPr>
              <w:t>.</w:t>
            </w:r>
          </w:p>
        </w:tc>
      </w:tr>
      <w:tr w:rsidR="00CD41A5" w:rsidRPr="002911AF" w14:paraId="5CFBADE3" w14:textId="77777777" w:rsidTr="003C5F0A">
        <w:tc>
          <w:tcPr>
            <w:tcW w:w="568" w:type="dxa"/>
          </w:tcPr>
          <w:p w14:paraId="0944AC59" w14:textId="77777777" w:rsidR="00CD41A5" w:rsidRDefault="00CD41A5" w:rsidP="003C5F0A">
            <w:pPr>
              <w:pStyle w:val="TableText"/>
              <w:rPr>
                <w:rFonts w:cs="Arial"/>
                <w:sz w:val="22"/>
                <w:szCs w:val="22"/>
              </w:rPr>
            </w:pPr>
            <w:r>
              <w:rPr>
                <w:rFonts w:cs="Arial"/>
                <w:sz w:val="22"/>
                <w:szCs w:val="22"/>
              </w:rPr>
              <w:lastRenderedPageBreak/>
              <w:t>10</w:t>
            </w:r>
          </w:p>
        </w:tc>
        <w:tc>
          <w:tcPr>
            <w:tcW w:w="1843" w:type="dxa"/>
          </w:tcPr>
          <w:p w14:paraId="2A9493D2" w14:textId="77777777" w:rsidR="00CD41A5" w:rsidRDefault="00CD41A5" w:rsidP="003C5F0A">
            <w:pPr>
              <w:pStyle w:val="TableText"/>
              <w:rPr>
                <w:rFonts w:cs="Arial"/>
                <w:sz w:val="20"/>
                <w:szCs w:val="20"/>
              </w:rPr>
            </w:pPr>
            <w:r>
              <w:rPr>
                <w:rFonts w:cs="Arial"/>
                <w:sz w:val="20"/>
                <w:szCs w:val="20"/>
              </w:rPr>
              <w:t xml:space="preserve">Medicine name pair: </w:t>
            </w:r>
            <w:proofErr w:type="spellStart"/>
            <w:r>
              <w:rPr>
                <w:rFonts w:cs="Arial"/>
                <w:sz w:val="20"/>
                <w:szCs w:val="20"/>
              </w:rPr>
              <w:t>saxagliptin</w:t>
            </w:r>
            <w:proofErr w:type="spellEnd"/>
            <w:r>
              <w:rPr>
                <w:rFonts w:cs="Arial"/>
                <w:sz w:val="20"/>
                <w:szCs w:val="20"/>
              </w:rPr>
              <w:t xml:space="preserve"> and </w:t>
            </w:r>
            <w:proofErr w:type="spellStart"/>
            <w:r>
              <w:rPr>
                <w:rFonts w:cs="Arial"/>
                <w:sz w:val="20"/>
                <w:szCs w:val="20"/>
              </w:rPr>
              <w:t>sitagliptin</w:t>
            </w:r>
            <w:proofErr w:type="spellEnd"/>
          </w:p>
        </w:tc>
        <w:tc>
          <w:tcPr>
            <w:tcW w:w="2693" w:type="dxa"/>
          </w:tcPr>
          <w:p w14:paraId="20F7AFB0" w14:textId="77777777" w:rsidR="00CD41A5" w:rsidRDefault="00CD41A5" w:rsidP="003C5F0A">
            <w:pPr>
              <w:pStyle w:val="TableText"/>
              <w:rPr>
                <w:rFonts w:cs="Arial"/>
                <w:sz w:val="20"/>
                <w:szCs w:val="20"/>
              </w:rPr>
            </w:pPr>
            <w:r w:rsidRPr="00FA5482">
              <w:rPr>
                <w:rFonts w:cs="Arial"/>
                <w:sz w:val="20"/>
                <w:szCs w:val="20"/>
              </w:rPr>
              <w:t xml:space="preserve">Potential for harm identified </w:t>
            </w:r>
            <w:r>
              <w:rPr>
                <w:rFonts w:cs="Arial"/>
                <w:sz w:val="20"/>
                <w:szCs w:val="20"/>
              </w:rPr>
              <w:t xml:space="preserve">internationally by ISMP and medicines available in Australia </w:t>
            </w:r>
            <w:r w:rsidRPr="00FA5482">
              <w:rPr>
                <w:rFonts w:cs="Arial"/>
                <w:sz w:val="20"/>
                <w:szCs w:val="20"/>
              </w:rPr>
              <w:t>(</w:t>
            </w:r>
            <w:r>
              <w:rPr>
                <w:rFonts w:cs="Arial"/>
                <w:sz w:val="20"/>
                <w:szCs w:val="20"/>
              </w:rPr>
              <w:t xml:space="preserve">no known incidents reported). These agents are same class of medicine. </w:t>
            </w:r>
            <w:proofErr w:type="spellStart"/>
            <w:r>
              <w:rPr>
                <w:rFonts w:cs="Arial"/>
                <w:sz w:val="20"/>
                <w:szCs w:val="20"/>
              </w:rPr>
              <w:t>Sitagliptin</w:t>
            </w:r>
            <w:proofErr w:type="spellEnd"/>
            <w:r>
              <w:rPr>
                <w:rFonts w:cs="Arial"/>
                <w:sz w:val="20"/>
                <w:szCs w:val="20"/>
              </w:rPr>
              <w:t xml:space="preserve"> already listed.</w:t>
            </w:r>
          </w:p>
        </w:tc>
        <w:tc>
          <w:tcPr>
            <w:tcW w:w="1417" w:type="dxa"/>
          </w:tcPr>
          <w:p w14:paraId="591BC8F4" w14:textId="77777777" w:rsidR="00CD41A5" w:rsidRDefault="00CD41A5" w:rsidP="003C5F0A">
            <w:pPr>
              <w:pStyle w:val="TableText"/>
              <w:rPr>
                <w:rFonts w:cs="Arial"/>
                <w:sz w:val="20"/>
                <w:szCs w:val="20"/>
              </w:rPr>
            </w:pPr>
            <w:r>
              <w:rPr>
                <w:rFonts w:cs="Arial"/>
                <w:sz w:val="20"/>
                <w:szCs w:val="20"/>
              </w:rPr>
              <w:t>International listing</w:t>
            </w:r>
          </w:p>
        </w:tc>
        <w:tc>
          <w:tcPr>
            <w:tcW w:w="709" w:type="dxa"/>
          </w:tcPr>
          <w:p w14:paraId="19F92690" w14:textId="77777777" w:rsidR="00CD41A5" w:rsidRDefault="00CD41A5" w:rsidP="003C5F0A">
            <w:pPr>
              <w:pStyle w:val="TableText"/>
              <w:rPr>
                <w:rFonts w:cs="Arial"/>
                <w:sz w:val="20"/>
                <w:szCs w:val="20"/>
              </w:rPr>
            </w:pPr>
            <w:r>
              <w:rPr>
                <w:rFonts w:cs="Arial"/>
                <w:sz w:val="20"/>
                <w:szCs w:val="20"/>
              </w:rPr>
              <w:t>Sept 2017</w:t>
            </w:r>
          </w:p>
        </w:tc>
        <w:tc>
          <w:tcPr>
            <w:tcW w:w="3827" w:type="dxa"/>
          </w:tcPr>
          <w:p w14:paraId="064927B3" w14:textId="77777777" w:rsidR="00CD41A5" w:rsidRPr="004522A0" w:rsidRDefault="00CD41A5" w:rsidP="003C5F0A">
            <w:pPr>
              <w:pStyle w:val="TableText"/>
              <w:rPr>
                <w:rFonts w:cs="Arial"/>
                <w:b/>
                <w:sz w:val="20"/>
                <w:szCs w:val="20"/>
              </w:rPr>
            </w:pPr>
            <w:proofErr w:type="spellStart"/>
            <w:r w:rsidRPr="004522A0">
              <w:rPr>
                <w:rFonts w:cs="Arial"/>
                <w:b/>
                <w:sz w:val="20"/>
                <w:szCs w:val="20"/>
              </w:rPr>
              <w:t>sAXagliptin</w:t>
            </w:r>
            <w:proofErr w:type="spellEnd"/>
            <w:r w:rsidRPr="004522A0">
              <w:rPr>
                <w:rFonts w:cs="Arial"/>
                <w:b/>
                <w:sz w:val="20"/>
                <w:szCs w:val="20"/>
              </w:rPr>
              <w:t xml:space="preserve"> added to Tall Man Lettering List 2017</w:t>
            </w:r>
          </w:p>
          <w:p w14:paraId="3F84B925" w14:textId="77777777" w:rsidR="00CD41A5" w:rsidRDefault="00CD41A5" w:rsidP="003C5F0A">
            <w:pPr>
              <w:pStyle w:val="TableText"/>
              <w:rPr>
                <w:rFonts w:cs="Arial"/>
                <w:sz w:val="20"/>
                <w:szCs w:val="20"/>
              </w:rPr>
            </w:pPr>
          </w:p>
          <w:p w14:paraId="61BFA658" w14:textId="77777777" w:rsidR="00CD41A5" w:rsidRDefault="00CD41A5" w:rsidP="003C5F0A">
            <w:pPr>
              <w:pStyle w:val="TableText"/>
              <w:rPr>
                <w:rFonts w:cs="Arial"/>
                <w:sz w:val="20"/>
                <w:szCs w:val="20"/>
              </w:rPr>
            </w:pPr>
            <w:r w:rsidRPr="004522A0">
              <w:rPr>
                <w:rFonts w:cs="Arial"/>
                <w:b/>
                <w:sz w:val="20"/>
                <w:szCs w:val="20"/>
              </w:rPr>
              <w:t>Application of Tall Man lettering adjusted</w:t>
            </w:r>
            <w:r>
              <w:rPr>
                <w:rFonts w:cs="Arial"/>
                <w:sz w:val="20"/>
                <w:szCs w:val="20"/>
              </w:rPr>
              <w:t>:</w:t>
            </w:r>
          </w:p>
          <w:p w14:paraId="105D5903" w14:textId="77777777" w:rsidR="00CD41A5" w:rsidRPr="002911AF" w:rsidRDefault="00CD41A5" w:rsidP="003C5F0A">
            <w:pPr>
              <w:pStyle w:val="TableText"/>
              <w:rPr>
                <w:rFonts w:cs="Arial"/>
                <w:sz w:val="20"/>
                <w:szCs w:val="20"/>
              </w:rPr>
            </w:pPr>
            <w:proofErr w:type="spellStart"/>
            <w:r>
              <w:rPr>
                <w:rFonts w:cs="Arial"/>
                <w:sz w:val="20"/>
                <w:szCs w:val="20"/>
              </w:rPr>
              <w:t>siTagliptin</w:t>
            </w:r>
            <w:proofErr w:type="spellEnd"/>
            <w:r>
              <w:rPr>
                <w:rFonts w:cs="Arial"/>
                <w:sz w:val="20"/>
                <w:szCs w:val="20"/>
              </w:rPr>
              <w:t xml:space="preserve"> (changed from </w:t>
            </w:r>
            <w:proofErr w:type="spellStart"/>
            <w:r>
              <w:rPr>
                <w:rFonts w:cs="Arial"/>
                <w:sz w:val="20"/>
                <w:szCs w:val="20"/>
              </w:rPr>
              <w:t>sITAGLIPTIn</w:t>
            </w:r>
            <w:proofErr w:type="spellEnd"/>
            <w:r>
              <w:rPr>
                <w:rFonts w:cs="Arial"/>
                <w:sz w:val="20"/>
                <w:szCs w:val="20"/>
              </w:rPr>
              <w:t>)</w:t>
            </w:r>
          </w:p>
        </w:tc>
        <w:tc>
          <w:tcPr>
            <w:tcW w:w="3561" w:type="dxa"/>
          </w:tcPr>
          <w:p w14:paraId="682C6FCD" w14:textId="77777777" w:rsidR="00CD41A5" w:rsidRPr="00B901DD" w:rsidRDefault="00CD41A5" w:rsidP="003C5F0A">
            <w:pPr>
              <w:pStyle w:val="TableText"/>
              <w:rPr>
                <w:rFonts w:cs="Arial"/>
                <w:sz w:val="20"/>
                <w:szCs w:val="20"/>
              </w:rPr>
            </w:pPr>
            <w:r w:rsidRPr="00B901DD">
              <w:rPr>
                <w:rFonts w:cs="Arial"/>
                <w:sz w:val="20"/>
                <w:szCs w:val="20"/>
              </w:rPr>
              <w:t xml:space="preserve">Considered by expert advisory panel. </w:t>
            </w:r>
          </w:p>
          <w:p w14:paraId="0BC9EFA8" w14:textId="77777777" w:rsidR="00CD41A5" w:rsidRPr="00B901DD" w:rsidRDefault="00CD41A5" w:rsidP="003C5F0A">
            <w:pPr>
              <w:pStyle w:val="TableText"/>
              <w:rPr>
                <w:rFonts w:cs="Arial"/>
                <w:sz w:val="20"/>
                <w:szCs w:val="20"/>
              </w:rPr>
            </w:pPr>
            <w:r w:rsidRPr="00B901DD">
              <w:rPr>
                <w:rFonts w:cs="Arial"/>
                <w:sz w:val="20"/>
                <w:szCs w:val="20"/>
              </w:rPr>
              <w:t xml:space="preserve">BISIM and risk assessment result demonstrated a </w:t>
            </w:r>
            <w:r w:rsidRPr="00551AB9">
              <w:rPr>
                <w:rFonts w:cs="Arial"/>
                <w:b/>
                <w:sz w:val="20"/>
                <w:szCs w:val="20"/>
              </w:rPr>
              <w:t>medium to high risk</w:t>
            </w:r>
            <w:r w:rsidRPr="00B901DD">
              <w:rPr>
                <w:rFonts w:cs="Arial"/>
                <w:sz w:val="20"/>
                <w:szCs w:val="20"/>
              </w:rPr>
              <w:t xml:space="preserve"> of confusion</w:t>
            </w:r>
            <w:r>
              <w:rPr>
                <w:rFonts w:cs="Arial"/>
                <w:sz w:val="20"/>
                <w:szCs w:val="20"/>
              </w:rPr>
              <w:t>.</w:t>
            </w:r>
          </w:p>
        </w:tc>
      </w:tr>
      <w:tr w:rsidR="00CD41A5" w:rsidRPr="002911AF" w14:paraId="504B437F" w14:textId="77777777" w:rsidTr="003C5F0A">
        <w:tc>
          <w:tcPr>
            <w:tcW w:w="568" w:type="dxa"/>
          </w:tcPr>
          <w:p w14:paraId="3E4ABD99" w14:textId="77777777" w:rsidR="00CD41A5" w:rsidRDefault="00CD41A5" w:rsidP="003C5F0A">
            <w:pPr>
              <w:pStyle w:val="TableText"/>
              <w:rPr>
                <w:rFonts w:cs="Arial"/>
                <w:sz w:val="22"/>
                <w:szCs w:val="22"/>
              </w:rPr>
            </w:pPr>
            <w:r>
              <w:rPr>
                <w:rFonts w:cs="Arial"/>
                <w:sz w:val="22"/>
                <w:szCs w:val="22"/>
              </w:rPr>
              <w:t>11</w:t>
            </w:r>
          </w:p>
        </w:tc>
        <w:tc>
          <w:tcPr>
            <w:tcW w:w="1843" w:type="dxa"/>
          </w:tcPr>
          <w:p w14:paraId="54587225" w14:textId="77777777" w:rsidR="00CD41A5" w:rsidRDefault="00CD41A5" w:rsidP="003C5F0A">
            <w:pPr>
              <w:pStyle w:val="TableText"/>
              <w:rPr>
                <w:rFonts w:cs="Arial"/>
                <w:sz w:val="20"/>
                <w:szCs w:val="20"/>
              </w:rPr>
            </w:pPr>
            <w:r>
              <w:rPr>
                <w:rFonts w:cs="Arial"/>
                <w:sz w:val="20"/>
                <w:szCs w:val="20"/>
              </w:rPr>
              <w:t xml:space="preserve">Medicine name pair: aripiprazole and </w:t>
            </w:r>
            <w:proofErr w:type="spellStart"/>
            <w:r>
              <w:rPr>
                <w:rFonts w:cs="Arial"/>
                <w:sz w:val="20"/>
                <w:szCs w:val="20"/>
              </w:rPr>
              <w:t>rabeprazole</w:t>
            </w:r>
            <w:proofErr w:type="spellEnd"/>
          </w:p>
        </w:tc>
        <w:tc>
          <w:tcPr>
            <w:tcW w:w="2693" w:type="dxa"/>
          </w:tcPr>
          <w:p w14:paraId="601FCDEE" w14:textId="77777777" w:rsidR="00CD41A5" w:rsidRPr="00FA5482" w:rsidRDefault="00CD41A5" w:rsidP="003C5F0A">
            <w:pPr>
              <w:pStyle w:val="TableText"/>
              <w:rPr>
                <w:rFonts w:cs="Arial"/>
                <w:sz w:val="20"/>
                <w:szCs w:val="20"/>
              </w:rPr>
            </w:pPr>
            <w:r w:rsidRPr="00FA5482">
              <w:rPr>
                <w:rFonts w:cs="Arial"/>
                <w:sz w:val="20"/>
                <w:szCs w:val="20"/>
              </w:rPr>
              <w:t xml:space="preserve">Potential for harm identified </w:t>
            </w:r>
            <w:r>
              <w:rPr>
                <w:rFonts w:cs="Arial"/>
                <w:sz w:val="20"/>
                <w:szCs w:val="20"/>
              </w:rPr>
              <w:t xml:space="preserve">internationally by ISMP and medicines available in Australia </w:t>
            </w:r>
            <w:r w:rsidRPr="00FA5482">
              <w:rPr>
                <w:rFonts w:cs="Arial"/>
                <w:sz w:val="20"/>
                <w:szCs w:val="20"/>
              </w:rPr>
              <w:t>(</w:t>
            </w:r>
            <w:r>
              <w:rPr>
                <w:rFonts w:cs="Arial"/>
                <w:sz w:val="20"/>
                <w:szCs w:val="20"/>
              </w:rPr>
              <w:t xml:space="preserve">no known incidents reported). </w:t>
            </w:r>
          </w:p>
        </w:tc>
        <w:tc>
          <w:tcPr>
            <w:tcW w:w="1417" w:type="dxa"/>
          </w:tcPr>
          <w:p w14:paraId="3F2C1128" w14:textId="77777777" w:rsidR="00CD41A5" w:rsidRDefault="00CD41A5" w:rsidP="003C5F0A">
            <w:pPr>
              <w:pStyle w:val="TableText"/>
              <w:rPr>
                <w:rFonts w:cs="Arial"/>
                <w:sz w:val="20"/>
                <w:szCs w:val="20"/>
              </w:rPr>
            </w:pPr>
            <w:r>
              <w:rPr>
                <w:rFonts w:cs="Arial"/>
                <w:sz w:val="20"/>
                <w:szCs w:val="20"/>
              </w:rPr>
              <w:t>International listing</w:t>
            </w:r>
          </w:p>
        </w:tc>
        <w:tc>
          <w:tcPr>
            <w:tcW w:w="709" w:type="dxa"/>
          </w:tcPr>
          <w:p w14:paraId="189B0260" w14:textId="77777777" w:rsidR="00CD41A5" w:rsidRDefault="00CD41A5" w:rsidP="003C5F0A">
            <w:pPr>
              <w:pStyle w:val="TableText"/>
              <w:rPr>
                <w:rFonts w:cs="Arial"/>
                <w:sz w:val="20"/>
                <w:szCs w:val="20"/>
              </w:rPr>
            </w:pPr>
            <w:r>
              <w:rPr>
                <w:rFonts w:cs="Arial"/>
                <w:sz w:val="20"/>
                <w:szCs w:val="20"/>
              </w:rPr>
              <w:t>Sept 2017</w:t>
            </w:r>
          </w:p>
        </w:tc>
        <w:tc>
          <w:tcPr>
            <w:tcW w:w="3827" w:type="dxa"/>
          </w:tcPr>
          <w:p w14:paraId="0DB6E45C" w14:textId="77777777" w:rsidR="00CD41A5" w:rsidRPr="004522A0" w:rsidRDefault="00CD41A5" w:rsidP="003C5F0A">
            <w:pPr>
              <w:pStyle w:val="TableText"/>
              <w:rPr>
                <w:rFonts w:cs="Arial"/>
                <w:b/>
                <w:sz w:val="20"/>
                <w:szCs w:val="20"/>
              </w:rPr>
            </w:pPr>
            <w:r w:rsidRPr="004522A0">
              <w:rPr>
                <w:rFonts w:cs="Arial"/>
                <w:b/>
                <w:sz w:val="20"/>
                <w:szCs w:val="20"/>
              </w:rPr>
              <w:t>Added to Tall Man Lettering List 2017</w:t>
            </w:r>
          </w:p>
        </w:tc>
        <w:tc>
          <w:tcPr>
            <w:tcW w:w="3561" w:type="dxa"/>
          </w:tcPr>
          <w:p w14:paraId="3C635BD6" w14:textId="77777777" w:rsidR="00CD41A5" w:rsidRPr="00B901DD" w:rsidRDefault="00CD41A5" w:rsidP="003C5F0A">
            <w:pPr>
              <w:pStyle w:val="TableText"/>
              <w:rPr>
                <w:rFonts w:cs="Arial"/>
                <w:sz w:val="20"/>
                <w:szCs w:val="20"/>
              </w:rPr>
            </w:pPr>
            <w:r w:rsidRPr="00B901DD">
              <w:rPr>
                <w:rFonts w:cs="Arial"/>
                <w:sz w:val="20"/>
                <w:szCs w:val="20"/>
              </w:rPr>
              <w:t xml:space="preserve">Considered by expert advisory panel. </w:t>
            </w:r>
          </w:p>
          <w:p w14:paraId="4AC70658" w14:textId="77777777" w:rsidR="00CD41A5" w:rsidRPr="00B901DD" w:rsidRDefault="00CD41A5" w:rsidP="003C5F0A">
            <w:pPr>
              <w:pStyle w:val="TableText"/>
              <w:rPr>
                <w:rFonts w:cs="Arial"/>
                <w:sz w:val="20"/>
                <w:szCs w:val="20"/>
              </w:rPr>
            </w:pPr>
            <w:r w:rsidRPr="00B901DD">
              <w:rPr>
                <w:rFonts w:cs="Arial"/>
                <w:sz w:val="20"/>
                <w:szCs w:val="20"/>
              </w:rPr>
              <w:t xml:space="preserve">BISIM and risk assessment result demonstrated a </w:t>
            </w:r>
            <w:r w:rsidRPr="00551AB9">
              <w:rPr>
                <w:rFonts w:cs="Arial"/>
                <w:b/>
                <w:sz w:val="20"/>
                <w:szCs w:val="20"/>
              </w:rPr>
              <w:t>medium to high risk</w:t>
            </w:r>
            <w:r w:rsidRPr="00B901DD">
              <w:rPr>
                <w:rFonts w:cs="Arial"/>
                <w:sz w:val="20"/>
                <w:szCs w:val="20"/>
              </w:rPr>
              <w:t xml:space="preserve"> of confusion</w:t>
            </w:r>
            <w:r>
              <w:rPr>
                <w:rFonts w:cs="Arial"/>
                <w:sz w:val="20"/>
                <w:szCs w:val="20"/>
              </w:rPr>
              <w:t>.</w:t>
            </w:r>
          </w:p>
        </w:tc>
      </w:tr>
    </w:tbl>
    <w:p w14:paraId="72693DB2" w14:textId="77777777" w:rsidR="00CD41A5" w:rsidRDefault="00CD41A5" w:rsidP="00CD41A5">
      <w:pPr>
        <w:sectPr w:rsidR="00CD41A5" w:rsidSect="00096414">
          <w:headerReference w:type="first" r:id="rId19"/>
          <w:pgSz w:w="16840" w:h="11900" w:orient="landscape"/>
          <w:pgMar w:top="567" w:right="1134" w:bottom="1276" w:left="1304" w:header="426" w:footer="630" w:gutter="0"/>
          <w:cols w:space="708"/>
          <w:titlePg/>
          <w:docGrid w:linePitch="299"/>
        </w:sectPr>
      </w:pPr>
    </w:p>
    <w:p w14:paraId="4A70B858" w14:textId="77777777" w:rsidR="00CD41A5" w:rsidRPr="00BF5425" w:rsidRDefault="00CD41A5" w:rsidP="00CD41A5">
      <w:pPr>
        <w:pStyle w:val="Heading1"/>
        <w:rPr>
          <w:i/>
        </w:rPr>
      </w:pPr>
      <w:bookmarkStart w:id="17" w:name="_Toc495069341"/>
      <w:bookmarkStart w:id="18" w:name="_Toc497401663"/>
      <w:r>
        <w:lastRenderedPageBreak/>
        <w:t xml:space="preserve">Rationale for </w:t>
      </w:r>
      <w:r w:rsidR="00BF5425">
        <w:t xml:space="preserve">the </w:t>
      </w:r>
      <w:r>
        <w:t>general revision of the</w:t>
      </w:r>
      <w:r w:rsidR="00BF5425">
        <w:t xml:space="preserve"> </w:t>
      </w:r>
      <w:r w:rsidR="00BF5425" w:rsidRPr="007D741C">
        <w:t>National</w:t>
      </w:r>
      <w:r w:rsidRPr="007D741C">
        <w:t xml:space="preserve"> Tall Man Lettering List</w:t>
      </w:r>
      <w:bookmarkEnd w:id="17"/>
      <w:bookmarkEnd w:id="18"/>
    </w:p>
    <w:p w14:paraId="615CEA59" w14:textId="77777777" w:rsidR="00C404E5" w:rsidRPr="00442E70" w:rsidRDefault="00C404E5" w:rsidP="00C404E5">
      <w:pPr>
        <w:pStyle w:val="Heading2"/>
      </w:pPr>
      <w:bookmarkStart w:id="19" w:name="_Toc465432502"/>
      <w:bookmarkStart w:id="20" w:name="_Toc495069342"/>
      <w:bookmarkStart w:id="21" w:name="_Toc497401664"/>
      <w:r w:rsidRPr="00A4645C">
        <w:t xml:space="preserve">Discontinued </w:t>
      </w:r>
      <w:bookmarkEnd w:id="19"/>
      <w:r w:rsidRPr="00A4645C">
        <w:t>medicines (including brands of medicines)</w:t>
      </w:r>
      <w:bookmarkEnd w:id="20"/>
      <w:bookmarkEnd w:id="21"/>
      <w:r w:rsidRPr="00A4645C">
        <w:t xml:space="preserve"> </w:t>
      </w:r>
    </w:p>
    <w:p w14:paraId="44974521" w14:textId="77777777" w:rsidR="00C404E5" w:rsidRDefault="00C404E5" w:rsidP="00C404E5">
      <w:pPr>
        <w:spacing w:after="120"/>
      </w:pPr>
      <w:r>
        <w:t xml:space="preserve">The </w:t>
      </w:r>
      <w:hyperlink r:id="rId20" w:history="1">
        <w:r w:rsidRPr="00413CC2">
          <w:rPr>
            <w:rStyle w:val="Hyperlink"/>
            <w:i/>
          </w:rPr>
          <w:t>Australian Register of Therapeutic Goods</w:t>
        </w:r>
      </w:hyperlink>
      <w:r>
        <w:t xml:space="preserve"> (ARTG) provides information on therapeutic goods that are available and can be supplied in Australia.</w:t>
      </w:r>
    </w:p>
    <w:p w14:paraId="7A43D2EF" w14:textId="77777777" w:rsidR="00C404E5" w:rsidRPr="00237D90" w:rsidRDefault="00C404E5" w:rsidP="00C404E5">
      <w:pPr>
        <w:spacing w:after="120"/>
        <w:rPr>
          <w:rFonts w:cs="Arial"/>
        </w:rPr>
      </w:pPr>
      <w:r>
        <w:t>Review of the ARTG identified eight medicines* as being discontinued and no longer available in Australia since publication of the National Tall Man Lettering List in 2011.  As a result, t</w:t>
      </w:r>
      <w:r w:rsidRPr="00237D90">
        <w:rPr>
          <w:rFonts w:cs="Arial"/>
        </w:rPr>
        <w:t xml:space="preserve">he Commission </w:t>
      </w:r>
      <w:r w:rsidRPr="004522A0">
        <w:rPr>
          <w:rFonts w:cs="Arial"/>
          <w:b/>
        </w:rPr>
        <w:t>removed the following medicine name pairs</w:t>
      </w:r>
      <w:r w:rsidRPr="00237D90">
        <w:rPr>
          <w:rFonts w:cs="Arial"/>
        </w:rPr>
        <w:t xml:space="preserve"> from the N</w:t>
      </w:r>
      <w:r>
        <w:rPr>
          <w:rFonts w:cs="Arial"/>
        </w:rPr>
        <w:t>ational Tall Man Lettering List</w:t>
      </w:r>
      <w:r w:rsidRPr="00237D90">
        <w:rPr>
          <w:rFonts w:cs="Arial"/>
        </w:rPr>
        <w:t>:</w:t>
      </w:r>
    </w:p>
    <w:p w14:paraId="170013C3"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alphapril</w:t>
      </w:r>
      <w:proofErr w:type="spellEnd"/>
      <w:r w:rsidRPr="007D741C">
        <w:rPr>
          <w:rFonts w:eastAsia="Calibri" w:cs="Arial"/>
          <w:szCs w:val="22"/>
        </w:rPr>
        <w:t>*/</w:t>
      </w:r>
      <w:proofErr w:type="spellStart"/>
      <w:r w:rsidRPr="007D741C">
        <w:rPr>
          <w:rFonts w:eastAsia="Calibri" w:cs="Arial"/>
          <w:szCs w:val="22"/>
        </w:rPr>
        <w:t>alphapress</w:t>
      </w:r>
      <w:proofErr w:type="spellEnd"/>
    </w:p>
    <w:p w14:paraId="7902D9E8"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meruvax</w:t>
      </w:r>
      <w:proofErr w:type="spellEnd"/>
      <w:r w:rsidRPr="007D741C">
        <w:rPr>
          <w:rFonts w:eastAsia="Calibri" w:cs="Arial"/>
          <w:szCs w:val="22"/>
        </w:rPr>
        <w:t>*/</w:t>
      </w:r>
      <w:proofErr w:type="spellStart"/>
      <w:r w:rsidRPr="007D741C">
        <w:rPr>
          <w:rFonts w:eastAsia="Calibri" w:cs="Arial"/>
          <w:szCs w:val="22"/>
        </w:rPr>
        <w:t>merieux</w:t>
      </w:r>
      <w:proofErr w:type="spellEnd"/>
    </w:p>
    <w:p w14:paraId="7D6E90B7"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metohexal</w:t>
      </w:r>
      <w:proofErr w:type="spellEnd"/>
      <w:r w:rsidRPr="007D741C">
        <w:rPr>
          <w:rFonts w:eastAsia="Calibri" w:cs="Arial"/>
          <w:szCs w:val="22"/>
        </w:rPr>
        <w:t>*/</w:t>
      </w:r>
      <w:proofErr w:type="spellStart"/>
      <w:r w:rsidRPr="007D741C">
        <w:rPr>
          <w:rFonts w:eastAsia="Calibri" w:cs="Arial"/>
          <w:szCs w:val="22"/>
        </w:rPr>
        <w:t>mellihexal</w:t>
      </w:r>
      <w:proofErr w:type="spellEnd"/>
      <w:r w:rsidRPr="007D741C">
        <w:rPr>
          <w:rFonts w:eastAsia="Calibri" w:cs="Arial"/>
          <w:szCs w:val="22"/>
        </w:rPr>
        <w:t>*</w:t>
      </w:r>
    </w:p>
    <w:p w14:paraId="15B2AB01"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noroxin</w:t>
      </w:r>
      <w:proofErr w:type="spellEnd"/>
      <w:r w:rsidRPr="007D741C">
        <w:rPr>
          <w:rFonts w:eastAsia="Calibri" w:cs="Arial"/>
          <w:szCs w:val="22"/>
        </w:rPr>
        <w:t>*/</w:t>
      </w:r>
      <w:proofErr w:type="spellStart"/>
      <w:r w:rsidRPr="007D741C">
        <w:rPr>
          <w:rFonts w:eastAsia="Calibri" w:cs="Arial"/>
          <w:szCs w:val="22"/>
        </w:rPr>
        <w:t>neurontin</w:t>
      </w:r>
      <w:proofErr w:type="spellEnd"/>
    </w:p>
    <w:p w14:paraId="0256F5D9"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trimipramine</w:t>
      </w:r>
      <w:proofErr w:type="spellEnd"/>
      <w:r w:rsidRPr="007D741C">
        <w:rPr>
          <w:rFonts w:eastAsia="Calibri" w:cs="Arial"/>
          <w:szCs w:val="22"/>
        </w:rPr>
        <w:t>*/imipramine</w:t>
      </w:r>
    </w:p>
    <w:p w14:paraId="5D2226F3"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r w:rsidRPr="007D741C">
        <w:rPr>
          <w:rFonts w:eastAsia="Calibri" w:cs="Arial"/>
          <w:szCs w:val="22"/>
        </w:rPr>
        <w:t>cycloblastin</w:t>
      </w:r>
      <w:proofErr w:type="spellEnd"/>
      <w:r w:rsidRPr="007D741C">
        <w:rPr>
          <w:rFonts w:eastAsia="Calibri" w:cs="Arial"/>
          <w:szCs w:val="22"/>
        </w:rPr>
        <w:t>*/</w:t>
      </w:r>
      <w:proofErr w:type="spellStart"/>
      <w:r w:rsidRPr="007D741C">
        <w:rPr>
          <w:rFonts w:eastAsia="Calibri" w:cs="Arial"/>
          <w:szCs w:val="22"/>
        </w:rPr>
        <w:t>cyclizine</w:t>
      </w:r>
      <w:proofErr w:type="spellEnd"/>
    </w:p>
    <w:p w14:paraId="023D1D10" w14:textId="77777777" w:rsidR="00C404E5" w:rsidRPr="007D741C" w:rsidRDefault="00C404E5" w:rsidP="007D741C">
      <w:pPr>
        <w:pStyle w:val="ListParagraph"/>
        <w:numPr>
          <w:ilvl w:val="0"/>
          <w:numId w:val="30"/>
        </w:numPr>
        <w:spacing w:after="0"/>
        <w:ind w:left="851" w:hanging="284"/>
        <w:rPr>
          <w:rFonts w:eastAsia="Calibri" w:cs="Arial"/>
          <w:szCs w:val="22"/>
        </w:rPr>
      </w:pPr>
      <w:proofErr w:type="spellStart"/>
      <w:proofErr w:type="gramStart"/>
      <w:r w:rsidRPr="007D741C">
        <w:rPr>
          <w:rFonts w:eastAsia="Calibri" w:cs="Arial"/>
          <w:szCs w:val="22"/>
        </w:rPr>
        <w:t>taxol</w:t>
      </w:r>
      <w:proofErr w:type="spellEnd"/>
      <w:proofErr w:type="gramEnd"/>
      <w:r w:rsidRPr="007D741C">
        <w:rPr>
          <w:rFonts w:eastAsia="Calibri" w:cs="Arial"/>
          <w:szCs w:val="22"/>
        </w:rPr>
        <w:t>*/</w:t>
      </w:r>
      <w:proofErr w:type="spellStart"/>
      <w:r w:rsidRPr="007D741C">
        <w:rPr>
          <w:rFonts w:eastAsia="Calibri" w:cs="Arial"/>
          <w:szCs w:val="22"/>
        </w:rPr>
        <w:t>taxotere</w:t>
      </w:r>
      <w:proofErr w:type="spellEnd"/>
      <w:r w:rsidRPr="007D741C">
        <w:rPr>
          <w:rFonts w:eastAsia="Calibri" w:cs="Arial"/>
          <w:szCs w:val="22"/>
        </w:rPr>
        <w:t>.</w:t>
      </w:r>
    </w:p>
    <w:p w14:paraId="7D909EB0" w14:textId="77777777" w:rsidR="00C404E5" w:rsidRPr="0062270D" w:rsidRDefault="00C404E5" w:rsidP="00C404E5">
      <w:pPr>
        <w:pStyle w:val="Heading2"/>
      </w:pPr>
      <w:bookmarkStart w:id="22" w:name="_Toc465432507"/>
      <w:bookmarkStart w:id="23" w:name="_Toc495069343"/>
      <w:bookmarkStart w:id="24" w:name="_Toc497401665"/>
      <w:r w:rsidRPr="00A4645C">
        <w:t>International harmonisation of medicine names</w:t>
      </w:r>
      <w:bookmarkEnd w:id="22"/>
      <w:bookmarkEnd w:id="23"/>
      <w:bookmarkEnd w:id="24"/>
      <w:r w:rsidRPr="00A4645C">
        <w:t xml:space="preserve"> </w:t>
      </w:r>
    </w:p>
    <w:p w14:paraId="3024C8C4" w14:textId="77777777" w:rsidR="00C404E5" w:rsidRPr="00CE3761" w:rsidRDefault="00C404E5" w:rsidP="00C404E5">
      <w:r w:rsidRPr="00CE3761">
        <w:t xml:space="preserve">In different countries, different names are used to describe the same medicinal ingredient. </w:t>
      </w:r>
    </w:p>
    <w:p w14:paraId="0E36D74E" w14:textId="77777777" w:rsidR="00C404E5" w:rsidRPr="00D258ED" w:rsidRDefault="00C404E5" w:rsidP="00C404E5">
      <w:r w:rsidRPr="00CE3761">
        <w:t xml:space="preserve">The </w:t>
      </w:r>
      <w:r>
        <w:t>Therapeutic Goods Administration (TGA)</w:t>
      </w:r>
      <w:r w:rsidRPr="00CE3761">
        <w:t xml:space="preserve"> issued guidance on the introduction of name changes in Australia</w:t>
      </w:r>
      <w:r>
        <w:t>,</w:t>
      </w:r>
      <w:r w:rsidRPr="00CE3761">
        <w:t xml:space="preserve"> according to the program for international harmonisation of names </w:t>
      </w:r>
      <w:r>
        <w:t>(</w:t>
      </w:r>
      <w:hyperlink r:id="rId21" w:history="1">
        <w:r w:rsidRPr="00CE3761">
          <w:rPr>
            <w:color w:val="0000FF"/>
            <w:u w:val="single"/>
          </w:rPr>
          <w:t>www.tga.gov.au/updating-medicine-ingredient-names</w:t>
        </w:r>
      </w:hyperlink>
      <w:r w:rsidRPr="009B010A">
        <w:t>).</w:t>
      </w:r>
      <w:r w:rsidRPr="00CE3761">
        <w:t xml:space="preserve"> </w:t>
      </w:r>
    </w:p>
    <w:p w14:paraId="68EE857A" w14:textId="77777777" w:rsidR="00C404E5" w:rsidRPr="00CE3761" w:rsidRDefault="00C404E5" w:rsidP="00C404E5">
      <w:pPr>
        <w:rPr>
          <w:rFonts w:cs="Arial"/>
        </w:rPr>
      </w:pPr>
      <w:r w:rsidRPr="00CE3761">
        <w:rPr>
          <w:rFonts w:cs="Arial"/>
        </w:rPr>
        <w:t>The list of affected active ingredient names</w:t>
      </w:r>
      <w:r>
        <w:rPr>
          <w:rFonts w:cs="Arial"/>
        </w:rPr>
        <w:t xml:space="preserve"> and additional information</w:t>
      </w:r>
      <w:r w:rsidRPr="00CE3761">
        <w:rPr>
          <w:rFonts w:cs="Arial"/>
        </w:rPr>
        <w:t xml:space="preserve"> is available on the TGA website</w:t>
      </w:r>
      <w:r>
        <w:rPr>
          <w:rFonts w:cs="Arial"/>
        </w:rPr>
        <w:t>,</w:t>
      </w:r>
      <w:r w:rsidRPr="00CE3761">
        <w:rPr>
          <w:rFonts w:cs="Arial"/>
        </w:rPr>
        <w:t xml:space="preserve"> at</w:t>
      </w:r>
      <w:r>
        <w:rPr>
          <w:rFonts w:cs="Arial"/>
        </w:rPr>
        <w:t xml:space="preserve">: </w:t>
      </w:r>
      <w:hyperlink r:id="rId22" w:history="1">
        <w:r w:rsidRPr="00CE3761">
          <w:rPr>
            <w:rFonts w:cs="Arial"/>
            <w:color w:val="0000FF"/>
            <w:u w:val="single"/>
          </w:rPr>
          <w:t>www.tga.gov.au/updating-medicine-ingredient-names-list-affected-ingredients</w:t>
        </w:r>
      </w:hyperlink>
      <w:r>
        <w:rPr>
          <w:rFonts w:cs="Arial"/>
          <w:color w:val="0000FF"/>
          <w:u w:val="single"/>
        </w:rPr>
        <w:t>.</w:t>
      </w:r>
    </w:p>
    <w:p w14:paraId="218397BA" w14:textId="77777777" w:rsidR="00C404E5" w:rsidRDefault="00C404E5" w:rsidP="00C404E5">
      <w:pPr>
        <w:rPr>
          <w:rFonts w:cs="Arial"/>
        </w:rPr>
      </w:pPr>
      <w:r>
        <w:rPr>
          <w:rFonts w:cs="Arial"/>
        </w:rPr>
        <w:t>The Commission has incorporated the new medicine names within</w:t>
      </w:r>
      <w:r w:rsidRPr="009731D2">
        <w:rPr>
          <w:rFonts w:cs="Arial"/>
        </w:rPr>
        <w:t xml:space="preserve"> </w:t>
      </w:r>
      <w:r>
        <w:rPr>
          <w:rFonts w:cs="Arial"/>
        </w:rPr>
        <w:t xml:space="preserve">the </w:t>
      </w:r>
      <w:r w:rsidRPr="007D741C">
        <w:rPr>
          <w:rFonts w:cs="Arial"/>
        </w:rPr>
        <w:t>National Tall Man Lettering List 2017</w:t>
      </w:r>
      <w:r>
        <w:rPr>
          <w:rFonts w:cs="Arial"/>
        </w:rPr>
        <w:t xml:space="preserve"> in alignment with the </w:t>
      </w:r>
      <w:r>
        <w:t>international medicine name changes</w:t>
      </w:r>
      <w:r>
        <w:rPr>
          <w:rFonts w:cs="Arial"/>
        </w:rPr>
        <w:t xml:space="preserve">. To assist software vendors and health services during the transition phase, the Commission has included the ‘old’ medicine name in brackets within the </w:t>
      </w:r>
      <w:r w:rsidRPr="007D741C">
        <w:rPr>
          <w:rFonts w:cs="Arial"/>
        </w:rPr>
        <w:t>National Tall Man Lettering List 2017</w:t>
      </w:r>
      <w:r>
        <w:rPr>
          <w:rFonts w:cs="Arial"/>
          <w:i/>
        </w:rPr>
        <w:t>.</w:t>
      </w:r>
    </w:p>
    <w:p w14:paraId="20E017B6" w14:textId="77777777" w:rsidR="00C404E5" w:rsidRDefault="00C404E5" w:rsidP="00C404E5">
      <w:pPr>
        <w:rPr>
          <w:rFonts w:cs="Arial"/>
        </w:rPr>
      </w:pPr>
      <w:r>
        <w:t xml:space="preserve">The medicines </w:t>
      </w:r>
      <w:r>
        <w:rPr>
          <w:rFonts w:cs="Arial"/>
        </w:rPr>
        <w:t xml:space="preserve">on the </w:t>
      </w:r>
      <w:r w:rsidRPr="007D741C">
        <w:rPr>
          <w:rFonts w:cs="Arial"/>
        </w:rPr>
        <w:t>National Tall Man Lettering List 2017</w:t>
      </w:r>
      <w:r>
        <w:rPr>
          <w:rFonts w:cs="Arial"/>
          <w:i/>
        </w:rPr>
        <w:t xml:space="preserve"> </w:t>
      </w:r>
      <w:r w:rsidRPr="007B1C62">
        <w:rPr>
          <w:rFonts w:cs="Arial"/>
        </w:rPr>
        <w:t xml:space="preserve">affected by </w:t>
      </w:r>
      <w:r w:rsidRPr="007B1C62">
        <w:t>the</w:t>
      </w:r>
      <w:r>
        <w:t xml:space="preserve"> international name changes</w:t>
      </w:r>
      <w:r w:rsidR="0070779B">
        <w:rPr>
          <w:rFonts w:cs="Arial"/>
        </w:rPr>
        <w:t xml:space="preserve"> are listed in Table 1, the list of medicines requiring dual labelling.</w:t>
      </w:r>
    </w:p>
    <w:p w14:paraId="4FFA665A" w14:textId="77777777" w:rsidR="00C404E5" w:rsidRDefault="003A7211" w:rsidP="003A7211">
      <w:pPr>
        <w:pStyle w:val="Heading3"/>
      </w:pPr>
      <w:bookmarkStart w:id="25" w:name="_Toc497401666"/>
      <w:r>
        <w:lastRenderedPageBreak/>
        <w:t>Table</w:t>
      </w:r>
      <w:r w:rsidR="0070779B">
        <w:t xml:space="preserve"> 1: Tall Man Lettering:  </w:t>
      </w:r>
      <w:r>
        <w:t>List</w:t>
      </w:r>
      <w:r w:rsidR="0070779B">
        <w:t xml:space="preserve"> of</w:t>
      </w:r>
      <w:r>
        <w:t xml:space="preserve"> medicines with dual labelling</w:t>
      </w:r>
      <w:bookmarkEnd w:id="25"/>
    </w:p>
    <w:tbl>
      <w:tblPr>
        <w:tblStyle w:val="TableGrid"/>
        <w:tblW w:w="0" w:type="auto"/>
        <w:tblLook w:val="04A0" w:firstRow="1" w:lastRow="0" w:firstColumn="1" w:lastColumn="0" w:noHBand="0" w:noVBand="1"/>
        <w:tblCaption w:val="Table 4.1 Examples of dual labelling requirements"/>
        <w:tblDescription w:val="Examples of dual labelling requirements - 3 examples showing Current label and Dual label"/>
      </w:tblPr>
      <w:tblGrid>
        <w:gridCol w:w="3385"/>
        <w:gridCol w:w="3386"/>
      </w:tblGrid>
      <w:tr w:rsidR="00C5544A" w14:paraId="030E0847" w14:textId="77777777" w:rsidTr="003562A3">
        <w:trPr>
          <w:cnfStyle w:val="100000000000" w:firstRow="1" w:lastRow="0" w:firstColumn="0" w:lastColumn="0" w:oddVBand="0" w:evenVBand="0" w:oddHBand="0" w:evenHBand="0" w:firstRowFirstColumn="0" w:firstRowLastColumn="0" w:lastRowFirstColumn="0" w:lastRowLastColumn="0"/>
        </w:trPr>
        <w:tc>
          <w:tcPr>
            <w:tcW w:w="3385" w:type="dxa"/>
            <w:shd w:val="clear" w:color="auto" w:fill="86D3F2" w:themeFill="accent1" w:themeFillTint="66"/>
          </w:tcPr>
          <w:p w14:paraId="5573CCD9" w14:textId="77777777" w:rsidR="00C5544A" w:rsidRDefault="00C5544A" w:rsidP="003562A3">
            <w:pPr>
              <w:pStyle w:val="TableHeading"/>
            </w:pPr>
            <w:r>
              <w:t>Current label</w:t>
            </w:r>
          </w:p>
        </w:tc>
        <w:tc>
          <w:tcPr>
            <w:tcW w:w="3386" w:type="dxa"/>
            <w:shd w:val="clear" w:color="auto" w:fill="86D3F2" w:themeFill="accent1" w:themeFillTint="66"/>
          </w:tcPr>
          <w:p w14:paraId="56868E4D" w14:textId="77777777" w:rsidR="00C5544A" w:rsidRDefault="00C5544A" w:rsidP="003562A3">
            <w:pPr>
              <w:pStyle w:val="TableHeading"/>
            </w:pPr>
            <w:r>
              <w:t>Dual label</w:t>
            </w:r>
          </w:p>
        </w:tc>
      </w:tr>
      <w:tr w:rsidR="00C5544A" w14:paraId="73962ACC" w14:textId="77777777" w:rsidTr="003562A3">
        <w:tc>
          <w:tcPr>
            <w:tcW w:w="3385" w:type="dxa"/>
          </w:tcPr>
          <w:p w14:paraId="4C603946" w14:textId="77777777" w:rsidR="00C5544A" w:rsidRDefault="00C5544A" w:rsidP="003562A3">
            <w:pPr>
              <w:pStyle w:val="TableHeading"/>
            </w:pPr>
            <w:r>
              <w:t>cephalexin</w:t>
            </w:r>
          </w:p>
        </w:tc>
        <w:tc>
          <w:tcPr>
            <w:tcW w:w="3386" w:type="dxa"/>
          </w:tcPr>
          <w:p w14:paraId="22821617" w14:textId="77846371" w:rsidR="00C5544A" w:rsidRDefault="00702301" w:rsidP="003562A3">
            <w:pPr>
              <w:pStyle w:val="TableHeading"/>
            </w:pPr>
            <w:proofErr w:type="spellStart"/>
            <w:r>
              <w:t>cef</w:t>
            </w:r>
            <w:r w:rsidR="00C5544A">
              <w:t>aLEXin</w:t>
            </w:r>
            <w:proofErr w:type="spellEnd"/>
            <w:r w:rsidR="00C5544A">
              <w:t xml:space="preserve"> (</w:t>
            </w:r>
            <w:proofErr w:type="spellStart"/>
            <w:r w:rsidR="00C5544A">
              <w:t>cephaLEXin</w:t>
            </w:r>
            <w:proofErr w:type="spellEnd"/>
            <w:r w:rsidR="00C5544A">
              <w:t>)</w:t>
            </w:r>
          </w:p>
        </w:tc>
      </w:tr>
      <w:tr w:rsidR="00C5544A" w14:paraId="1B65597E" w14:textId="77777777" w:rsidTr="003562A3">
        <w:tc>
          <w:tcPr>
            <w:tcW w:w="3385" w:type="dxa"/>
          </w:tcPr>
          <w:p w14:paraId="62F4C806" w14:textId="77777777" w:rsidR="00C5544A" w:rsidRDefault="00C5544A" w:rsidP="003562A3">
            <w:pPr>
              <w:pStyle w:val="TableHeading"/>
            </w:pPr>
            <w:proofErr w:type="spellStart"/>
            <w:r>
              <w:t>cephazolin</w:t>
            </w:r>
            <w:proofErr w:type="spellEnd"/>
          </w:p>
        </w:tc>
        <w:tc>
          <w:tcPr>
            <w:tcW w:w="3386" w:type="dxa"/>
          </w:tcPr>
          <w:p w14:paraId="63AA6804" w14:textId="77777777" w:rsidR="00C5544A" w:rsidRDefault="00C5544A" w:rsidP="003562A3">
            <w:pPr>
              <w:pStyle w:val="TableHeading"/>
            </w:pPr>
            <w:proofErr w:type="spellStart"/>
            <w:r>
              <w:t>cefaZOLin</w:t>
            </w:r>
            <w:proofErr w:type="spellEnd"/>
            <w:r>
              <w:t xml:space="preserve"> (</w:t>
            </w:r>
            <w:proofErr w:type="spellStart"/>
            <w:r>
              <w:t>cephaZOLin</w:t>
            </w:r>
            <w:proofErr w:type="spellEnd"/>
          </w:p>
        </w:tc>
      </w:tr>
      <w:tr w:rsidR="00C5544A" w14:paraId="096D3DC9" w14:textId="77777777" w:rsidTr="003562A3">
        <w:tc>
          <w:tcPr>
            <w:tcW w:w="3385" w:type="dxa"/>
          </w:tcPr>
          <w:p w14:paraId="1A26E9CD" w14:textId="77777777" w:rsidR="00C5544A" w:rsidRDefault="00C5544A" w:rsidP="003562A3">
            <w:pPr>
              <w:pStyle w:val="TableHeading"/>
            </w:pPr>
            <w:proofErr w:type="spellStart"/>
            <w:r>
              <w:t>cyclosporin</w:t>
            </w:r>
            <w:proofErr w:type="spellEnd"/>
          </w:p>
        </w:tc>
        <w:tc>
          <w:tcPr>
            <w:tcW w:w="3386" w:type="dxa"/>
          </w:tcPr>
          <w:p w14:paraId="61E42BB2" w14:textId="77777777" w:rsidR="00C5544A" w:rsidRDefault="00C5544A" w:rsidP="003562A3">
            <w:pPr>
              <w:pStyle w:val="TableHeading"/>
            </w:pPr>
            <w:proofErr w:type="spellStart"/>
            <w:r>
              <w:t>ciclosPORIN</w:t>
            </w:r>
            <w:proofErr w:type="spellEnd"/>
            <w:r>
              <w:t xml:space="preserve"> (</w:t>
            </w:r>
            <w:proofErr w:type="spellStart"/>
            <w:r>
              <w:t>cyclosPORIN</w:t>
            </w:r>
            <w:proofErr w:type="spellEnd"/>
            <w:r>
              <w:t>)</w:t>
            </w:r>
          </w:p>
        </w:tc>
      </w:tr>
      <w:tr w:rsidR="00C5544A" w14:paraId="6C8440D0" w14:textId="77777777" w:rsidTr="003562A3">
        <w:tc>
          <w:tcPr>
            <w:tcW w:w="3385" w:type="dxa"/>
          </w:tcPr>
          <w:p w14:paraId="3EE7EDA2" w14:textId="77777777" w:rsidR="00C5544A" w:rsidRDefault="00C5544A" w:rsidP="003562A3">
            <w:pPr>
              <w:pStyle w:val="TableHeading"/>
            </w:pPr>
            <w:proofErr w:type="spellStart"/>
            <w:r>
              <w:t>cysteamine</w:t>
            </w:r>
            <w:proofErr w:type="spellEnd"/>
          </w:p>
        </w:tc>
        <w:tc>
          <w:tcPr>
            <w:tcW w:w="3386" w:type="dxa"/>
          </w:tcPr>
          <w:p w14:paraId="629440BB" w14:textId="77777777" w:rsidR="00C5544A" w:rsidRDefault="00C5544A" w:rsidP="003562A3">
            <w:pPr>
              <w:pStyle w:val="TableHeading"/>
            </w:pPr>
            <w:proofErr w:type="spellStart"/>
            <w:r>
              <w:t>mercaptAMine</w:t>
            </w:r>
            <w:proofErr w:type="spellEnd"/>
            <w:r>
              <w:t xml:space="preserve"> (</w:t>
            </w:r>
            <w:proofErr w:type="spellStart"/>
            <w:r>
              <w:t>cysteamine</w:t>
            </w:r>
            <w:proofErr w:type="spellEnd"/>
            <w:r>
              <w:t>)</w:t>
            </w:r>
          </w:p>
        </w:tc>
      </w:tr>
      <w:tr w:rsidR="00C5544A" w14:paraId="543F93C2" w14:textId="77777777" w:rsidTr="003562A3">
        <w:tc>
          <w:tcPr>
            <w:tcW w:w="3385" w:type="dxa"/>
          </w:tcPr>
          <w:p w14:paraId="28B76792" w14:textId="77777777" w:rsidR="00C5544A" w:rsidRDefault="00C5544A" w:rsidP="003562A3">
            <w:pPr>
              <w:pStyle w:val="TableHeading"/>
            </w:pPr>
            <w:proofErr w:type="spellStart"/>
            <w:r>
              <w:t>dothiepin</w:t>
            </w:r>
            <w:proofErr w:type="spellEnd"/>
          </w:p>
        </w:tc>
        <w:tc>
          <w:tcPr>
            <w:tcW w:w="3386" w:type="dxa"/>
          </w:tcPr>
          <w:p w14:paraId="1F0D1732" w14:textId="77777777" w:rsidR="00C5544A" w:rsidRDefault="00C5544A" w:rsidP="003562A3">
            <w:pPr>
              <w:pStyle w:val="TableHeading"/>
            </w:pPr>
            <w:proofErr w:type="spellStart"/>
            <w:r>
              <w:t>doSULepin</w:t>
            </w:r>
            <w:proofErr w:type="spellEnd"/>
            <w:r>
              <w:t xml:space="preserve"> (</w:t>
            </w:r>
            <w:proofErr w:type="spellStart"/>
            <w:r>
              <w:t>doTHiepin</w:t>
            </w:r>
            <w:proofErr w:type="spellEnd"/>
            <w:r>
              <w:t>)</w:t>
            </w:r>
          </w:p>
        </w:tc>
      </w:tr>
      <w:tr w:rsidR="00C5544A" w14:paraId="75C8DE10" w14:textId="77777777" w:rsidTr="003562A3">
        <w:tc>
          <w:tcPr>
            <w:tcW w:w="3385" w:type="dxa"/>
          </w:tcPr>
          <w:p w14:paraId="261454F7" w14:textId="77777777" w:rsidR="00C5544A" w:rsidRDefault="00C5544A" w:rsidP="003562A3">
            <w:pPr>
              <w:pStyle w:val="TableHeading"/>
            </w:pPr>
            <w:proofErr w:type="spellStart"/>
            <w:r>
              <w:t>trimeprazine</w:t>
            </w:r>
            <w:proofErr w:type="spellEnd"/>
          </w:p>
        </w:tc>
        <w:tc>
          <w:tcPr>
            <w:tcW w:w="3386" w:type="dxa"/>
          </w:tcPr>
          <w:p w14:paraId="750C5940" w14:textId="77777777" w:rsidR="00C5544A" w:rsidRDefault="00C5544A" w:rsidP="003562A3">
            <w:pPr>
              <w:pStyle w:val="TableHeading"/>
            </w:pPr>
            <w:proofErr w:type="spellStart"/>
            <w:r>
              <w:t>alimemazine</w:t>
            </w:r>
            <w:proofErr w:type="spellEnd"/>
            <w:r>
              <w:t xml:space="preserve"> (</w:t>
            </w:r>
            <w:proofErr w:type="spellStart"/>
            <w:r>
              <w:t>trimEPRAZINE</w:t>
            </w:r>
            <w:proofErr w:type="spellEnd"/>
            <w:r>
              <w:t>)</w:t>
            </w:r>
          </w:p>
        </w:tc>
      </w:tr>
    </w:tbl>
    <w:p w14:paraId="7B5249CF" w14:textId="77777777" w:rsidR="00C404E5" w:rsidRDefault="00C404E5" w:rsidP="00C404E5">
      <w:pPr>
        <w:spacing w:after="0"/>
        <w:rPr>
          <w:rFonts w:cs="Arial"/>
        </w:rPr>
      </w:pPr>
    </w:p>
    <w:p w14:paraId="1EE69139" w14:textId="77777777" w:rsidR="003A7211" w:rsidRDefault="003A7211">
      <w:pPr>
        <w:spacing w:after="80"/>
        <w:rPr>
          <w:rFonts w:cs="Arial"/>
          <w:b/>
          <w:iCs/>
          <w:color w:val="1178A2"/>
          <w:kern w:val="28"/>
          <w:sz w:val="32"/>
          <w:szCs w:val="28"/>
        </w:rPr>
      </w:pPr>
      <w:bookmarkStart w:id="26" w:name="_Toc495069344"/>
      <w:r>
        <w:br w:type="page"/>
      </w:r>
    </w:p>
    <w:p w14:paraId="0E5DF779" w14:textId="77777777" w:rsidR="00C404E5" w:rsidRPr="0062270D" w:rsidRDefault="00C404E5" w:rsidP="00C404E5">
      <w:pPr>
        <w:pStyle w:val="Heading2"/>
      </w:pPr>
      <w:bookmarkStart w:id="27" w:name="_Toc497401667"/>
      <w:r w:rsidRPr="00A4645C">
        <w:lastRenderedPageBreak/>
        <w:t>Other revisions relating to use of ‘sans serif’ font</w:t>
      </w:r>
      <w:bookmarkEnd w:id="26"/>
      <w:bookmarkEnd w:id="27"/>
      <w:r w:rsidRPr="00A4645C">
        <w:t xml:space="preserve">   </w:t>
      </w:r>
    </w:p>
    <w:p w14:paraId="45EBA689" w14:textId="77777777" w:rsidR="00C404E5" w:rsidRDefault="00C404E5" w:rsidP="00C404E5">
      <w:r>
        <w:t xml:space="preserve">Care should be taken with sans serif fonts, as ‘L’ and ‘I’ may be visually identical, depending on their respective cases.  Internationally, and according to the Institute for Safe Medication Practices (ISMP) Canada’s </w:t>
      </w:r>
      <w:hyperlink r:id="rId23" w:history="1">
        <w:r w:rsidRPr="00F42C13">
          <w:rPr>
            <w:rStyle w:val="Hyperlink"/>
            <w:i/>
          </w:rPr>
          <w:t xml:space="preserve">Principles for the application of </w:t>
        </w:r>
        <w:proofErr w:type="spellStart"/>
        <w:r w:rsidRPr="00F42C13">
          <w:rPr>
            <w:rStyle w:val="Hyperlink"/>
            <w:i/>
          </w:rPr>
          <w:t>TALLman</w:t>
        </w:r>
        <w:proofErr w:type="spellEnd"/>
        <w:r w:rsidRPr="00F42C13">
          <w:rPr>
            <w:rStyle w:val="Hyperlink"/>
            <w:i/>
          </w:rPr>
          <w:t xml:space="preserve"> Lettering in Canada</w:t>
        </w:r>
      </w:hyperlink>
      <w:r>
        <w:t xml:space="preserve">, capitalisation of ‘I’ is not recommended. </w:t>
      </w:r>
    </w:p>
    <w:p w14:paraId="7C60BDD7" w14:textId="3D0E8BD3" w:rsidR="00C404E5" w:rsidRPr="00721477" w:rsidRDefault="00BB7690" w:rsidP="00C404E5">
      <w:r>
        <w:t xml:space="preserve">This issue also became apparent when the Commission developed </w:t>
      </w:r>
      <w:hyperlink r:id="rId24" w:history="1">
        <w:r w:rsidRPr="009155D2">
          <w:rPr>
            <w:rStyle w:val="Hyperlink"/>
            <w:i/>
          </w:rPr>
          <w:t>National guidelines for on-screen display of medicines information</w:t>
        </w:r>
      </w:hyperlink>
      <w:r>
        <w:rPr>
          <w:i/>
        </w:rPr>
        <w:t xml:space="preserve">. </w:t>
      </w:r>
      <w:r w:rsidR="00C404E5">
        <w:rPr>
          <w:rFonts w:eastAsia="Calibri" w:cs="Arial"/>
        </w:rPr>
        <w:t xml:space="preserve">As a result the </w:t>
      </w:r>
      <w:r w:rsidR="00C404E5" w:rsidRPr="004522A0">
        <w:rPr>
          <w:rFonts w:eastAsia="Calibri" w:cs="Arial"/>
          <w:b/>
        </w:rPr>
        <w:t>application of Tall Man lettering has been amended for the following medicines</w:t>
      </w:r>
      <w:r w:rsidR="00C404E5">
        <w:rPr>
          <w:rFonts w:eastAsia="Calibri" w:cs="Arial"/>
        </w:rPr>
        <w:t>:</w:t>
      </w:r>
    </w:p>
    <w:p w14:paraId="265FECC6"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amiODAROne</w:t>
      </w:r>
      <w:proofErr w:type="spellEnd"/>
    </w:p>
    <w:p w14:paraId="490B3195"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amiTRIPTYLine</w:t>
      </w:r>
      <w:proofErr w:type="spellEnd"/>
    </w:p>
    <w:p w14:paraId="4D7A102C"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amiNOPHYLLine</w:t>
      </w:r>
      <w:proofErr w:type="spellEnd"/>
    </w:p>
    <w:p w14:paraId="5ECB492A"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aziTHROMYCIN</w:t>
      </w:r>
      <w:proofErr w:type="spellEnd"/>
    </w:p>
    <w:p w14:paraId="37C2C0A7"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ciPROFLOXAcin</w:t>
      </w:r>
      <w:proofErr w:type="spellEnd"/>
    </w:p>
    <w:p w14:paraId="45658BD4"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deRALin</w:t>
      </w:r>
      <w:proofErr w:type="spellEnd"/>
    </w:p>
    <w:p w14:paraId="71814B21" w14:textId="082C32D8" w:rsidR="00B96917" w:rsidRDefault="00B96917" w:rsidP="007D741C">
      <w:pPr>
        <w:pStyle w:val="ListParagraph"/>
        <w:numPr>
          <w:ilvl w:val="0"/>
          <w:numId w:val="30"/>
        </w:numPr>
        <w:spacing w:after="0"/>
        <w:ind w:left="851" w:hanging="284"/>
        <w:rPr>
          <w:rFonts w:eastAsia="Calibri" w:cs="Arial"/>
          <w:szCs w:val="22"/>
        </w:rPr>
      </w:pPr>
      <w:r>
        <w:rPr>
          <w:rFonts w:eastAsia="Calibri" w:cs="Arial"/>
          <w:szCs w:val="22"/>
        </w:rPr>
        <w:t>Diazepam</w:t>
      </w:r>
    </w:p>
    <w:p w14:paraId="63B21097"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iSOtretinoin</w:t>
      </w:r>
      <w:proofErr w:type="spellEnd"/>
    </w:p>
    <w:p w14:paraId="4133631F" w14:textId="77777777" w:rsidR="00621C85" w:rsidRDefault="00621C8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lamiVUDine</w:t>
      </w:r>
      <w:proofErr w:type="spellEnd"/>
    </w:p>
    <w:p w14:paraId="6B6E762C"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lanVis</w:t>
      </w:r>
      <w:proofErr w:type="spellEnd"/>
    </w:p>
    <w:p w14:paraId="07B874FE"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lipiDil</w:t>
      </w:r>
      <w:proofErr w:type="spellEnd"/>
    </w:p>
    <w:p w14:paraId="4A6CE341"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MOXifloxacin</w:t>
      </w:r>
      <w:proofErr w:type="spellEnd"/>
    </w:p>
    <w:p w14:paraId="4E570A2E"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PACLitaxel</w:t>
      </w:r>
      <w:proofErr w:type="spellEnd"/>
    </w:p>
    <w:p w14:paraId="7C2E712E"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riSPERIDONe</w:t>
      </w:r>
      <w:proofErr w:type="spellEnd"/>
    </w:p>
    <w:p w14:paraId="1CB8F630"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siTagliptin</w:t>
      </w:r>
      <w:proofErr w:type="spellEnd"/>
    </w:p>
    <w:p w14:paraId="7EC9484E"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Sirolimus</w:t>
      </w:r>
      <w:proofErr w:type="spellEnd"/>
    </w:p>
    <w:p w14:paraId="0AE7D35F"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zinVit</w:t>
      </w:r>
      <w:proofErr w:type="spellEnd"/>
    </w:p>
    <w:p w14:paraId="7AA4A0E0" w14:textId="77777777" w:rsidR="00C404E5"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ciSplatin</w:t>
      </w:r>
      <w:proofErr w:type="spellEnd"/>
    </w:p>
    <w:p w14:paraId="18BCA884" w14:textId="77777777" w:rsidR="00D625A2" w:rsidRDefault="00C404E5" w:rsidP="007D741C">
      <w:pPr>
        <w:pStyle w:val="ListParagraph"/>
        <w:numPr>
          <w:ilvl w:val="0"/>
          <w:numId w:val="30"/>
        </w:numPr>
        <w:spacing w:after="0"/>
        <w:ind w:left="851" w:hanging="284"/>
        <w:rPr>
          <w:rFonts w:eastAsia="Calibri" w:cs="Arial"/>
          <w:szCs w:val="22"/>
        </w:rPr>
      </w:pPr>
      <w:proofErr w:type="spellStart"/>
      <w:r>
        <w:rPr>
          <w:rFonts w:eastAsia="Calibri" w:cs="Arial"/>
          <w:szCs w:val="22"/>
        </w:rPr>
        <w:t>iDArubicin</w:t>
      </w:r>
      <w:proofErr w:type="spellEnd"/>
    </w:p>
    <w:p w14:paraId="18997C3D" w14:textId="77777777" w:rsidR="00C404E5" w:rsidRPr="00D625A2" w:rsidRDefault="00C404E5" w:rsidP="007D741C">
      <w:pPr>
        <w:pStyle w:val="ListParagraph"/>
        <w:numPr>
          <w:ilvl w:val="0"/>
          <w:numId w:val="30"/>
        </w:numPr>
        <w:spacing w:after="0"/>
        <w:ind w:left="851" w:hanging="284"/>
        <w:rPr>
          <w:rFonts w:eastAsia="Calibri" w:cs="Arial"/>
          <w:szCs w:val="22"/>
        </w:rPr>
      </w:pPr>
      <w:proofErr w:type="spellStart"/>
      <w:r w:rsidRPr="00D625A2">
        <w:rPr>
          <w:rFonts w:eastAsia="Calibri" w:cs="Arial"/>
          <w:szCs w:val="22"/>
        </w:rPr>
        <w:t>iFOSFamide</w:t>
      </w:r>
      <w:proofErr w:type="spellEnd"/>
    </w:p>
    <w:p w14:paraId="533FF10C" w14:textId="77777777" w:rsidR="00C404E5" w:rsidRDefault="00C404E5" w:rsidP="00C404E5"/>
    <w:p w14:paraId="7EE6A948" w14:textId="77777777" w:rsidR="00A4645C" w:rsidRDefault="00A4645C" w:rsidP="00A4645C">
      <w:pPr>
        <w:pStyle w:val="Heading2"/>
      </w:pPr>
      <w:bookmarkStart w:id="28" w:name="_Toc495069345"/>
      <w:bookmarkStart w:id="29" w:name="_Toc497401668"/>
      <w:bookmarkStart w:id="30" w:name="_GoBack"/>
      <w:bookmarkEnd w:id="30"/>
      <w:r w:rsidRPr="00A4645C">
        <w:t>Monoclonal antibodies (MABs)</w:t>
      </w:r>
      <w:bookmarkEnd w:id="28"/>
      <w:bookmarkEnd w:id="29"/>
    </w:p>
    <w:p w14:paraId="71F91A14" w14:textId="77777777" w:rsidR="00A4645C" w:rsidRDefault="00A4645C" w:rsidP="00A4645C">
      <w:r>
        <w:t>Concern has been expressed regarding the application of Tall Man to only a handful of monoclonal antibodies (MABs).</w:t>
      </w:r>
      <w:r w:rsidR="002E29B5">
        <w:t xml:space="preserve"> Alternatively, applying to ALL</w:t>
      </w:r>
      <w:r>
        <w:t xml:space="preserve"> would dilute the importance of having Tall Man lettering in the first place. As a class of medicines it is acknowledged that future consideration of MABs is required by the panel at the next revision of the National Tall Man Lettering List.</w:t>
      </w:r>
    </w:p>
    <w:p w14:paraId="7C6A52E5" w14:textId="77777777" w:rsidR="00A4645C" w:rsidRDefault="00A4645C" w:rsidP="00A4645C">
      <w:r>
        <w:t xml:space="preserve">In the meantime, no further MAB medicine name pairs will be added and the following MAB medicine name pair </w:t>
      </w:r>
      <w:r w:rsidRPr="004522A0">
        <w:rPr>
          <w:b/>
        </w:rPr>
        <w:t>has been removed</w:t>
      </w:r>
      <w:r>
        <w:t xml:space="preserve"> from the </w:t>
      </w:r>
      <w:r w:rsidRPr="00354D52">
        <w:rPr>
          <w:i/>
        </w:rPr>
        <w:t>National Tall Man Lettering List 2017</w:t>
      </w:r>
      <w:r>
        <w:t>:</w:t>
      </w:r>
      <w:r w:rsidRPr="00354D52">
        <w:t xml:space="preserve"> </w:t>
      </w:r>
    </w:p>
    <w:p w14:paraId="15FB0F1C" w14:textId="77777777" w:rsidR="00A4645C" w:rsidRPr="007D741C" w:rsidRDefault="00A4645C" w:rsidP="007D741C">
      <w:pPr>
        <w:pStyle w:val="ListParagraph"/>
        <w:numPr>
          <w:ilvl w:val="0"/>
          <w:numId w:val="30"/>
        </w:numPr>
        <w:spacing w:after="0"/>
        <w:ind w:left="851" w:hanging="284"/>
        <w:rPr>
          <w:rFonts w:eastAsia="Calibri" w:cs="Arial"/>
          <w:szCs w:val="22"/>
        </w:rPr>
      </w:pPr>
      <w:proofErr w:type="gramStart"/>
      <w:r w:rsidRPr="007D741C">
        <w:rPr>
          <w:rFonts w:eastAsia="Calibri" w:cs="Arial"/>
          <w:szCs w:val="22"/>
        </w:rPr>
        <w:t>infliximab</w:t>
      </w:r>
      <w:proofErr w:type="gramEnd"/>
      <w:r w:rsidRPr="007D741C">
        <w:rPr>
          <w:rFonts w:eastAsia="Calibri" w:cs="Arial"/>
          <w:szCs w:val="22"/>
        </w:rPr>
        <w:t xml:space="preserve"> and rituximab</w:t>
      </w:r>
      <w:r w:rsidR="00E63F1B">
        <w:rPr>
          <w:rFonts w:eastAsia="Calibri" w:cs="Arial"/>
          <w:szCs w:val="22"/>
        </w:rPr>
        <w:t>.</w:t>
      </w:r>
    </w:p>
    <w:p w14:paraId="5B7F58A5" w14:textId="77777777" w:rsidR="00A4645C" w:rsidRDefault="00A4645C" w:rsidP="00A4645C">
      <w:pPr>
        <w:pStyle w:val="Heading2"/>
      </w:pPr>
      <w:bookmarkStart w:id="31" w:name="_Toc495069346"/>
      <w:bookmarkStart w:id="32" w:name="_Toc497401669"/>
      <w:r w:rsidRPr="00CA4B2C">
        <w:t>Neuromuscular blocking agents (NMBAs)</w:t>
      </w:r>
      <w:bookmarkEnd w:id="31"/>
      <w:bookmarkEnd w:id="32"/>
      <w:r w:rsidRPr="00CA4B2C">
        <w:t xml:space="preserve"> </w:t>
      </w:r>
    </w:p>
    <w:p w14:paraId="3F78A9FA" w14:textId="77777777" w:rsidR="00A4645C" w:rsidRPr="007D741C" w:rsidRDefault="00A4645C" w:rsidP="007D741C">
      <w:r w:rsidRPr="00E63F1B">
        <w:t xml:space="preserve">Neuromuscular blocking agents (NMBAs) such as </w:t>
      </w:r>
      <w:proofErr w:type="spellStart"/>
      <w:r w:rsidRPr="00E63F1B">
        <w:t>pancuronium</w:t>
      </w:r>
      <w:proofErr w:type="spellEnd"/>
      <w:r w:rsidRPr="00E63F1B">
        <w:t xml:space="preserve"> and </w:t>
      </w:r>
      <w:proofErr w:type="spellStart"/>
      <w:r w:rsidRPr="00E63F1B">
        <w:t>suxamethonium</w:t>
      </w:r>
      <w:proofErr w:type="spellEnd"/>
      <w:r w:rsidRPr="00E63F1B">
        <w:t xml:space="preserve"> </w:t>
      </w:r>
      <w:r w:rsidRPr="007D741C">
        <w:t>have similar names and packaging and are stored close to one another in the fridge.</w:t>
      </w:r>
    </w:p>
    <w:p w14:paraId="131DB536" w14:textId="77777777" w:rsidR="00A4645C" w:rsidRPr="007D741C" w:rsidRDefault="00A4645C" w:rsidP="007D741C">
      <w:r w:rsidRPr="007D741C">
        <w:t>The application of Tall Man lettering may not be the answer and consideration of this class of medicines has been delayed.</w:t>
      </w:r>
    </w:p>
    <w:p w14:paraId="75BDA6D7" w14:textId="77777777" w:rsidR="00A4645C" w:rsidRPr="007D741C" w:rsidRDefault="00A4645C" w:rsidP="007D741C">
      <w:r w:rsidRPr="007D741C">
        <w:lastRenderedPageBreak/>
        <w:t>Once discussions with other health and government agencies regarding potential packaging changes have come to completion, the similarities with these medicines will be considered in a future revision of the National Tall Man Lettering List.</w:t>
      </w:r>
    </w:p>
    <w:p w14:paraId="07B6783A" w14:textId="77777777" w:rsidR="00A4645C" w:rsidRPr="00E52646" w:rsidRDefault="00A4645C" w:rsidP="00A4645C">
      <w:pPr>
        <w:pStyle w:val="TableText"/>
        <w:rPr>
          <w:rFonts w:cs="Arial"/>
          <w:i/>
          <w:sz w:val="22"/>
          <w:szCs w:val="22"/>
          <w:lang w:val="en-US"/>
        </w:rPr>
      </w:pPr>
      <w:r w:rsidRPr="007D741C">
        <w:rPr>
          <w:rFonts w:asciiTheme="minorHAnsi" w:hAnsiTheme="minorHAnsi"/>
          <w:color w:val="auto"/>
          <w:sz w:val="22"/>
          <w:szCs w:val="22"/>
        </w:rPr>
        <w:t>In the meantime, the Commission suggests organisations adhere to best practice recommendations for high risk medicines such as NMBAs, according to the</w:t>
      </w:r>
      <w:r w:rsidRPr="00E52646">
        <w:rPr>
          <w:rFonts w:cs="Arial"/>
          <w:i/>
          <w:sz w:val="22"/>
          <w:szCs w:val="22"/>
          <w:lang w:val="en-US"/>
        </w:rPr>
        <w:t xml:space="preserve"> </w:t>
      </w:r>
      <w:hyperlink r:id="rId25" w:history="1">
        <w:r w:rsidRPr="00E52646">
          <w:rPr>
            <w:rStyle w:val="Hyperlink"/>
            <w:rFonts w:cs="Arial"/>
            <w:i/>
            <w:sz w:val="22"/>
            <w:szCs w:val="22"/>
            <w:lang w:val="en-US"/>
          </w:rPr>
          <w:t xml:space="preserve">Medication Safety </w:t>
        </w:r>
        <w:proofErr w:type="spellStart"/>
        <w:r w:rsidRPr="00E52646">
          <w:rPr>
            <w:rStyle w:val="Hyperlink"/>
            <w:rFonts w:cs="Arial"/>
            <w:i/>
            <w:sz w:val="22"/>
            <w:szCs w:val="22"/>
            <w:lang w:val="en-US"/>
          </w:rPr>
          <w:t>Self Assessment</w:t>
        </w:r>
        <w:proofErr w:type="spellEnd"/>
        <w:r w:rsidRPr="00E52646">
          <w:rPr>
            <w:rStyle w:val="Hyperlink"/>
            <w:rFonts w:cs="Arial"/>
            <w:i/>
            <w:sz w:val="22"/>
            <w:szCs w:val="22"/>
            <w:lang w:val="en-US"/>
          </w:rPr>
          <w:t xml:space="preserve"> for Australian Hospitals 2015</w:t>
        </w:r>
      </w:hyperlink>
      <w:r>
        <w:rPr>
          <w:rFonts w:cs="Arial"/>
          <w:i/>
          <w:sz w:val="22"/>
          <w:szCs w:val="22"/>
          <w:lang w:val="en-US"/>
        </w:rPr>
        <w:t xml:space="preserve"> </w:t>
      </w:r>
      <w:r w:rsidRPr="00E52646">
        <w:rPr>
          <w:rFonts w:cs="Arial"/>
          <w:sz w:val="22"/>
          <w:szCs w:val="22"/>
          <w:lang w:val="en-US"/>
        </w:rPr>
        <w:t xml:space="preserve">as </w:t>
      </w:r>
      <w:r>
        <w:rPr>
          <w:rFonts w:cs="Arial"/>
          <w:sz w:val="22"/>
          <w:szCs w:val="22"/>
          <w:lang w:val="en-US"/>
        </w:rPr>
        <w:t>described</w:t>
      </w:r>
      <w:r w:rsidRPr="00E52646">
        <w:rPr>
          <w:rFonts w:cs="Arial"/>
          <w:sz w:val="22"/>
          <w:szCs w:val="22"/>
          <w:lang w:val="en-US"/>
        </w:rPr>
        <w:t xml:space="preserve"> </w:t>
      </w:r>
      <w:r w:rsidR="00163B1E" w:rsidRPr="00E52646">
        <w:rPr>
          <w:rFonts w:cs="Arial"/>
          <w:sz w:val="22"/>
          <w:szCs w:val="22"/>
          <w:lang w:val="en-US"/>
        </w:rPr>
        <w:t xml:space="preserve">below </w:t>
      </w:r>
      <w:r w:rsidRPr="00E52646">
        <w:rPr>
          <w:rFonts w:cs="Arial"/>
          <w:sz w:val="22"/>
          <w:szCs w:val="22"/>
          <w:lang w:val="en-US"/>
        </w:rPr>
        <w:t xml:space="preserve">in </w:t>
      </w:r>
      <w:r w:rsidR="00163B1E">
        <w:rPr>
          <w:rFonts w:cs="Arial"/>
          <w:sz w:val="22"/>
          <w:szCs w:val="22"/>
          <w:lang w:val="en-US"/>
        </w:rPr>
        <w:t>Figure 2</w:t>
      </w:r>
      <w:r>
        <w:rPr>
          <w:rFonts w:cs="Arial"/>
          <w:sz w:val="22"/>
          <w:szCs w:val="22"/>
          <w:lang w:val="en-US"/>
        </w:rPr>
        <w:t>:</w:t>
      </w:r>
    </w:p>
    <w:p w14:paraId="7E2EEEC1" w14:textId="77777777" w:rsidR="00A4645C" w:rsidRDefault="00A4645C" w:rsidP="00A4645C">
      <w:pPr>
        <w:autoSpaceDE w:val="0"/>
        <w:autoSpaceDN w:val="0"/>
        <w:adjustRightInd w:val="0"/>
        <w:spacing w:before="60" w:after="60"/>
        <w:ind w:right="252"/>
        <w:rPr>
          <w:rFonts w:cs="Arial"/>
          <w:b/>
          <w:sz w:val="20"/>
          <w:lang w:val="en-US"/>
        </w:rPr>
      </w:pPr>
    </w:p>
    <w:p w14:paraId="698A7053" w14:textId="77777777" w:rsidR="00E74472" w:rsidRPr="00E74472" w:rsidRDefault="00E74472" w:rsidP="00E74472">
      <w:pPr>
        <w:pStyle w:val="Heading3"/>
      </w:pPr>
      <w:bookmarkStart w:id="33" w:name="_Toc497401670"/>
      <w:r>
        <w:t>F</w:t>
      </w:r>
      <w:r w:rsidR="00163B1E">
        <w:t>igure 2</w:t>
      </w:r>
      <w:r>
        <w:t xml:space="preserve">: </w:t>
      </w:r>
      <w:r w:rsidR="002E29B5">
        <w:t>Best</w:t>
      </w:r>
      <w:r w:rsidR="0044474D">
        <w:t>-</w:t>
      </w:r>
      <w:r w:rsidR="002E29B5">
        <w:t>practice recommendations for NMBAs</w:t>
      </w:r>
      <w:bookmarkEnd w:id="33"/>
    </w:p>
    <w:tbl>
      <w:tblPr>
        <w:tblStyle w:val="TableGrid"/>
        <w:tblW w:w="0" w:type="auto"/>
        <w:jc w:val="center"/>
        <w:tblLook w:val="04A0" w:firstRow="1" w:lastRow="0" w:firstColumn="1" w:lastColumn="0" w:noHBand="0" w:noVBand="1"/>
      </w:tblPr>
      <w:tblGrid>
        <w:gridCol w:w="2518"/>
        <w:gridCol w:w="6521"/>
      </w:tblGrid>
      <w:tr w:rsidR="00A4645C" w14:paraId="1CBED908" w14:textId="77777777" w:rsidTr="003C5F0A">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86D3F2" w:themeFill="accent1" w:themeFillTint="66"/>
          </w:tcPr>
          <w:p w14:paraId="7F04170F" w14:textId="77777777" w:rsidR="00A4645C" w:rsidRPr="002A43CA" w:rsidRDefault="00A4645C" w:rsidP="003C5F0A">
            <w:pPr>
              <w:autoSpaceDE w:val="0"/>
              <w:autoSpaceDN w:val="0"/>
              <w:adjustRightInd w:val="0"/>
              <w:spacing w:before="60" w:after="60"/>
              <w:ind w:right="252"/>
              <w:rPr>
                <w:rFonts w:cs="Arial"/>
                <w:b w:val="0"/>
                <w:lang w:val="en-US"/>
              </w:rPr>
            </w:pPr>
            <w:r w:rsidRPr="002A43CA">
              <w:rPr>
                <w:rFonts w:cs="Arial"/>
                <w:lang w:val="en-US"/>
              </w:rPr>
              <w:t xml:space="preserve">Key Element </w:t>
            </w:r>
          </w:p>
        </w:tc>
        <w:tc>
          <w:tcPr>
            <w:tcW w:w="6521" w:type="dxa"/>
          </w:tcPr>
          <w:p w14:paraId="5AF5A4C4" w14:textId="77777777" w:rsidR="00A4645C" w:rsidRPr="002A43CA" w:rsidRDefault="00A4645C" w:rsidP="003C5F0A">
            <w:pPr>
              <w:autoSpaceDE w:val="0"/>
              <w:autoSpaceDN w:val="0"/>
              <w:adjustRightInd w:val="0"/>
              <w:spacing w:before="60" w:after="60"/>
              <w:ind w:right="252"/>
              <w:rPr>
                <w:rFonts w:cs="Arial"/>
                <w:lang w:val="en-US"/>
              </w:rPr>
            </w:pPr>
            <w:r w:rsidRPr="002A43CA">
              <w:rPr>
                <w:rFonts w:cs="Arial"/>
                <w:lang w:val="en-US"/>
              </w:rPr>
              <w:t>5.</w:t>
            </w:r>
            <w:r>
              <w:rPr>
                <w:rFonts w:cs="Arial"/>
                <w:lang w:val="en-US"/>
              </w:rPr>
              <w:t xml:space="preserve"> </w:t>
            </w:r>
            <w:r w:rsidRPr="002A43CA">
              <w:rPr>
                <w:rFonts w:cs="Arial"/>
                <w:lang w:val="en-US"/>
              </w:rPr>
              <w:t xml:space="preserve">Medication </w:t>
            </w:r>
            <w:proofErr w:type="spellStart"/>
            <w:r w:rsidRPr="002A43CA">
              <w:rPr>
                <w:rFonts w:cs="Arial"/>
                <w:lang w:val="en-US"/>
              </w:rPr>
              <w:t>Standardisation</w:t>
            </w:r>
            <w:proofErr w:type="spellEnd"/>
            <w:r w:rsidRPr="002A43CA">
              <w:rPr>
                <w:rFonts w:cs="Arial"/>
                <w:lang w:val="en-US"/>
              </w:rPr>
              <w:t>, Storage and Distribution</w:t>
            </w:r>
          </w:p>
        </w:tc>
      </w:tr>
      <w:tr w:rsidR="00A4645C" w14:paraId="09DAF543" w14:textId="77777777" w:rsidTr="003C5F0A">
        <w:trPr>
          <w:jc w:val="center"/>
        </w:trPr>
        <w:tc>
          <w:tcPr>
            <w:tcW w:w="2518" w:type="dxa"/>
            <w:shd w:val="clear" w:color="auto" w:fill="86D3F2" w:themeFill="accent1" w:themeFillTint="66"/>
          </w:tcPr>
          <w:p w14:paraId="6098DBF9" w14:textId="77777777" w:rsidR="00A4645C" w:rsidRPr="002A43CA" w:rsidRDefault="00A4645C" w:rsidP="003C5F0A">
            <w:pPr>
              <w:autoSpaceDE w:val="0"/>
              <w:autoSpaceDN w:val="0"/>
              <w:adjustRightInd w:val="0"/>
              <w:spacing w:before="60" w:after="60"/>
              <w:ind w:right="252"/>
              <w:rPr>
                <w:rFonts w:cs="Arial"/>
                <w:b/>
                <w:lang w:val="en-US"/>
              </w:rPr>
            </w:pPr>
            <w:r w:rsidRPr="002A43CA">
              <w:rPr>
                <w:rFonts w:cs="Arial"/>
                <w:b/>
                <w:lang w:val="en-US"/>
              </w:rPr>
              <w:t xml:space="preserve">Core Characteristic </w:t>
            </w:r>
          </w:p>
        </w:tc>
        <w:tc>
          <w:tcPr>
            <w:tcW w:w="6521" w:type="dxa"/>
          </w:tcPr>
          <w:p w14:paraId="633BD804" w14:textId="77777777" w:rsidR="00A4645C" w:rsidRPr="002A43CA" w:rsidRDefault="00A4645C" w:rsidP="003C5F0A">
            <w:pPr>
              <w:autoSpaceDE w:val="0"/>
              <w:autoSpaceDN w:val="0"/>
              <w:adjustRightInd w:val="0"/>
              <w:spacing w:before="60" w:after="60"/>
              <w:ind w:right="252"/>
              <w:rPr>
                <w:rFonts w:cs="Arial"/>
                <w:lang w:val="en-US"/>
              </w:rPr>
            </w:pPr>
            <w:r>
              <w:rPr>
                <w:rFonts w:cs="Arial"/>
                <w:lang w:val="en-US"/>
              </w:rPr>
              <w:t xml:space="preserve">9. </w:t>
            </w:r>
            <w:r w:rsidRPr="002A43CA">
              <w:rPr>
                <w:rFonts w:cs="Arial"/>
                <w:lang w:val="en-US"/>
              </w:rPr>
              <w:t xml:space="preserve">Unit-based ward or </w:t>
            </w:r>
            <w:proofErr w:type="spellStart"/>
            <w:r w:rsidRPr="002A43CA">
              <w:rPr>
                <w:rFonts w:cs="Arial"/>
                <w:lang w:val="en-US"/>
              </w:rPr>
              <w:t>imprest</w:t>
            </w:r>
            <w:proofErr w:type="spellEnd"/>
            <w:r w:rsidRPr="002A43CA">
              <w:rPr>
                <w:rFonts w:cs="Arial"/>
                <w:lang w:val="en-US"/>
              </w:rPr>
              <w:t xml:space="preserve"> stock is restricted</w:t>
            </w:r>
          </w:p>
        </w:tc>
      </w:tr>
      <w:tr w:rsidR="00A4645C" w14:paraId="38BD1709" w14:textId="77777777" w:rsidTr="003C5F0A">
        <w:trPr>
          <w:jc w:val="center"/>
        </w:trPr>
        <w:tc>
          <w:tcPr>
            <w:tcW w:w="2518" w:type="dxa"/>
            <w:vMerge w:val="restart"/>
            <w:shd w:val="clear" w:color="auto" w:fill="86D3F2" w:themeFill="accent1" w:themeFillTint="66"/>
          </w:tcPr>
          <w:p w14:paraId="2FFFBCB8" w14:textId="77777777" w:rsidR="00A4645C" w:rsidRPr="002A43CA" w:rsidRDefault="00A4645C" w:rsidP="003C5F0A">
            <w:pPr>
              <w:autoSpaceDE w:val="0"/>
              <w:autoSpaceDN w:val="0"/>
              <w:adjustRightInd w:val="0"/>
              <w:spacing w:before="60" w:after="60"/>
              <w:ind w:right="252"/>
              <w:rPr>
                <w:rFonts w:cs="Arial"/>
                <w:b/>
                <w:lang w:val="en-US"/>
              </w:rPr>
            </w:pPr>
            <w:r w:rsidRPr="002A43CA">
              <w:rPr>
                <w:rFonts w:cs="Arial"/>
                <w:b/>
                <w:lang w:val="en-US"/>
              </w:rPr>
              <w:t xml:space="preserve">Self-assessment item </w:t>
            </w:r>
          </w:p>
        </w:tc>
        <w:tc>
          <w:tcPr>
            <w:tcW w:w="6521" w:type="dxa"/>
          </w:tcPr>
          <w:p w14:paraId="00F7AD39" w14:textId="77777777" w:rsidR="00A4645C" w:rsidRPr="002A43CA" w:rsidRDefault="00A4645C" w:rsidP="003C5F0A">
            <w:pPr>
              <w:autoSpaceDE w:val="0"/>
              <w:autoSpaceDN w:val="0"/>
              <w:adjustRightInd w:val="0"/>
              <w:spacing w:before="60" w:after="60"/>
              <w:ind w:right="252"/>
              <w:rPr>
                <w:rFonts w:cs="Arial"/>
                <w:b/>
                <w:lang w:val="en-US"/>
              </w:rPr>
            </w:pPr>
            <w:r w:rsidRPr="003637F7">
              <w:rPr>
                <w:rFonts w:cs="Arial"/>
                <w:b/>
                <w:lang w:val="en-US"/>
              </w:rPr>
              <w:t>128A:</w:t>
            </w:r>
            <w:r>
              <w:rPr>
                <w:rFonts w:cs="Arial"/>
                <w:lang w:val="en-US"/>
              </w:rPr>
              <w:t xml:space="preserve"> </w:t>
            </w:r>
            <w:r w:rsidRPr="002A43CA">
              <w:rPr>
                <w:rFonts w:cs="Arial"/>
                <w:lang w:val="en-US"/>
              </w:rPr>
              <w:t xml:space="preserve">Neuromuscular blocking agents are not available as ward or </w:t>
            </w:r>
            <w:proofErr w:type="spellStart"/>
            <w:r w:rsidRPr="002A43CA">
              <w:rPr>
                <w:rFonts w:cs="Arial"/>
                <w:lang w:val="en-US"/>
              </w:rPr>
              <w:t>imprest</w:t>
            </w:r>
            <w:proofErr w:type="spellEnd"/>
            <w:r w:rsidRPr="002A43CA">
              <w:rPr>
                <w:rFonts w:cs="Arial"/>
                <w:lang w:val="en-US"/>
              </w:rPr>
              <w:t xml:space="preserve"> stock and/or in automated dispensing cabinets (except in operating room/anesthesia stock).</w:t>
            </w:r>
          </w:p>
        </w:tc>
      </w:tr>
      <w:tr w:rsidR="00A4645C" w14:paraId="76D79353" w14:textId="77777777" w:rsidTr="003C5F0A">
        <w:trPr>
          <w:jc w:val="center"/>
        </w:trPr>
        <w:tc>
          <w:tcPr>
            <w:tcW w:w="2518" w:type="dxa"/>
            <w:vMerge/>
            <w:shd w:val="clear" w:color="auto" w:fill="86D3F2" w:themeFill="accent1" w:themeFillTint="66"/>
          </w:tcPr>
          <w:p w14:paraId="49297801" w14:textId="77777777" w:rsidR="00A4645C" w:rsidRPr="002A43CA" w:rsidRDefault="00A4645C" w:rsidP="003C5F0A">
            <w:pPr>
              <w:autoSpaceDE w:val="0"/>
              <w:autoSpaceDN w:val="0"/>
              <w:adjustRightInd w:val="0"/>
              <w:spacing w:before="60" w:after="60"/>
              <w:ind w:right="252"/>
              <w:rPr>
                <w:rFonts w:cs="Arial"/>
                <w:b/>
                <w:lang w:val="en-US"/>
              </w:rPr>
            </w:pPr>
          </w:p>
        </w:tc>
        <w:tc>
          <w:tcPr>
            <w:tcW w:w="6521" w:type="dxa"/>
          </w:tcPr>
          <w:p w14:paraId="56EDAB75" w14:textId="77777777" w:rsidR="00A4645C" w:rsidRPr="002A43CA" w:rsidRDefault="00A4645C" w:rsidP="003C5F0A">
            <w:pPr>
              <w:autoSpaceDE w:val="0"/>
              <w:autoSpaceDN w:val="0"/>
              <w:adjustRightInd w:val="0"/>
              <w:spacing w:before="60" w:after="60"/>
              <w:ind w:right="252"/>
              <w:rPr>
                <w:rFonts w:cs="Arial"/>
                <w:lang w:val="en-US"/>
              </w:rPr>
            </w:pPr>
            <w:r w:rsidRPr="003637F7">
              <w:rPr>
                <w:rFonts w:cs="Arial"/>
                <w:b/>
                <w:lang w:val="en-US"/>
              </w:rPr>
              <w:t>128B:</w:t>
            </w:r>
            <w:r>
              <w:rPr>
                <w:rFonts w:cs="Arial"/>
                <w:lang w:val="en-US"/>
              </w:rPr>
              <w:t xml:space="preserve"> </w:t>
            </w:r>
            <w:r w:rsidRPr="002A43CA">
              <w:rPr>
                <w:rFonts w:cs="Arial"/>
                <w:lang w:val="en-US"/>
              </w:rPr>
              <w:t xml:space="preserve">If available in critical care units and/or the ED, neuromuscular blocking agents are sequestered from other ward or </w:t>
            </w:r>
            <w:proofErr w:type="spellStart"/>
            <w:r w:rsidRPr="002A43CA">
              <w:rPr>
                <w:rFonts w:cs="Arial"/>
                <w:lang w:val="en-US"/>
              </w:rPr>
              <w:t>imprest</w:t>
            </w:r>
            <w:proofErr w:type="spellEnd"/>
            <w:r w:rsidRPr="002A43CA">
              <w:rPr>
                <w:rFonts w:cs="Arial"/>
                <w:lang w:val="en-US"/>
              </w:rPr>
              <w:t xml:space="preserve"> stock medications (including those stocked in automated dispensing cabinets) and labelled with auxiliary warnings to clearly identify the drugs as respiratory </w:t>
            </w:r>
            <w:proofErr w:type="spellStart"/>
            <w:r w:rsidRPr="002A43CA">
              <w:rPr>
                <w:rFonts w:cs="Arial"/>
                <w:lang w:val="en-US"/>
              </w:rPr>
              <w:t>paralysing</w:t>
            </w:r>
            <w:proofErr w:type="spellEnd"/>
            <w:r w:rsidRPr="002A43CA">
              <w:rPr>
                <w:rFonts w:cs="Arial"/>
                <w:lang w:val="en-US"/>
              </w:rPr>
              <w:t xml:space="preserve"> agents that require mechanical ventilation when used.</w:t>
            </w:r>
          </w:p>
        </w:tc>
      </w:tr>
    </w:tbl>
    <w:p w14:paraId="473BBF9A" w14:textId="77777777" w:rsidR="00A4645C" w:rsidRDefault="00A4645C" w:rsidP="00A4645C">
      <w:pPr>
        <w:spacing w:after="0"/>
        <w:rPr>
          <w:rFonts w:cs="Arial"/>
        </w:rPr>
      </w:pPr>
    </w:p>
    <w:p w14:paraId="5A3258E0" w14:textId="77777777" w:rsidR="00C404E5" w:rsidRPr="00C404E5" w:rsidRDefault="00C404E5" w:rsidP="00C404E5"/>
    <w:bookmarkEnd w:id="12"/>
    <w:bookmarkEnd w:id="13"/>
    <w:bookmarkEnd w:id="14"/>
    <w:p w14:paraId="588872B9" w14:textId="77777777" w:rsidR="00255596" w:rsidRPr="00B12465" w:rsidRDefault="00255596" w:rsidP="00B12465">
      <w:pPr>
        <w:pStyle w:val="TOCHeading"/>
      </w:pPr>
    </w:p>
    <w:p w14:paraId="05A60BE3" w14:textId="77777777" w:rsidR="00CA4B2C" w:rsidRDefault="00CA4B2C">
      <w:pPr>
        <w:spacing w:after="80"/>
      </w:pPr>
      <w:r>
        <w:br w:type="page"/>
      </w:r>
    </w:p>
    <w:p w14:paraId="4E22AD6D" w14:textId="77777777" w:rsidR="006800B6" w:rsidRDefault="006800B6" w:rsidP="006800B6"/>
    <w:p w14:paraId="2363FDA6" w14:textId="77777777" w:rsidR="00A4645C" w:rsidRDefault="00A4645C">
      <w:pPr>
        <w:spacing w:after="80"/>
        <w:rPr>
          <w:noProof/>
        </w:rPr>
      </w:pPr>
    </w:p>
    <w:p w14:paraId="4E0694FB" w14:textId="77777777" w:rsidR="00A4645C" w:rsidRDefault="00A4645C" w:rsidP="006800B6"/>
    <w:p w14:paraId="6D8E4C8E" w14:textId="77777777" w:rsidR="006800B6" w:rsidRDefault="006800B6" w:rsidP="006800B6">
      <w:pPr>
        <w:rPr>
          <w:noProof/>
        </w:rPr>
      </w:pPr>
      <w:r>
        <w:rPr>
          <w:noProof/>
        </w:rPr>
        <mc:AlternateContent>
          <mc:Choice Requires="wps">
            <w:drawing>
              <wp:anchor distT="0" distB="0" distL="114300" distR="114300" simplePos="0" relativeHeight="251665408" behindDoc="0" locked="0" layoutInCell="1" allowOverlap="1" wp14:anchorId="0EEE29AB" wp14:editId="61C14FF9">
                <wp:simplePos x="0" y="0"/>
                <wp:positionH relativeFrom="column">
                  <wp:posOffset>-34290</wp:posOffset>
                </wp:positionH>
                <wp:positionV relativeFrom="paragraph">
                  <wp:posOffset>6748145</wp:posOffset>
                </wp:positionV>
                <wp:extent cx="4808220" cy="144526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45260"/>
                        </a:xfrm>
                        <a:prstGeom prst="rect">
                          <a:avLst/>
                        </a:prstGeom>
                        <a:noFill/>
                        <a:ln w="9525">
                          <a:noFill/>
                          <a:miter lim="800000"/>
                          <a:headEnd/>
                          <a:tailEnd/>
                        </a:ln>
                      </wps:spPr>
                      <wps:txbx>
                        <w:txbxContent>
                          <w:p w14:paraId="6F0DE158" w14:textId="77777777" w:rsidR="003C5F0A" w:rsidRDefault="003C5F0A" w:rsidP="006800B6">
                            <w:r>
                              <w:t>Level 5, 255 Elizabeth Street, Sydney NSW 2000</w:t>
                            </w:r>
                            <w:r>
                              <w:br/>
                              <w:t>GPO Box 5480, Sydney NSW 2001</w:t>
                            </w:r>
                          </w:p>
                          <w:p w14:paraId="028AE8C1" w14:textId="77777777" w:rsidR="003C5F0A" w:rsidRDefault="003C5F0A" w:rsidP="006800B6">
                            <w:r>
                              <w:t xml:space="preserve">Phone: (02) 9126 3600 </w:t>
                            </w:r>
                            <w:r>
                              <w:br/>
                              <w:t>Fax: (02) 9126 3613</w:t>
                            </w:r>
                          </w:p>
                          <w:p w14:paraId="260FEA4A" w14:textId="77777777" w:rsidR="003C5F0A" w:rsidRDefault="003C5F0A" w:rsidP="006800B6">
                            <w:r>
                              <w:t xml:space="preserve">Email: </w:t>
                            </w:r>
                            <w:r w:rsidR="00830AE6">
                              <w:t>accreditation</w:t>
                            </w:r>
                            <w:r>
                              <w:t xml:space="preserve">@safetyandquality.gov.au </w:t>
                            </w:r>
                            <w: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531.35pt;width:378.6pt;height:113.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" filled="f" stroked="f">
                <v:textbox style="mso-fit-shape-to-text:t" inset="0">
                  <w:txbxContent>
                    <w:p w14:paraId="6F0DE158" w14:textId="77777777" w:rsidR="003C5F0A" w:rsidRDefault="003C5F0A" w:rsidP="006800B6">
                      <w:r>
                        <w:t>Level 5, 255 Elizabeth Street, Sydney NSW 2000</w:t>
                      </w:r>
                      <w:r>
                        <w:br/>
                        <w:t>GPO Box 5480, Sydney NSW 2001</w:t>
                      </w:r>
                    </w:p>
                    <w:p w14:paraId="028AE8C1" w14:textId="77777777" w:rsidR="003C5F0A" w:rsidRDefault="003C5F0A" w:rsidP="006800B6">
                      <w:r>
                        <w:t xml:space="preserve">Phone: (02) 9126 3600 </w:t>
                      </w:r>
                      <w:r>
                        <w:br/>
                        <w:t>Fax: (02) 9126 3613</w:t>
                      </w:r>
                    </w:p>
                    <w:p w14:paraId="260FEA4A" w14:textId="77777777" w:rsidR="003C5F0A" w:rsidRDefault="003C5F0A" w:rsidP="006800B6">
                      <w:r>
                        <w:t xml:space="preserve">Email: </w:t>
                      </w:r>
                      <w:r w:rsidR="00830AE6">
                        <w:t>accreditation</w:t>
                      </w:r>
                      <w:r>
                        <w:t xml:space="preserve">@safetyandquality.gov.au </w:t>
                      </w:r>
                      <w:r>
                        <w:br/>
                        <w:t>Website: www.safetyandquality.gov.au</w:t>
                      </w:r>
                    </w:p>
                  </w:txbxContent>
                </v:textbox>
              </v:shape>
            </w:pict>
          </mc:Fallback>
        </mc:AlternateContent>
      </w:r>
      <w:r>
        <w:rPr>
          <w:rFonts w:eastAsiaTheme="majorEastAsia"/>
          <w:noProof/>
        </w:rPr>
        <w:drawing>
          <wp:anchor distT="0" distB="0" distL="114300" distR="114300" simplePos="0" relativeHeight="251666432" behindDoc="0" locked="0" layoutInCell="1" allowOverlap="1" wp14:anchorId="5025EEE7" wp14:editId="5A4AFFE3">
            <wp:simplePos x="0" y="0"/>
            <wp:positionH relativeFrom="column">
              <wp:posOffset>-77404</wp:posOffset>
            </wp:positionH>
            <wp:positionV relativeFrom="paragraph">
              <wp:posOffset>6138545</wp:posOffset>
            </wp:positionV>
            <wp:extent cx="4335780" cy="611505"/>
            <wp:effectExtent l="0" t="0" r="7620" b="0"/>
            <wp:wrapNone/>
            <wp:docPr id="5"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sectPr w:rsidR="006800B6" w:rsidSect="00096414">
      <w:footerReference w:type="default" r:id="rId2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F271" w14:textId="77777777" w:rsidR="00B760E6" w:rsidRDefault="00B760E6" w:rsidP="000B0274">
      <w:r>
        <w:separator/>
      </w:r>
    </w:p>
  </w:endnote>
  <w:endnote w:type="continuationSeparator" w:id="0">
    <w:p w14:paraId="58A2D932" w14:textId="77777777" w:rsidR="00B760E6" w:rsidRDefault="00B760E6"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2099D" w14:textId="77777777" w:rsidR="007A17F7" w:rsidRDefault="007A17F7">
    <w:pPr>
      <w:pStyle w:val="Footer"/>
    </w:pPr>
    <w:r>
      <w:fldChar w:fldCharType="begin"/>
    </w:r>
    <w:r>
      <w:instrText xml:space="preserve"> PAGE  \* Arabic  \* MERGEFORMAT </w:instrText>
    </w:r>
    <w:r>
      <w:fldChar w:fldCharType="separate"/>
    </w:r>
    <w:r w:rsidR="00AE35B1">
      <w:rPr>
        <w:noProof/>
      </w:rPr>
      <w:t>12</w:t>
    </w:r>
    <w:r>
      <w:fldChar w:fldCharType="end"/>
    </w:r>
    <w:r>
      <w:tab/>
      <w:t xml:space="preserve">                                                                         National Tall Man Lettering List: Issues register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9E99" w14:textId="77777777" w:rsidR="003C5F0A" w:rsidRPr="00F57148" w:rsidRDefault="007A17F7" w:rsidP="00096414">
    <w:pPr>
      <w:pStyle w:val="Footer"/>
      <w:jc w:val="right"/>
    </w:pPr>
    <w:r>
      <w:t>National Tall Man Lettering List: Issues register report</w:t>
    </w:r>
    <w:r>
      <w:tab/>
    </w:r>
    <w:r w:rsidR="003C5F0A" w:rsidRPr="00F57148">
      <w:fldChar w:fldCharType="begin"/>
    </w:r>
    <w:r w:rsidR="003C5F0A" w:rsidRPr="00F57148">
      <w:instrText xml:space="preserve"> PAGE   \* MERGEFORMAT </w:instrText>
    </w:r>
    <w:r w:rsidR="003C5F0A" w:rsidRPr="00F57148">
      <w:fldChar w:fldCharType="separate"/>
    </w:r>
    <w:r w:rsidR="00AE35B1">
      <w:rPr>
        <w:noProof/>
      </w:rPr>
      <w:t>7</w:t>
    </w:r>
    <w:r w:rsidR="003C5F0A" w:rsidRPr="00F5714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1595D" w14:textId="77777777" w:rsidR="00062600" w:rsidRPr="00F57148" w:rsidRDefault="00062600" w:rsidP="00062600">
    <w:pPr>
      <w:pStyle w:val="Footer"/>
    </w:pPr>
    <w:r>
      <w:tab/>
    </w:r>
    <w:r>
      <w:tab/>
    </w:r>
    <w:r>
      <w:tab/>
    </w:r>
    <w:r>
      <w:tab/>
    </w:r>
    <w:r>
      <w:tab/>
    </w:r>
    <w:r>
      <w:tab/>
    </w:r>
    <w:r>
      <w:tab/>
    </w:r>
    <w:r>
      <w:tab/>
    </w:r>
  </w:p>
  <w:p w14:paraId="647E1FAC" w14:textId="77777777" w:rsidR="003C5F0A" w:rsidRPr="00F57148" w:rsidRDefault="003C5F0A" w:rsidP="00CE0880">
    <w:pPr>
      <w:pStyle w:val="Footer"/>
      <w:jc w:val="right"/>
    </w:pPr>
    <w:r>
      <w:tab/>
    </w:r>
    <w:r>
      <w:tab/>
    </w:r>
  </w:p>
  <w:p w14:paraId="5591EFFC" w14:textId="77777777" w:rsidR="003C5F0A" w:rsidRDefault="003C5F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D3790" w14:textId="77777777" w:rsidR="003C5F0A" w:rsidRPr="00F57148" w:rsidRDefault="003C5F0A" w:rsidP="009B053D">
    <w:pPr>
      <w:pStyle w:val="Footer"/>
      <w:jc w:val="right"/>
    </w:pPr>
    <w:r>
      <w:t>National Tall Man Lettering List: Issues register report</w:t>
    </w:r>
    <w:r>
      <w:tab/>
    </w:r>
    <w:r>
      <w:tab/>
    </w:r>
    <w:r w:rsidRPr="00F57148">
      <w:fldChar w:fldCharType="begin"/>
    </w:r>
    <w:r w:rsidRPr="00F57148">
      <w:instrText xml:space="preserve"> PAGE   \* MERGEFORMAT </w:instrText>
    </w:r>
    <w:r w:rsidRPr="00F57148">
      <w:fldChar w:fldCharType="separate"/>
    </w:r>
    <w:r w:rsidR="00AE35B1">
      <w:rPr>
        <w:noProof/>
      </w:rPr>
      <w:t>11</w:t>
    </w:r>
    <w:r w:rsidRPr="00F57148">
      <w:rPr>
        <w:noProof/>
      </w:rPr>
      <w:fldChar w:fldCharType="end"/>
    </w:r>
  </w:p>
  <w:p w14:paraId="6A69767D" w14:textId="77777777" w:rsidR="003C5F0A" w:rsidRDefault="003C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49E0B" w14:textId="77777777" w:rsidR="00B760E6" w:rsidRDefault="00B760E6" w:rsidP="000B0274">
      <w:r>
        <w:separator/>
      </w:r>
    </w:p>
  </w:footnote>
  <w:footnote w:type="continuationSeparator" w:id="0">
    <w:p w14:paraId="594EB712" w14:textId="77777777" w:rsidR="00B760E6" w:rsidRDefault="00B760E6" w:rsidP="000B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4622" w14:textId="77777777" w:rsidR="006E4E83" w:rsidRDefault="00DD30DD">
    <w:pPr>
      <w:pStyle w:val="Header"/>
    </w:pPr>
    <w:r>
      <w:rPr>
        <w:noProof/>
      </w:rPr>
      <w:drawing>
        <wp:anchor distT="0" distB="0" distL="114300" distR="114300" simplePos="0" relativeHeight="251658240" behindDoc="1" locked="0" layoutInCell="1" allowOverlap="1" wp14:anchorId="0E978588" wp14:editId="65EA7816">
          <wp:simplePos x="0" y="0"/>
          <wp:positionH relativeFrom="margin">
            <wp:posOffset>-887730</wp:posOffset>
          </wp:positionH>
          <wp:positionV relativeFrom="margin">
            <wp:posOffset>-639445</wp:posOffset>
          </wp:positionV>
          <wp:extent cx="7560000" cy="10693333"/>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Q7473_National_Tall_Man_Lettering_List_v3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4F97" w14:textId="3A81E26E" w:rsidR="00443BBC" w:rsidRDefault="00443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4C484F"/>
    <w:multiLevelType w:val="multilevel"/>
    <w:tmpl w:val="EABE25FA"/>
    <w:numStyleLink w:val="Listbullets"/>
  </w:abstractNum>
  <w:abstractNum w:abstractNumId="18">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24824CDC"/>
    <w:multiLevelType w:val="hybridMultilevel"/>
    <w:tmpl w:val="9F8E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C5C22D6"/>
    <w:multiLevelType w:val="hybridMultilevel"/>
    <w:tmpl w:val="6E5057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EEC7AFE"/>
    <w:multiLevelType w:val="hybridMultilevel"/>
    <w:tmpl w:val="E76008B0"/>
    <w:lvl w:ilvl="0" w:tplc="700E3D3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3D614E"/>
    <w:multiLevelType w:val="hybridMultilevel"/>
    <w:tmpl w:val="85B0548C"/>
    <w:lvl w:ilvl="0" w:tplc="700E3D3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4334AFF"/>
    <w:multiLevelType w:val="hybridMultilevel"/>
    <w:tmpl w:val="A9349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B794773"/>
    <w:multiLevelType w:val="multilevel"/>
    <w:tmpl w:val="0C09001D"/>
    <w:numStyleLink w:val="Bullet"/>
  </w:abstractNum>
  <w:abstractNum w:abstractNumId="28">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num w:numId="1">
    <w:abstractNumId w:val="16"/>
  </w:num>
  <w:num w:numId="2">
    <w:abstractNumId w:val="24"/>
  </w:num>
  <w:num w:numId="3">
    <w:abstractNumId w:val="11"/>
  </w:num>
  <w:num w:numId="4">
    <w:abstractNumId w:val="10"/>
  </w:num>
  <w:num w:numId="5">
    <w:abstractNumId w:val="17"/>
  </w:num>
  <w:num w:numId="6">
    <w:abstractNumId w:val="14"/>
  </w:num>
  <w:num w:numId="7">
    <w:abstractNumId w:val="12"/>
  </w:num>
  <w:num w:numId="8">
    <w:abstractNumId w:val="18"/>
  </w:num>
  <w:num w:numId="9">
    <w:abstractNumId w:val="21"/>
  </w:num>
  <w:num w:numId="10">
    <w:abstractNumId w:val="10"/>
  </w:num>
  <w:num w:numId="11">
    <w:abstractNumId w:val="28"/>
  </w:num>
  <w:num w:numId="12">
    <w:abstractNumId w:val="20"/>
  </w:num>
  <w:num w:numId="13">
    <w:abstractNumId w:val="2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25"/>
  </w:num>
  <w:num w:numId="27">
    <w:abstractNumId w:val="19"/>
  </w:num>
  <w:num w:numId="28">
    <w:abstractNumId w:val="23"/>
  </w:num>
  <w:num w:numId="29">
    <w:abstractNumId w:val="22"/>
  </w:num>
  <w:num w:numId="30">
    <w:abstractNumId w:val="26"/>
  </w:num>
  <w:num w:numId="31">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3743"/>
    <w:rsid w:val="00020DBD"/>
    <w:rsid w:val="00032918"/>
    <w:rsid w:val="000406F8"/>
    <w:rsid w:val="00043671"/>
    <w:rsid w:val="000506EF"/>
    <w:rsid w:val="00062600"/>
    <w:rsid w:val="00063697"/>
    <w:rsid w:val="00067456"/>
    <w:rsid w:val="00092E02"/>
    <w:rsid w:val="00096414"/>
    <w:rsid w:val="000A3F0D"/>
    <w:rsid w:val="000B0274"/>
    <w:rsid w:val="000B6A94"/>
    <w:rsid w:val="000C1DD4"/>
    <w:rsid w:val="000D017D"/>
    <w:rsid w:val="000E2F2E"/>
    <w:rsid w:val="00107242"/>
    <w:rsid w:val="001116C6"/>
    <w:rsid w:val="00163B1E"/>
    <w:rsid w:val="00174831"/>
    <w:rsid w:val="001921ED"/>
    <w:rsid w:val="00196AC8"/>
    <w:rsid w:val="001B3443"/>
    <w:rsid w:val="001C0F7E"/>
    <w:rsid w:val="001E1042"/>
    <w:rsid w:val="001E77C4"/>
    <w:rsid w:val="00237ADF"/>
    <w:rsid w:val="00245D81"/>
    <w:rsid w:val="00255596"/>
    <w:rsid w:val="00261F43"/>
    <w:rsid w:val="002662B4"/>
    <w:rsid w:val="00267635"/>
    <w:rsid w:val="00281FD4"/>
    <w:rsid w:val="002C6AF0"/>
    <w:rsid w:val="002E29B5"/>
    <w:rsid w:val="002E6A48"/>
    <w:rsid w:val="002F3AE3"/>
    <w:rsid w:val="002F7E6F"/>
    <w:rsid w:val="0030786C"/>
    <w:rsid w:val="00312A62"/>
    <w:rsid w:val="00316683"/>
    <w:rsid w:val="003873C6"/>
    <w:rsid w:val="003A7211"/>
    <w:rsid w:val="003C297A"/>
    <w:rsid w:val="003C5F0A"/>
    <w:rsid w:val="003D17F9"/>
    <w:rsid w:val="003D437B"/>
    <w:rsid w:val="003D74CB"/>
    <w:rsid w:val="003E76C8"/>
    <w:rsid w:val="00412E9D"/>
    <w:rsid w:val="00443BBC"/>
    <w:rsid w:val="0044474D"/>
    <w:rsid w:val="00447D31"/>
    <w:rsid w:val="00470AB8"/>
    <w:rsid w:val="004867E2"/>
    <w:rsid w:val="00486826"/>
    <w:rsid w:val="004A0670"/>
    <w:rsid w:val="004B2999"/>
    <w:rsid w:val="004D5360"/>
    <w:rsid w:val="004E58C1"/>
    <w:rsid w:val="004E792F"/>
    <w:rsid w:val="0052107C"/>
    <w:rsid w:val="005221B7"/>
    <w:rsid w:val="00544A4E"/>
    <w:rsid w:val="00553E33"/>
    <w:rsid w:val="00566B97"/>
    <w:rsid w:val="0059724C"/>
    <w:rsid w:val="005A46DC"/>
    <w:rsid w:val="005C1496"/>
    <w:rsid w:val="005C6AAE"/>
    <w:rsid w:val="005D748F"/>
    <w:rsid w:val="005E2614"/>
    <w:rsid w:val="00607B0B"/>
    <w:rsid w:val="00621C85"/>
    <w:rsid w:val="006317C9"/>
    <w:rsid w:val="006626D3"/>
    <w:rsid w:val="006800B6"/>
    <w:rsid w:val="006803BA"/>
    <w:rsid w:val="006C0893"/>
    <w:rsid w:val="006D732F"/>
    <w:rsid w:val="006E4E83"/>
    <w:rsid w:val="006E688D"/>
    <w:rsid w:val="00702301"/>
    <w:rsid w:val="007028EC"/>
    <w:rsid w:val="0070703E"/>
    <w:rsid w:val="0070779B"/>
    <w:rsid w:val="0071637F"/>
    <w:rsid w:val="00720140"/>
    <w:rsid w:val="00726F3A"/>
    <w:rsid w:val="007360BF"/>
    <w:rsid w:val="007545C7"/>
    <w:rsid w:val="0076005C"/>
    <w:rsid w:val="007635C1"/>
    <w:rsid w:val="00766B42"/>
    <w:rsid w:val="0078070C"/>
    <w:rsid w:val="00784541"/>
    <w:rsid w:val="007968CC"/>
    <w:rsid w:val="00796FB7"/>
    <w:rsid w:val="007A17F7"/>
    <w:rsid w:val="007B04A9"/>
    <w:rsid w:val="007B16AC"/>
    <w:rsid w:val="007D741C"/>
    <w:rsid w:val="007E000D"/>
    <w:rsid w:val="007E3423"/>
    <w:rsid w:val="007F0331"/>
    <w:rsid w:val="008264EB"/>
    <w:rsid w:val="00827924"/>
    <w:rsid w:val="00830756"/>
    <w:rsid w:val="00830AE6"/>
    <w:rsid w:val="00856918"/>
    <w:rsid w:val="008A58F9"/>
    <w:rsid w:val="008E5D6A"/>
    <w:rsid w:val="00905A5C"/>
    <w:rsid w:val="0091137C"/>
    <w:rsid w:val="009155D2"/>
    <w:rsid w:val="009424A5"/>
    <w:rsid w:val="00947934"/>
    <w:rsid w:val="00964277"/>
    <w:rsid w:val="009779AA"/>
    <w:rsid w:val="00977D26"/>
    <w:rsid w:val="009A007B"/>
    <w:rsid w:val="009A263C"/>
    <w:rsid w:val="009B053D"/>
    <w:rsid w:val="009B64E3"/>
    <w:rsid w:val="009E1F38"/>
    <w:rsid w:val="009E6B78"/>
    <w:rsid w:val="009F18EB"/>
    <w:rsid w:val="009F5557"/>
    <w:rsid w:val="00A0554C"/>
    <w:rsid w:val="00A15082"/>
    <w:rsid w:val="00A16EF7"/>
    <w:rsid w:val="00A34B91"/>
    <w:rsid w:val="00A4199A"/>
    <w:rsid w:val="00A4512D"/>
    <w:rsid w:val="00A4645C"/>
    <w:rsid w:val="00A705AF"/>
    <w:rsid w:val="00A74A27"/>
    <w:rsid w:val="00A75B58"/>
    <w:rsid w:val="00A77349"/>
    <w:rsid w:val="00A92E50"/>
    <w:rsid w:val="00A931E2"/>
    <w:rsid w:val="00A93A18"/>
    <w:rsid w:val="00A964DB"/>
    <w:rsid w:val="00AA6DC2"/>
    <w:rsid w:val="00AA7B58"/>
    <w:rsid w:val="00AB40AB"/>
    <w:rsid w:val="00AB6ED9"/>
    <w:rsid w:val="00AD52A0"/>
    <w:rsid w:val="00AE35B1"/>
    <w:rsid w:val="00AF6154"/>
    <w:rsid w:val="00B12465"/>
    <w:rsid w:val="00B20C82"/>
    <w:rsid w:val="00B24DF4"/>
    <w:rsid w:val="00B2665E"/>
    <w:rsid w:val="00B328AF"/>
    <w:rsid w:val="00B32DD1"/>
    <w:rsid w:val="00B3720C"/>
    <w:rsid w:val="00B41409"/>
    <w:rsid w:val="00B42851"/>
    <w:rsid w:val="00B47076"/>
    <w:rsid w:val="00B56B37"/>
    <w:rsid w:val="00B760E6"/>
    <w:rsid w:val="00B95A67"/>
    <w:rsid w:val="00B96917"/>
    <w:rsid w:val="00BA4AEE"/>
    <w:rsid w:val="00BB7690"/>
    <w:rsid w:val="00BC07E4"/>
    <w:rsid w:val="00BC49AC"/>
    <w:rsid w:val="00BF5425"/>
    <w:rsid w:val="00C06314"/>
    <w:rsid w:val="00C23604"/>
    <w:rsid w:val="00C31839"/>
    <w:rsid w:val="00C404E5"/>
    <w:rsid w:val="00C436EE"/>
    <w:rsid w:val="00C51BE7"/>
    <w:rsid w:val="00C5544A"/>
    <w:rsid w:val="00C87488"/>
    <w:rsid w:val="00C911AD"/>
    <w:rsid w:val="00CA4B2C"/>
    <w:rsid w:val="00CB0684"/>
    <w:rsid w:val="00CB5999"/>
    <w:rsid w:val="00CB5B1A"/>
    <w:rsid w:val="00CB733F"/>
    <w:rsid w:val="00CC697B"/>
    <w:rsid w:val="00CD41A5"/>
    <w:rsid w:val="00CE0880"/>
    <w:rsid w:val="00D24922"/>
    <w:rsid w:val="00D42B9A"/>
    <w:rsid w:val="00D469E4"/>
    <w:rsid w:val="00D625A2"/>
    <w:rsid w:val="00D73FE2"/>
    <w:rsid w:val="00D7465B"/>
    <w:rsid w:val="00D90D1D"/>
    <w:rsid w:val="00D96327"/>
    <w:rsid w:val="00DB5911"/>
    <w:rsid w:val="00DC0D24"/>
    <w:rsid w:val="00DD30DD"/>
    <w:rsid w:val="00DE6FD8"/>
    <w:rsid w:val="00DF1354"/>
    <w:rsid w:val="00DF3892"/>
    <w:rsid w:val="00E13C5C"/>
    <w:rsid w:val="00E236C6"/>
    <w:rsid w:val="00E40F95"/>
    <w:rsid w:val="00E4312B"/>
    <w:rsid w:val="00E46D4E"/>
    <w:rsid w:val="00E60EE1"/>
    <w:rsid w:val="00E63F1B"/>
    <w:rsid w:val="00E708F6"/>
    <w:rsid w:val="00E716B4"/>
    <w:rsid w:val="00E74472"/>
    <w:rsid w:val="00E7681E"/>
    <w:rsid w:val="00E86B67"/>
    <w:rsid w:val="00EA5E02"/>
    <w:rsid w:val="00EA5FD0"/>
    <w:rsid w:val="00EE356F"/>
    <w:rsid w:val="00EE397E"/>
    <w:rsid w:val="00EF1C95"/>
    <w:rsid w:val="00EF5C37"/>
    <w:rsid w:val="00F04D9A"/>
    <w:rsid w:val="00F078B7"/>
    <w:rsid w:val="00F238F2"/>
    <w:rsid w:val="00F332B3"/>
    <w:rsid w:val="00F34D63"/>
    <w:rsid w:val="00F35E57"/>
    <w:rsid w:val="00F41C35"/>
    <w:rsid w:val="00F549D7"/>
    <w:rsid w:val="00F556DB"/>
    <w:rsid w:val="00F560D5"/>
    <w:rsid w:val="00F73D95"/>
    <w:rsid w:val="00F95769"/>
    <w:rsid w:val="00FC7F5D"/>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ED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1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59"/>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10"/>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726F3A"/>
    <w:pPr>
      <w:tabs>
        <w:tab w:val="left" w:pos="8902"/>
      </w:tabs>
      <w:spacing w:after="0"/>
      <w:ind w:left="442" w:right="-1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ReportDate">
    <w:name w:val="ReportDate"/>
    <w:basedOn w:val="Normal"/>
    <w:rsid w:val="00DF1354"/>
    <w:pPr>
      <w:spacing w:after="240"/>
      <w:jc w:val="center"/>
    </w:pPr>
    <w:rPr>
      <w:rFonts w:ascii="Arial" w:hAnsi="Arial"/>
      <w:color w:val="000000"/>
      <w:sz w:val="40"/>
      <w:szCs w:val="20"/>
    </w:rPr>
  </w:style>
  <w:style w:type="paragraph" w:styleId="ListParagraph">
    <w:name w:val="List Paragraph"/>
    <w:basedOn w:val="Normal"/>
    <w:uiPriority w:val="34"/>
    <w:qFormat/>
    <w:locked/>
    <w:rsid w:val="00CD41A5"/>
    <w:pPr>
      <w:spacing w:after="240"/>
      <w:ind w:left="720"/>
      <w:contextualSpacing/>
    </w:pPr>
    <w:rPr>
      <w:rFonts w:ascii="Arial" w:hAnsi="Arial"/>
      <w:color w:val="000000"/>
      <w:szCs w:val="20"/>
    </w:rPr>
  </w:style>
  <w:style w:type="paragraph" w:customStyle="1" w:styleId="TableText">
    <w:name w:val="TableText"/>
    <w:basedOn w:val="Normal"/>
    <w:rsid w:val="00CD41A5"/>
    <w:pPr>
      <w:keepNext/>
      <w:spacing w:before="60" w:after="60"/>
    </w:pPr>
    <w:rPr>
      <w:rFonts w:ascii="Arial" w:hAnsi="Arial"/>
      <w:color w:val="000000"/>
      <w:sz w:val="21"/>
      <w:szCs w:val="21"/>
    </w:rPr>
  </w:style>
  <w:style w:type="paragraph" w:customStyle="1" w:styleId="TableHeading">
    <w:name w:val="TableHeading"/>
    <w:basedOn w:val="TableText"/>
    <w:rsid w:val="00CD41A5"/>
    <w:rPr>
      <w:b/>
      <w:bCs/>
    </w:rPr>
  </w:style>
  <w:style w:type="paragraph" w:customStyle="1" w:styleId="TableName">
    <w:name w:val="TableName"/>
    <w:basedOn w:val="TableText"/>
    <w:rsid w:val="00C404E5"/>
    <w:pPr>
      <w:tabs>
        <w:tab w:val="left" w:pos="1080"/>
      </w:tabs>
      <w:spacing w:before="120" w:after="120"/>
      <w:ind w:left="1080" w:hanging="1080"/>
    </w:pPr>
    <w:rPr>
      <w:b/>
      <w:bCs/>
      <w:sz w:val="22"/>
    </w:rPr>
  </w:style>
  <w:style w:type="character" w:styleId="CommentReference">
    <w:name w:val="annotation reference"/>
    <w:basedOn w:val="DefaultParagraphFont"/>
    <w:uiPriority w:val="98"/>
    <w:locked/>
    <w:rsid w:val="00D90D1D"/>
    <w:rPr>
      <w:sz w:val="16"/>
      <w:szCs w:val="16"/>
    </w:rPr>
  </w:style>
  <w:style w:type="paragraph" w:styleId="CommentText">
    <w:name w:val="annotation text"/>
    <w:basedOn w:val="Normal"/>
    <w:link w:val="CommentTextChar"/>
    <w:uiPriority w:val="98"/>
    <w:locked/>
    <w:rsid w:val="00D90D1D"/>
    <w:rPr>
      <w:sz w:val="20"/>
      <w:szCs w:val="20"/>
    </w:rPr>
  </w:style>
  <w:style w:type="character" w:customStyle="1" w:styleId="CommentTextChar">
    <w:name w:val="Comment Text Char"/>
    <w:basedOn w:val="DefaultParagraphFont"/>
    <w:link w:val="CommentText"/>
    <w:uiPriority w:val="98"/>
    <w:rsid w:val="00D90D1D"/>
    <w:rPr>
      <w:sz w:val="20"/>
      <w:szCs w:val="20"/>
    </w:rPr>
  </w:style>
  <w:style w:type="paragraph" w:styleId="CommentSubject">
    <w:name w:val="annotation subject"/>
    <w:basedOn w:val="CommentText"/>
    <w:next w:val="CommentText"/>
    <w:link w:val="CommentSubjectChar"/>
    <w:uiPriority w:val="98"/>
    <w:locked/>
    <w:rsid w:val="00D90D1D"/>
    <w:rPr>
      <w:b/>
      <w:bCs/>
    </w:rPr>
  </w:style>
  <w:style w:type="character" w:customStyle="1" w:styleId="CommentSubjectChar">
    <w:name w:val="Comment Subject Char"/>
    <w:basedOn w:val="CommentTextChar"/>
    <w:link w:val="CommentSubject"/>
    <w:uiPriority w:val="98"/>
    <w:rsid w:val="00D90D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1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59"/>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10"/>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726F3A"/>
    <w:pPr>
      <w:tabs>
        <w:tab w:val="left" w:pos="8902"/>
      </w:tabs>
      <w:spacing w:after="0"/>
      <w:ind w:left="442" w:right="-1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ReportDate">
    <w:name w:val="ReportDate"/>
    <w:basedOn w:val="Normal"/>
    <w:rsid w:val="00DF1354"/>
    <w:pPr>
      <w:spacing w:after="240"/>
      <w:jc w:val="center"/>
    </w:pPr>
    <w:rPr>
      <w:rFonts w:ascii="Arial" w:hAnsi="Arial"/>
      <w:color w:val="000000"/>
      <w:sz w:val="40"/>
      <w:szCs w:val="20"/>
    </w:rPr>
  </w:style>
  <w:style w:type="paragraph" w:styleId="ListParagraph">
    <w:name w:val="List Paragraph"/>
    <w:basedOn w:val="Normal"/>
    <w:uiPriority w:val="34"/>
    <w:qFormat/>
    <w:locked/>
    <w:rsid w:val="00CD41A5"/>
    <w:pPr>
      <w:spacing w:after="240"/>
      <w:ind w:left="720"/>
      <w:contextualSpacing/>
    </w:pPr>
    <w:rPr>
      <w:rFonts w:ascii="Arial" w:hAnsi="Arial"/>
      <w:color w:val="000000"/>
      <w:szCs w:val="20"/>
    </w:rPr>
  </w:style>
  <w:style w:type="paragraph" w:customStyle="1" w:styleId="TableText">
    <w:name w:val="TableText"/>
    <w:basedOn w:val="Normal"/>
    <w:rsid w:val="00CD41A5"/>
    <w:pPr>
      <w:keepNext/>
      <w:spacing w:before="60" w:after="60"/>
    </w:pPr>
    <w:rPr>
      <w:rFonts w:ascii="Arial" w:hAnsi="Arial"/>
      <w:color w:val="000000"/>
      <w:sz w:val="21"/>
      <w:szCs w:val="21"/>
    </w:rPr>
  </w:style>
  <w:style w:type="paragraph" w:customStyle="1" w:styleId="TableHeading">
    <w:name w:val="TableHeading"/>
    <w:basedOn w:val="TableText"/>
    <w:rsid w:val="00CD41A5"/>
    <w:rPr>
      <w:b/>
      <w:bCs/>
    </w:rPr>
  </w:style>
  <w:style w:type="paragraph" w:customStyle="1" w:styleId="TableName">
    <w:name w:val="TableName"/>
    <w:basedOn w:val="TableText"/>
    <w:rsid w:val="00C404E5"/>
    <w:pPr>
      <w:tabs>
        <w:tab w:val="left" w:pos="1080"/>
      </w:tabs>
      <w:spacing w:before="120" w:after="120"/>
      <w:ind w:left="1080" w:hanging="1080"/>
    </w:pPr>
    <w:rPr>
      <w:b/>
      <w:bCs/>
      <w:sz w:val="22"/>
    </w:rPr>
  </w:style>
  <w:style w:type="character" w:styleId="CommentReference">
    <w:name w:val="annotation reference"/>
    <w:basedOn w:val="DefaultParagraphFont"/>
    <w:uiPriority w:val="98"/>
    <w:locked/>
    <w:rsid w:val="00D90D1D"/>
    <w:rPr>
      <w:sz w:val="16"/>
      <w:szCs w:val="16"/>
    </w:rPr>
  </w:style>
  <w:style w:type="paragraph" w:styleId="CommentText">
    <w:name w:val="annotation text"/>
    <w:basedOn w:val="Normal"/>
    <w:link w:val="CommentTextChar"/>
    <w:uiPriority w:val="98"/>
    <w:locked/>
    <w:rsid w:val="00D90D1D"/>
    <w:rPr>
      <w:sz w:val="20"/>
      <w:szCs w:val="20"/>
    </w:rPr>
  </w:style>
  <w:style w:type="character" w:customStyle="1" w:styleId="CommentTextChar">
    <w:name w:val="Comment Text Char"/>
    <w:basedOn w:val="DefaultParagraphFont"/>
    <w:link w:val="CommentText"/>
    <w:uiPriority w:val="98"/>
    <w:rsid w:val="00D90D1D"/>
    <w:rPr>
      <w:sz w:val="20"/>
      <w:szCs w:val="20"/>
    </w:rPr>
  </w:style>
  <w:style w:type="paragraph" w:styleId="CommentSubject">
    <w:name w:val="annotation subject"/>
    <w:basedOn w:val="CommentText"/>
    <w:next w:val="CommentText"/>
    <w:link w:val="CommentSubjectChar"/>
    <w:uiPriority w:val="98"/>
    <w:locked/>
    <w:rsid w:val="00D90D1D"/>
    <w:rPr>
      <w:b/>
      <w:bCs/>
    </w:rPr>
  </w:style>
  <w:style w:type="character" w:customStyle="1" w:styleId="CommentSubjectChar">
    <w:name w:val="Comment Subject Char"/>
    <w:basedOn w:val="CommentTextChar"/>
    <w:link w:val="CommentSubject"/>
    <w:uiPriority w:val="98"/>
    <w:rsid w:val="00D90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5069">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fetyandquality.gov.au/our-work/medication-safety/safer-naming-labelling-and-packaging-of-medicines/national-tall-man-lettering-list/" TargetMode="Externa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tga.gov.au/updating-medicine-ingredient-names" TargetMode="External"/><Relationship Id="rId7" Type="http://schemas.openxmlformats.org/officeDocument/2006/relationships/footnotes" Target="footnotes.xml"/><Relationship Id="rId12" Type="http://schemas.openxmlformats.org/officeDocument/2006/relationships/hyperlink" Target="https://www.safetyandquality.gov.au/our-work/medication-safety/safer-naming-labelling-and-packaging-of-medicines/national-tall-man-lettering-list/" TargetMode="External"/><Relationship Id="rId17" Type="http://schemas.openxmlformats.org/officeDocument/2006/relationships/header" Target="header1.xml"/><Relationship Id="rId25" Type="http://schemas.openxmlformats.org/officeDocument/2006/relationships/hyperlink" Target="http://www.cec.health.nsw.gov.au/patient-safety-programs/medication-safety/mss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tga.gov.au/australian-register-therapeutic-goo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safetyandquality.gov.au" TargetMode="External"/><Relationship Id="rId24" Type="http://schemas.openxmlformats.org/officeDocument/2006/relationships/hyperlink" Target="https://www.safetyandquality.gov.au/our-work/Medication-safety/Electronic-medication-management/National-Guidelines-for-On-Screen-Display-of-Medicines-Informatio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ismp-canada.org/download/TALLman/Principles_for_the_Application_of_TALLman_Lettering_in_Canada.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reativecommons.org/licenses/by-nc-nd/4.0/" TargetMode="External"/><Relationship Id="rId14" Type="http://schemas.openxmlformats.org/officeDocument/2006/relationships/hyperlink" Target="mailto:accreditation@safetyandquality.gov.au" TargetMode="External"/><Relationship Id="rId22" Type="http://schemas.openxmlformats.org/officeDocument/2006/relationships/hyperlink" Target="http://www.tga.gov.au/updating-medicine-ingredient-names-list-affected-ingredients"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51A0-58B8-4F3E-B120-35B1D690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0</TotalTime>
  <Pages>12</Pages>
  <Words>2255</Words>
  <Characters>15383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DOWLING, Helen</cp:lastModifiedBy>
  <cp:revision>2</cp:revision>
  <cp:lastPrinted>2018-01-18T03:55:00Z</cp:lastPrinted>
  <dcterms:created xsi:type="dcterms:W3CDTF">2018-01-18T03:57:00Z</dcterms:created>
  <dcterms:modified xsi:type="dcterms:W3CDTF">2018-01-18T03:57:00Z</dcterms:modified>
</cp:coreProperties>
</file>