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A13B9A"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A13B9A" w:rsidRDefault="00FE76B0" w:rsidP="006C336B">
      <w:pPr>
        <w:autoSpaceDE w:val="0"/>
        <w:autoSpaceDN w:val="0"/>
        <w:adjustRightInd w:val="0"/>
        <w:rPr>
          <w:rFonts w:ascii="Tms Rmn" w:hAnsi="Tms Rmn" w:cs="Tms Rmn"/>
          <w:color w:val="000000"/>
          <w:lang w:val="en-AU"/>
        </w:rPr>
      </w:pPr>
      <w:r w:rsidRPr="00A13B9A">
        <w:rPr>
          <w:noProof/>
          <w:lang w:val="en-AU" w:eastAsia="en-AU"/>
        </w:rPr>
        <w:drawing>
          <wp:anchor distT="0" distB="0" distL="114300" distR="114300" simplePos="0" relativeHeight="251658240" behindDoc="0" locked="0" layoutInCell="1" allowOverlap="1" wp14:anchorId="4D74B7DE" wp14:editId="11BEAAA6">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A13B9A">
        <w:rPr>
          <w:noProof/>
          <w:lang w:val="en-AU" w:eastAsia="en-AU"/>
        </w:rPr>
        <w:drawing>
          <wp:anchor distT="0" distB="0" distL="114300" distR="114300" simplePos="0" relativeHeight="251657216" behindDoc="0" locked="0" layoutInCell="1" allowOverlap="1" wp14:anchorId="5AA56477" wp14:editId="160C11FC">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A13B9A" w:rsidRDefault="00B160EF" w:rsidP="00B160EF">
      <w:pPr>
        <w:pStyle w:val="Heading1"/>
        <w:ind w:left="720" w:hanging="720"/>
        <w:rPr>
          <w:rFonts w:ascii="Bookman Old Style" w:hAnsi="Bookman Old Style"/>
          <w:sz w:val="48"/>
          <w:szCs w:val="48"/>
          <w:lang w:val="en-AU"/>
        </w:rPr>
      </w:pPr>
      <w:r w:rsidRPr="00A13B9A">
        <w:rPr>
          <w:rFonts w:ascii="Bookman Old Style" w:hAnsi="Bookman Old Style"/>
          <w:sz w:val="48"/>
          <w:szCs w:val="48"/>
          <w:lang w:val="en-AU"/>
        </w:rPr>
        <w:t>On the Radar</w:t>
      </w:r>
    </w:p>
    <w:p w:rsidR="00B160EF" w:rsidRPr="00A13B9A" w:rsidRDefault="00715F47" w:rsidP="00B160EF">
      <w:pPr>
        <w:rPr>
          <w:color w:val="000000"/>
          <w:lang w:val="en-AU"/>
        </w:rPr>
      </w:pPr>
      <w:r w:rsidRPr="00A13B9A">
        <w:rPr>
          <w:color w:val="000000"/>
          <w:lang w:val="en-AU"/>
        </w:rPr>
        <w:t xml:space="preserve">Issue </w:t>
      </w:r>
      <w:r w:rsidR="00ED198B" w:rsidRPr="00A13B9A">
        <w:rPr>
          <w:color w:val="000000"/>
          <w:lang w:val="en-AU"/>
        </w:rPr>
        <w:t>1</w:t>
      </w:r>
      <w:r w:rsidR="005D3F16" w:rsidRPr="00A13B9A">
        <w:rPr>
          <w:color w:val="000000"/>
          <w:lang w:val="en-AU"/>
        </w:rPr>
        <w:t>68</w:t>
      </w:r>
    </w:p>
    <w:p w:rsidR="000F7901" w:rsidRPr="00A13B9A" w:rsidRDefault="005D3F16" w:rsidP="00B160EF">
      <w:pPr>
        <w:rPr>
          <w:lang w:val="en-AU"/>
        </w:rPr>
      </w:pPr>
      <w:r w:rsidRPr="00A13B9A">
        <w:rPr>
          <w:lang w:val="en-AU"/>
        </w:rPr>
        <w:t>31</w:t>
      </w:r>
      <w:r w:rsidR="00EC6A58" w:rsidRPr="00A13B9A">
        <w:rPr>
          <w:lang w:val="en-AU"/>
        </w:rPr>
        <w:t xml:space="preserve"> March</w:t>
      </w:r>
      <w:r w:rsidR="000F7901" w:rsidRPr="00A13B9A">
        <w:rPr>
          <w:lang w:val="en-AU"/>
        </w:rPr>
        <w:t xml:space="preserve"> 2014</w:t>
      </w:r>
    </w:p>
    <w:p w:rsidR="00566895" w:rsidRPr="00A13B9A" w:rsidRDefault="00566895" w:rsidP="00B160EF">
      <w:pPr>
        <w:rPr>
          <w:lang w:val="en-AU"/>
        </w:rPr>
      </w:pPr>
    </w:p>
    <w:p w:rsidR="00B160EF" w:rsidRPr="00A13B9A" w:rsidRDefault="00B160EF" w:rsidP="00B160EF">
      <w:pPr>
        <w:rPr>
          <w:lang w:val="en-AU"/>
        </w:rPr>
      </w:pPr>
      <w:r w:rsidRPr="00A13B9A">
        <w:rPr>
          <w:i/>
          <w:lang w:val="en-AU"/>
        </w:rPr>
        <w:t>On the Radar</w:t>
      </w:r>
      <w:r w:rsidRPr="00A13B9A">
        <w:rPr>
          <w:lang w:val="en-AU"/>
        </w:rPr>
        <w:t xml:space="preserve"> is a summary of some of the recent publications in the areas of safety and quality in health care. Inclusion in this document is not an endorsement or recommendation of any publication or provider.</w:t>
      </w:r>
    </w:p>
    <w:p w:rsidR="00B160EF" w:rsidRPr="00A13B9A" w:rsidRDefault="00B160EF" w:rsidP="00B160EF">
      <w:pPr>
        <w:rPr>
          <w:lang w:val="en-AU"/>
        </w:rPr>
      </w:pPr>
    </w:p>
    <w:p w:rsidR="00B160EF" w:rsidRPr="00A13B9A" w:rsidRDefault="00B160EF" w:rsidP="00B160EF">
      <w:pPr>
        <w:rPr>
          <w:b/>
          <w:lang w:val="en-AU"/>
        </w:rPr>
      </w:pPr>
      <w:r w:rsidRPr="00A13B9A">
        <w:rPr>
          <w:lang w:val="en-AU"/>
        </w:rPr>
        <w:t>Access to particular documents may depend on whether they are Open Access or not, and/or your individual or institutional access to subscription sites/services.</w:t>
      </w:r>
      <w:r w:rsidR="00F460A7" w:rsidRPr="00A13B9A">
        <w:rPr>
          <w:lang w:val="en-AU"/>
        </w:rPr>
        <w:t xml:space="preserve"> Material that may require subscription is included as it is considered relevant.</w:t>
      </w:r>
    </w:p>
    <w:p w:rsidR="00B160EF" w:rsidRPr="00A13B9A" w:rsidRDefault="00B160EF" w:rsidP="00B160EF">
      <w:pPr>
        <w:rPr>
          <w:lang w:val="en-AU"/>
        </w:rPr>
      </w:pPr>
    </w:p>
    <w:p w:rsidR="00230D83" w:rsidRPr="00A13B9A" w:rsidRDefault="00B160EF" w:rsidP="0045757F">
      <w:pPr>
        <w:autoSpaceDE w:val="0"/>
        <w:rPr>
          <w:lang w:val="en-AU"/>
        </w:rPr>
      </w:pPr>
      <w:r w:rsidRPr="00A13B9A">
        <w:rPr>
          <w:i/>
          <w:lang w:val="en-AU"/>
        </w:rPr>
        <w:t>On the Radar</w:t>
      </w:r>
      <w:r w:rsidRPr="00A13B9A">
        <w:rPr>
          <w:lang w:val="en-AU"/>
        </w:rPr>
        <w:t xml:space="preserve"> is available </w:t>
      </w:r>
      <w:r w:rsidR="003D1E7A" w:rsidRPr="00A13B9A">
        <w:rPr>
          <w:lang w:val="en-AU"/>
        </w:rPr>
        <w:t xml:space="preserve">online, </w:t>
      </w:r>
      <w:r w:rsidRPr="00A13B9A">
        <w:rPr>
          <w:lang w:val="en-AU"/>
        </w:rPr>
        <w:t xml:space="preserve">via email or as a PDF document from </w:t>
      </w:r>
      <w:hyperlink r:id="rId11" w:history="1">
        <w:r w:rsidR="00230D83" w:rsidRPr="00A13B9A">
          <w:rPr>
            <w:rStyle w:val="Hyperlink"/>
            <w:lang w:val="en-AU"/>
          </w:rPr>
          <w:t>http://www.safetyandquality.gov.au/publications-resources/on-the-radar/</w:t>
        </w:r>
      </w:hyperlink>
    </w:p>
    <w:p w:rsidR="0090536C" w:rsidRPr="00A13B9A" w:rsidRDefault="0090536C" w:rsidP="0045757F">
      <w:pPr>
        <w:autoSpaceDE w:val="0"/>
        <w:rPr>
          <w:lang w:val="en-AU"/>
        </w:rPr>
      </w:pPr>
    </w:p>
    <w:p w:rsidR="00B160EF" w:rsidRPr="00A13B9A" w:rsidRDefault="00B160EF" w:rsidP="0045757F">
      <w:pPr>
        <w:autoSpaceDE w:val="0"/>
        <w:rPr>
          <w:lang w:val="en-AU"/>
        </w:rPr>
      </w:pPr>
      <w:r w:rsidRPr="00A13B9A">
        <w:rPr>
          <w:lang w:val="en-AU"/>
        </w:rPr>
        <w:t xml:space="preserve">If you would like to receive </w:t>
      </w:r>
      <w:r w:rsidRPr="00A13B9A">
        <w:rPr>
          <w:i/>
          <w:lang w:val="en-AU"/>
        </w:rPr>
        <w:t>On the Radar</w:t>
      </w:r>
      <w:r w:rsidRPr="00A13B9A">
        <w:rPr>
          <w:lang w:val="en-AU"/>
        </w:rPr>
        <w:t xml:space="preserve"> via email</w:t>
      </w:r>
      <w:r w:rsidR="003D7B9E" w:rsidRPr="00A13B9A">
        <w:rPr>
          <w:lang w:val="en-AU"/>
        </w:rPr>
        <w:t>, you can</w:t>
      </w:r>
      <w:r w:rsidR="00F24F60" w:rsidRPr="00A13B9A">
        <w:rPr>
          <w:lang w:val="en-AU"/>
        </w:rPr>
        <w:t xml:space="preserve"> subscribe on our website </w:t>
      </w:r>
      <w:hyperlink r:id="rId12" w:history="1">
        <w:r w:rsidR="00F24F60" w:rsidRPr="00A13B9A">
          <w:rPr>
            <w:rStyle w:val="Hyperlink"/>
            <w:lang w:val="en-AU"/>
          </w:rPr>
          <w:t>http://www.safetyandquality.gov.au/</w:t>
        </w:r>
      </w:hyperlink>
      <w:r w:rsidR="003D7B9E" w:rsidRPr="00A13B9A">
        <w:rPr>
          <w:lang w:val="en-AU"/>
        </w:rPr>
        <w:t xml:space="preserve"> or by emailing us at </w:t>
      </w:r>
      <w:r w:rsidR="003D7B9E" w:rsidRPr="00A13B9A">
        <w:rPr>
          <w:rFonts w:ascii="ZWAdobeF" w:hAnsi="ZWAdobeF" w:cs="ZWAdobeF"/>
          <w:sz w:val="2"/>
          <w:szCs w:val="2"/>
          <w:lang w:val="en-AU"/>
        </w:rPr>
        <w:t>H</w:t>
      </w:r>
      <w:hyperlink r:id="rId13" w:history="1">
        <w:r w:rsidR="003D7B9E" w:rsidRPr="00A13B9A">
          <w:rPr>
            <w:rFonts w:ascii="ZWAdobeF" w:hAnsi="ZWAdobeF" w:cs="ZWAdobeF"/>
            <w:sz w:val="2"/>
            <w:szCs w:val="2"/>
            <w:lang w:val="en-AU"/>
          </w:rPr>
          <w:t>U</w:t>
        </w:r>
        <w:r w:rsidR="003D7B9E" w:rsidRPr="00A13B9A">
          <w:rPr>
            <w:rStyle w:val="Hyperlink"/>
            <w:lang w:val="en-AU"/>
          </w:rPr>
          <w:t>mail@safetyandquality.gov.au</w:t>
        </w:r>
        <w:r w:rsidR="003D7B9E" w:rsidRPr="00A13B9A">
          <w:rPr>
            <w:rStyle w:val="Hyperlink"/>
            <w:rFonts w:ascii="ZWAdobeF" w:hAnsi="ZWAdobeF" w:cs="ZWAdobeF"/>
            <w:color w:val="auto"/>
            <w:sz w:val="2"/>
            <w:szCs w:val="2"/>
            <w:u w:val="none"/>
            <w:lang w:val="en-AU"/>
          </w:rPr>
          <w:t>U</w:t>
        </w:r>
      </w:hyperlink>
      <w:r w:rsidR="003D7B9E" w:rsidRPr="00A13B9A">
        <w:rPr>
          <w:lang w:val="en-AU"/>
        </w:rPr>
        <w:t xml:space="preserve">. </w:t>
      </w:r>
      <w:r w:rsidR="00E51D23" w:rsidRPr="00A13B9A">
        <w:rPr>
          <w:lang w:val="en-AU"/>
        </w:rPr>
        <w:br/>
      </w:r>
      <w:r w:rsidR="003D7B9E" w:rsidRPr="00A13B9A">
        <w:rPr>
          <w:lang w:val="en-AU"/>
        </w:rPr>
        <w:t xml:space="preserve">You can also send feedback and comments to </w:t>
      </w:r>
      <w:r w:rsidR="003D7B9E" w:rsidRPr="00A13B9A">
        <w:rPr>
          <w:rFonts w:ascii="ZWAdobeF" w:hAnsi="ZWAdobeF" w:cs="ZWAdobeF"/>
          <w:sz w:val="2"/>
          <w:szCs w:val="2"/>
          <w:lang w:val="en-AU"/>
        </w:rPr>
        <w:t>H</w:t>
      </w:r>
      <w:hyperlink r:id="rId14" w:history="1">
        <w:r w:rsidR="003D7B9E" w:rsidRPr="00A13B9A">
          <w:rPr>
            <w:rFonts w:ascii="ZWAdobeF" w:hAnsi="ZWAdobeF" w:cs="ZWAdobeF"/>
            <w:sz w:val="2"/>
            <w:szCs w:val="2"/>
            <w:lang w:val="en-AU"/>
          </w:rPr>
          <w:t>U</w:t>
        </w:r>
        <w:r w:rsidR="003D7B9E" w:rsidRPr="00A13B9A">
          <w:rPr>
            <w:rStyle w:val="Hyperlink"/>
            <w:lang w:val="en-AU"/>
          </w:rPr>
          <w:t>mail@safetyandquality.gov.au</w:t>
        </w:r>
        <w:r w:rsidR="003D7B9E" w:rsidRPr="00A13B9A">
          <w:rPr>
            <w:rStyle w:val="Hyperlink"/>
            <w:rFonts w:ascii="ZWAdobeF" w:hAnsi="ZWAdobeF" w:cs="ZWAdobeF"/>
            <w:color w:val="auto"/>
            <w:sz w:val="2"/>
            <w:szCs w:val="2"/>
            <w:u w:val="none"/>
            <w:lang w:val="en-AU"/>
          </w:rPr>
          <w:t>U</w:t>
        </w:r>
      </w:hyperlink>
      <w:r w:rsidR="003D7B9E" w:rsidRPr="00A13B9A">
        <w:rPr>
          <w:lang w:val="en-AU"/>
        </w:rPr>
        <w:t>.</w:t>
      </w:r>
    </w:p>
    <w:p w:rsidR="00B160EF" w:rsidRPr="00A13B9A" w:rsidRDefault="00B160EF" w:rsidP="00837FC4">
      <w:pPr>
        <w:tabs>
          <w:tab w:val="left" w:pos="7773"/>
        </w:tabs>
        <w:rPr>
          <w:lang w:val="en-AU"/>
        </w:rPr>
      </w:pPr>
    </w:p>
    <w:p w:rsidR="00837FC4" w:rsidRPr="00A13B9A" w:rsidRDefault="00B160EF" w:rsidP="004554DB">
      <w:pPr>
        <w:autoSpaceDE w:val="0"/>
        <w:rPr>
          <w:lang w:val="en-AU"/>
        </w:rPr>
      </w:pPr>
      <w:bookmarkStart w:id="1" w:name="OLE_LINK1"/>
      <w:r w:rsidRPr="00A13B9A">
        <w:rPr>
          <w:lang w:val="en-AU"/>
        </w:rPr>
        <w:t xml:space="preserve">For information about the Commission and its programs and publications, please visit </w:t>
      </w:r>
      <w:hyperlink r:id="rId15" w:history="1">
        <w:r w:rsidR="00837FC4" w:rsidRPr="00A13B9A">
          <w:rPr>
            <w:rStyle w:val="Hyperlink"/>
            <w:lang w:val="en-AU"/>
          </w:rPr>
          <w:t>http://www.safetyandquality.gov.au</w:t>
        </w:r>
      </w:hyperlink>
    </w:p>
    <w:p w:rsidR="00210235" w:rsidRPr="00A13B9A" w:rsidRDefault="004554DB" w:rsidP="004554DB">
      <w:pPr>
        <w:autoSpaceDE w:val="0"/>
        <w:rPr>
          <w:lang w:val="en-AU"/>
        </w:rPr>
      </w:pPr>
      <w:r w:rsidRPr="00A13B9A">
        <w:rPr>
          <w:lang w:val="en-AU"/>
        </w:rPr>
        <w:t>You can also follow us on Twitter @ACSQHC.</w:t>
      </w:r>
    </w:p>
    <w:p w:rsidR="00DD32E9" w:rsidRPr="00A13B9A" w:rsidRDefault="00DD32E9" w:rsidP="004554DB">
      <w:pPr>
        <w:autoSpaceDE w:val="0"/>
        <w:rPr>
          <w:lang w:val="en-AU"/>
        </w:rPr>
      </w:pPr>
    </w:p>
    <w:p w:rsidR="00210235" w:rsidRPr="00A13B9A" w:rsidRDefault="00210235" w:rsidP="00210235">
      <w:pPr>
        <w:keepNext/>
        <w:pBdr>
          <w:top w:val="single" w:sz="4" w:space="1" w:color="auto"/>
        </w:pBdr>
        <w:rPr>
          <w:b/>
          <w:lang w:val="en-AU"/>
        </w:rPr>
      </w:pPr>
      <w:r w:rsidRPr="00A13B9A">
        <w:rPr>
          <w:b/>
          <w:lang w:val="en-AU"/>
        </w:rPr>
        <w:t>On the Radar</w:t>
      </w:r>
    </w:p>
    <w:p w:rsidR="00340157" w:rsidRPr="00A13B9A" w:rsidRDefault="00340157" w:rsidP="00210235">
      <w:pPr>
        <w:keepNext/>
        <w:pBdr>
          <w:top w:val="single" w:sz="4" w:space="1" w:color="auto"/>
        </w:pBdr>
        <w:rPr>
          <w:bCs/>
          <w:lang w:val="en-AU"/>
        </w:rPr>
      </w:pPr>
      <w:r w:rsidRPr="00A13B9A">
        <w:rPr>
          <w:bCs/>
          <w:lang w:val="en-AU"/>
        </w:rPr>
        <w:t xml:space="preserve">Editor: </w:t>
      </w:r>
      <w:r w:rsidR="00C8085B" w:rsidRPr="00A13B9A">
        <w:rPr>
          <w:bCs/>
          <w:lang w:val="en-AU"/>
        </w:rPr>
        <w:t xml:space="preserve">Dr </w:t>
      </w:r>
      <w:r w:rsidRPr="00A13B9A">
        <w:rPr>
          <w:bCs/>
          <w:lang w:val="en-AU"/>
        </w:rPr>
        <w:t xml:space="preserve">Niall Johnson </w:t>
      </w:r>
      <w:hyperlink r:id="rId16" w:history="1">
        <w:r w:rsidRPr="00A13B9A">
          <w:rPr>
            <w:rStyle w:val="Hyperlink"/>
            <w:bCs/>
            <w:lang w:val="en-AU"/>
          </w:rPr>
          <w:t>niall.johnson@safetyandquality.gov.au</w:t>
        </w:r>
      </w:hyperlink>
    </w:p>
    <w:p w:rsidR="00210235" w:rsidRPr="00A13B9A" w:rsidRDefault="00210235" w:rsidP="00210235">
      <w:pPr>
        <w:keepNext/>
        <w:pBdr>
          <w:top w:val="single" w:sz="4" w:space="1" w:color="auto"/>
        </w:pBdr>
        <w:rPr>
          <w:bCs/>
          <w:lang w:val="en-AU"/>
        </w:rPr>
      </w:pPr>
      <w:r w:rsidRPr="00A13B9A">
        <w:rPr>
          <w:bCs/>
          <w:lang w:val="en-AU"/>
        </w:rPr>
        <w:t xml:space="preserve">Contributors: </w:t>
      </w:r>
      <w:r w:rsidR="0056339A" w:rsidRPr="00A13B9A">
        <w:rPr>
          <w:bCs/>
          <w:lang w:val="en-AU"/>
        </w:rPr>
        <w:t>Niall Johnson</w:t>
      </w:r>
      <w:r w:rsidR="003F4118">
        <w:rPr>
          <w:bCs/>
          <w:lang w:val="en-AU"/>
        </w:rPr>
        <w:t>, Alice Bhasale</w:t>
      </w:r>
    </w:p>
    <w:bookmarkEnd w:id="1"/>
    <w:p w:rsidR="009A35BE" w:rsidRPr="00A13B9A" w:rsidRDefault="009A35BE" w:rsidP="00A60B5B">
      <w:pPr>
        <w:rPr>
          <w:shd w:val="clear" w:color="auto" w:fill="FFFFFF"/>
          <w:lang w:val="en-AU"/>
        </w:rPr>
      </w:pPr>
    </w:p>
    <w:p w:rsidR="00921F29" w:rsidRPr="00A13B9A" w:rsidRDefault="00921F29" w:rsidP="00A60B5B">
      <w:pPr>
        <w:rPr>
          <w:shd w:val="clear" w:color="auto" w:fill="FFFFFF"/>
          <w:lang w:val="en-AU"/>
        </w:rPr>
      </w:pPr>
    </w:p>
    <w:p w:rsidR="008B3D8F" w:rsidRPr="00A13B9A" w:rsidRDefault="008B3D8F" w:rsidP="00396D0A">
      <w:pPr>
        <w:rPr>
          <w:b/>
          <w:lang w:val="en-AU"/>
        </w:rPr>
      </w:pPr>
      <w:r w:rsidRPr="00A13B9A">
        <w:rPr>
          <w:b/>
          <w:lang w:val="en-AU"/>
        </w:rPr>
        <w:t>Books</w:t>
      </w:r>
    </w:p>
    <w:p w:rsidR="008B3D8F" w:rsidRPr="00A13B9A" w:rsidRDefault="008B3D8F" w:rsidP="008B3D8F">
      <w:pPr>
        <w:keepNext/>
        <w:autoSpaceDE w:val="0"/>
        <w:autoSpaceDN w:val="0"/>
        <w:adjustRightInd w:val="0"/>
        <w:rPr>
          <w:lang w:val="en-AU"/>
        </w:rPr>
      </w:pPr>
    </w:p>
    <w:p w:rsidR="00C36243" w:rsidRPr="00A13B9A" w:rsidRDefault="00C36243" w:rsidP="00C36243">
      <w:pPr>
        <w:keepNext/>
        <w:autoSpaceDE w:val="0"/>
        <w:autoSpaceDN w:val="0"/>
        <w:adjustRightInd w:val="0"/>
        <w:rPr>
          <w:i/>
          <w:lang w:val="en-AU"/>
        </w:rPr>
      </w:pPr>
      <w:r w:rsidRPr="00A13B9A">
        <w:rPr>
          <w:i/>
          <w:lang w:val="en-AU"/>
        </w:rPr>
        <w:t>Patient Safety: An essential guide</w:t>
      </w:r>
    </w:p>
    <w:p w:rsidR="00C36243" w:rsidRPr="00A13B9A" w:rsidRDefault="00C36243" w:rsidP="00C36243">
      <w:pPr>
        <w:keepNext/>
        <w:autoSpaceDE w:val="0"/>
        <w:autoSpaceDN w:val="0"/>
        <w:adjustRightInd w:val="0"/>
        <w:rPr>
          <w:lang w:val="en-AU"/>
        </w:rPr>
      </w:pPr>
      <w:proofErr w:type="spellStart"/>
      <w:r w:rsidRPr="00A13B9A">
        <w:rPr>
          <w:lang w:val="en-AU"/>
        </w:rPr>
        <w:t>Gluyas</w:t>
      </w:r>
      <w:proofErr w:type="spellEnd"/>
      <w:r w:rsidRPr="00A13B9A">
        <w:rPr>
          <w:lang w:val="en-AU"/>
        </w:rPr>
        <w:t xml:space="preserve"> H, Morrison P</w:t>
      </w:r>
    </w:p>
    <w:p w:rsidR="00C36243" w:rsidRPr="00A13B9A" w:rsidRDefault="00C36243" w:rsidP="00C36243">
      <w:pPr>
        <w:keepNext/>
        <w:autoSpaceDE w:val="0"/>
        <w:autoSpaceDN w:val="0"/>
        <w:adjustRightInd w:val="0"/>
        <w:rPr>
          <w:lang w:val="en-AU"/>
        </w:rPr>
      </w:pPr>
      <w:r w:rsidRPr="00A13B9A">
        <w:rPr>
          <w:lang w:val="en-AU"/>
        </w:rPr>
        <w:t>London: Palgrave McMillan, 2013.</w:t>
      </w:r>
    </w:p>
    <w:tbl>
      <w:tblPr>
        <w:tblStyle w:val="TableGrid"/>
        <w:tblW w:w="0" w:type="auto"/>
        <w:tblInd w:w="288" w:type="dxa"/>
        <w:tblLayout w:type="fixed"/>
        <w:tblLook w:val="01E0" w:firstRow="1" w:lastRow="1" w:firstColumn="1" w:lastColumn="1" w:noHBand="0" w:noVBand="0"/>
      </w:tblPr>
      <w:tblGrid>
        <w:gridCol w:w="1080"/>
        <w:gridCol w:w="8280"/>
      </w:tblGrid>
      <w:tr w:rsidR="00C36243" w:rsidRPr="00A13B9A" w:rsidTr="00446549">
        <w:tc>
          <w:tcPr>
            <w:tcW w:w="1080" w:type="dxa"/>
            <w:tcBorders>
              <w:top w:val="single" w:sz="4" w:space="0" w:color="auto"/>
              <w:left w:val="single" w:sz="4" w:space="0" w:color="auto"/>
              <w:bottom w:val="single" w:sz="4" w:space="0" w:color="auto"/>
              <w:right w:val="single" w:sz="4" w:space="0" w:color="auto"/>
            </w:tcBorders>
            <w:vAlign w:val="center"/>
          </w:tcPr>
          <w:p w:rsidR="00C36243" w:rsidRPr="00A13B9A" w:rsidRDefault="00C36243" w:rsidP="00446549">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6243" w:rsidRPr="00A13B9A" w:rsidRDefault="001C780E" w:rsidP="001368D7">
            <w:pPr>
              <w:rPr>
                <w:lang w:val="en-AU"/>
              </w:rPr>
            </w:pPr>
            <w:proofErr w:type="spellStart"/>
            <w:r w:rsidRPr="00A13B9A">
              <w:rPr>
                <w:lang w:val="en-AU"/>
              </w:rPr>
              <w:t>Gluyas</w:t>
            </w:r>
            <w:proofErr w:type="spellEnd"/>
            <w:r w:rsidRPr="00A13B9A">
              <w:rPr>
                <w:lang w:val="en-AU"/>
              </w:rPr>
              <w:t xml:space="preserve"> and Morrison (two Australian-based clinicians and educators) have written this book, as they say in their Introduction, to be a practical guide to patient safety for health practitioners. It provides a survey or distillation of the main areas of patient safety and suggests how clinicians may address such issues in their own practices and behaviours</w:t>
            </w:r>
            <w:r w:rsidR="000678E5" w:rsidRPr="00A13B9A">
              <w:rPr>
                <w:lang w:val="en-AU"/>
              </w:rPr>
              <w:t>, often with a human factors approach</w:t>
            </w:r>
            <w:r w:rsidRPr="00A13B9A">
              <w:rPr>
                <w:lang w:val="en-AU"/>
              </w:rPr>
              <w:t>. The book includes chapters on healthcare associated infections, medications errors, teamwork, managing risk, situational awareness and patient engagement</w:t>
            </w:r>
            <w:r w:rsidR="003D3985" w:rsidRPr="00A13B9A">
              <w:rPr>
                <w:lang w:val="en-AU"/>
              </w:rPr>
              <w:t xml:space="preserve"> (the absence of falls and pressure ulcers is noted in the Introduction)</w:t>
            </w:r>
            <w:r w:rsidRPr="00A13B9A">
              <w:rPr>
                <w:lang w:val="en-AU"/>
              </w:rPr>
              <w:t>. It uses scenarios, narratives and exercises, along with more overt guidance, to aid clinicians in thinking about patient safety.</w:t>
            </w:r>
            <w:r w:rsidR="001368D7" w:rsidRPr="00A13B9A">
              <w:rPr>
                <w:lang w:val="en-AU"/>
              </w:rPr>
              <w:t xml:space="preserve"> The practical aspect may have been strengthened if links to more resources, particularly Internet-based and Australian sources and sites, had been provided or identified.</w:t>
            </w:r>
          </w:p>
        </w:tc>
      </w:tr>
      <w:tr w:rsidR="00C36243" w:rsidRPr="00A13B9A" w:rsidTr="00446549">
        <w:tc>
          <w:tcPr>
            <w:tcW w:w="1080" w:type="dxa"/>
            <w:tcBorders>
              <w:top w:val="single" w:sz="4" w:space="0" w:color="auto"/>
              <w:left w:val="single" w:sz="4" w:space="0" w:color="auto"/>
              <w:bottom w:val="single" w:sz="4" w:space="0" w:color="auto"/>
              <w:right w:val="single" w:sz="4" w:space="0" w:color="auto"/>
            </w:tcBorders>
            <w:vAlign w:val="center"/>
          </w:tcPr>
          <w:p w:rsidR="00C36243" w:rsidRPr="00A13B9A" w:rsidRDefault="00C36243" w:rsidP="00446549">
            <w:pPr>
              <w:rPr>
                <w:lang w:val="en-AU"/>
              </w:rPr>
            </w:pPr>
            <w:r w:rsidRPr="00A13B9A">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6243" w:rsidRPr="00A13B9A" w:rsidRDefault="005C0FF9" w:rsidP="00446549">
            <w:pPr>
              <w:rPr>
                <w:lang w:val="en-AU"/>
              </w:rPr>
            </w:pPr>
            <w:hyperlink r:id="rId17" w:history="1">
              <w:r w:rsidR="00C36243" w:rsidRPr="00A13B9A">
                <w:rPr>
                  <w:rStyle w:val="Hyperlink"/>
                  <w:lang w:val="en-AU"/>
                </w:rPr>
                <w:t>http://www.palgravemacmillan.com.au/palgrave/onix/isbn/9780230354968</w:t>
              </w:r>
            </w:hyperlink>
            <w:r w:rsidR="00C36243" w:rsidRPr="00A13B9A">
              <w:rPr>
                <w:lang w:val="en-AU"/>
              </w:rPr>
              <w:t xml:space="preserve"> </w:t>
            </w:r>
          </w:p>
        </w:tc>
      </w:tr>
    </w:tbl>
    <w:p w:rsidR="00EC6A58" w:rsidRPr="00A13B9A" w:rsidRDefault="00EC6A58" w:rsidP="00396D0A">
      <w:pPr>
        <w:rPr>
          <w:b/>
          <w:lang w:val="en-AU"/>
        </w:rPr>
      </w:pPr>
      <w:r w:rsidRPr="00A13B9A">
        <w:rPr>
          <w:b/>
          <w:lang w:val="en-AU"/>
        </w:rPr>
        <w:lastRenderedPageBreak/>
        <w:t>Reports</w:t>
      </w:r>
    </w:p>
    <w:p w:rsidR="00EC6A58" w:rsidRPr="00A13B9A" w:rsidRDefault="00EC6A58" w:rsidP="00396D0A">
      <w:pPr>
        <w:rPr>
          <w:b/>
          <w:lang w:val="en-AU"/>
        </w:rPr>
      </w:pPr>
    </w:p>
    <w:p w:rsidR="00FF7083" w:rsidRPr="00A13B9A" w:rsidRDefault="0084047A" w:rsidP="0084047A">
      <w:pPr>
        <w:keepNext/>
        <w:autoSpaceDE w:val="0"/>
        <w:autoSpaceDN w:val="0"/>
        <w:adjustRightInd w:val="0"/>
        <w:rPr>
          <w:i/>
          <w:lang w:val="en-AU"/>
        </w:rPr>
      </w:pPr>
      <w:r w:rsidRPr="00A13B9A">
        <w:rPr>
          <w:i/>
          <w:lang w:val="en-AU"/>
        </w:rPr>
        <w:t>Safety Is Personal: Partnering with Patients and Families for the Safest Care</w:t>
      </w:r>
    </w:p>
    <w:p w:rsidR="00C521CB" w:rsidRPr="00A13B9A" w:rsidRDefault="00C521CB" w:rsidP="0084047A">
      <w:pPr>
        <w:keepNext/>
        <w:autoSpaceDE w:val="0"/>
        <w:autoSpaceDN w:val="0"/>
        <w:adjustRightInd w:val="0"/>
        <w:rPr>
          <w:lang w:val="en-AU"/>
        </w:rPr>
      </w:pPr>
      <w:r w:rsidRPr="00A13B9A">
        <w:rPr>
          <w:lang w:val="en-AU"/>
        </w:rPr>
        <w:t>National Patient Safety Foundation</w:t>
      </w:r>
    </w:p>
    <w:p w:rsidR="0084047A" w:rsidRPr="00A13B9A" w:rsidRDefault="00C521CB" w:rsidP="0084047A">
      <w:pPr>
        <w:keepNext/>
        <w:autoSpaceDE w:val="0"/>
        <w:autoSpaceDN w:val="0"/>
        <w:adjustRightInd w:val="0"/>
        <w:rPr>
          <w:lang w:val="en-AU"/>
        </w:rPr>
      </w:pPr>
      <w:r w:rsidRPr="00A13B9A">
        <w:rPr>
          <w:lang w:val="en-AU"/>
        </w:rPr>
        <w:t xml:space="preserve">Boston. </w:t>
      </w:r>
      <w:proofErr w:type="gramStart"/>
      <w:r w:rsidRPr="00A13B9A">
        <w:rPr>
          <w:lang w:val="en-AU"/>
        </w:rPr>
        <w:t>National Patient Safety Foundation,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F0A17" w:rsidRPr="00A13B9A"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A13B9A" w:rsidRDefault="009F0A17" w:rsidP="00E73AA8">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354D" w:rsidRPr="00A13B9A" w:rsidRDefault="00C060C5" w:rsidP="00D7354D">
            <w:pPr>
              <w:rPr>
                <w:lang w:val="en-AU"/>
              </w:rPr>
            </w:pPr>
            <w:r w:rsidRPr="00A13B9A">
              <w:rPr>
                <w:lang w:val="en-AU"/>
              </w:rPr>
              <w:t xml:space="preserve">The US National Patient Safety Foundation’s Lucian </w:t>
            </w:r>
            <w:proofErr w:type="spellStart"/>
            <w:r w:rsidRPr="00A13B9A">
              <w:rPr>
                <w:lang w:val="en-AU"/>
              </w:rPr>
              <w:t>Leape</w:t>
            </w:r>
            <w:proofErr w:type="spellEnd"/>
            <w:r w:rsidRPr="00A13B9A">
              <w:rPr>
                <w:lang w:val="en-AU"/>
              </w:rPr>
              <w:t xml:space="preserve"> Institute has published this report </w:t>
            </w:r>
            <w:r w:rsidR="00341E94" w:rsidRPr="00A13B9A">
              <w:rPr>
                <w:lang w:val="en-AU"/>
              </w:rPr>
              <w:t>following</w:t>
            </w:r>
            <w:r w:rsidRPr="00A13B9A">
              <w:rPr>
                <w:lang w:val="en-AU"/>
              </w:rPr>
              <w:t xml:space="preserve"> the Institute's Roundtable on Consumer Engagement in Patient Safety.</w:t>
            </w:r>
            <w:r w:rsidR="00341E94" w:rsidRPr="00A13B9A">
              <w:rPr>
                <w:lang w:val="en-AU"/>
              </w:rPr>
              <w:t xml:space="preserve"> </w:t>
            </w:r>
            <w:r w:rsidRPr="00A13B9A">
              <w:rPr>
                <w:lang w:val="en-AU"/>
              </w:rPr>
              <w:t>Th</w:t>
            </w:r>
            <w:r w:rsidR="00341E94" w:rsidRPr="00A13B9A">
              <w:rPr>
                <w:lang w:val="en-AU"/>
              </w:rPr>
              <w:t>e</w:t>
            </w:r>
            <w:r w:rsidRPr="00A13B9A">
              <w:rPr>
                <w:lang w:val="en-AU"/>
              </w:rPr>
              <w:t xml:space="preserve"> report advocates </w:t>
            </w:r>
            <w:r w:rsidR="00341E94" w:rsidRPr="00A13B9A">
              <w:rPr>
                <w:lang w:val="en-AU"/>
              </w:rPr>
              <w:t xml:space="preserve">that </w:t>
            </w:r>
            <w:r w:rsidRPr="00A13B9A">
              <w:rPr>
                <w:lang w:val="en-AU"/>
              </w:rPr>
              <w:t>patients and families be active partners at all levels—in their own care, as well as in health care design and delivery and in policy development and research efforts.</w:t>
            </w:r>
            <w:r w:rsidR="00341E94" w:rsidRPr="00A13B9A">
              <w:rPr>
                <w:lang w:val="en-AU"/>
              </w:rPr>
              <w:t xml:space="preserve"> </w:t>
            </w:r>
            <w:r w:rsidRPr="00A13B9A">
              <w:rPr>
                <w:lang w:val="en-AU"/>
              </w:rPr>
              <w:t xml:space="preserve">The report </w:t>
            </w:r>
            <w:r w:rsidR="00341E94" w:rsidRPr="00A13B9A">
              <w:rPr>
                <w:lang w:val="en-AU"/>
              </w:rPr>
              <w:t xml:space="preserve">has various </w:t>
            </w:r>
            <w:r w:rsidRPr="00A13B9A">
              <w:rPr>
                <w:lang w:val="en-AU"/>
              </w:rPr>
              <w:t>recommendations, including:</w:t>
            </w:r>
          </w:p>
          <w:p w:rsidR="00C060C5" w:rsidRPr="00A13B9A" w:rsidRDefault="00C060C5" w:rsidP="00C060C5">
            <w:pPr>
              <w:rPr>
                <w:lang w:val="en-AU"/>
              </w:rPr>
            </w:pPr>
            <w:r w:rsidRPr="00A13B9A">
              <w:rPr>
                <w:lang w:val="en-AU"/>
              </w:rPr>
              <w:t>“Leaders of health care systems</w:t>
            </w:r>
          </w:p>
          <w:p w:rsidR="00C060C5" w:rsidRPr="00A13B9A" w:rsidRDefault="00C060C5" w:rsidP="00C060C5">
            <w:pPr>
              <w:pStyle w:val="ListParagraph"/>
              <w:numPr>
                <w:ilvl w:val="0"/>
                <w:numId w:val="36"/>
              </w:numPr>
              <w:rPr>
                <w:lang w:val="en-AU"/>
              </w:rPr>
            </w:pPr>
            <w:r w:rsidRPr="00A13B9A">
              <w:rPr>
                <w:lang w:val="en-AU"/>
              </w:rPr>
              <w:t>Establish patient and family engagement as a core value for the organization</w:t>
            </w:r>
          </w:p>
          <w:p w:rsidR="00C060C5" w:rsidRPr="00A13B9A" w:rsidRDefault="00C060C5" w:rsidP="00C060C5">
            <w:pPr>
              <w:pStyle w:val="ListParagraph"/>
              <w:numPr>
                <w:ilvl w:val="0"/>
                <w:numId w:val="36"/>
              </w:numPr>
              <w:rPr>
                <w:lang w:val="en-AU"/>
              </w:rPr>
            </w:pPr>
            <w:r w:rsidRPr="00A13B9A">
              <w:rPr>
                <w:lang w:val="en-AU"/>
              </w:rPr>
              <w:t>Involve patients and families as equal partners in the design and improvement of care across the organization and/or practice</w:t>
            </w:r>
          </w:p>
          <w:p w:rsidR="00C060C5" w:rsidRPr="00A13B9A" w:rsidRDefault="00C060C5" w:rsidP="00C060C5">
            <w:pPr>
              <w:pStyle w:val="ListParagraph"/>
              <w:numPr>
                <w:ilvl w:val="0"/>
                <w:numId w:val="36"/>
              </w:numPr>
              <w:rPr>
                <w:lang w:val="en-AU"/>
              </w:rPr>
            </w:pPr>
            <w:r w:rsidRPr="00A13B9A">
              <w:rPr>
                <w:lang w:val="en-AU"/>
              </w:rPr>
              <w:t>Educate and train all clinicians and staff to be effective partners with patients and families</w:t>
            </w:r>
          </w:p>
          <w:p w:rsidR="00C060C5" w:rsidRPr="00A13B9A" w:rsidRDefault="00C060C5" w:rsidP="00C060C5">
            <w:pPr>
              <w:pStyle w:val="ListParagraph"/>
              <w:numPr>
                <w:ilvl w:val="0"/>
                <w:numId w:val="36"/>
              </w:numPr>
              <w:rPr>
                <w:lang w:val="en-AU"/>
              </w:rPr>
            </w:pPr>
            <w:r w:rsidRPr="00A13B9A">
              <w:rPr>
                <w:lang w:val="en-AU"/>
              </w:rPr>
              <w:t>Partner with patient advocacy groups and other community resources to increase public awareness and engagement.</w:t>
            </w:r>
          </w:p>
          <w:p w:rsidR="00C060C5" w:rsidRPr="00A13B9A" w:rsidRDefault="00C060C5" w:rsidP="00C060C5">
            <w:pPr>
              <w:rPr>
                <w:lang w:val="en-AU"/>
              </w:rPr>
            </w:pPr>
            <w:r w:rsidRPr="00A13B9A">
              <w:rPr>
                <w:lang w:val="en-AU"/>
              </w:rPr>
              <w:t>Health care clinicians and staff</w:t>
            </w:r>
          </w:p>
          <w:p w:rsidR="00C060C5" w:rsidRPr="00A13B9A" w:rsidRDefault="00C060C5" w:rsidP="00C060C5">
            <w:pPr>
              <w:pStyle w:val="ListParagraph"/>
              <w:numPr>
                <w:ilvl w:val="0"/>
                <w:numId w:val="37"/>
              </w:numPr>
              <w:rPr>
                <w:lang w:val="en-AU"/>
              </w:rPr>
            </w:pPr>
            <w:r w:rsidRPr="00A13B9A">
              <w:rPr>
                <w:lang w:val="en-AU"/>
              </w:rPr>
              <w:t>Provide information and tools that support patients and families to engage effectively in their own care</w:t>
            </w:r>
          </w:p>
          <w:p w:rsidR="00C060C5" w:rsidRPr="00A13B9A" w:rsidRDefault="00C060C5" w:rsidP="00C060C5">
            <w:pPr>
              <w:pStyle w:val="ListParagraph"/>
              <w:numPr>
                <w:ilvl w:val="0"/>
                <w:numId w:val="37"/>
              </w:numPr>
              <w:rPr>
                <w:lang w:val="en-AU"/>
              </w:rPr>
            </w:pPr>
            <w:r w:rsidRPr="00A13B9A">
              <w:rPr>
                <w:lang w:val="en-AU"/>
              </w:rPr>
              <w:t>Engage patients as equal partners in safety improvement and care design activities</w:t>
            </w:r>
          </w:p>
          <w:p w:rsidR="00C060C5" w:rsidRPr="00A13B9A" w:rsidRDefault="00C060C5" w:rsidP="00C060C5">
            <w:pPr>
              <w:pStyle w:val="ListParagraph"/>
              <w:numPr>
                <w:ilvl w:val="0"/>
                <w:numId w:val="37"/>
              </w:numPr>
              <w:rPr>
                <w:lang w:val="en-AU"/>
              </w:rPr>
            </w:pPr>
            <w:r w:rsidRPr="00A13B9A">
              <w:rPr>
                <w:lang w:val="en-AU"/>
              </w:rPr>
              <w:t>Provide clear information, apologies, and support to patients and families when things go wrong.</w:t>
            </w:r>
          </w:p>
          <w:p w:rsidR="00C060C5" w:rsidRPr="00A13B9A" w:rsidRDefault="00C060C5" w:rsidP="00C060C5">
            <w:pPr>
              <w:rPr>
                <w:lang w:val="en-AU"/>
              </w:rPr>
            </w:pPr>
            <w:r w:rsidRPr="00A13B9A">
              <w:rPr>
                <w:lang w:val="en-AU"/>
              </w:rPr>
              <w:t>Health care policy makers</w:t>
            </w:r>
          </w:p>
          <w:p w:rsidR="00C060C5" w:rsidRPr="00A13B9A" w:rsidRDefault="00C060C5" w:rsidP="00C060C5">
            <w:pPr>
              <w:pStyle w:val="ListParagraph"/>
              <w:numPr>
                <w:ilvl w:val="0"/>
                <w:numId w:val="38"/>
              </w:numPr>
              <w:rPr>
                <w:lang w:val="en-AU"/>
              </w:rPr>
            </w:pPr>
            <w:r w:rsidRPr="00A13B9A">
              <w:rPr>
                <w:lang w:val="en-AU"/>
              </w:rPr>
              <w:t>Involve patients in all policy-making committees and programs</w:t>
            </w:r>
          </w:p>
          <w:p w:rsidR="00C060C5" w:rsidRPr="00A13B9A" w:rsidRDefault="00C060C5" w:rsidP="00C060C5">
            <w:pPr>
              <w:pStyle w:val="ListParagraph"/>
              <w:numPr>
                <w:ilvl w:val="0"/>
                <w:numId w:val="38"/>
              </w:numPr>
              <w:rPr>
                <w:lang w:val="en-AU"/>
              </w:rPr>
            </w:pPr>
            <w:r w:rsidRPr="00A13B9A">
              <w:rPr>
                <w:lang w:val="en-AU"/>
              </w:rPr>
              <w:t>Develop, implement, and report safety metrics that foster transparency, accountability, and improvement</w:t>
            </w:r>
          </w:p>
          <w:p w:rsidR="00C060C5" w:rsidRPr="00A13B9A" w:rsidRDefault="00C060C5" w:rsidP="00C060C5">
            <w:pPr>
              <w:pStyle w:val="ListParagraph"/>
              <w:numPr>
                <w:ilvl w:val="0"/>
                <w:numId w:val="38"/>
              </w:numPr>
              <w:rPr>
                <w:lang w:val="en-AU"/>
              </w:rPr>
            </w:pPr>
            <w:r w:rsidRPr="00A13B9A">
              <w:rPr>
                <w:lang w:val="en-AU"/>
              </w:rPr>
              <w:t>Require that patients be involved in setting and implementing the research agenda.</w:t>
            </w:r>
          </w:p>
          <w:p w:rsidR="00C060C5" w:rsidRPr="00A13B9A" w:rsidRDefault="00C060C5" w:rsidP="00C060C5">
            <w:pPr>
              <w:rPr>
                <w:lang w:val="en-AU"/>
              </w:rPr>
            </w:pPr>
            <w:r w:rsidRPr="00A13B9A">
              <w:rPr>
                <w:lang w:val="en-AU"/>
              </w:rPr>
              <w:t>Patients, families, and the public</w:t>
            </w:r>
          </w:p>
          <w:p w:rsidR="00C060C5" w:rsidRPr="00A13B9A" w:rsidRDefault="00C060C5" w:rsidP="00C060C5">
            <w:pPr>
              <w:pStyle w:val="ListParagraph"/>
              <w:numPr>
                <w:ilvl w:val="0"/>
                <w:numId w:val="39"/>
              </w:numPr>
              <w:rPr>
                <w:lang w:val="en-AU"/>
              </w:rPr>
            </w:pPr>
            <w:r w:rsidRPr="00A13B9A">
              <w:rPr>
                <w:lang w:val="en-AU"/>
              </w:rPr>
              <w:t>Ask questions about the risks and benefits of recommendations until you understand the answers.</w:t>
            </w:r>
          </w:p>
          <w:p w:rsidR="00C060C5" w:rsidRPr="00A13B9A" w:rsidRDefault="00C060C5" w:rsidP="00C060C5">
            <w:pPr>
              <w:pStyle w:val="ListParagraph"/>
              <w:numPr>
                <w:ilvl w:val="0"/>
                <w:numId w:val="39"/>
              </w:numPr>
              <w:rPr>
                <w:lang w:val="en-AU"/>
              </w:rPr>
            </w:pPr>
            <w:r w:rsidRPr="00A13B9A">
              <w:rPr>
                <w:lang w:val="en-AU"/>
              </w:rPr>
              <w:t>Don’t go alone to the hospital or to doctor visits.</w:t>
            </w:r>
          </w:p>
          <w:p w:rsidR="00C060C5" w:rsidRPr="00A13B9A" w:rsidRDefault="00C060C5" w:rsidP="00C060C5">
            <w:pPr>
              <w:pStyle w:val="ListParagraph"/>
              <w:numPr>
                <w:ilvl w:val="0"/>
                <w:numId w:val="39"/>
              </w:numPr>
              <w:rPr>
                <w:lang w:val="en-AU"/>
              </w:rPr>
            </w:pPr>
            <w:r w:rsidRPr="00A13B9A">
              <w:rPr>
                <w:lang w:val="en-AU"/>
              </w:rPr>
              <w:t>Always know why and how you take your medications, and their names.</w:t>
            </w:r>
          </w:p>
          <w:p w:rsidR="00C060C5" w:rsidRPr="00A13B9A" w:rsidRDefault="00C060C5" w:rsidP="00C060C5">
            <w:pPr>
              <w:pStyle w:val="ListParagraph"/>
              <w:numPr>
                <w:ilvl w:val="0"/>
                <w:numId w:val="39"/>
              </w:numPr>
              <w:rPr>
                <w:lang w:val="en-AU"/>
              </w:rPr>
            </w:pPr>
            <w:r w:rsidRPr="00A13B9A">
              <w:rPr>
                <w:lang w:val="en-AU"/>
              </w:rPr>
              <w:t>Be very sure you understand the plan of action for your care.</w:t>
            </w:r>
          </w:p>
          <w:p w:rsidR="00C060C5" w:rsidRPr="00A13B9A" w:rsidRDefault="00C060C5" w:rsidP="00C060C5">
            <w:pPr>
              <w:pStyle w:val="ListParagraph"/>
              <w:numPr>
                <w:ilvl w:val="0"/>
                <w:numId w:val="39"/>
              </w:numPr>
              <w:rPr>
                <w:lang w:val="en-AU"/>
              </w:rPr>
            </w:pPr>
            <w:r w:rsidRPr="00A13B9A">
              <w:rPr>
                <w:lang w:val="en-AU"/>
              </w:rPr>
              <w:t>Say back to clinicians in your own words what you think they have told you.</w:t>
            </w:r>
          </w:p>
          <w:p w:rsidR="00C060C5" w:rsidRPr="00A13B9A" w:rsidRDefault="00C060C5" w:rsidP="00C060C5">
            <w:pPr>
              <w:pStyle w:val="ListParagraph"/>
              <w:numPr>
                <w:ilvl w:val="0"/>
                <w:numId w:val="39"/>
              </w:numPr>
              <w:rPr>
                <w:lang w:val="en-AU"/>
              </w:rPr>
            </w:pPr>
            <w:r w:rsidRPr="00A13B9A">
              <w:rPr>
                <w:lang w:val="en-AU"/>
              </w:rPr>
              <w:t>Arrange to get any recommended lab tests done before a visit.</w:t>
            </w:r>
          </w:p>
          <w:p w:rsidR="00C060C5" w:rsidRPr="00A13B9A" w:rsidRDefault="00C060C5" w:rsidP="00C060C5">
            <w:pPr>
              <w:pStyle w:val="ListParagraph"/>
              <w:numPr>
                <w:ilvl w:val="0"/>
                <w:numId w:val="39"/>
              </w:numPr>
              <w:rPr>
                <w:lang w:val="en-AU"/>
              </w:rPr>
            </w:pPr>
            <w:r w:rsidRPr="00A13B9A">
              <w:rPr>
                <w:lang w:val="en-AU"/>
              </w:rPr>
              <w:t>Determine who is in charge of your care.”</w:t>
            </w:r>
          </w:p>
        </w:tc>
      </w:tr>
      <w:tr w:rsidR="009F0A17" w:rsidRPr="00A13B9A"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A13B9A" w:rsidRDefault="009F0A17" w:rsidP="00E73AA8">
            <w:pPr>
              <w:rPr>
                <w:lang w:val="en-AU"/>
              </w:rPr>
            </w:pPr>
            <w:r w:rsidRPr="00A13B9A">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Pr="00A13B9A" w:rsidRDefault="005C0FF9" w:rsidP="00FF7083">
            <w:pPr>
              <w:rPr>
                <w:lang w:val="en-AU"/>
              </w:rPr>
            </w:pPr>
            <w:hyperlink r:id="rId18" w:history="1">
              <w:r w:rsidR="0084047A" w:rsidRPr="00A13B9A">
                <w:rPr>
                  <w:rStyle w:val="Hyperlink"/>
                  <w:lang w:val="en-AU"/>
                </w:rPr>
                <w:t>http://www.npsf.org/about-us/lucian-leape-institute-at-npsf/lli-reports-and-statements/safety-is-personal-partnering-with-patients-and-families-for-the-safest-care/</w:t>
              </w:r>
            </w:hyperlink>
          </w:p>
        </w:tc>
      </w:tr>
      <w:tr w:rsidR="00C060C5" w:rsidRPr="00A13B9A" w:rsidTr="00E73AA8">
        <w:tc>
          <w:tcPr>
            <w:tcW w:w="1080" w:type="dxa"/>
            <w:tcBorders>
              <w:top w:val="single" w:sz="4" w:space="0" w:color="auto"/>
              <w:left w:val="single" w:sz="4" w:space="0" w:color="auto"/>
              <w:bottom w:val="single" w:sz="4" w:space="0" w:color="auto"/>
              <w:right w:val="single" w:sz="4" w:space="0" w:color="auto"/>
            </w:tcBorders>
            <w:vAlign w:val="center"/>
          </w:tcPr>
          <w:p w:rsidR="00C060C5" w:rsidRPr="00A13B9A" w:rsidRDefault="00C060C5" w:rsidP="00E73AA8">
            <w:pPr>
              <w:rPr>
                <w:lang w:val="en-AU"/>
              </w:rPr>
            </w:pPr>
            <w:r w:rsidRPr="00A13B9A">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Pr="00A13B9A" w:rsidRDefault="00C060C5" w:rsidP="00FF7083">
            <w:pPr>
              <w:rPr>
                <w:lang w:val="en-AU"/>
              </w:rPr>
            </w:pPr>
            <w:r w:rsidRPr="00A13B9A">
              <w:rPr>
                <w:lang w:val="en-AU"/>
              </w:rPr>
              <w:t>D14-10980</w:t>
            </w:r>
          </w:p>
        </w:tc>
      </w:tr>
    </w:tbl>
    <w:p w:rsidR="0096269E" w:rsidRPr="00A13B9A" w:rsidRDefault="0096269E" w:rsidP="0096269E">
      <w:pPr>
        <w:keepNext/>
        <w:autoSpaceDE w:val="0"/>
        <w:autoSpaceDN w:val="0"/>
        <w:adjustRightInd w:val="0"/>
        <w:rPr>
          <w:lang w:val="en-AU"/>
        </w:rPr>
      </w:pPr>
      <w:r w:rsidRPr="00A13B9A">
        <w:rPr>
          <w:i/>
          <w:lang w:val="en-AU"/>
        </w:rPr>
        <w:lastRenderedPageBreak/>
        <w:t xml:space="preserve">How can rural health </w:t>
      </w:r>
      <w:proofErr w:type="gramStart"/>
      <w:r w:rsidRPr="00A13B9A">
        <w:rPr>
          <w:i/>
          <w:lang w:val="en-AU"/>
        </w:rPr>
        <w:t>be</w:t>
      </w:r>
      <w:proofErr w:type="gramEnd"/>
      <w:r w:rsidRPr="00A13B9A">
        <w:rPr>
          <w:i/>
          <w:lang w:val="en-AU"/>
        </w:rPr>
        <w:t xml:space="preserve"> improved through community participation</w:t>
      </w:r>
      <w:r w:rsidRPr="00A13B9A">
        <w:rPr>
          <w:i/>
          <w:lang w:val="en-AU"/>
        </w:rPr>
        <w:br/>
      </w:r>
      <w:proofErr w:type="spellStart"/>
      <w:r w:rsidRPr="00A13B9A">
        <w:rPr>
          <w:lang w:val="en-AU"/>
        </w:rPr>
        <w:t>Deeble</w:t>
      </w:r>
      <w:proofErr w:type="spellEnd"/>
      <w:r w:rsidRPr="00A13B9A">
        <w:rPr>
          <w:lang w:val="en-AU"/>
        </w:rPr>
        <w:t xml:space="preserve"> Institute Issues Brief No. 2. </w:t>
      </w:r>
    </w:p>
    <w:p w:rsidR="0096269E" w:rsidRPr="00A13B9A" w:rsidRDefault="0096269E" w:rsidP="003B363F">
      <w:pPr>
        <w:keepNext/>
        <w:autoSpaceDE w:val="0"/>
        <w:autoSpaceDN w:val="0"/>
        <w:adjustRightInd w:val="0"/>
        <w:rPr>
          <w:lang w:val="en-AU"/>
        </w:rPr>
      </w:pPr>
      <w:proofErr w:type="spellStart"/>
      <w:r w:rsidRPr="00A13B9A">
        <w:rPr>
          <w:lang w:val="en-AU"/>
        </w:rPr>
        <w:t>Hyett</w:t>
      </w:r>
      <w:proofErr w:type="spellEnd"/>
      <w:r w:rsidRPr="00A13B9A">
        <w:rPr>
          <w:lang w:val="en-AU"/>
        </w:rPr>
        <w:t xml:space="preserve"> N, Kenny A, Dickson-Swift V, Farmer J, </w:t>
      </w:r>
      <w:proofErr w:type="spellStart"/>
      <w:r w:rsidRPr="00A13B9A">
        <w:rPr>
          <w:lang w:val="en-AU"/>
        </w:rPr>
        <w:t>Boxall</w:t>
      </w:r>
      <w:proofErr w:type="spellEnd"/>
      <w:r w:rsidRPr="00A13B9A">
        <w:rPr>
          <w:lang w:val="en-AU"/>
        </w:rPr>
        <w:t xml:space="preserve"> A-m</w:t>
      </w:r>
    </w:p>
    <w:p w:rsidR="0096269E" w:rsidRPr="00A13B9A" w:rsidRDefault="0096269E" w:rsidP="003B363F">
      <w:pPr>
        <w:keepNext/>
        <w:autoSpaceDE w:val="0"/>
        <w:autoSpaceDN w:val="0"/>
        <w:adjustRightInd w:val="0"/>
        <w:rPr>
          <w:lang w:val="en-AU"/>
        </w:rPr>
      </w:pPr>
      <w:r w:rsidRPr="00A13B9A">
        <w:rPr>
          <w:lang w:val="en-AU"/>
        </w:rPr>
        <w:t xml:space="preserve">Canberra. </w:t>
      </w:r>
      <w:proofErr w:type="spellStart"/>
      <w:r w:rsidRPr="00A13B9A">
        <w:rPr>
          <w:lang w:val="en-AU"/>
        </w:rPr>
        <w:t>Deeble</w:t>
      </w:r>
      <w:proofErr w:type="spellEnd"/>
      <w:r w:rsidRPr="00A13B9A">
        <w:rPr>
          <w:lang w:val="en-AU"/>
        </w:rPr>
        <w:t xml:space="preserve"> Institute, Australian Healthcare and Hospitals Association, 2014:22.</w:t>
      </w:r>
    </w:p>
    <w:tbl>
      <w:tblPr>
        <w:tblStyle w:val="TableGrid"/>
        <w:tblW w:w="0" w:type="auto"/>
        <w:tblInd w:w="288" w:type="dxa"/>
        <w:tblLayout w:type="fixed"/>
        <w:tblLook w:val="01E0" w:firstRow="1" w:lastRow="1" w:firstColumn="1" w:lastColumn="1" w:noHBand="0" w:noVBand="0"/>
      </w:tblPr>
      <w:tblGrid>
        <w:gridCol w:w="1080"/>
        <w:gridCol w:w="8280"/>
      </w:tblGrid>
      <w:tr w:rsidR="0096269E" w:rsidRPr="00A13B9A" w:rsidTr="00506E10">
        <w:tc>
          <w:tcPr>
            <w:tcW w:w="1080" w:type="dxa"/>
            <w:tcBorders>
              <w:top w:val="single" w:sz="4" w:space="0" w:color="auto"/>
              <w:left w:val="single" w:sz="4" w:space="0" w:color="auto"/>
              <w:bottom w:val="single" w:sz="4" w:space="0" w:color="auto"/>
              <w:right w:val="single" w:sz="4" w:space="0" w:color="auto"/>
            </w:tcBorders>
            <w:vAlign w:val="center"/>
          </w:tcPr>
          <w:p w:rsidR="0096269E" w:rsidRPr="00A13B9A" w:rsidRDefault="0096269E" w:rsidP="00506E10">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269E" w:rsidRPr="00A13B9A" w:rsidRDefault="0096269E" w:rsidP="0096269E">
            <w:pPr>
              <w:rPr>
                <w:lang w:val="en-AU"/>
              </w:rPr>
            </w:pPr>
            <w:r w:rsidRPr="00A13B9A">
              <w:rPr>
                <w:lang w:val="en-AU"/>
              </w:rPr>
              <w:t xml:space="preserve">This </w:t>
            </w:r>
            <w:r w:rsidR="005D7756" w:rsidRPr="00A13B9A">
              <w:rPr>
                <w:lang w:val="en-AU"/>
              </w:rPr>
              <w:t>I</w:t>
            </w:r>
            <w:r w:rsidRPr="00A13B9A">
              <w:rPr>
                <w:lang w:val="en-AU"/>
              </w:rPr>
              <w:t xml:space="preserve">ssues </w:t>
            </w:r>
            <w:r w:rsidR="005D7756" w:rsidRPr="00A13B9A">
              <w:rPr>
                <w:lang w:val="en-AU"/>
              </w:rPr>
              <w:t>B</w:t>
            </w:r>
            <w:r w:rsidRPr="00A13B9A">
              <w:rPr>
                <w:lang w:val="en-AU"/>
              </w:rPr>
              <w:t xml:space="preserve">rief from the </w:t>
            </w:r>
            <w:proofErr w:type="spellStart"/>
            <w:r w:rsidRPr="00A13B9A">
              <w:rPr>
                <w:lang w:val="en-AU"/>
              </w:rPr>
              <w:t>Deeble</w:t>
            </w:r>
            <w:proofErr w:type="spellEnd"/>
            <w:r w:rsidRPr="00A13B9A">
              <w:rPr>
                <w:lang w:val="en-AU"/>
              </w:rPr>
              <w:t xml:space="preserve"> Institute argues that for the health disparities between rural and urban Australians to be addressed then rural communities must be involved in the design of their health services.</w:t>
            </w:r>
          </w:p>
          <w:p w:rsidR="0096269E" w:rsidRPr="00A13B9A" w:rsidRDefault="0096269E" w:rsidP="0096269E">
            <w:pPr>
              <w:rPr>
                <w:lang w:val="en-AU"/>
              </w:rPr>
            </w:pPr>
            <w:r w:rsidRPr="00A13B9A">
              <w:rPr>
                <w:lang w:val="en-AU"/>
              </w:rPr>
              <w:t>The report includes recommendations on improving the overall health of rural Australians, through community participation initiatives, which are tailored to the local context and are aimed at improving existing practice without increased health expenditure. Recommendations include working with the local community to develop new ways to contract and pay for health services and focussing on proposals that best display community participation approaches.</w:t>
            </w:r>
          </w:p>
          <w:p w:rsidR="0096269E" w:rsidRPr="00A13B9A" w:rsidRDefault="0096269E" w:rsidP="0096269E">
            <w:pPr>
              <w:rPr>
                <w:lang w:val="en-AU"/>
              </w:rPr>
            </w:pPr>
            <w:r w:rsidRPr="00A13B9A">
              <w:rPr>
                <w:lang w:val="en-AU"/>
              </w:rPr>
              <w:t>The authors argue that community-based health services including Medicare Locals and Local Health Networks have an important role to play, including developing partnerships between existing services and leveraging existing participation strategies, and creation of community leadership positions across existing community-based health services, to avoid duplication and overcome barriers of over-consultation and volunteer fatigue.</w:t>
            </w:r>
          </w:p>
        </w:tc>
      </w:tr>
      <w:tr w:rsidR="0096269E" w:rsidRPr="00A13B9A" w:rsidTr="00506E10">
        <w:tc>
          <w:tcPr>
            <w:tcW w:w="1080" w:type="dxa"/>
            <w:tcBorders>
              <w:top w:val="single" w:sz="4" w:space="0" w:color="auto"/>
              <w:left w:val="single" w:sz="4" w:space="0" w:color="auto"/>
              <w:bottom w:val="single" w:sz="4" w:space="0" w:color="auto"/>
              <w:right w:val="single" w:sz="4" w:space="0" w:color="auto"/>
            </w:tcBorders>
            <w:vAlign w:val="center"/>
          </w:tcPr>
          <w:p w:rsidR="0096269E" w:rsidRPr="00A13B9A" w:rsidRDefault="0096269E" w:rsidP="00506E10">
            <w:pPr>
              <w:rPr>
                <w:lang w:val="en-AU"/>
              </w:rPr>
            </w:pPr>
            <w:r w:rsidRPr="00A13B9A">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6269E" w:rsidRPr="00A13B9A" w:rsidRDefault="005C0FF9" w:rsidP="00506E10">
            <w:pPr>
              <w:rPr>
                <w:lang w:val="en-AU"/>
              </w:rPr>
            </w:pPr>
            <w:hyperlink r:id="rId19" w:history="1">
              <w:r w:rsidR="0096269E" w:rsidRPr="00A13B9A">
                <w:rPr>
                  <w:rStyle w:val="Hyperlink"/>
                  <w:lang w:val="en-AU"/>
                </w:rPr>
                <w:t>http://ahha.asn.au/publication/health-policy-issue-briefs/how-can-rural-health-be-improved-through-community</w:t>
              </w:r>
            </w:hyperlink>
            <w:r w:rsidR="0096269E" w:rsidRPr="00A13B9A">
              <w:rPr>
                <w:lang w:val="en-AU"/>
              </w:rPr>
              <w:t xml:space="preserve"> </w:t>
            </w:r>
          </w:p>
        </w:tc>
      </w:tr>
    </w:tbl>
    <w:p w:rsidR="0096269E" w:rsidRPr="00A13B9A" w:rsidRDefault="0096269E" w:rsidP="003B363F">
      <w:pPr>
        <w:keepNext/>
        <w:autoSpaceDE w:val="0"/>
        <w:autoSpaceDN w:val="0"/>
        <w:adjustRightInd w:val="0"/>
        <w:rPr>
          <w:i/>
          <w:lang w:val="en-AU"/>
        </w:rPr>
      </w:pPr>
    </w:p>
    <w:p w:rsidR="003B363F" w:rsidRPr="00A13B9A" w:rsidRDefault="003B363F" w:rsidP="003B363F">
      <w:pPr>
        <w:keepNext/>
        <w:autoSpaceDE w:val="0"/>
        <w:autoSpaceDN w:val="0"/>
        <w:adjustRightInd w:val="0"/>
        <w:rPr>
          <w:i/>
          <w:lang w:val="en-AU"/>
        </w:rPr>
      </w:pPr>
      <w:r w:rsidRPr="00A13B9A">
        <w:rPr>
          <w:i/>
          <w:lang w:val="en-AU"/>
        </w:rPr>
        <w:t xml:space="preserve">Adverse Events in Skilled Nursing Facilities: National Incidence </w:t>
      </w:r>
      <w:proofErr w:type="gramStart"/>
      <w:r w:rsidRPr="00A13B9A">
        <w:rPr>
          <w:i/>
          <w:lang w:val="en-AU"/>
        </w:rPr>
        <w:t>Among</w:t>
      </w:r>
      <w:proofErr w:type="gramEnd"/>
      <w:r w:rsidRPr="00A13B9A">
        <w:rPr>
          <w:i/>
          <w:lang w:val="en-AU"/>
        </w:rPr>
        <w:t xml:space="preserve"> Medicare Beneficiaries</w:t>
      </w:r>
    </w:p>
    <w:p w:rsidR="003B363F" w:rsidRPr="00A13B9A" w:rsidRDefault="003B363F" w:rsidP="003B363F">
      <w:pPr>
        <w:keepNext/>
        <w:autoSpaceDE w:val="0"/>
        <w:autoSpaceDN w:val="0"/>
        <w:adjustRightInd w:val="0"/>
        <w:rPr>
          <w:lang w:val="en-AU"/>
        </w:rPr>
      </w:pPr>
      <w:r w:rsidRPr="00A13B9A">
        <w:rPr>
          <w:lang w:val="en-AU"/>
        </w:rPr>
        <w:t>Levinson DR</w:t>
      </w:r>
    </w:p>
    <w:p w:rsidR="003B363F" w:rsidRPr="00A13B9A" w:rsidRDefault="003B363F" w:rsidP="003B363F">
      <w:pPr>
        <w:keepNext/>
        <w:autoSpaceDE w:val="0"/>
        <w:autoSpaceDN w:val="0"/>
        <w:adjustRightInd w:val="0"/>
        <w:rPr>
          <w:lang w:val="en-AU"/>
        </w:rPr>
      </w:pPr>
      <w:r w:rsidRPr="00A13B9A">
        <w:rPr>
          <w:lang w:val="en-AU"/>
        </w:rPr>
        <w:t xml:space="preserve">Washington, DC: US Department of Health and Human Services, Office of Inspector General; February 2014. Report No. </w:t>
      </w:r>
      <w:proofErr w:type="gramStart"/>
      <w:r w:rsidRPr="00A13B9A">
        <w:rPr>
          <w:lang w:val="en-AU"/>
        </w:rPr>
        <w:t>OEI-06-11-00370.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B363F" w:rsidRPr="00A13B9A" w:rsidTr="002B6DDE">
        <w:tc>
          <w:tcPr>
            <w:tcW w:w="1080" w:type="dxa"/>
            <w:tcBorders>
              <w:top w:val="single" w:sz="4" w:space="0" w:color="auto"/>
              <w:left w:val="single" w:sz="4" w:space="0" w:color="auto"/>
              <w:bottom w:val="single" w:sz="4" w:space="0" w:color="auto"/>
              <w:right w:val="single" w:sz="4" w:space="0" w:color="auto"/>
            </w:tcBorders>
            <w:vAlign w:val="center"/>
          </w:tcPr>
          <w:p w:rsidR="003B363F" w:rsidRPr="00A13B9A" w:rsidRDefault="003B363F" w:rsidP="002B6DDE">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363F" w:rsidRPr="00A13B9A" w:rsidRDefault="003B363F" w:rsidP="003B363F">
            <w:pPr>
              <w:rPr>
                <w:lang w:val="en-AU"/>
              </w:rPr>
            </w:pPr>
            <w:r w:rsidRPr="00A13B9A">
              <w:rPr>
                <w:lang w:val="en-AU"/>
              </w:rPr>
              <w:t xml:space="preserve">This report from the US Office of the Inspector General reports on the incidence of adverse events in </w:t>
            </w:r>
            <w:r w:rsidR="0045050D" w:rsidRPr="00A13B9A">
              <w:rPr>
                <w:lang w:val="en-AU"/>
              </w:rPr>
              <w:t>‘</w:t>
            </w:r>
            <w:r w:rsidRPr="00A13B9A">
              <w:rPr>
                <w:lang w:val="en-AU"/>
              </w:rPr>
              <w:t>skilled nursing facilities</w:t>
            </w:r>
            <w:r w:rsidR="0045050D" w:rsidRPr="00A13B9A">
              <w:rPr>
                <w:lang w:val="en-AU"/>
              </w:rPr>
              <w:t>’</w:t>
            </w:r>
            <w:r w:rsidRPr="00A13B9A">
              <w:rPr>
                <w:lang w:val="en-AU"/>
              </w:rPr>
              <w:t xml:space="preserve"> (SNF) among the US Medicare population, using a sample of 653 beneficiaries. According to the report, “an estimated </w:t>
            </w:r>
            <w:r w:rsidRPr="00A13B9A">
              <w:rPr>
                <w:b/>
                <w:lang w:val="en-AU"/>
              </w:rPr>
              <w:t>22 percent</w:t>
            </w:r>
            <w:r w:rsidRPr="00A13B9A">
              <w:rPr>
                <w:lang w:val="en-AU"/>
              </w:rPr>
              <w:t xml:space="preserve"> of Medicare beneficiaries </w:t>
            </w:r>
            <w:r w:rsidRPr="00A13B9A">
              <w:rPr>
                <w:b/>
                <w:lang w:val="en-AU"/>
              </w:rPr>
              <w:t>experienced adverse events</w:t>
            </w:r>
            <w:r w:rsidRPr="00A13B9A">
              <w:rPr>
                <w:lang w:val="en-AU"/>
              </w:rPr>
              <w:t xml:space="preserve"> during their SNF stays. An additional </w:t>
            </w:r>
            <w:r w:rsidRPr="00A13B9A">
              <w:rPr>
                <w:b/>
                <w:lang w:val="en-AU"/>
              </w:rPr>
              <w:t>11 percent</w:t>
            </w:r>
            <w:r w:rsidRPr="00A13B9A">
              <w:rPr>
                <w:lang w:val="en-AU"/>
              </w:rPr>
              <w:t xml:space="preserve"> of Medicare beneficiaries </w:t>
            </w:r>
            <w:r w:rsidRPr="00A13B9A">
              <w:rPr>
                <w:b/>
                <w:lang w:val="en-AU"/>
              </w:rPr>
              <w:t>experienced temporary harm events</w:t>
            </w:r>
            <w:r w:rsidRPr="00A13B9A">
              <w:rPr>
                <w:lang w:val="en-AU"/>
              </w:rPr>
              <w:t xml:space="preserve"> during their SNF stays. Physician reviewers determined that </w:t>
            </w:r>
            <w:r w:rsidRPr="00A13B9A">
              <w:rPr>
                <w:b/>
                <w:lang w:val="en-AU"/>
              </w:rPr>
              <w:t>59 percent of these adverse events and temporary harm events were clearly or likely preventable</w:t>
            </w:r>
            <w:r w:rsidRPr="00A13B9A">
              <w:rPr>
                <w:lang w:val="en-AU"/>
              </w:rPr>
              <w:t xml:space="preserve">. They attributed much of the preventable harm to </w:t>
            </w:r>
            <w:r w:rsidRPr="00A13B9A">
              <w:rPr>
                <w:b/>
                <w:lang w:val="en-AU"/>
              </w:rPr>
              <w:t>substandard treatment</w:t>
            </w:r>
            <w:r w:rsidRPr="00A13B9A">
              <w:rPr>
                <w:lang w:val="en-AU"/>
              </w:rPr>
              <w:t xml:space="preserve">, </w:t>
            </w:r>
            <w:r w:rsidRPr="00A13B9A">
              <w:rPr>
                <w:b/>
                <w:lang w:val="en-AU"/>
              </w:rPr>
              <w:t>inadequate resident monitoring</w:t>
            </w:r>
            <w:r w:rsidRPr="00A13B9A">
              <w:rPr>
                <w:lang w:val="en-AU"/>
              </w:rPr>
              <w:t xml:space="preserve">, and </w:t>
            </w:r>
            <w:r w:rsidRPr="00A13B9A">
              <w:rPr>
                <w:b/>
                <w:lang w:val="en-AU"/>
              </w:rPr>
              <w:t>failure or delay of necessary care</w:t>
            </w:r>
            <w:r w:rsidRPr="00A13B9A">
              <w:rPr>
                <w:lang w:val="en-AU"/>
              </w:rPr>
              <w:t>. Over half of the residents who experienced harm returned to a hospital for treatment”.</w:t>
            </w:r>
          </w:p>
        </w:tc>
      </w:tr>
      <w:tr w:rsidR="003B363F" w:rsidRPr="00A13B9A" w:rsidTr="002B6DDE">
        <w:tc>
          <w:tcPr>
            <w:tcW w:w="1080" w:type="dxa"/>
            <w:tcBorders>
              <w:top w:val="single" w:sz="4" w:space="0" w:color="auto"/>
              <w:left w:val="single" w:sz="4" w:space="0" w:color="auto"/>
              <w:bottom w:val="single" w:sz="4" w:space="0" w:color="auto"/>
              <w:right w:val="single" w:sz="4" w:space="0" w:color="auto"/>
            </w:tcBorders>
            <w:vAlign w:val="center"/>
          </w:tcPr>
          <w:p w:rsidR="003B363F" w:rsidRPr="00A13B9A" w:rsidRDefault="003B363F" w:rsidP="003B363F">
            <w:pPr>
              <w:rPr>
                <w:lang w:val="en-AU"/>
              </w:rPr>
            </w:pPr>
            <w:r w:rsidRPr="00A13B9A">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B363F" w:rsidRPr="00A13B9A" w:rsidRDefault="005C0FF9" w:rsidP="003B363F">
            <w:pPr>
              <w:rPr>
                <w:lang w:val="en-AU"/>
              </w:rPr>
            </w:pPr>
            <w:hyperlink r:id="rId20" w:history="1">
              <w:r w:rsidR="003B363F" w:rsidRPr="00A13B9A">
                <w:rPr>
                  <w:rStyle w:val="Hyperlink"/>
                  <w:lang w:val="en-AU"/>
                </w:rPr>
                <w:t>http://oig.hhs.gov/oei/reports/oei-06-11-00370.asp</w:t>
              </w:r>
            </w:hyperlink>
          </w:p>
        </w:tc>
      </w:tr>
    </w:tbl>
    <w:p w:rsidR="003B363F" w:rsidRPr="00A13B9A" w:rsidRDefault="003B363F" w:rsidP="003B363F">
      <w:pPr>
        <w:rPr>
          <w:i/>
          <w:lang w:val="en-AU"/>
        </w:rPr>
      </w:pPr>
    </w:p>
    <w:p w:rsidR="008A607F" w:rsidRPr="00A13B9A" w:rsidRDefault="008A607F" w:rsidP="008A607F">
      <w:pPr>
        <w:rPr>
          <w:lang w:val="en-AU"/>
        </w:rPr>
      </w:pPr>
    </w:p>
    <w:p w:rsidR="00A30DF9" w:rsidRPr="00A13B9A" w:rsidRDefault="00254636" w:rsidP="00396D0A">
      <w:pPr>
        <w:rPr>
          <w:b/>
          <w:lang w:val="en-AU"/>
        </w:rPr>
      </w:pPr>
      <w:r w:rsidRPr="00A13B9A">
        <w:rPr>
          <w:b/>
          <w:lang w:val="en-AU"/>
        </w:rPr>
        <w:t>Journal articles</w:t>
      </w:r>
    </w:p>
    <w:p w:rsidR="008B3D8F" w:rsidRPr="00A13B9A" w:rsidRDefault="008B3D8F" w:rsidP="008B3D8F">
      <w:pPr>
        <w:keepNext/>
        <w:autoSpaceDE w:val="0"/>
        <w:autoSpaceDN w:val="0"/>
        <w:adjustRightInd w:val="0"/>
        <w:rPr>
          <w:lang w:val="en-AU"/>
        </w:rPr>
      </w:pPr>
    </w:p>
    <w:p w:rsidR="00C8337A" w:rsidRPr="00A13B9A" w:rsidRDefault="00C8337A" w:rsidP="00C8337A">
      <w:pPr>
        <w:keepNext/>
        <w:autoSpaceDE w:val="0"/>
        <w:autoSpaceDN w:val="0"/>
        <w:adjustRightInd w:val="0"/>
        <w:rPr>
          <w:i/>
          <w:lang w:val="en-AU"/>
        </w:rPr>
      </w:pPr>
      <w:r w:rsidRPr="00A13B9A">
        <w:rPr>
          <w:i/>
          <w:lang w:val="en-AU"/>
        </w:rPr>
        <w:t>Rethinking ‘quality’ in health care</w:t>
      </w:r>
    </w:p>
    <w:p w:rsidR="00C8337A" w:rsidRPr="00A13B9A" w:rsidRDefault="00C8337A" w:rsidP="008B3D8F">
      <w:pPr>
        <w:keepNext/>
        <w:autoSpaceDE w:val="0"/>
        <w:autoSpaceDN w:val="0"/>
        <w:adjustRightInd w:val="0"/>
        <w:rPr>
          <w:lang w:val="en-AU"/>
        </w:rPr>
      </w:pPr>
      <w:proofErr w:type="spellStart"/>
      <w:r w:rsidRPr="00A13B9A">
        <w:rPr>
          <w:lang w:val="en-AU"/>
        </w:rPr>
        <w:t>Swinglehurst</w:t>
      </w:r>
      <w:proofErr w:type="spellEnd"/>
      <w:r w:rsidRPr="00A13B9A">
        <w:rPr>
          <w:lang w:val="en-AU"/>
        </w:rPr>
        <w:t xml:space="preserve"> D, </w:t>
      </w:r>
      <w:proofErr w:type="spellStart"/>
      <w:r w:rsidRPr="00A13B9A">
        <w:rPr>
          <w:lang w:val="en-AU"/>
        </w:rPr>
        <w:t>Emmerich</w:t>
      </w:r>
      <w:proofErr w:type="spellEnd"/>
      <w:r w:rsidRPr="00A13B9A">
        <w:rPr>
          <w:lang w:val="en-AU"/>
        </w:rPr>
        <w:t xml:space="preserve"> N, </w:t>
      </w:r>
      <w:proofErr w:type="spellStart"/>
      <w:r w:rsidRPr="00A13B9A">
        <w:rPr>
          <w:lang w:val="en-AU"/>
        </w:rPr>
        <w:t>Maybin</w:t>
      </w:r>
      <w:proofErr w:type="spellEnd"/>
      <w:r w:rsidRPr="00A13B9A">
        <w:rPr>
          <w:lang w:val="en-AU"/>
        </w:rPr>
        <w:t xml:space="preserve"> J, Park S, </w:t>
      </w:r>
      <w:proofErr w:type="spellStart"/>
      <w:r w:rsidRPr="00A13B9A">
        <w:rPr>
          <w:lang w:val="en-AU"/>
        </w:rPr>
        <w:t>Quilligan</w:t>
      </w:r>
      <w:proofErr w:type="spellEnd"/>
      <w:r w:rsidRPr="00A13B9A">
        <w:rPr>
          <w:lang w:val="en-AU"/>
        </w:rPr>
        <w:t xml:space="preserve"> S</w:t>
      </w:r>
    </w:p>
    <w:p w:rsidR="005D3F16" w:rsidRPr="00A13B9A" w:rsidRDefault="00C8337A" w:rsidP="008B3D8F">
      <w:pPr>
        <w:keepNext/>
        <w:autoSpaceDE w:val="0"/>
        <w:autoSpaceDN w:val="0"/>
        <w:adjustRightInd w:val="0"/>
        <w:rPr>
          <w:lang w:val="en-AU"/>
        </w:rPr>
      </w:pPr>
      <w:r w:rsidRPr="00A13B9A">
        <w:rPr>
          <w:lang w:val="en-AU"/>
        </w:rPr>
        <w:t>Journal of Health Services Research &amp; Policy 2014</w:t>
      </w:r>
      <w:proofErr w:type="gramStart"/>
      <w:r w:rsidRPr="00A13B9A">
        <w:rPr>
          <w:lang w:val="en-AU"/>
        </w:rPr>
        <w:t>;19</w:t>
      </w:r>
      <w:proofErr w:type="gramEnd"/>
      <w:r w:rsidRPr="00A13B9A">
        <w:rPr>
          <w:lang w:val="en-AU"/>
        </w:rPr>
        <w:t>(2):65-66.</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A13B9A" w:rsidRDefault="00B62B1F" w:rsidP="00B62B1F">
            <w:pPr>
              <w:rPr>
                <w:lang w:val="en-AU"/>
              </w:rPr>
            </w:pPr>
            <w:r w:rsidRPr="00A13B9A">
              <w:rPr>
                <w:lang w:val="en-AU"/>
              </w:rPr>
              <w:t xml:space="preserve">This editorial— stemming from a colloquium ‘The Many Meanings of “Quality in </w:t>
            </w:r>
            <w:r w:rsidR="000C64A7" w:rsidRPr="00A13B9A">
              <w:rPr>
                <w:lang w:val="en-AU"/>
              </w:rPr>
              <w:t>H</w:t>
            </w:r>
            <w:r w:rsidRPr="00A13B9A">
              <w:rPr>
                <w:lang w:val="en-AU"/>
              </w:rPr>
              <w:t>ealthcare: Interdisciplinary Perspectives—problematizes the definition of quality. M</w:t>
            </w:r>
            <w:r w:rsidR="000C64A7" w:rsidRPr="00A13B9A">
              <w:rPr>
                <w:lang w:val="en-AU"/>
              </w:rPr>
              <w:t>any</w:t>
            </w:r>
            <w:r w:rsidRPr="00A13B9A">
              <w:rPr>
                <w:lang w:val="en-AU"/>
              </w:rPr>
              <w:t xml:space="preserve"> of the tension</w:t>
            </w:r>
            <w:r w:rsidR="00CE7118" w:rsidRPr="00A13B9A">
              <w:rPr>
                <w:lang w:val="en-AU"/>
              </w:rPr>
              <w:t>s</w:t>
            </w:r>
            <w:r w:rsidRPr="00A13B9A">
              <w:rPr>
                <w:lang w:val="en-AU"/>
              </w:rPr>
              <w:t xml:space="preserve"> that the piece discusses reflect differing perspectives, including clinical and </w:t>
            </w:r>
            <w:proofErr w:type="spellStart"/>
            <w:r w:rsidRPr="00A13B9A">
              <w:rPr>
                <w:lang w:val="en-AU"/>
              </w:rPr>
              <w:t>managerialist</w:t>
            </w:r>
            <w:proofErr w:type="spellEnd"/>
            <w:r w:rsidRPr="00A13B9A">
              <w:rPr>
                <w:lang w:val="en-AU"/>
              </w:rPr>
              <w:t xml:space="preserve"> ones</w:t>
            </w:r>
            <w:r w:rsidR="00CE7118" w:rsidRPr="00A13B9A">
              <w:rPr>
                <w:lang w:val="en-AU"/>
              </w:rPr>
              <w:t>, qualitative and quantitative.</w:t>
            </w:r>
          </w:p>
          <w:p w:rsidR="00B62B1F" w:rsidRPr="00A13B9A" w:rsidRDefault="00B62B1F" w:rsidP="00B62B1F">
            <w:pPr>
              <w:rPr>
                <w:lang w:val="en-AU"/>
              </w:rPr>
            </w:pPr>
            <w:r w:rsidRPr="00A13B9A">
              <w:rPr>
                <w:lang w:val="en-AU"/>
              </w:rPr>
              <w:t>The paper discusses four themes that emerged from the colloquium. These include:</w:t>
            </w:r>
          </w:p>
          <w:p w:rsidR="00B62B1F" w:rsidRPr="00A13B9A" w:rsidRDefault="00CE7118" w:rsidP="00B62B1F">
            <w:pPr>
              <w:rPr>
                <w:lang w:val="en-AU"/>
              </w:rPr>
            </w:pPr>
            <w:r w:rsidRPr="00A13B9A">
              <w:rPr>
                <w:lang w:val="en-AU"/>
              </w:rPr>
              <w:lastRenderedPageBreak/>
              <w:t>“</w:t>
            </w:r>
            <w:proofErr w:type="gramStart"/>
            <w:r w:rsidRPr="00A13B9A">
              <w:rPr>
                <w:lang w:val="en-AU"/>
              </w:rPr>
              <w:t>the</w:t>
            </w:r>
            <w:proofErr w:type="gramEnd"/>
            <w:r w:rsidRPr="00A13B9A">
              <w:rPr>
                <w:lang w:val="en-AU"/>
              </w:rPr>
              <w:t xml:space="preserve"> delivery of high quality health care depends on a ‘care’-</w:t>
            </w:r>
            <w:proofErr w:type="spellStart"/>
            <w:r w:rsidRPr="00A13B9A">
              <w:rPr>
                <w:lang w:val="en-AU"/>
              </w:rPr>
              <w:t>ful</w:t>
            </w:r>
            <w:proofErr w:type="spellEnd"/>
            <w:r w:rsidRPr="00A13B9A">
              <w:rPr>
                <w:lang w:val="en-AU"/>
              </w:rPr>
              <w:t xml:space="preserve"> act </w:t>
            </w:r>
            <w:r w:rsidR="00E0265D" w:rsidRPr="00A13B9A">
              <w:rPr>
                <w:lang w:val="en-AU"/>
              </w:rPr>
              <w:t>o</w:t>
            </w:r>
            <w:r w:rsidRPr="00A13B9A">
              <w:rPr>
                <w:lang w:val="en-AU"/>
              </w:rPr>
              <w:t>f holding in the balance a range of (sometimes contradictory) perspectives on what constitutes quality. … Every act of health care in an opportunity for unique tailoring… and it is this response to the complexity of each individual situation that marks out high quality care”</w:t>
            </w:r>
          </w:p>
          <w:p w:rsidR="00CE7118" w:rsidRPr="00A13B9A" w:rsidRDefault="00CE7118" w:rsidP="00B62B1F">
            <w:pPr>
              <w:rPr>
                <w:lang w:val="en-AU"/>
              </w:rPr>
            </w:pPr>
            <w:r w:rsidRPr="00A13B9A">
              <w:rPr>
                <w:lang w:val="en-AU"/>
              </w:rPr>
              <w:t>“a call for more description and less measurement in evaluating quality”</w:t>
            </w:r>
          </w:p>
          <w:p w:rsidR="00CE7118" w:rsidRPr="00A13B9A" w:rsidRDefault="00AD1F1C" w:rsidP="00AD1F1C">
            <w:pPr>
              <w:rPr>
                <w:lang w:val="en-AU"/>
              </w:rPr>
            </w:pPr>
            <w:proofErr w:type="gramStart"/>
            <w:r w:rsidRPr="00A13B9A">
              <w:rPr>
                <w:lang w:val="en-AU"/>
              </w:rPr>
              <w:t>“ ‘authenticity’</w:t>
            </w:r>
            <w:proofErr w:type="gramEnd"/>
            <w:r w:rsidRPr="00A13B9A">
              <w:rPr>
                <w:lang w:val="en-AU"/>
              </w:rPr>
              <w:t xml:space="preserve"> of engagement with patients is demanding, challenging work, difficult to sustain in practice. Practitioners need opportunities to discuss and reflect on their experiences and concerns with their peers”</w:t>
            </w:r>
          </w:p>
          <w:p w:rsidR="00AD1F1C" w:rsidRPr="00A13B9A" w:rsidRDefault="00AD1F1C" w:rsidP="00AD1F1C">
            <w:pPr>
              <w:rPr>
                <w:lang w:val="en-AU"/>
              </w:rPr>
            </w:pPr>
            <w:r w:rsidRPr="00A13B9A">
              <w:rPr>
                <w:lang w:val="en-AU"/>
              </w:rPr>
              <w:t>“the centrality of trusting relationships … it not only involves patients trusting their doctors but also doctors trusting their patients”</w:t>
            </w:r>
          </w:p>
        </w:tc>
      </w:tr>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lastRenderedPageBreak/>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A13B9A" w:rsidRDefault="005C0FF9" w:rsidP="00C8337A">
            <w:pPr>
              <w:rPr>
                <w:lang w:val="en-AU"/>
              </w:rPr>
            </w:pPr>
            <w:hyperlink r:id="rId21" w:history="1">
              <w:r w:rsidR="00C8337A" w:rsidRPr="00A13B9A">
                <w:rPr>
                  <w:rStyle w:val="Hyperlink"/>
                  <w:lang w:val="en-AU"/>
                </w:rPr>
                <w:t>http://dx.doi.org/10.1177/1355819613518522</w:t>
              </w:r>
            </w:hyperlink>
          </w:p>
        </w:tc>
      </w:tr>
    </w:tbl>
    <w:p w:rsidR="008B3D8F" w:rsidRPr="00A13B9A" w:rsidRDefault="008B3D8F" w:rsidP="008B3D8F">
      <w:pPr>
        <w:rPr>
          <w:i/>
          <w:lang w:val="en-AU"/>
        </w:rPr>
      </w:pPr>
    </w:p>
    <w:p w:rsidR="00B62B1F" w:rsidRPr="00A13B9A" w:rsidRDefault="00B62B1F" w:rsidP="00B62B1F">
      <w:pPr>
        <w:keepNext/>
        <w:autoSpaceDE w:val="0"/>
        <w:autoSpaceDN w:val="0"/>
        <w:adjustRightInd w:val="0"/>
        <w:rPr>
          <w:i/>
          <w:lang w:val="en-AU"/>
        </w:rPr>
      </w:pPr>
      <w:r w:rsidRPr="00A13B9A">
        <w:rPr>
          <w:i/>
          <w:lang w:val="en-AU"/>
        </w:rPr>
        <w:t>The investigators reflect: what we have learned from the Deepening our Understanding of Quality Improvement in Europe (</w:t>
      </w:r>
      <w:proofErr w:type="spellStart"/>
      <w:r w:rsidRPr="00A13B9A">
        <w:rPr>
          <w:i/>
          <w:lang w:val="en-AU"/>
        </w:rPr>
        <w:t>DUQuE</w:t>
      </w:r>
      <w:proofErr w:type="spellEnd"/>
      <w:r w:rsidRPr="00A13B9A">
        <w:rPr>
          <w:i/>
          <w:lang w:val="en-AU"/>
        </w:rPr>
        <w:t>) study</w:t>
      </w:r>
    </w:p>
    <w:p w:rsidR="00B62B1F" w:rsidRPr="00A13B9A" w:rsidRDefault="00B62B1F" w:rsidP="008B3D8F">
      <w:pPr>
        <w:keepNext/>
        <w:autoSpaceDE w:val="0"/>
        <w:autoSpaceDN w:val="0"/>
        <w:adjustRightInd w:val="0"/>
        <w:rPr>
          <w:lang w:val="en-AU"/>
        </w:rPr>
      </w:pPr>
      <w:r w:rsidRPr="00A13B9A">
        <w:rPr>
          <w:lang w:val="en-AU"/>
        </w:rPr>
        <w:t xml:space="preserve">Groene O, </w:t>
      </w:r>
      <w:proofErr w:type="spellStart"/>
      <w:r w:rsidR="00A13B9A" w:rsidRPr="00A13B9A">
        <w:rPr>
          <w:lang w:val="en-AU"/>
        </w:rPr>
        <w:t>Suñol</w:t>
      </w:r>
      <w:proofErr w:type="spellEnd"/>
      <w:r w:rsidR="00A13B9A" w:rsidRPr="00A13B9A">
        <w:rPr>
          <w:lang w:val="en-AU"/>
        </w:rPr>
        <w:t xml:space="preserve"> </w:t>
      </w:r>
      <w:r w:rsidRPr="00A13B9A">
        <w:rPr>
          <w:lang w:val="en-AU"/>
        </w:rPr>
        <w:t xml:space="preserve">R, on behalf of the </w:t>
      </w:r>
      <w:proofErr w:type="spellStart"/>
      <w:r w:rsidRPr="00A13B9A">
        <w:rPr>
          <w:lang w:val="en-AU"/>
        </w:rPr>
        <w:t>DUQuE</w:t>
      </w:r>
      <w:proofErr w:type="spellEnd"/>
      <w:r w:rsidRPr="00A13B9A">
        <w:rPr>
          <w:lang w:val="en-AU"/>
        </w:rPr>
        <w:t xml:space="preserve"> Project Consortium</w:t>
      </w:r>
    </w:p>
    <w:p w:rsidR="008B3D8F" w:rsidRPr="00A13B9A" w:rsidRDefault="00B62B1F" w:rsidP="008B3D8F">
      <w:pPr>
        <w:keepNext/>
        <w:autoSpaceDE w:val="0"/>
        <w:autoSpaceDN w:val="0"/>
        <w:adjustRightInd w:val="0"/>
        <w:rPr>
          <w:lang w:val="en-AU"/>
        </w:rPr>
      </w:pPr>
      <w:r w:rsidRPr="00A13B9A">
        <w:rPr>
          <w:lang w:val="en-AU"/>
        </w:rPr>
        <w:t>International Journal for Quality in Health Care 2014 [epub].</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7118" w:rsidRPr="00A13B9A" w:rsidRDefault="00B62B1F" w:rsidP="00B62B1F">
            <w:pPr>
              <w:rPr>
                <w:lang w:val="en-AU"/>
              </w:rPr>
            </w:pPr>
            <w:r w:rsidRPr="00A13B9A">
              <w:rPr>
                <w:lang w:val="en-AU"/>
              </w:rPr>
              <w:t xml:space="preserve">A forthcoming supplement to the </w:t>
            </w:r>
            <w:r w:rsidRPr="00A13B9A">
              <w:rPr>
                <w:i/>
                <w:lang w:val="en-AU"/>
              </w:rPr>
              <w:t>International Journal for Quality in Health Care</w:t>
            </w:r>
            <w:r w:rsidRPr="00A13B9A">
              <w:rPr>
                <w:lang w:val="en-AU"/>
              </w:rPr>
              <w:t xml:space="preserve"> focuses on the Deepening our Understanding of Quality Improvement in Europe (</w:t>
            </w:r>
            <w:proofErr w:type="spellStart"/>
            <w:r w:rsidRPr="00A13B9A">
              <w:rPr>
                <w:lang w:val="en-AU"/>
              </w:rPr>
              <w:t>DUQuE</w:t>
            </w:r>
            <w:proofErr w:type="spellEnd"/>
            <w:r w:rsidRPr="00A13B9A">
              <w:rPr>
                <w:lang w:val="en-AU"/>
              </w:rPr>
              <w:t xml:space="preserve">) </w:t>
            </w:r>
            <w:proofErr w:type="gramStart"/>
            <w:r w:rsidRPr="00A13B9A">
              <w:rPr>
                <w:lang w:val="en-AU"/>
              </w:rPr>
              <w:t>study</w:t>
            </w:r>
            <w:proofErr w:type="gramEnd"/>
            <w:r w:rsidRPr="00A13B9A">
              <w:rPr>
                <w:lang w:val="en-AU"/>
              </w:rPr>
              <w:t>. These papers have been released online ahead of hardcopy publication</w:t>
            </w:r>
            <w:r w:rsidR="00CE7118" w:rsidRPr="00A13B9A">
              <w:rPr>
                <w:lang w:val="en-AU"/>
              </w:rPr>
              <w:t xml:space="preserve"> and were noted in </w:t>
            </w:r>
            <w:r w:rsidR="00CE7118" w:rsidRPr="00A13B9A">
              <w:rPr>
                <w:i/>
                <w:lang w:val="en-AU"/>
              </w:rPr>
              <w:t>On the Radar</w:t>
            </w:r>
            <w:r w:rsidR="00CE7118" w:rsidRPr="00A13B9A">
              <w:rPr>
                <w:lang w:val="en-AU"/>
              </w:rPr>
              <w:t xml:space="preserve"> Issue 166</w:t>
            </w:r>
            <w:r w:rsidR="00DF08B0" w:rsidRPr="00A13B9A">
              <w:rPr>
                <w:lang w:val="en-AU"/>
              </w:rPr>
              <w:t xml:space="preserve"> (the URL is given below)</w:t>
            </w:r>
            <w:r w:rsidRPr="00A13B9A">
              <w:rPr>
                <w:lang w:val="en-AU"/>
              </w:rPr>
              <w:t>.</w:t>
            </w:r>
          </w:p>
          <w:p w:rsidR="00921F29" w:rsidRPr="00A13B9A" w:rsidRDefault="00B62B1F" w:rsidP="00DF08B0">
            <w:pPr>
              <w:rPr>
                <w:lang w:val="en-AU"/>
              </w:rPr>
            </w:pPr>
            <w:r w:rsidRPr="00A13B9A">
              <w:rPr>
                <w:lang w:val="en-AU"/>
              </w:rPr>
              <w:t xml:space="preserve">This editorial </w:t>
            </w:r>
            <w:r w:rsidR="00CE7118" w:rsidRPr="00A13B9A">
              <w:rPr>
                <w:lang w:val="en-AU"/>
              </w:rPr>
              <w:t xml:space="preserve">piece </w:t>
            </w:r>
            <w:r w:rsidRPr="00A13B9A">
              <w:rPr>
                <w:lang w:val="en-AU"/>
              </w:rPr>
              <w:t>reflects on the project and the papers in the supplement.</w:t>
            </w:r>
          </w:p>
          <w:p w:rsidR="008B3D8F" w:rsidRPr="00A13B9A" w:rsidRDefault="00DF08B0" w:rsidP="00DF08B0">
            <w:pPr>
              <w:rPr>
                <w:lang w:val="en-AU"/>
              </w:rPr>
            </w:pPr>
            <w:r w:rsidRPr="00A13B9A">
              <w:rPr>
                <w:lang w:val="en-AU"/>
              </w:rPr>
              <w:t xml:space="preserve">The </w:t>
            </w:r>
            <w:proofErr w:type="spellStart"/>
            <w:r w:rsidRPr="00A13B9A">
              <w:rPr>
                <w:lang w:val="en-AU"/>
              </w:rPr>
              <w:t>DUQuE</w:t>
            </w:r>
            <w:proofErr w:type="spellEnd"/>
            <w:r w:rsidRPr="00A13B9A">
              <w:rPr>
                <w:lang w:val="en-AU"/>
              </w:rPr>
              <w:t xml:space="preserve"> study was launched in 2009 to study the effectiveness of quality improvement systems of hospitals in eight European countries</w:t>
            </w:r>
            <w:r w:rsidR="00921F29" w:rsidRPr="00A13B9A">
              <w:rPr>
                <w:lang w:val="en-AU"/>
              </w:rPr>
              <w:t>.</w:t>
            </w:r>
          </w:p>
          <w:p w:rsidR="00DF08B0" w:rsidRPr="00A13B9A" w:rsidRDefault="00DF08B0" w:rsidP="00DF08B0">
            <w:pPr>
              <w:rPr>
                <w:lang w:val="en-AU"/>
              </w:rPr>
            </w:pPr>
            <w:r w:rsidRPr="00A13B9A">
              <w:rPr>
                <w:lang w:val="en-AU"/>
              </w:rPr>
              <w:t>Among the lessons learnt were a couple relating to feasibility of such studies due to issues such as ‘</w:t>
            </w:r>
            <w:r w:rsidRPr="00A13B9A">
              <w:rPr>
                <w:b/>
                <w:lang w:val="en-AU"/>
              </w:rPr>
              <w:t>quality burn-out</w:t>
            </w:r>
            <w:r w:rsidRPr="00A13B9A">
              <w:rPr>
                <w:lang w:val="en-AU"/>
              </w:rPr>
              <w:t xml:space="preserve">’ and </w:t>
            </w:r>
            <w:r w:rsidRPr="00A13B9A">
              <w:rPr>
                <w:b/>
                <w:lang w:val="en-AU"/>
              </w:rPr>
              <w:t>restrictive research ethics</w:t>
            </w:r>
            <w:r w:rsidRPr="00A13B9A">
              <w:rPr>
                <w:lang w:val="en-AU"/>
              </w:rPr>
              <w:t xml:space="preserve"> criteria. They also observe that there can be a tendency to </w:t>
            </w:r>
            <w:r w:rsidRPr="00A13B9A">
              <w:rPr>
                <w:b/>
                <w:lang w:val="en-AU"/>
              </w:rPr>
              <w:t>measure</w:t>
            </w:r>
            <w:r w:rsidRPr="00A13B9A">
              <w:rPr>
                <w:lang w:val="en-AU"/>
              </w:rPr>
              <w:t xml:space="preserve"> what is easily measured rather than </w:t>
            </w:r>
            <w:r w:rsidRPr="00A13B9A">
              <w:rPr>
                <w:b/>
                <w:lang w:val="en-AU"/>
              </w:rPr>
              <w:t>what is important</w:t>
            </w:r>
            <w:r w:rsidRPr="00A13B9A">
              <w:rPr>
                <w:lang w:val="en-AU"/>
              </w:rPr>
              <w:t>. Questions of how to define quality and how to measure persist.</w:t>
            </w:r>
          </w:p>
          <w:p w:rsidR="00DF08B0" w:rsidRPr="00A13B9A" w:rsidRDefault="00DF08B0" w:rsidP="00DF08B0">
            <w:pPr>
              <w:rPr>
                <w:lang w:val="en-AU"/>
              </w:rPr>
            </w:pPr>
            <w:r w:rsidRPr="00A13B9A">
              <w:rPr>
                <w:lang w:val="en-AU"/>
              </w:rPr>
              <w:t>The authors identify a number of key questions that emerged</w:t>
            </w:r>
            <w:r w:rsidR="00883D78" w:rsidRPr="00A13B9A">
              <w:rPr>
                <w:lang w:val="en-AU"/>
              </w:rPr>
              <w:t>. These include:</w:t>
            </w:r>
          </w:p>
          <w:p w:rsidR="00883D78" w:rsidRPr="00A13B9A" w:rsidRDefault="00883D78" w:rsidP="00883D78">
            <w:pPr>
              <w:rPr>
                <w:lang w:val="en-AU"/>
              </w:rPr>
            </w:pPr>
            <w:r w:rsidRPr="00A13B9A">
              <w:rPr>
                <w:lang w:val="en-AU"/>
              </w:rPr>
              <w:t>“</w:t>
            </w:r>
            <w:r w:rsidRPr="00A13B9A">
              <w:rPr>
                <w:b/>
                <w:lang w:val="en-AU"/>
              </w:rPr>
              <w:t>low baseline performance</w:t>
            </w:r>
            <w:r w:rsidRPr="00A13B9A">
              <w:rPr>
                <w:lang w:val="en-AU"/>
              </w:rPr>
              <w:t xml:space="preserve"> and </w:t>
            </w:r>
            <w:r w:rsidRPr="00A13B9A">
              <w:rPr>
                <w:b/>
                <w:lang w:val="en-AU"/>
              </w:rPr>
              <w:t>high variations</w:t>
            </w:r>
            <w:r w:rsidRPr="00A13B9A">
              <w:rPr>
                <w:lang w:val="en-AU"/>
              </w:rPr>
              <w:t xml:space="preserve"> on a wide range of quality and safety indicators”</w:t>
            </w:r>
          </w:p>
          <w:p w:rsidR="00883D78" w:rsidRPr="00A13B9A" w:rsidRDefault="00883D78" w:rsidP="00883D78">
            <w:pPr>
              <w:rPr>
                <w:lang w:val="en-AU"/>
              </w:rPr>
            </w:pPr>
            <w:r w:rsidRPr="00A13B9A">
              <w:rPr>
                <w:lang w:val="en-AU"/>
              </w:rPr>
              <w:t>“</w:t>
            </w:r>
            <w:r w:rsidRPr="00A13B9A">
              <w:rPr>
                <w:b/>
                <w:lang w:val="en-AU"/>
              </w:rPr>
              <w:t>quality management systems are not always implemented systematically</w:t>
            </w:r>
            <w:r w:rsidRPr="00A13B9A">
              <w:rPr>
                <w:lang w:val="en-AU"/>
              </w:rPr>
              <w:t xml:space="preserve"> and …the extent to which they support the clinical work may be limited”</w:t>
            </w:r>
          </w:p>
          <w:p w:rsidR="00883D78" w:rsidRPr="00A13B9A" w:rsidRDefault="00883D78" w:rsidP="00883D78">
            <w:pPr>
              <w:rPr>
                <w:lang w:val="en-AU"/>
              </w:rPr>
            </w:pPr>
            <w:r w:rsidRPr="00A13B9A">
              <w:rPr>
                <w:lang w:val="en-AU"/>
              </w:rPr>
              <w:t xml:space="preserve">“a combination of </w:t>
            </w:r>
            <w:r w:rsidRPr="00A13B9A">
              <w:rPr>
                <w:b/>
                <w:lang w:val="en-AU"/>
              </w:rPr>
              <w:t>departmental level quality strategies</w:t>
            </w:r>
            <w:r w:rsidRPr="00A13B9A">
              <w:rPr>
                <w:lang w:val="en-AU"/>
              </w:rPr>
              <w:t xml:space="preserve"> is highly associated with achievement of best practice”</w:t>
            </w:r>
          </w:p>
          <w:p w:rsidR="00883D78" w:rsidRPr="00A13B9A" w:rsidRDefault="00883D78" w:rsidP="00883D78">
            <w:pPr>
              <w:rPr>
                <w:lang w:val="en-AU"/>
              </w:rPr>
            </w:pPr>
            <w:r w:rsidRPr="00A13B9A">
              <w:rPr>
                <w:lang w:val="en-AU"/>
              </w:rPr>
              <w:t>“if quality is accepted to embrace dimensions of clinical effectiveness, safety and patient-</w:t>
            </w:r>
            <w:proofErr w:type="spellStart"/>
            <w:r w:rsidRPr="00A13B9A">
              <w:rPr>
                <w:lang w:val="en-AU"/>
              </w:rPr>
              <w:t>centredness</w:t>
            </w:r>
            <w:proofErr w:type="spellEnd"/>
            <w:r w:rsidRPr="00A13B9A">
              <w:rPr>
                <w:lang w:val="en-AU"/>
              </w:rPr>
              <w:t xml:space="preserve">, then further work should address how best to </w:t>
            </w:r>
            <w:r w:rsidRPr="00A13B9A">
              <w:rPr>
                <w:b/>
                <w:lang w:val="en-AU"/>
              </w:rPr>
              <w:t>improve patient’s experience</w:t>
            </w:r>
            <w:r w:rsidRPr="00A13B9A">
              <w:rPr>
                <w:lang w:val="en-AU"/>
              </w:rPr>
              <w:t xml:space="preserve"> with care”</w:t>
            </w:r>
          </w:p>
          <w:p w:rsidR="00883D78" w:rsidRPr="00A13B9A" w:rsidRDefault="00883D78" w:rsidP="00883D78">
            <w:pPr>
              <w:rPr>
                <w:lang w:val="en-AU"/>
              </w:rPr>
            </w:pPr>
            <w:r w:rsidRPr="00A13B9A">
              <w:rPr>
                <w:lang w:val="en-AU"/>
              </w:rPr>
              <w:t xml:space="preserve">“Levels of </w:t>
            </w:r>
            <w:r w:rsidRPr="00A13B9A">
              <w:rPr>
                <w:b/>
                <w:lang w:val="en-AU"/>
              </w:rPr>
              <w:t>patient involvement</w:t>
            </w:r>
            <w:r w:rsidRPr="00A13B9A">
              <w:rPr>
                <w:lang w:val="en-AU"/>
              </w:rPr>
              <w:t xml:space="preserve"> are low”.</w:t>
            </w:r>
          </w:p>
          <w:p w:rsidR="00883D78" w:rsidRPr="00A13B9A" w:rsidRDefault="00883D78" w:rsidP="00883D78">
            <w:pPr>
              <w:rPr>
                <w:lang w:val="en-AU"/>
              </w:rPr>
            </w:pPr>
            <w:r w:rsidRPr="00A13B9A">
              <w:rPr>
                <w:lang w:val="en-AU"/>
              </w:rPr>
              <w:t xml:space="preserve">The authors also note that variation is prevalent and that that is “a </w:t>
            </w:r>
            <w:r w:rsidRPr="00A13B9A">
              <w:rPr>
                <w:b/>
                <w:lang w:val="en-AU"/>
              </w:rPr>
              <w:t>wider variation within countries than between them</w:t>
            </w:r>
            <w:r w:rsidRPr="00A13B9A">
              <w:rPr>
                <w:lang w:val="en-AU"/>
              </w:rPr>
              <w:t>.”</w:t>
            </w:r>
          </w:p>
          <w:p w:rsidR="00883D78" w:rsidRPr="00A13B9A" w:rsidRDefault="00883D78" w:rsidP="00883D78">
            <w:pPr>
              <w:rPr>
                <w:lang w:val="en-AU"/>
              </w:rPr>
            </w:pPr>
            <w:r w:rsidRPr="00A13B9A">
              <w:rPr>
                <w:lang w:val="en-AU"/>
              </w:rPr>
              <w:t xml:space="preserve">In addition to the various papers from the project, there is also a guide, </w:t>
            </w:r>
            <w:r w:rsidRPr="00A13B9A">
              <w:rPr>
                <w:i/>
                <w:lang w:val="en-AU"/>
              </w:rPr>
              <w:t>An evidence-based guide of effective quality and safety strategies</w:t>
            </w:r>
            <w:r w:rsidRPr="00A13B9A">
              <w:rPr>
                <w:lang w:val="en-AU"/>
              </w:rPr>
              <w:t xml:space="preserve"> that should be </w:t>
            </w:r>
            <w:r w:rsidR="000C64A7" w:rsidRPr="00A13B9A">
              <w:rPr>
                <w:lang w:val="en-AU"/>
              </w:rPr>
              <w:t xml:space="preserve">available </w:t>
            </w:r>
            <w:r w:rsidRPr="00A13B9A">
              <w:rPr>
                <w:lang w:val="en-AU"/>
              </w:rPr>
              <w:t xml:space="preserve">from the project website at </w:t>
            </w:r>
            <w:hyperlink r:id="rId22" w:history="1">
              <w:r w:rsidRPr="00A13B9A">
                <w:rPr>
                  <w:rStyle w:val="Hyperlink"/>
                  <w:lang w:val="en-AU"/>
                </w:rPr>
                <w:t>www.duque.eu</w:t>
              </w:r>
            </w:hyperlink>
          </w:p>
        </w:tc>
      </w:tr>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DF08B0" w:rsidP="003550AB">
            <w:pPr>
              <w:rPr>
                <w:lang w:val="en-AU"/>
              </w:rPr>
            </w:pPr>
            <w:r w:rsidRPr="00A13B9A">
              <w:rPr>
                <w:lang w:val="en-AU"/>
              </w:rPr>
              <w:t xml:space="preserve">DOI / </w:t>
            </w:r>
            <w:r w:rsidR="00CE7118" w:rsidRPr="00A13B9A">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F08B0" w:rsidRDefault="005C0FF9" w:rsidP="003550AB">
            <w:pPr>
              <w:rPr>
                <w:rStyle w:val="Hyperlink"/>
                <w:lang w:val="en-AU"/>
              </w:rPr>
            </w:pPr>
            <w:hyperlink r:id="rId23" w:history="1">
              <w:r w:rsidR="004840AB" w:rsidRPr="000F2950">
                <w:rPr>
                  <w:rStyle w:val="Hyperlink"/>
                  <w:lang w:val="en-AU"/>
                </w:rPr>
                <w:t>http://dx.doi.org/10.1093/intqhc/mzu025</w:t>
              </w:r>
            </w:hyperlink>
          </w:p>
          <w:p w:rsidR="00B62B1F" w:rsidRPr="00A13B9A" w:rsidRDefault="004840AB" w:rsidP="003550AB">
            <w:pPr>
              <w:rPr>
                <w:lang w:val="en-AU"/>
              </w:rPr>
            </w:pPr>
            <w:hyperlink r:id="rId24" w:history="1">
              <w:r w:rsidRPr="000F2950">
                <w:rPr>
                  <w:rStyle w:val="Hyperlink"/>
                  <w:lang w:val="en-AU"/>
                </w:rPr>
                <w:t>http://intqhc.oxfordjournals.org/content/early/recent?papetoc</w:t>
              </w:r>
            </w:hyperlink>
          </w:p>
        </w:tc>
      </w:tr>
      <w:tr w:rsidR="00B62B1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B62B1F" w:rsidRPr="00A13B9A" w:rsidRDefault="00B62B1F" w:rsidP="003550AB">
            <w:pPr>
              <w:rPr>
                <w:lang w:val="en-AU"/>
              </w:rPr>
            </w:pPr>
            <w:r w:rsidRPr="00A13B9A">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B62B1F" w:rsidRPr="00A13B9A" w:rsidRDefault="00B62B1F" w:rsidP="003550AB">
            <w:pPr>
              <w:rPr>
                <w:lang w:val="en-AU"/>
              </w:rPr>
            </w:pPr>
            <w:r w:rsidRPr="00A13B9A">
              <w:rPr>
                <w:lang w:val="en-AU"/>
              </w:rPr>
              <w:t>D14-10939</w:t>
            </w:r>
          </w:p>
          <w:p w:rsidR="00B62B1F" w:rsidRPr="00A13B9A" w:rsidRDefault="00DF08B0" w:rsidP="00921F29">
            <w:pPr>
              <w:rPr>
                <w:lang w:val="en-AU"/>
              </w:rPr>
            </w:pPr>
            <w:proofErr w:type="spellStart"/>
            <w:r w:rsidRPr="00A13B9A">
              <w:rPr>
                <w:lang w:val="en-AU"/>
              </w:rPr>
              <w:t>DUQuE</w:t>
            </w:r>
            <w:proofErr w:type="spellEnd"/>
            <w:r w:rsidRPr="00A13B9A">
              <w:rPr>
                <w:lang w:val="en-AU"/>
              </w:rPr>
              <w:t xml:space="preserve"> study </w:t>
            </w:r>
            <w:r w:rsidR="00B62B1F" w:rsidRPr="00A13B9A">
              <w:rPr>
                <w:lang w:val="en-AU"/>
              </w:rPr>
              <w:t xml:space="preserve">papers are </w:t>
            </w:r>
            <w:r w:rsidRPr="00A13B9A">
              <w:rPr>
                <w:lang w:val="en-AU"/>
              </w:rPr>
              <w:t xml:space="preserve">at </w:t>
            </w:r>
            <w:r w:rsidR="00B62B1F" w:rsidRPr="00A13B9A">
              <w:rPr>
                <w:lang w:val="en-AU"/>
              </w:rPr>
              <w:t>D14-10937, D14-10940, D14-10942,</w:t>
            </w:r>
            <w:r w:rsidR="00CE7118" w:rsidRPr="00A13B9A">
              <w:rPr>
                <w:lang w:val="en-AU"/>
              </w:rPr>
              <w:t xml:space="preserve"> D14-10943,</w:t>
            </w:r>
            <w:r w:rsidR="00B62B1F" w:rsidRPr="00A13B9A">
              <w:rPr>
                <w:lang w:val="en-AU"/>
              </w:rPr>
              <w:t xml:space="preserve"> D14</w:t>
            </w:r>
            <w:r w:rsidR="00921F29" w:rsidRPr="00A13B9A">
              <w:rPr>
                <w:lang w:val="en-AU"/>
              </w:rPr>
              <w:noBreakHyphen/>
            </w:r>
            <w:r w:rsidR="00B62B1F" w:rsidRPr="00A13B9A">
              <w:rPr>
                <w:lang w:val="en-AU"/>
              </w:rPr>
              <w:t>10946,</w:t>
            </w:r>
            <w:r w:rsidR="00921F29" w:rsidRPr="00A13B9A">
              <w:rPr>
                <w:lang w:val="en-AU"/>
              </w:rPr>
              <w:t xml:space="preserve"> </w:t>
            </w:r>
            <w:r w:rsidR="00CE7118" w:rsidRPr="00A13B9A">
              <w:rPr>
                <w:lang w:val="en-AU"/>
              </w:rPr>
              <w:t>D14-10947</w:t>
            </w:r>
          </w:p>
        </w:tc>
      </w:tr>
    </w:tbl>
    <w:p w:rsidR="007D6B22" w:rsidRPr="003C46B0" w:rsidRDefault="007D6B22" w:rsidP="007D6B22">
      <w:pPr>
        <w:keepNext/>
        <w:autoSpaceDE w:val="0"/>
        <w:autoSpaceDN w:val="0"/>
        <w:adjustRightInd w:val="0"/>
        <w:rPr>
          <w:i/>
          <w:lang w:val="en-AU"/>
        </w:rPr>
      </w:pPr>
      <w:r w:rsidRPr="007D6B22">
        <w:rPr>
          <w:lang w:val="en-AU"/>
        </w:rPr>
        <w:lastRenderedPageBreak/>
        <w:t xml:space="preserve">Staphylococcus </w:t>
      </w:r>
      <w:proofErr w:type="spellStart"/>
      <w:r w:rsidRPr="007D6B22">
        <w:rPr>
          <w:lang w:val="en-AU"/>
        </w:rPr>
        <w:t>aureus</w:t>
      </w:r>
      <w:proofErr w:type="spellEnd"/>
      <w:r w:rsidRPr="003C46B0">
        <w:rPr>
          <w:i/>
          <w:lang w:val="en-AU"/>
        </w:rPr>
        <w:t xml:space="preserve"> bloodstream infection in Australian hospitals: findings from a Victorian surveillance system. </w:t>
      </w:r>
    </w:p>
    <w:p w:rsidR="007D6B22" w:rsidRDefault="007D6B22" w:rsidP="007D6B22">
      <w:pPr>
        <w:keepNext/>
        <w:autoSpaceDE w:val="0"/>
        <w:autoSpaceDN w:val="0"/>
        <w:adjustRightInd w:val="0"/>
        <w:rPr>
          <w:lang w:val="en-AU"/>
        </w:rPr>
      </w:pPr>
      <w:proofErr w:type="gramStart"/>
      <w:r w:rsidRPr="003C46B0">
        <w:rPr>
          <w:lang w:val="en-AU"/>
        </w:rPr>
        <w:t>Worth LJ, Spelman T, Bull AL, Richards MJ.</w:t>
      </w:r>
      <w:proofErr w:type="gramEnd"/>
    </w:p>
    <w:p w:rsidR="007D6B22" w:rsidRPr="00A13B9A" w:rsidRDefault="007D6B22" w:rsidP="007D6B22">
      <w:pPr>
        <w:keepNext/>
        <w:autoSpaceDE w:val="0"/>
        <w:autoSpaceDN w:val="0"/>
        <w:adjustRightInd w:val="0"/>
        <w:rPr>
          <w:lang w:val="en-AU"/>
        </w:rPr>
      </w:pPr>
      <w:r w:rsidRPr="003C46B0">
        <w:rPr>
          <w:lang w:val="en-AU"/>
        </w:rPr>
        <w:t xml:space="preserve">Med J </w:t>
      </w:r>
      <w:proofErr w:type="spellStart"/>
      <w:r w:rsidRPr="003C46B0">
        <w:rPr>
          <w:lang w:val="en-AU"/>
        </w:rPr>
        <w:t>Aust</w:t>
      </w:r>
      <w:proofErr w:type="spellEnd"/>
      <w:r w:rsidRPr="003C46B0">
        <w:rPr>
          <w:lang w:val="en-AU"/>
        </w:rPr>
        <w:t xml:space="preserve"> 2014</w:t>
      </w:r>
      <w:proofErr w:type="gramStart"/>
      <w:r w:rsidRPr="003C46B0">
        <w:rPr>
          <w:lang w:val="en-AU"/>
        </w:rPr>
        <w:t>;200</w:t>
      </w:r>
      <w:proofErr w:type="gramEnd"/>
      <w:r>
        <w:rPr>
          <w:lang w:val="en-AU"/>
        </w:rPr>
        <w:t xml:space="preserve"> </w:t>
      </w:r>
      <w:r w:rsidRPr="003C46B0">
        <w:rPr>
          <w:lang w:val="en-AU"/>
        </w:rPr>
        <w:t>(5):282-284</w:t>
      </w:r>
    </w:p>
    <w:tbl>
      <w:tblPr>
        <w:tblStyle w:val="TableGrid"/>
        <w:tblW w:w="0" w:type="auto"/>
        <w:tblInd w:w="288" w:type="dxa"/>
        <w:tblLayout w:type="fixed"/>
        <w:tblLook w:val="01E0" w:firstRow="1" w:lastRow="1" w:firstColumn="1" w:lastColumn="1" w:noHBand="0" w:noVBand="0"/>
      </w:tblPr>
      <w:tblGrid>
        <w:gridCol w:w="1080"/>
        <w:gridCol w:w="8280"/>
      </w:tblGrid>
      <w:tr w:rsidR="007D6B22" w:rsidRPr="00A13B9A" w:rsidTr="00160C8F">
        <w:tc>
          <w:tcPr>
            <w:tcW w:w="1080" w:type="dxa"/>
            <w:tcBorders>
              <w:top w:val="single" w:sz="4" w:space="0" w:color="auto"/>
              <w:left w:val="single" w:sz="4" w:space="0" w:color="auto"/>
              <w:bottom w:val="single" w:sz="4" w:space="0" w:color="auto"/>
              <w:right w:val="single" w:sz="4" w:space="0" w:color="auto"/>
            </w:tcBorders>
            <w:vAlign w:val="center"/>
          </w:tcPr>
          <w:p w:rsidR="007D6B22" w:rsidRPr="00A13B9A" w:rsidRDefault="007D6B22" w:rsidP="00160C8F">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6B22" w:rsidRPr="00A13B9A" w:rsidRDefault="007D6B22" w:rsidP="007D6B22">
            <w:pPr>
              <w:rPr>
                <w:lang w:val="en-AU"/>
              </w:rPr>
            </w:pPr>
            <w:r w:rsidRPr="003C46B0">
              <w:rPr>
                <w:lang w:val="en-AU"/>
              </w:rPr>
              <w:t xml:space="preserve">Surveillance of infection rates is an essential element of reducing the incidence of health-care acquired infections. Reporting on 3 years of Victorian data, Worth et al describe a state-wide decline in the rate of </w:t>
            </w:r>
            <w:r>
              <w:rPr>
                <w:i/>
                <w:lang w:val="en-AU"/>
              </w:rPr>
              <w:t>S</w:t>
            </w:r>
            <w:r w:rsidRPr="003C46B0">
              <w:rPr>
                <w:i/>
                <w:lang w:val="en-AU"/>
              </w:rPr>
              <w:t xml:space="preserve">taphylococcus </w:t>
            </w:r>
            <w:proofErr w:type="spellStart"/>
            <w:r w:rsidRPr="003C46B0">
              <w:rPr>
                <w:i/>
                <w:lang w:val="en-AU"/>
              </w:rPr>
              <w:t>aureus</w:t>
            </w:r>
            <w:proofErr w:type="spellEnd"/>
            <w:r w:rsidRPr="003C46B0">
              <w:rPr>
                <w:lang w:val="en-AU"/>
              </w:rPr>
              <w:t xml:space="preserve"> bloodstream infections over the surveillance period, </w:t>
            </w:r>
            <w:r>
              <w:rPr>
                <w:lang w:val="en-AU"/>
              </w:rPr>
              <w:t xml:space="preserve">collected </w:t>
            </w:r>
            <w:r w:rsidRPr="003C46B0">
              <w:rPr>
                <w:lang w:val="en-AU"/>
              </w:rPr>
              <w:t xml:space="preserve">using a standardised module based on ACSQHC </w:t>
            </w:r>
            <w:hyperlink r:id="rId25" w:history="1">
              <w:r w:rsidRPr="00274579">
                <w:rPr>
                  <w:rStyle w:val="Hyperlink"/>
                  <w:lang w:val="en-AU"/>
                </w:rPr>
                <w:t>definitions</w:t>
              </w:r>
            </w:hyperlink>
            <w:r w:rsidRPr="003C46B0">
              <w:rPr>
                <w:lang w:val="en-AU"/>
              </w:rPr>
              <w:t>. Of health-care acquired infections that occurred within 48 hours of admission, 68.9% were complications from an indwelling medical device, suggesting a worthwhile target for preventive activities.</w:t>
            </w:r>
          </w:p>
        </w:tc>
      </w:tr>
      <w:tr w:rsidR="007D6B22" w:rsidRPr="00A13B9A" w:rsidTr="00160C8F">
        <w:tc>
          <w:tcPr>
            <w:tcW w:w="1080" w:type="dxa"/>
            <w:tcBorders>
              <w:top w:val="single" w:sz="4" w:space="0" w:color="auto"/>
              <w:left w:val="single" w:sz="4" w:space="0" w:color="auto"/>
              <w:bottom w:val="single" w:sz="4" w:space="0" w:color="auto"/>
              <w:right w:val="single" w:sz="4" w:space="0" w:color="auto"/>
            </w:tcBorders>
            <w:vAlign w:val="center"/>
          </w:tcPr>
          <w:p w:rsidR="007D6B22" w:rsidRPr="00A13B9A" w:rsidRDefault="007D6B22" w:rsidP="00160C8F">
            <w:pPr>
              <w:rPr>
                <w:lang w:val="en-AU"/>
              </w:rPr>
            </w:pPr>
            <w:r w:rsidRPr="00A13B9A">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6B22" w:rsidRPr="00A13B9A" w:rsidRDefault="005C0FF9" w:rsidP="00160C8F">
            <w:pPr>
              <w:rPr>
                <w:lang w:val="en-AU"/>
              </w:rPr>
            </w:pPr>
            <w:hyperlink r:id="rId26" w:history="1">
              <w:r w:rsidR="007D6B22" w:rsidRPr="00A81E0C">
                <w:rPr>
                  <w:rStyle w:val="Hyperlink"/>
                  <w:lang w:val="en-AU"/>
                </w:rPr>
                <w:t>http://dx.doi.org/10.5694/mja13.10599</w:t>
              </w:r>
            </w:hyperlink>
          </w:p>
        </w:tc>
      </w:tr>
    </w:tbl>
    <w:p w:rsidR="007D6B22" w:rsidRPr="00A13B9A" w:rsidRDefault="007D6B22" w:rsidP="007D6B22">
      <w:pPr>
        <w:rPr>
          <w:i/>
          <w:lang w:val="en-AU"/>
        </w:rPr>
      </w:pPr>
    </w:p>
    <w:p w:rsidR="00100270" w:rsidRPr="00A13B9A" w:rsidRDefault="00100270" w:rsidP="00100270">
      <w:pPr>
        <w:keepNext/>
        <w:autoSpaceDE w:val="0"/>
        <w:autoSpaceDN w:val="0"/>
        <w:adjustRightInd w:val="0"/>
        <w:rPr>
          <w:i/>
          <w:lang w:val="en-AU"/>
        </w:rPr>
      </w:pPr>
      <w:r w:rsidRPr="00A13B9A">
        <w:rPr>
          <w:i/>
          <w:lang w:val="en-AU"/>
        </w:rPr>
        <w:t>Surgical ward round quality and impact on variable patient outcomes</w:t>
      </w:r>
    </w:p>
    <w:p w:rsidR="00100270" w:rsidRPr="00A13B9A" w:rsidRDefault="00100270" w:rsidP="008B3D8F">
      <w:pPr>
        <w:keepNext/>
        <w:autoSpaceDE w:val="0"/>
        <w:autoSpaceDN w:val="0"/>
        <w:adjustRightInd w:val="0"/>
        <w:rPr>
          <w:lang w:val="en-AU"/>
        </w:rPr>
      </w:pPr>
      <w:proofErr w:type="spellStart"/>
      <w:r w:rsidRPr="00A13B9A">
        <w:rPr>
          <w:lang w:val="en-AU"/>
        </w:rPr>
        <w:t>Pucher</w:t>
      </w:r>
      <w:proofErr w:type="spellEnd"/>
      <w:r w:rsidRPr="00A13B9A">
        <w:rPr>
          <w:lang w:val="en-AU"/>
        </w:rPr>
        <w:t xml:space="preserve"> PH, Aggarwal R, Darzi A</w:t>
      </w:r>
    </w:p>
    <w:p w:rsidR="008B3D8F" w:rsidRPr="00A13B9A" w:rsidRDefault="00100270" w:rsidP="008B3D8F">
      <w:pPr>
        <w:keepNext/>
        <w:autoSpaceDE w:val="0"/>
        <w:autoSpaceDN w:val="0"/>
        <w:adjustRightInd w:val="0"/>
        <w:rPr>
          <w:lang w:val="en-AU"/>
        </w:rPr>
      </w:pPr>
      <w:r w:rsidRPr="00A13B9A">
        <w:rPr>
          <w:lang w:val="en-AU"/>
        </w:rPr>
        <w:t xml:space="preserve">Ann </w:t>
      </w:r>
      <w:proofErr w:type="spellStart"/>
      <w:r w:rsidRPr="00A13B9A">
        <w:rPr>
          <w:lang w:val="en-AU"/>
        </w:rPr>
        <w:t>Surg</w:t>
      </w:r>
      <w:proofErr w:type="spellEnd"/>
      <w:r w:rsidRPr="00A13B9A">
        <w:rPr>
          <w:lang w:val="en-AU"/>
        </w:rPr>
        <w:t xml:space="preserve"> 2014</w:t>
      </w:r>
      <w:proofErr w:type="gramStart"/>
      <w:r w:rsidRPr="00A13B9A">
        <w:rPr>
          <w:lang w:val="en-AU"/>
        </w:rPr>
        <w:t>;259</w:t>
      </w:r>
      <w:proofErr w:type="gramEnd"/>
      <w:r w:rsidRPr="00A13B9A">
        <w:rPr>
          <w:lang w:val="en-AU"/>
        </w:rPr>
        <w:t>(2):222-226.</w:t>
      </w:r>
    </w:p>
    <w:p w:rsidR="00100270" w:rsidRPr="00A13B9A" w:rsidRDefault="00100270" w:rsidP="008B3D8F">
      <w:pPr>
        <w:keepNext/>
        <w:autoSpaceDE w:val="0"/>
        <w:autoSpaceDN w:val="0"/>
        <w:adjustRightInd w:val="0"/>
        <w:rPr>
          <w:lang w:val="en-AU"/>
        </w:rPr>
      </w:pPr>
    </w:p>
    <w:p w:rsidR="00100270" w:rsidRPr="00A13B9A" w:rsidRDefault="00100270" w:rsidP="00100270">
      <w:pPr>
        <w:keepNext/>
        <w:autoSpaceDE w:val="0"/>
        <w:autoSpaceDN w:val="0"/>
        <w:adjustRightInd w:val="0"/>
        <w:rPr>
          <w:i/>
          <w:lang w:val="en-AU"/>
        </w:rPr>
      </w:pPr>
      <w:r w:rsidRPr="00A13B9A">
        <w:rPr>
          <w:i/>
          <w:lang w:val="en-AU"/>
        </w:rPr>
        <w:t xml:space="preserve">Hospital readmission after </w:t>
      </w:r>
      <w:proofErr w:type="spellStart"/>
      <w:r w:rsidRPr="00A13B9A">
        <w:rPr>
          <w:i/>
          <w:lang w:val="en-AU"/>
        </w:rPr>
        <w:t>noncardiac</w:t>
      </w:r>
      <w:proofErr w:type="spellEnd"/>
      <w:r w:rsidRPr="00A13B9A">
        <w:rPr>
          <w:i/>
          <w:lang w:val="en-AU"/>
        </w:rPr>
        <w:t xml:space="preserve"> surgery: The role of major complications</w:t>
      </w:r>
    </w:p>
    <w:p w:rsidR="00100270" w:rsidRPr="00A13B9A" w:rsidRDefault="00100270" w:rsidP="008B3D8F">
      <w:pPr>
        <w:keepNext/>
        <w:autoSpaceDE w:val="0"/>
        <w:autoSpaceDN w:val="0"/>
        <w:adjustRightInd w:val="0"/>
        <w:rPr>
          <w:lang w:val="en-AU"/>
        </w:rPr>
      </w:pPr>
      <w:r w:rsidRPr="00A13B9A">
        <w:rPr>
          <w:lang w:val="en-AU"/>
        </w:rPr>
        <w:t xml:space="preserve">Glance LG, </w:t>
      </w:r>
      <w:proofErr w:type="spellStart"/>
      <w:r w:rsidRPr="00A13B9A">
        <w:rPr>
          <w:lang w:val="en-AU"/>
        </w:rPr>
        <w:t>Kellermann</w:t>
      </w:r>
      <w:proofErr w:type="spellEnd"/>
      <w:r w:rsidRPr="00A13B9A">
        <w:rPr>
          <w:lang w:val="en-AU"/>
        </w:rPr>
        <w:t xml:space="preserve"> AL, Osler TM, Li Y, </w:t>
      </w:r>
      <w:proofErr w:type="spellStart"/>
      <w:r w:rsidRPr="00A13B9A">
        <w:rPr>
          <w:lang w:val="en-AU"/>
        </w:rPr>
        <w:t>Mukamel</w:t>
      </w:r>
      <w:proofErr w:type="spellEnd"/>
      <w:r w:rsidRPr="00A13B9A">
        <w:rPr>
          <w:lang w:val="en-AU"/>
        </w:rPr>
        <w:t xml:space="preserve"> DB, </w:t>
      </w:r>
      <w:proofErr w:type="spellStart"/>
      <w:r w:rsidRPr="00A13B9A">
        <w:rPr>
          <w:lang w:val="en-AU"/>
        </w:rPr>
        <w:t>Lustik</w:t>
      </w:r>
      <w:proofErr w:type="spellEnd"/>
      <w:r w:rsidRPr="00A13B9A">
        <w:rPr>
          <w:lang w:val="en-AU"/>
        </w:rPr>
        <w:t xml:space="preserve"> SJ, et al. </w:t>
      </w:r>
    </w:p>
    <w:p w:rsidR="00100270" w:rsidRPr="00A13B9A" w:rsidRDefault="00100270" w:rsidP="008B3D8F">
      <w:pPr>
        <w:keepNext/>
        <w:autoSpaceDE w:val="0"/>
        <w:autoSpaceDN w:val="0"/>
        <w:adjustRightInd w:val="0"/>
        <w:rPr>
          <w:lang w:val="en-AU"/>
        </w:rPr>
      </w:pPr>
      <w:r w:rsidRPr="00A13B9A">
        <w:rPr>
          <w:lang w:val="en-AU"/>
        </w:rPr>
        <w:t>JAMA Surgery 2014 [epub].</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A13B9A" w:rsidRDefault="00901CE3" w:rsidP="003550AB">
            <w:pPr>
              <w:rPr>
                <w:lang w:val="en-AU"/>
              </w:rPr>
            </w:pPr>
            <w:r w:rsidRPr="00A13B9A">
              <w:rPr>
                <w:lang w:val="en-AU"/>
              </w:rPr>
              <w:t>A pair of items relating to surgical complications, one suggesting better ward rounds could ameliorate complications, the other suggesting that use a risk calculator could also help better identify those patients at risk of complications.</w:t>
            </w:r>
          </w:p>
          <w:p w:rsidR="00100270" w:rsidRPr="00A13B9A" w:rsidRDefault="00296951" w:rsidP="003550AB">
            <w:pPr>
              <w:rPr>
                <w:lang w:val="en-AU"/>
              </w:rPr>
            </w:pPr>
            <w:proofErr w:type="spellStart"/>
            <w:r w:rsidRPr="00A13B9A">
              <w:rPr>
                <w:lang w:val="en-AU"/>
              </w:rPr>
              <w:t>Pucher</w:t>
            </w:r>
            <w:proofErr w:type="spellEnd"/>
            <w:r w:rsidRPr="00A13B9A">
              <w:rPr>
                <w:lang w:val="en-AU"/>
              </w:rPr>
              <w:t xml:space="preserve"> et al </w:t>
            </w:r>
            <w:r w:rsidR="00104745" w:rsidRPr="00A13B9A">
              <w:rPr>
                <w:lang w:val="en-AU"/>
              </w:rPr>
              <w:t xml:space="preserve">report on an observational study—of 69 ward rounds (WRs) over 37 days for 50 patients receiving care in a high-dependency unit—noting that “Patient assessment during WRs is variable. </w:t>
            </w:r>
            <w:r w:rsidR="00104745" w:rsidRPr="00A13B9A">
              <w:rPr>
                <w:b/>
                <w:lang w:val="en-AU"/>
              </w:rPr>
              <w:t>Less thorough WRs result in delayed diagnoses and preventable complications</w:t>
            </w:r>
            <w:r w:rsidR="00104745" w:rsidRPr="00A13B9A">
              <w:rPr>
                <w:lang w:val="en-AU"/>
              </w:rPr>
              <w:t>, and they negatively affect outcomes. Focusing on WR quality and training may improve patient care.”</w:t>
            </w:r>
          </w:p>
          <w:p w:rsidR="00104745" w:rsidRPr="00A13B9A" w:rsidRDefault="00104745" w:rsidP="00104745">
            <w:pPr>
              <w:rPr>
                <w:lang w:val="en-AU"/>
              </w:rPr>
            </w:pPr>
            <w:r w:rsidRPr="00A13B9A">
              <w:rPr>
                <w:lang w:val="en-AU"/>
              </w:rPr>
              <w:t xml:space="preserve">Glance et al used a much larger </w:t>
            </w:r>
            <w:r w:rsidR="00F64871" w:rsidRPr="00A13B9A">
              <w:rPr>
                <w:lang w:val="en-AU"/>
              </w:rPr>
              <w:t>dataset</w:t>
            </w:r>
            <w:r w:rsidRPr="00A13B9A">
              <w:rPr>
                <w:lang w:val="en-AU"/>
              </w:rPr>
              <w:t xml:space="preserve">, some 142 232 admissions in the American College of Surgeons National Surgical Quality Improvement Program (ACS NSQIP) registry for major </w:t>
            </w:r>
            <w:proofErr w:type="spellStart"/>
            <w:r w:rsidRPr="00A13B9A">
              <w:rPr>
                <w:lang w:val="en-AU"/>
              </w:rPr>
              <w:t>noncardiac</w:t>
            </w:r>
            <w:proofErr w:type="spellEnd"/>
            <w:r w:rsidRPr="00A13B9A">
              <w:rPr>
                <w:lang w:val="en-AU"/>
              </w:rPr>
              <w:t xml:space="preserve"> surgery, in order to examine whether it would be possible to predict risk of major complications for identifying surgical patients at risk for rehospitalisation. They found that of 143 232 patients undergoing </w:t>
            </w:r>
            <w:proofErr w:type="spellStart"/>
            <w:r w:rsidRPr="00A13B9A">
              <w:rPr>
                <w:lang w:val="en-AU"/>
              </w:rPr>
              <w:t>noncardiac</w:t>
            </w:r>
            <w:proofErr w:type="spellEnd"/>
            <w:r w:rsidRPr="00A13B9A">
              <w:rPr>
                <w:lang w:val="en-AU"/>
              </w:rPr>
              <w:t xml:space="preserve"> surgery, </w:t>
            </w:r>
            <w:r w:rsidRPr="00A13B9A">
              <w:rPr>
                <w:b/>
                <w:lang w:val="en-AU"/>
              </w:rPr>
              <w:t>6.8% had unplanned 30-day readmissions</w:t>
            </w:r>
            <w:r w:rsidRPr="00A13B9A">
              <w:rPr>
                <w:lang w:val="en-AU"/>
              </w:rPr>
              <w:t xml:space="preserve">. The rate of unplanned 30-day readmissions was 78.3% for patients with any post-discharge complication, compared with 12.3% for patients with only in-hospital complications and 4.8% for patients without any complications. </w:t>
            </w:r>
          </w:p>
          <w:p w:rsidR="00901CE3" w:rsidRPr="00A13B9A" w:rsidRDefault="00104745" w:rsidP="00104745">
            <w:pPr>
              <w:rPr>
                <w:lang w:val="en-AU"/>
              </w:rPr>
            </w:pPr>
            <w:r w:rsidRPr="00A13B9A">
              <w:rPr>
                <w:lang w:val="en-AU"/>
              </w:rPr>
              <w:t>They also note that “Patients at very high risk for major complications (predicted risk of ACS NSQIP complication &gt;10%) had 10-fold higher odds of readmission compared with patients at very low risk for complications (adjusted odds ratio = 10.35; 95% CI, 9.16-11.70), whereas patients at high (adjusted odds ratio = 6.57; 95% CI, 5.89-7.34) and moderate (adjusted odds ratio = 3.96; 95% CI, 3.57-4.39) risk of complications had 7- and 4-fold higher odds of readmission, respectively.”</w:t>
            </w:r>
          </w:p>
          <w:p w:rsidR="00104745" w:rsidRPr="00A13B9A" w:rsidRDefault="00104745" w:rsidP="00104745">
            <w:pPr>
              <w:rPr>
                <w:lang w:val="en-AU"/>
              </w:rPr>
            </w:pPr>
            <w:r w:rsidRPr="00A13B9A">
              <w:rPr>
                <w:lang w:val="en-AU"/>
              </w:rPr>
              <w:t>Consequently, they suggest that “</w:t>
            </w:r>
            <w:r w:rsidRPr="00A13B9A">
              <w:rPr>
                <w:b/>
                <w:lang w:val="en-AU"/>
              </w:rPr>
              <w:t>Prospective identification of high-risk patients</w:t>
            </w:r>
            <w:r w:rsidRPr="00A13B9A">
              <w:rPr>
                <w:lang w:val="en-AU"/>
              </w:rPr>
              <w:t xml:space="preserve">, using the NSQIP complication risk index, </w:t>
            </w:r>
            <w:r w:rsidRPr="00A13B9A">
              <w:rPr>
                <w:b/>
                <w:lang w:val="en-AU"/>
              </w:rPr>
              <w:t xml:space="preserve">may allow hospitals to reduce unplanned </w:t>
            </w:r>
            <w:proofErr w:type="spellStart"/>
            <w:r w:rsidRPr="00A13B9A">
              <w:rPr>
                <w:b/>
                <w:lang w:val="en-AU"/>
              </w:rPr>
              <w:t>rehospitalizations</w:t>
            </w:r>
            <w:proofErr w:type="spellEnd"/>
            <w:r w:rsidRPr="00A13B9A">
              <w:rPr>
                <w:lang w:val="en-AU"/>
              </w:rPr>
              <w:t>.”</w:t>
            </w:r>
          </w:p>
        </w:tc>
      </w:tr>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0270" w:rsidRPr="00A13B9A" w:rsidRDefault="00100270" w:rsidP="00100270">
            <w:pPr>
              <w:rPr>
                <w:lang w:val="en-AU"/>
              </w:rPr>
            </w:pPr>
            <w:proofErr w:type="spellStart"/>
            <w:r w:rsidRPr="00A13B9A">
              <w:rPr>
                <w:lang w:val="en-AU"/>
              </w:rPr>
              <w:t>Pucher</w:t>
            </w:r>
            <w:proofErr w:type="spellEnd"/>
            <w:r w:rsidRPr="00A13B9A">
              <w:rPr>
                <w:lang w:val="en-AU"/>
              </w:rPr>
              <w:t xml:space="preserve"> et al </w:t>
            </w:r>
            <w:hyperlink r:id="rId27" w:history="1">
              <w:r w:rsidRPr="00A13B9A">
                <w:rPr>
                  <w:rStyle w:val="Hyperlink"/>
                  <w:lang w:val="en-AU"/>
                </w:rPr>
                <w:t>http://dx.doi.org/10.1097/SLA.0000000000000376</w:t>
              </w:r>
            </w:hyperlink>
          </w:p>
          <w:p w:rsidR="008B3D8F" w:rsidRPr="00A13B9A" w:rsidRDefault="00100270" w:rsidP="00100270">
            <w:pPr>
              <w:rPr>
                <w:lang w:val="en-AU"/>
              </w:rPr>
            </w:pPr>
            <w:r w:rsidRPr="00A13B9A">
              <w:rPr>
                <w:lang w:val="en-AU"/>
              </w:rPr>
              <w:t xml:space="preserve">Glance et al </w:t>
            </w:r>
            <w:hyperlink r:id="rId28" w:history="1">
              <w:r w:rsidRPr="00A13B9A">
                <w:rPr>
                  <w:rStyle w:val="Hyperlink"/>
                  <w:lang w:val="en-AU"/>
                </w:rPr>
                <w:t>http://dx.doi.org/10.1001/jamasurg.2014.4</w:t>
              </w:r>
            </w:hyperlink>
          </w:p>
        </w:tc>
      </w:tr>
    </w:tbl>
    <w:p w:rsidR="008B3D8F" w:rsidRPr="00A13B9A" w:rsidRDefault="008B3D8F" w:rsidP="008B3D8F">
      <w:pPr>
        <w:rPr>
          <w:i/>
          <w:lang w:val="en-AU"/>
        </w:rPr>
      </w:pPr>
    </w:p>
    <w:p w:rsidR="000240B4" w:rsidRPr="00A13B9A" w:rsidRDefault="000240B4" w:rsidP="000240B4">
      <w:pPr>
        <w:keepNext/>
        <w:autoSpaceDE w:val="0"/>
        <w:autoSpaceDN w:val="0"/>
        <w:adjustRightInd w:val="0"/>
        <w:rPr>
          <w:i/>
          <w:lang w:val="en-AU"/>
        </w:rPr>
      </w:pPr>
      <w:r w:rsidRPr="00A13B9A">
        <w:rPr>
          <w:i/>
          <w:lang w:val="en-AU"/>
        </w:rPr>
        <w:lastRenderedPageBreak/>
        <w:t>The relationships among work stress, strain and self-reported errors in UK community pharmacy</w:t>
      </w:r>
    </w:p>
    <w:p w:rsidR="000240B4" w:rsidRPr="00A13B9A" w:rsidRDefault="000240B4" w:rsidP="008B3D8F">
      <w:pPr>
        <w:keepNext/>
        <w:autoSpaceDE w:val="0"/>
        <w:autoSpaceDN w:val="0"/>
        <w:adjustRightInd w:val="0"/>
        <w:rPr>
          <w:lang w:val="en-AU"/>
        </w:rPr>
      </w:pPr>
      <w:r w:rsidRPr="00A13B9A">
        <w:rPr>
          <w:lang w:val="en-AU"/>
        </w:rPr>
        <w:t xml:space="preserve">Johnson SJ, O'Connor EM, Jacobs S, </w:t>
      </w:r>
      <w:proofErr w:type="spellStart"/>
      <w:r w:rsidRPr="00A13B9A">
        <w:rPr>
          <w:lang w:val="en-AU"/>
        </w:rPr>
        <w:t>Hassell</w:t>
      </w:r>
      <w:proofErr w:type="spellEnd"/>
      <w:r w:rsidRPr="00A13B9A">
        <w:rPr>
          <w:lang w:val="en-AU"/>
        </w:rPr>
        <w:t xml:space="preserve"> K, Ashcroft DM</w:t>
      </w:r>
    </w:p>
    <w:p w:rsidR="008B3D8F" w:rsidRPr="00A13B9A" w:rsidRDefault="000240B4" w:rsidP="008B3D8F">
      <w:pPr>
        <w:keepNext/>
        <w:autoSpaceDE w:val="0"/>
        <w:autoSpaceDN w:val="0"/>
        <w:adjustRightInd w:val="0"/>
        <w:rPr>
          <w:lang w:val="en-AU"/>
        </w:rPr>
      </w:pPr>
      <w:proofErr w:type="gramStart"/>
      <w:r w:rsidRPr="00A13B9A">
        <w:rPr>
          <w:lang w:val="en-AU"/>
        </w:rPr>
        <w:t>Research in Social and Administrative Pharmacy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A13B9A" w:rsidRDefault="00901CE3" w:rsidP="00901CE3">
            <w:pPr>
              <w:rPr>
                <w:lang w:val="en-AU"/>
              </w:rPr>
            </w:pPr>
            <w:r w:rsidRPr="00A13B9A">
              <w:rPr>
                <w:lang w:val="en-AU"/>
              </w:rPr>
              <w:t>Stress can become an issue for many types of work. This study examined community pharmacist’s perceptions of stress, workload and errors.</w:t>
            </w:r>
          </w:p>
          <w:p w:rsidR="000240B4" w:rsidRPr="00A13B9A" w:rsidRDefault="000240B4" w:rsidP="000240B4">
            <w:pPr>
              <w:rPr>
                <w:lang w:val="en-AU"/>
              </w:rPr>
            </w:pPr>
            <w:r w:rsidRPr="00A13B9A">
              <w:rPr>
                <w:lang w:val="en-AU"/>
              </w:rPr>
              <w:t>903 community pharmacists were surveyed via a postal survey that used ASSET (A Shortened Stress Evaluation Tool) and included questions relating to self-reported involvement in errors.</w:t>
            </w:r>
          </w:p>
          <w:p w:rsidR="000240B4" w:rsidRPr="00A13B9A" w:rsidRDefault="000240B4" w:rsidP="000240B4">
            <w:pPr>
              <w:rPr>
                <w:lang w:val="en-AU"/>
              </w:rPr>
            </w:pPr>
            <w:r w:rsidRPr="00A13B9A">
              <w:rPr>
                <w:lang w:val="en-AU"/>
              </w:rPr>
              <w:t xml:space="preserve">The authors report that “pharmacists reported significantly higher levels of workplace stressors than the general working population, with concerns about work-life balance, the nature of the job, and work relationships being the most influential on health and well-being. Despite this, pharmacists were not found to report worse health than the general working population. </w:t>
            </w:r>
            <w:r w:rsidRPr="00A13B9A">
              <w:rPr>
                <w:b/>
                <w:lang w:val="en-AU"/>
              </w:rPr>
              <w:t>Self-reported error</w:t>
            </w:r>
            <w:r w:rsidRPr="00A13B9A">
              <w:rPr>
                <w:lang w:val="en-AU"/>
              </w:rPr>
              <w:t xml:space="preserve"> involvement was </w:t>
            </w:r>
            <w:r w:rsidRPr="00A13B9A">
              <w:rPr>
                <w:b/>
                <w:lang w:val="en-AU"/>
              </w:rPr>
              <w:t>linked to</w:t>
            </w:r>
            <w:r w:rsidRPr="00A13B9A">
              <w:rPr>
                <w:lang w:val="en-AU"/>
              </w:rPr>
              <w:t xml:space="preserve"> both </w:t>
            </w:r>
            <w:r w:rsidRPr="00A13B9A">
              <w:rPr>
                <w:b/>
                <w:lang w:val="en-AU"/>
              </w:rPr>
              <w:t>high dispensing volume</w:t>
            </w:r>
            <w:r w:rsidRPr="00A13B9A">
              <w:rPr>
                <w:lang w:val="en-AU"/>
              </w:rPr>
              <w:t xml:space="preserve"> and being troubled by perceived </w:t>
            </w:r>
            <w:r w:rsidRPr="00A13B9A">
              <w:rPr>
                <w:b/>
                <w:lang w:val="en-AU"/>
              </w:rPr>
              <w:t>overload</w:t>
            </w:r>
            <w:r w:rsidRPr="00A13B9A">
              <w:rPr>
                <w:lang w:val="en-AU"/>
              </w:rPr>
              <w:t xml:space="preserve"> (dispensing errors), and resources and communication (detection of prescribing errors).”</w:t>
            </w:r>
          </w:p>
        </w:tc>
      </w:tr>
      <w:tr w:rsidR="008B3D8F"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A13B9A" w:rsidRDefault="008B3D8F" w:rsidP="003550AB">
            <w:pPr>
              <w:rPr>
                <w:lang w:val="en-AU"/>
              </w:rPr>
            </w:pPr>
            <w:r w:rsidRPr="00A13B9A">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A13B9A" w:rsidRDefault="005C0FF9" w:rsidP="000240B4">
            <w:pPr>
              <w:rPr>
                <w:lang w:val="en-AU"/>
              </w:rPr>
            </w:pPr>
            <w:hyperlink r:id="rId29" w:history="1">
              <w:r w:rsidR="000240B4" w:rsidRPr="00A13B9A">
                <w:rPr>
                  <w:rStyle w:val="Hyperlink"/>
                  <w:lang w:val="en-AU"/>
                </w:rPr>
                <w:t>http://dx.doi.org/10.1016/j.sapharm.2013.12.003</w:t>
              </w:r>
            </w:hyperlink>
          </w:p>
        </w:tc>
      </w:tr>
    </w:tbl>
    <w:p w:rsidR="008B3D8F" w:rsidRPr="00A13B9A" w:rsidRDefault="008B3D8F" w:rsidP="008B3D8F">
      <w:pPr>
        <w:rPr>
          <w:i/>
          <w:lang w:val="en-AU"/>
        </w:rPr>
      </w:pPr>
    </w:p>
    <w:p w:rsidR="00E75495" w:rsidRPr="00A13B9A" w:rsidRDefault="00E75495" w:rsidP="00E75495">
      <w:pPr>
        <w:keepNext/>
        <w:autoSpaceDE w:val="0"/>
        <w:autoSpaceDN w:val="0"/>
        <w:adjustRightInd w:val="0"/>
        <w:rPr>
          <w:lang w:val="en-AU"/>
        </w:rPr>
      </w:pPr>
      <w:r w:rsidRPr="00A13B9A">
        <w:rPr>
          <w:i/>
          <w:lang w:val="en-AU"/>
        </w:rPr>
        <w:t>International Journal for Quality in Health Care</w:t>
      </w:r>
      <w:r w:rsidRPr="00A13B9A">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75495"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A13B9A" w:rsidRDefault="00E75495" w:rsidP="003550AB">
            <w:pPr>
              <w:rPr>
                <w:lang w:val="en-AU"/>
              </w:rPr>
            </w:pPr>
            <w:r w:rsidRPr="00A13B9A">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3F16" w:rsidRPr="00A13B9A" w:rsidRDefault="00E75495" w:rsidP="005D3F16">
            <w:pPr>
              <w:rPr>
                <w:lang w:val="en-AU"/>
              </w:rPr>
            </w:pPr>
            <w:r w:rsidRPr="00A13B9A">
              <w:rPr>
                <w:i/>
                <w:lang w:val="en-AU"/>
              </w:rPr>
              <w:t>International Journal for Quality in Health Care</w:t>
            </w:r>
            <w:r w:rsidRPr="00A13B9A">
              <w:rPr>
                <w:lang w:val="en-AU"/>
              </w:rPr>
              <w:t xml:space="preserve"> has published a number of ‘online first’ articles, including:</w:t>
            </w:r>
          </w:p>
          <w:p w:rsidR="00807534" w:rsidRPr="00A13B9A" w:rsidRDefault="00807534" w:rsidP="00807534">
            <w:pPr>
              <w:pStyle w:val="ListParagraph"/>
              <w:numPr>
                <w:ilvl w:val="0"/>
                <w:numId w:val="34"/>
              </w:numPr>
              <w:rPr>
                <w:lang w:val="en-AU"/>
              </w:rPr>
            </w:pPr>
            <w:r w:rsidRPr="00A13B9A">
              <w:rPr>
                <w:lang w:val="en-AU"/>
              </w:rPr>
              <w:t xml:space="preserve">The use of on-site visits to assess compliance and implementation of </w:t>
            </w:r>
            <w:r w:rsidRPr="00A13B9A">
              <w:rPr>
                <w:b/>
                <w:lang w:val="en-AU"/>
              </w:rPr>
              <w:t>quality management at hospital level</w:t>
            </w:r>
            <w:r w:rsidRPr="00A13B9A">
              <w:rPr>
                <w:lang w:val="en-AU"/>
              </w:rPr>
              <w:t xml:space="preserve"> (C. Wagner, O. Groene, M. </w:t>
            </w:r>
            <w:proofErr w:type="spellStart"/>
            <w:r w:rsidRPr="00A13B9A">
              <w:rPr>
                <w:lang w:val="en-AU"/>
              </w:rPr>
              <w:t>Dersarkissian</w:t>
            </w:r>
            <w:proofErr w:type="spellEnd"/>
            <w:r w:rsidRPr="00A13B9A">
              <w:rPr>
                <w:lang w:val="en-AU"/>
              </w:rPr>
              <w:t xml:space="preserve">, C.A. Thompson, N.S. Klazinga, O.A. </w:t>
            </w:r>
            <w:proofErr w:type="spellStart"/>
            <w:r w:rsidRPr="00A13B9A">
              <w:rPr>
                <w:lang w:val="en-AU"/>
              </w:rPr>
              <w:t>Arah</w:t>
            </w:r>
            <w:proofErr w:type="spellEnd"/>
            <w:r w:rsidRPr="00A13B9A">
              <w:rPr>
                <w:lang w:val="en-AU"/>
              </w:rPr>
              <w:t xml:space="preserve">, R. </w:t>
            </w:r>
            <w:proofErr w:type="spellStart"/>
            <w:r w:rsidRPr="00A13B9A">
              <w:rPr>
                <w:lang w:val="en-AU"/>
              </w:rPr>
              <w:t>Suñol</w:t>
            </w:r>
            <w:proofErr w:type="spellEnd"/>
            <w:r w:rsidRPr="00A13B9A">
              <w:rPr>
                <w:lang w:val="en-AU"/>
              </w:rPr>
              <w:t xml:space="preserve">, and on behalf of the </w:t>
            </w:r>
            <w:proofErr w:type="spellStart"/>
            <w:r w:rsidRPr="00A13B9A">
              <w:rPr>
                <w:lang w:val="en-AU"/>
              </w:rPr>
              <w:t>DUQuE</w:t>
            </w:r>
            <w:proofErr w:type="spellEnd"/>
            <w:r w:rsidRPr="00A13B9A">
              <w:rPr>
                <w:lang w:val="en-AU"/>
              </w:rPr>
              <w:t xml:space="preserve"> Project Consortium)</w:t>
            </w:r>
          </w:p>
          <w:p w:rsidR="00E75495" w:rsidRPr="00A13B9A" w:rsidRDefault="00807534" w:rsidP="00807534">
            <w:pPr>
              <w:pStyle w:val="ListParagraph"/>
              <w:numPr>
                <w:ilvl w:val="0"/>
                <w:numId w:val="34"/>
              </w:numPr>
              <w:rPr>
                <w:lang w:val="en-AU"/>
              </w:rPr>
            </w:pPr>
            <w:r w:rsidRPr="00A13B9A">
              <w:rPr>
                <w:lang w:val="en-AU"/>
              </w:rPr>
              <w:t xml:space="preserve">The associations between </w:t>
            </w:r>
            <w:r w:rsidRPr="00A13B9A">
              <w:rPr>
                <w:b/>
                <w:lang w:val="en-AU"/>
              </w:rPr>
              <w:t>organizational culture, organizational structure and quality management</w:t>
            </w:r>
            <w:r w:rsidRPr="00A13B9A">
              <w:rPr>
                <w:lang w:val="en-AU"/>
              </w:rPr>
              <w:t xml:space="preserve"> in European hospitals (C. Wagner, R. Mannion, A. Hammer, O. Groene, O.A. </w:t>
            </w:r>
            <w:proofErr w:type="spellStart"/>
            <w:r w:rsidRPr="00A13B9A">
              <w:rPr>
                <w:lang w:val="en-AU"/>
              </w:rPr>
              <w:t>Arah</w:t>
            </w:r>
            <w:proofErr w:type="spellEnd"/>
            <w:r w:rsidRPr="00A13B9A">
              <w:rPr>
                <w:lang w:val="en-AU"/>
              </w:rPr>
              <w:t xml:space="preserve">, M. </w:t>
            </w:r>
            <w:proofErr w:type="spellStart"/>
            <w:r w:rsidRPr="00A13B9A">
              <w:rPr>
                <w:lang w:val="en-AU"/>
              </w:rPr>
              <w:t>Dersarkissian</w:t>
            </w:r>
            <w:proofErr w:type="spellEnd"/>
            <w:r w:rsidRPr="00A13B9A">
              <w:rPr>
                <w:lang w:val="en-AU"/>
              </w:rPr>
              <w:t xml:space="preserve">, R. </w:t>
            </w:r>
            <w:proofErr w:type="spellStart"/>
            <w:r w:rsidRPr="00A13B9A">
              <w:rPr>
                <w:lang w:val="en-AU"/>
              </w:rPr>
              <w:t>Suñol</w:t>
            </w:r>
            <w:proofErr w:type="spellEnd"/>
            <w:r w:rsidRPr="00A13B9A">
              <w:rPr>
                <w:lang w:val="en-AU"/>
              </w:rPr>
              <w:t xml:space="preserve">, and on behalf of the </w:t>
            </w:r>
            <w:proofErr w:type="spellStart"/>
            <w:r w:rsidRPr="00A13B9A">
              <w:rPr>
                <w:lang w:val="en-AU"/>
              </w:rPr>
              <w:t>DUQuE</w:t>
            </w:r>
            <w:proofErr w:type="spellEnd"/>
            <w:r w:rsidRPr="00A13B9A">
              <w:rPr>
                <w:lang w:val="en-AU"/>
              </w:rPr>
              <w:t xml:space="preserve"> Project Consortium)</w:t>
            </w:r>
          </w:p>
        </w:tc>
      </w:tr>
      <w:tr w:rsidR="00E75495" w:rsidRPr="00A13B9A"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A13B9A" w:rsidRDefault="00E75495" w:rsidP="003550AB">
            <w:pPr>
              <w:rPr>
                <w:lang w:val="en-AU"/>
              </w:rPr>
            </w:pPr>
            <w:r w:rsidRPr="00A13B9A">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5495" w:rsidRPr="00A13B9A" w:rsidRDefault="005C0FF9" w:rsidP="003550AB">
            <w:pPr>
              <w:rPr>
                <w:lang w:val="en-AU"/>
              </w:rPr>
            </w:pPr>
            <w:hyperlink r:id="rId30" w:history="1">
              <w:r w:rsidR="00E75495" w:rsidRPr="00A13B9A">
                <w:rPr>
                  <w:rStyle w:val="Hyperlink"/>
                  <w:lang w:val="en-AU"/>
                </w:rPr>
                <w:t>http://intqhc.oxfordjournals.org/content/early/recent?papetoc</w:t>
              </w:r>
            </w:hyperlink>
          </w:p>
        </w:tc>
      </w:tr>
    </w:tbl>
    <w:p w:rsidR="00E75495" w:rsidRPr="00A13B9A" w:rsidRDefault="00E75495" w:rsidP="00E75495">
      <w:pPr>
        <w:rPr>
          <w:i/>
          <w:lang w:val="en-AU"/>
        </w:rPr>
      </w:pPr>
    </w:p>
    <w:p w:rsidR="008B3D8F" w:rsidRPr="00A13B9A" w:rsidRDefault="008B3D8F">
      <w:pPr>
        <w:rPr>
          <w:b/>
          <w:lang w:val="en-AU"/>
        </w:rPr>
      </w:pPr>
    </w:p>
    <w:p w:rsidR="00BC7980" w:rsidRPr="00A13B9A" w:rsidRDefault="00BC7980" w:rsidP="000E66C3">
      <w:pPr>
        <w:rPr>
          <w:b/>
          <w:lang w:val="en-AU"/>
        </w:rPr>
      </w:pPr>
      <w:r w:rsidRPr="00A13B9A">
        <w:rPr>
          <w:b/>
          <w:lang w:val="en-AU"/>
        </w:rPr>
        <w:t>Online resources</w:t>
      </w:r>
    </w:p>
    <w:p w:rsidR="00BC7980" w:rsidRPr="00A13B9A" w:rsidRDefault="00BC7980" w:rsidP="000E66C3">
      <w:pPr>
        <w:rPr>
          <w:lang w:val="en-AU"/>
        </w:rPr>
      </w:pPr>
    </w:p>
    <w:p w:rsidR="008B3D8F" w:rsidRPr="00A13B9A" w:rsidRDefault="00F94698" w:rsidP="006401D7">
      <w:pPr>
        <w:rPr>
          <w:i/>
          <w:lang w:val="en-AU"/>
        </w:rPr>
      </w:pPr>
      <w:r w:rsidRPr="00A13B9A">
        <w:rPr>
          <w:i/>
          <w:lang w:val="en-AU"/>
        </w:rPr>
        <w:t>[UK] Bite-size guides to support patient and public participation in the NHS</w:t>
      </w:r>
    </w:p>
    <w:p w:rsidR="00F94698" w:rsidRPr="00A13B9A" w:rsidRDefault="005C0FF9" w:rsidP="006401D7">
      <w:pPr>
        <w:rPr>
          <w:lang w:val="en-AU"/>
        </w:rPr>
      </w:pPr>
      <w:hyperlink r:id="rId31" w:history="1">
        <w:r w:rsidR="00F94698" w:rsidRPr="00A13B9A">
          <w:rPr>
            <w:rStyle w:val="Hyperlink"/>
            <w:lang w:val="en-AU"/>
          </w:rPr>
          <w:t>http://www.england.nhs.uk/2014/03/13/pat-pub-participation/</w:t>
        </w:r>
      </w:hyperlink>
    </w:p>
    <w:p w:rsidR="00F94698" w:rsidRPr="00A13B9A" w:rsidRDefault="00F94698" w:rsidP="00F94698">
      <w:pPr>
        <w:rPr>
          <w:lang w:val="en-AU"/>
        </w:rPr>
      </w:pPr>
      <w:r w:rsidRPr="00A13B9A">
        <w:rPr>
          <w:lang w:val="en-AU"/>
        </w:rPr>
        <w:t xml:space="preserve">NHS England has developed some short ‘bite-size’ guides to support </w:t>
      </w:r>
      <w:r w:rsidRPr="00A13B9A">
        <w:rPr>
          <w:b/>
          <w:lang w:val="en-AU"/>
        </w:rPr>
        <w:t>patient and public participation</w:t>
      </w:r>
      <w:r w:rsidRPr="00A13B9A">
        <w:rPr>
          <w:lang w:val="en-AU"/>
        </w:rPr>
        <w:t xml:space="preserve"> in the NHS. These guides are linked to the </w:t>
      </w:r>
      <w:r w:rsidRPr="00A13B9A">
        <w:rPr>
          <w:i/>
          <w:lang w:val="en-AU"/>
        </w:rPr>
        <w:t>Transforming participation in Health and Social Care</w:t>
      </w:r>
      <w:r w:rsidRPr="00A13B9A">
        <w:rPr>
          <w:lang w:val="en-AU"/>
        </w:rPr>
        <w:t xml:space="preserve"> guidance (published September 2013). The guides have been developed with partners and by reviewing good practice in each area. They aim to support Clinical Commissioning Groups and others to plan and deliver good patient and public participation. The first four guides are:</w:t>
      </w:r>
    </w:p>
    <w:p w:rsidR="00F94698" w:rsidRPr="00A13B9A" w:rsidRDefault="00F94698" w:rsidP="00F94698">
      <w:pPr>
        <w:rPr>
          <w:i/>
          <w:lang w:val="en-AU"/>
        </w:rPr>
      </w:pPr>
      <w:r w:rsidRPr="00A13B9A">
        <w:rPr>
          <w:i/>
          <w:lang w:val="en-AU"/>
        </w:rPr>
        <w:t>1 – Principles for Participation in Commissioning</w:t>
      </w:r>
    </w:p>
    <w:p w:rsidR="00F94698" w:rsidRPr="00A13B9A" w:rsidRDefault="00F94698" w:rsidP="00F94698">
      <w:pPr>
        <w:rPr>
          <w:i/>
          <w:lang w:val="en-AU"/>
        </w:rPr>
      </w:pPr>
      <w:r w:rsidRPr="00A13B9A">
        <w:rPr>
          <w:i/>
          <w:lang w:val="en-AU"/>
        </w:rPr>
        <w:t>2 – Governance for Participation</w:t>
      </w:r>
    </w:p>
    <w:p w:rsidR="00F94698" w:rsidRPr="00A13B9A" w:rsidRDefault="00F94698" w:rsidP="00F94698">
      <w:pPr>
        <w:rPr>
          <w:i/>
          <w:lang w:val="en-AU"/>
        </w:rPr>
      </w:pPr>
      <w:r w:rsidRPr="00A13B9A">
        <w:rPr>
          <w:i/>
          <w:lang w:val="en-AU"/>
        </w:rPr>
        <w:t>3 – Planning for Participation</w:t>
      </w:r>
    </w:p>
    <w:p w:rsidR="00F94698" w:rsidRPr="00A13B9A" w:rsidRDefault="00F94698" w:rsidP="00F94698">
      <w:pPr>
        <w:rPr>
          <w:i/>
          <w:lang w:val="en-AU"/>
        </w:rPr>
      </w:pPr>
      <w:r w:rsidRPr="00A13B9A">
        <w:rPr>
          <w:i/>
          <w:lang w:val="en-AU"/>
        </w:rPr>
        <w:t>4 – Budgeting for Participation</w:t>
      </w:r>
    </w:p>
    <w:p w:rsidR="00F94698" w:rsidRPr="00A13B9A" w:rsidRDefault="00F94698" w:rsidP="006401D7">
      <w:pPr>
        <w:rPr>
          <w:lang w:val="en-AU"/>
        </w:rPr>
      </w:pPr>
    </w:p>
    <w:p w:rsidR="00813E62" w:rsidRDefault="00813E62">
      <w:pPr>
        <w:rPr>
          <w:i/>
          <w:lang w:val="en-AU"/>
        </w:rPr>
      </w:pPr>
      <w:r>
        <w:rPr>
          <w:i/>
          <w:lang w:val="en-AU"/>
        </w:rPr>
        <w:br w:type="page"/>
      </w:r>
    </w:p>
    <w:p w:rsidR="00F94698" w:rsidRPr="00A13B9A" w:rsidRDefault="00CF573C" w:rsidP="006401D7">
      <w:pPr>
        <w:rPr>
          <w:i/>
          <w:lang w:val="en-AU"/>
        </w:rPr>
      </w:pPr>
      <w:r w:rsidRPr="00A13B9A">
        <w:rPr>
          <w:i/>
          <w:lang w:val="en-AU"/>
        </w:rPr>
        <w:lastRenderedPageBreak/>
        <w:t>[UK] Patient safety alert to improve reporting and learning of medication and medical devices incidents</w:t>
      </w:r>
    </w:p>
    <w:p w:rsidR="00CF573C" w:rsidRPr="00A13B9A" w:rsidRDefault="005C0FF9" w:rsidP="006401D7">
      <w:pPr>
        <w:rPr>
          <w:lang w:val="en-AU"/>
        </w:rPr>
      </w:pPr>
      <w:hyperlink r:id="rId32" w:history="1">
        <w:r w:rsidR="00CF573C" w:rsidRPr="00A13B9A">
          <w:rPr>
            <w:rStyle w:val="Hyperlink"/>
            <w:lang w:val="en-AU"/>
          </w:rPr>
          <w:t>http://www.england.nhs.uk/2014/03/20/med-devices/</w:t>
        </w:r>
      </w:hyperlink>
      <w:r w:rsidR="00CF573C" w:rsidRPr="00A13B9A">
        <w:rPr>
          <w:lang w:val="en-AU"/>
        </w:rPr>
        <w:t xml:space="preserve"> </w:t>
      </w:r>
    </w:p>
    <w:p w:rsidR="00CF573C" w:rsidRPr="00A13B9A" w:rsidRDefault="00CF573C" w:rsidP="006401D7">
      <w:pPr>
        <w:rPr>
          <w:lang w:val="en-AU"/>
        </w:rPr>
      </w:pPr>
      <w:r w:rsidRPr="00A13B9A">
        <w:rPr>
          <w:lang w:val="en-AU"/>
        </w:rPr>
        <w:t xml:space="preserve">NHS England and the UK’s Medicines and Healthcare products Regulatory Agency (MHRA) have released two alerts that are designed to enhance </w:t>
      </w:r>
      <w:r w:rsidRPr="00A13B9A">
        <w:rPr>
          <w:b/>
          <w:lang w:val="en-AU"/>
        </w:rPr>
        <w:t>incident reporting</w:t>
      </w:r>
      <w:r w:rsidRPr="00A13B9A">
        <w:rPr>
          <w:lang w:val="en-AU"/>
        </w:rPr>
        <w:t xml:space="preserve"> for </w:t>
      </w:r>
      <w:r w:rsidRPr="00A13B9A">
        <w:rPr>
          <w:b/>
          <w:lang w:val="en-AU"/>
        </w:rPr>
        <w:t>medication errors</w:t>
      </w:r>
      <w:r w:rsidRPr="00A13B9A">
        <w:rPr>
          <w:lang w:val="en-AU"/>
        </w:rPr>
        <w:t xml:space="preserve"> and </w:t>
      </w:r>
      <w:r w:rsidRPr="00A13B9A">
        <w:rPr>
          <w:b/>
          <w:lang w:val="en-AU"/>
        </w:rPr>
        <w:t>medical devices</w:t>
      </w:r>
      <w:r w:rsidRPr="00A13B9A">
        <w:rPr>
          <w:lang w:val="en-AU"/>
        </w:rPr>
        <w:t>.</w:t>
      </w:r>
    </w:p>
    <w:p w:rsidR="00CF573C" w:rsidRPr="00A13B9A" w:rsidRDefault="00CF573C" w:rsidP="00CF573C">
      <w:pPr>
        <w:rPr>
          <w:lang w:val="en-AU"/>
        </w:rPr>
      </w:pPr>
      <w:r w:rsidRPr="00A13B9A">
        <w:rPr>
          <w:lang w:val="en-AU"/>
        </w:rPr>
        <w:t>The alerts instruct providers to take specific steps that will simplify and increase reporting, improve data report quality, maximise learning and guide practice in these areas. These will contribute to the establishment of national networks to maximise learning and provide guidance on minimising harm relating to these two incident types.</w:t>
      </w:r>
    </w:p>
    <w:p w:rsidR="008041DE" w:rsidRPr="00A13B9A" w:rsidRDefault="008041DE" w:rsidP="00CF573C">
      <w:pPr>
        <w:rPr>
          <w:lang w:val="en-AU"/>
        </w:rPr>
      </w:pPr>
    </w:p>
    <w:p w:rsidR="008041DE" w:rsidRPr="00A13B9A" w:rsidRDefault="008041DE" w:rsidP="00CF573C">
      <w:pPr>
        <w:rPr>
          <w:i/>
          <w:lang w:val="en-AU"/>
        </w:rPr>
      </w:pPr>
      <w:r w:rsidRPr="00A13B9A">
        <w:rPr>
          <w:i/>
          <w:lang w:val="en-AU"/>
        </w:rPr>
        <w:t>[UK] Consultation skills for pharmacy practice</w:t>
      </w:r>
    </w:p>
    <w:p w:rsidR="008041DE" w:rsidRPr="00A13B9A" w:rsidRDefault="005C0FF9" w:rsidP="00CF573C">
      <w:pPr>
        <w:rPr>
          <w:lang w:val="en-AU"/>
        </w:rPr>
      </w:pPr>
      <w:hyperlink r:id="rId33" w:history="1">
        <w:r w:rsidR="008041DE" w:rsidRPr="00A13B9A">
          <w:rPr>
            <w:rStyle w:val="Hyperlink"/>
            <w:lang w:val="en-AU"/>
          </w:rPr>
          <w:t>http://www.consultationskillsforpharmacy.com/</w:t>
        </w:r>
      </w:hyperlink>
    </w:p>
    <w:p w:rsidR="00CF573C" w:rsidRPr="00A13B9A" w:rsidRDefault="008041DE" w:rsidP="006401D7">
      <w:pPr>
        <w:rPr>
          <w:lang w:val="en-AU"/>
        </w:rPr>
      </w:pPr>
      <w:r w:rsidRPr="00A13B9A">
        <w:rPr>
          <w:lang w:val="en-AU"/>
        </w:rPr>
        <w:t>Health Education England and the Centre for Pharmacy Postgraduate Education have developed a practice standards document and website to support pharmacy professionals.</w:t>
      </w:r>
    </w:p>
    <w:p w:rsidR="008041DE" w:rsidRPr="00A13B9A" w:rsidRDefault="008041DE" w:rsidP="006401D7">
      <w:pPr>
        <w:rPr>
          <w:lang w:val="en-AU"/>
        </w:rPr>
      </w:pPr>
      <w:r w:rsidRPr="00A13B9A">
        <w:rPr>
          <w:lang w:val="en-AU"/>
        </w:rPr>
        <w:t>The practice standards help “define the knowledge, skills, behaviours and attitudes that pharmacy professionals should be able to demonstrate when communicating and consulting with patients.”</w:t>
      </w:r>
    </w:p>
    <w:p w:rsidR="008041DE" w:rsidRPr="00A13B9A" w:rsidRDefault="008041DE" w:rsidP="008041DE">
      <w:pPr>
        <w:rPr>
          <w:lang w:val="en-AU"/>
        </w:rPr>
      </w:pPr>
      <w:r w:rsidRPr="00A13B9A">
        <w:rPr>
          <w:lang w:val="en-AU"/>
        </w:rPr>
        <w:t>The standards are divided into the following areas:</w:t>
      </w:r>
    </w:p>
    <w:p w:rsidR="008041DE" w:rsidRPr="00A13B9A" w:rsidRDefault="008041DE" w:rsidP="008041DE">
      <w:pPr>
        <w:pStyle w:val="ListParagraph"/>
        <w:numPr>
          <w:ilvl w:val="0"/>
          <w:numId w:val="34"/>
        </w:numPr>
        <w:rPr>
          <w:lang w:val="en-AU"/>
        </w:rPr>
      </w:pPr>
      <w:r w:rsidRPr="00A13B9A">
        <w:rPr>
          <w:lang w:val="en-AU"/>
        </w:rPr>
        <w:t>Managing the patient-centred consultation</w:t>
      </w:r>
    </w:p>
    <w:p w:rsidR="008041DE" w:rsidRPr="00A13B9A" w:rsidRDefault="008041DE" w:rsidP="008041DE">
      <w:pPr>
        <w:pStyle w:val="ListParagraph"/>
        <w:numPr>
          <w:ilvl w:val="1"/>
          <w:numId w:val="34"/>
        </w:numPr>
        <w:rPr>
          <w:lang w:val="en-AU"/>
        </w:rPr>
      </w:pPr>
      <w:r w:rsidRPr="00A13B9A">
        <w:rPr>
          <w:lang w:val="en-AU"/>
        </w:rPr>
        <w:t>Organisational and management skills</w:t>
      </w:r>
    </w:p>
    <w:p w:rsidR="008041DE" w:rsidRPr="00A13B9A" w:rsidRDefault="008041DE" w:rsidP="008041DE">
      <w:pPr>
        <w:pStyle w:val="ListParagraph"/>
        <w:numPr>
          <w:ilvl w:val="1"/>
          <w:numId w:val="34"/>
        </w:numPr>
        <w:rPr>
          <w:lang w:val="en-AU"/>
        </w:rPr>
      </w:pPr>
      <w:r w:rsidRPr="00A13B9A">
        <w:rPr>
          <w:lang w:val="en-AU"/>
        </w:rPr>
        <w:t>Key consultation skills and behaviours, including those relating to health coaching and taking a patient-centred approach</w:t>
      </w:r>
    </w:p>
    <w:p w:rsidR="008041DE" w:rsidRPr="00A13B9A" w:rsidRDefault="008041DE" w:rsidP="008041DE">
      <w:pPr>
        <w:pStyle w:val="ListParagraph"/>
        <w:numPr>
          <w:ilvl w:val="0"/>
          <w:numId w:val="34"/>
        </w:numPr>
        <w:rPr>
          <w:lang w:val="en-AU"/>
        </w:rPr>
      </w:pPr>
      <w:r w:rsidRPr="00A13B9A">
        <w:rPr>
          <w:lang w:val="en-AU"/>
        </w:rPr>
        <w:t>Context specific skills</w:t>
      </w:r>
    </w:p>
    <w:p w:rsidR="008041DE" w:rsidRPr="00A13B9A" w:rsidRDefault="008041DE" w:rsidP="008041DE">
      <w:pPr>
        <w:pStyle w:val="ListParagraph"/>
        <w:numPr>
          <w:ilvl w:val="0"/>
          <w:numId w:val="34"/>
        </w:numPr>
        <w:rPr>
          <w:lang w:val="en-AU"/>
        </w:rPr>
      </w:pPr>
      <w:r w:rsidRPr="00A13B9A">
        <w:rPr>
          <w:lang w:val="en-AU"/>
        </w:rPr>
        <w:t>Delivering a comprehensive approach to patient care</w:t>
      </w:r>
    </w:p>
    <w:p w:rsidR="008041DE" w:rsidRPr="00A13B9A" w:rsidRDefault="008041DE" w:rsidP="008041DE">
      <w:pPr>
        <w:pStyle w:val="ListParagraph"/>
        <w:numPr>
          <w:ilvl w:val="0"/>
          <w:numId w:val="34"/>
        </w:numPr>
        <w:rPr>
          <w:lang w:val="en-AU"/>
        </w:rPr>
      </w:pPr>
      <w:r w:rsidRPr="00A13B9A">
        <w:rPr>
          <w:lang w:val="en-AU"/>
        </w:rPr>
        <w:t>Understanding the health needs of your population</w:t>
      </w:r>
    </w:p>
    <w:p w:rsidR="008041DE" w:rsidRPr="00A13B9A" w:rsidRDefault="008041DE" w:rsidP="008041DE">
      <w:pPr>
        <w:pStyle w:val="ListParagraph"/>
        <w:numPr>
          <w:ilvl w:val="0"/>
          <w:numId w:val="34"/>
        </w:numPr>
        <w:rPr>
          <w:lang w:val="en-AU"/>
        </w:rPr>
      </w:pPr>
      <w:r w:rsidRPr="00A13B9A">
        <w:rPr>
          <w:lang w:val="en-AU"/>
        </w:rPr>
        <w:t>Essential features that relate to you as a pharmacy professional</w:t>
      </w:r>
    </w:p>
    <w:p w:rsidR="008041DE" w:rsidRPr="00A13B9A" w:rsidRDefault="008041DE" w:rsidP="006401D7">
      <w:pPr>
        <w:rPr>
          <w:lang w:val="en-AU"/>
        </w:rPr>
      </w:pPr>
    </w:p>
    <w:p w:rsidR="00B160EF" w:rsidRPr="00A13B9A" w:rsidRDefault="00B160EF" w:rsidP="00B160EF">
      <w:pPr>
        <w:keepNext/>
        <w:pBdr>
          <w:top w:val="single" w:sz="4" w:space="1" w:color="auto"/>
        </w:pBdr>
        <w:rPr>
          <w:b/>
          <w:lang w:val="en-AU"/>
        </w:rPr>
      </w:pPr>
      <w:r w:rsidRPr="00A13B9A">
        <w:rPr>
          <w:b/>
          <w:lang w:val="en-AU"/>
        </w:rPr>
        <w:t>Disclaimer</w:t>
      </w:r>
    </w:p>
    <w:p w:rsidR="00E41D2F" w:rsidRPr="00A13B9A" w:rsidRDefault="00B160EF" w:rsidP="00B160EF">
      <w:pPr>
        <w:rPr>
          <w:lang w:val="en-AU"/>
        </w:rPr>
      </w:pPr>
      <w:r w:rsidRPr="00A13B9A">
        <w:rPr>
          <w:i/>
          <w:lang w:val="en-AU"/>
        </w:rPr>
        <w:t xml:space="preserve">On the </w:t>
      </w:r>
      <w:r w:rsidR="001A66F9" w:rsidRPr="00A13B9A">
        <w:rPr>
          <w:i/>
          <w:lang w:val="en-AU"/>
        </w:rPr>
        <w:t>R</w:t>
      </w:r>
      <w:r w:rsidRPr="00A13B9A">
        <w:rPr>
          <w:i/>
          <w:lang w:val="en-AU"/>
        </w:rPr>
        <w:t>adar</w:t>
      </w:r>
      <w:r w:rsidRPr="00A13B9A">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A13B9A" w:rsidSect="005C5ABC">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F9" w:rsidRDefault="005C0FF9">
      <w:r>
        <w:separator/>
      </w:r>
    </w:p>
  </w:endnote>
  <w:endnote w:type="continuationSeparator" w:id="0">
    <w:p w:rsidR="005C0FF9" w:rsidRDefault="005C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13E62">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C63588">
      <w:t xml:space="preserve"> Issue 16</w:t>
    </w:r>
    <w:r w:rsidR="00243C3C">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E62">
      <w:rPr>
        <w:rStyle w:val="PageNumber"/>
        <w:noProof/>
      </w:rPr>
      <w:t>3</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43C3C">
      <w:t xml:space="preserve"> Issue 168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F9" w:rsidRDefault="005C0FF9">
      <w:r>
        <w:separator/>
      </w:r>
    </w:p>
  </w:footnote>
  <w:footnote w:type="continuationSeparator" w:id="0">
    <w:p w:rsidR="005C0FF9" w:rsidRDefault="005C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3E6E8E"/>
    <w:multiLevelType w:val="hybridMultilevel"/>
    <w:tmpl w:val="5C20C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7"/>
  </w:num>
  <w:num w:numId="15">
    <w:abstractNumId w:val="31"/>
  </w:num>
  <w:num w:numId="16">
    <w:abstractNumId w:val="29"/>
  </w:num>
  <w:num w:numId="17">
    <w:abstractNumId w:val="14"/>
  </w:num>
  <w:num w:numId="18">
    <w:abstractNumId w:val="38"/>
  </w:num>
  <w:num w:numId="19">
    <w:abstractNumId w:val="30"/>
  </w:num>
  <w:num w:numId="20">
    <w:abstractNumId w:val="19"/>
  </w:num>
  <w:num w:numId="21">
    <w:abstractNumId w:val="16"/>
  </w:num>
  <w:num w:numId="22">
    <w:abstractNumId w:val="24"/>
  </w:num>
  <w:num w:numId="23">
    <w:abstractNumId w:val="36"/>
  </w:num>
  <w:num w:numId="24">
    <w:abstractNumId w:val="21"/>
  </w:num>
  <w:num w:numId="25">
    <w:abstractNumId w:val="12"/>
  </w:num>
  <w:num w:numId="26">
    <w:abstractNumId w:val="10"/>
  </w:num>
  <w:num w:numId="27">
    <w:abstractNumId w:val="22"/>
  </w:num>
  <w:num w:numId="28">
    <w:abstractNumId w:val="25"/>
  </w:num>
  <w:num w:numId="29">
    <w:abstractNumId w:val="33"/>
  </w:num>
  <w:num w:numId="30">
    <w:abstractNumId w:val="11"/>
  </w:num>
  <w:num w:numId="31">
    <w:abstractNumId w:val="23"/>
  </w:num>
  <w:num w:numId="32">
    <w:abstractNumId w:val="26"/>
  </w:num>
  <w:num w:numId="33">
    <w:abstractNumId w:val="18"/>
  </w:num>
  <w:num w:numId="34">
    <w:abstractNumId w:val="37"/>
  </w:num>
  <w:num w:numId="35">
    <w:abstractNumId w:val="32"/>
  </w:num>
  <w:num w:numId="36">
    <w:abstractNumId w:val="15"/>
  </w:num>
  <w:num w:numId="37">
    <w:abstractNumId w:val="28"/>
  </w:num>
  <w:num w:numId="38">
    <w:abstractNumId w:val="35"/>
  </w:num>
  <w:num w:numId="3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A30"/>
    <w:rsid w:val="00425BEF"/>
    <w:rsid w:val="00425BF3"/>
    <w:rsid w:val="00425E81"/>
    <w:rsid w:val="004260FA"/>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6BA"/>
    <w:rsid w:val="009747A9"/>
    <w:rsid w:val="00975D36"/>
    <w:rsid w:val="0097611D"/>
    <w:rsid w:val="00976605"/>
    <w:rsid w:val="00976692"/>
    <w:rsid w:val="00976975"/>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0D5E"/>
    <w:rsid w:val="00A811E4"/>
    <w:rsid w:val="00A812C3"/>
    <w:rsid w:val="00A81422"/>
    <w:rsid w:val="00A81A8D"/>
    <w:rsid w:val="00A81EAD"/>
    <w:rsid w:val="00A81EEE"/>
    <w:rsid w:val="00A81FB5"/>
    <w:rsid w:val="00A8220F"/>
    <w:rsid w:val="00A828CF"/>
    <w:rsid w:val="00A82C96"/>
    <w:rsid w:val="00A834EB"/>
    <w:rsid w:val="00A83604"/>
    <w:rsid w:val="00A83E18"/>
    <w:rsid w:val="00A83F08"/>
    <w:rsid w:val="00A8405E"/>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95"/>
    <w:rsid w:val="00FC6567"/>
    <w:rsid w:val="00FC65D5"/>
    <w:rsid w:val="00FC727C"/>
    <w:rsid w:val="00FC72C4"/>
    <w:rsid w:val="00FC74C8"/>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npsf.org/about-us/lucian-leape-institute-at-npsf/lli-reports-and-statements/safety-is-personal-partnering-with-patients-and-families-for-the-safest-care/" TargetMode="External"/><Relationship Id="rId26" Type="http://schemas.openxmlformats.org/officeDocument/2006/relationships/hyperlink" Target="http://dx.doi.org/10.5694/mja13.10599"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dx.doi.org/10.1177/1355819613518522"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palgravemacmillan.com.au/palgrave/onix/isbn/9780230354968" TargetMode="External"/><Relationship Id="rId25" Type="http://schemas.openxmlformats.org/officeDocument/2006/relationships/hyperlink" Target="http://www.safetyandquality.gov.au/our-work/healthcare-associated-infection/national-hai-surveillance-initiative/national-definition-and-caluculation-of-hai-staphylococcus-aureus-bacteraemia/" TargetMode="External"/><Relationship Id="rId33" Type="http://schemas.openxmlformats.org/officeDocument/2006/relationships/hyperlink" Target="http://www.consultationskillsforpharmacy.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oig.hhs.gov/oei/reports/oei-06-11-00370.asp" TargetMode="External"/><Relationship Id="rId29" Type="http://schemas.openxmlformats.org/officeDocument/2006/relationships/hyperlink" Target="http://dx.doi.org/10.1016/j.sapharm.2013.12.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intqhc.oxfordjournals.org/content/early/recent?papetoc" TargetMode="External"/><Relationship Id="rId32" Type="http://schemas.openxmlformats.org/officeDocument/2006/relationships/hyperlink" Target="http://www.england.nhs.uk/2014/03/20/med-devi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dx.doi.org/10.1093/intqhc/mzu025" TargetMode="External"/><Relationship Id="rId28" Type="http://schemas.openxmlformats.org/officeDocument/2006/relationships/hyperlink" Target="http://dx.doi.org/10.1001/jamasurg.2014.4"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ahha.asn.au/publication/health-policy-issue-briefs/how-can-rural-health-be-improved-through-community" TargetMode="External"/><Relationship Id="rId31" Type="http://schemas.openxmlformats.org/officeDocument/2006/relationships/hyperlink" Target="http://www.england.nhs.uk/2014/03/13/pat-pub-particip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www.duque.eu" TargetMode="External"/><Relationship Id="rId27" Type="http://schemas.openxmlformats.org/officeDocument/2006/relationships/hyperlink" Target="http://dx.doi.org/10.1097/SLA.0000000000000376" TargetMode="External"/><Relationship Id="rId30" Type="http://schemas.openxmlformats.org/officeDocument/2006/relationships/hyperlink" Target="http://intqhc.oxfordjournals.org/content/early/recent?papetoc"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1D3E-79FF-4C4A-ACB8-650F7D6F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7</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20712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33</cp:revision>
  <cp:lastPrinted>2013-06-06T03:47:00Z</cp:lastPrinted>
  <dcterms:created xsi:type="dcterms:W3CDTF">2014-03-23T21:46:00Z</dcterms:created>
  <dcterms:modified xsi:type="dcterms:W3CDTF">2014-03-30T05:11:00Z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