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42B88E8" wp14:editId="253012B6">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20</w:t>
      </w:r>
      <w:r w:rsidR="004B0A28" w:rsidRPr="00255EF8">
        <w:rPr>
          <w:color w:val="000000"/>
          <w:lang w:val="en-AU"/>
        </w:rPr>
        <w:t>8</w:t>
      </w:r>
    </w:p>
    <w:p w:rsidR="00755242" w:rsidRPr="00255EF8" w:rsidRDefault="00B564C1" w:rsidP="00B160EF">
      <w:pPr>
        <w:rPr>
          <w:lang w:val="en-AU"/>
        </w:rPr>
      </w:pPr>
      <w:r w:rsidRPr="00255EF8">
        <w:rPr>
          <w:lang w:val="en-AU"/>
        </w:rPr>
        <w:t>2</w:t>
      </w:r>
      <w:r w:rsidR="009233ED" w:rsidRPr="00255EF8">
        <w:rPr>
          <w:lang w:val="en-AU"/>
        </w:rPr>
        <w:t xml:space="preserve"> </w:t>
      </w:r>
      <w:r w:rsidR="004B0A28" w:rsidRPr="00255EF8">
        <w:rPr>
          <w:lang w:val="en-AU"/>
        </w:rPr>
        <w:t>Febr</w:t>
      </w:r>
      <w:r w:rsidR="009233ED" w:rsidRPr="00255EF8">
        <w:rPr>
          <w:lang w:val="en-AU"/>
        </w:rPr>
        <w:t>uary 2015</w:t>
      </w:r>
    </w:p>
    <w:p w:rsidR="00566895" w:rsidRPr="00255EF8" w:rsidRDefault="00566895" w:rsidP="00B160EF">
      <w:pPr>
        <w:rPr>
          <w:lang w:val="en-AU"/>
        </w:rPr>
      </w:pPr>
    </w:p>
    <w:p w:rsidR="00B160EF" w:rsidRPr="00255EF8" w:rsidRDefault="00B160EF" w:rsidP="00B160EF">
      <w:pPr>
        <w:rPr>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p>
    <w:p w:rsidR="00B160EF" w:rsidRPr="00255EF8" w:rsidRDefault="00B160EF" w:rsidP="00B160EF">
      <w:pPr>
        <w:rPr>
          <w:lang w:val="en-AU"/>
        </w:rPr>
      </w:pPr>
    </w:p>
    <w:p w:rsidR="00B160EF" w:rsidRPr="00255EF8" w:rsidRDefault="00B160EF" w:rsidP="00B160EF">
      <w:pPr>
        <w:rPr>
          <w:b/>
          <w:lang w:val="en-AU"/>
        </w:rPr>
      </w:pP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0"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0"/>
      <w:r w:rsidR="005D54DD">
        <w:rPr>
          <w:bCs/>
          <w:lang w:val="en-AU"/>
        </w:rPr>
        <w:t>, Luke Slawomirski</w:t>
      </w:r>
    </w:p>
    <w:p w:rsidR="00F34D09" w:rsidRPr="00255EF8" w:rsidRDefault="00F34D09" w:rsidP="00F34D09">
      <w:pPr>
        <w:rPr>
          <w:shd w:val="clear" w:color="auto" w:fill="FFFFFF"/>
          <w:lang w:val="en-AU"/>
        </w:rPr>
      </w:pPr>
    </w:p>
    <w:p w:rsidR="00CC4DDA" w:rsidRPr="00255EF8" w:rsidRDefault="00CC4DDA" w:rsidP="00CC4DDA">
      <w:pPr>
        <w:rPr>
          <w:b/>
          <w:shd w:val="clear" w:color="auto" w:fill="FFFFFF"/>
          <w:lang w:val="en-AU"/>
        </w:rPr>
      </w:pPr>
      <w:r w:rsidRPr="00255EF8">
        <w:rPr>
          <w:b/>
          <w:shd w:val="clear" w:color="auto" w:fill="FFFFFF"/>
          <w:lang w:val="en-AU"/>
        </w:rPr>
        <w:t>Report</w:t>
      </w:r>
      <w:r w:rsidR="00F52B72" w:rsidRPr="00255EF8">
        <w:rPr>
          <w:b/>
          <w:shd w:val="clear" w:color="auto" w:fill="FFFFFF"/>
          <w:lang w:val="en-AU"/>
        </w:rPr>
        <w:t>s</w:t>
      </w:r>
    </w:p>
    <w:p w:rsidR="005C0864" w:rsidRDefault="005C0864" w:rsidP="005C0864">
      <w:pPr>
        <w:rPr>
          <w:i/>
          <w:shd w:val="clear" w:color="auto" w:fill="FFFFFF"/>
          <w:lang w:val="en-AU"/>
        </w:rPr>
      </w:pPr>
    </w:p>
    <w:p w:rsidR="00247539" w:rsidRDefault="00247539" w:rsidP="00247539">
      <w:pPr>
        <w:rPr>
          <w:shd w:val="clear" w:color="auto" w:fill="FFFFFF"/>
          <w:lang w:val="en-AU"/>
        </w:rPr>
      </w:pPr>
      <w:r w:rsidRPr="00247539">
        <w:rPr>
          <w:i/>
          <w:shd w:val="clear" w:color="auto" w:fill="FFFFFF"/>
          <w:lang w:val="en-AU"/>
        </w:rPr>
        <w:t xml:space="preserve">Shining </w:t>
      </w:r>
      <w:proofErr w:type="gramStart"/>
      <w:r w:rsidRPr="00247539">
        <w:rPr>
          <w:i/>
          <w:shd w:val="clear" w:color="auto" w:fill="FFFFFF"/>
          <w:lang w:val="en-AU"/>
        </w:rPr>
        <w:t>A</w:t>
      </w:r>
      <w:proofErr w:type="gramEnd"/>
      <w:r w:rsidRPr="00247539">
        <w:rPr>
          <w:i/>
          <w:shd w:val="clear" w:color="auto" w:fill="FFFFFF"/>
          <w:lang w:val="en-AU"/>
        </w:rPr>
        <w:t xml:space="preserve"> Light: Safer Health Care Through Transparency</w:t>
      </w:r>
      <w:r w:rsidRPr="00247539">
        <w:rPr>
          <w:shd w:val="clear" w:color="auto" w:fill="FFFFFF"/>
          <w:lang w:val="en-AU"/>
        </w:rPr>
        <w:t>. Report of the Roundtable on Transparency</w:t>
      </w:r>
    </w:p>
    <w:p w:rsidR="00247539" w:rsidRDefault="00247539" w:rsidP="00247539">
      <w:pPr>
        <w:rPr>
          <w:shd w:val="clear" w:color="auto" w:fill="FFFFFF"/>
          <w:lang w:val="en-AU"/>
        </w:rPr>
      </w:pPr>
      <w:r w:rsidRPr="00247539">
        <w:rPr>
          <w:shd w:val="clear" w:color="auto" w:fill="FFFFFF"/>
          <w:lang w:val="en-AU"/>
        </w:rPr>
        <w:t xml:space="preserve">Lucian </w:t>
      </w:r>
      <w:proofErr w:type="spellStart"/>
      <w:r w:rsidRPr="00247539">
        <w:rPr>
          <w:shd w:val="clear" w:color="auto" w:fill="FFFFFF"/>
          <w:lang w:val="en-AU"/>
        </w:rPr>
        <w:t>Leape</w:t>
      </w:r>
      <w:proofErr w:type="spellEnd"/>
      <w:r w:rsidRPr="00247539">
        <w:rPr>
          <w:shd w:val="clear" w:color="auto" w:fill="FFFFFF"/>
          <w:lang w:val="en-AU"/>
        </w:rPr>
        <w:t xml:space="preserve"> Institute, National Patient Safety Foundation</w:t>
      </w:r>
    </w:p>
    <w:p w:rsidR="00247539" w:rsidRPr="00255EF8" w:rsidRDefault="00247539" w:rsidP="00247539">
      <w:pPr>
        <w:rPr>
          <w:shd w:val="clear" w:color="auto" w:fill="FFFFFF"/>
          <w:lang w:val="en-AU"/>
        </w:rPr>
      </w:pPr>
      <w:r w:rsidRPr="00247539">
        <w:rPr>
          <w:shd w:val="clear" w:color="auto" w:fill="FFFFFF"/>
          <w:lang w:val="en-AU"/>
        </w:rPr>
        <w:t xml:space="preserve">Boston, MA: National Patient Safety Foundation Lucian </w:t>
      </w:r>
      <w:proofErr w:type="spellStart"/>
      <w:r w:rsidRPr="00247539">
        <w:rPr>
          <w:shd w:val="clear" w:color="auto" w:fill="FFFFFF"/>
          <w:lang w:val="en-AU"/>
        </w:rPr>
        <w:t>Leape</w:t>
      </w:r>
      <w:proofErr w:type="spellEnd"/>
      <w:r w:rsidRPr="00247539">
        <w:rPr>
          <w:shd w:val="clear" w:color="auto" w:fill="FFFFFF"/>
          <w:lang w:val="en-AU"/>
        </w:rPr>
        <w:t xml:space="preserve"> Institute; 2015. </w:t>
      </w:r>
      <w:proofErr w:type="gramStart"/>
      <w:r w:rsidRPr="00247539">
        <w:rPr>
          <w:shd w:val="clear" w:color="auto" w:fill="FFFFFF"/>
          <w:lang w:val="en-AU"/>
        </w:rPr>
        <w:t>p. 59.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47539" w:rsidRPr="00255EF8" w:rsidTr="006C1A8B">
        <w:tc>
          <w:tcPr>
            <w:tcW w:w="1080" w:type="dxa"/>
            <w:tcBorders>
              <w:top w:val="single" w:sz="4" w:space="0" w:color="auto"/>
              <w:left w:val="single" w:sz="4" w:space="0" w:color="auto"/>
              <w:bottom w:val="single" w:sz="4" w:space="0" w:color="auto"/>
              <w:right w:val="single" w:sz="4" w:space="0" w:color="auto"/>
            </w:tcBorders>
            <w:vAlign w:val="center"/>
          </w:tcPr>
          <w:p w:rsidR="00247539" w:rsidRPr="00255EF8" w:rsidRDefault="00247539" w:rsidP="006C1A8B">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7539" w:rsidRPr="00255EF8" w:rsidRDefault="00FB5819" w:rsidP="006C1A8B">
            <w:pPr>
              <w:rPr>
                <w:lang w:val="en-AU"/>
              </w:rPr>
            </w:pPr>
            <w:hyperlink r:id="rId16" w:history="1">
              <w:r w:rsidR="00247539" w:rsidRPr="00E846CD">
                <w:rPr>
                  <w:rStyle w:val="Hyperlink"/>
                  <w:lang w:val="en-AU"/>
                </w:rPr>
                <w:t>http://npsf.org/transparency</w:t>
              </w:r>
            </w:hyperlink>
          </w:p>
        </w:tc>
      </w:tr>
      <w:tr w:rsidR="00247539" w:rsidRPr="00255EF8" w:rsidTr="006C1A8B">
        <w:tc>
          <w:tcPr>
            <w:tcW w:w="1080" w:type="dxa"/>
            <w:tcBorders>
              <w:top w:val="single" w:sz="4" w:space="0" w:color="auto"/>
              <w:left w:val="single" w:sz="4" w:space="0" w:color="auto"/>
              <w:bottom w:val="single" w:sz="4" w:space="0" w:color="auto"/>
              <w:right w:val="single" w:sz="4" w:space="0" w:color="auto"/>
            </w:tcBorders>
            <w:vAlign w:val="center"/>
          </w:tcPr>
          <w:p w:rsidR="00247539" w:rsidRPr="00255EF8" w:rsidRDefault="00247539" w:rsidP="006C1A8B">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247539" w:rsidRDefault="0062396D" w:rsidP="006C1A8B">
            <w:pPr>
              <w:rPr>
                <w:lang w:val="en-AU"/>
              </w:rPr>
            </w:pPr>
            <w:r>
              <w:rPr>
                <w:lang w:val="en-AU"/>
              </w:rPr>
              <w:t>D15-2280</w:t>
            </w:r>
          </w:p>
        </w:tc>
      </w:tr>
      <w:tr w:rsidR="00247539" w:rsidRPr="00255EF8" w:rsidTr="006C1A8B">
        <w:tc>
          <w:tcPr>
            <w:tcW w:w="1080" w:type="dxa"/>
            <w:tcBorders>
              <w:top w:val="single" w:sz="4" w:space="0" w:color="auto"/>
              <w:left w:val="single" w:sz="4" w:space="0" w:color="auto"/>
              <w:bottom w:val="single" w:sz="4" w:space="0" w:color="auto"/>
              <w:right w:val="single" w:sz="4" w:space="0" w:color="auto"/>
            </w:tcBorders>
            <w:vAlign w:val="center"/>
          </w:tcPr>
          <w:p w:rsidR="00247539" w:rsidRPr="00255EF8" w:rsidRDefault="00247539" w:rsidP="006C1A8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7539" w:rsidRDefault="00247539" w:rsidP="00247539">
            <w:pPr>
              <w:rPr>
                <w:lang w:val="en-AU" w:eastAsia="en-AU"/>
              </w:rPr>
            </w:pPr>
            <w:r>
              <w:rPr>
                <w:lang w:val="en-AU" w:eastAsia="en-AU"/>
              </w:rPr>
              <w:t xml:space="preserve">The Lucian </w:t>
            </w:r>
            <w:proofErr w:type="spellStart"/>
            <w:r>
              <w:rPr>
                <w:lang w:val="en-AU" w:eastAsia="en-AU"/>
              </w:rPr>
              <w:t>Leape</w:t>
            </w:r>
            <w:proofErr w:type="spellEnd"/>
            <w:r>
              <w:rPr>
                <w:lang w:val="en-AU" w:eastAsia="en-AU"/>
              </w:rPr>
              <w:t xml:space="preserve"> Institute of the (US) National Patient Safety Foundation has published this report from its Roundtable on Transparency. According to the Institute’s website: “</w:t>
            </w:r>
            <w:r w:rsidRPr="00247539">
              <w:rPr>
                <w:lang w:val="en-AU" w:eastAsia="en-AU"/>
              </w:rPr>
              <w:t xml:space="preserve">Defining transparency as “the free flow of information that is open to the scrutiny of others,” this report offers sweeping recommendations to bring greater </w:t>
            </w:r>
            <w:r w:rsidRPr="00247539">
              <w:rPr>
                <w:b/>
                <w:lang w:val="en-AU" w:eastAsia="en-AU"/>
              </w:rPr>
              <w:t>transparency in four domains</w:t>
            </w:r>
            <w:r w:rsidRPr="00247539">
              <w:rPr>
                <w:lang w:val="en-AU" w:eastAsia="en-AU"/>
              </w:rPr>
              <w:t xml:space="preserve">: </w:t>
            </w:r>
            <w:r w:rsidRPr="00247539">
              <w:rPr>
                <w:b/>
                <w:lang w:val="en-AU" w:eastAsia="en-AU"/>
              </w:rPr>
              <w:t>between clinicians and patients</w:t>
            </w:r>
            <w:r w:rsidRPr="00247539">
              <w:rPr>
                <w:lang w:val="en-AU" w:eastAsia="en-AU"/>
              </w:rPr>
              <w:t xml:space="preserve">; </w:t>
            </w:r>
            <w:r w:rsidRPr="00247539">
              <w:rPr>
                <w:b/>
                <w:lang w:val="en-AU" w:eastAsia="en-AU"/>
              </w:rPr>
              <w:t>among clinicians</w:t>
            </w:r>
            <w:r w:rsidRPr="00247539">
              <w:rPr>
                <w:lang w:val="en-AU" w:eastAsia="en-AU"/>
              </w:rPr>
              <w:t xml:space="preserve"> within an organization; </w:t>
            </w:r>
            <w:r w:rsidRPr="00247539">
              <w:rPr>
                <w:b/>
                <w:lang w:val="en-AU" w:eastAsia="en-AU"/>
              </w:rPr>
              <w:t>between organizations</w:t>
            </w:r>
            <w:r w:rsidRPr="00247539">
              <w:rPr>
                <w:lang w:val="en-AU" w:eastAsia="en-AU"/>
              </w:rPr>
              <w:t xml:space="preserve">; and </w:t>
            </w:r>
            <w:r w:rsidRPr="00247539">
              <w:rPr>
                <w:b/>
                <w:lang w:val="en-AU" w:eastAsia="en-AU"/>
              </w:rPr>
              <w:t>between organizations and the public</w:t>
            </w:r>
            <w:r w:rsidRPr="00247539">
              <w:rPr>
                <w:lang w:val="en-AU" w:eastAsia="en-AU"/>
              </w:rPr>
              <w:t>. It makes the case that true transparency will result in improved outcomes, fewer medical errors, more satisfied patients, and lowered costs of care.</w:t>
            </w:r>
            <w:r>
              <w:rPr>
                <w:lang w:val="en-AU" w:eastAsia="en-AU"/>
              </w:rPr>
              <w:t>”</w:t>
            </w:r>
          </w:p>
          <w:p w:rsidR="00247539" w:rsidRPr="00255EF8" w:rsidRDefault="00247539" w:rsidP="00247539">
            <w:pPr>
              <w:rPr>
                <w:lang w:val="en-AU" w:eastAsia="en-AU"/>
              </w:rPr>
            </w:pPr>
            <w:r>
              <w:rPr>
                <w:lang w:val="en-AU" w:eastAsia="en-AU"/>
              </w:rPr>
              <w:t xml:space="preserve">The report includes case studies illustrating </w:t>
            </w:r>
            <w:r w:rsidRPr="00247539">
              <w:rPr>
                <w:lang w:val="en-AU" w:eastAsia="en-AU"/>
              </w:rPr>
              <w:t xml:space="preserve">how transparency </w:t>
            </w:r>
            <w:r>
              <w:rPr>
                <w:lang w:val="en-AU" w:eastAsia="en-AU"/>
              </w:rPr>
              <w:t xml:space="preserve">can be </w:t>
            </w:r>
            <w:r w:rsidRPr="00247539">
              <w:rPr>
                <w:lang w:val="en-AU" w:eastAsia="en-AU"/>
              </w:rPr>
              <w:t>practiced in each of the domains</w:t>
            </w:r>
            <w:r>
              <w:rPr>
                <w:lang w:val="en-AU" w:eastAsia="en-AU"/>
              </w:rPr>
              <w:t>.</w:t>
            </w:r>
          </w:p>
        </w:tc>
      </w:tr>
    </w:tbl>
    <w:p w:rsidR="004C78CF" w:rsidRPr="004C78CF" w:rsidRDefault="004C78CF" w:rsidP="004C78CF">
      <w:pPr>
        <w:keepNext/>
        <w:keepLines/>
        <w:autoSpaceDE w:val="0"/>
        <w:autoSpaceDN w:val="0"/>
        <w:adjustRightInd w:val="0"/>
        <w:rPr>
          <w:i/>
          <w:lang w:val="en-AU"/>
        </w:rPr>
      </w:pPr>
      <w:r w:rsidRPr="004C78CF">
        <w:rPr>
          <w:i/>
          <w:lang w:val="en-AU"/>
        </w:rPr>
        <w:lastRenderedPageBreak/>
        <w:t>Perioperative Medicine: The pathway to better surgical care</w:t>
      </w:r>
    </w:p>
    <w:p w:rsidR="009B790E" w:rsidRDefault="009B790E" w:rsidP="009B790E">
      <w:pPr>
        <w:keepNext/>
        <w:keepLines/>
        <w:autoSpaceDE w:val="0"/>
        <w:autoSpaceDN w:val="0"/>
        <w:adjustRightInd w:val="0"/>
        <w:rPr>
          <w:lang w:val="en-AU"/>
        </w:rPr>
      </w:pPr>
      <w:r w:rsidRPr="009B790E">
        <w:rPr>
          <w:lang w:val="en-AU"/>
        </w:rPr>
        <w:t>The Royal College of Anaesthetists</w:t>
      </w:r>
    </w:p>
    <w:p w:rsidR="009B790E" w:rsidRPr="00255EF8" w:rsidRDefault="009B790E" w:rsidP="009B790E">
      <w:pPr>
        <w:keepNext/>
        <w:keepLines/>
        <w:autoSpaceDE w:val="0"/>
        <w:autoSpaceDN w:val="0"/>
        <w:adjustRightInd w:val="0"/>
        <w:rPr>
          <w:lang w:val="en-AU"/>
        </w:rPr>
      </w:pPr>
      <w:r w:rsidRPr="009B790E">
        <w:rPr>
          <w:lang w:val="en-AU"/>
        </w:rPr>
        <w:t xml:space="preserve">London: </w:t>
      </w:r>
      <w:proofErr w:type="spellStart"/>
      <w:r w:rsidRPr="009B790E">
        <w:rPr>
          <w:lang w:val="en-AU"/>
        </w:rPr>
        <w:t>RCoA</w:t>
      </w:r>
      <w:proofErr w:type="spellEnd"/>
      <w:r w:rsidRPr="009B790E">
        <w:rPr>
          <w:lang w:val="en-AU"/>
        </w:rPr>
        <w:t xml:space="preserve">; 2015. </w:t>
      </w:r>
      <w:proofErr w:type="gramStart"/>
      <w:r w:rsidRPr="009B790E">
        <w:rPr>
          <w:lang w:val="en-AU"/>
        </w:rPr>
        <w:t>p. 28.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B790E" w:rsidRPr="00255EF8" w:rsidTr="000A1890">
        <w:tc>
          <w:tcPr>
            <w:tcW w:w="1080" w:type="dxa"/>
            <w:tcBorders>
              <w:top w:val="single" w:sz="4" w:space="0" w:color="auto"/>
              <w:left w:val="single" w:sz="4" w:space="0" w:color="auto"/>
              <w:bottom w:val="single" w:sz="4" w:space="0" w:color="auto"/>
              <w:right w:val="single" w:sz="4" w:space="0" w:color="auto"/>
            </w:tcBorders>
            <w:vAlign w:val="center"/>
          </w:tcPr>
          <w:p w:rsidR="009B790E" w:rsidRPr="00255EF8" w:rsidRDefault="009B790E" w:rsidP="000A189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790E" w:rsidRPr="00255EF8" w:rsidRDefault="00FB5819" w:rsidP="000A1890">
            <w:pPr>
              <w:rPr>
                <w:lang w:val="en-AU"/>
              </w:rPr>
            </w:pPr>
            <w:hyperlink r:id="rId17" w:history="1">
              <w:r w:rsidR="009B790E" w:rsidRPr="00FB3815">
                <w:rPr>
                  <w:rStyle w:val="Hyperlink"/>
                  <w:lang w:val="en-AU"/>
                </w:rPr>
                <w:t>http://www.rcoa.ac.uk/perioperativemedicine</w:t>
              </w:r>
            </w:hyperlink>
          </w:p>
        </w:tc>
      </w:tr>
      <w:tr w:rsidR="009B790E" w:rsidRPr="00255EF8" w:rsidTr="000A1890">
        <w:tc>
          <w:tcPr>
            <w:tcW w:w="1080" w:type="dxa"/>
            <w:tcBorders>
              <w:top w:val="single" w:sz="4" w:space="0" w:color="auto"/>
              <w:left w:val="single" w:sz="4" w:space="0" w:color="auto"/>
              <w:bottom w:val="single" w:sz="4" w:space="0" w:color="auto"/>
              <w:right w:val="single" w:sz="4" w:space="0" w:color="auto"/>
            </w:tcBorders>
            <w:vAlign w:val="center"/>
          </w:tcPr>
          <w:p w:rsidR="009B790E" w:rsidRPr="00255EF8" w:rsidRDefault="009B790E" w:rsidP="000A189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790E" w:rsidRDefault="009B790E" w:rsidP="009B790E">
            <w:pPr>
              <w:rPr>
                <w:color w:val="333333"/>
                <w:shd w:val="clear" w:color="auto" w:fill="FFFFFF"/>
                <w:lang w:val="en-AU"/>
              </w:rPr>
            </w:pPr>
            <w:r w:rsidRPr="009B790E">
              <w:rPr>
                <w:color w:val="333333"/>
                <w:shd w:val="clear" w:color="auto" w:fill="FFFFFF"/>
                <w:lang w:val="en-AU"/>
              </w:rPr>
              <w:t>Th</w:t>
            </w:r>
            <w:r>
              <w:rPr>
                <w:color w:val="333333"/>
                <w:shd w:val="clear" w:color="auto" w:fill="FFFFFF"/>
                <w:lang w:val="en-AU"/>
              </w:rPr>
              <w:t xml:space="preserve">e (UK) </w:t>
            </w:r>
            <w:r w:rsidRPr="009B790E">
              <w:rPr>
                <w:lang w:val="en-AU"/>
              </w:rPr>
              <w:t>Royal College of Anaesthetists</w:t>
            </w:r>
            <w:r>
              <w:rPr>
                <w:lang w:val="en-AU"/>
              </w:rPr>
              <w:t xml:space="preserve"> has released this ‘vision document’ describing </w:t>
            </w:r>
            <w:r w:rsidRPr="009B790E">
              <w:rPr>
                <w:color w:val="333333"/>
                <w:shd w:val="clear" w:color="auto" w:fill="FFFFFF"/>
                <w:lang w:val="en-AU"/>
              </w:rPr>
              <w:t xml:space="preserve">models of surgical care which aim to deliver more efficient healthcare and better outcomes for patients from contemplation of surgery until full recovery. It argues that multi-disciplinary perioperative care helps to provide a solution to the high demand for hospital beds in helping to enable faster recovery and prevent hospital re-admissions. The </w:t>
            </w:r>
            <w:r>
              <w:rPr>
                <w:color w:val="333333"/>
                <w:shd w:val="clear" w:color="auto" w:fill="FFFFFF"/>
                <w:lang w:val="en-AU"/>
              </w:rPr>
              <w:t xml:space="preserve">site includes other resources, including an animated film and </w:t>
            </w:r>
            <w:r w:rsidRPr="009B790E">
              <w:rPr>
                <w:color w:val="333333"/>
                <w:shd w:val="clear" w:color="auto" w:fill="FFFFFF"/>
                <w:lang w:val="en-AU"/>
              </w:rPr>
              <w:t>case studies highlight</w:t>
            </w:r>
            <w:r>
              <w:rPr>
                <w:color w:val="333333"/>
                <w:shd w:val="clear" w:color="auto" w:fill="FFFFFF"/>
                <w:lang w:val="en-AU"/>
              </w:rPr>
              <w:t>ing</w:t>
            </w:r>
            <w:r w:rsidRPr="009B790E">
              <w:rPr>
                <w:color w:val="333333"/>
                <w:shd w:val="clear" w:color="auto" w:fill="FFFFFF"/>
                <w:lang w:val="en-AU"/>
              </w:rPr>
              <w:t xml:space="preserve"> examples of good practice in this field.</w:t>
            </w:r>
          </w:p>
          <w:p w:rsidR="009B790E" w:rsidRPr="00255EF8" w:rsidRDefault="009B790E" w:rsidP="009B790E">
            <w:pPr>
              <w:rPr>
                <w:color w:val="333333"/>
                <w:shd w:val="clear" w:color="auto" w:fill="FFFFFF"/>
                <w:lang w:val="en-AU"/>
              </w:rPr>
            </w:pPr>
            <w:r>
              <w:rPr>
                <w:noProof/>
                <w:lang w:val="en-AU" w:eastAsia="en-AU"/>
              </w:rPr>
              <w:drawing>
                <wp:inline distT="0" distB="0" distL="0" distR="0" wp14:anchorId="0A91616E" wp14:editId="481DC5C0">
                  <wp:extent cx="4780953" cy="675238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80953" cy="6752381"/>
                          </a:xfrm>
                          <a:prstGeom prst="rect">
                            <a:avLst/>
                          </a:prstGeom>
                        </pic:spPr>
                      </pic:pic>
                    </a:graphicData>
                  </a:graphic>
                </wp:inline>
              </w:drawing>
            </w:r>
          </w:p>
        </w:tc>
      </w:tr>
    </w:tbl>
    <w:p w:rsidR="009B790E" w:rsidRPr="00255EF8" w:rsidRDefault="009B790E" w:rsidP="009B790E">
      <w:pPr>
        <w:keepLines/>
        <w:autoSpaceDE w:val="0"/>
        <w:autoSpaceDN w:val="0"/>
        <w:adjustRightInd w:val="0"/>
        <w:rPr>
          <w:lang w:val="en-AU"/>
        </w:rPr>
      </w:pPr>
    </w:p>
    <w:p w:rsidR="004C78CF" w:rsidRPr="00255EF8" w:rsidRDefault="004C78CF" w:rsidP="004C78CF">
      <w:pPr>
        <w:rPr>
          <w:i/>
          <w:shd w:val="clear" w:color="auto" w:fill="FFFFFF"/>
          <w:lang w:val="en-AU"/>
        </w:rPr>
      </w:pPr>
      <w:r w:rsidRPr="00255EF8">
        <w:rPr>
          <w:i/>
          <w:shd w:val="clear" w:color="auto" w:fill="FFFFFF"/>
          <w:lang w:val="en-AU"/>
        </w:rPr>
        <w:lastRenderedPageBreak/>
        <w:t>International Profiles of Health Care Systems, 2014: Australia, Canada, Denmark, England, France, Germany, Italy, Japan, The Netherlands, New Zealand, Norway, Singapore, Sweden, Switzerland, and the United States</w:t>
      </w:r>
    </w:p>
    <w:p w:rsidR="004C78CF" w:rsidRPr="00255EF8" w:rsidRDefault="004C78CF" w:rsidP="004C78CF">
      <w:pPr>
        <w:rPr>
          <w:shd w:val="clear" w:color="auto" w:fill="FFFFFF"/>
          <w:lang w:val="en-AU"/>
        </w:rPr>
      </w:pPr>
      <w:proofErr w:type="spellStart"/>
      <w:r w:rsidRPr="00255EF8">
        <w:rPr>
          <w:shd w:val="clear" w:color="auto" w:fill="FFFFFF"/>
          <w:lang w:val="en-AU"/>
        </w:rPr>
        <w:t>Mossialos</w:t>
      </w:r>
      <w:proofErr w:type="spellEnd"/>
      <w:r w:rsidRPr="00255EF8">
        <w:rPr>
          <w:shd w:val="clear" w:color="auto" w:fill="FFFFFF"/>
          <w:lang w:val="en-AU"/>
        </w:rPr>
        <w:t xml:space="preserve"> E, </w:t>
      </w:r>
      <w:proofErr w:type="spellStart"/>
      <w:r w:rsidRPr="00255EF8">
        <w:rPr>
          <w:shd w:val="clear" w:color="auto" w:fill="FFFFFF"/>
          <w:lang w:val="en-AU"/>
        </w:rPr>
        <w:t>Wenzl</w:t>
      </w:r>
      <w:proofErr w:type="spellEnd"/>
      <w:r w:rsidRPr="00255EF8">
        <w:rPr>
          <w:shd w:val="clear" w:color="auto" w:fill="FFFFFF"/>
          <w:lang w:val="en-AU"/>
        </w:rPr>
        <w:t xml:space="preserve"> M, Osborn R, Anderson C</w:t>
      </w:r>
    </w:p>
    <w:p w:rsidR="004C78CF" w:rsidRPr="00255EF8" w:rsidRDefault="004C78CF" w:rsidP="004C78CF">
      <w:pPr>
        <w:rPr>
          <w:shd w:val="clear" w:color="auto" w:fill="FFFFFF"/>
          <w:lang w:val="en-AU"/>
        </w:rPr>
      </w:pPr>
      <w:r w:rsidRPr="00255EF8">
        <w:rPr>
          <w:shd w:val="clear" w:color="auto" w:fill="FFFFFF"/>
          <w:lang w:val="en-AU"/>
        </w:rPr>
        <w:t xml:space="preserve">New York: Commonwealth Fund; 2015. </w:t>
      </w:r>
      <w:proofErr w:type="gramStart"/>
      <w:r w:rsidRPr="00255EF8">
        <w:rPr>
          <w:shd w:val="clear" w:color="auto" w:fill="FFFFFF"/>
          <w:lang w:val="en-AU"/>
        </w:rPr>
        <w:t>p. 164.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C78CF" w:rsidRPr="00255EF8" w:rsidTr="000A1890">
        <w:tc>
          <w:tcPr>
            <w:tcW w:w="1080" w:type="dxa"/>
            <w:tcBorders>
              <w:top w:val="single" w:sz="4" w:space="0" w:color="auto"/>
              <w:left w:val="single" w:sz="4" w:space="0" w:color="auto"/>
              <w:bottom w:val="single" w:sz="4" w:space="0" w:color="auto"/>
              <w:right w:val="single" w:sz="4" w:space="0" w:color="auto"/>
            </w:tcBorders>
            <w:vAlign w:val="center"/>
          </w:tcPr>
          <w:p w:rsidR="004C78CF" w:rsidRPr="00255EF8" w:rsidRDefault="004C78CF" w:rsidP="000A1890">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C78CF" w:rsidRPr="00255EF8" w:rsidRDefault="00FB5819" w:rsidP="000A1890">
            <w:pPr>
              <w:rPr>
                <w:lang w:val="en-AU"/>
              </w:rPr>
            </w:pPr>
            <w:hyperlink r:id="rId19" w:history="1">
              <w:r w:rsidR="004C78CF" w:rsidRPr="00255EF8">
                <w:rPr>
                  <w:rStyle w:val="Hyperlink"/>
                  <w:lang w:val="en-AU"/>
                </w:rPr>
                <w:t>http://www.commonwealthfund.org/publications/fund-reports/2015/jan/international-profiles-2014</w:t>
              </w:r>
            </w:hyperlink>
          </w:p>
        </w:tc>
      </w:tr>
      <w:tr w:rsidR="004C78CF" w:rsidRPr="00255EF8" w:rsidTr="000A1890">
        <w:tc>
          <w:tcPr>
            <w:tcW w:w="1080" w:type="dxa"/>
            <w:tcBorders>
              <w:top w:val="single" w:sz="4" w:space="0" w:color="auto"/>
              <w:left w:val="single" w:sz="4" w:space="0" w:color="auto"/>
              <w:bottom w:val="single" w:sz="4" w:space="0" w:color="auto"/>
              <w:right w:val="single" w:sz="4" w:space="0" w:color="auto"/>
            </w:tcBorders>
          </w:tcPr>
          <w:p w:rsidR="004C78CF" w:rsidRPr="00255EF8" w:rsidRDefault="004C78CF" w:rsidP="000A1890">
            <w:pPr>
              <w:rPr>
                <w:lang w:val="en-AU"/>
              </w:rPr>
            </w:pPr>
            <w:r w:rsidRPr="00255EF8">
              <w:rPr>
                <w:lang w:val="en-AU"/>
              </w:rPr>
              <w:t>TRIM</w:t>
            </w:r>
          </w:p>
        </w:tc>
        <w:tc>
          <w:tcPr>
            <w:tcW w:w="8280" w:type="dxa"/>
            <w:tcBorders>
              <w:top w:val="single" w:sz="4" w:space="0" w:color="auto"/>
              <w:left w:val="single" w:sz="4" w:space="0" w:color="auto"/>
              <w:bottom w:val="single" w:sz="4" w:space="0" w:color="auto"/>
              <w:right w:val="single" w:sz="4" w:space="0" w:color="auto"/>
            </w:tcBorders>
          </w:tcPr>
          <w:p w:rsidR="004C78CF" w:rsidRPr="00255EF8" w:rsidRDefault="004C78CF" w:rsidP="000A1890">
            <w:pPr>
              <w:rPr>
                <w:lang w:val="en-AU"/>
              </w:rPr>
            </w:pPr>
            <w:r w:rsidRPr="00255EF8">
              <w:rPr>
                <w:lang w:val="en-AU"/>
              </w:rPr>
              <w:t>D15-1911</w:t>
            </w:r>
          </w:p>
        </w:tc>
      </w:tr>
      <w:tr w:rsidR="004C78CF" w:rsidRPr="00255EF8" w:rsidTr="000A1890">
        <w:tc>
          <w:tcPr>
            <w:tcW w:w="1080" w:type="dxa"/>
            <w:tcBorders>
              <w:top w:val="single" w:sz="4" w:space="0" w:color="auto"/>
              <w:left w:val="single" w:sz="4" w:space="0" w:color="auto"/>
              <w:bottom w:val="single" w:sz="4" w:space="0" w:color="auto"/>
              <w:right w:val="single" w:sz="4" w:space="0" w:color="auto"/>
            </w:tcBorders>
            <w:vAlign w:val="center"/>
          </w:tcPr>
          <w:p w:rsidR="004C78CF" w:rsidRPr="00255EF8" w:rsidRDefault="004C78CF" w:rsidP="000A189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78CF" w:rsidRPr="00255EF8" w:rsidRDefault="004C78CF" w:rsidP="000A1890">
            <w:pPr>
              <w:rPr>
                <w:lang w:val="en-AU" w:eastAsia="en-AU"/>
              </w:rPr>
            </w:pPr>
            <w:r w:rsidRPr="00255EF8">
              <w:rPr>
                <w:lang w:val="en-AU" w:eastAsia="en-AU"/>
              </w:rPr>
              <w:t xml:space="preserve">The (US) Commonwealth Fund has released its annual profile/review of health care systems. Each year’s report looks at the state and performance of health care system in a number of more-or-less comparable developed nations. The chapter on Australia has been written by academics Paul </w:t>
            </w:r>
            <w:proofErr w:type="spellStart"/>
            <w:r w:rsidRPr="00255EF8">
              <w:rPr>
                <w:lang w:val="en-AU" w:eastAsia="en-AU"/>
              </w:rPr>
              <w:t>Dugdale</w:t>
            </w:r>
            <w:proofErr w:type="spellEnd"/>
            <w:r w:rsidRPr="00255EF8">
              <w:rPr>
                <w:lang w:val="en-AU" w:eastAsia="en-AU"/>
              </w:rPr>
              <w:t xml:space="preserve"> and Judith Healy.</w:t>
            </w:r>
          </w:p>
          <w:p w:rsidR="004C78CF" w:rsidRPr="00255EF8" w:rsidRDefault="004C78CF" w:rsidP="000A1890">
            <w:pPr>
              <w:rPr>
                <w:lang w:val="en-AU" w:eastAsia="en-AU"/>
              </w:rPr>
            </w:pPr>
            <w:r w:rsidRPr="00255EF8">
              <w:rPr>
                <w:lang w:val="en-AU" w:eastAsia="en-AU"/>
              </w:rPr>
              <w:t>As tends to the way of these reports Australia ranks in the higher end for most performance measures while being at or below average in terms of cost.</w:t>
            </w:r>
          </w:p>
        </w:tc>
      </w:tr>
    </w:tbl>
    <w:p w:rsidR="004C78CF" w:rsidRDefault="004C78CF" w:rsidP="004C78CF">
      <w:pPr>
        <w:keepNext/>
        <w:rPr>
          <w:lang w:val="en-AU"/>
        </w:rPr>
      </w:pPr>
    </w:p>
    <w:p w:rsidR="004B0A28" w:rsidRPr="00255EF8" w:rsidRDefault="004B0A28" w:rsidP="00771468">
      <w:pPr>
        <w:keepNext/>
        <w:rPr>
          <w:lang w:val="en-AU"/>
        </w:rPr>
      </w:pPr>
    </w:p>
    <w:p w:rsidR="00A30DF9" w:rsidRPr="00255EF8" w:rsidRDefault="00254636" w:rsidP="00771468">
      <w:pPr>
        <w:keepNext/>
        <w:rPr>
          <w:b/>
          <w:lang w:val="en-AU"/>
        </w:rPr>
      </w:pPr>
      <w:r w:rsidRPr="00255EF8">
        <w:rPr>
          <w:b/>
          <w:lang w:val="en-AU"/>
        </w:rPr>
        <w:t>Journal articles</w:t>
      </w:r>
    </w:p>
    <w:p w:rsidR="004B37A8" w:rsidRDefault="004B37A8" w:rsidP="00047DE3">
      <w:pPr>
        <w:keepNext/>
        <w:keepLines/>
        <w:autoSpaceDE w:val="0"/>
        <w:autoSpaceDN w:val="0"/>
        <w:adjustRightInd w:val="0"/>
        <w:rPr>
          <w:i/>
          <w:lang w:val="en-AU"/>
        </w:rPr>
      </w:pPr>
    </w:p>
    <w:p w:rsidR="007D70EE" w:rsidRPr="005D54DD" w:rsidRDefault="007D70EE" w:rsidP="007D70EE">
      <w:pPr>
        <w:keepNext/>
        <w:keepLines/>
        <w:autoSpaceDE w:val="0"/>
        <w:autoSpaceDN w:val="0"/>
        <w:adjustRightInd w:val="0"/>
        <w:rPr>
          <w:i/>
          <w:lang w:val="en-AU"/>
        </w:rPr>
      </w:pPr>
      <w:r w:rsidRPr="005D54DD">
        <w:rPr>
          <w:i/>
          <w:lang w:val="en-AU"/>
        </w:rPr>
        <w:t>Should Health Care Providers Be Forced to Apologise After Things Go Wrong?</w:t>
      </w:r>
    </w:p>
    <w:p w:rsidR="007D70EE" w:rsidRDefault="007D70EE" w:rsidP="007D70EE">
      <w:pPr>
        <w:keepNext/>
        <w:keepLines/>
        <w:autoSpaceDE w:val="0"/>
        <w:autoSpaceDN w:val="0"/>
        <w:adjustRightInd w:val="0"/>
        <w:rPr>
          <w:lang w:val="en-AU"/>
        </w:rPr>
      </w:pPr>
      <w:r w:rsidRPr="005D54DD">
        <w:rPr>
          <w:lang w:val="en-AU"/>
        </w:rPr>
        <w:t>McLennan S, Walker S, Rich L</w:t>
      </w:r>
    </w:p>
    <w:p w:rsidR="007D70EE" w:rsidRPr="00255EF8" w:rsidRDefault="007D70EE" w:rsidP="007D70EE">
      <w:pPr>
        <w:keepNext/>
        <w:keepLines/>
        <w:autoSpaceDE w:val="0"/>
        <w:autoSpaceDN w:val="0"/>
        <w:adjustRightInd w:val="0"/>
        <w:rPr>
          <w:lang w:val="en-AU"/>
        </w:rPr>
      </w:pPr>
      <w:proofErr w:type="gramStart"/>
      <w:r w:rsidRPr="005D54DD">
        <w:rPr>
          <w:lang w:val="en-AU"/>
        </w:rPr>
        <w:t>Bioethical Inquiry.</w:t>
      </w:r>
      <w:proofErr w:type="gramEnd"/>
      <w:r w:rsidRPr="005D54DD">
        <w:rPr>
          <w:lang w:val="en-AU"/>
        </w:rPr>
        <w:t xml:space="preserve"> 2014 2014/12/01</w:t>
      </w:r>
      <w:proofErr w:type="gramStart"/>
      <w:r w:rsidRPr="005D54DD">
        <w:rPr>
          <w:lang w:val="en-AU"/>
        </w:rPr>
        <w:t>;11</w:t>
      </w:r>
      <w:proofErr w:type="gramEnd"/>
      <w:r w:rsidRPr="005D54DD">
        <w:rPr>
          <w:lang w:val="en-AU"/>
        </w:rPr>
        <w:t>(4):431-5.</w:t>
      </w:r>
    </w:p>
    <w:tbl>
      <w:tblPr>
        <w:tblStyle w:val="TableGrid"/>
        <w:tblW w:w="0" w:type="auto"/>
        <w:tblInd w:w="288" w:type="dxa"/>
        <w:tblLayout w:type="fixed"/>
        <w:tblLook w:val="01E0" w:firstRow="1" w:lastRow="1" w:firstColumn="1" w:lastColumn="1" w:noHBand="0" w:noVBand="0"/>
      </w:tblPr>
      <w:tblGrid>
        <w:gridCol w:w="1080"/>
        <w:gridCol w:w="8280"/>
      </w:tblGrid>
      <w:tr w:rsidR="007D70EE" w:rsidRPr="00255EF8" w:rsidTr="000A1890">
        <w:tc>
          <w:tcPr>
            <w:tcW w:w="1080" w:type="dxa"/>
            <w:tcBorders>
              <w:top w:val="single" w:sz="4" w:space="0" w:color="auto"/>
              <w:left w:val="single" w:sz="4" w:space="0" w:color="auto"/>
              <w:bottom w:val="single" w:sz="4" w:space="0" w:color="auto"/>
              <w:right w:val="single" w:sz="4" w:space="0" w:color="auto"/>
            </w:tcBorders>
            <w:vAlign w:val="center"/>
          </w:tcPr>
          <w:p w:rsidR="007D70EE" w:rsidRPr="00255EF8" w:rsidRDefault="007D70EE" w:rsidP="000A1890">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70EE" w:rsidRPr="00255EF8" w:rsidRDefault="00FB5819" w:rsidP="000A1890">
            <w:pPr>
              <w:rPr>
                <w:lang w:val="en-AU"/>
              </w:rPr>
            </w:pPr>
            <w:hyperlink r:id="rId20" w:history="1">
              <w:r w:rsidR="007D70EE" w:rsidRPr="00FB3815">
                <w:rPr>
                  <w:rStyle w:val="Hyperlink"/>
                  <w:lang w:val="en-AU"/>
                </w:rPr>
                <w:t>http://dx.doi.org/10.1007/s11673-014-9571-y</w:t>
              </w:r>
            </w:hyperlink>
          </w:p>
        </w:tc>
      </w:tr>
      <w:tr w:rsidR="007D70EE" w:rsidRPr="00255EF8" w:rsidTr="000A1890">
        <w:tc>
          <w:tcPr>
            <w:tcW w:w="1080" w:type="dxa"/>
            <w:tcBorders>
              <w:top w:val="single" w:sz="4" w:space="0" w:color="auto"/>
              <w:left w:val="single" w:sz="4" w:space="0" w:color="auto"/>
              <w:bottom w:val="single" w:sz="4" w:space="0" w:color="auto"/>
              <w:right w:val="single" w:sz="4" w:space="0" w:color="auto"/>
            </w:tcBorders>
            <w:vAlign w:val="center"/>
          </w:tcPr>
          <w:p w:rsidR="007D70EE" w:rsidRPr="00255EF8" w:rsidRDefault="007D70EE" w:rsidP="000A189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70EE" w:rsidRPr="005D54DD" w:rsidRDefault="007D70EE" w:rsidP="000A1890">
            <w:pPr>
              <w:rPr>
                <w:color w:val="333333"/>
                <w:shd w:val="clear" w:color="auto" w:fill="FFFFFF"/>
                <w:lang w:val="en-AU"/>
              </w:rPr>
            </w:pPr>
            <w:r w:rsidRPr="005D54DD">
              <w:rPr>
                <w:color w:val="333333"/>
                <w:shd w:val="clear" w:color="auto" w:fill="FFFFFF"/>
                <w:lang w:val="en-AU"/>
              </w:rPr>
              <w:t xml:space="preserve">Apology, or expression of regret, including the word “I am/we are sorry” is a key part of the conversation that should take place between patients and providers following healthcare harm. Apology serves important social functions, and its value in the clinical setting is discussed in the Commission’s </w:t>
            </w:r>
            <w:hyperlink r:id="rId21" w:history="1">
              <w:r w:rsidRPr="005D54DD">
                <w:rPr>
                  <w:rStyle w:val="Hyperlink"/>
                  <w:shd w:val="clear" w:color="auto" w:fill="FFFFFF"/>
                  <w:lang w:val="en-AU"/>
                </w:rPr>
                <w:t>review of open disclosure practice</w:t>
              </w:r>
            </w:hyperlink>
            <w:r w:rsidRPr="005D54DD">
              <w:rPr>
                <w:color w:val="333333"/>
                <w:shd w:val="clear" w:color="auto" w:fill="FFFFFF"/>
                <w:lang w:val="en-AU"/>
              </w:rPr>
              <w:t xml:space="preserve">, and in the subsequent </w:t>
            </w:r>
            <w:hyperlink r:id="rId22" w:history="1">
              <w:r w:rsidRPr="005D54DD">
                <w:rPr>
                  <w:rStyle w:val="Hyperlink"/>
                  <w:shd w:val="clear" w:color="auto" w:fill="FFFFFF"/>
                  <w:lang w:val="en-AU"/>
                </w:rPr>
                <w:t>Australian Open Disclosure Framework (2013)</w:t>
              </w:r>
            </w:hyperlink>
            <w:r w:rsidRPr="005D54DD">
              <w:rPr>
                <w:color w:val="333333"/>
                <w:shd w:val="clear" w:color="auto" w:fill="FFFFFF"/>
                <w:lang w:val="en-AU"/>
              </w:rPr>
              <w:t>.</w:t>
            </w:r>
          </w:p>
          <w:p w:rsidR="007D70EE" w:rsidRPr="00255EF8" w:rsidRDefault="007D70EE" w:rsidP="000A1890">
            <w:pPr>
              <w:rPr>
                <w:color w:val="333333"/>
                <w:shd w:val="clear" w:color="auto" w:fill="FFFFFF"/>
                <w:lang w:val="en-AU"/>
              </w:rPr>
            </w:pPr>
            <w:r w:rsidRPr="005D54DD">
              <w:rPr>
                <w:color w:val="333333"/>
                <w:shd w:val="clear" w:color="auto" w:fill="FFFFFF"/>
                <w:lang w:val="en-AU"/>
              </w:rPr>
              <w:t>There is ongoing debate regarding the value of mandating apology in the clinical setting through legislative or disciplinary levers. This commentary discusses the issue, drawing on a recent case from New Zealand. The potential impact on clinicians</w:t>
            </w:r>
            <w:r>
              <w:rPr>
                <w:color w:val="333333"/>
                <w:shd w:val="clear" w:color="auto" w:fill="FFFFFF"/>
                <w:lang w:val="en-AU"/>
              </w:rPr>
              <w:t>’</w:t>
            </w:r>
            <w:r w:rsidRPr="005D54DD">
              <w:rPr>
                <w:color w:val="333333"/>
                <w:shd w:val="clear" w:color="auto" w:fill="FFFFFF"/>
                <w:lang w:val="en-AU"/>
              </w:rPr>
              <w:t xml:space="preserve"> ability to make moral judgments is discussed. The authors state that “apologies that stem from external authorities’ edicts rather than an offender’s own self-criticism and moral reflection are inauthentic” and inhibit the “moral development of both individual providers and the medical profession”. They conclude that compelled apologies ultimately undermine the underlying goals of saying sorry and advocate for promoting voluntary apologies through training, culture, and peer support. </w:t>
            </w:r>
            <w:proofErr w:type="gramStart"/>
            <w:r w:rsidRPr="005D54DD">
              <w:rPr>
                <w:color w:val="333333"/>
                <w:shd w:val="clear" w:color="auto" w:fill="FFFFFF"/>
                <w:lang w:val="en-AU"/>
              </w:rPr>
              <w:t>This accords</w:t>
            </w:r>
            <w:proofErr w:type="gramEnd"/>
            <w:r w:rsidRPr="005D54DD">
              <w:rPr>
                <w:color w:val="333333"/>
                <w:shd w:val="clear" w:color="auto" w:fill="FFFFFF"/>
                <w:lang w:val="en-AU"/>
              </w:rPr>
              <w:t xml:space="preserve"> with the Commission’s </w:t>
            </w:r>
            <w:r>
              <w:rPr>
                <w:color w:val="333333"/>
                <w:shd w:val="clear" w:color="auto" w:fill="FFFFFF"/>
                <w:lang w:val="en-AU"/>
              </w:rPr>
              <w:t>guidance on apologies</w:t>
            </w:r>
            <w:r w:rsidRPr="005D54DD">
              <w:rPr>
                <w:color w:val="333333"/>
                <w:shd w:val="clear" w:color="auto" w:fill="FFFFFF"/>
                <w:lang w:val="en-AU"/>
              </w:rPr>
              <w:t xml:space="preserve"> during open disclosure.</w:t>
            </w:r>
          </w:p>
        </w:tc>
      </w:tr>
    </w:tbl>
    <w:p w:rsidR="007D70EE" w:rsidRDefault="007D70EE" w:rsidP="007D70EE">
      <w:pPr>
        <w:keepLines/>
        <w:autoSpaceDE w:val="0"/>
        <w:autoSpaceDN w:val="0"/>
        <w:adjustRightInd w:val="0"/>
        <w:rPr>
          <w:lang w:val="en-AU"/>
        </w:rPr>
      </w:pPr>
    </w:p>
    <w:p w:rsidR="007D70EE" w:rsidRPr="00255EF8" w:rsidRDefault="007D70EE" w:rsidP="007D70EE">
      <w:pPr>
        <w:keepLines/>
        <w:autoSpaceDE w:val="0"/>
        <w:autoSpaceDN w:val="0"/>
        <w:adjustRightInd w:val="0"/>
        <w:rPr>
          <w:lang w:val="en-AU"/>
        </w:rPr>
      </w:pPr>
      <w:r w:rsidRPr="005D54DD">
        <w:rPr>
          <w:color w:val="333333"/>
          <w:shd w:val="clear" w:color="auto" w:fill="FFFFFF"/>
          <w:lang w:val="en-AU"/>
        </w:rPr>
        <w:t xml:space="preserve">For information on the Commission’s open disclosure program please visit </w:t>
      </w:r>
      <w:hyperlink r:id="rId23" w:history="1">
        <w:r w:rsidRPr="00FB3815">
          <w:rPr>
            <w:rStyle w:val="Hyperlink"/>
            <w:shd w:val="clear" w:color="auto" w:fill="FFFFFF"/>
            <w:lang w:val="en-AU"/>
          </w:rPr>
          <w:t>http://www.safetyandquality.gov.au/our-work/open-disclosure/</w:t>
        </w:r>
      </w:hyperlink>
      <w:r>
        <w:rPr>
          <w:color w:val="333333"/>
          <w:shd w:val="clear" w:color="auto" w:fill="FFFFFF"/>
          <w:lang w:val="en-AU"/>
        </w:rPr>
        <w:t xml:space="preserve"> </w:t>
      </w:r>
    </w:p>
    <w:p w:rsidR="007D70EE" w:rsidRPr="00255EF8" w:rsidRDefault="007D70EE" w:rsidP="00047DE3">
      <w:pPr>
        <w:keepNext/>
        <w:keepLines/>
        <w:autoSpaceDE w:val="0"/>
        <w:autoSpaceDN w:val="0"/>
        <w:adjustRightInd w:val="0"/>
        <w:rPr>
          <w:i/>
          <w:lang w:val="en-AU"/>
        </w:rPr>
      </w:pPr>
    </w:p>
    <w:p w:rsidR="00C22051" w:rsidRPr="00255EF8" w:rsidRDefault="00C22051" w:rsidP="00C22051">
      <w:pPr>
        <w:keepNext/>
        <w:keepLines/>
        <w:autoSpaceDE w:val="0"/>
        <w:autoSpaceDN w:val="0"/>
        <w:adjustRightInd w:val="0"/>
        <w:rPr>
          <w:i/>
          <w:lang w:val="en-AU"/>
        </w:rPr>
      </w:pPr>
      <w:r w:rsidRPr="00255EF8">
        <w:rPr>
          <w:i/>
          <w:lang w:val="en-AU"/>
        </w:rPr>
        <w:t>Mortality related to invasive infections, sepsis, and septic shock in critically ill children in Australia and New Zealand, 2002–13: a multicentre retrospective cohort study</w:t>
      </w:r>
    </w:p>
    <w:p w:rsidR="00C22051" w:rsidRPr="00255EF8" w:rsidRDefault="00C22051" w:rsidP="004B0A28">
      <w:pPr>
        <w:keepNext/>
        <w:keepLines/>
        <w:autoSpaceDE w:val="0"/>
        <w:autoSpaceDN w:val="0"/>
        <w:adjustRightInd w:val="0"/>
        <w:rPr>
          <w:lang w:val="en-AU"/>
        </w:rPr>
      </w:pPr>
      <w:proofErr w:type="spellStart"/>
      <w:r w:rsidRPr="00255EF8">
        <w:rPr>
          <w:lang w:val="en-AU"/>
        </w:rPr>
        <w:t>Schlapbach</w:t>
      </w:r>
      <w:proofErr w:type="spellEnd"/>
      <w:r w:rsidRPr="00255EF8">
        <w:rPr>
          <w:lang w:val="en-AU"/>
        </w:rPr>
        <w:t xml:space="preserve"> LJ, </w:t>
      </w:r>
      <w:proofErr w:type="spellStart"/>
      <w:r w:rsidRPr="00255EF8">
        <w:rPr>
          <w:lang w:val="en-AU"/>
        </w:rPr>
        <w:t>Straney</w:t>
      </w:r>
      <w:proofErr w:type="spellEnd"/>
      <w:r w:rsidRPr="00255EF8">
        <w:rPr>
          <w:lang w:val="en-AU"/>
        </w:rPr>
        <w:t xml:space="preserve"> L, Alexander J, </w:t>
      </w:r>
      <w:proofErr w:type="spellStart"/>
      <w:r w:rsidRPr="00255EF8">
        <w:rPr>
          <w:lang w:val="en-AU"/>
        </w:rPr>
        <w:t>MacLaren</w:t>
      </w:r>
      <w:proofErr w:type="spellEnd"/>
      <w:r w:rsidRPr="00255EF8">
        <w:rPr>
          <w:lang w:val="en-AU"/>
        </w:rPr>
        <w:t xml:space="preserve"> G, </w:t>
      </w:r>
      <w:proofErr w:type="spellStart"/>
      <w:r w:rsidRPr="00255EF8">
        <w:rPr>
          <w:lang w:val="en-AU"/>
        </w:rPr>
        <w:t>Festa</w:t>
      </w:r>
      <w:proofErr w:type="spellEnd"/>
      <w:r w:rsidRPr="00255EF8">
        <w:rPr>
          <w:lang w:val="en-AU"/>
        </w:rPr>
        <w:t xml:space="preserve"> M, </w:t>
      </w:r>
      <w:proofErr w:type="spellStart"/>
      <w:r w:rsidRPr="00255EF8">
        <w:rPr>
          <w:lang w:val="en-AU"/>
        </w:rPr>
        <w:t>Schibler</w:t>
      </w:r>
      <w:proofErr w:type="spellEnd"/>
      <w:r w:rsidRPr="00255EF8">
        <w:rPr>
          <w:lang w:val="en-AU"/>
        </w:rPr>
        <w:t xml:space="preserve"> A, et al. </w:t>
      </w:r>
    </w:p>
    <w:p w:rsidR="00D97EA3" w:rsidRPr="00255EF8" w:rsidRDefault="00C22051" w:rsidP="004B0A28">
      <w:pPr>
        <w:keepNext/>
        <w:keepLines/>
        <w:autoSpaceDE w:val="0"/>
        <w:autoSpaceDN w:val="0"/>
        <w:adjustRightInd w:val="0"/>
        <w:rPr>
          <w:lang w:val="en-AU"/>
        </w:rPr>
      </w:pPr>
      <w:proofErr w:type="gramStart"/>
      <w:r w:rsidRPr="00255EF8">
        <w:rPr>
          <w:lang w:val="en-AU"/>
        </w:rPr>
        <w:t>The Lancet Infectious Diseases.</w:t>
      </w:r>
      <w:proofErr w:type="gramEnd"/>
      <w:r w:rsidRPr="00255EF8">
        <w:rPr>
          <w:lang w:val="en-AU"/>
        </w:rPr>
        <w:t xml:space="preserve"> 2015</w:t>
      </w:r>
      <w:proofErr w:type="gramStart"/>
      <w:r w:rsidRPr="00255EF8">
        <w:rPr>
          <w:lang w:val="en-AU"/>
        </w:rPr>
        <w:t>;15</w:t>
      </w:r>
      <w:proofErr w:type="gramEnd"/>
      <w:r w:rsidRPr="00255EF8">
        <w:rPr>
          <w:lang w:val="en-AU"/>
        </w:rPr>
        <w:t>(1):46-54.</w:t>
      </w:r>
    </w:p>
    <w:tbl>
      <w:tblPr>
        <w:tblStyle w:val="TableGrid"/>
        <w:tblW w:w="0" w:type="auto"/>
        <w:tblInd w:w="288" w:type="dxa"/>
        <w:tblLayout w:type="fixed"/>
        <w:tblLook w:val="01E0" w:firstRow="1" w:lastRow="1" w:firstColumn="1" w:lastColumn="1" w:noHBand="0" w:noVBand="0"/>
      </w:tblPr>
      <w:tblGrid>
        <w:gridCol w:w="1080"/>
        <w:gridCol w:w="8280"/>
      </w:tblGrid>
      <w:tr w:rsidR="004B0A28" w:rsidRPr="00255EF8" w:rsidTr="005E7A96">
        <w:tc>
          <w:tcPr>
            <w:tcW w:w="1080" w:type="dxa"/>
            <w:tcBorders>
              <w:top w:val="single" w:sz="4" w:space="0" w:color="auto"/>
              <w:left w:val="single" w:sz="4" w:space="0" w:color="auto"/>
              <w:bottom w:val="single" w:sz="4" w:space="0" w:color="auto"/>
              <w:right w:val="single" w:sz="4" w:space="0" w:color="auto"/>
            </w:tcBorders>
            <w:vAlign w:val="center"/>
          </w:tcPr>
          <w:p w:rsidR="004B0A28" w:rsidRPr="00255EF8" w:rsidRDefault="004B0A28" w:rsidP="005E7A96">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0A28" w:rsidRPr="00255EF8" w:rsidRDefault="00FB5819" w:rsidP="00C22051">
            <w:pPr>
              <w:rPr>
                <w:lang w:val="en-AU"/>
              </w:rPr>
            </w:pPr>
            <w:hyperlink r:id="rId24" w:history="1">
              <w:r w:rsidR="00C22051" w:rsidRPr="00255EF8">
                <w:rPr>
                  <w:rStyle w:val="Hyperlink"/>
                  <w:lang w:val="en-AU"/>
                </w:rPr>
                <w:t>http://dx.doi.org/10.1016/s1473-3099(14)71003-5</w:t>
              </w:r>
            </w:hyperlink>
            <w:r w:rsidR="00C22051" w:rsidRPr="00255EF8">
              <w:rPr>
                <w:lang w:val="en-AU"/>
              </w:rPr>
              <w:t xml:space="preserve"> </w:t>
            </w:r>
          </w:p>
        </w:tc>
      </w:tr>
      <w:tr w:rsidR="004B0A28" w:rsidRPr="00255EF8" w:rsidTr="005E7A96">
        <w:tc>
          <w:tcPr>
            <w:tcW w:w="1080" w:type="dxa"/>
            <w:tcBorders>
              <w:top w:val="single" w:sz="4" w:space="0" w:color="auto"/>
              <w:left w:val="single" w:sz="4" w:space="0" w:color="auto"/>
              <w:bottom w:val="single" w:sz="4" w:space="0" w:color="auto"/>
              <w:right w:val="single" w:sz="4" w:space="0" w:color="auto"/>
            </w:tcBorders>
            <w:vAlign w:val="center"/>
          </w:tcPr>
          <w:p w:rsidR="004B0A28" w:rsidRPr="00255EF8" w:rsidRDefault="004B0A28" w:rsidP="005E7A9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0A28" w:rsidRPr="00255EF8" w:rsidRDefault="00C22051" w:rsidP="005E7A96">
            <w:pPr>
              <w:rPr>
                <w:color w:val="333333"/>
                <w:shd w:val="clear" w:color="auto" w:fill="FFFFFF"/>
                <w:lang w:val="en-AU"/>
              </w:rPr>
            </w:pPr>
            <w:r w:rsidRPr="00255EF8">
              <w:rPr>
                <w:color w:val="333333"/>
                <w:shd w:val="clear" w:color="auto" w:fill="FFFFFF"/>
                <w:lang w:val="en-AU"/>
              </w:rPr>
              <w:t>Sepsis is known to contribute significantly to morbidity and mortality. This paper puts some detail on the scale of the problem, at least within a vulnerable population – very sick children.</w:t>
            </w:r>
          </w:p>
          <w:p w:rsidR="00C22051" w:rsidRPr="00255EF8" w:rsidRDefault="003804CF" w:rsidP="00255EF8">
            <w:pPr>
              <w:rPr>
                <w:color w:val="333333"/>
                <w:shd w:val="clear" w:color="auto" w:fill="FFFFFF"/>
                <w:lang w:val="en-AU"/>
              </w:rPr>
            </w:pPr>
            <w:r w:rsidRPr="00255EF8">
              <w:rPr>
                <w:color w:val="333333"/>
                <w:shd w:val="clear" w:color="auto" w:fill="FFFFFF"/>
                <w:lang w:val="en-AU"/>
              </w:rPr>
              <w:lastRenderedPageBreak/>
              <w:t>This paper reports on a retrospective multi</w:t>
            </w:r>
            <w:r w:rsidR="00255EF8" w:rsidRPr="00255EF8">
              <w:rPr>
                <w:color w:val="333333"/>
                <w:shd w:val="clear" w:color="auto" w:fill="FFFFFF"/>
                <w:lang w:val="en-AU"/>
              </w:rPr>
              <w:t>-</w:t>
            </w:r>
            <w:r w:rsidRPr="00255EF8">
              <w:rPr>
                <w:color w:val="333333"/>
                <w:shd w:val="clear" w:color="auto" w:fill="FFFFFF"/>
                <w:lang w:val="en-AU"/>
              </w:rPr>
              <w:t>centre cohort study of children requiring intensive care in Australia and New Zealand between 2002 and 2013</w:t>
            </w:r>
            <w:r w:rsidR="00255EF8" w:rsidRPr="00255EF8">
              <w:rPr>
                <w:color w:val="333333"/>
                <w:shd w:val="clear" w:color="auto" w:fill="FFFFFF"/>
                <w:lang w:val="en-AU"/>
              </w:rPr>
              <w:t xml:space="preserve"> in order to assess incidence and mortality in the intensive care unit for 2002</w:t>
            </w:r>
            <w:r w:rsidR="00255EF8">
              <w:rPr>
                <w:color w:val="333333"/>
                <w:shd w:val="clear" w:color="auto" w:fill="FFFFFF"/>
                <w:lang w:val="en-AU"/>
              </w:rPr>
              <w:t>–</w:t>
            </w:r>
            <w:r w:rsidR="00255EF8" w:rsidRPr="00255EF8">
              <w:rPr>
                <w:color w:val="333333"/>
                <w:shd w:val="clear" w:color="auto" w:fill="FFFFFF"/>
                <w:lang w:val="en-AU"/>
              </w:rPr>
              <w:t>07 vs 2008–13.</w:t>
            </w:r>
          </w:p>
          <w:p w:rsidR="00255EF8" w:rsidRPr="00255EF8" w:rsidRDefault="00255EF8" w:rsidP="00255EF8">
            <w:pPr>
              <w:rPr>
                <w:color w:val="333333"/>
                <w:shd w:val="clear" w:color="auto" w:fill="FFFFFF"/>
                <w:lang w:val="en-AU"/>
              </w:rPr>
            </w:pPr>
            <w:r w:rsidRPr="00255EF8">
              <w:rPr>
                <w:color w:val="333333"/>
                <w:shd w:val="clear" w:color="auto" w:fill="FFFFFF"/>
                <w:lang w:val="en-AU"/>
              </w:rPr>
              <w:t>The author</w:t>
            </w:r>
            <w:r w:rsidR="005D54DD">
              <w:rPr>
                <w:color w:val="333333"/>
                <w:shd w:val="clear" w:color="auto" w:fill="FFFFFF"/>
                <w:lang w:val="en-AU"/>
              </w:rPr>
              <w:t>s</w:t>
            </w:r>
            <w:r w:rsidRPr="00255EF8">
              <w:rPr>
                <w:color w:val="333333"/>
                <w:shd w:val="clear" w:color="auto" w:fill="FFFFFF"/>
                <w:lang w:val="en-AU"/>
              </w:rPr>
              <w:t xml:space="preserve"> report that during the study period, 97,127 children were admitted to ICUs, 11 574 (11·9%) had severe infections, including 6688 (6·9%) with invasive infections, 2847 (2·9%) with sepsis, and 2039 (2·1%) with septic shock. Age-standardised incidence increased each year. 260 (3·9%) of 6688 patients with invasive infection died, 159 (5·6%) of 2847 with sepsis died, and 346 (17·0%) of 2039 with septic shock died, compared with 2893 (3·0%) of all paediatric ICU admissions. Children admitted with invasive infections, sepsis, and septic shock accounted for 765 (26·4%) of 2893 paediatric deaths in ICUs. Comparing 2008–13 with 2002–07, risk-adjusted mortality decreased significantly for invasive infection, and for sepsis, but not significantly for septic shock.</w:t>
            </w:r>
          </w:p>
        </w:tc>
      </w:tr>
    </w:tbl>
    <w:p w:rsidR="004B0A28" w:rsidRPr="00255EF8" w:rsidRDefault="004B0A28" w:rsidP="004B0A28">
      <w:pPr>
        <w:keepLines/>
        <w:autoSpaceDE w:val="0"/>
        <w:autoSpaceDN w:val="0"/>
        <w:adjustRightInd w:val="0"/>
        <w:rPr>
          <w:lang w:val="en-AU"/>
        </w:rPr>
      </w:pPr>
    </w:p>
    <w:p w:rsidR="004C2F55" w:rsidRPr="004C2F55" w:rsidRDefault="004C2F55" w:rsidP="004C2F55">
      <w:pPr>
        <w:keepNext/>
        <w:keepLines/>
        <w:autoSpaceDE w:val="0"/>
        <w:autoSpaceDN w:val="0"/>
        <w:adjustRightInd w:val="0"/>
        <w:rPr>
          <w:i/>
          <w:lang w:val="en-AU"/>
        </w:rPr>
      </w:pPr>
      <w:r w:rsidRPr="004C2F55">
        <w:rPr>
          <w:i/>
          <w:lang w:val="en-AU"/>
        </w:rPr>
        <w:t>Death Takes a Weekend</w:t>
      </w:r>
    </w:p>
    <w:p w:rsidR="004C2F55" w:rsidRDefault="004C2F55" w:rsidP="004B0A28">
      <w:pPr>
        <w:keepNext/>
        <w:keepLines/>
        <w:autoSpaceDE w:val="0"/>
        <w:autoSpaceDN w:val="0"/>
        <w:adjustRightInd w:val="0"/>
        <w:rPr>
          <w:lang w:val="en-AU"/>
        </w:rPr>
      </w:pPr>
      <w:proofErr w:type="spellStart"/>
      <w:r w:rsidRPr="004C2F55">
        <w:rPr>
          <w:lang w:val="en-AU"/>
        </w:rPr>
        <w:t>Klass</w:t>
      </w:r>
      <w:proofErr w:type="spellEnd"/>
      <w:r w:rsidRPr="004C2F55">
        <w:rPr>
          <w:lang w:val="en-AU"/>
        </w:rPr>
        <w:t xml:space="preserve"> P</w:t>
      </w:r>
    </w:p>
    <w:p w:rsidR="004B0A28" w:rsidRPr="00255EF8" w:rsidRDefault="004C2F55" w:rsidP="004B0A28">
      <w:pPr>
        <w:keepNext/>
        <w:keepLines/>
        <w:autoSpaceDE w:val="0"/>
        <w:autoSpaceDN w:val="0"/>
        <w:adjustRightInd w:val="0"/>
        <w:rPr>
          <w:lang w:val="en-AU"/>
        </w:rPr>
      </w:pPr>
      <w:proofErr w:type="gramStart"/>
      <w:r w:rsidRPr="004C2F55">
        <w:rPr>
          <w:lang w:val="en-AU"/>
        </w:rPr>
        <w:t>New England Journal of Medicine.</w:t>
      </w:r>
      <w:proofErr w:type="gramEnd"/>
      <w:r w:rsidRPr="004C2F55">
        <w:rPr>
          <w:lang w:val="en-AU"/>
        </w:rPr>
        <w:t xml:space="preserve"> 2015</w:t>
      </w:r>
      <w:proofErr w:type="gramStart"/>
      <w:r w:rsidRPr="004C2F55">
        <w:rPr>
          <w:lang w:val="en-AU"/>
        </w:rPr>
        <w:t>;372</w:t>
      </w:r>
      <w:proofErr w:type="gramEnd"/>
      <w:r w:rsidRPr="004C2F55">
        <w:rPr>
          <w:lang w:val="en-AU"/>
        </w:rPr>
        <w:t>(5):402-5.</w:t>
      </w:r>
    </w:p>
    <w:tbl>
      <w:tblPr>
        <w:tblStyle w:val="TableGrid"/>
        <w:tblW w:w="0" w:type="auto"/>
        <w:tblInd w:w="288" w:type="dxa"/>
        <w:tblLayout w:type="fixed"/>
        <w:tblLook w:val="01E0" w:firstRow="1" w:lastRow="1" w:firstColumn="1" w:lastColumn="1" w:noHBand="0" w:noVBand="0"/>
      </w:tblPr>
      <w:tblGrid>
        <w:gridCol w:w="1080"/>
        <w:gridCol w:w="8280"/>
      </w:tblGrid>
      <w:tr w:rsidR="004B0A28" w:rsidRPr="00255EF8" w:rsidTr="005E7A96">
        <w:tc>
          <w:tcPr>
            <w:tcW w:w="1080" w:type="dxa"/>
            <w:tcBorders>
              <w:top w:val="single" w:sz="4" w:space="0" w:color="auto"/>
              <w:left w:val="single" w:sz="4" w:space="0" w:color="auto"/>
              <w:bottom w:val="single" w:sz="4" w:space="0" w:color="auto"/>
              <w:right w:val="single" w:sz="4" w:space="0" w:color="auto"/>
            </w:tcBorders>
            <w:vAlign w:val="center"/>
          </w:tcPr>
          <w:p w:rsidR="004B0A28" w:rsidRPr="00255EF8" w:rsidRDefault="004B0A28" w:rsidP="005E7A96">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0A28" w:rsidRPr="00255EF8" w:rsidRDefault="00FB5819" w:rsidP="00E76EA4">
            <w:pPr>
              <w:rPr>
                <w:lang w:val="en-AU"/>
              </w:rPr>
            </w:pPr>
            <w:hyperlink r:id="rId25" w:history="1">
              <w:r w:rsidR="00E76EA4" w:rsidRPr="00E846CD">
                <w:rPr>
                  <w:rStyle w:val="Hyperlink"/>
                  <w:lang w:val="en-AU"/>
                </w:rPr>
                <w:t>http://dx.doi.org/10.1056/NEJMp1413363</w:t>
              </w:r>
            </w:hyperlink>
          </w:p>
        </w:tc>
      </w:tr>
      <w:tr w:rsidR="004B0A28" w:rsidRPr="00255EF8" w:rsidTr="005E7A96">
        <w:tc>
          <w:tcPr>
            <w:tcW w:w="1080" w:type="dxa"/>
            <w:tcBorders>
              <w:top w:val="single" w:sz="4" w:space="0" w:color="auto"/>
              <w:left w:val="single" w:sz="4" w:space="0" w:color="auto"/>
              <w:bottom w:val="single" w:sz="4" w:space="0" w:color="auto"/>
              <w:right w:val="single" w:sz="4" w:space="0" w:color="auto"/>
            </w:tcBorders>
            <w:vAlign w:val="center"/>
          </w:tcPr>
          <w:p w:rsidR="004B0A28" w:rsidRPr="00255EF8" w:rsidRDefault="004B0A28" w:rsidP="005E7A9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0A28" w:rsidRDefault="004C2F55" w:rsidP="005E7A96">
            <w:pPr>
              <w:rPr>
                <w:color w:val="333333"/>
                <w:shd w:val="clear" w:color="auto" w:fill="FFFFFF"/>
                <w:lang w:val="en-AU"/>
              </w:rPr>
            </w:pPr>
            <w:r>
              <w:rPr>
                <w:color w:val="333333"/>
                <w:shd w:val="clear" w:color="auto" w:fill="FFFFFF"/>
                <w:lang w:val="en-AU"/>
              </w:rPr>
              <w:t xml:space="preserve">Perspective piece reflecting on the hospital at the weekend—and the weekend effect—from both the clinician and patient perspectives. Again, once the clinician shifts to the patient (or carer) </w:t>
            </w:r>
            <w:proofErr w:type="gramStart"/>
            <w:r>
              <w:rPr>
                <w:color w:val="333333"/>
                <w:shd w:val="clear" w:color="auto" w:fill="FFFFFF"/>
                <w:lang w:val="en-AU"/>
              </w:rPr>
              <w:t>role  some</w:t>
            </w:r>
            <w:proofErr w:type="gramEnd"/>
            <w:r>
              <w:rPr>
                <w:color w:val="333333"/>
                <w:shd w:val="clear" w:color="auto" w:fill="FFFFFF"/>
                <w:lang w:val="en-AU"/>
              </w:rPr>
              <w:t xml:space="preserve"> of issues can become clearer.</w:t>
            </w:r>
          </w:p>
          <w:p w:rsidR="004C2F55" w:rsidRDefault="004C2F55" w:rsidP="004C2F55">
            <w:pPr>
              <w:rPr>
                <w:color w:val="333333"/>
                <w:shd w:val="clear" w:color="auto" w:fill="FFFFFF"/>
                <w:lang w:val="en-AU"/>
              </w:rPr>
            </w:pPr>
            <w:r>
              <w:rPr>
                <w:color w:val="333333"/>
                <w:shd w:val="clear" w:color="auto" w:fill="FFFFFF"/>
                <w:lang w:val="en-AU"/>
              </w:rPr>
              <w:t xml:space="preserve">As </w:t>
            </w:r>
            <w:proofErr w:type="spellStart"/>
            <w:r>
              <w:rPr>
                <w:color w:val="333333"/>
                <w:shd w:val="clear" w:color="auto" w:fill="FFFFFF"/>
                <w:lang w:val="en-AU"/>
              </w:rPr>
              <w:t>Klass</w:t>
            </w:r>
            <w:proofErr w:type="spellEnd"/>
            <w:r>
              <w:rPr>
                <w:color w:val="333333"/>
                <w:shd w:val="clear" w:color="auto" w:fill="FFFFFF"/>
                <w:lang w:val="en-AU"/>
              </w:rPr>
              <w:t xml:space="preserve"> notes, “</w:t>
            </w:r>
            <w:r w:rsidRPr="004C2F55">
              <w:rPr>
                <w:color w:val="333333"/>
                <w:shd w:val="clear" w:color="auto" w:fill="FFFFFF"/>
                <w:lang w:val="en-AU"/>
              </w:rPr>
              <w:t xml:space="preserve">From the physician's perspective, weekends in the hospital are all about coverage. </w:t>
            </w:r>
            <w:r>
              <w:rPr>
                <w:color w:val="333333"/>
                <w:shd w:val="clear" w:color="auto" w:fill="FFFFFF"/>
                <w:lang w:val="en-AU"/>
              </w:rPr>
              <w:t>…</w:t>
            </w:r>
            <w:r w:rsidRPr="004C2F55">
              <w:rPr>
                <w:color w:val="333333"/>
                <w:shd w:val="clear" w:color="auto" w:fill="FFFFFF"/>
                <w:lang w:val="en-AU"/>
              </w:rPr>
              <w:t xml:space="preserve"> I guess I assumed that patients and families must understand the hurdles: weekends are harder and slower, things don't necessarily get done.</w:t>
            </w:r>
            <w:r>
              <w:rPr>
                <w:color w:val="333333"/>
                <w:shd w:val="clear" w:color="auto" w:fill="FFFFFF"/>
                <w:lang w:val="en-AU"/>
              </w:rPr>
              <w:t>”</w:t>
            </w:r>
          </w:p>
          <w:p w:rsidR="004C2F55" w:rsidRPr="00255EF8" w:rsidRDefault="004C2F55" w:rsidP="004C2F55">
            <w:pPr>
              <w:rPr>
                <w:color w:val="333333"/>
                <w:shd w:val="clear" w:color="auto" w:fill="FFFFFF"/>
                <w:lang w:val="en-AU"/>
              </w:rPr>
            </w:pPr>
            <w:r>
              <w:rPr>
                <w:color w:val="333333"/>
                <w:shd w:val="clear" w:color="auto" w:fill="FFFFFF"/>
                <w:lang w:val="en-AU"/>
              </w:rPr>
              <w:t>But for the patient, the “</w:t>
            </w:r>
            <w:r w:rsidRPr="004C2F55">
              <w:rPr>
                <w:color w:val="333333"/>
                <w:shd w:val="clear" w:color="auto" w:fill="FFFFFF"/>
                <w:lang w:val="en-AU"/>
              </w:rPr>
              <w:t>calendar is marked out in difficult days and sleepless nights, or in agonizing hours, but it takes no notice of days of the week, makes no distinction between time and overtime.</w:t>
            </w:r>
            <w:r>
              <w:rPr>
                <w:color w:val="333333"/>
                <w:shd w:val="clear" w:color="auto" w:fill="FFFFFF"/>
                <w:lang w:val="en-AU"/>
              </w:rPr>
              <w:t>” Furthermore, “</w:t>
            </w:r>
            <w:r w:rsidRPr="004C2F55">
              <w:rPr>
                <w:color w:val="333333"/>
                <w:shd w:val="clear" w:color="auto" w:fill="FFFFFF"/>
                <w:lang w:val="en-AU"/>
              </w:rPr>
              <w:t>it feels like every time the weekend comes around, you relearn that the hospital is not actually about patients. It's about doctors and nurses, physical therapists and nutritionists — people who are busily living their normal lives, when from the patient's side, nothing is normal.</w:t>
            </w:r>
            <w:r>
              <w:rPr>
                <w:color w:val="333333"/>
                <w:shd w:val="clear" w:color="auto" w:fill="FFFFFF"/>
                <w:lang w:val="en-AU"/>
              </w:rPr>
              <w:t>”</w:t>
            </w:r>
          </w:p>
        </w:tc>
      </w:tr>
    </w:tbl>
    <w:p w:rsidR="004B0A28" w:rsidRDefault="004B0A28" w:rsidP="004B0A28">
      <w:pPr>
        <w:keepLines/>
        <w:autoSpaceDE w:val="0"/>
        <w:autoSpaceDN w:val="0"/>
        <w:adjustRightInd w:val="0"/>
        <w:rPr>
          <w:lang w:val="en-AU"/>
        </w:rPr>
      </w:pPr>
    </w:p>
    <w:p w:rsidR="004C2F55" w:rsidRDefault="004C2F55" w:rsidP="004B0A28">
      <w:pPr>
        <w:keepLines/>
        <w:autoSpaceDE w:val="0"/>
        <w:autoSpaceDN w:val="0"/>
        <w:adjustRightInd w:val="0"/>
        <w:rPr>
          <w:lang w:val="en-AU"/>
        </w:rPr>
      </w:pPr>
      <w:r w:rsidRPr="00255EF8">
        <w:rPr>
          <w:lang w:val="en-AU"/>
        </w:rPr>
        <w:t xml:space="preserve">For information on the Commission’s work on </w:t>
      </w:r>
      <w:r>
        <w:rPr>
          <w:lang w:val="en-AU"/>
        </w:rPr>
        <w:t>patient and consumer centred care</w:t>
      </w:r>
      <w:r w:rsidRPr="00255EF8">
        <w:rPr>
          <w:lang w:val="en-AU"/>
        </w:rPr>
        <w:t>, see</w:t>
      </w:r>
      <w:r>
        <w:rPr>
          <w:lang w:val="en-AU"/>
        </w:rPr>
        <w:t xml:space="preserve"> </w:t>
      </w:r>
      <w:hyperlink r:id="rId26" w:history="1">
        <w:r w:rsidRPr="00E846CD">
          <w:rPr>
            <w:rStyle w:val="Hyperlink"/>
            <w:lang w:val="en-AU"/>
          </w:rPr>
          <w:t>http://www.safetyandquality.gov.au/our-work/patient-and-consumer-centred-care/</w:t>
        </w:r>
      </w:hyperlink>
    </w:p>
    <w:p w:rsidR="004C2F55" w:rsidRPr="00255EF8" w:rsidRDefault="004C2F55" w:rsidP="004B0A28">
      <w:pPr>
        <w:keepLines/>
        <w:autoSpaceDE w:val="0"/>
        <w:autoSpaceDN w:val="0"/>
        <w:adjustRightInd w:val="0"/>
        <w:rPr>
          <w:lang w:val="en-AU"/>
        </w:rPr>
      </w:pPr>
    </w:p>
    <w:p w:rsidR="005D54DD" w:rsidRPr="005D54DD" w:rsidRDefault="005D54DD" w:rsidP="005D54DD">
      <w:pPr>
        <w:keepNext/>
        <w:keepLines/>
        <w:autoSpaceDE w:val="0"/>
        <w:autoSpaceDN w:val="0"/>
        <w:adjustRightInd w:val="0"/>
        <w:rPr>
          <w:i/>
          <w:lang w:val="en-AU"/>
        </w:rPr>
      </w:pPr>
      <w:r w:rsidRPr="005D54DD">
        <w:rPr>
          <w:i/>
          <w:lang w:val="en-AU"/>
        </w:rPr>
        <w:t>Person-centred care for patients with chronic heart failure – a cost–utility analysis</w:t>
      </w:r>
    </w:p>
    <w:p w:rsidR="005D54DD" w:rsidRDefault="005D54DD" w:rsidP="004B0A28">
      <w:pPr>
        <w:keepNext/>
        <w:keepLines/>
        <w:autoSpaceDE w:val="0"/>
        <w:autoSpaceDN w:val="0"/>
        <w:adjustRightInd w:val="0"/>
        <w:rPr>
          <w:lang w:val="en-AU"/>
        </w:rPr>
      </w:pPr>
      <w:r w:rsidRPr="005D54DD">
        <w:rPr>
          <w:lang w:val="en-AU"/>
        </w:rPr>
        <w:t xml:space="preserve">Hansson E, Ekman I, </w:t>
      </w:r>
      <w:proofErr w:type="spellStart"/>
      <w:r w:rsidRPr="005D54DD">
        <w:rPr>
          <w:lang w:val="en-AU"/>
        </w:rPr>
        <w:t>Swedberg</w:t>
      </w:r>
      <w:proofErr w:type="spellEnd"/>
      <w:r w:rsidRPr="005D54DD">
        <w:rPr>
          <w:lang w:val="en-AU"/>
        </w:rPr>
        <w:t xml:space="preserve"> K, Wo</w:t>
      </w:r>
      <w:r>
        <w:rPr>
          <w:lang w:val="en-AU"/>
        </w:rPr>
        <w:t xml:space="preserve">lf A, </w:t>
      </w:r>
      <w:proofErr w:type="spellStart"/>
      <w:r>
        <w:rPr>
          <w:lang w:val="en-AU"/>
        </w:rPr>
        <w:t>Dudas</w:t>
      </w:r>
      <w:proofErr w:type="spellEnd"/>
      <w:r>
        <w:rPr>
          <w:lang w:val="en-AU"/>
        </w:rPr>
        <w:t xml:space="preserve"> K, Ehlers L, et al</w:t>
      </w:r>
    </w:p>
    <w:p w:rsidR="004B0A28" w:rsidRPr="00255EF8" w:rsidRDefault="005D54DD" w:rsidP="004B0A28">
      <w:pPr>
        <w:keepNext/>
        <w:keepLines/>
        <w:autoSpaceDE w:val="0"/>
        <w:autoSpaceDN w:val="0"/>
        <w:adjustRightInd w:val="0"/>
        <w:rPr>
          <w:lang w:val="en-AU"/>
        </w:rPr>
      </w:pPr>
      <w:proofErr w:type="gramStart"/>
      <w:r w:rsidRPr="005D54DD">
        <w:rPr>
          <w:lang w:val="en-AU"/>
        </w:rPr>
        <w:t>European Journal of Cardiovascular Nursing.</w:t>
      </w:r>
      <w:proofErr w:type="gramEnd"/>
      <w:r w:rsidRPr="005D54DD">
        <w:rPr>
          <w:lang w:val="en-AU"/>
        </w:rPr>
        <w:t xml:space="preserve"> </w:t>
      </w:r>
      <w:proofErr w:type="gramStart"/>
      <w:r w:rsidRPr="005D54DD">
        <w:rPr>
          <w:lang w:val="en-AU"/>
        </w:rPr>
        <w:t>2015 January 16, 2015.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B0A28" w:rsidRPr="00255EF8" w:rsidTr="005E7A96">
        <w:tc>
          <w:tcPr>
            <w:tcW w:w="1080" w:type="dxa"/>
            <w:tcBorders>
              <w:top w:val="single" w:sz="4" w:space="0" w:color="auto"/>
              <w:left w:val="single" w:sz="4" w:space="0" w:color="auto"/>
              <w:bottom w:val="single" w:sz="4" w:space="0" w:color="auto"/>
              <w:right w:val="single" w:sz="4" w:space="0" w:color="auto"/>
            </w:tcBorders>
            <w:vAlign w:val="center"/>
          </w:tcPr>
          <w:p w:rsidR="004B0A28" w:rsidRPr="00255EF8" w:rsidRDefault="004B0A28" w:rsidP="005E7A96">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0A28" w:rsidRPr="00255EF8" w:rsidRDefault="00FB5819" w:rsidP="005E7A96">
            <w:pPr>
              <w:rPr>
                <w:lang w:val="en-AU"/>
              </w:rPr>
            </w:pPr>
            <w:hyperlink r:id="rId27" w:history="1">
              <w:r w:rsidR="005D54DD" w:rsidRPr="00FB3815">
                <w:rPr>
                  <w:rStyle w:val="Hyperlink"/>
                  <w:lang w:val="en-AU"/>
                </w:rPr>
                <w:t>http://dx.doi.org/10.1177/1474515114567035</w:t>
              </w:r>
            </w:hyperlink>
          </w:p>
        </w:tc>
      </w:tr>
      <w:tr w:rsidR="004B0A28" w:rsidRPr="00255EF8" w:rsidTr="005E7A96">
        <w:tc>
          <w:tcPr>
            <w:tcW w:w="1080" w:type="dxa"/>
            <w:tcBorders>
              <w:top w:val="single" w:sz="4" w:space="0" w:color="auto"/>
              <w:left w:val="single" w:sz="4" w:space="0" w:color="auto"/>
              <w:bottom w:val="single" w:sz="4" w:space="0" w:color="auto"/>
              <w:right w:val="single" w:sz="4" w:space="0" w:color="auto"/>
            </w:tcBorders>
            <w:vAlign w:val="center"/>
          </w:tcPr>
          <w:p w:rsidR="004B0A28" w:rsidRPr="00255EF8" w:rsidRDefault="004B0A28" w:rsidP="005E7A9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0A28" w:rsidRDefault="005D54DD" w:rsidP="005D54DD">
            <w:pPr>
              <w:rPr>
                <w:color w:val="333333"/>
                <w:shd w:val="clear" w:color="auto" w:fill="FFFFFF"/>
                <w:lang w:val="en-AU"/>
              </w:rPr>
            </w:pPr>
            <w:r>
              <w:rPr>
                <w:color w:val="333333"/>
                <w:shd w:val="clear" w:color="auto" w:fill="FFFFFF"/>
                <w:lang w:val="en-AU"/>
              </w:rPr>
              <w:t xml:space="preserve">This Swedish study (a </w:t>
            </w:r>
            <w:r w:rsidRPr="005D54DD">
              <w:rPr>
                <w:color w:val="333333"/>
                <w:shd w:val="clear" w:color="auto" w:fill="FFFFFF"/>
                <w:lang w:val="en-AU"/>
              </w:rPr>
              <w:t>prospective clinical intervention study with a controlled before and after design from 2008 to 2010</w:t>
            </w:r>
            <w:r>
              <w:rPr>
                <w:color w:val="333333"/>
                <w:shd w:val="clear" w:color="auto" w:fill="FFFFFF"/>
                <w:lang w:val="en-AU"/>
              </w:rPr>
              <w:t>) examined the cost-utility for patients receiving p</w:t>
            </w:r>
            <w:r w:rsidRPr="005D54DD">
              <w:rPr>
                <w:color w:val="333333"/>
                <w:shd w:val="clear" w:color="auto" w:fill="FFFFFF"/>
                <w:lang w:val="en-AU"/>
              </w:rPr>
              <w:t>erson-centred care</w:t>
            </w:r>
            <w:r>
              <w:rPr>
                <w:color w:val="333333"/>
                <w:shd w:val="clear" w:color="auto" w:fill="FFFFFF"/>
                <w:lang w:val="en-AU"/>
              </w:rPr>
              <w:t>’</w:t>
            </w:r>
            <w:r w:rsidRPr="005D54DD">
              <w:rPr>
                <w:color w:val="333333"/>
                <w:shd w:val="clear" w:color="auto" w:fill="FFFFFF"/>
                <w:lang w:val="en-AU"/>
              </w:rPr>
              <w:t xml:space="preserve"> (PCC)</w:t>
            </w:r>
            <w:r>
              <w:rPr>
                <w:color w:val="333333"/>
                <w:shd w:val="clear" w:color="auto" w:fill="FFFFFF"/>
                <w:lang w:val="en-AU"/>
              </w:rPr>
              <w:t xml:space="preserve"> compared </w:t>
            </w:r>
            <w:r w:rsidRPr="005D54DD">
              <w:rPr>
                <w:color w:val="333333"/>
                <w:shd w:val="clear" w:color="auto" w:fill="FFFFFF"/>
                <w:lang w:val="en-AU"/>
              </w:rPr>
              <w:t>with conventi</w:t>
            </w:r>
            <w:r>
              <w:rPr>
                <w:color w:val="333333"/>
                <w:shd w:val="clear" w:color="auto" w:fill="FFFFFF"/>
                <w:lang w:val="en-AU"/>
              </w:rPr>
              <w:t>onal care in patients hospitalis</w:t>
            </w:r>
            <w:r w:rsidRPr="005D54DD">
              <w:rPr>
                <w:color w:val="333333"/>
                <w:shd w:val="clear" w:color="auto" w:fill="FFFFFF"/>
                <w:lang w:val="en-AU"/>
              </w:rPr>
              <w:t>ed for worsening chronic heart failure.</w:t>
            </w:r>
          </w:p>
          <w:p w:rsidR="005D54DD" w:rsidRPr="00255EF8" w:rsidRDefault="005D54DD" w:rsidP="007D70EE">
            <w:pPr>
              <w:rPr>
                <w:color w:val="333333"/>
                <w:shd w:val="clear" w:color="auto" w:fill="FFFFFF"/>
                <w:lang w:val="en-AU"/>
              </w:rPr>
            </w:pPr>
            <w:r>
              <w:rPr>
                <w:color w:val="333333"/>
                <w:shd w:val="clear" w:color="auto" w:fill="FFFFFF"/>
                <w:lang w:val="en-AU"/>
              </w:rPr>
              <w:t xml:space="preserve">While ensuring that patients did receive PCC was </w:t>
            </w:r>
            <w:r w:rsidR="007D70EE">
              <w:rPr>
                <w:color w:val="333333"/>
                <w:shd w:val="clear" w:color="auto" w:fill="FFFFFF"/>
                <w:lang w:val="en-AU"/>
              </w:rPr>
              <w:t xml:space="preserve">problematic, the costs for </w:t>
            </w:r>
            <w:r>
              <w:rPr>
                <w:color w:val="333333"/>
                <w:shd w:val="clear" w:color="auto" w:fill="FFFFFF"/>
                <w:lang w:val="en-AU"/>
              </w:rPr>
              <w:t xml:space="preserve">patients that did receive PCC </w:t>
            </w:r>
            <w:r w:rsidR="007D70EE" w:rsidRPr="007D70EE">
              <w:rPr>
                <w:color w:val="333333"/>
                <w:shd w:val="clear" w:color="auto" w:fill="FFFFFF"/>
                <w:lang w:val="en-AU"/>
              </w:rPr>
              <w:t>were significantly lower than for usual care, with an incremental cost-saving of 863 Euro. In the first three months after discharge, those who had received person-centred care had improved health-related quality of life whereas the usual care group had reduced health-related quality of life.</w:t>
            </w:r>
          </w:p>
        </w:tc>
      </w:tr>
    </w:tbl>
    <w:p w:rsidR="004B0A28" w:rsidRDefault="004B0A28" w:rsidP="004B0A28">
      <w:pPr>
        <w:keepLines/>
        <w:autoSpaceDE w:val="0"/>
        <w:autoSpaceDN w:val="0"/>
        <w:adjustRightInd w:val="0"/>
        <w:rPr>
          <w:lang w:val="en-AU"/>
        </w:rPr>
      </w:pPr>
    </w:p>
    <w:p w:rsidR="00854E05" w:rsidRDefault="00854E05">
      <w:pPr>
        <w:rPr>
          <w:i/>
          <w:lang w:val="en-AU"/>
        </w:rPr>
      </w:pPr>
      <w:r>
        <w:rPr>
          <w:i/>
          <w:lang w:val="en-AU"/>
        </w:rPr>
        <w:br w:type="page"/>
      </w:r>
    </w:p>
    <w:p w:rsidR="00DD6D12" w:rsidRPr="00255EF8" w:rsidRDefault="00DD6D12" w:rsidP="00DD6D12">
      <w:pPr>
        <w:keepNext/>
        <w:rPr>
          <w:lang w:val="en-AU"/>
        </w:rPr>
      </w:pPr>
      <w:r w:rsidRPr="00255EF8">
        <w:rPr>
          <w:i/>
          <w:lang w:val="en-AU"/>
        </w:rPr>
        <w:lastRenderedPageBreak/>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FB5819" w:rsidP="00ED597A">
            <w:pPr>
              <w:rPr>
                <w:lang w:val="en-AU"/>
              </w:rPr>
            </w:pPr>
            <w:hyperlink r:id="rId28" w:history="1">
              <w:r w:rsidR="00DD6D12" w:rsidRPr="00255EF8">
                <w:rPr>
                  <w:rStyle w:val="Hyperlink"/>
                  <w:lang w:val="en-AU"/>
                </w:rPr>
                <w:t>http://qualitysafety.bmj.com/content/early/recent</w:t>
              </w:r>
            </w:hyperlink>
          </w:p>
        </w:tc>
      </w:tr>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i/>
                <w:lang w:val="en-AU"/>
              </w:rPr>
              <w:t>BMJ Quality and Safety</w:t>
            </w:r>
            <w:r w:rsidRPr="00255EF8">
              <w:rPr>
                <w:lang w:val="en-AU"/>
              </w:rPr>
              <w:t xml:space="preserve"> has published a number of ‘online first’ articles, including:</w:t>
            </w:r>
          </w:p>
          <w:p w:rsidR="00171AC3" w:rsidRDefault="004A14D3" w:rsidP="004A14D3">
            <w:pPr>
              <w:pStyle w:val="ListParagraph"/>
              <w:numPr>
                <w:ilvl w:val="0"/>
                <w:numId w:val="14"/>
              </w:numPr>
              <w:rPr>
                <w:lang w:val="en-AU"/>
              </w:rPr>
            </w:pPr>
            <w:r w:rsidRPr="00255EF8">
              <w:rPr>
                <w:lang w:val="en-AU"/>
              </w:rPr>
              <w:t xml:space="preserve">Demystifying </w:t>
            </w:r>
            <w:r w:rsidRPr="00255EF8">
              <w:rPr>
                <w:b/>
                <w:lang w:val="en-AU"/>
              </w:rPr>
              <w:t>theory and its use in improvement</w:t>
            </w:r>
            <w:r w:rsidRPr="00255EF8">
              <w:rPr>
                <w:lang w:val="en-AU"/>
              </w:rPr>
              <w:t xml:space="preserve"> (Frank Davidoff, Mary Dixon-Woods, Laura Leviton, Susan </w:t>
            </w:r>
            <w:proofErr w:type="spellStart"/>
            <w:r w:rsidRPr="00255EF8">
              <w:rPr>
                <w:lang w:val="en-AU"/>
              </w:rPr>
              <w:t>Michie</w:t>
            </w:r>
            <w:proofErr w:type="spellEnd"/>
            <w:r w:rsidRPr="00255EF8">
              <w:rPr>
                <w:lang w:val="en-AU"/>
              </w:rPr>
              <w:t>)</w:t>
            </w:r>
          </w:p>
          <w:p w:rsidR="003D2B7C" w:rsidRPr="003D2B7C" w:rsidRDefault="003D2B7C" w:rsidP="003D2B7C">
            <w:pPr>
              <w:pStyle w:val="ListParagraph"/>
              <w:numPr>
                <w:ilvl w:val="0"/>
                <w:numId w:val="14"/>
              </w:numPr>
              <w:rPr>
                <w:lang w:val="en-AU"/>
              </w:rPr>
            </w:pPr>
            <w:r w:rsidRPr="003D2B7C">
              <w:rPr>
                <w:lang w:val="en-AU"/>
              </w:rPr>
              <w:t xml:space="preserve">Editorial: New SQUIRE publication guidelines: supporting nuanced </w:t>
            </w:r>
            <w:r w:rsidRPr="003D2B7C">
              <w:rPr>
                <w:b/>
                <w:lang w:val="en-AU"/>
              </w:rPr>
              <w:t>reporting and reflection on complex interventions</w:t>
            </w:r>
            <w:r w:rsidRPr="003D2B7C">
              <w:rPr>
                <w:lang w:val="en-AU"/>
              </w:rPr>
              <w:t xml:space="preserve"> (Louise Davies, Greg </w:t>
            </w:r>
            <w:proofErr w:type="spellStart"/>
            <w:r w:rsidRPr="003D2B7C">
              <w:rPr>
                <w:lang w:val="en-AU"/>
              </w:rPr>
              <w:t>Ogrinc</w:t>
            </w:r>
            <w:proofErr w:type="spellEnd"/>
            <w:r>
              <w:rPr>
                <w:lang w:val="en-AU"/>
              </w:rPr>
              <w:t>)</w:t>
            </w:r>
          </w:p>
          <w:p w:rsidR="003D2B7C" w:rsidRPr="003D2B7C" w:rsidRDefault="003D2B7C" w:rsidP="003D2B7C">
            <w:pPr>
              <w:pStyle w:val="ListParagraph"/>
              <w:numPr>
                <w:ilvl w:val="0"/>
                <w:numId w:val="14"/>
              </w:numPr>
              <w:rPr>
                <w:lang w:val="en-AU"/>
              </w:rPr>
            </w:pPr>
            <w:r w:rsidRPr="003D2B7C">
              <w:rPr>
                <w:lang w:val="en-AU"/>
              </w:rPr>
              <w:t xml:space="preserve">Editorial: But I told you she was ill! The role of </w:t>
            </w:r>
            <w:r w:rsidRPr="003D2B7C">
              <w:rPr>
                <w:b/>
                <w:lang w:val="en-AU"/>
              </w:rPr>
              <w:t>families</w:t>
            </w:r>
            <w:r w:rsidRPr="003D2B7C">
              <w:rPr>
                <w:lang w:val="en-AU"/>
              </w:rPr>
              <w:t xml:space="preserve"> in </w:t>
            </w:r>
            <w:r w:rsidRPr="003D2B7C">
              <w:rPr>
                <w:b/>
                <w:lang w:val="en-AU"/>
              </w:rPr>
              <w:t>preventing avoidable harm in children</w:t>
            </w:r>
            <w:r w:rsidRPr="003D2B7C">
              <w:rPr>
                <w:lang w:val="en-AU"/>
              </w:rPr>
              <w:t xml:space="preserve"> (Damian Roland</w:t>
            </w:r>
            <w:r>
              <w:rPr>
                <w:lang w:val="en-AU"/>
              </w:rPr>
              <w:t>)</w:t>
            </w:r>
          </w:p>
          <w:p w:rsidR="003D2B7C" w:rsidRPr="00255EF8" w:rsidRDefault="003D2B7C" w:rsidP="003D2B7C">
            <w:pPr>
              <w:pStyle w:val="ListParagraph"/>
              <w:numPr>
                <w:ilvl w:val="0"/>
                <w:numId w:val="14"/>
              </w:numPr>
              <w:rPr>
                <w:lang w:val="en-AU"/>
              </w:rPr>
            </w:pPr>
            <w:r w:rsidRPr="003D2B7C">
              <w:rPr>
                <w:b/>
                <w:lang w:val="en-AU"/>
              </w:rPr>
              <w:t>Clinically led performance management in secondary healthcare</w:t>
            </w:r>
            <w:r w:rsidRPr="003D2B7C">
              <w:rPr>
                <w:lang w:val="en-AU"/>
              </w:rPr>
              <w:t xml:space="preserve">: evaluating the attitudes of medical and non-clinical managers </w:t>
            </w:r>
            <w:r>
              <w:rPr>
                <w:lang w:val="en-AU"/>
              </w:rPr>
              <w:t>(</w:t>
            </w:r>
            <w:r w:rsidRPr="003D2B7C">
              <w:rPr>
                <w:lang w:val="en-AU"/>
              </w:rPr>
              <w:t xml:space="preserve">Timothy M </w:t>
            </w:r>
            <w:proofErr w:type="spellStart"/>
            <w:r w:rsidRPr="003D2B7C">
              <w:rPr>
                <w:lang w:val="en-AU"/>
              </w:rPr>
              <w:t>Trebble</w:t>
            </w:r>
            <w:proofErr w:type="spellEnd"/>
            <w:r w:rsidRPr="003D2B7C">
              <w:rPr>
                <w:lang w:val="en-AU"/>
              </w:rPr>
              <w:t>, Maureen Paul, Peter M Hockey, Nicola Heyworth, Rachael Humphrey, Timothy Powell, Nicholas Clarke</w:t>
            </w:r>
            <w:r>
              <w:rPr>
                <w:lang w:val="en-AU"/>
              </w:rPr>
              <w:t>)</w:t>
            </w:r>
          </w:p>
        </w:tc>
      </w:tr>
    </w:tbl>
    <w:p w:rsidR="00755242" w:rsidRPr="00255EF8" w:rsidRDefault="00755242" w:rsidP="00755242">
      <w:pPr>
        <w:rPr>
          <w:lang w:val="en-AU"/>
        </w:rPr>
      </w:pPr>
    </w:p>
    <w:p w:rsidR="0076574A" w:rsidRPr="00255EF8" w:rsidRDefault="0076574A" w:rsidP="00755242">
      <w:pPr>
        <w:rPr>
          <w:lang w:val="en-AU"/>
        </w:rPr>
      </w:pPr>
    </w:p>
    <w:p w:rsidR="00590FB6" w:rsidRPr="00255EF8" w:rsidRDefault="00590FB6" w:rsidP="00F01814">
      <w:pPr>
        <w:keepNext/>
        <w:rPr>
          <w:b/>
          <w:lang w:val="en-AU"/>
        </w:rPr>
      </w:pPr>
      <w:r w:rsidRPr="00255EF8">
        <w:rPr>
          <w:b/>
          <w:lang w:val="en-AU"/>
        </w:rPr>
        <w:t>Online resources</w:t>
      </w:r>
    </w:p>
    <w:p w:rsidR="006012BC" w:rsidRPr="00255EF8" w:rsidRDefault="006012BC" w:rsidP="00F01814">
      <w:pPr>
        <w:keepNext/>
        <w:rPr>
          <w:i/>
          <w:lang w:val="en-AU"/>
        </w:rPr>
      </w:pPr>
    </w:p>
    <w:p w:rsidR="00D97EA3" w:rsidRPr="00255EF8" w:rsidRDefault="00D97EA3" w:rsidP="00D97EA3">
      <w:pPr>
        <w:rPr>
          <w:i/>
          <w:lang w:val="en-AU"/>
        </w:rPr>
      </w:pPr>
      <w:r w:rsidRPr="00255EF8">
        <w:rPr>
          <w:i/>
          <w:lang w:val="en-AU"/>
        </w:rPr>
        <w:t>Designing and writing standards for maximum impact on quality and patient safety</w:t>
      </w:r>
    </w:p>
    <w:p w:rsidR="00D97EA3" w:rsidRPr="00255EF8" w:rsidRDefault="00FB5819" w:rsidP="00D97EA3">
      <w:pPr>
        <w:rPr>
          <w:lang w:val="en-AU"/>
        </w:rPr>
      </w:pPr>
      <w:hyperlink r:id="rId29" w:history="1">
        <w:r w:rsidR="00D97EA3" w:rsidRPr="00255EF8">
          <w:rPr>
            <w:rStyle w:val="Hyperlink"/>
            <w:lang w:val="en-AU"/>
          </w:rPr>
          <w:t>http://isqua.org/education/webinars/january-2015-webinar-with-paul-vanostenberg</w:t>
        </w:r>
      </w:hyperlink>
    </w:p>
    <w:p w:rsidR="00D97EA3" w:rsidRPr="00255EF8" w:rsidRDefault="00D97EA3" w:rsidP="00D97EA3">
      <w:pPr>
        <w:rPr>
          <w:lang w:val="en-AU"/>
        </w:rPr>
      </w:pPr>
      <w:r w:rsidRPr="00255EF8">
        <w:rPr>
          <w:lang w:val="en-AU"/>
        </w:rPr>
        <w:t xml:space="preserve">Webinar presented by Paul van </w:t>
      </w:r>
      <w:proofErr w:type="spellStart"/>
      <w:r w:rsidRPr="00255EF8">
        <w:rPr>
          <w:lang w:val="en-AU"/>
        </w:rPr>
        <w:t>Ostenberg</w:t>
      </w:r>
      <w:proofErr w:type="spellEnd"/>
      <w:r w:rsidRPr="00255EF8">
        <w:rPr>
          <w:lang w:val="en-AU"/>
        </w:rPr>
        <w:t>, (Senior Advisor for Global Growth and Innovation, Joint Commission International) covering the process for developing standards for licensure, certification, accreditation or any other evaluation process, including discussion of key steps and examples.</w:t>
      </w:r>
    </w:p>
    <w:p w:rsidR="004904F8" w:rsidRDefault="004904F8" w:rsidP="0029518F">
      <w:pPr>
        <w:rPr>
          <w:lang w:val="en-AU"/>
        </w:rPr>
      </w:pPr>
    </w:p>
    <w:p w:rsidR="00FD1724" w:rsidRDefault="00FD1724" w:rsidP="00FD1724">
      <w:pPr>
        <w:keepNext/>
        <w:rPr>
          <w:i/>
          <w:lang w:val="en-AU"/>
        </w:rPr>
      </w:pPr>
      <w:r>
        <w:rPr>
          <w:i/>
          <w:lang w:val="en-AU"/>
        </w:rPr>
        <w:t>[UK] NICE Guidelines and Quality Standards</w:t>
      </w:r>
    </w:p>
    <w:p w:rsidR="00FD1724" w:rsidRDefault="00FB5819" w:rsidP="00FD1724">
      <w:pPr>
        <w:keepNext/>
        <w:rPr>
          <w:lang w:val="en-AU"/>
        </w:rPr>
      </w:pPr>
      <w:hyperlink r:id="rId30" w:history="1">
        <w:r w:rsidR="00FD1724" w:rsidRPr="00E846CD">
          <w:rPr>
            <w:rStyle w:val="Hyperlink"/>
            <w:lang w:val="en-AU"/>
          </w:rPr>
          <w:t>http://www.nice.org.uk</w:t>
        </w:r>
      </w:hyperlink>
    </w:p>
    <w:p w:rsidR="00FD1724" w:rsidRDefault="00FD1724" w:rsidP="00FD1724">
      <w:pPr>
        <w:rPr>
          <w:lang w:val="en-AU"/>
        </w:rPr>
      </w:pPr>
      <w:r>
        <w:rPr>
          <w:lang w:val="en-AU"/>
        </w:rPr>
        <w:t xml:space="preserve">The UK’s National Institute for Health and Care Excellence (NICE) has published new </w:t>
      </w:r>
      <w:proofErr w:type="spellStart"/>
      <w:r>
        <w:rPr>
          <w:lang w:val="en-AU"/>
        </w:rPr>
        <w:t>guidelies</w:t>
      </w:r>
      <w:proofErr w:type="spellEnd"/>
      <w:r>
        <w:rPr>
          <w:lang w:val="en-AU"/>
        </w:rPr>
        <w:t xml:space="preserve"> and quality standards. The latest updates are:</w:t>
      </w:r>
    </w:p>
    <w:p w:rsidR="00FD1724" w:rsidRDefault="00FD1724" w:rsidP="00FD1724">
      <w:pPr>
        <w:pStyle w:val="ListParagraph"/>
        <w:numPr>
          <w:ilvl w:val="0"/>
          <w:numId w:val="14"/>
        </w:numPr>
        <w:rPr>
          <w:lang w:val="en-AU"/>
        </w:rPr>
      </w:pPr>
      <w:r w:rsidRPr="00FD1724">
        <w:rPr>
          <w:lang w:val="en-AU"/>
        </w:rPr>
        <w:t xml:space="preserve">NICE Guideline NG1 </w:t>
      </w:r>
      <w:r w:rsidRPr="00FD1724">
        <w:rPr>
          <w:b/>
          <w:lang w:val="en-AU"/>
        </w:rPr>
        <w:t>Gastro-oesophageal reflux disease: recognition, diagnosis and management in children and young people</w:t>
      </w:r>
      <w:r w:rsidRPr="00FD1724">
        <w:rPr>
          <w:lang w:val="en-AU"/>
        </w:rPr>
        <w:t xml:space="preserve"> </w:t>
      </w:r>
      <w:hyperlink r:id="rId31" w:history="1">
        <w:r w:rsidRPr="00FD1724">
          <w:rPr>
            <w:rStyle w:val="Hyperlink"/>
            <w:lang w:val="en-AU"/>
          </w:rPr>
          <w:t>http://www.nice.org.uk/guidance/ng1</w:t>
        </w:r>
      </w:hyperlink>
    </w:p>
    <w:p w:rsidR="00FD1724" w:rsidRDefault="00FD1724" w:rsidP="00FD1724">
      <w:pPr>
        <w:pStyle w:val="ListParagraph"/>
        <w:numPr>
          <w:ilvl w:val="0"/>
          <w:numId w:val="14"/>
        </w:numPr>
        <w:rPr>
          <w:lang w:val="en-AU"/>
        </w:rPr>
      </w:pPr>
      <w:r>
        <w:rPr>
          <w:lang w:val="en-AU"/>
        </w:rPr>
        <w:t xml:space="preserve">NICE Quality Standard QS77 </w:t>
      </w:r>
      <w:r w:rsidRPr="00FD1724">
        <w:rPr>
          <w:b/>
          <w:lang w:val="en-AU"/>
        </w:rPr>
        <w:t>Urinary incontinence in women</w:t>
      </w:r>
      <w:r>
        <w:rPr>
          <w:lang w:val="en-AU"/>
        </w:rPr>
        <w:t xml:space="preserve"> </w:t>
      </w:r>
      <w:hyperlink r:id="rId32" w:history="1">
        <w:r w:rsidRPr="00E846CD">
          <w:rPr>
            <w:rStyle w:val="Hyperlink"/>
            <w:lang w:val="en-AU"/>
          </w:rPr>
          <w:t>http://www.nice.org.uk/guidance/QS77</w:t>
        </w:r>
      </w:hyperlink>
    </w:p>
    <w:p w:rsidR="00FD1724" w:rsidRPr="00E76EA4" w:rsidRDefault="00FD1724" w:rsidP="00E76EA4">
      <w:pPr>
        <w:pStyle w:val="ListParagraph"/>
        <w:numPr>
          <w:ilvl w:val="0"/>
          <w:numId w:val="14"/>
        </w:numPr>
        <w:rPr>
          <w:lang w:val="en-AU"/>
        </w:rPr>
      </w:pPr>
      <w:r w:rsidRPr="00E76EA4">
        <w:rPr>
          <w:lang w:val="en-AU"/>
        </w:rPr>
        <w:t xml:space="preserve">Draft </w:t>
      </w:r>
      <w:r w:rsidR="00E76EA4" w:rsidRPr="00E76EA4">
        <w:rPr>
          <w:lang w:val="en-AU"/>
        </w:rPr>
        <w:t xml:space="preserve">clinical </w:t>
      </w:r>
      <w:r w:rsidRPr="00E76EA4">
        <w:rPr>
          <w:lang w:val="en-AU"/>
        </w:rPr>
        <w:t xml:space="preserve">guideline </w:t>
      </w:r>
      <w:r w:rsidR="00E76EA4" w:rsidRPr="00E76EA4">
        <w:rPr>
          <w:b/>
          <w:lang w:val="en-AU"/>
        </w:rPr>
        <w:t>Asthma: diagnosis and monitoring of asthma in adults, children and young people</w:t>
      </w:r>
      <w:r w:rsidRPr="00E76EA4">
        <w:rPr>
          <w:lang w:val="en-AU"/>
        </w:rPr>
        <w:t xml:space="preserve"> </w:t>
      </w:r>
      <w:hyperlink r:id="rId33" w:history="1">
        <w:r w:rsidRPr="00E76EA4">
          <w:rPr>
            <w:rStyle w:val="Hyperlink"/>
            <w:lang w:val="en-AU"/>
          </w:rPr>
          <w:t>http://www.nice.org.uk/guidance/gid-cgwave0640/resources/asthma-diagnosis-and-monitoring-draft-guideline2</w:t>
        </w:r>
      </w:hyperlink>
    </w:p>
    <w:p w:rsidR="00C95590" w:rsidRDefault="00C95590" w:rsidP="0029518F">
      <w:pPr>
        <w:rPr>
          <w:lang w:val="en-AU"/>
        </w:rPr>
      </w:pPr>
    </w:p>
    <w:p w:rsidR="00F76FA4" w:rsidRPr="00255EF8" w:rsidRDefault="00F76FA4" w:rsidP="00F76FA4">
      <w:pPr>
        <w:rPr>
          <w:i/>
          <w:lang w:val="en-AU"/>
        </w:rPr>
      </w:pPr>
      <w:bookmarkStart w:id="1" w:name="_GoBack"/>
      <w:bookmarkEnd w:id="1"/>
      <w:r w:rsidRPr="00255EF8">
        <w:rPr>
          <w:i/>
          <w:lang w:val="en-AU"/>
        </w:rPr>
        <w:t>[USA] Effective Health Care Program reports</w:t>
      </w:r>
    </w:p>
    <w:p w:rsidR="00F76FA4" w:rsidRPr="00255EF8" w:rsidRDefault="00FB5819" w:rsidP="00F76FA4">
      <w:pPr>
        <w:rPr>
          <w:lang w:val="en-AU"/>
        </w:rPr>
      </w:pPr>
      <w:hyperlink r:id="rId34" w:history="1">
        <w:r w:rsidR="00F76FA4" w:rsidRPr="00255EF8">
          <w:rPr>
            <w:rStyle w:val="Hyperlink"/>
            <w:lang w:val="en-AU"/>
          </w:rPr>
          <w:t>http://effectivehealthcare.ahrq.gov/</w:t>
        </w:r>
      </w:hyperlink>
      <w:r w:rsidR="00F76FA4" w:rsidRPr="00255EF8">
        <w:rPr>
          <w:lang w:val="en-AU"/>
        </w:rPr>
        <w:t xml:space="preserve"> </w:t>
      </w:r>
    </w:p>
    <w:p w:rsidR="00F76FA4" w:rsidRPr="00255EF8" w:rsidRDefault="00F76FA4" w:rsidP="00F76FA4">
      <w:pPr>
        <w:rPr>
          <w:lang w:val="en-AU"/>
        </w:rPr>
      </w:pPr>
      <w:r w:rsidRPr="00255EF8">
        <w:rPr>
          <w:lang w:val="en-AU"/>
        </w:rPr>
        <w:t>The US Agency for Healthcare Research and Quality (AHRQ) has an Effective Health Care (EHC) Program. The EHC has released the following final reports and updates:</w:t>
      </w:r>
    </w:p>
    <w:p w:rsidR="00F76FA4" w:rsidRPr="00255EF8" w:rsidRDefault="00F76FA4" w:rsidP="00F76FA4">
      <w:pPr>
        <w:pStyle w:val="ListParagraph"/>
        <w:numPr>
          <w:ilvl w:val="0"/>
          <w:numId w:val="20"/>
        </w:numPr>
        <w:rPr>
          <w:lang w:val="en-AU"/>
        </w:rPr>
      </w:pPr>
      <w:r w:rsidRPr="00255EF8">
        <w:rPr>
          <w:i/>
          <w:lang w:val="en-AU"/>
        </w:rPr>
        <w:t>Treatments for Fibromyalgia in Adult Subgroup</w:t>
      </w:r>
      <w:r w:rsidR="003D4911">
        <w:rPr>
          <w:i/>
          <w:lang w:val="en-AU"/>
        </w:rPr>
        <w:t>s</w:t>
      </w:r>
      <w:r w:rsidRPr="00255EF8">
        <w:rPr>
          <w:i/>
          <w:lang w:val="en-AU"/>
        </w:rPr>
        <w:t xml:space="preserve"> </w:t>
      </w:r>
      <w:hyperlink r:id="rId35" w:history="1">
        <w:r w:rsidRPr="00255EF8">
          <w:rPr>
            <w:rStyle w:val="Hyperlink"/>
            <w:lang w:val="en-AU"/>
          </w:rPr>
          <w:t>http://www.effectivehealthcare.ahrq.gov/search-for-guides-reviews-and-reports/?pageaction=displayproduct&amp;productID=2040</w:t>
        </w:r>
      </w:hyperlink>
    </w:p>
    <w:p w:rsidR="004B0A28" w:rsidRPr="00255EF8" w:rsidRDefault="004B0A28" w:rsidP="0029518F">
      <w:pPr>
        <w:rPr>
          <w:lang w:val="en-AU"/>
        </w:rPr>
      </w:pPr>
    </w:p>
    <w:p w:rsidR="00854E05" w:rsidRDefault="00854E05">
      <w:pPr>
        <w:rPr>
          <w:i/>
          <w:lang w:val="en-AU"/>
        </w:rPr>
      </w:pPr>
      <w:r>
        <w:rPr>
          <w:i/>
          <w:lang w:val="en-AU"/>
        </w:rPr>
        <w:br w:type="page"/>
      </w:r>
    </w:p>
    <w:p w:rsidR="001849C7" w:rsidRPr="00255EF8" w:rsidRDefault="001849C7" w:rsidP="0029518F">
      <w:pPr>
        <w:rPr>
          <w:i/>
          <w:lang w:val="en-AU"/>
        </w:rPr>
      </w:pPr>
      <w:r w:rsidRPr="00255EF8">
        <w:rPr>
          <w:i/>
          <w:lang w:val="en-AU"/>
        </w:rPr>
        <w:lastRenderedPageBreak/>
        <w:t>Public Health Research &amp; Practice</w:t>
      </w:r>
    </w:p>
    <w:p w:rsidR="001849C7" w:rsidRPr="00255EF8" w:rsidRDefault="00FB5819" w:rsidP="0029518F">
      <w:pPr>
        <w:rPr>
          <w:lang w:val="en-AU"/>
        </w:rPr>
      </w:pPr>
      <w:hyperlink r:id="rId36" w:history="1">
        <w:r w:rsidR="001849C7" w:rsidRPr="00255EF8">
          <w:rPr>
            <w:rStyle w:val="Hyperlink"/>
            <w:lang w:val="en-AU"/>
          </w:rPr>
          <w:t>http://www.phrp.com.au/</w:t>
        </w:r>
      </w:hyperlink>
    </w:p>
    <w:p w:rsidR="001849C7" w:rsidRPr="00255EF8" w:rsidRDefault="001849C7" w:rsidP="001849C7">
      <w:pPr>
        <w:rPr>
          <w:lang w:val="en-AU"/>
        </w:rPr>
      </w:pPr>
      <w:r w:rsidRPr="00255EF8">
        <w:rPr>
          <w:lang w:val="en-AU"/>
        </w:rPr>
        <w:t xml:space="preserve">The </w:t>
      </w:r>
      <w:r w:rsidRPr="00255EF8">
        <w:rPr>
          <w:i/>
          <w:lang w:val="en-AU"/>
        </w:rPr>
        <w:t>NSW Public Health Bulletin</w:t>
      </w:r>
      <w:r w:rsidRPr="00255EF8">
        <w:rPr>
          <w:lang w:val="en-AU"/>
        </w:rPr>
        <w:t xml:space="preserve"> has been given a new identity and a new home as the new online-only open access journal </w:t>
      </w:r>
      <w:r w:rsidRPr="00255EF8">
        <w:rPr>
          <w:i/>
          <w:lang w:val="en-AU"/>
        </w:rPr>
        <w:t>Public Health Research &amp; Practice</w:t>
      </w:r>
      <w:r w:rsidRPr="00255EF8">
        <w:rPr>
          <w:lang w:val="en-AU"/>
        </w:rPr>
        <w:t>. The journal focuses on high-quality peer reviewed research meaningful to those working in public health. The journal aims to publish high-quality papers with a special focus on innovations, data and perspectives from policy and practice.</w:t>
      </w:r>
    </w:p>
    <w:p w:rsidR="001849C7" w:rsidRPr="00255EF8" w:rsidRDefault="001849C7" w:rsidP="001849C7">
      <w:pPr>
        <w:rPr>
          <w:lang w:val="en-AU"/>
        </w:rPr>
      </w:pPr>
      <w:r w:rsidRPr="00255EF8">
        <w:rPr>
          <w:lang w:val="en-AU"/>
        </w:rPr>
        <w:t>The first issue looks at systems thinking in chronic disease prevention and looking systemically at environmental and societal problems that harm health and cause lifestyle-related diseases.</w:t>
      </w:r>
    </w:p>
    <w:p w:rsidR="001849C7" w:rsidRPr="00255EF8" w:rsidRDefault="001849C7" w:rsidP="001849C7">
      <w:pPr>
        <w:rPr>
          <w:rFonts w:cstheme="minorHAnsi"/>
          <w:color w:val="262626" w:themeColor="text1" w:themeTint="D9"/>
          <w:szCs w:val="19"/>
          <w:u w:val="single"/>
          <w:lang w:val="en-AU"/>
        </w:rPr>
      </w:pPr>
      <w:r w:rsidRPr="00255EF8">
        <w:rPr>
          <w:rFonts w:cstheme="minorHAnsi"/>
          <w:color w:val="262626" w:themeColor="text1" w:themeTint="D9"/>
          <w:szCs w:val="19"/>
          <w:lang w:val="en-AU"/>
        </w:rPr>
        <w:t xml:space="preserve">Readers can </w:t>
      </w:r>
      <w:hyperlink r:id="rId37" w:history="1">
        <w:r w:rsidRPr="00255EF8">
          <w:rPr>
            <w:rStyle w:val="Hyperlink"/>
            <w:rFonts w:cstheme="minorHAnsi"/>
            <w:szCs w:val="19"/>
            <w:lang w:val="en-AU"/>
          </w:rPr>
          <w:t>subscribe</w:t>
        </w:r>
      </w:hyperlink>
      <w:r w:rsidRPr="00255EF8">
        <w:rPr>
          <w:rFonts w:cstheme="minorHAnsi"/>
          <w:color w:val="262626" w:themeColor="text1" w:themeTint="D9"/>
          <w:szCs w:val="19"/>
          <w:lang w:val="en-AU"/>
        </w:rPr>
        <w:t xml:space="preserve"> to receive free quarterly e-alerts when the journal is published, </w:t>
      </w:r>
      <w:hyperlink r:id="rId38" w:history="1">
        <w:r w:rsidRPr="00255EF8">
          <w:rPr>
            <w:rStyle w:val="Hyperlink"/>
            <w:rFonts w:cstheme="minorHAnsi"/>
            <w:szCs w:val="19"/>
            <w:lang w:val="en-AU"/>
          </w:rPr>
          <w:t>make suggestions</w:t>
        </w:r>
      </w:hyperlink>
      <w:r w:rsidRPr="00255EF8">
        <w:rPr>
          <w:rFonts w:cstheme="minorHAnsi"/>
          <w:color w:val="262626" w:themeColor="text1" w:themeTint="D9"/>
          <w:szCs w:val="19"/>
          <w:lang w:val="en-AU"/>
        </w:rPr>
        <w:t xml:space="preserve"> about themes or topics for future issues, </w:t>
      </w:r>
      <w:hyperlink r:id="rId39" w:history="1">
        <w:r w:rsidRPr="00255EF8">
          <w:rPr>
            <w:rStyle w:val="Hyperlink"/>
            <w:rFonts w:cstheme="minorHAnsi"/>
            <w:szCs w:val="19"/>
            <w:lang w:val="en-AU"/>
          </w:rPr>
          <w:t>submit manuscripts</w:t>
        </w:r>
      </w:hyperlink>
      <w:r w:rsidRPr="00255EF8">
        <w:rPr>
          <w:rFonts w:cstheme="minorHAnsi"/>
          <w:color w:val="262626" w:themeColor="text1" w:themeTint="D9"/>
          <w:szCs w:val="19"/>
          <w:lang w:val="en-AU"/>
        </w:rPr>
        <w:t xml:space="preserve"> and follow the journal on Twitter </w:t>
      </w:r>
      <w:hyperlink r:id="rId40" w:history="1">
        <w:r w:rsidRPr="00255EF8">
          <w:rPr>
            <w:rStyle w:val="Hyperlink"/>
            <w:rFonts w:cstheme="minorHAnsi"/>
            <w:szCs w:val="19"/>
            <w:lang w:val="en-AU"/>
          </w:rPr>
          <w:t>@</w:t>
        </w:r>
        <w:proofErr w:type="spellStart"/>
        <w:r w:rsidRPr="00255EF8">
          <w:rPr>
            <w:rStyle w:val="Hyperlink"/>
            <w:rFonts w:cstheme="minorHAnsi"/>
            <w:szCs w:val="19"/>
            <w:lang w:val="en-AU"/>
          </w:rPr>
          <w:t>phrpjournal</w:t>
        </w:r>
        <w:proofErr w:type="spellEnd"/>
      </w:hyperlink>
      <w:r w:rsidR="004C78CF">
        <w:rPr>
          <w:rFonts w:cstheme="minorHAnsi"/>
          <w:color w:val="262626" w:themeColor="text1" w:themeTint="D9"/>
          <w:szCs w:val="19"/>
          <w:u w:val="single"/>
          <w:lang w:val="en-AU"/>
        </w:rPr>
        <w:t>.</w:t>
      </w:r>
    </w:p>
    <w:p w:rsidR="001849C7" w:rsidRPr="00255EF8" w:rsidRDefault="001849C7" w:rsidP="0029518F">
      <w:pPr>
        <w:rPr>
          <w:lang w:val="en-AU"/>
        </w:rPr>
      </w:pPr>
    </w:p>
    <w:p w:rsidR="00F76FA4" w:rsidRPr="00255EF8" w:rsidRDefault="00F76FA4" w:rsidP="0029518F">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819" w:rsidRDefault="00FB5819">
      <w:r>
        <w:separator/>
      </w:r>
    </w:p>
  </w:endnote>
  <w:endnote w:type="continuationSeparator" w:id="0">
    <w:p w:rsidR="00FB5819" w:rsidRDefault="00FB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22E43">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20</w:t>
    </w:r>
    <w:r w:rsidR="004B0A28">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E43">
      <w:rPr>
        <w:rStyle w:val="PageNumber"/>
        <w:noProof/>
      </w:rPr>
      <w:t>5</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4B0A28">
      <w:t xml:space="preserve"> Issue 208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819" w:rsidRDefault="00FB5819">
      <w:r>
        <w:separator/>
      </w:r>
    </w:p>
  </w:footnote>
  <w:footnote w:type="continuationSeparator" w:id="0">
    <w:p w:rsidR="00FB5819" w:rsidRDefault="00FB5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77C27"/>
    <w:multiLevelType w:val="hybridMultilevel"/>
    <w:tmpl w:val="4C2E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401049"/>
    <w:multiLevelType w:val="hybridMultilevel"/>
    <w:tmpl w:val="F99E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BD3CF4"/>
    <w:multiLevelType w:val="hybridMultilevel"/>
    <w:tmpl w:val="45A2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4B40D2"/>
    <w:multiLevelType w:val="hybridMultilevel"/>
    <w:tmpl w:val="F5405C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4F780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2F4E8E"/>
    <w:multiLevelType w:val="hybridMultilevel"/>
    <w:tmpl w:val="DFF2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C06786"/>
    <w:multiLevelType w:val="hybridMultilevel"/>
    <w:tmpl w:val="9302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8C6FE0"/>
    <w:multiLevelType w:val="hybridMultilevel"/>
    <w:tmpl w:val="825C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A6552B"/>
    <w:multiLevelType w:val="hybridMultilevel"/>
    <w:tmpl w:val="180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A86B75"/>
    <w:multiLevelType w:val="hybridMultilevel"/>
    <w:tmpl w:val="4B94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714708"/>
    <w:multiLevelType w:val="hybridMultilevel"/>
    <w:tmpl w:val="A0CE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13"/>
  </w:num>
  <w:num w:numId="16">
    <w:abstractNumId w:val="19"/>
  </w:num>
  <w:num w:numId="17">
    <w:abstractNumId w:val="14"/>
  </w:num>
  <w:num w:numId="18">
    <w:abstractNumId w:val="25"/>
  </w:num>
  <w:num w:numId="19">
    <w:abstractNumId w:val="24"/>
  </w:num>
  <w:num w:numId="20">
    <w:abstractNumId w:val="18"/>
  </w:num>
  <w:num w:numId="21">
    <w:abstractNumId w:val="26"/>
  </w:num>
  <w:num w:numId="22">
    <w:abstractNumId w:val="15"/>
  </w:num>
  <w:num w:numId="23">
    <w:abstractNumId w:val="12"/>
  </w:num>
  <w:num w:numId="24">
    <w:abstractNumId w:val="10"/>
  </w:num>
  <w:num w:numId="25">
    <w:abstractNumId w:val="11"/>
  </w:num>
  <w:num w:numId="26">
    <w:abstractNumId w:val="23"/>
  </w:num>
  <w:num w:numId="27">
    <w:abstractNumId w:val="20"/>
  </w:num>
  <w:num w:numId="28">
    <w:abstractNumId w:val="21"/>
  </w:num>
  <w:num w:numId="2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CE2"/>
    <w:rsid w:val="000A1D5F"/>
    <w:rsid w:val="000A203C"/>
    <w:rsid w:val="000A27A7"/>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6E8"/>
    <w:rsid w:val="000D4710"/>
    <w:rsid w:val="000D475F"/>
    <w:rsid w:val="000D4995"/>
    <w:rsid w:val="000D4BB0"/>
    <w:rsid w:val="000D54A0"/>
    <w:rsid w:val="000D569F"/>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7085"/>
    <w:rsid w:val="0017715C"/>
    <w:rsid w:val="00177503"/>
    <w:rsid w:val="00177673"/>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21D"/>
    <w:rsid w:val="001843D7"/>
    <w:rsid w:val="001845EF"/>
    <w:rsid w:val="00184976"/>
    <w:rsid w:val="001849C7"/>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DBF"/>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5EF8"/>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24B"/>
    <w:rsid w:val="002673FC"/>
    <w:rsid w:val="002675D4"/>
    <w:rsid w:val="00267698"/>
    <w:rsid w:val="002676B3"/>
    <w:rsid w:val="002678F2"/>
    <w:rsid w:val="00267EE0"/>
    <w:rsid w:val="00267EF1"/>
    <w:rsid w:val="00270350"/>
    <w:rsid w:val="002705D0"/>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2EE4"/>
    <w:rsid w:val="003537CA"/>
    <w:rsid w:val="00353AAC"/>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014"/>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4F8"/>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4D3"/>
    <w:rsid w:val="004A1534"/>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D9"/>
    <w:rsid w:val="005714DB"/>
    <w:rsid w:val="005714F6"/>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3FEB"/>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C58"/>
    <w:rsid w:val="00616FE0"/>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B53"/>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9D6"/>
    <w:rsid w:val="00712B67"/>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E05"/>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607"/>
    <w:rsid w:val="00935758"/>
    <w:rsid w:val="00935969"/>
    <w:rsid w:val="00935CAD"/>
    <w:rsid w:val="00935CEC"/>
    <w:rsid w:val="00935F3D"/>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43"/>
    <w:rsid w:val="00A22EF6"/>
    <w:rsid w:val="00A22F75"/>
    <w:rsid w:val="00A2368B"/>
    <w:rsid w:val="00A23794"/>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315"/>
    <w:rsid w:val="00A30AB4"/>
    <w:rsid w:val="00A30DF9"/>
    <w:rsid w:val="00A30FCE"/>
    <w:rsid w:val="00A31632"/>
    <w:rsid w:val="00A318EA"/>
    <w:rsid w:val="00A31D03"/>
    <w:rsid w:val="00A31F7B"/>
    <w:rsid w:val="00A32C35"/>
    <w:rsid w:val="00A32C86"/>
    <w:rsid w:val="00A32DEB"/>
    <w:rsid w:val="00A332C2"/>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8C4"/>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BEE"/>
    <w:rsid w:val="00A72BEF"/>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215BA"/>
    <w:rsid w:val="00B21C70"/>
    <w:rsid w:val="00B21CF7"/>
    <w:rsid w:val="00B221D2"/>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68A5"/>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29F"/>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494F"/>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6FF5"/>
    <w:rsid w:val="00BF7553"/>
    <w:rsid w:val="00BF75FB"/>
    <w:rsid w:val="00BF79DA"/>
    <w:rsid w:val="00BF7F9D"/>
    <w:rsid w:val="00C0040B"/>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37B73"/>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C85"/>
    <w:rsid w:val="00C55E44"/>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5590"/>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7E"/>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A7FB7"/>
    <w:rsid w:val="00DB0097"/>
    <w:rsid w:val="00DB0611"/>
    <w:rsid w:val="00DB0716"/>
    <w:rsid w:val="00DB0815"/>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7CE"/>
    <w:rsid w:val="00DC3A4A"/>
    <w:rsid w:val="00DC3DC5"/>
    <w:rsid w:val="00DC4C3C"/>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AAD"/>
    <w:rsid w:val="00E07B58"/>
    <w:rsid w:val="00E07E84"/>
    <w:rsid w:val="00E07EDE"/>
    <w:rsid w:val="00E102B0"/>
    <w:rsid w:val="00E1048B"/>
    <w:rsid w:val="00E10A31"/>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D86"/>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07E"/>
    <w:rsid w:val="00F22C87"/>
    <w:rsid w:val="00F22E37"/>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C89"/>
    <w:rsid w:val="00F91D40"/>
    <w:rsid w:val="00F91D78"/>
    <w:rsid w:val="00F91D9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4"/>
    <w:rsid w:val="00FA40C7"/>
    <w:rsid w:val="00FA43B5"/>
    <w:rsid w:val="00FA4467"/>
    <w:rsid w:val="00FA46F0"/>
    <w:rsid w:val="00FA4D35"/>
    <w:rsid w:val="00FA53E0"/>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819"/>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png"/><Relationship Id="rId26" Type="http://schemas.openxmlformats.org/officeDocument/2006/relationships/hyperlink" Target="http://www.safetyandquality.gov.au/our-work/patient-and-consumer-centred-care/" TargetMode="External"/><Relationship Id="rId39" Type="http://schemas.openxmlformats.org/officeDocument/2006/relationships/hyperlink" Target="http://www.phrp.com.au/for-authors/" TargetMode="External"/><Relationship Id="rId3" Type="http://schemas.openxmlformats.org/officeDocument/2006/relationships/styles" Target="styles.xml"/><Relationship Id="rId21" Type="http://schemas.openxmlformats.org/officeDocument/2006/relationships/hyperlink" Target="http://www.safetyandquality.gov.au/wp-content/uploads/2013/05/Open-Disclosure-Standard-Review-Report-Final-Jun-2012.pdf" TargetMode="External"/><Relationship Id="rId34" Type="http://schemas.openxmlformats.org/officeDocument/2006/relationships/hyperlink" Target="http://effectivehealthcare.ahrq.gov/"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rcoa.ac.uk/perioperativemedicine" TargetMode="External"/><Relationship Id="rId25" Type="http://schemas.openxmlformats.org/officeDocument/2006/relationships/hyperlink" Target="http://dx.doi.org/10.1056/NEJMp1413363" TargetMode="External"/><Relationship Id="rId33" Type="http://schemas.openxmlformats.org/officeDocument/2006/relationships/hyperlink" Target="http://www.nice.org.uk/guidance/gid-cgwave0640/resources/asthma-diagnosis-and-monitoring-draft-guideline2" TargetMode="External"/><Relationship Id="rId38" Type="http://schemas.openxmlformats.org/officeDocument/2006/relationships/hyperlink" Target="http://www.phrp.com.au/about-us/contact-us/" TargetMode="External"/><Relationship Id="rId2" Type="http://schemas.openxmlformats.org/officeDocument/2006/relationships/numbering" Target="numbering.xml"/><Relationship Id="rId16" Type="http://schemas.openxmlformats.org/officeDocument/2006/relationships/hyperlink" Target="http://npsf.org/transparency" TargetMode="External"/><Relationship Id="rId20" Type="http://schemas.openxmlformats.org/officeDocument/2006/relationships/hyperlink" Target="http://dx.doi.org/10.1007/s11673-014-9571-y" TargetMode="External"/><Relationship Id="rId29" Type="http://schemas.openxmlformats.org/officeDocument/2006/relationships/hyperlink" Target="http://isqua.org/education/webinars/january-2015-webinar-with-paul-vanostenbe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16/s1473-3099(14)71003-5" TargetMode="External"/><Relationship Id="rId32" Type="http://schemas.openxmlformats.org/officeDocument/2006/relationships/hyperlink" Target="http://www.nice.org.uk/guidance/QS77" TargetMode="External"/><Relationship Id="rId37" Type="http://schemas.openxmlformats.org/officeDocument/2006/relationships/hyperlink" Target="http://www.phrp.com.au/about-us/subscribe/?emailAddress=" TargetMode="External"/><Relationship Id="rId40" Type="http://schemas.openxmlformats.org/officeDocument/2006/relationships/hyperlink" Target="https://twitter.com/phrpjournal"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open-disclosure/" TargetMode="External"/><Relationship Id="rId28" Type="http://schemas.openxmlformats.org/officeDocument/2006/relationships/hyperlink" Target="http://qualitysafety.bmj.com/content/early/recent" TargetMode="External"/><Relationship Id="rId36" Type="http://schemas.openxmlformats.org/officeDocument/2006/relationships/hyperlink" Target="http://www.phrp.com.au/"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commonwealthfund.org/publications/fund-reports/2015/jan/international-profiles-2014" TargetMode="External"/><Relationship Id="rId31" Type="http://schemas.openxmlformats.org/officeDocument/2006/relationships/hyperlink" Target="http://www.nice.org.uk/guidance/ng1"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open-disclosure/the-open-disclosure-framework/" TargetMode="External"/><Relationship Id="rId27" Type="http://schemas.openxmlformats.org/officeDocument/2006/relationships/hyperlink" Target="http://dx.doi.org/10.1177/1474515114567035" TargetMode="External"/><Relationship Id="rId30" Type="http://schemas.openxmlformats.org/officeDocument/2006/relationships/hyperlink" Target="http://www.nice.org.uk" TargetMode="External"/><Relationship Id="rId35" Type="http://schemas.openxmlformats.org/officeDocument/2006/relationships/hyperlink" Target="http://www.effectivehealthcare.ahrq.gov/search-for-guides-reviews-and-reports/?pageaction=displayproduct&amp;productID=204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2ED3-F875-4FFF-930C-BE2382D7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6</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15183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16</cp:revision>
  <cp:lastPrinted>2013-06-06T03:47:00Z</cp:lastPrinted>
  <dcterms:created xsi:type="dcterms:W3CDTF">2015-01-26T22:03:00Z</dcterms:created>
  <dcterms:modified xsi:type="dcterms:W3CDTF">2015-02-01T06:15:00Z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