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bookmarkStart w:id="0" w:name="_GoBack"/>
      <w:bookmarkEnd w:id="0"/>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CA0B1F">
        <w:rPr>
          <w:color w:val="000000"/>
          <w:lang w:val="en-AU"/>
        </w:rPr>
        <w:t>2</w:t>
      </w:r>
    </w:p>
    <w:p w:rsidR="00755242" w:rsidRPr="00255EF8" w:rsidRDefault="004E243F" w:rsidP="00B160EF">
      <w:pPr>
        <w:rPr>
          <w:lang w:val="en-AU"/>
        </w:rPr>
      </w:pPr>
      <w:r>
        <w:rPr>
          <w:lang w:val="en-AU"/>
        </w:rPr>
        <w:t>2</w:t>
      </w:r>
      <w:r w:rsidR="00CA0B1F">
        <w:rPr>
          <w:lang w:val="en-AU"/>
        </w:rPr>
        <w:t xml:space="preserve"> March</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p>
    <w:p w:rsidR="00F34D09" w:rsidRPr="00255EF8"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5C0864" w:rsidRDefault="005C0864" w:rsidP="005C0864">
      <w:pPr>
        <w:rPr>
          <w:i/>
          <w:shd w:val="clear" w:color="auto" w:fill="FFFFFF"/>
          <w:lang w:val="en-AU"/>
        </w:rPr>
      </w:pPr>
    </w:p>
    <w:p w:rsidR="005B41CF" w:rsidRPr="00374F6A" w:rsidRDefault="00374F6A" w:rsidP="00374F6A">
      <w:pPr>
        <w:rPr>
          <w:i/>
          <w:shd w:val="clear" w:color="auto" w:fill="FFFFFF"/>
          <w:lang w:val="en-AU"/>
        </w:rPr>
      </w:pPr>
      <w:r w:rsidRPr="00374F6A">
        <w:rPr>
          <w:i/>
          <w:shd w:val="clear" w:color="auto" w:fill="FFFFFF"/>
          <w:lang w:val="en-AU"/>
        </w:rPr>
        <w:t>Staff engagement: Six building blocks for harnessing the creativity and enthusiasm of NHS staff</w:t>
      </w:r>
    </w:p>
    <w:p w:rsidR="008D074D" w:rsidRDefault="008D074D" w:rsidP="00374F6A">
      <w:pPr>
        <w:rPr>
          <w:shd w:val="clear" w:color="auto" w:fill="FFFFFF"/>
          <w:lang w:val="en-AU"/>
        </w:rPr>
      </w:pPr>
      <w:r w:rsidRPr="008D074D">
        <w:rPr>
          <w:shd w:val="clear" w:color="auto" w:fill="FFFFFF"/>
          <w:lang w:val="en-AU"/>
        </w:rPr>
        <w:t>Collins B</w:t>
      </w:r>
    </w:p>
    <w:p w:rsidR="00374F6A" w:rsidRPr="00255EF8" w:rsidRDefault="008D074D" w:rsidP="00374F6A">
      <w:pPr>
        <w:rPr>
          <w:shd w:val="clear" w:color="auto" w:fill="FFFFFF"/>
          <w:lang w:val="en-AU"/>
        </w:rPr>
      </w:pPr>
      <w:r w:rsidRPr="008D074D">
        <w:rPr>
          <w:shd w:val="clear" w:color="auto" w:fill="FFFFFF"/>
          <w:lang w:val="en-AU"/>
        </w:rPr>
        <w:t xml:space="preserve">London: The King's Fund; 2015. </w:t>
      </w:r>
      <w:proofErr w:type="gramStart"/>
      <w:r w:rsidRPr="008D074D">
        <w:rPr>
          <w:shd w:val="clear" w:color="auto" w:fill="FFFFFF"/>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1879" w:rsidRPr="00255EF8" w:rsidRDefault="0053214B" w:rsidP="00C1051F">
            <w:pPr>
              <w:rPr>
                <w:lang w:val="en-AU"/>
              </w:rPr>
            </w:pPr>
            <w:hyperlink r:id="rId16" w:history="1">
              <w:r w:rsidR="00374F6A" w:rsidRPr="00A42148">
                <w:rPr>
                  <w:rStyle w:val="Hyperlink"/>
                  <w:lang w:val="en-AU"/>
                </w:rPr>
                <w:t>http://www.kingsfund.org.uk/publications/staff-engagement</w:t>
              </w:r>
            </w:hyperlink>
          </w:p>
        </w:tc>
      </w:tr>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6E82" w:rsidRPr="00A36E82" w:rsidRDefault="00374F6A" w:rsidP="00A36E82">
            <w:pPr>
              <w:rPr>
                <w:lang w:val="en-AU" w:eastAsia="en-AU"/>
              </w:rPr>
            </w:pPr>
            <w:r>
              <w:rPr>
                <w:lang w:val="en-AU" w:eastAsia="en-AU"/>
              </w:rPr>
              <w:t xml:space="preserve">The King’s Fund website </w:t>
            </w:r>
            <w:r w:rsidR="00A36E82">
              <w:rPr>
                <w:lang w:val="en-AU" w:eastAsia="en-AU"/>
              </w:rPr>
              <w:t>notes “T</w:t>
            </w:r>
            <w:r w:rsidR="00A36E82" w:rsidRPr="00A36E82">
              <w:rPr>
                <w:lang w:val="en-AU" w:eastAsia="en-AU"/>
              </w:rPr>
              <w:t xml:space="preserve">here is now an overwhelming body of evidence to show that </w:t>
            </w:r>
            <w:r w:rsidR="00A36E82" w:rsidRPr="00A36E82">
              <w:rPr>
                <w:b/>
                <w:lang w:val="en-AU" w:eastAsia="en-AU"/>
              </w:rPr>
              <w:t>engaged staff deliver better health care</w:t>
            </w:r>
            <w:r w:rsidR="00A36E82" w:rsidRPr="00A36E82">
              <w:rPr>
                <w:lang w:val="en-AU" w:eastAsia="en-AU"/>
              </w:rPr>
              <w:t xml:space="preserve">. Trusts with more engaged staff tend to have </w:t>
            </w:r>
            <w:r w:rsidR="00A36E82" w:rsidRPr="00A36E82">
              <w:rPr>
                <w:b/>
                <w:lang w:val="en-AU" w:eastAsia="en-AU"/>
              </w:rPr>
              <w:t>lower levels of patient mortality</w:t>
            </w:r>
            <w:r w:rsidR="00A36E82" w:rsidRPr="00A36E82">
              <w:rPr>
                <w:lang w:val="en-AU" w:eastAsia="en-AU"/>
              </w:rPr>
              <w:t xml:space="preserve">, make </w:t>
            </w:r>
            <w:r w:rsidR="00A36E82" w:rsidRPr="00A36E82">
              <w:rPr>
                <w:b/>
                <w:lang w:val="en-AU" w:eastAsia="en-AU"/>
              </w:rPr>
              <w:t>better use of resources</w:t>
            </w:r>
            <w:r w:rsidR="00A36E82" w:rsidRPr="00A36E82">
              <w:rPr>
                <w:lang w:val="en-AU" w:eastAsia="en-AU"/>
              </w:rPr>
              <w:t xml:space="preserve">, and have </w:t>
            </w:r>
            <w:r w:rsidR="00A36E82" w:rsidRPr="00A36E82">
              <w:rPr>
                <w:b/>
                <w:lang w:val="en-AU" w:eastAsia="en-AU"/>
              </w:rPr>
              <w:t>stronger financial performance</w:t>
            </w:r>
            <w:r w:rsidR="00A36E82" w:rsidRPr="00A36E82">
              <w:rPr>
                <w:lang w:val="en-AU" w:eastAsia="en-AU"/>
              </w:rPr>
              <w:t xml:space="preserve"> and </w:t>
            </w:r>
            <w:r w:rsidR="00A36E82" w:rsidRPr="00A36E82">
              <w:rPr>
                <w:b/>
                <w:lang w:val="en-AU" w:eastAsia="en-AU"/>
              </w:rPr>
              <w:t>higher patient satisfaction</w:t>
            </w:r>
            <w:r w:rsidR="00A36E82" w:rsidRPr="00A36E82">
              <w:rPr>
                <w:lang w:val="en-AU" w:eastAsia="en-AU"/>
              </w:rPr>
              <w:t>, with more patients reporting that they were treated with dignity and respect.</w:t>
            </w:r>
          </w:p>
          <w:p w:rsidR="00610443" w:rsidRDefault="00A36E82" w:rsidP="00A36E82">
            <w:pPr>
              <w:rPr>
                <w:lang w:val="en-AU" w:eastAsia="en-AU"/>
              </w:rPr>
            </w:pPr>
            <w:r w:rsidRPr="00A36E82">
              <w:rPr>
                <w:lang w:val="en-AU" w:eastAsia="en-AU"/>
              </w:rPr>
              <w:t>This paper encourages boards and other leaders to focus on staff engagement and suggests a number of questions boards can ask to assess their organisation’s level of staff engagement.</w:t>
            </w:r>
            <w:r>
              <w:rPr>
                <w:lang w:val="en-AU" w:eastAsia="en-AU"/>
              </w:rPr>
              <w:t>”</w:t>
            </w:r>
          </w:p>
          <w:p w:rsidR="00080E8A" w:rsidRDefault="00080E8A" w:rsidP="00A36E82">
            <w:pPr>
              <w:rPr>
                <w:lang w:val="en-AU" w:eastAsia="en-AU"/>
              </w:rPr>
            </w:pPr>
            <w:r>
              <w:rPr>
                <w:lang w:val="en-AU" w:eastAsia="en-AU"/>
              </w:rPr>
              <w:t>The ‘six building blocks’ are:</w:t>
            </w:r>
          </w:p>
          <w:p w:rsidR="00080E8A" w:rsidRPr="00080E8A" w:rsidRDefault="00080E8A" w:rsidP="00080E8A">
            <w:pPr>
              <w:pStyle w:val="ListParagraph"/>
              <w:numPr>
                <w:ilvl w:val="0"/>
                <w:numId w:val="40"/>
              </w:numPr>
              <w:rPr>
                <w:lang w:val="en-AU" w:eastAsia="en-AU"/>
              </w:rPr>
            </w:pPr>
            <w:r w:rsidRPr="00080E8A">
              <w:rPr>
                <w:lang w:val="en-AU" w:eastAsia="en-AU"/>
              </w:rPr>
              <w:t>Develop a compelling, shared strategic direction</w:t>
            </w:r>
          </w:p>
          <w:p w:rsidR="00080E8A" w:rsidRPr="00080E8A" w:rsidRDefault="00080E8A" w:rsidP="00080E8A">
            <w:pPr>
              <w:pStyle w:val="ListParagraph"/>
              <w:numPr>
                <w:ilvl w:val="0"/>
                <w:numId w:val="40"/>
              </w:numPr>
              <w:rPr>
                <w:lang w:val="en-AU" w:eastAsia="en-AU"/>
              </w:rPr>
            </w:pPr>
            <w:r w:rsidRPr="00080E8A">
              <w:rPr>
                <w:lang w:val="en-AU" w:eastAsia="en-AU"/>
              </w:rPr>
              <w:t>Build collective and distributed leadership</w:t>
            </w:r>
          </w:p>
          <w:p w:rsidR="00080E8A" w:rsidRPr="00080E8A" w:rsidRDefault="00080E8A" w:rsidP="00080E8A">
            <w:pPr>
              <w:pStyle w:val="ListParagraph"/>
              <w:numPr>
                <w:ilvl w:val="0"/>
                <w:numId w:val="40"/>
              </w:numPr>
              <w:rPr>
                <w:lang w:val="en-AU" w:eastAsia="en-AU"/>
              </w:rPr>
            </w:pPr>
            <w:r w:rsidRPr="00080E8A">
              <w:rPr>
                <w:lang w:val="en-AU" w:eastAsia="en-AU"/>
              </w:rPr>
              <w:t>Adopt supportive and inclusive leadership styles</w:t>
            </w:r>
          </w:p>
          <w:p w:rsidR="00080E8A" w:rsidRPr="00080E8A" w:rsidRDefault="00080E8A" w:rsidP="00080E8A">
            <w:pPr>
              <w:pStyle w:val="ListParagraph"/>
              <w:numPr>
                <w:ilvl w:val="0"/>
                <w:numId w:val="40"/>
              </w:numPr>
              <w:rPr>
                <w:lang w:val="en-AU" w:eastAsia="en-AU"/>
              </w:rPr>
            </w:pPr>
            <w:r w:rsidRPr="00080E8A">
              <w:rPr>
                <w:lang w:val="en-AU" w:eastAsia="en-AU"/>
              </w:rPr>
              <w:t>Give staff the tools to lead service transformation</w:t>
            </w:r>
          </w:p>
          <w:p w:rsidR="00080E8A" w:rsidRPr="00080E8A" w:rsidRDefault="00080E8A" w:rsidP="00080E8A">
            <w:pPr>
              <w:pStyle w:val="ListParagraph"/>
              <w:numPr>
                <w:ilvl w:val="0"/>
                <w:numId w:val="40"/>
              </w:numPr>
              <w:rPr>
                <w:lang w:val="en-AU" w:eastAsia="en-AU"/>
              </w:rPr>
            </w:pPr>
            <w:r w:rsidRPr="00080E8A">
              <w:rPr>
                <w:lang w:val="en-AU" w:eastAsia="en-AU"/>
              </w:rPr>
              <w:t>Establish a culture based on integrity and trust</w:t>
            </w:r>
          </w:p>
          <w:p w:rsidR="00080E8A" w:rsidRPr="00080E8A" w:rsidRDefault="00080E8A" w:rsidP="00080E8A">
            <w:pPr>
              <w:pStyle w:val="ListParagraph"/>
              <w:numPr>
                <w:ilvl w:val="0"/>
                <w:numId w:val="40"/>
              </w:numPr>
              <w:rPr>
                <w:lang w:val="en-AU" w:eastAsia="en-AU"/>
              </w:rPr>
            </w:pPr>
            <w:r w:rsidRPr="00080E8A">
              <w:rPr>
                <w:lang w:val="en-AU" w:eastAsia="en-AU"/>
              </w:rPr>
              <w:t>Place staff engagement firmly on the board agenda.</w:t>
            </w:r>
          </w:p>
        </w:tc>
      </w:tr>
    </w:tbl>
    <w:p w:rsidR="00A30DF9" w:rsidRPr="00255EF8" w:rsidRDefault="00254636" w:rsidP="00051C68">
      <w:pPr>
        <w:keepNext/>
        <w:rPr>
          <w:b/>
          <w:lang w:val="en-AU"/>
        </w:rPr>
      </w:pPr>
      <w:r w:rsidRPr="00255EF8">
        <w:rPr>
          <w:b/>
          <w:lang w:val="en-AU"/>
        </w:rPr>
        <w:lastRenderedPageBreak/>
        <w:t>Journal articles</w:t>
      </w:r>
    </w:p>
    <w:p w:rsidR="00A23D42" w:rsidRDefault="00A23D42" w:rsidP="00051C68">
      <w:pPr>
        <w:keepNext/>
        <w:keepLines/>
        <w:autoSpaceDE w:val="0"/>
        <w:autoSpaceDN w:val="0"/>
        <w:adjustRightInd w:val="0"/>
        <w:rPr>
          <w:lang w:val="en-AU"/>
        </w:rPr>
      </w:pPr>
    </w:p>
    <w:p w:rsidR="00594E21" w:rsidRDefault="00594E21" w:rsidP="00594E21">
      <w:pPr>
        <w:keepNext/>
        <w:keepLines/>
        <w:autoSpaceDE w:val="0"/>
        <w:autoSpaceDN w:val="0"/>
        <w:adjustRightInd w:val="0"/>
        <w:rPr>
          <w:lang w:val="en-AU"/>
        </w:rPr>
      </w:pPr>
      <w:r w:rsidRPr="002974CE">
        <w:rPr>
          <w:i/>
          <w:lang w:val="en-AU"/>
        </w:rPr>
        <w:t xml:space="preserve">Underlying reasons associated with hospital readmission following surgery in the United States. </w:t>
      </w:r>
      <w:r w:rsidRPr="002974CE">
        <w:rPr>
          <w:lang w:val="en-AU"/>
        </w:rPr>
        <w:t xml:space="preserve">Merkow RP, Ju MH, Chung JW, Hall BL, Cohen ME, Williams MV, et al. </w:t>
      </w:r>
    </w:p>
    <w:p w:rsidR="00594E21" w:rsidRPr="00255EF8" w:rsidRDefault="00594E21" w:rsidP="00594E21">
      <w:pPr>
        <w:keepNext/>
        <w:keepLines/>
        <w:autoSpaceDE w:val="0"/>
        <w:autoSpaceDN w:val="0"/>
        <w:adjustRightInd w:val="0"/>
        <w:rPr>
          <w:lang w:val="en-AU"/>
        </w:rPr>
      </w:pPr>
      <w:proofErr w:type="gramStart"/>
      <w:r w:rsidRPr="002974CE">
        <w:rPr>
          <w:lang w:val="en-AU"/>
        </w:rPr>
        <w:t>Journal of the American Medical Association.</w:t>
      </w:r>
      <w:proofErr w:type="gramEnd"/>
      <w:r w:rsidRPr="002974CE">
        <w:rPr>
          <w:lang w:val="en-AU"/>
        </w:rPr>
        <w:t xml:space="preserve"> 2015</w:t>
      </w:r>
      <w:proofErr w:type="gramStart"/>
      <w:r w:rsidRPr="002974CE">
        <w:rPr>
          <w:lang w:val="en-AU"/>
        </w:rPr>
        <w:t>;313</w:t>
      </w:r>
      <w:proofErr w:type="gramEnd"/>
      <w:r w:rsidRPr="002974CE">
        <w:rPr>
          <w:lang w:val="en-AU"/>
        </w:rPr>
        <w:t>(5):483-95.</w:t>
      </w:r>
    </w:p>
    <w:tbl>
      <w:tblPr>
        <w:tblStyle w:val="TableGrid"/>
        <w:tblW w:w="0" w:type="auto"/>
        <w:tblInd w:w="288" w:type="dxa"/>
        <w:tblLayout w:type="fixed"/>
        <w:tblLook w:val="01E0" w:firstRow="1" w:lastRow="1" w:firstColumn="1" w:lastColumn="1" w:noHBand="0" w:noVBand="0"/>
      </w:tblPr>
      <w:tblGrid>
        <w:gridCol w:w="1080"/>
        <w:gridCol w:w="8280"/>
      </w:tblGrid>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Pr="00255EF8" w:rsidRDefault="0053214B" w:rsidP="00F40E15">
            <w:pPr>
              <w:rPr>
                <w:lang w:val="en-AU"/>
              </w:rPr>
            </w:pPr>
            <w:hyperlink r:id="rId17" w:history="1">
              <w:r w:rsidR="00594E21" w:rsidRPr="00BF28CA">
                <w:rPr>
                  <w:rStyle w:val="Hyperlink"/>
                  <w:lang w:val="en-AU"/>
                </w:rPr>
                <w:t>http://dx.doi.org/10.1001/jama.2014.18614</w:t>
              </w:r>
            </w:hyperlink>
          </w:p>
        </w:tc>
      </w:tr>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Default="00594E21" w:rsidP="00F40E15">
            <w:pPr>
              <w:rPr>
                <w:color w:val="333333"/>
                <w:shd w:val="clear" w:color="auto" w:fill="FFFFFF"/>
                <w:lang w:val="en-AU"/>
              </w:rPr>
            </w:pPr>
            <w:r>
              <w:rPr>
                <w:color w:val="333333"/>
                <w:shd w:val="clear" w:color="auto" w:fill="FFFFFF"/>
                <w:lang w:val="en-AU"/>
              </w:rPr>
              <w:t xml:space="preserve">This study examined readmission among </w:t>
            </w:r>
            <w:r w:rsidRPr="009E0D91">
              <w:rPr>
                <w:color w:val="333333"/>
                <w:shd w:val="clear" w:color="auto" w:fill="FFFFFF"/>
                <w:lang w:val="en-AU"/>
              </w:rPr>
              <w:t>498 875 operations</w:t>
            </w:r>
            <w:r>
              <w:rPr>
                <w:color w:val="333333"/>
                <w:shd w:val="clear" w:color="auto" w:fill="FFFFFF"/>
                <w:lang w:val="en-AU"/>
              </w:rPr>
              <w:t xml:space="preserve"> of patients </w:t>
            </w:r>
            <w:r w:rsidRPr="009E0D91">
              <w:rPr>
                <w:color w:val="333333"/>
                <w:shd w:val="clear" w:color="auto" w:fill="FFFFFF"/>
                <w:lang w:val="en-AU"/>
              </w:rPr>
              <w:t>at 346 US hospitals participating in the National Surgical Quality Improvement Program (NSQIP) between January 1, 2012, and December 31, 2012</w:t>
            </w:r>
            <w:r>
              <w:rPr>
                <w:color w:val="333333"/>
                <w:shd w:val="clear" w:color="auto" w:fill="FFFFFF"/>
                <w:lang w:val="en-AU"/>
              </w:rPr>
              <w:t>.</w:t>
            </w:r>
          </w:p>
          <w:p w:rsidR="00594E21" w:rsidRDefault="00594E21" w:rsidP="00F40E15">
            <w:pPr>
              <w:rPr>
                <w:color w:val="333333"/>
                <w:shd w:val="clear" w:color="auto" w:fill="FFFFFF"/>
                <w:lang w:val="en-AU"/>
              </w:rPr>
            </w:pPr>
            <w:r w:rsidRPr="009E0D91">
              <w:rPr>
                <w:color w:val="333333"/>
                <w:shd w:val="clear" w:color="auto" w:fill="FFFFFF"/>
                <w:lang w:val="en-AU"/>
              </w:rPr>
              <w:t>Readmission rates and reasons were assessed for all surgical procedures and for 6 representative operations: bariatric procedures, colectomy or proctectomy, hysterectomy, total hip or knee arthroplasty, ventral hernia repair, and lower extremity vascular bypass.</w:t>
            </w:r>
          </w:p>
          <w:p w:rsidR="00594E21" w:rsidRDefault="00594E21" w:rsidP="00F40E15">
            <w:pPr>
              <w:rPr>
                <w:color w:val="333333"/>
                <w:shd w:val="clear" w:color="auto" w:fill="FFFFFF"/>
                <w:lang w:val="en-AU"/>
              </w:rPr>
            </w:pPr>
            <w:r>
              <w:rPr>
                <w:color w:val="333333"/>
                <w:shd w:val="clear" w:color="auto" w:fill="FFFFFF"/>
                <w:lang w:val="en-AU"/>
              </w:rPr>
              <w:t>T</w:t>
            </w:r>
            <w:r w:rsidRPr="009E0D91">
              <w:rPr>
                <w:color w:val="333333"/>
                <w:shd w:val="clear" w:color="auto" w:fill="FFFFFF"/>
                <w:lang w:val="en-AU"/>
              </w:rPr>
              <w:t>he</w:t>
            </w:r>
            <w:r>
              <w:rPr>
                <w:color w:val="333333"/>
                <w:shd w:val="clear" w:color="auto" w:fill="FFFFFF"/>
                <w:lang w:val="en-AU"/>
              </w:rPr>
              <w:t xml:space="preserve"> authors report that the </w:t>
            </w:r>
            <w:r w:rsidRPr="009E0D91">
              <w:rPr>
                <w:b/>
                <w:color w:val="333333"/>
                <w:shd w:val="clear" w:color="auto" w:fill="FFFFFF"/>
                <w:lang w:val="en-AU"/>
              </w:rPr>
              <w:t>unplanned readmission rate</w:t>
            </w:r>
            <w:r w:rsidRPr="009E0D91">
              <w:rPr>
                <w:color w:val="333333"/>
                <w:shd w:val="clear" w:color="auto" w:fill="FFFFFF"/>
                <w:lang w:val="en-AU"/>
              </w:rPr>
              <w:t xml:space="preserve"> for the 498 875 operations </w:t>
            </w:r>
            <w:r w:rsidRPr="00774E1E">
              <w:rPr>
                <w:color w:val="333333"/>
                <w:shd w:val="clear" w:color="auto" w:fill="FFFFFF"/>
                <w:lang w:val="en-AU"/>
              </w:rPr>
              <w:t>was</w:t>
            </w:r>
            <w:r w:rsidRPr="009E0D91">
              <w:rPr>
                <w:b/>
                <w:color w:val="333333"/>
                <w:shd w:val="clear" w:color="auto" w:fill="FFFFFF"/>
                <w:lang w:val="en-AU"/>
              </w:rPr>
              <w:t xml:space="preserve"> 5.7%.</w:t>
            </w:r>
            <w:r w:rsidRPr="009E0D91">
              <w:rPr>
                <w:color w:val="333333"/>
                <w:shd w:val="clear" w:color="auto" w:fill="FFFFFF"/>
                <w:lang w:val="en-AU"/>
              </w:rPr>
              <w:t xml:space="preserve"> For the individual procedures, the readmission rate ranged from 3.8% for hysterectomy to 14.9% for lower extremity vascular bypass. The </w:t>
            </w:r>
            <w:r w:rsidRPr="009E0D91">
              <w:rPr>
                <w:b/>
                <w:color w:val="333333"/>
                <w:shd w:val="clear" w:color="auto" w:fill="FFFFFF"/>
                <w:lang w:val="en-AU"/>
              </w:rPr>
              <w:t>most common reason for unplanned readmission</w:t>
            </w:r>
            <w:r w:rsidRPr="009E0D91">
              <w:rPr>
                <w:color w:val="333333"/>
                <w:shd w:val="clear" w:color="auto" w:fill="FFFFFF"/>
                <w:lang w:val="en-AU"/>
              </w:rPr>
              <w:t xml:space="preserve"> was </w:t>
            </w:r>
            <w:r w:rsidRPr="009E0D91">
              <w:rPr>
                <w:b/>
                <w:color w:val="333333"/>
                <w:shd w:val="clear" w:color="auto" w:fill="FFFFFF"/>
                <w:lang w:val="en-AU"/>
              </w:rPr>
              <w:t>surgical site infection</w:t>
            </w:r>
            <w:r w:rsidRPr="009E0D91">
              <w:rPr>
                <w:color w:val="333333"/>
                <w:shd w:val="clear" w:color="auto" w:fill="FFFFFF"/>
                <w:lang w:val="en-AU"/>
              </w:rPr>
              <w:t xml:space="preserve"> (SSI) overall (19.5%)</w:t>
            </w:r>
            <w:r>
              <w:rPr>
                <w:color w:val="333333"/>
                <w:shd w:val="clear" w:color="auto" w:fill="FFFFFF"/>
                <w:lang w:val="en-AU"/>
              </w:rPr>
              <w:t>.</w:t>
            </w:r>
          </w:p>
          <w:p w:rsidR="00594E21" w:rsidRDefault="00594E21" w:rsidP="00F40E15">
            <w:pPr>
              <w:rPr>
                <w:color w:val="333333"/>
                <w:shd w:val="clear" w:color="auto" w:fill="FFFFFF"/>
                <w:lang w:val="en-AU"/>
              </w:rPr>
            </w:pPr>
            <w:r>
              <w:rPr>
                <w:color w:val="333333"/>
                <w:shd w:val="clear" w:color="auto" w:fill="FFFFFF"/>
                <w:lang w:val="en-AU"/>
              </w:rPr>
              <w:t>The authors also report that “</w:t>
            </w:r>
            <w:r w:rsidRPr="009E0D91">
              <w:rPr>
                <w:color w:val="333333"/>
                <w:shd w:val="clear" w:color="auto" w:fill="FFFFFF"/>
                <w:lang w:val="en-AU"/>
              </w:rPr>
              <w:t>Only 2.3% of patients were readmitted for the same complication they had experienced during their index hospitalization. Only 3.3% of patients readmitted for SSIs had experienced an SSI during their index hospitalization. There was no time pattern for readmission, and early (≤7 days postdischarge) and late (&gt;7 days postdischarge) readmissions were associated with the same 3 most common reasons: SSI, ileus or obstruction, and bleeding.</w:t>
            </w:r>
            <w:r>
              <w:rPr>
                <w:color w:val="333333"/>
                <w:shd w:val="clear" w:color="auto" w:fill="FFFFFF"/>
                <w:lang w:val="en-AU"/>
              </w:rPr>
              <w:t>”</w:t>
            </w:r>
          </w:p>
          <w:p w:rsidR="00594E21" w:rsidRPr="00255EF8" w:rsidRDefault="00594E21" w:rsidP="00F40E15">
            <w:pPr>
              <w:rPr>
                <w:color w:val="333333"/>
                <w:shd w:val="clear" w:color="auto" w:fill="FFFFFF"/>
                <w:lang w:val="en-AU"/>
              </w:rPr>
            </w:pPr>
            <w:r>
              <w:rPr>
                <w:color w:val="333333"/>
                <w:shd w:val="clear" w:color="auto" w:fill="FFFFFF"/>
                <w:lang w:val="en-AU"/>
              </w:rPr>
              <w:t>Among the conclusions they draw is that “</w:t>
            </w:r>
            <w:r w:rsidRPr="009E0D91">
              <w:rPr>
                <w:color w:val="333333"/>
                <w:shd w:val="clear" w:color="auto" w:fill="FFFFFF"/>
                <w:lang w:val="en-AU"/>
              </w:rPr>
              <w:t>readmissions after surgery are a measure of postdischarge complications</w:t>
            </w:r>
            <w:r>
              <w:rPr>
                <w:color w:val="333333"/>
                <w:shd w:val="clear" w:color="auto" w:fill="FFFFFF"/>
                <w:lang w:val="en-AU"/>
              </w:rPr>
              <w:t>”.</w:t>
            </w:r>
          </w:p>
        </w:tc>
      </w:tr>
    </w:tbl>
    <w:p w:rsidR="00594E21" w:rsidRDefault="00594E21" w:rsidP="00594E21">
      <w:pPr>
        <w:keepLines/>
        <w:autoSpaceDE w:val="0"/>
        <w:autoSpaceDN w:val="0"/>
        <w:adjustRightInd w:val="0"/>
        <w:rPr>
          <w:lang w:val="en-AU"/>
        </w:rPr>
      </w:pPr>
    </w:p>
    <w:p w:rsidR="00594E21" w:rsidRPr="001348B5" w:rsidRDefault="00594E21" w:rsidP="00594E21">
      <w:pPr>
        <w:keepNext/>
        <w:keepLines/>
        <w:autoSpaceDE w:val="0"/>
        <w:autoSpaceDN w:val="0"/>
        <w:adjustRightInd w:val="0"/>
        <w:rPr>
          <w:i/>
          <w:lang w:val="en-AU"/>
        </w:rPr>
      </w:pPr>
      <w:r w:rsidRPr="001348B5">
        <w:rPr>
          <w:i/>
          <w:lang w:val="en-AU"/>
        </w:rPr>
        <w:t>Association of hospital participation in a quality reporting program with surgical outcomes and expenditures for Medicare beneficiaries</w:t>
      </w:r>
    </w:p>
    <w:p w:rsidR="00594E21" w:rsidRDefault="00594E21" w:rsidP="00594E21">
      <w:pPr>
        <w:keepNext/>
        <w:keepLines/>
        <w:autoSpaceDE w:val="0"/>
        <w:autoSpaceDN w:val="0"/>
        <w:adjustRightInd w:val="0"/>
        <w:rPr>
          <w:lang w:val="en-AU"/>
        </w:rPr>
      </w:pPr>
      <w:r w:rsidRPr="001348B5">
        <w:rPr>
          <w:lang w:val="en-AU"/>
        </w:rPr>
        <w:t>Osborne NH, Nicholas LH, Ryan AM, Thumma JR, Dimick JB</w:t>
      </w:r>
    </w:p>
    <w:p w:rsidR="00594E21" w:rsidRPr="00255EF8" w:rsidRDefault="00594E21" w:rsidP="00594E21">
      <w:pPr>
        <w:keepNext/>
        <w:keepLines/>
        <w:autoSpaceDE w:val="0"/>
        <w:autoSpaceDN w:val="0"/>
        <w:adjustRightInd w:val="0"/>
        <w:rPr>
          <w:lang w:val="en-AU"/>
        </w:rPr>
      </w:pPr>
      <w:proofErr w:type="gramStart"/>
      <w:r w:rsidRPr="001348B5">
        <w:rPr>
          <w:lang w:val="en-AU"/>
        </w:rPr>
        <w:t>Journal of the American Medical Association.</w:t>
      </w:r>
      <w:proofErr w:type="gramEnd"/>
      <w:r w:rsidRPr="001348B5">
        <w:rPr>
          <w:lang w:val="en-AU"/>
        </w:rPr>
        <w:t xml:space="preserve"> 2015</w:t>
      </w:r>
      <w:proofErr w:type="gramStart"/>
      <w:r w:rsidRPr="001348B5">
        <w:rPr>
          <w:lang w:val="en-AU"/>
        </w:rPr>
        <w:t>;313</w:t>
      </w:r>
      <w:proofErr w:type="gramEnd"/>
      <w:r w:rsidRPr="001348B5">
        <w:rPr>
          <w:lang w:val="en-AU"/>
        </w:rPr>
        <w:t>(5):496-504.</w:t>
      </w:r>
    </w:p>
    <w:tbl>
      <w:tblPr>
        <w:tblStyle w:val="TableGrid"/>
        <w:tblW w:w="0" w:type="auto"/>
        <w:tblInd w:w="288" w:type="dxa"/>
        <w:tblLayout w:type="fixed"/>
        <w:tblLook w:val="01E0" w:firstRow="1" w:lastRow="1" w:firstColumn="1" w:lastColumn="1" w:noHBand="0" w:noVBand="0"/>
      </w:tblPr>
      <w:tblGrid>
        <w:gridCol w:w="1080"/>
        <w:gridCol w:w="8280"/>
      </w:tblGrid>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Pr="00255EF8" w:rsidRDefault="0053214B" w:rsidP="00F40E15">
            <w:pPr>
              <w:rPr>
                <w:lang w:val="en-AU"/>
              </w:rPr>
            </w:pPr>
            <w:hyperlink r:id="rId18" w:history="1">
              <w:r w:rsidR="00594E21" w:rsidRPr="00BF28CA">
                <w:rPr>
                  <w:rStyle w:val="Hyperlink"/>
                  <w:lang w:val="en-AU"/>
                </w:rPr>
                <w:t>http://dx.doi.org/10.1001/jama.2015.25</w:t>
              </w:r>
            </w:hyperlink>
          </w:p>
        </w:tc>
      </w:tr>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Default="00594E21" w:rsidP="00F40E15">
            <w:pPr>
              <w:rPr>
                <w:color w:val="333333"/>
                <w:shd w:val="clear" w:color="auto" w:fill="FFFFFF"/>
                <w:lang w:val="en-AU"/>
              </w:rPr>
            </w:pPr>
            <w:r>
              <w:rPr>
                <w:color w:val="333333"/>
                <w:shd w:val="clear" w:color="auto" w:fill="FFFFFF"/>
                <w:lang w:val="en-AU"/>
              </w:rPr>
              <w:t xml:space="preserve">Paper reporting on a study using 9 years of (US) Medicare data </w:t>
            </w:r>
            <w:r w:rsidRPr="00B10466">
              <w:rPr>
                <w:color w:val="333333"/>
                <w:shd w:val="clear" w:color="auto" w:fill="FFFFFF"/>
                <w:lang w:val="en-AU"/>
              </w:rPr>
              <w:t>to examine differences in surgical outcomes between hospitals participating in the National Surgical Quality Improvement Program (NSQIP) and non</w:t>
            </w:r>
            <w:r>
              <w:rPr>
                <w:color w:val="333333"/>
                <w:shd w:val="clear" w:color="auto" w:fill="FFFFFF"/>
                <w:lang w:val="en-AU"/>
              </w:rPr>
              <w:t>-</w:t>
            </w:r>
            <w:r w:rsidRPr="00B10466">
              <w:rPr>
                <w:color w:val="333333"/>
                <w:shd w:val="clear" w:color="auto" w:fill="FFFFFF"/>
                <w:lang w:val="en-AU"/>
              </w:rPr>
              <w:t>participating hospitals</w:t>
            </w:r>
            <w:r>
              <w:rPr>
                <w:color w:val="333333"/>
                <w:shd w:val="clear" w:color="auto" w:fill="FFFFFF"/>
                <w:lang w:val="en-AU"/>
              </w:rPr>
              <w:t xml:space="preserve">. </w:t>
            </w:r>
          </w:p>
          <w:p w:rsidR="00594E21" w:rsidRDefault="00594E21" w:rsidP="00F40E15">
            <w:pPr>
              <w:rPr>
                <w:color w:val="333333"/>
                <w:shd w:val="clear" w:color="auto" w:fill="FFFFFF"/>
                <w:lang w:val="en-AU"/>
              </w:rPr>
            </w:pPr>
            <w:r>
              <w:rPr>
                <w:color w:val="333333"/>
                <w:shd w:val="clear" w:color="auto" w:fill="FFFFFF"/>
                <w:lang w:val="en-AU"/>
              </w:rPr>
              <w:t xml:space="preserve">The data set covered </w:t>
            </w:r>
            <w:r w:rsidRPr="00B10466">
              <w:rPr>
                <w:color w:val="333333"/>
                <w:shd w:val="clear" w:color="auto" w:fill="FFFFFF"/>
                <w:lang w:val="en-AU"/>
              </w:rPr>
              <w:t>1 226 479 patients undergoing general and vascular surgery at 263 hospitals participating in NSQIP and 526 non</w:t>
            </w:r>
            <w:r>
              <w:rPr>
                <w:color w:val="333333"/>
                <w:shd w:val="clear" w:color="auto" w:fill="FFFFFF"/>
                <w:lang w:val="en-AU"/>
              </w:rPr>
              <w:t>-</w:t>
            </w:r>
            <w:r w:rsidRPr="00B10466">
              <w:rPr>
                <w:color w:val="333333"/>
                <w:shd w:val="clear" w:color="auto" w:fill="FFFFFF"/>
                <w:lang w:val="en-AU"/>
              </w:rPr>
              <w:t>participating hospitals</w:t>
            </w:r>
            <w:r>
              <w:rPr>
                <w:color w:val="333333"/>
                <w:shd w:val="clear" w:color="auto" w:fill="FFFFFF"/>
                <w:lang w:val="en-AU"/>
              </w:rPr>
              <w:t>. The study looked at t</w:t>
            </w:r>
            <w:r w:rsidRPr="00796225">
              <w:rPr>
                <w:color w:val="333333"/>
                <w:shd w:val="clear" w:color="auto" w:fill="FFFFFF"/>
                <w:lang w:val="en-AU"/>
              </w:rPr>
              <w:t>hirty-day mortality, serious complications, re</w:t>
            </w:r>
            <w:r>
              <w:rPr>
                <w:color w:val="333333"/>
                <w:shd w:val="clear" w:color="auto" w:fill="FFFFFF"/>
                <w:lang w:val="en-AU"/>
              </w:rPr>
              <w:t>-</w:t>
            </w:r>
            <w:r w:rsidRPr="00796225">
              <w:rPr>
                <w:color w:val="333333"/>
                <w:shd w:val="clear" w:color="auto" w:fill="FFFFFF"/>
                <w:lang w:val="en-AU"/>
              </w:rPr>
              <w:t>operation, and readmission within 30 days.</w:t>
            </w:r>
          </w:p>
          <w:p w:rsidR="00594E21" w:rsidRDefault="00594E21" w:rsidP="00F40E15">
            <w:pPr>
              <w:rPr>
                <w:color w:val="333333"/>
                <w:shd w:val="clear" w:color="auto" w:fill="FFFFFF"/>
                <w:lang w:val="en-AU"/>
              </w:rPr>
            </w:pPr>
            <w:r>
              <w:rPr>
                <w:color w:val="333333"/>
                <w:shd w:val="clear" w:color="auto" w:fill="FFFFFF"/>
                <w:lang w:val="en-AU"/>
              </w:rPr>
              <w:t xml:space="preserve">While they report finding </w:t>
            </w:r>
            <w:r w:rsidRPr="00B10466">
              <w:rPr>
                <w:color w:val="333333"/>
                <w:shd w:val="clear" w:color="auto" w:fill="FFFFFF"/>
                <w:lang w:val="en-AU"/>
              </w:rPr>
              <w:t xml:space="preserve">no statistically significant improvements in </w:t>
            </w:r>
            <w:r>
              <w:rPr>
                <w:color w:val="333333"/>
                <w:shd w:val="clear" w:color="auto" w:fill="FFFFFF"/>
                <w:lang w:val="en-AU"/>
              </w:rPr>
              <w:t xml:space="preserve">the selected </w:t>
            </w:r>
            <w:r w:rsidRPr="00B10466">
              <w:rPr>
                <w:color w:val="333333"/>
                <w:shd w:val="clear" w:color="auto" w:fill="FFFFFF"/>
                <w:lang w:val="en-AU"/>
              </w:rPr>
              <w:t>outcomes at 1, 2, or 3 years after (vs before) enrolment in NSQIP</w:t>
            </w:r>
            <w:r>
              <w:rPr>
                <w:color w:val="333333"/>
                <w:shd w:val="clear" w:color="auto" w:fill="FFFFFF"/>
                <w:lang w:val="en-AU"/>
              </w:rPr>
              <w:t>, the authors also concluded that “</w:t>
            </w:r>
            <w:r w:rsidRPr="00796225">
              <w:rPr>
                <w:color w:val="333333"/>
                <w:shd w:val="clear" w:color="auto" w:fill="FFFFFF"/>
                <w:lang w:val="en-AU"/>
              </w:rPr>
              <w:t>hospitals had progressively better surgical outcomes but enrollment in a national quality reporting program was not associated with the improved outcomes or lower Medicare payments among surgical patients. Feedback on outcomes alone may not be sufficient to improve surgical outcomes.</w:t>
            </w:r>
            <w:r>
              <w:rPr>
                <w:color w:val="333333"/>
                <w:shd w:val="clear" w:color="auto" w:fill="FFFFFF"/>
                <w:lang w:val="en-AU"/>
              </w:rPr>
              <w:t>’</w:t>
            </w:r>
          </w:p>
          <w:p w:rsidR="00594E21" w:rsidRPr="00255EF8" w:rsidRDefault="00594E21" w:rsidP="00F40E15">
            <w:pPr>
              <w:rPr>
                <w:color w:val="333333"/>
                <w:shd w:val="clear" w:color="auto" w:fill="FFFFFF"/>
                <w:lang w:val="en-AU"/>
              </w:rPr>
            </w:pPr>
            <w:r>
              <w:rPr>
                <w:color w:val="333333"/>
                <w:shd w:val="clear" w:color="auto" w:fill="FFFFFF"/>
                <w:lang w:val="en-AU"/>
              </w:rPr>
              <w:t xml:space="preserve">In a </w:t>
            </w:r>
            <w:hyperlink r:id="rId19" w:history="1">
              <w:r w:rsidRPr="006726E6">
                <w:rPr>
                  <w:rStyle w:val="Hyperlink"/>
                  <w:shd w:val="clear" w:color="auto" w:fill="FFFFFF"/>
                  <w:lang w:val="en-AU"/>
                </w:rPr>
                <w:t>related editorial</w:t>
              </w:r>
            </w:hyperlink>
            <w:r>
              <w:rPr>
                <w:color w:val="333333"/>
                <w:shd w:val="clear" w:color="auto" w:fill="FFFFFF"/>
                <w:lang w:val="en-AU"/>
              </w:rPr>
              <w:t xml:space="preserve"> in the same issue of </w:t>
            </w:r>
            <w:r w:rsidRPr="006726E6">
              <w:rPr>
                <w:i/>
                <w:color w:val="333333"/>
                <w:shd w:val="clear" w:color="auto" w:fill="FFFFFF"/>
                <w:lang w:val="en-AU"/>
              </w:rPr>
              <w:t>JAMA</w:t>
            </w:r>
            <w:r>
              <w:rPr>
                <w:color w:val="333333"/>
                <w:shd w:val="clear" w:color="auto" w:fill="FFFFFF"/>
                <w:lang w:val="en-AU"/>
              </w:rPr>
              <w:t>, Don Berwick notes that “</w:t>
            </w:r>
            <w:r w:rsidRPr="00796225">
              <w:rPr>
                <w:color w:val="333333"/>
                <w:shd w:val="clear" w:color="auto" w:fill="FFFFFF"/>
                <w:lang w:val="en-AU"/>
              </w:rPr>
              <w:t xml:space="preserve">The most likely explanation </w:t>
            </w:r>
            <w:r>
              <w:rPr>
                <w:color w:val="333333"/>
                <w:shd w:val="clear" w:color="auto" w:fill="FFFFFF"/>
                <w:lang w:val="en-AU"/>
              </w:rPr>
              <w:t>…</w:t>
            </w:r>
            <w:r w:rsidRPr="00796225">
              <w:rPr>
                <w:color w:val="333333"/>
                <w:shd w:val="clear" w:color="auto" w:fill="FFFFFF"/>
                <w:lang w:val="en-AU"/>
              </w:rPr>
              <w:t>is that end-results information, although necessary for improvement, is not sufficient, and that the skills necessary to make effective changes in processes and cultures do not yet pervade US hospitals, to say the least.</w:t>
            </w:r>
            <w:r>
              <w:rPr>
                <w:color w:val="333333"/>
                <w:shd w:val="clear" w:color="auto" w:fill="FFFFFF"/>
                <w:lang w:val="en-AU"/>
              </w:rPr>
              <w:t>” He continues, noting that “</w:t>
            </w:r>
            <w:r w:rsidRPr="00796225">
              <w:rPr>
                <w:b/>
                <w:color w:val="333333"/>
                <w:shd w:val="clear" w:color="auto" w:fill="FFFFFF"/>
                <w:lang w:val="en-AU"/>
              </w:rPr>
              <w:t>measurement, alone, is not enough for improvement</w:t>
            </w:r>
            <w:r w:rsidRPr="00796225">
              <w:rPr>
                <w:color w:val="333333"/>
                <w:shd w:val="clear" w:color="auto" w:fill="FFFFFF"/>
                <w:lang w:val="en-AU"/>
              </w:rPr>
              <w:t xml:space="preserve">. As an African proverb says, </w:t>
            </w:r>
            <w:r>
              <w:rPr>
                <w:color w:val="333333"/>
                <w:shd w:val="clear" w:color="auto" w:fill="FFFFFF"/>
                <w:lang w:val="en-AU"/>
              </w:rPr>
              <w:t>‘</w:t>
            </w:r>
            <w:r w:rsidRPr="00796225">
              <w:rPr>
                <w:color w:val="333333"/>
                <w:shd w:val="clear" w:color="auto" w:fill="FFFFFF"/>
                <w:lang w:val="en-AU"/>
              </w:rPr>
              <w:t>Weighing a pig does not make the pig fatter.</w:t>
            </w:r>
            <w:r>
              <w:rPr>
                <w:color w:val="333333"/>
                <w:shd w:val="clear" w:color="auto" w:fill="FFFFFF"/>
                <w:lang w:val="en-AU"/>
              </w:rPr>
              <w:t>’”</w:t>
            </w:r>
          </w:p>
        </w:tc>
      </w:tr>
    </w:tbl>
    <w:p w:rsidR="00594E21" w:rsidRPr="00594E21" w:rsidRDefault="00594E21" w:rsidP="00594E21">
      <w:pPr>
        <w:keepNext/>
        <w:keepLines/>
        <w:autoSpaceDE w:val="0"/>
        <w:autoSpaceDN w:val="0"/>
        <w:adjustRightInd w:val="0"/>
        <w:rPr>
          <w:i/>
          <w:lang w:val="en-AU"/>
        </w:rPr>
      </w:pPr>
      <w:r w:rsidRPr="00594E21">
        <w:rPr>
          <w:i/>
          <w:lang w:val="en-AU"/>
        </w:rPr>
        <w:lastRenderedPageBreak/>
        <w:t>An overview of the use and implementation of checklists in surgical specialities – A systematic review</w:t>
      </w:r>
    </w:p>
    <w:p w:rsidR="00594E21" w:rsidRDefault="00594E21" w:rsidP="00594E21">
      <w:pPr>
        <w:keepNext/>
        <w:keepLines/>
        <w:autoSpaceDE w:val="0"/>
        <w:autoSpaceDN w:val="0"/>
        <w:adjustRightInd w:val="0"/>
        <w:rPr>
          <w:lang w:val="en-AU"/>
        </w:rPr>
      </w:pPr>
      <w:r w:rsidRPr="00594E21">
        <w:rPr>
          <w:lang w:val="en-AU"/>
        </w:rPr>
        <w:t>Patel J, Ahmed K, Guru KA, Khan F, Marsh H, Shamim Khan M, et al</w:t>
      </w:r>
    </w:p>
    <w:p w:rsidR="00594E21" w:rsidRDefault="00594E21" w:rsidP="00594E21">
      <w:pPr>
        <w:keepNext/>
        <w:keepLines/>
        <w:autoSpaceDE w:val="0"/>
        <w:autoSpaceDN w:val="0"/>
        <w:adjustRightInd w:val="0"/>
        <w:rPr>
          <w:lang w:val="en-AU"/>
        </w:rPr>
      </w:pPr>
      <w:proofErr w:type="gramStart"/>
      <w:r w:rsidRPr="00594E21">
        <w:rPr>
          <w:lang w:val="en-AU"/>
        </w:rPr>
        <w:t>International Journal of Surgery.</w:t>
      </w:r>
      <w:proofErr w:type="gramEnd"/>
      <w:r w:rsidRPr="00594E21">
        <w:rPr>
          <w:lang w:val="en-AU"/>
        </w:rPr>
        <w:t xml:space="preserve"> 2014</w:t>
      </w:r>
      <w:proofErr w:type="gramStart"/>
      <w:r w:rsidRPr="00594E21">
        <w:rPr>
          <w:lang w:val="en-AU"/>
        </w:rPr>
        <w:t>;12</w:t>
      </w:r>
      <w:proofErr w:type="gramEnd"/>
      <w:r w:rsidRPr="00594E21">
        <w:rPr>
          <w:lang w:val="en-AU"/>
        </w:rPr>
        <w:t>(12):1317-23.</w:t>
      </w:r>
    </w:p>
    <w:p w:rsidR="00594E21" w:rsidRDefault="00594E21" w:rsidP="00594E21">
      <w:pPr>
        <w:keepNext/>
        <w:keepLines/>
        <w:autoSpaceDE w:val="0"/>
        <w:autoSpaceDN w:val="0"/>
        <w:adjustRightInd w:val="0"/>
        <w:rPr>
          <w:lang w:val="en-AU"/>
        </w:rPr>
      </w:pPr>
    </w:p>
    <w:p w:rsidR="00594E21" w:rsidRPr="00B03925" w:rsidRDefault="00594E21" w:rsidP="00594E21">
      <w:pPr>
        <w:keepNext/>
        <w:keepLines/>
        <w:autoSpaceDE w:val="0"/>
        <w:autoSpaceDN w:val="0"/>
        <w:adjustRightInd w:val="0"/>
        <w:rPr>
          <w:i/>
          <w:lang w:val="en-AU"/>
        </w:rPr>
      </w:pPr>
      <w:r w:rsidRPr="00B03925">
        <w:rPr>
          <w:i/>
          <w:lang w:val="en-AU"/>
        </w:rPr>
        <w:t>Point prevalence of surgical checklist use in Europe: relationship with hospital mortality</w:t>
      </w:r>
    </w:p>
    <w:p w:rsidR="00594E21" w:rsidRDefault="00594E21" w:rsidP="00594E21">
      <w:pPr>
        <w:keepNext/>
        <w:keepLines/>
        <w:autoSpaceDE w:val="0"/>
        <w:autoSpaceDN w:val="0"/>
        <w:adjustRightInd w:val="0"/>
        <w:rPr>
          <w:lang w:val="en-AU"/>
        </w:rPr>
      </w:pPr>
      <w:r w:rsidRPr="00B03925">
        <w:rPr>
          <w:lang w:val="en-AU"/>
        </w:rPr>
        <w:t xml:space="preserve">Jammer I, Ahmad T, Aldecoa C, Koulenti D, Goranović T, Grigoras I, et al. </w:t>
      </w:r>
    </w:p>
    <w:p w:rsidR="00594E21" w:rsidRPr="00255EF8" w:rsidRDefault="00594E21" w:rsidP="00594E21">
      <w:pPr>
        <w:keepNext/>
        <w:keepLines/>
        <w:autoSpaceDE w:val="0"/>
        <w:autoSpaceDN w:val="0"/>
        <w:adjustRightInd w:val="0"/>
        <w:rPr>
          <w:lang w:val="en-AU"/>
        </w:rPr>
      </w:pPr>
      <w:proofErr w:type="gramStart"/>
      <w:r w:rsidRPr="00B03925">
        <w:rPr>
          <w:lang w:val="en-AU"/>
        </w:rPr>
        <w:t>British Journal of Anaesthesia.</w:t>
      </w:r>
      <w:proofErr w:type="gramEnd"/>
      <w:r w:rsidRPr="00B03925">
        <w:rPr>
          <w:lang w:val="en-AU"/>
        </w:rPr>
        <w:t xml:space="preserve"> </w:t>
      </w:r>
      <w:proofErr w:type="gramStart"/>
      <w:r w:rsidRPr="00B03925">
        <w:rPr>
          <w:lang w:val="en-AU"/>
        </w:rPr>
        <w:t xml:space="preserve">2015 </w:t>
      </w:r>
      <w:r>
        <w:rPr>
          <w:lang w:val="en-AU"/>
        </w:rPr>
        <w:t>[epub]</w:t>
      </w:r>
      <w:r w:rsidRPr="00B0392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Default="00594E21" w:rsidP="00F40E15">
            <w:pPr>
              <w:rPr>
                <w:lang w:val="en-AU"/>
              </w:rPr>
            </w:pPr>
            <w:r>
              <w:rPr>
                <w:lang w:val="en-AU"/>
              </w:rPr>
              <w:t xml:space="preserve">Patel et al </w:t>
            </w:r>
            <w:hyperlink r:id="rId20" w:history="1">
              <w:r w:rsidRPr="00397C8F">
                <w:rPr>
                  <w:rStyle w:val="Hyperlink"/>
                  <w:lang w:val="en-AU"/>
                </w:rPr>
                <w:t>http://dx.doi.org/10.1016/j.ijsu.2014.10.031</w:t>
              </w:r>
            </w:hyperlink>
          </w:p>
          <w:p w:rsidR="00594E21" w:rsidRPr="00255EF8" w:rsidRDefault="00594E21" w:rsidP="00F40E15">
            <w:pPr>
              <w:rPr>
                <w:lang w:val="en-AU"/>
              </w:rPr>
            </w:pPr>
            <w:r>
              <w:rPr>
                <w:lang w:val="en-AU"/>
              </w:rPr>
              <w:t xml:space="preserve">Jammer et al </w:t>
            </w:r>
            <w:hyperlink r:id="rId21" w:history="1">
              <w:r w:rsidRPr="00397C8F">
                <w:rPr>
                  <w:rStyle w:val="Hyperlink"/>
                  <w:lang w:val="en-AU"/>
                </w:rPr>
                <w:t>http://dx.doi.org/10.1093/bja/aeu460</w:t>
              </w:r>
            </w:hyperlink>
          </w:p>
        </w:tc>
      </w:tr>
      <w:tr w:rsidR="00594E21"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594E21" w:rsidRPr="00255EF8" w:rsidRDefault="00594E21" w:rsidP="00F40E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4E21" w:rsidRDefault="00594E21" w:rsidP="00F40E15">
            <w:pPr>
              <w:rPr>
                <w:color w:val="333333"/>
                <w:shd w:val="clear" w:color="auto" w:fill="FFFFFF"/>
                <w:lang w:val="en-AU"/>
              </w:rPr>
            </w:pPr>
            <w:r>
              <w:rPr>
                <w:color w:val="333333"/>
                <w:shd w:val="clear" w:color="auto" w:fill="FFFFFF"/>
                <w:lang w:val="en-AU"/>
              </w:rPr>
              <w:t xml:space="preserve">A pair of papers looking at the uptake of the surgical checklists, one by a systematic review, the other </w:t>
            </w:r>
            <w:proofErr w:type="gramStart"/>
            <w:r>
              <w:rPr>
                <w:color w:val="333333"/>
                <w:shd w:val="clear" w:color="auto" w:fill="FFFFFF"/>
                <w:lang w:val="en-AU"/>
              </w:rPr>
              <w:t>a point</w:t>
            </w:r>
            <w:proofErr w:type="gramEnd"/>
            <w:r>
              <w:rPr>
                <w:color w:val="333333"/>
                <w:shd w:val="clear" w:color="auto" w:fill="FFFFFF"/>
                <w:lang w:val="en-AU"/>
              </w:rPr>
              <w:t xml:space="preserve"> prevalence study.</w:t>
            </w:r>
          </w:p>
          <w:p w:rsidR="00594E21" w:rsidRDefault="00594E21" w:rsidP="00F40E15">
            <w:pPr>
              <w:rPr>
                <w:color w:val="333333"/>
                <w:shd w:val="clear" w:color="auto" w:fill="FFFFFF"/>
                <w:lang w:val="en-AU"/>
              </w:rPr>
            </w:pPr>
            <w:r>
              <w:rPr>
                <w:color w:val="333333"/>
                <w:shd w:val="clear" w:color="auto" w:fill="FFFFFF"/>
                <w:lang w:val="en-AU"/>
              </w:rPr>
              <w:t>The systematic review examined English language literature and focused on 16 studies. From their review the authors conclude that “</w:t>
            </w:r>
            <w:r w:rsidRPr="00594E21">
              <w:rPr>
                <w:b/>
                <w:color w:val="333333"/>
                <w:shd w:val="clear" w:color="auto" w:fill="FFFFFF"/>
                <w:lang w:val="en-AU"/>
              </w:rPr>
              <w:t>Surgical checklists have been shown to significantly improve patient outcomes subsequent to surgery</w:t>
            </w:r>
            <w:r w:rsidRPr="00594E21">
              <w:rPr>
                <w:color w:val="333333"/>
                <w:shd w:val="clear" w:color="auto" w:fill="FFFFFF"/>
                <w:lang w:val="en-AU"/>
              </w:rPr>
              <w:t>, and therefore their use is being widely encouraged and accepted. Continual feedback could be given to maintain high checklist compliance, and thus high patient safety</w:t>
            </w:r>
            <w:r>
              <w:rPr>
                <w:color w:val="333333"/>
                <w:shd w:val="clear" w:color="auto" w:fill="FFFFFF"/>
                <w:lang w:val="en-AU"/>
              </w:rPr>
              <w:t>.”</w:t>
            </w:r>
          </w:p>
          <w:p w:rsidR="00594E21" w:rsidRPr="00255EF8" w:rsidRDefault="00594E21" w:rsidP="00F40E15">
            <w:pPr>
              <w:rPr>
                <w:color w:val="333333"/>
                <w:shd w:val="clear" w:color="auto" w:fill="FFFFFF"/>
                <w:lang w:val="en-AU"/>
              </w:rPr>
            </w:pPr>
            <w:r>
              <w:rPr>
                <w:color w:val="333333"/>
                <w:shd w:val="clear" w:color="auto" w:fill="FFFFFF"/>
                <w:lang w:val="en-AU"/>
              </w:rPr>
              <w:t xml:space="preserve">The point prevalence study was a </w:t>
            </w:r>
            <w:r w:rsidRPr="00B03925">
              <w:rPr>
                <w:color w:val="333333"/>
                <w:shd w:val="clear" w:color="auto" w:fill="FFFFFF"/>
                <w:lang w:val="en-AU"/>
              </w:rPr>
              <w:t>retrospective analysis of data describing surgical checklist use from a 7 day cohort study of surgical outcomes in 28 European nations (European Surgical Outcomes Study, EuSOS)</w:t>
            </w:r>
            <w:r>
              <w:rPr>
                <w:color w:val="333333"/>
                <w:shd w:val="clear" w:color="auto" w:fill="FFFFFF"/>
                <w:lang w:val="en-AU"/>
              </w:rPr>
              <w:t xml:space="preserve"> that covered 45,</w:t>
            </w:r>
            <w:r w:rsidRPr="00B03925">
              <w:rPr>
                <w:color w:val="333333"/>
                <w:shd w:val="clear" w:color="auto" w:fill="FFFFFF"/>
                <w:lang w:val="en-AU"/>
              </w:rPr>
              <w:t>591 patients from 426 hospitals</w:t>
            </w:r>
            <w:r>
              <w:rPr>
                <w:color w:val="333333"/>
                <w:shd w:val="clear" w:color="auto" w:fill="FFFFFF"/>
                <w:lang w:val="en-AU"/>
              </w:rPr>
              <w:t xml:space="preserve">. </w:t>
            </w:r>
            <w:r w:rsidRPr="00B03925">
              <w:rPr>
                <w:color w:val="333333"/>
                <w:shd w:val="clear" w:color="auto" w:fill="FFFFFF"/>
                <w:lang w:val="en-AU"/>
              </w:rPr>
              <w:t xml:space="preserve">A surgical checklist was used </w:t>
            </w:r>
            <w:r>
              <w:rPr>
                <w:color w:val="333333"/>
                <w:shd w:val="clear" w:color="auto" w:fill="FFFFFF"/>
                <w:lang w:val="en-AU"/>
              </w:rPr>
              <w:t xml:space="preserve">with </w:t>
            </w:r>
            <w:r w:rsidRPr="00B03925">
              <w:rPr>
                <w:color w:val="333333"/>
                <w:shd w:val="clear" w:color="auto" w:fill="FFFFFF"/>
                <w:lang w:val="en-AU"/>
              </w:rPr>
              <w:t xml:space="preserve">67.5% </w:t>
            </w:r>
            <w:r>
              <w:rPr>
                <w:color w:val="333333"/>
                <w:shd w:val="clear" w:color="auto" w:fill="FFFFFF"/>
                <w:lang w:val="en-AU"/>
              </w:rPr>
              <w:t xml:space="preserve">of </w:t>
            </w:r>
            <w:r w:rsidRPr="00B03925">
              <w:rPr>
                <w:color w:val="333333"/>
                <w:shd w:val="clear" w:color="auto" w:fill="FFFFFF"/>
                <w:lang w:val="en-AU"/>
              </w:rPr>
              <w:t>patients, with marked variation across countries (</w:t>
            </w:r>
            <w:r>
              <w:rPr>
                <w:color w:val="333333"/>
                <w:shd w:val="clear" w:color="auto" w:fill="FFFFFF"/>
                <w:lang w:val="en-AU"/>
              </w:rPr>
              <w:t xml:space="preserve">from </w:t>
            </w:r>
            <w:r w:rsidRPr="00B03925">
              <w:rPr>
                <w:color w:val="333333"/>
                <w:shd w:val="clear" w:color="auto" w:fill="FFFFFF"/>
                <w:lang w:val="en-AU"/>
              </w:rPr>
              <w:t>0</w:t>
            </w:r>
            <w:r>
              <w:rPr>
                <w:color w:val="333333"/>
                <w:shd w:val="clear" w:color="auto" w:fill="FFFFFF"/>
                <w:lang w:val="en-AU"/>
              </w:rPr>
              <w:t xml:space="preserve"> to </w:t>
            </w:r>
            <w:r w:rsidRPr="00B03925">
              <w:rPr>
                <w:color w:val="333333"/>
                <w:shd w:val="clear" w:color="auto" w:fill="FFFFFF"/>
                <w:lang w:val="en-AU"/>
              </w:rPr>
              <w:t>99.6% of patients).</w:t>
            </w:r>
            <w:r>
              <w:rPr>
                <w:color w:val="333333"/>
                <w:shd w:val="clear" w:color="auto" w:fill="FFFFFF"/>
                <w:lang w:val="en-AU"/>
              </w:rPr>
              <w:t xml:space="preserve"> The authors report that “</w:t>
            </w:r>
            <w:r w:rsidRPr="00B03925">
              <w:rPr>
                <w:color w:val="333333"/>
                <w:shd w:val="clear" w:color="auto" w:fill="FFFFFF"/>
                <w:lang w:val="en-AU"/>
              </w:rPr>
              <w:t xml:space="preserve">Reported use of a </w:t>
            </w:r>
            <w:r w:rsidRPr="00B03925">
              <w:rPr>
                <w:b/>
                <w:color w:val="333333"/>
                <w:shd w:val="clear" w:color="auto" w:fill="FFFFFF"/>
                <w:lang w:val="en-AU"/>
              </w:rPr>
              <w:t>checklist</w:t>
            </w:r>
            <w:r w:rsidRPr="00B03925">
              <w:rPr>
                <w:color w:val="333333"/>
                <w:shd w:val="clear" w:color="auto" w:fill="FFFFFF"/>
                <w:lang w:val="en-AU"/>
              </w:rPr>
              <w:t xml:space="preserve"> was </w:t>
            </w:r>
            <w:r w:rsidRPr="00B03925">
              <w:rPr>
                <w:b/>
                <w:color w:val="333333"/>
                <w:shd w:val="clear" w:color="auto" w:fill="FFFFFF"/>
                <w:lang w:val="en-AU"/>
              </w:rPr>
              <w:t>associated with lower mortality</w:t>
            </w:r>
            <w:r w:rsidRPr="00B03925">
              <w:rPr>
                <w:color w:val="333333"/>
                <w:shd w:val="clear" w:color="auto" w:fill="FFFFFF"/>
                <w:lang w:val="en-AU"/>
              </w:rPr>
              <w:t>. This observation may represent a protective effect of the surgical checklist itself, or alternatively, may be an indirect indicator of the quality of perioperative care.</w:t>
            </w:r>
            <w:r>
              <w:rPr>
                <w:color w:val="333333"/>
                <w:shd w:val="clear" w:color="auto" w:fill="FFFFFF"/>
                <w:lang w:val="en-AU"/>
              </w:rPr>
              <w:t>”</w:t>
            </w:r>
          </w:p>
        </w:tc>
      </w:tr>
    </w:tbl>
    <w:p w:rsidR="00594E21" w:rsidRDefault="00594E21" w:rsidP="00594E21">
      <w:pPr>
        <w:keepLines/>
        <w:autoSpaceDE w:val="0"/>
        <w:autoSpaceDN w:val="0"/>
        <w:adjustRightInd w:val="0"/>
        <w:rPr>
          <w:lang w:val="en-AU"/>
        </w:rPr>
      </w:pPr>
    </w:p>
    <w:p w:rsidR="002974CE" w:rsidRPr="002974CE" w:rsidRDefault="002974CE" w:rsidP="002974CE">
      <w:pPr>
        <w:keepNext/>
        <w:keepLines/>
        <w:autoSpaceDE w:val="0"/>
        <w:autoSpaceDN w:val="0"/>
        <w:adjustRightInd w:val="0"/>
        <w:rPr>
          <w:i/>
          <w:lang w:val="en-AU"/>
        </w:rPr>
      </w:pPr>
      <w:r w:rsidRPr="002974CE">
        <w:rPr>
          <w:i/>
          <w:lang w:val="en-AU"/>
        </w:rPr>
        <w:t>Clinical safety of England's national programme for IT: A retrospective analysis of all reported safety events 2005 to 2011</w:t>
      </w:r>
    </w:p>
    <w:p w:rsidR="002974CE" w:rsidRDefault="002974CE" w:rsidP="00051C68">
      <w:pPr>
        <w:keepNext/>
        <w:keepLines/>
        <w:autoSpaceDE w:val="0"/>
        <w:autoSpaceDN w:val="0"/>
        <w:adjustRightInd w:val="0"/>
        <w:rPr>
          <w:lang w:val="en-AU"/>
        </w:rPr>
      </w:pPr>
      <w:r w:rsidRPr="002974CE">
        <w:rPr>
          <w:lang w:val="en-AU"/>
        </w:rPr>
        <w:t xml:space="preserve">Magrabi F, Baker M, Sinha I, Ong M-S, Harrison S, Kidd MR, et al. </w:t>
      </w:r>
    </w:p>
    <w:p w:rsidR="00051C68" w:rsidRPr="00255EF8" w:rsidRDefault="002974CE" w:rsidP="00051C68">
      <w:pPr>
        <w:keepNext/>
        <w:keepLines/>
        <w:autoSpaceDE w:val="0"/>
        <w:autoSpaceDN w:val="0"/>
        <w:adjustRightInd w:val="0"/>
        <w:rPr>
          <w:lang w:val="en-AU"/>
        </w:rPr>
      </w:pPr>
      <w:proofErr w:type="gramStart"/>
      <w:r w:rsidRPr="002974CE">
        <w:rPr>
          <w:lang w:val="en-AU"/>
        </w:rPr>
        <w:t>International Journal of Medical Informatics.</w:t>
      </w:r>
      <w:proofErr w:type="gramEnd"/>
      <w:r w:rsidRPr="002974CE">
        <w:rPr>
          <w:lang w:val="en-AU"/>
        </w:rPr>
        <w:t xml:space="preserve"> 2015</w:t>
      </w:r>
      <w:proofErr w:type="gramStart"/>
      <w:r w:rsidRPr="002974CE">
        <w:rPr>
          <w:lang w:val="en-AU"/>
        </w:rPr>
        <w:t>;84</w:t>
      </w:r>
      <w:proofErr w:type="gramEnd"/>
      <w:r w:rsidRPr="002974CE">
        <w:rPr>
          <w:lang w:val="en-AU"/>
        </w:rPr>
        <w:t>(3):198-206.</w:t>
      </w:r>
    </w:p>
    <w:tbl>
      <w:tblPr>
        <w:tblStyle w:val="TableGrid"/>
        <w:tblW w:w="0" w:type="auto"/>
        <w:tblInd w:w="288" w:type="dxa"/>
        <w:tblLayout w:type="fixed"/>
        <w:tblLook w:val="01E0" w:firstRow="1" w:lastRow="1" w:firstColumn="1" w:lastColumn="1" w:noHBand="0" w:noVBand="0"/>
      </w:tblPr>
      <w:tblGrid>
        <w:gridCol w:w="1080"/>
        <w:gridCol w:w="8280"/>
      </w:tblGrid>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51C68" w:rsidRPr="00255EF8" w:rsidRDefault="0053214B" w:rsidP="00973D45">
            <w:pPr>
              <w:rPr>
                <w:lang w:val="en-AU"/>
              </w:rPr>
            </w:pPr>
            <w:hyperlink r:id="rId22" w:history="1">
              <w:r w:rsidR="002974CE" w:rsidRPr="00BF28CA">
                <w:rPr>
                  <w:rStyle w:val="Hyperlink"/>
                  <w:lang w:val="en-AU"/>
                </w:rPr>
                <w:t>http://dx.doi.org/10.1016/j.ijmedinf.2014.12.003</w:t>
              </w:r>
            </w:hyperlink>
          </w:p>
        </w:tc>
      </w:tr>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4249" w:rsidRDefault="002974CE" w:rsidP="00394249">
            <w:pPr>
              <w:rPr>
                <w:color w:val="333333"/>
                <w:shd w:val="clear" w:color="auto" w:fill="FFFFFF"/>
                <w:lang w:val="en-AU"/>
              </w:rPr>
            </w:pPr>
            <w:r>
              <w:rPr>
                <w:color w:val="333333"/>
                <w:shd w:val="clear" w:color="auto" w:fill="FFFFFF"/>
                <w:lang w:val="en-AU"/>
              </w:rPr>
              <w:t xml:space="preserve">This paper from a group of Australian researchers </w:t>
            </w:r>
            <w:r w:rsidR="00394249">
              <w:rPr>
                <w:color w:val="333333"/>
                <w:shd w:val="clear" w:color="auto" w:fill="FFFFFF"/>
                <w:lang w:val="en-AU"/>
              </w:rPr>
              <w:t xml:space="preserve">discusses their retrospective analysis of 850 </w:t>
            </w:r>
            <w:r w:rsidR="00394249" w:rsidRPr="00394249">
              <w:rPr>
                <w:color w:val="333333"/>
                <w:shd w:val="clear" w:color="auto" w:fill="FFFFFF"/>
                <w:lang w:val="en-AU"/>
              </w:rPr>
              <w:t>safety events between September 2005 and November 2011</w:t>
            </w:r>
            <w:r w:rsidR="00394249">
              <w:rPr>
                <w:color w:val="333333"/>
                <w:shd w:val="clear" w:color="auto" w:fill="FFFFFF"/>
                <w:lang w:val="en-AU"/>
              </w:rPr>
              <w:t xml:space="preserve"> that were identified in </w:t>
            </w:r>
            <w:r w:rsidR="00394249" w:rsidRPr="00394249">
              <w:rPr>
                <w:color w:val="333333"/>
                <w:shd w:val="clear" w:color="auto" w:fill="FFFFFF"/>
                <w:lang w:val="en-AU"/>
              </w:rPr>
              <w:t>England's national programme for IT (NPfIT).</w:t>
            </w:r>
          </w:p>
          <w:p w:rsidR="00394249" w:rsidRDefault="00394249" w:rsidP="00394249">
            <w:pPr>
              <w:rPr>
                <w:color w:val="333333"/>
                <w:shd w:val="clear" w:color="auto" w:fill="FFFFFF"/>
                <w:lang w:val="en-AU"/>
              </w:rPr>
            </w:pPr>
            <w:r>
              <w:rPr>
                <w:color w:val="333333"/>
                <w:shd w:val="clear" w:color="auto" w:fill="FFFFFF"/>
                <w:lang w:val="en-AU"/>
              </w:rPr>
              <w:t xml:space="preserve">Of the </w:t>
            </w:r>
            <w:r w:rsidRPr="00394249">
              <w:rPr>
                <w:color w:val="333333"/>
                <w:shd w:val="clear" w:color="auto" w:fill="FFFFFF"/>
                <w:lang w:val="en-AU"/>
              </w:rPr>
              <w:t>850 events,</w:t>
            </w:r>
            <w:r>
              <w:rPr>
                <w:color w:val="333333"/>
                <w:shd w:val="clear" w:color="auto" w:fill="FFFFFF"/>
                <w:lang w:val="en-AU"/>
              </w:rPr>
              <w:t>”</w:t>
            </w:r>
            <w:r w:rsidRPr="00394249">
              <w:rPr>
                <w:color w:val="333333"/>
                <w:shd w:val="clear" w:color="auto" w:fill="FFFFFF"/>
                <w:lang w:val="en-AU"/>
              </w:rPr>
              <w:t xml:space="preserve"> 68% (n = 574) described potentially hazardous circumstances, 24% (n = 205) had an observable impact on care delivery, 4% (n = 36) were a near miss, and 3% (n = 22) were associated with patient harm, including three deaths (0·35%)</w:t>
            </w:r>
            <w:r>
              <w:rPr>
                <w:color w:val="333333"/>
                <w:shd w:val="clear" w:color="auto" w:fill="FFFFFF"/>
                <w:lang w:val="en-AU"/>
              </w:rPr>
              <w:t xml:space="preserve">.” Most events reflected </w:t>
            </w:r>
            <w:r w:rsidRPr="00394249">
              <w:rPr>
                <w:color w:val="333333"/>
                <w:shd w:val="clear" w:color="auto" w:fill="FFFFFF"/>
                <w:lang w:val="en-AU"/>
              </w:rPr>
              <w:t>technical failure</w:t>
            </w:r>
            <w:r>
              <w:rPr>
                <w:color w:val="333333"/>
                <w:shd w:val="clear" w:color="auto" w:fill="FFFFFF"/>
                <w:lang w:val="en-AU"/>
              </w:rPr>
              <w:t>, but those</w:t>
            </w:r>
            <w:r w:rsidRPr="00394249">
              <w:rPr>
                <w:color w:val="333333"/>
                <w:shd w:val="clear" w:color="auto" w:fill="FFFFFF"/>
                <w:lang w:val="en-AU"/>
              </w:rPr>
              <w:t xml:space="preserve"> incidents involving human errors had a higher chance of causing harm to patients. Technical failures affecting 10 or more patients accounted for nearly 25% of events and were more likely to impact care delivery. </w:t>
            </w:r>
          </w:p>
          <w:p w:rsidR="00394249" w:rsidRPr="00255EF8" w:rsidRDefault="00394249" w:rsidP="00394249">
            <w:pPr>
              <w:rPr>
                <w:color w:val="333333"/>
                <w:shd w:val="clear" w:color="auto" w:fill="FFFFFF"/>
                <w:lang w:val="en-AU"/>
              </w:rPr>
            </w:pPr>
            <w:r>
              <w:rPr>
                <w:color w:val="333333"/>
                <w:shd w:val="clear" w:color="auto" w:fill="FFFFFF"/>
                <w:lang w:val="en-AU"/>
              </w:rPr>
              <w:t>The authors conclude that these events “</w:t>
            </w:r>
            <w:r w:rsidRPr="00394249">
              <w:rPr>
                <w:color w:val="333333"/>
                <w:shd w:val="clear" w:color="auto" w:fill="FFFFFF"/>
                <w:lang w:val="en-AU"/>
              </w:rPr>
              <w:t>reinforce that the use of IT does create hazardous circumstances and can lead to patient harm or death. Large-scale patient safety events have the potential to affect many patients and clinicians, and this suggests that addressing them should be a priority for all major IT implementations</w:t>
            </w:r>
            <w:proofErr w:type="gramStart"/>
            <w:r w:rsidRPr="00394249">
              <w:rPr>
                <w:color w:val="333333"/>
                <w:shd w:val="clear" w:color="auto" w:fill="FFFFFF"/>
                <w:lang w:val="en-AU"/>
              </w:rPr>
              <w:t>.</w:t>
            </w:r>
            <w:r>
              <w:rPr>
                <w:color w:val="333333"/>
                <w:shd w:val="clear" w:color="auto" w:fill="FFFFFF"/>
                <w:lang w:val="en-AU"/>
              </w:rPr>
              <w:t>.”</w:t>
            </w:r>
            <w:proofErr w:type="gramEnd"/>
          </w:p>
        </w:tc>
      </w:tr>
    </w:tbl>
    <w:p w:rsidR="00051C68" w:rsidRDefault="00051C68" w:rsidP="00051C68">
      <w:pPr>
        <w:keepLines/>
        <w:autoSpaceDE w:val="0"/>
        <w:autoSpaceDN w:val="0"/>
        <w:adjustRightInd w:val="0"/>
        <w:rPr>
          <w:lang w:val="en-AU"/>
        </w:rPr>
      </w:pPr>
    </w:p>
    <w:p w:rsidR="00394249" w:rsidRDefault="00394249" w:rsidP="00051C68">
      <w:pPr>
        <w:keepLines/>
        <w:autoSpaceDE w:val="0"/>
        <w:autoSpaceDN w:val="0"/>
        <w:adjustRightInd w:val="0"/>
        <w:rPr>
          <w:lang w:val="en-AU"/>
        </w:rPr>
      </w:pPr>
      <w:r w:rsidRPr="00255EF8">
        <w:rPr>
          <w:lang w:val="en-AU"/>
        </w:rPr>
        <w:t>For information on the Commission’s work on</w:t>
      </w:r>
      <w:r>
        <w:rPr>
          <w:lang w:val="en-AU"/>
        </w:rPr>
        <w:t xml:space="preserve"> safety in e-health, see </w:t>
      </w:r>
      <w:hyperlink r:id="rId23" w:history="1">
        <w:r w:rsidRPr="00FB2C43">
          <w:rPr>
            <w:rStyle w:val="Hyperlink"/>
            <w:lang w:val="en-AU"/>
          </w:rPr>
          <w:t>http://www.safetyandquality.gov.au/our-work/safety-in-e-health/</w:t>
        </w:r>
      </w:hyperlink>
      <w:r>
        <w:rPr>
          <w:lang w:val="en-AU"/>
        </w:rPr>
        <w:t xml:space="preserve"> </w:t>
      </w:r>
    </w:p>
    <w:p w:rsidR="00394249" w:rsidRDefault="00394249" w:rsidP="00051C68">
      <w:pPr>
        <w:keepLines/>
        <w:autoSpaceDE w:val="0"/>
        <w:autoSpaceDN w:val="0"/>
        <w:adjustRightInd w:val="0"/>
        <w:rPr>
          <w:lang w:val="en-AU"/>
        </w:rPr>
      </w:pPr>
    </w:p>
    <w:p w:rsidR="00185083" w:rsidRPr="000031FB" w:rsidRDefault="00185083" w:rsidP="00185083">
      <w:pPr>
        <w:keepNext/>
        <w:keepLines/>
        <w:autoSpaceDE w:val="0"/>
        <w:autoSpaceDN w:val="0"/>
        <w:adjustRightInd w:val="0"/>
        <w:rPr>
          <w:i/>
          <w:lang w:val="en-AU"/>
        </w:rPr>
      </w:pPr>
      <w:r w:rsidRPr="000031FB">
        <w:rPr>
          <w:i/>
          <w:lang w:val="en-AU"/>
        </w:rPr>
        <w:lastRenderedPageBreak/>
        <w:t>Trust, temporality and systems: how do patients understand patient safety in primary care? A qualitative study</w:t>
      </w:r>
    </w:p>
    <w:p w:rsidR="00185083" w:rsidRDefault="00185083" w:rsidP="00185083">
      <w:pPr>
        <w:keepNext/>
        <w:keepLines/>
        <w:autoSpaceDE w:val="0"/>
        <w:autoSpaceDN w:val="0"/>
        <w:adjustRightInd w:val="0"/>
        <w:rPr>
          <w:lang w:val="en-AU"/>
        </w:rPr>
      </w:pPr>
      <w:r w:rsidRPr="000031FB">
        <w:rPr>
          <w:lang w:val="en-AU"/>
        </w:rPr>
        <w:t>Rhodes P, Campbell S, Sanders C</w:t>
      </w:r>
    </w:p>
    <w:p w:rsidR="00185083" w:rsidRPr="00255EF8" w:rsidRDefault="00185083" w:rsidP="00185083">
      <w:pPr>
        <w:keepNext/>
        <w:keepLines/>
        <w:autoSpaceDE w:val="0"/>
        <w:autoSpaceDN w:val="0"/>
        <w:adjustRightInd w:val="0"/>
        <w:rPr>
          <w:lang w:val="en-AU"/>
        </w:rPr>
      </w:pPr>
      <w:proofErr w:type="gramStart"/>
      <w:r w:rsidRPr="000031FB">
        <w:rPr>
          <w:lang w:val="en-AU"/>
        </w:rPr>
        <w:t>Health Expectations.</w:t>
      </w:r>
      <w:proofErr w:type="gramEnd"/>
      <w:r w:rsidRPr="000031FB">
        <w:rPr>
          <w:lang w:val="en-AU"/>
        </w:rPr>
        <w:t xml:space="preserve"> </w:t>
      </w:r>
      <w:proofErr w:type="gramStart"/>
      <w:r w:rsidRPr="000031FB">
        <w:rPr>
          <w:lang w:val="en-AU"/>
        </w:rPr>
        <w:t>2015</w:t>
      </w:r>
      <w:r>
        <w:rPr>
          <w:lang w:val="en-AU"/>
        </w:rPr>
        <w:t xml:space="preserve">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85083"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185083" w:rsidRPr="00255EF8" w:rsidRDefault="00185083" w:rsidP="00F40E1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85083" w:rsidRPr="00255EF8" w:rsidRDefault="0053214B" w:rsidP="00F40E15">
            <w:pPr>
              <w:rPr>
                <w:lang w:val="en-AU"/>
              </w:rPr>
            </w:pPr>
            <w:hyperlink r:id="rId24" w:history="1">
              <w:r w:rsidR="00185083" w:rsidRPr="00397C8F">
                <w:rPr>
                  <w:rStyle w:val="Hyperlink"/>
                  <w:lang w:val="en-AU"/>
                </w:rPr>
                <w:t>http://dx.doi.org/10.1111/hex.12342</w:t>
              </w:r>
            </w:hyperlink>
          </w:p>
        </w:tc>
      </w:tr>
      <w:tr w:rsidR="00185083"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185083" w:rsidRPr="00255EF8" w:rsidRDefault="00185083" w:rsidP="00F40E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85083" w:rsidRPr="00255EF8" w:rsidRDefault="00185083" w:rsidP="00F40E15">
            <w:pPr>
              <w:rPr>
                <w:color w:val="333333"/>
                <w:shd w:val="clear" w:color="auto" w:fill="FFFFFF"/>
                <w:lang w:val="en-AU"/>
              </w:rPr>
            </w:pPr>
            <w:r>
              <w:rPr>
                <w:color w:val="333333"/>
                <w:shd w:val="clear" w:color="auto" w:fill="FFFFFF"/>
                <w:lang w:val="en-AU"/>
              </w:rPr>
              <w:t xml:space="preserve">Paper reporting on a study involving general practice patients in northern England and their </w:t>
            </w:r>
            <w:r w:rsidRPr="00692ADA">
              <w:rPr>
                <w:color w:val="333333"/>
                <w:shd w:val="clear" w:color="auto" w:fill="FFFFFF"/>
                <w:lang w:val="en-AU"/>
              </w:rPr>
              <w:t>understandings of safety in primary care</w:t>
            </w:r>
            <w:r>
              <w:rPr>
                <w:color w:val="333333"/>
                <w:shd w:val="clear" w:color="auto" w:fill="FFFFFF"/>
                <w:lang w:val="en-AU"/>
              </w:rPr>
              <w:t xml:space="preserve">.  The 38 patients interviewed attended 19 practices in varying settings. For these patients the focus was not on systems that ensure safety but rather the importance of </w:t>
            </w:r>
            <w:r w:rsidRPr="00692ADA">
              <w:rPr>
                <w:color w:val="333333"/>
                <w:shd w:val="clear" w:color="auto" w:fill="FFFFFF"/>
                <w:lang w:val="en-AU"/>
              </w:rPr>
              <w:t>individual trust</w:t>
            </w:r>
            <w:r>
              <w:rPr>
                <w:color w:val="333333"/>
                <w:shd w:val="clear" w:color="auto" w:fill="FFFFFF"/>
                <w:lang w:val="en-AU"/>
              </w:rPr>
              <w:t>, interactions</w:t>
            </w:r>
            <w:r w:rsidRPr="00692ADA">
              <w:rPr>
                <w:color w:val="333333"/>
                <w:shd w:val="clear" w:color="auto" w:fill="FFFFFF"/>
                <w:lang w:val="en-AU"/>
              </w:rPr>
              <w:t xml:space="preserve"> and relationships</w:t>
            </w:r>
            <w:r>
              <w:rPr>
                <w:color w:val="333333"/>
                <w:shd w:val="clear" w:color="auto" w:fill="FFFFFF"/>
                <w:lang w:val="en-AU"/>
              </w:rPr>
              <w:t xml:space="preserve">. Issues such as </w:t>
            </w:r>
            <w:r w:rsidRPr="00692ADA">
              <w:rPr>
                <w:color w:val="333333"/>
                <w:shd w:val="clear" w:color="auto" w:fill="FFFFFF"/>
                <w:lang w:val="en-AU"/>
              </w:rPr>
              <w:t xml:space="preserve">prompt investigations and referrals </w:t>
            </w:r>
            <w:r>
              <w:rPr>
                <w:color w:val="333333"/>
                <w:shd w:val="clear" w:color="auto" w:fill="FFFFFF"/>
                <w:lang w:val="en-AU"/>
              </w:rPr>
              <w:t xml:space="preserve">were identified by patients, whereas </w:t>
            </w:r>
            <w:r w:rsidRPr="00692ADA">
              <w:rPr>
                <w:color w:val="333333"/>
                <w:shd w:val="clear" w:color="auto" w:fill="FFFFFF"/>
                <w:lang w:val="en-AU"/>
              </w:rPr>
              <w:t xml:space="preserve">none of the patients interviewed </w:t>
            </w:r>
            <w:proofErr w:type="gramStart"/>
            <w:r>
              <w:rPr>
                <w:color w:val="333333"/>
                <w:shd w:val="clear" w:color="auto" w:fill="FFFFFF"/>
                <w:lang w:val="en-AU"/>
              </w:rPr>
              <w:t xml:space="preserve">identified </w:t>
            </w:r>
            <w:r w:rsidRPr="00692ADA">
              <w:rPr>
                <w:color w:val="333333"/>
                <w:shd w:val="clear" w:color="auto" w:fill="FFFFFF"/>
                <w:lang w:val="en-AU"/>
              </w:rPr>
              <w:t xml:space="preserve"> unnecessary</w:t>
            </w:r>
            <w:proofErr w:type="gramEnd"/>
            <w:r w:rsidRPr="00692ADA">
              <w:rPr>
                <w:color w:val="333333"/>
                <w:shd w:val="clear" w:color="auto" w:fill="FFFFFF"/>
                <w:lang w:val="en-AU"/>
              </w:rPr>
              <w:t xml:space="preserve"> care as a concern.</w:t>
            </w:r>
          </w:p>
        </w:tc>
      </w:tr>
    </w:tbl>
    <w:p w:rsidR="00185083" w:rsidRDefault="00185083" w:rsidP="00185083">
      <w:pPr>
        <w:keepLines/>
        <w:autoSpaceDE w:val="0"/>
        <w:autoSpaceDN w:val="0"/>
        <w:adjustRightInd w:val="0"/>
        <w:rPr>
          <w:lang w:val="en-AU"/>
        </w:rPr>
      </w:pPr>
    </w:p>
    <w:p w:rsidR="001348B5" w:rsidRPr="001348B5" w:rsidRDefault="001348B5" w:rsidP="001348B5">
      <w:pPr>
        <w:keepNext/>
        <w:keepLines/>
        <w:autoSpaceDE w:val="0"/>
        <w:autoSpaceDN w:val="0"/>
        <w:adjustRightInd w:val="0"/>
        <w:rPr>
          <w:i/>
          <w:lang w:val="en-AU"/>
        </w:rPr>
      </w:pPr>
      <w:r w:rsidRPr="001348B5">
        <w:rPr>
          <w:i/>
          <w:lang w:val="en-AU"/>
        </w:rPr>
        <w:t>Reducing unacceptable missed doses: pharmacy assistant-supported medicine administration</w:t>
      </w:r>
    </w:p>
    <w:p w:rsidR="001348B5" w:rsidRDefault="001348B5" w:rsidP="00CA0B1F">
      <w:pPr>
        <w:keepNext/>
        <w:keepLines/>
        <w:autoSpaceDE w:val="0"/>
        <w:autoSpaceDN w:val="0"/>
        <w:adjustRightInd w:val="0"/>
        <w:rPr>
          <w:lang w:val="en-AU"/>
        </w:rPr>
      </w:pPr>
      <w:r w:rsidRPr="001348B5">
        <w:rPr>
          <w:lang w:val="en-AU"/>
        </w:rPr>
        <w:t>Baqir W, Jones K, Horsley W, Barrett S, Fisher D, Copeland R, et al</w:t>
      </w:r>
    </w:p>
    <w:p w:rsidR="00CA0B1F" w:rsidRPr="00255EF8" w:rsidRDefault="001348B5" w:rsidP="00CA0B1F">
      <w:pPr>
        <w:keepNext/>
        <w:keepLines/>
        <w:autoSpaceDE w:val="0"/>
        <w:autoSpaceDN w:val="0"/>
        <w:adjustRightInd w:val="0"/>
        <w:rPr>
          <w:lang w:val="en-AU"/>
        </w:rPr>
      </w:pPr>
      <w:proofErr w:type="gramStart"/>
      <w:r w:rsidRPr="001348B5">
        <w:rPr>
          <w:lang w:val="en-AU"/>
        </w:rPr>
        <w:t>International Journal of Pharmacy Practice.</w:t>
      </w:r>
      <w:proofErr w:type="gramEnd"/>
      <w:r w:rsidRPr="001348B5">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CA0B1F" w:rsidRPr="00255EF8" w:rsidTr="00724A64">
        <w:tc>
          <w:tcPr>
            <w:tcW w:w="1080" w:type="dxa"/>
            <w:tcBorders>
              <w:top w:val="single" w:sz="4" w:space="0" w:color="auto"/>
              <w:left w:val="single" w:sz="4" w:space="0" w:color="auto"/>
              <w:bottom w:val="single" w:sz="4" w:space="0" w:color="auto"/>
              <w:right w:val="single" w:sz="4" w:space="0" w:color="auto"/>
            </w:tcBorders>
            <w:vAlign w:val="center"/>
          </w:tcPr>
          <w:p w:rsidR="00CA0B1F" w:rsidRPr="00255EF8" w:rsidRDefault="00CA0B1F" w:rsidP="00724A64">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0B1F" w:rsidRPr="00255EF8" w:rsidRDefault="0053214B" w:rsidP="00724A64">
            <w:pPr>
              <w:rPr>
                <w:lang w:val="en-AU"/>
              </w:rPr>
            </w:pPr>
            <w:hyperlink r:id="rId25" w:history="1">
              <w:r w:rsidR="001348B5" w:rsidRPr="00BF28CA">
                <w:rPr>
                  <w:rStyle w:val="Hyperlink"/>
                  <w:lang w:val="en-AU"/>
                </w:rPr>
                <w:t>http://dx.doi.org/10.1111/ijpp.12172</w:t>
              </w:r>
            </w:hyperlink>
          </w:p>
        </w:tc>
      </w:tr>
      <w:tr w:rsidR="00CA0B1F" w:rsidRPr="00255EF8" w:rsidTr="00724A64">
        <w:tc>
          <w:tcPr>
            <w:tcW w:w="1080" w:type="dxa"/>
            <w:tcBorders>
              <w:top w:val="single" w:sz="4" w:space="0" w:color="auto"/>
              <w:left w:val="single" w:sz="4" w:space="0" w:color="auto"/>
              <w:bottom w:val="single" w:sz="4" w:space="0" w:color="auto"/>
              <w:right w:val="single" w:sz="4" w:space="0" w:color="auto"/>
            </w:tcBorders>
            <w:vAlign w:val="center"/>
          </w:tcPr>
          <w:p w:rsidR="00CA0B1F" w:rsidRPr="00255EF8" w:rsidRDefault="00CA0B1F" w:rsidP="00724A6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0B1F" w:rsidRPr="00255EF8" w:rsidRDefault="001D75F5" w:rsidP="00502BBC">
            <w:pPr>
              <w:rPr>
                <w:color w:val="333333"/>
                <w:shd w:val="clear" w:color="auto" w:fill="FFFFFF"/>
                <w:lang w:val="en-AU"/>
              </w:rPr>
            </w:pPr>
            <w:r>
              <w:rPr>
                <w:color w:val="333333"/>
                <w:shd w:val="clear" w:color="auto" w:fill="FFFFFF"/>
                <w:lang w:val="en-AU"/>
              </w:rPr>
              <w:t>One form of medication error is missed or omitted doses. This paper reports on an intervention where pharmacy assistants supported nurses doing medication rounds. The study involved t</w:t>
            </w:r>
            <w:r w:rsidRPr="001D75F5">
              <w:rPr>
                <w:color w:val="333333"/>
                <w:shd w:val="clear" w:color="auto" w:fill="FFFFFF"/>
                <w:lang w:val="en-AU"/>
              </w:rPr>
              <w:t>hree study groups</w:t>
            </w:r>
            <w:r>
              <w:rPr>
                <w:color w:val="333333"/>
                <w:shd w:val="clear" w:color="auto" w:fill="FFFFFF"/>
                <w:lang w:val="en-AU"/>
              </w:rPr>
              <w:t xml:space="preserve"> (</w:t>
            </w:r>
            <w:r w:rsidRPr="001D75F5">
              <w:rPr>
                <w:color w:val="333333"/>
                <w:shd w:val="clear" w:color="auto" w:fill="FFFFFF"/>
                <w:lang w:val="en-AU"/>
              </w:rPr>
              <w:t>(A) intervention group (PA-supported medicine administration); (B) intra-ward control group; and (C) inter-ward control group</w:t>
            </w:r>
            <w:r>
              <w:rPr>
                <w:color w:val="333333"/>
                <w:shd w:val="clear" w:color="auto" w:fill="FFFFFF"/>
                <w:lang w:val="en-AU"/>
              </w:rPr>
              <w:t>) with d</w:t>
            </w:r>
            <w:r w:rsidRPr="001D75F5">
              <w:rPr>
                <w:color w:val="333333"/>
                <w:shd w:val="clear" w:color="auto" w:fill="FFFFFF"/>
                <w:lang w:val="en-AU"/>
              </w:rPr>
              <w:t>ata collected over 2 weeks (December 2011 and February 2012)</w:t>
            </w:r>
            <w:r>
              <w:rPr>
                <w:color w:val="333333"/>
                <w:shd w:val="clear" w:color="auto" w:fill="FFFFFF"/>
                <w:lang w:val="en-AU"/>
              </w:rPr>
              <w:t xml:space="preserve"> covering 778 patients</w:t>
            </w:r>
            <w:r w:rsidRPr="001D75F5">
              <w:rPr>
                <w:color w:val="333333"/>
                <w:shd w:val="clear" w:color="auto" w:fill="FFFFFF"/>
                <w:lang w:val="en-AU"/>
              </w:rPr>
              <w:t>.</w:t>
            </w:r>
            <w:r>
              <w:rPr>
                <w:color w:val="333333"/>
                <w:shd w:val="clear" w:color="auto" w:fill="FFFFFF"/>
                <w:lang w:val="en-AU"/>
              </w:rPr>
              <w:t xml:space="preserve"> </w:t>
            </w:r>
            <w:r w:rsidR="00502BBC" w:rsidRPr="00502BBC">
              <w:rPr>
                <w:color w:val="333333"/>
                <w:shd w:val="clear" w:color="auto" w:fill="FFFFFF"/>
                <w:lang w:val="en-AU"/>
              </w:rPr>
              <w:t xml:space="preserve">Over the course of </w:t>
            </w:r>
            <w:r w:rsidR="00502BBC">
              <w:rPr>
                <w:color w:val="333333"/>
                <w:shd w:val="clear" w:color="auto" w:fill="FFFFFF"/>
                <w:lang w:val="en-AU"/>
              </w:rPr>
              <w:t xml:space="preserve">the </w:t>
            </w:r>
            <w:r w:rsidR="00502BBC" w:rsidRPr="00502BBC">
              <w:rPr>
                <w:color w:val="333333"/>
                <w:shd w:val="clear" w:color="auto" w:fill="FFFFFF"/>
                <w:lang w:val="en-AU"/>
              </w:rPr>
              <w:t>2 weeks, unacceptable omitted medication doses were observed in 18.5% of patients on the control ward, versus only 1.1% of patients on the wards with pharmacy assistant support.</w:t>
            </w:r>
            <w:r w:rsidR="00502BBC">
              <w:rPr>
                <w:color w:val="333333"/>
                <w:shd w:val="clear" w:color="auto" w:fill="FFFFFF"/>
                <w:lang w:val="en-AU"/>
              </w:rPr>
              <w:t xml:space="preserve"> </w:t>
            </w:r>
            <w:r>
              <w:rPr>
                <w:color w:val="333333"/>
                <w:shd w:val="clear" w:color="auto" w:fill="FFFFFF"/>
                <w:lang w:val="en-AU"/>
              </w:rPr>
              <w:t>The</w:t>
            </w:r>
            <w:r w:rsidR="00502BBC">
              <w:rPr>
                <w:color w:val="333333"/>
                <w:shd w:val="clear" w:color="auto" w:fill="FFFFFF"/>
                <w:lang w:val="en-AU"/>
              </w:rPr>
              <w:t>se</w:t>
            </w:r>
            <w:r>
              <w:rPr>
                <w:color w:val="333333"/>
                <w:shd w:val="clear" w:color="auto" w:fill="FFFFFF"/>
                <w:lang w:val="en-AU"/>
              </w:rPr>
              <w:t xml:space="preserve"> results led the authors to conclude that “</w:t>
            </w:r>
            <w:r w:rsidRPr="001D75F5">
              <w:rPr>
                <w:color w:val="333333"/>
                <w:shd w:val="clear" w:color="auto" w:fill="FFFFFF"/>
                <w:lang w:val="en-AU"/>
              </w:rPr>
              <w:t>PA-supported medication rounds can significantly reduce the rate of omitted doses</w:t>
            </w:r>
            <w:r>
              <w:rPr>
                <w:color w:val="333333"/>
                <w:shd w:val="clear" w:color="auto" w:fill="FFFFFF"/>
                <w:lang w:val="en-AU"/>
              </w:rPr>
              <w:t xml:space="preserve">”. </w:t>
            </w:r>
          </w:p>
        </w:tc>
      </w:tr>
    </w:tbl>
    <w:p w:rsidR="00CA0B1F" w:rsidRDefault="00CA0B1F" w:rsidP="00CA0B1F">
      <w:pPr>
        <w:keepLines/>
        <w:autoSpaceDE w:val="0"/>
        <w:autoSpaceDN w:val="0"/>
        <w:adjustRightInd w:val="0"/>
        <w:rPr>
          <w:lang w:val="en-AU"/>
        </w:rPr>
      </w:pPr>
    </w:p>
    <w:p w:rsidR="001348B5" w:rsidRDefault="001348B5" w:rsidP="00CA0B1F">
      <w:pPr>
        <w:keepLines/>
        <w:autoSpaceDE w:val="0"/>
        <w:autoSpaceDN w:val="0"/>
        <w:adjustRightInd w:val="0"/>
        <w:rPr>
          <w:lang w:val="en-AU"/>
        </w:rPr>
      </w:pPr>
      <w:r>
        <w:rPr>
          <w:lang w:val="en-AU"/>
        </w:rPr>
        <w:t xml:space="preserve">For information on the Commission’s work on medication safety, see </w:t>
      </w:r>
      <w:hyperlink r:id="rId26" w:history="1">
        <w:r w:rsidRPr="00BF28CA">
          <w:rPr>
            <w:rStyle w:val="Hyperlink"/>
            <w:lang w:val="en-AU"/>
          </w:rPr>
          <w:t>http://www.safetyandquality.gov.au/our-work/medication-safety/</w:t>
        </w:r>
      </w:hyperlink>
      <w:r>
        <w:rPr>
          <w:lang w:val="en-AU"/>
        </w:rPr>
        <w:t xml:space="preserve"> </w:t>
      </w:r>
    </w:p>
    <w:p w:rsidR="00CA0B1F" w:rsidRDefault="00CA0B1F" w:rsidP="00CA0B1F">
      <w:pPr>
        <w:keepNext/>
        <w:keepLines/>
        <w:autoSpaceDE w:val="0"/>
        <w:autoSpaceDN w:val="0"/>
        <w:adjustRightInd w:val="0"/>
        <w:rPr>
          <w:lang w:val="en-AU"/>
        </w:rPr>
      </w:pPr>
    </w:p>
    <w:p w:rsidR="000B619B" w:rsidRPr="002974CE" w:rsidRDefault="000B619B" w:rsidP="000B619B">
      <w:pPr>
        <w:keepNext/>
        <w:keepLines/>
        <w:autoSpaceDE w:val="0"/>
        <w:autoSpaceDN w:val="0"/>
        <w:adjustRightInd w:val="0"/>
        <w:rPr>
          <w:i/>
          <w:lang w:val="en-AU"/>
        </w:rPr>
      </w:pPr>
      <w:r w:rsidRPr="002974CE">
        <w:rPr>
          <w:i/>
          <w:lang w:val="en-AU"/>
        </w:rPr>
        <w:t>Root cause analysis to support infection control in healthcare premises</w:t>
      </w:r>
    </w:p>
    <w:p w:rsidR="000B619B" w:rsidRDefault="000B619B" w:rsidP="000B619B">
      <w:pPr>
        <w:keepNext/>
        <w:keepLines/>
        <w:autoSpaceDE w:val="0"/>
        <w:autoSpaceDN w:val="0"/>
        <w:adjustRightInd w:val="0"/>
        <w:rPr>
          <w:lang w:val="en-AU"/>
        </w:rPr>
      </w:pPr>
      <w:r w:rsidRPr="002974CE">
        <w:rPr>
          <w:lang w:val="en-AU"/>
        </w:rPr>
        <w:t>Venier AG</w:t>
      </w:r>
    </w:p>
    <w:p w:rsidR="000B619B" w:rsidRPr="00255EF8" w:rsidRDefault="000B619B" w:rsidP="000B619B">
      <w:pPr>
        <w:keepNext/>
        <w:keepLines/>
        <w:autoSpaceDE w:val="0"/>
        <w:autoSpaceDN w:val="0"/>
        <w:adjustRightInd w:val="0"/>
        <w:rPr>
          <w:lang w:val="en-AU"/>
        </w:rPr>
      </w:pPr>
      <w:proofErr w:type="gramStart"/>
      <w:r w:rsidRPr="002974CE">
        <w:rPr>
          <w:lang w:val="en-AU"/>
        </w:rPr>
        <w:t>Journal of Hospital Infection</w:t>
      </w:r>
      <w:r>
        <w:rPr>
          <w:lang w:val="en-AU"/>
        </w:rPr>
        <w:t xml:space="preserve"> [epub]</w:t>
      </w:r>
      <w:r w:rsidRPr="002974CE">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B619B"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0B619B" w:rsidRPr="00255EF8" w:rsidRDefault="000B619B" w:rsidP="00F40E1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B619B" w:rsidRPr="00255EF8" w:rsidRDefault="0053214B" w:rsidP="00F40E15">
            <w:pPr>
              <w:rPr>
                <w:lang w:val="en-AU"/>
              </w:rPr>
            </w:pPr>
            <w:hyperlink r:id="rId27" w:history="1">
              <w:r w:rsidR="000B619B" w:rsidRPr="00BF28CA">
                <w:rPr>
                  <w:rStyle w:val="Hyperlink"/>
                  <w:lang w:val="en-AU"/>
                </w:rPr>
                <w:t>http://dx.doi.org/10.1016/j.jhin.2014.12.003</w:t>
              </w:r>
            </w:hyperlink>
          </w:p>
        </w:tc>
      </w:tr>
      <w:tr w:rsidR="000B619B" w:rsidRPr="00255EF8" w:rsidTr="00F40E15">
        <w:tc>
          <w:tcPr>
            <w:tcW w:w="1080" w:type="dxa"/>
            <w:tcBorders>
              <w:top w:val="single" w:sz="4" w:space="0" w:color="auto"/>
              <w:left w:val="single" w:sz="4" w:space="0" w:color="auto"/>
              <w:bottom w:val="single" w:sz="4" w:space="0" w:color="auto"/>
              <w:right w:val="single" w:sz="4" w:space="0" w:color="auto"/>
            </w:tcBorders>
            <w:vAlign w:val="center"/>
          </w:tcPr>
          <w:p w:rsidR="000B619B" w:rsidRPr="00255EF8" w:rsidRDefault="000B619B" w:rsidP="00F40E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619B" w:rsidRPr="00255EF8" w:rsidRDefault="000B619B" w:rsidP="00F40E15">
            <w:pPr>
              <w:rPr>
                <w:color w:val="333333"/>
                <w:shd w:val="clear" w:color="auto" w:fill="FFFFFF"/>
                <w:lang w:val="en-AU"/>
              </w:rPr>
            </w:pPr>
            <w:r>
              <w:rPr>
                <w:color w:val="333333"/>
                <w:shd w:val="clear" w:color="auto" w:fill="FFFFFF"/>
                <w:lang w:val="en-AU"/>
              </w:rPr>
              <w:t>Root cause analysis (RCA) is quite routinely used when investigating adverse events. This commentary suggests infection control teams may be able to use RCA in addressing healthcare associated infections.</w:t>
            </w:r>
          </w:p>
        </w:tc>
      </w:tr>
    </w:tbl>
    <w:p w:rsidR="000B619B" w:rsidRDefault="000B619B" w:rsidP="000B619B">
      <w:pPr>
        <w:keepLines/>
        <w:autoSpaceDE w:val="0"/>
        <w:autoSpaceDN w:val="0"/>
        <w:adjustRightInd w:val="0"/>
        <w:rPr>
          <w:lang w:val="en-AU"/>
        </w:rPr>
      </w:pPr>
    </w:p>
    <w:p w:rsidR="000B619B" w:rsidRDefault="000B619B" w:rsidP="000B619B">
      <w:pPr>
        <w:keepLines/>
        <w:autoSpaceDE w:val="0"/>
        <w:autoSpaceDN w:val="0"/>
        <w:adjustRightInd w:val="0"/>
        <w:rPr>
          <w:lang w:val="en-AU"/>
        </w:rPr>
      </w:pPr>
      <w:r>
        <w:rPr>
          <w:lang w:val="en-AU"/>
        </w:rPr>
        <w:t>For information on the Commission’s work on he</w:t>
      </w:r>
      <w:r w:rsidR="00617699">
        <w:rPr>
          <w:lang w:val="en-AU"/>
        </w:rPr>
        <w:t xml:space="preserve">althcare associated infection, </w:t>
      </w:r>
      <w:r>
        <w:rPr>
          <w:lang w:val="en-AU"/>
        </w:rPr>
        <w:t xml:space="preserve">see </w:t>
      </w:r>
      <w:hyperlink r:id="rId28" w:history="1">
        <w:r w:rsidRPr="00FB2C43">
          <w:rPr>
            <w:rStyle w:val="Hyperlink"/>
            <w:lang w:val="en-AU"/>
          </w:rPr>
          <w:t>www.safetyandquality.gov.au/our-work/healthcare-associated-infection/</w:t>
        </w:r>
      </w:hyperlink>
    </w:p>
    <w:p w:rsidR="00180CD6" w:rsidRDefault="00180CD6" w:rsidP="009E0D91">
      <w:pPr>
        <w:keepLines/>
        <w:autoSpaceDE w:val="0"/>
        <w:autoSpaceDN w:val="0"/>
        <w:adjustRightInd w:val="0"/>
        <w:rPr>
          <w:lang w:val="en-AU"/>
        </w:rPr>
      </w:pPr>
    </w:p>
    <w:p w:rsidR="009E0D91" w:rsidRDefault="009E0D91" w:rsidP="009E0D91">
      <w:pPr>
        <w:keepLines/>
        <w:autoSpaceDE w:val="0"/>
        <w:autoSpaceDN w:val="0"/>
        <w:adjustRightInd w:val="0"/>
        <w:rPr>
          <w:lang w:val="en-AU"/>
        </w:rPr>
      </w:pPr>
    </w:p>
    <w:p w:rsidR="000A382F" w:rsidRPr="00737BFB" w:rsidRDefault="000A382F" w:rsidP="000A382F">
      <w:pPr>
        <w:rPr>
          <w:i/>
          <w:lang w:val="en-AU"/>
        </w:rPr>
      </w:pPr>
      <w:r w:rsidRPr="00737BFB">
        <w:rPr>
          <w:i/>
          <w:lang w:val="en-AU"/>
        </w:rPr>
        <w:t>International Journal for Quality in Health Care</w:t>
      </w:r>
    </w:p>
    <w:p w:rsidR="000A382F" w:rsidRPr="00737BFB" w:rsidRDefault="000A382F" w:rsidP="000A382F">
      <w:pPr>
        <w:keepNext/>
        <w:autoSpaceDE w:val="0"/>
        <w:autoSpaceDN w:val="0"/>
        <w:adjustRightInd w:val="0"/>
        <w:rPr>
          <w:lang w:val="en-AU"/>
        </w:rPr>
      </w:pPr>
      <w:r>
        <w:rPr>
          <w:lang w:val="en-AU"/>
        </w:rPr>
        <w:t>Vol. 27, No. 1, February 2015</w:t>
      </w:r>
    </w:p>
    <w:tbl>
      <w:tblPr>
        <w:tblStyle w:val="TableGrid"/>
        <w:tblW w:w="0" w:type="auto"/>
        <w:tblInd w:w="288" w:type="dxa"/>
        <w:tblLayout w:type="fixed"/>
        <w:tblLook w:val="01E0" w:firstRow="1" w:lastRow="1" w:firstColumn="1" w:lastColumn="1" w:noHBand="0" w:noVBand="0"/>
      </w:tblPr>
      <w:tblGrid>
        <w:gridCol w:w="1080"/>
        <w:gridCol w:w="8280"/>
      </w:tblGrid>
      <w:tr w:rsidR="000A382F" w:rsidRPr="00737BFB" w:rsidTr="00F40E15">
        <w:tc>
          <w:tcPr>
            <w:tcW w:w="1080" w:type="dxa"/>
            <w:tcBorders>
              <w:top w:val="single" w:sz="4" w:space="0" w:color="auto"/>
              <w:left w:val="single" w:sz="4" w:space="0" w:color="auto"/>
              <w:bottom w:val="single" w:sz="4" w:space="0" w:color="auto"/>
              <w:right w:val="single" w:sz="4" w:space="0" w:color="auto"/>
            </w:tcBorders>
            <w:vAlign w:val="center"/>
          </w:tcPr>
          <w:p w:rsidR="000A382F" w:rsidRPr="00737BFB" w:rsidRDefault="000A382F" w:rsidP="00F40E1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A382F" w:rsidRPr="00737BFB" w:rsidRDefault="0053214B" w:rsidP="00F40E15">
            <w:pPr>
              <w:rPr>
                <w:lang w:val="en-AU"/>
              </w:rPr>
            </w:pPr>
            <w:hyperlink r:id="rId29" w:history="1">
              <w:r w:rsidR="000A382F" w:rsidRPr="00397C8F">
                <w:rPr>
                  <w:rStyle w:val="Hyperlink"/>
                  <w:lang w:val="en-AU"/>
                </w:rPr>
                <w:t>http://intqhc.oxfordjournals.org/content/27/1?etoc</w:t>
              </w:r>
            </w:hyperlink>
            <w:r w:rsidR="000A382F">
              <w:rPr>
                <w:lang w:val="en-AU"/>
              </w:rPr>
              <w:t xml:space="preserve"> </w:t>
            </w:r>
          </w:p>
        </w:tc>
      </w:tr>
      <w:tr w:rsidR="000A382F" w:rsidRPr="00737BFB" w:rsidTr="00F40E15">
        <w:tc>
          <w:tcPr>
            <w:tcW w:w="1080" w:type="dxa"/>
            <w:tcBorders>
              <w:top w:val="single" w:sz="4" w:space="0" w:color="auto"/>
              <w:left w:val="single" w:sz="4" w:space="0" w:color="auto"/>
              <w:bottom w:val="single" w:sz="4" w:space="0" w:color="auto"/>
              <w:right w:val="single" w:sz="4" w:space="0" w:color="auto"/>
            </w:tcBorders>
            <w:vAlign w:val="center"/>
          </w:tcPr>
          <w:p w:rsidR="000A382F" w:rsidRPr="00737BFB" w:rsidRDefault="000A382F" w:rsidP="00F40E15">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382F" w:rsidRDefault="000A382F" w:rsidP="00F40E15">
            <w:pPr>
              <w:rPr>
                <w:lang w:val="en-AU"/>
              </w:rPr>
            </w:pPr>
            <w:r>
              <w:rPr>
                <w:lang w:val="en-AU"/>
              </w:rPr>
              <w:t xml:space="preserve">A new issue of the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w:t>
            </w:r>
            <w:r w:rsidRPr="000A382F">
              <w:rPr>
                <w:i/>
                <w:lang w:val="en-AU"/>
              </w:rPr>
              <w:t>On the Radar</w:t>
            </w:r>
            <w:r>
              <w:rPr>
                <w:lang w:val="en-AU"/>
              </w:rPr>
              <w:t xml:space="preserve"> (when they released online). Articles in this issue of the </w:t>
            </w:r>
            <w:r w:rsidRPr="00737BFB">
              <w:rPr>
                <w:i/>
                <w:lang w:val="en-AU"/>
              </w:rPr>
              <w:t>International Journal for Quality in Health Care</w:t>
            </w:r>
            <w:r>
              <w:rPr>
                <w:lang w:val="en-AU"/>
              </w:rPr>
              <w:t xml:space="preserve"> include:</w:t>
            </w:r>
          </w:p>
          <w:p w:rsidR="000A382F" w:rsidRPr="000A382F" w:rsidRDefault="000A382F" w:rsidP="000A382F">
            <w:pPr>
              <w:pStyle w:val="ListParagraph"/>
              <w:numPr>
                <w:ilvl w:val="0"/>
                <w:numId w:val="42"/>
              </w:numPr>
              <w:rPr>
                <w:lang w:val="en-AU"/>
              </w:rPr>
            </w:pPr>
            <w:r w:rsidRPr="000A382F">
              <w:rPr>
                <w:lang w:val="en-AU"/>
              </w:rPr>
              <w:lastRenderedPageBreak/>
              <w:t xml:space="preserve">Editor's choice: What are </w:t>
            </w:r>
            <w:r w:rsidRPr="000A382F">
              <w:rPr>
                <w:b/>
                <w:lang w:val="en-AU"/>
              </w:rPr>
              <w:t>incident reports</w:t>
            </w:r>
            <w:r w:rsidRPr="000A382F">
              <w:rPr>
                <w:lang w:val="en-AU"/>
              </w:rPr>
              <w:t xml:space="preserve"> telling us? A comparative study at two Australian hospitals of </w:t>
            </w:r>
            <w:r w:rsidRPr="000A382F">
              <w:rPr>
                <w:b/>
                <w:lang w:val="en-AU"/>
              </w:rPr>
              <w:t>medication errors</w:t>
            </w:r>
            <w:r w:rsidRPr="000A382F">
              <w:rPr>
                <w:lang w:val="en-AU"/>
              </w:rPr>
              <w:t xml:space="preserve"> identified at audit, detected by staff and reported to an incident system (Johanna I Westbrook, Ling Li, Elin C Lehnbom, Melissa T Baysari, Jeffrey Braithwaite, Rosemary Burke, Chris Conn, and Richard O Day</w:t>
            </w:r>
            <w:r>
              <w:rPr>
                <w:lang w:val="en-AU"/>
              </w:rPr>
              <w:t>)</w:t>
            </w:r>
          </w:p>
          <w:p w:rsidR="000A382F" w:rsidRPr="000A382F" w:rsidRDefault="000A382F" w:rsidP="000A382F">
            <w:pPr>
              <w:pStyle w:val="ListParagraph"/>
              <w:numPr>
                <w:ilvl w:val="0"/>
                <w:numId w:val="42"/>
              </w:numPr>
              <w:rPr>
                <w:lang w:val="en-AU"/>
              </w:rPr>
            </w:pPr>
            <w:r w:rsidRPr="000A382F">
              <w:rPr>
                <w:lang w:val="en-AU"/>
              </w:rPr>
              <w:t xml:space="preserve">Editor's choice: Improving the identification and management of </w:t>
            </w:r>
            <w:r w:rsidRPr="000A382F">
              <w:rPr>
                <w:b/>
                <w:lang w:val="en-AU"/>
              </w:rPr>
              <w:t>chronic kidney disease</w:t>
            </w:r>
            <w:r w:rsidRPr="000A382F">
              <w:rPr>
                <w:lang w:val="en-AU"/>
              </w:rPr>
              <w:t xml:space="preserve"> in primary care: lessons from a staged </w:t>
            </w:r>
            <w:r w:rsidRPr="000A382F">
              <w:rPr>
                <w:b/>
                <w:lang w:val="en-AU"/>
              </w:rPr>
              <w:t>improvement collaborative</w:t>
            </w:r>
            <w:r w:rsidRPr="000A382F">
              <w:rPr>
                <w:lang w:val="en-AU"/>
              </w:rPr>
              <w:t xml:space="preserve"> (Gill Harvey, Kathryn Oliver, John Humphreys, Katy Rothwell, and Janet Hegarty</w:t>
            </w:r>
            <w:r>
              <w:rPr>
                <w:lang w:val="en-AU"/>
              </w:rPr>
              <w:t>)</w:t>
            </w:r>
          </w:p>
          <w:p w:rsidR="000A382F" w:rsidRPr="000A382F" w:rsidRDefault="000A382F" w:rsidP="000A382F">
            <w:pPr>
              <w:pStyle w:val="ListParagraph"/>
              <w:numPr>
                <w:ilvl w:val="0"/>
                <w:numId w:val="42"/>
              </w:numPr>
              <w:rPr>
                <w:lang w:val="en-AU"/>
              </w:rPr>
            </w:pPr>
            <w:r w:rsidRPr="000A382F">
              <w:rPr>
                <w:b/>
                <w:lang w:val="en-AU"/>
              </w:rPr>
              <w:t>Patient experiences</w:t>
            </w:r>
            <w:r w:rsidRPr="000A382F">
              <w:rPr>
                <w:lang w:val="en-AU"/>
              </w:rPr>
              <w:t xml:space="preserve"> of </w:t>
            </w:r>
            <w:r w:rsidRPr="000A382F">
              <w:rPr>
                <w:b/>
                <w:lang w:val="en-AU"/>
              </w:rPr>
              <w:t>inpatient hospital care</w:t>
            </w:r>
            <w:r w:rsidRPr="000A382F">
              <w:rPr>
                <w:lang w:val="en-AU"/>
              </w:rPr>
              <w:t>: a department matter and a hospital matter (Maarten W Krol, Dolf De Boer, Herman Sixma, Lucas Van Der Hoek, Jany J</w:t>
            </w:r>
            <w:r>
              <w:rPr>
                <w:lang w:val="en-AU"/>
              </w:rPr>
              <w:t xml:space="preserve"> </w:t>
            </w:r>
            <w:r w:rsidRPr="000A382F">
              <w:rPr>
                <w:lang w:val="en-AU"/>
              </w:rPr>
              <w:t>D</w:t>
            </w:r>
            <w:r>
              <w:rPr>
                <w:lang w:val="en-AU"/>
              </w:rPr>
              <w:t xml:space="preserve"> </w:t>
            </w:r>
            <w:r w:rsidRPr="000A382F">
              <w:rPr>
                <w:lang w:val="en-AU"/>
              </w:rPr>
              <w:t>J</w:t>
            </w:r>
            <w:r>
              <w:rPr>
                <w:lang w:val="en-AU"/>
              </w:rPr>
              <w:t xml:space="preserve"> </w:t>
            </w:r>
            <w:r w:rsidRPr="000A382F">
              <w:rPr>
                <w:lang w:val="en-AU"/>
              </w:rPr>
              <w:t>M</w:t>
            </w:r>
            <w:r>
              <w:rPr>
                <w:lang w:val="en-AU"/>
              </w:rPr>
              <w:t xml:space="preserve"> </w:t>
            </w:r>
            <w:r w:rsidRPr="000A382F">
              <w:rPr>
                <w:lang w:val="en-AU"/>
              </w:rPr>
              <w:t xml:space="preserve"> Rademakers, and Diana M Delnoij</w:t>
            </w:r>
            <w:r>
              <w:rPr>
                <w:lang w:val="en-AU"/>
              </w:rPr>
              <w:t>)</w:t>
            </w:r>
          </w:p>
          <w:p w:rsidR="000A382F" w:rsidRPr="000A382F" w:rsidRDefault="000A382F" w:rsidP="000A382F">
            <w:pPr>
              <w:pStyle w:val="ListParagraph"/>
              <w:numPr>
                <w:ilvl w:val="0"/>
                <w:numId w:val="42"/>
              </w:numPr>
              <w:rPr>
                <w:lang w:val="en-AU"/>
              </w:rPr>
            </w:pPr>
            <w:r w:rsidRPr="000A382F">
              <w:rPr>
                <w:lang w:val="en-AU"/>
              </w:rPr>
              <w:t xml:space="preserve">The association between </w:t>
            </w:r>
            <w:r w:rsidRPr="000A382F">
              <w:rPr>
                <w:b/>
                <w:lang w:val="en-AU"/>
              </w:rPr>
              <w:t>patient-reported incidents</w:t>
            </w:r>
            <w:r w:rsidRPr="000A382F">
              <w:rPr>
                <w:lang w:val="en-AU"/>
              </w:rPr>
              <w:t xml:space="preserve"> in hospitals and  estimated rates of </w:t>
            </w:r>
            <w:r w:rsidRPr="000A382F">
              <w:rPr>
                <w:b/>
                <w:lang w:val="en-AU"/>
              </w:rPr>
              <w:t>patient harm</w:t>
            </w:r>
            <w:r w:rsidRPr="000A382F">
              <w:rPr>
                <w:lang w:val="en-AU"/>
              </w:rPr>
              <w:t xml:space="preserve"> (Oyvind Bjertnaes, Ellen Tveter Deilkås, Kjersti Eeg Skudal, Hilde Hestad Iversen, and Anne Mette Bjerkan</w:t>
            </w:r>
            <w:r>
              <w:rPr>
                <w:lang w:val="en-AU"/>
              </w:rPr>
              <w:t>)</w:t>
            </w:r>
          </w:p>
          <w:p w:rsidR="000A382F" w:rsidRPr="000A382F" w:rsidRDefault="000A382F" w:rsidP="000A382F">
            <w:pPr>
              <w:pStyle w:val="ListParagraph"/>
              <w:numPr>
                <w:ilvl w:val="0"/>
                <w:numId w:val="42"/>
              </w:numPr>
              <w:rPr>
                <w:lang w:val="en-AU"/>
              </w:rPr>
            </w:pPr>
            <w:r w:rsidRPr="000A382F">
              <w:rPr>
                <w:lang w:val="en-AU"/>
              </w:rPr>
              <w:t xml:space="preserve">The impact of varying patient populations on the in-control performance of the </w:t>
            </w:r>
            <w:r w:rsidRPr="000A382F">
              <w:rPr>
                <w:b/>
                <w:lang w:val="en-AU"/>
              </w:rPr>
              <w:t>risk-adjusted CUSUM chart</w:t>
            </w:r>
            <w:r>
              <w:rPr>
                <w:lang w:val="en-AU"/>
              </w:rPr>
              <w:t xml:space="preserve"> (</w:t>
            </w:r>
            <w:r w:rsidRPr="000A382F">
              <w:rPr>
                <w:lang w:val="en-AU"/>
              </w:rPr>
              <w:t>Wenmeng Tian, Hongyue Sun, Xiang Zhang, and William H Woodall</w:t>
            </w:r>
            <w:r>
              <w:rPr>
                <w:lang w:val="en-AU"/>
              </w:rPr>
              <w:t>)</w:t>
            </w:r>
          </w:p>
          <w:p w:rsidR="000A382F" w:rsidRPr="000A382F" w:rsidRDefault="000A382F" w:rsidP="000A382F">
            <w:pPr>
              <w:pStyle w:val="ListParagraph"/>
              <w:numPr>
                <w:ilvl w:val="0"/>
                <w:numId w:val="42"/>
              </w:numPr>
              <w:rPr>
                <w:lang w:val="en-AU"/>
              </w:rPr>
            </w:pPr>
            <w:r w:rsidRPr="000A382F">
              <w:rPr>
                <w:b/>
                <w:lang w:val="en-AU"/>
              </w:rPr>
              <w:t>Organizational culture</w:t>
            </w:r>
            <w:r w:rsidRPr="000A382F">
              <w:rPr>
                <w:lang w:val="en-AU"/>
              </w:rPr>
              <w:t xml:space="preserve"> affecting quality of care: guideline adherence in </w:t>
            </w:r>
            <w:r w:rsidRPr="000A382F">
              <w:rPr>
                <w:b/>
                <w:lang w:val="en-AU"/>
              </w:rPr>
              <w:t>perioperative antibiotic use</w:t>
            </w:r>
            <w:r>
              <w:rPr>
                <w:lang w:val="en-AU"/>
              </w:rPr>
              <w:t xml:space="preserve"> (</w:t>
            </w:r>
            <w:r w:rsidRPr="000A382F">
              <w:rPr>
                <w:lang w:val="en-AU"/>
              </w:rPr>
              <w:t>Naoto Ukawa, Masayuki Tanaka, Toshitaka Morishima, and Yuichi Imanaka</w:t>
            </w:r>
            <w:r>
              <w:rPr>
                <w:lang w:val="en-AU"/>
              </w:rPr>
              <w:t>)</w:t>
            </w:r>
          </w:p>
          <w:p w:rsidR="000A382F" w:rsidRPr="000A382F" w:rsidRDefault="000A382F" w:rsidP="000A382F">
            <w:pPr>
              <w:pStyle w:val="ListParagraph"/>
              <w:numPr>
                <w:ilvl w:val="0"/>
                <w:numId w:val="42"/>
              </w:numPr>
              <w:rPr>
                <w:lang w:val="en-AU"/>
              </w:rPr>
            </w:pPr>
            <w:r w:rsidRPr="000A382F">
              <w:rPr>
                <w:lang w:val="en-AU"/>
              </w:rPr>
              <w:t xml:space="preserve">Quality and extent of </w:t>
            </w:r>
            <w:r w:rsidRPr="000A382F">
              <w:rPr>
                <w:b/>
                <w:lang w:val="en-AU"/>
              </w:rPr>
              <w:t>informed consent</w:t>
            </w:r>
            <w:r w:rsidRPr="000A382F">
              <w:rPr>
                <w:lang w:val="en-AU"/>
              </w:rPr>
              <w:t xml:space="preserve"> for invasive procedures: a pilot study at the institutional level in Turkey (H Hanzade Dogan, Elif Işik, Ezgi Vural, Hayriye Vehid, and Mayer Brezis</w:t>
            </w:r>
            <w:r>
              <w:rPr>
                <w:lang w:val="en-AU"/>
              </w:rPr>
              <w:t>)</w:t>
            </w:r>
          </w:p>
          <w:p w:rsidR="000A382F" w:rsidRPr="000A382F" w:rsidRDefault="000A382F" w:rsidP="000A382F">
            <w:pPr>
              <w:pStyle w:val="ListParagraph"/>
              <w:numPr>
                <w:ilvl w:val="0"/>
                <w:numId w:val="42"/>
              </w:numPr>
              <w:rPr>
                <w:lang w:val="en-AU"/>
              </w:rPr>
            </w:pPr>
            <w:r w:rsidRPr="000A382F">
              <w:rPr>
                <w:lang w:val="en-AU"/>
              </w:rPr>
              <w:t>Frequency of</w:t>
            </w:r>
            <w:r w:rsidRPr="000A382F">
              <w:rPr>
                <w:b/>
                <w:lang w:val="en-AU"/>
              </w:rPr>
              <w:t xml:space="preserve"> ambulatory care adverse events</w:t>
            </w:r>
            <w:r w:rsidRPr="000A382F">
              <w:rPr>
                <w:lang w:val="en-AU"/>
              </w:rPr>
              <w:t xml:space="preserve"> in Latin American countries: the AMBEAS/PAHO cohort study (Dolors Montserrat-Capella, Manuel Suárez, Lidia Ortiz, José Joaquín Mira,Hernando Gaitán Duarte, Ludovic Reveiz, on behalf of the AMBEAS Group</w:t>
            </w:r>
            <w:r>
              <w:rPr>
                <w:lang w:val="en-AU"/>
              </w:rPr>
              <w:t>)</w:t>
            </w:r>
          </w:p>
          <w:p w:rsidR="000A382F" w:rsidRPr="000A382F" w:rsidRDefault="000A382F" w:rsidP="000A382F">
            <w:pPr>
              <w:pStyle w:val="ListParagraph"/>
              <w:numPr>
                <w:ilvl w:val="0"/>
                <w:numId w:val="42"/>
              </w:numPr>
              <w:rPr>
                <w:lang w:val="en-AU"/>
              </w:rPr>
            </w:pPr>
            <w:r w:rsidRPr="000A382F">
              <w:rPr>
                <w:lang w:val="en-AU"/>
              </w:rPr>
              <w:t xml:space="preserve">Fidelity </w:t>
            </w:r>
            <w:r w:rsidRPr="00617699">
              <w:rPr>
                <w:lang w:val="en-AU"/>
              </w:rPr>
              <w:t>of implementation to</w:t>
            </w:r>
            <w:r w:rsidRPr="000A382F">
              <w:rPr>
                <w:lang w:val="en-AU"/>
              </w:rPr>
              <w:t xml:space="preserve"> a </w:t>
            </w:r>
            <w:r w:rsidRPr="000A382F">
              <w:rPr>
                <w:b/>
                <w:lang w:val="en-AU"/>
              </w:rPr>
              <w:t>care team redesign</w:t>
            </w:r>
            <w:r w:rsidRPr="000A382F">
              <w:rPr>
                <w:lang w:val="en-AU"/>
              </w:rPr>
              <w:t xml:space="preserve"> and improved outcomes of </w:t>
            </w:r>
            <w:r w:rsidRPr="000A382F">
              <w:rPr>
                <w:b/>
                <w:lang w:val="en-AU"/>
              </w:rPr>
              <w:t>diabetes care</w:t>
            </w:r>
            <w:r w:rsidRPr="000A382F">
              <w:rPr>
                <w:lang w:val="en-AU"/>
              </w:rPr>
              <w:t xml:space="preserve"> (Sherry M Grace, Jeremy Rich, William Chin, and Hector P Rodriguez</w:t>
            </w:r>
            <w:r>
              <w:rPr>
                <w:lang w:val="en-AU"/>
              </w:rPr>
              <w:t>)</w:t>
            </w:r>
          </w:p>
          <w:p w:rsidR="000A382F" w:rsidRPr="00BE3C51" w:rsidRDefault="000A382F" w:rsidP="000A382F">
            <w:pPr>
              <w:pStyle w:val="ListParagraph"/>
              <w:numPr>
                <w:ilvl w:val="0"/>
                <w:numId w:val="42"/>
              </w:numPr>
              <w:rPr>
                <w:lang w:val="en-AU"/>
              </w:rPr>
            </w:pPr>
            <w:r w:rsidRPr="000A382F">
              <w:rPr>
                <w:lang w:val="en-AU"/>
              </w:rPr>
              <w:t xml:space="preserve">Multicentre study to develop a medication safety package for decreasing  inpatient harm from </w:t>
            </w:r>
            <w:r w:rsidRPr="000A382F">
              <w:rPr>
                <w:b/>
                <w:lang w:val="en-AU"/>
              </w:rPr>
              <w:t>omission of time-critical medications</w:t>
            </w:r>
            <w:r w:rsidRPr="000A382F">
              <w:rPr>
                <w:lang w:val="en-AU"/>
              </w:rPr>
              <w:t xml:space="preserve"> (Linda V Graudins, Catherine Ingram, B T Smith, W J Ewing, and</w:t>
            </w:r>
            <w:r>
              <w:rPr>
                <w:lang w:val="en-AU"/>
              </w:rPr>
              <w:t xml:space="preserve"> </w:t>
            </w:r>
            <w:r w:rsidRPr="000A382F">
              <w:rPr>
                <w:lang w:val="en-AU"/>
              </w:rPr>
              <w:t>M Vandevreede</w:t>
            </w:r>
            <w:r>
              <w:rPr>
                <w:lang w:val="en-AU"/>
              </w:rPr>
              <w:t>)</w:t>
            </w:r>
          </w:p>
        </w:tc>
      </w:tr>
    </w:tbl>
    <w:p w:rsidR="000A382F" w:rsidRDefault="000A382F" w:rsidP="00CA0B1F">
      <w:pPr>
        <w:keepLines/>
        <w:autoSpaceDE w:val="0"/>
        <w:autoSpaceDN w:val="0"/>
        <w:adjustRightInd w:val="0"/>
        <w:rPr>
          <w:lang w:val="en-AU"/>
        </w:rPr>
      </w:pPr>
    </w:p>
    <w:p w:rsidR="00CA0B1F" w:rsidRPr="00401EAF" w:rsidRDefault="00401EAF" w:rsidP="00CA0B1F">
      <w:pPr>
        <w:keepNext/>
        <w:keepLines/>
        <w:autoSpaceDE w:val="0"/>
        <w:autoSpaceDN w:val="0"/>
        <w:adjustRightInd w:val="0"/>
        <w:rPr>
          <w:i/>
          <w:lang w:val="en-AU"/>
        </w:rPr>
      </w:pPr>
      <w:r w:rsidRPr="00401EAF">
        <w:rPr>
          <w:i/>
          <w:lang w:val="en-AU"/>
        </w:rPr>
        <w:t>Australian Journal of Primary Health</w:t>
      </w:r>
    </w:p>
    <w:p w:rsidR="00401EAF" w:rsidRPr="00255EF8" w:rsidRDefault="00401EAF" w:rsidP="00CA0B1F">
      <w:pPr>
        <w:keepNext/>
        <w:keepLines/>
        <w:autoSpaceDE w:val="0"/>
        <w:autoSpaceDN w:val="0"/>
        <w:adjustRightInd w:val="0"/>
        <w:rPr>
          <w:lang w:val="en-AU"/>
        </w:rPr>
      </w:pPr>
      <w:r w:rsidRPr="00401EAF">
        <w:rPr>
          <w:lang w:val="en-AU"/>
        </w:rPr>
        <w:t>Volume 21(1) 2015</w:t>
      </w:r>
    </w:p>
    <w:tbl>
      <w:tblPr>
        <w:tblStyle w:val="TableGrid"/>
        <w:tblW w:w="0" w:type="auto"/>
        <w:tblInd w:w="288" w:type="dxa"/>
        <w:tblLayout w:type="fixed"/>
        <w:tblLook w:val="01E0" w:firstRow="1" w:lastRow="1" w:firstColumn="1" w:lastColumn="1" w:noHBand="0" w:noVBand="0"/>
      </w:tblPr>
      <w:tblGrid>
        <w:gridCol w:w="1080"/>
        <w:gridCol w:w="8280"/>
      </w:tblGrid>
      <w:tr w:rsidR="00CA0B1F" w:rsidRPr="00255EF8" w:rsidTr="00724A64">
        <w:tc>
          <w:tcPr>
            <w:tcW w:w="1080" w:type="dxa"/>
            <w:tcBorders>
              <w:top w:val="single" w:sz="4" w:space="0" w:color="auto"/>
              <w:left w:val="single" w:sz="4" w:space="0" w:color="auto"/>
              <w:bottom w:val="single" w:sz="4" w:space="0" w:color="auto"/>
              <w:right w:val="single" w:sz="4" w:space="0" w:color="auto"/>
            </w:tcBorders>
            <w:vAlign w:val="center"/>
          </w:tcPr>
          <w:p w:rsidR="00CA0B1F" w:rsidRPr="00255EF8" w:rsidRDefault="00401EAF" w:rsidP="00724A6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A0B1F" w:rsidRPr="00255EF8" w:rsidRDefault="0053214B" w:rsidP="00724A64">
            <w:pPr>
              <w:rPr>
                <w:lang w:val="en-AU"/>
              </w:rPr>
            </w:pPr>
            <w:hyperlink r:id="rId30" w:history="1">
              <w:r w:rsidR="00401EAF" w:rsidRPr="00BF28CA">
                <w:rPr>
                  <w:rStyle w:val="Hyperlink"/>
                  <w:lang w:val="en-AU"/>
                </w:rPr>
                <w:t>http://www.publish.csiro.au/nid/262/issue/7499.htm</w:t>
              </w:r>
            </w:hyperlink>
          </w:p>
        </w:tc>
      </w:tr>
      <w:tr w:rsidR="00CA0B1F" w:rsidRPr="00255EF8" w:rsidTr="00724A64">
        <w:tc>
          <w:tcPr>
            <w:tcW w:w="1080" w:type="dxa"/>
            <w:tcBorders>
              <w:top w:val="single" w:sz="4" w:space="0" w:color="auto"/>
              <w:left w:val="single" w:sz="4" w:space="0" w:color="auto"/>
              <w:bottom w:val="single" w:sz="4" w:space="0" w:color="auto"/>
              <w:right w:val="single" w:sz="4" w:space="0" w:color="auto"/>
            </w:tcBorders>
            <w:vAlign w:val="center"/>
          </w:tcPr>
          <w:p w:rsidR="00CA0B1F" w:rsidRPr="00255EF8" w:rsidRDefault="00CA0B1F" w:rsidP="00724A6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0B1F" w:rsidRDefault="003B6A48" w:rsidP="003B6A48">
            <w:pPr>
              <w:rPr>
                <w:color w:val="333333"/>
                <w:shd w:val="clear" w:color="auto" w:fill="FFFFFF"/>
                <w:lang w:val="en-AU"/>
              </w:rPr>
            </w:pPr>
            <w:r>
              <w:rPr>
                <w:color w:val="333333"/>
                <w:shd w:val="clear" w:color="auto" w:fill="FFFFFF"/>
                <w:lang w:val="en-AU"/>
              </w:rPr>
              <w:t xml:space="preserve">A new issue of the </w:t>
            </w:r>
            <w:r w:rsidRPr="00401EAF">
              <w:rPr>
                <w:i/>
                <w:lang w:val="en-AU"/>
              </w:rPr>
              <w:t>Australian Journal of Primary Health</w:t>
            </w:r>
            <w:r>
              <w:rPr>
                <w:color w:val="333333"/>
                <w:shd w:val="clear" w:color="auto" w:fill="FFFFFF"/>
                <w:lang w:val="en-AU"/>
              </w:rPr>
              <w:t xml:space="preserve"> has been published. Articles in this issue of </w:t>
            </w:r>
            <w:r w:rsidRPr="00401EAF">
              <w:rPr>
                <w:i/>
                <w:lang w:val="en-AU"/>
              </w:rPr>
              <w:t>Australian Journal of Primary Health</w:t>
            </w:r>
            <w:r>
              <w:rPr>
                <w:color w:val="333333"/>
                <w:shd w:val="clear" w:color="auto" w:fill="FFFFFF"/>
                <w:lang w:val="en-AU"/>
              </w:rPr>
              <w:t xml:space="preserve"> include:</w:t>
            </w:r>
          </w:p>
          <w:p w:rsidR="003B6A48" w:rsidRDefault="003B6A48" w:rsidP="003B6A48">
            <w:pPr>
              <w:pStyle w:val="ListParagraph"/>
              <w:numPr>
                <w:ilvl w:val="0"/>
                <w:numId w:val="41"/>
              </w:numPr>
              <w:rPr>
                <w:color w:val="333333"/>
                <w:shd w:val="clear" w:color="auto" w:fill="FFFFFF"/>
                <w:lang w:val="en-AU"/>
              </w:rPr>
            </w:pPr>
            <w:r w:rsidRPr="003B6A48">
              <w:rPr>
                <w:color w:val="333333"/>
                <w:shd w:val="clear" w:color="auto" w:fill="FFFFFF"/>
                <w:lang w:val="en-AU"/>
              </w:rPr>
              <w:t xml:space="preserve">Impact of </w:t>
            </w:r>
            <w:r w:rsidRPr="003B6A48">
              <w:rPr>
                <w:b/>
                <w:color w:val="333333"/>
                <w:shd w:val="clear" w:color="auto" w:fill="FFFFFF"/>
                <w:lang w:val="en-AU"/>
              </w:rPr>
              <w:t>community participation</w:t>
            </w:r>
            <w:r w:rsidRPr="003B6A48">
              <w:rPr>
                <w:color w:val="333333"/>
                <w:shd w:val="clear" w:color="auto" w:fill="FFFFFF"/>
                <w:lang w:val="en-AU"/>
              </w:rPr>
              <w:t xml:space="preserve"> in </w:t>
            </w:r>
            <w:r w:rsidRPr="003B6A48">
              <w:rPr>
                <w:b/>
                <w:color w:val="333333"/>
                <w:shd w:val="clear" w:color="auto" w:fill="FFFFFF"/>
                <w:lang w:val="en-AU"/>
              </w:rPr>
              <w:t>primary health care</w:t>
            </w:r>
            <w:r w:rsidRPr="003B6A48">
              <w:rPr>
                <w:color w:val="333333"/>
                <w:shd w:val="clear" w:color="auto" w:fill="FFFFFF"/>
                <w:lang w:val="en-AU"/>
              </w:rPr>
              <w:t>: what is the evidence? (Jessamy Bath and John Wakerman</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b/>
                <w:color w:val="333333"/>
                <w:shd w:val="clear" w:color="auto" w:fill="FFFFFF"/>
                <w:lang w:val="en-AU"/>
              </w:rPr>
              <w:t>Quality improvement initiatives</w:t>
            </w:r>
            <w:r w:rsidRPr="003B6A48">
              <w:rPr>
                <w:color w:val="333333"/>
                <w:shd w:val="clear" w:color="auto" w:fill="FFFFFF"/>
                <w:lang w:val="en-AU"/>
              </w:rPr>
              <w:t xml:space="preserve"> in a case management service: case study (Deborah J. Davies</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b/>
                <w:color w:val="333333"/>
                <w:shd w:val="clear" w:color="auto" w:fill="FFFFFF"/>
                <w:lang w:val="en-AU"/>
              </w:rPr>
              <w:t>Medicine use and safety</w:t>
            </w:r>
            <w:r w:rsidRPr="003B6A48">
              <w:rPr>
                <w:color w:val="333333"/>
                <w:shd w:val="clear" w:color="auto" w:fill="FFFFFF"/>
                <w:lang w:val="en-AU"/>
              </w:rPr>
              <w:t xml:space="preserve"> while breastfeeding: investigating the perspectives of community pharmacists in Australia (</w:t>
            </w:r>
            <w:r>
              <w:rPr>
                <w:color w:val="333333"/>
                <w:shd w:val="clear" w:color="auto" w:fill="FFFFFF"/>
                <w:lang w:val="en-AU"/>
              </w:rPr>
              <w:t>Martine de Ponti, Kay Stewart</w:t>
            </w:r>
            <w:r w:rsidRPr="003B6A48">
              <w:rPr>
                <w:color w:val="333333"/>
                <w:shd w:val="clear" w:color="auto" w:fill="FFFFFF"/>
                <w:lang w:val="en-AU"/>
              </w:rPr>
              <w:t>, Lisa H Amir and Safeera Y Hussainy</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color w:val="333333"/>
                <w:shd w:val="clear" w:color="auto" w:fill="FFFFFF"/>
                <w:lang w:val="en-AU"/>
              </w:rPr>
              <w:t xml:space="preserve">Barriers and enablers to good </w:t>
            </w:r>
            <w:r w:rsidRPr="003B6A48">
              <w:rPr>
                <w:b/>
                <w:color w:val="333333"/>
                <w:shd w:val="clear" w:color="auto" w:fill="FFFFFF"/>
                <w:lang w:val="en-AU"/>
              </w:rPr>
              <w:t>communication</w:t>
            </w:r>
            <w:r w:rsidRPr="003B6A48">
              <w:rPr>
                <w:color w:val="333333"/>
                <w:shd w:val="clear" w:color="auto" w:fill="FFFFFF"/>
                <w:lang w:val="en-AU"/>
              </w:rPr>
              <w:t xml:space="preserve"> and </w:t>
            </w:r>
            <w:r w:rsidRPr="003B6A48">
              <w:rPr>
                <w:b/>
                <w:color w:val="333333"/>
                <w:shd w:val="clear" w:color="auto" w:fill="FFFFFF"/>
                <w:lang w:val="en-AU"/>
              </w:rPr>
              <w:t>information-sharing</w:t>
            </w:r>
            <w:r w:rsidRPr="003B6A48">
              <w:rPr>
                <w:color w:val="333333"/>
                <w:shd w:val="clear" w:color="auto" w:fill="FFFFFF"/>
                <w:lang w:val="en-AU"/>
              </w:rPr>
              <w:t xml:space="preserve"> practices in care planning for chronic condition management (Sharon Lawn</w:t>
            </w:r>
            <w:r>
              <w:rPr>
                <w:color w:val="333333"/>
                <w:shd w:val="clear" w:color="auto" w:fill="FFFFFF"/>
                <w:lang w:val="en-AU"/>
              </w:rPr>
              <w:t>, Toni Delany, Linda Sweet</w:t>
            </w:r>
            <w:r w:rsidRPr="003B6A48">
              <w:rPr>
                <w:color w:val="333333"/>
                <w:shd w:val="clear" w:color="auto" w:fill="FFFFFF"/>
                <w:lang w:val="en-AU"/>
              </w:rPr>
              <w:t>, Malcolm Battersby and Timothy Skinner</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b/>
                <w:color w:val="333333"/>
                <w:shd w:val="clear" w:color="auto" w:fill="FFFFFF"/>
                <w:lang w:val="en-AU"/>
              </w:rPr>
              <w:lastRenderedPageBreak/>
              <w:t>Self-management</w:t>
            </w:r>
            <w:r w:rsidRPr="003B6A48">
              <w:rPr>
                <w:color w:val="333333"/>
                <w:shd w:val="clear" w:color="auto" w:fill="FFFFFF"/>
                <w:lang w:val="en-AU"/>
              </w:rPr>
              <w:t xml:space="preserve"> of chronic conditions in a rural and remote context (</w:t>
            </w:r>
            <w:r>
              <w:rPr>
                <w:color w:val="333333"/>
                <w:shd w:val="clear" w:color="auto" w:fill="FFFFFF"/>
                <w:lang w:val="en-AU"/>
              </w:rPr>
              <w:t>Adem Sav</w:t>
            </w:r>
            <w:r w:rsidRPr="003B6A48">
              <w:rPr>
                <w:color w:val="333333"/>
                <w:shd w:val="clear" w:color="auto" w:fill="FFFFFF"/>
                <w:lang w:val="en-AU"/>
              </w:rPr>
              <w:t>, Michelle A</w:t>
            </w:r>
            <w:r>
              <w:rPr>
                <w:color w:val="333333"/>
                <w:shd w:val="clear" w:color="auto" w:fill="FFFFFF"/>
                <w:lang w:val="en-AU"/>
              </w:rPr>
              <w:t xml:space="preserve"> King, Fiona Kelly</w:t>
            </w:r>
            <w:r w:rsidRPr="003B6A48">
              <w:rPr>
                <w:color w:val="333333"/>
                <w:shd w:val="clear" w:color="auto" w:fill="FFFFFF"/>
                <w:lang w:val="en-AU"/>
              </w:rPr>
              <w:t>, Sara S</w:t>
            </w:r>
            <w:r>
              <w:rPr>
                <w:color w:val="333333"/>
                <w:shd w:val="clear" w:color="auto" w:fill="FFFFFF"/>
                <w:lang w:val="en-AU"/>
              </w:rPr>
              <w:t xml:space="preserve"> McMillan</w:t>
            </w:r>
            <w:r w:rsidRPr="003B6A48">
              <w:rPr>
                <w:color w:val="333333"/>
                <w:shd w:val="clear" w:color="auto" w:fill="FFFFFF"/>
                <w:lang w:val="en-AU"/>
              </w:rPr>
              <w:t xml:space="preserve">, Elizabeth </w:t>
            </w:r>
            <w:r>
              <w:rPr>
                <w:color w:val="333333"/>
                <w:shd w:val="clear" w:color="auto" w:fill="FFFFFF"/>
                <w:lang w:val="en-AU"/>
              </w:rPr>
              <w:t>Kendall</w:t>
            </w:r>
            <w:r w:rsidRPr="003B6A48">
              <w:rPr>
                <w:color w:val="333333"/>
                <w:shd w:val="clear" w:color="auto" w:fill="FFFFFF"/>
                <w:lang w:val="en-AU"/>
              </w:rPr>
              <w:t>, Jennifer A Whitty and Amanda J Wheeler</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b/>
                <w:color w:val="333333"/>
                <w:shd w:val="clear" w:color="auto" w:fill="FFFFFF"/>
                <w:lang w:val="en-AU"/>
              </w:rPr>
              <w:t>Improving communication</w:t>
            </w:r>
            <w:r w:rsidRPr="003B6A48">
              <w:rPr>
                <w:color w:val="333333"/>
                <w:shd w:val="clear" w:color="auto" w:fill="FFFFFF"/>
                <w:lang w:val="en-AU"/>
              </w:rPr>
              <w:t xml:space="preserve"> between health-care professionals and patients with limited English proficiency in the general practice setting (</w:t>
            </w:r>
            <w:r>
              <w:rPr>
                <w:color w:val="333333"/>
                <w:shd w:val="clear" w:color="auto" w:fill="FFFFFF"/>
                <w:lang w:val="en-AU"/>
              </w:rPr>
              <w:t>Melanie Attard, Alexa McArthur, Dagmara Riitano, Edoardo Aromataris</w:t>
            </w:r>
            <w:r w:rsidRPr="003B6A48">
              <w:rPr>
                <w:color w:val="333333"/>
                <w:shd w:val="clear" w:color="auto" w:fill="FFFFFF"/>
                <w:lang w:val="en-AU"/>
              </w:rPr>
              <w:t>, Chris Bollen and Alan Pearson</w:t>
            </w:r>
            <w:r>
              <w:rPr>
                <w:color w:val="333333"/>
                <w:shd w:val="clear" w:color="auto" w:fill="FFFFFF"/>
                <w:lang w:val="en-AU"/>
              </w:rPr>
              <w:t>)</w:t>
            </w:r>
          </w:p>
          <w:p w:rsidR="003B6A48" w:rsidRDefault="003B6A48" w:rsidP="003B6A48">
            <w:pPr>
              <w:pStyle w:val="ListParagraph"/>
              <w:numPr>
                <w:ilvl w:val="0"/>
                <w:numId w:val="41"/>
              </w:numPr>
              <w:rPr>
                <w:color w:val="333333"/>
                <w:shd w:val="clear" w:color="auto" w:fill="FFFFFF"/>
                <w:lang w:val="en-AU"/>
              </w:rPr>
            </w:pPr>
            <w:r w:rsidRPr="003B6A48">
              <w:rPr>
                <w:color w:val="333333"/>
                <w:shd w:val="clear" w:color="auto" w:fill="FFFFFF"/>
                <w:lang w:val="en-AU"/>
              </w:rPr>
              <w:t xml:space="preserve">Farmers’ contact with health care services prior to </w:t>
            </w:r>
            <w:r w:rsidRPr="003B6A48">
              <w:rPr>
                <w:b/>
                <w:color w:val="333333"/>
                <w:shd w:val="clear" w:color="auto" w:fill="FFFFFF"/>
                <w:lang w:val="en-AU"/>
              </w:rPr>
              <w:t>suicide</w:t>
            </w:r>
            <w:r w:rsidRPr="003B6A48">
              <w:rPr>
                <w:color w:val="333333"/>
                <w:shd w:val="clear" w:color="auto" w:fill="FFFFFF"/>
                <w:lang w:val="en-AU"/>
              </w:rPr>
              <w:t xml:space="preserve">: evidence for the </w:t>
            </w:r>
            <w:r w:rsidRPr="003B6A48">
              <w:rPr>
                <w:b/>
                <w:color w:val="333333"/>
                <w:shd w:val="clear" w:color="auto" w:fill="FFFFFF"/>
                <w:lang w:val="en-AU"/>
              </w:rPr>
              <w:t>role of general practitioners</w:t>
            </w:r>
            <w:r w:rsidRPr="003B6A48">
              <w:rPr>
                <w:color w:val="333333"/>
                <w:shd w:val="clear" w:color="auto" w:fill="FFFFFF"/>
                <w:lang w:val="en-AU"/>
              </w:rPr>
              <w:t xml:space="preserve"> as an intervention point (</w:t>
            </w:r>
            <w:r>
              <w:rPr>
                <w:color w:val="333333"/>
                <w:shd w:val="clear" w:color="auto" w:fill="FFFFFF"/>
                <w:lang w:val="en-AU"/>
              </w:rPr>
              <w:t>Katerina Kavalidou</w:t>
            </w:r>
            <w:r w:rsidRPr="003B6A48">
              <w:rPr>
                <w:color w:val="333333"/>
                <w:shd w:val="clear" w:color="auto" w:fill="FFFFFF"/>
                <w:lang w:val="en-AU"/>
              </w:rPr>
              <w:t>, Samara McPhedran and Diego De Leo</w:t>
            </w:r>
            <w:r>
              <w:rPr>
                <w:color w:val="333333"/>
                <w:shd w:val="clear" w:color="auto" w:fill="FFFFFF"/>
                <w:lang w:val="en-AU"/>
              </w:rPr>
              <w:t>)</w:t>
            </w:r>
          </w:p>
          <w:p w:rsidR="003B6A48" w:rsidRPr="003B6A48" w:rsidRDefault="003B6A48" w:rsidP="003B6A48">
            <w:pPr>
              <w:pStyle w:val="ListParagraph"/>
              <w:numPr>
                <w:ilvl w:val="0"/>
                <w:numId w:val="41"/>
              </w:numPr>
              <w:rPr>
                <w:color w:val="333333"/>
                <w:shd w:val="clear" w:color="auto" w:fill="FFFFFF"/>
                <w:lang w:val="en-AU"/>
              </w:rPr>
            </w:pPr>
            <w:r w:rsidRPr="003B6A48">
              <w:rPr>
                <w:color w:val="333333"/>
                <w:shd w:val="clear" w:color="auto" w:fill="FFFFFF"/>
                <w:lang w:val="en-AU"/>
              </w:rPr>
              <w:t xml:space="preserve">Audit of </w:t>
            </w:r>
            <w:r w:rsidRPr="003B6A48">
              <w:rPr>
                <w:b/>
                <w:color w:val="333333"/>
                <w:shd w:val="clear" w:color="auto" w:fill="FFFFFF"/>
                <w:lang w:val="en-AU"/>
              </w:rPr>
              <w:t>referral pathways</w:t>
            </w:r>
            <w:r w:rsidRPr="003B6A48">
              <w:rPr>
                <w:color w:val="333333"/>
                <w:shd w:val="clear" w:color="auto" w:fill="FFFFFF"/>
                <w:lang w:val="en-AU"/>
              </w:rPr>
              <w:t xml:space="preserve"> in the diagnosis of lung cancer: a pilot study (</w:t>
            </w:r>
            <w:r>
              <w:rPr>
                <w:color w:val="333333"/>
                <w:shd w:val="clear" w:color="auto" w:fill="FFFFFF"/>
                <w:lang w:val="en-AU"/>
              </w:rPr>
              <w:t>Geraldine Largey, Samantha Chakraborty, Tracey Tobias</w:t>
            </w:r>
            <w:r w:rsidRPr="003B6A48">
              <w:rPr>
                <w:color w:val="333333"/>
                <w:shd w:val="clear" w:color="auto" w:fill="FFFFFF"/>
                <w:lang w:val="en-AU"/>
              </w:rPr>
              <w:t>, Peter Briggs and Danielle Mazza</w:t>
            </w:r>
            <w:r>
              <w:rPr>
                <w:color w:val="333333"/>
                <w:shd w:val="clear" w:color="auto" w:fill="FFFFFF"/>
                <w:lang w:val="en-AU"/>
              </w:rPr>
              <w:t>)</w:t>
            </w:r>
          </w:p>
        </w:tc>
      </w:tr>
    </w:tbl>
    <w:p w:rsidR="00CA0B1F" w:rsidRDefault="00CA0B1F" w:rsidP="00CA0B1F">
      <w:pPr>
        <w:keepLines/>
        <w:autoSpaceDE w:val="0"/>
        <w:autoSpaceDN w:val="0"/>
        <w:adjustRightInd w:val="0"/>
        <w:rPr>
          <w:lang w:val="en-AU"/>
        </w:rPr>
      </w:pPr>
    </w:p>
    <w:p w:rsidR="00180CD6" w:rsidRDefault="00180CD6" w:rsidP="00CA0B1F">
      <w:pPr>
        <w:keepLines/>
        <w:autoSpaceDE w:val="0"/>
        <w:autoSpaceDN w:val="0"/>
        <w:adjustRightInd w:val="0"/>
        <w:rPr>
          <w:lang w:val="en-AU"/>
        </w:rPr>
      </w:pPr>
    </w:p>
    <w:p w:rsidR="00C55ED1" w:rsidRPr="00AA019F" w:rsidRDefault="00C55ED1" w:rsidP="00C55ED1">
      <w:pPr>
        <w:keepLines/>
        <w:autoSpaceDE w:val="0"/>
        <w:autoSpaceDN w:val="0"/>
        <w:adjustRightInd w:val="0"/>
        <w:rPr>
          <w:i/>
          <w:lang w:val="en-AU"/>
        </w:rPr>
      </w:pPr>
      <w:r w:rsidRPr="00AA019F">
        <w:rPr>
          <w:i/>
          <w:lang w:val="en-AU"/>
        </w:rPr>
        <w:t>American Journal of Medical Quality</w:t>
      </w:r>
    </w:p>
    <w:p w:rsidR="00C55ED1" w:rsidRDefault="00C55ED1" w:rsidP="00C55ED1">
      <w:pPr>
        <w:keepLines/>
        <w:autoSpaceDE w:val="0"/>
        <w:autoSpaceDN w:val="0"/>
        <w:adjustRightInd w:val="0"/>
        <w:rPr>
          <w:lang w:val="en-AU"/>
        </w:rPr>
      </w:pPr>
      <w:r>
        <w:rPr>
          <w:lang w:val="en-AU"/>
        </w:rPr>
        <w:t>March/April 2015; 30 (2</w:t>
      </w:r>
      <w:r w:rsidRPr="00AA019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55ED1" w:rsidRPr="0095520C" w:rsidTr="00EA0F9E">
        <w:tc>
          <w:tcPr>
            <w:tcW w:w="1080" w:type="dxa"/>
            <w:tcBorders>
              <w:top w:val="single" w:sz="4" w:space="0" w:color="auto"/>
              <w:left w:val="single" w:sz="4" w:space="0" w:color="auto"/>
              <w:bottom w:val="single" w:sz="4" w:space="0" w:color="auto"/>
              <w:right w:val="single" w:sz="4" w:space="0" w:color="auto"/>
            </w:tcBorders>
            <w:vAlign w:val="center"/>
          </w:tcPr>
          <w:p w:rsidR="00C55ED1" w:rsidRPr="0095520C" w:rsidRDefault="00C55ED1" w:rsidP="00EA0F9E">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5ED1" w:rsidRPr="0095520C" w:rsidRDefault="0053214B" w:rsidP="00EA0F9E">
            <w:pPr>
              <w:rPr>
                <w:lang w:val="en-AU"/>
              </w:rPr>
            </w:pPr>
            <w:hyperlink r:id="rId31" w:history="1">
              <w:r w:rsidR="00C55ED1" w:rsidRPr="00FB2C43">
                <w:rPr>
                  <w:rStyle w:val="Hyperlink"/>
                  <w:lang w:val="en-AU"/>
                </w:rPr>
                <w:t>http://ajm.sagepub.com/content/30/2?etoc</w:t>
              </w:r>
            </w:hyperlink>
          </w:p>
        </w:tc>
      </w:tr>
      <w:tr w:rsidR="00C55ED1" w:rsidRPr="0095520C" w:rsidTr="00EA0F9E">
        <w:tc>
          <w:tcPr>
            <w:tcW w:w="1080" w:type="dxa"/>
            <w:tcBorders>
              <w:top w:val="single" w:sz="4" w:space="0" w:color="auto"/>
              <w:left w:val="single" w:sz="4" w:space="0" w:color="auto"/>
              <w:bottom w:val="single" w:sz="4" w:space="0" w:color="auto"/>
              <w:right w:val="single" w:sz="4" w:space="0" w:color="auto"/>
            </w:tcBorders>
            <w:vAlign w:val="center"/>
          </w:tcPr>
          <w:p w:rsidR="00C55ED1" w:rsidRPr="0095520C" w:rsidRDefault="00C55ED1" w:rsidP="00EA0F9E">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5ED1" w:rsidRPr="0095520C" w:rsidRDefault="00C55ED1" w:rsidP="00EA0F9E">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C55ED1" w:rsidRPr="001072F4" w:rsidRDefault="00C55ED1" w:rsidP="00C55ED1">
            <w:pPr>
              <w:pStyle w:val="ListParagraph"/>
              <w:numPr>
                <w:ilvl w:val="0"/>
                <w:numId w:val="14"/>
              </w:numPr>
              <w:rPr>
                <w:lang w:val="en-AU"/>
              </w:rPr>
            </w:pPr>
            <w:r w:rsidRPr="001072F4">
              <w:rPr>
                <w:lang w:val="en-AU"/>
              </w:rPr>
              <w:t xml:space="preserve">Impact of Including </w:t>
            </w:r>
            <w:r w:rsidRPr="001072F4">
              <w:rPr>
                <w:b/>
                <w:lang w:val="en-AU"/>
              </w:rPr>
              <w:t>Readmissions</w:t>
            </w:r>
            <w:r w:rsidRPr="001072F4">
              <w:rPr>
                <w:lang w:val="en-AU"/>
              </w:rPr>
              <w:t xml:space="preserve"> for Qualifying Events in the </w:t>
            </w:r>
            <w:r w:rsidRPr="001072F4">
              <w:rPr>
                <w:b/>
                <w:lang w:val="en-AU"/>
              </w:rPr>
              <w:t>Patient Safety Indicators</w:t>
            </w:r>
            <w:r w:rsidR="001072F4" w:rsidRPr="001072F4">
              <w:rPr>
                <w:lang w:val="en-AU"/>
              </w:rPr>
              <w:t xml:space="preserve"> (</w:t>
            </w:r>
            <w:r w:rsidRPr="001072F4">
              <w:rPr>
                <w:lang w:val="en-AU"/>
              </w:rPr>
              <w:t>Sheryl M Davies, Olga Saynina, Laurence C Baker, and Kathryn M McDonald</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Face-to-Face </w:t>
            </w:r>
            <w:r w:rsidRPr="001072F4">
              <w:rPr>
                <w:b/>
                <w:lang w:val="en-AU"/>
              </w:rPr>
              <w:t>Handoff:</w:t>
            </w:r>
            <w:r w:rsidRPr="001072F4">
              <w:rPr>
                <w:lang w:val="en-AU"/>
              </w:rPr>
              <w:t xml:space="preserve"> Improving Transfer to the Pediatric Intensive Care Unit </w:t>
            </w:r>
            <w:r w:rsidRPr="001072F4">
              <w:rPr>
                <w:b/>
                <w:lang w:val="en-AU"/>
              </w:rPr>
              <w:t>After Cardiac Surgery</w:t>
            </w:r>
            <w:r w:rsidR="001072F4" w:rsidRPr="001072F4">
              <w:rPr>
                <w:lang w:val="en-AU"/>
              </w:rPr>
              <w:t xml:space="preserve"> (</w:t>
            </w:r>
            <w:r w:rsidRPr="001072F4">
              <w:rPr>
                <w:lang w:val="en-AU"/>
              </w:rPr>
              <w:t>Jeffrey Vergales, Nancy Addison, Analise Vendittelli, E Nicholson, D J Carver, C Stemland, T Hoke, and J Gangemi</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Barriers to and Facilitators of </w:t>
            </w:r>
            <w:r w:rsidRPr="001072F4">
              <w:rPr>
                <w:b/>
                <w:lang w:val="en-AU"/>
              </w:rPr>
              <w:t>Interprofessional-Interdepartmental Interventions</w:t>
            </w:r>
            <w:r w:rsidRPr="001072F4">
              <w:rPr>
                <w:lang w:val="en-AU"/>
              </w:rPr>
              <w:t xml:space="preserve">: Unearthing Departmental </w:t>
            </w:r>
            <w:r w:rsidRPr="001072F4">
              <w:rPr>
                <w:b/>
                <w:lang w:val="en-AU"/>
              </w:rPr>
              <w:t>Culture</w:t>
            </w:r>
            <w:r w:rsidR="001072F4" w:rsidRPr="001072F4">
              <w:rPr>
                <w:lang w:val="en-AU"/>
              </w:rPr>
              <w:t xml:space="preserve"> (</w:t>
            </w:r>
            <w:r w:rsidRPr="001072F4">
              <w:rPr>
                <w:lang w:val="en-AU"/>
              </w:rPr>
              <w:t>Barret Michalec, Natalie Reinhold, Robert Dressler, L Laskowski-Jones, L Adarve, and D Elliott</w:t>
            </w:r>
            <w:r w:rsidR="001072F4">
              <w:rPr>
                <w:lang w:val="en-AU"/>
              </w:rPr>
              <w:t>)</w:t>
            </w:r>
          </w:p>
          <w:p w:rsidR="00C55ED1" w:rsidRPr="001072F4" w:rsidRDefault="00C55ED1" w:rsidP="00C55ED1">
            <w:pPr>
              <w:pStyle w:val="ListParagraph"/>
              <w:numPr>
                <w:ilvl w:val="0"/>
                <w:numId w:val="14"/>
              </w:numPr>
              <w:rPr>
                <w:lang w:val="en-AU"/>
              </w:rPr>
            </w:pPr>
            <w:r w:rsidRPr="001072F4">
              <w:rPr>
                <w:b/>
                <w:lang w:val="en-AU"/>
              </w:rPr>
              <w:t>Primary Care Access Barriers</w:t>
            </w:r>
            <w:r w:rsidRPr="001072F4">
              <w:rPr>
                <w:lang w:val="en-AU"/>
              </w:rPr>
              <w:t xml:space="preserve"> as Reported by Nonurgent Emergency Department Users: Implications for the US Primary Care Infrastructure</w:t>
            </w:r>
            <w:r w:rsidR="001072F4" w:rsidRPr="001072F4">
              <w:rPr>
                <w:lang w:val="en-AU"/>
              </w:rPr>
              <w:t xml:space="preserve"> (</w:t>
            </w:r>
            <w:r w:rsidRPr="001072F4">
              <w:rPr>
                <w:lang w:val="en-AU"/>
              </w:rPr>
              <w:t>Jennifer L Hefner, Randy Wexler, and Ann Scheck McAlearney</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Designing a </w:t>
            </w:r>
            <w:r w:rsidRPr="001072F4">
              <w:rPr>
                <w:b/>
                <w:lang w:val="en-AU"/>
              </w:rPr>
              <w:t>Quality Improvement Program</w:t>
            </w:r>
            <w:r w:rsidRPr="001072F4">
              <w:rPr>
                <w:lang w:val="en-AU"/>
              </w:rPr>
              <w:t xml:space="preserve"> With </w:t>
            </w:r>
            <w:r w:rsidRPr="001072F4">
              <w:rPr>
                <w:b/>
                <w:lang w:val="en-AU"/>
              </w:rPr>
              <w:t>Electronic Health Records</w:t>
            </w:r>
            <w:r w:rsidRPr="001072F4">
              <w:rPr>
                <w:lang w:val="en-AU"/>
              </w:rPr>
              <w:t>: New York City’s Health eQuits</w:t>
            </w:r>
            <w:r w:rsidR="001072F4" w:rsidRPr="001072F4">
              <w:rPr>
                <w:lang w:val="en-AU"/>
              </w:rPr>
              <w:t xml:space="preserve"> (</w:t>
            </w:r>
            <w:r w:rsidRPr="001072F4">
              <w:rPr>
                <w:lang w:val="en-AU"/>
              </w:rPr>
              <w:t>Damon Duquaine, Shannon M Farley, Rachel Sacks, Jenna Mandel-Ricci, Sheryl L Silfen, and S C Shih</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Impact of Audit and Feedback and Pay-for-Performance Interventions on Pediatric Hospitalist </w:t>
            </w:r>
            <w:r w:rsidRPr="001072F4">
              <w:rPr>
                <w:b/>
                <w:lang w:val="en-AU"/>
              </w:rPr>
              <w:t>Discharge Communication</w:t>
            </w:r>
            <w:r w:rsidRPr="001072F4">
              <w:rPr>
                <w:lang w:val="en-AU"/>
              </w:rPr>
              <w:t xml:space="preserve"> With Primary Care Providers</w:t>
            </w:r>
            <w:r w:rsidR="001072F4" w:rsidRPr="001072F4">
              <w:rPr>
                <w:lang w:val="en-AU"/>
              </w:rPr>
              <w:t xml:space="preserve"> (</w:t>
            </w:r>
            <w:r w:rsidRPr="001072F4">
              <w:rPr>
                <w:lang w:val="en-AU"/>
              </w:rPr>
              <w:t>Javier Tejedor-Sojo, Tracy Creek, and Traci Leong</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Patient-Reported </w:t>
            </w:r>
            <w:r w:rsidRPr="001072F4">
              <w:rPr>
                <w:b/>
                <w:lang w:val="en-AU"/>
              </w:rPr>
              <w:t>Reasons for Emergency Department Visits</w:t>
            </w:r>
            <w:r w:rsidRPr="001072F4">
              <w:rPr>
                <w:lang w:val="en-AU"/>
              </w:rPr>
              <w:t xml:space="preserve"> in the Urban Medicaid Population</w:t>
            </w:r>
            <w:r w:rsidR="001072F4" w:rsidRPr="001072F4">
              <w:rPr>
                <w:lang w:val="en-AU"/>
              </w:rPr>
              <w:t xml:space="preserve"> (</w:t>
            </w:r>
            <w:r w:rsidRPr="001072F4">
              <w:rPr>
                <w:lang w:val="en-AU"/>
              </w:rPr>
              <w:t>Lin Wang, Nikolay Tchopev, Kara Kuntz-Melcavage, Michelle Hawkins, and Regina Richardson</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First Time </w:t>
            </w:r>
            <w:r w:rsidRPr="001072F4">
              <w:rPr>
                <w:b/>
                <w:lang w:val="en-AU"/>
              </w:rPr>
              <w:t>Rounding Experiences</w:t>
            </w:r>
            <w:r w:rsidRPr="001072F4">
              <w:rPr>
                <w:lang w:val="en-AU"/>
              </w:rPr>
              <w:t xml:space="preserve"> for Nonclinicians: The Cleveland Clinic Experience</w:t>
            </w:r>
            <w:r w:rsidR="001072F4" w:rsidRPr="001072F4">
              <w:rPr>
                <w:lang w:val="en-AU"/>
              </w:rPr>
              <w:t xml:space="preserve"> (</w:t>
            </w:r>
            <w:r w:rsidRPr="001072F4">
              <w:rPr>
                <w:lang w:val="en-AU"/>
              </w:rPr>
              <w:t>Laura R Greenwald, Amy S Nowacki, and James K. Stoller</w:t>
            </w:r>
            <w:r w:rsidR="001072F4">
              <w:rPr>
                <w:lang w:val="en-AU"/>
              </w:rPr>
              <w:t>)</w:t>
            </w:r>
          </w:p>
          <w:p w:rsidR="00C55ED1" w:rsidRPr="00F22F48" w:rsidRDefault="00C55ED1" w:rsidP="00C55ED1">
            <w:pPr>
              <w:pStyle w:val="ListParagraph"/>
              <w:numPr>
                <w:ilvl w:val="0"/>
                <w:numId w:val="14"/>
              </w:numPr>
              <w:rPr>
                <w:lang w:val="en-AU"/>
              </w:rPr>
            </w:pPr>
            <w:r w:rsidRPr="001072F4">
              <w:rPr>
                <w:lang w:val="en-AU"/>
              </w:rPr>
              <w:t xml:space="preserve">Variability in </w:t>
            </w:r>
            <w:r w:rsidRPr="001072F4">
              <w:rPr>
                <w:b/>
                <w:lang w:val="en-AU"/>
              </w:rPr>
              <w:t>Anesthetic Care</w:t>
            </w:r>
            <w:r w:rsidRPr="001072F4">
              <w:rPr>
                <w:lang w:val="en-AU"/>
              </w:rPr>
              <w:t xml:space="preserve"> for Total Knee Arthroplasty: An Analysis </w:t>
            </w:r>
            <w:r w:rsidRPr="00F22F48">
              <w:rPr>
                <w:lang w:val="en-AU"/>
              </w:rPr>
              <w:t>From the Anesthesia Quality Institute</w:t>
            </w:r>
            <w:r w:rsidR="001072F4" w:rsidRPr="00F22F48">
              <w:rPr>
                <w:lang w:val="en-AU"/>
              </w:rPr>
              <w:t xml:space="preserve"> (</w:t>
            </w:r>
            <w:r w:rsidRPr="00F22F48">
              <w:rPr>
                <w:lang w:val="en-AU"/>
              </w:rPr>
              <w:t>Peter M</w:t>
            </w:r>
            <w:r w:rsidR="001072F4" w:rsidRPr="00F22F48">
              <w:rPr>
                <w:lang w:val="en-AU"/>
              </w:rPr>
              <w:t xml:space="preserve"> Fleischut, Jonathan M</w:t>
            </w:r>
            <w:r w:rsidRPr="00F22F48">
              <w:rPr>
                <w:lang w:val="en-AU"/>
              </w:rPr>
              <w:t xml:space="preserve"> Eskreis-Winkler, Licia K Gaber-Baylis, Gregory P Giambrone, Susan L Faggiani, Richard P Dutton, and Stavros G Memtsoudis</w:t>
            </w:r>
            <w:r w:rsidR="001072F4" w:rsidRPr="00F22F48">
              <w:rPr>
                <w:lang w:val="en-AU"/>
              </w:rPr>
              <w:t>)</w:t>
            </w:r>
          </w:p>
          <w:p w:rsidR="00C55ED1" w:rsidRPr="001072F4" w:rsidRDefault="00C55ED1" w:rsidP="00C55ED1">
            <w:pPr>
              <w:pStyle w:val="ListParagraph"/>
              <w:numPr>
                <w:ilvl w:val="0"/>
                <w:numId w:val="14"/>
              </w:numPr>
              <w:rPr>
                <w:lang w:val="en-AU"/>
              </w:rPr>
            </w:pPr>
            <w:r w:rsidRPr="001072F4">
              <w:rPr>
                <w:lang w:val="en-AU"/>
              </w:rPr>
              <w:t xml:space="preserve">Association Between </w:t>
            </w:r>
            <w:r w:rsidRPr="001072F4">
              <w:rPr>
                <w:b/>
                <w:lang w:val="en-AU"/>
              </w:rPr>
              <w:t>Patient Satisfaction</w:t>
            </w:r>
            <w:r w:rsidRPr="001072F4">
              <w:rPr>
                <w:lang w:val="en-AU"/>
              </w:rPr>
              <w:t xml:space="preserve"> </w:t>
            </w:r>
            <w:r w:rsidRPr="001072F4">
              <w:rPr>
                <w:b/>
                <w:lang w:val="en-AU"/>
              </w:rPr>
              <w:t>and</w:t>
            </w:r>
            <w:r w:rsidRPr="001072F4">
              <w:rPr>
                <w:lang w:val="en-AU"/>
              </w:rPr>
              <w:t xml:space="preserve"> </w:t>
            </w:r>
            <w:r w:rsidRPr="001072F4">
              <w:rPr>
                <w:b/>
                <w:lang w:val="en-AU"/>
              </w:rPr>
              <w:t>Outcomes</w:t>
            </w:r>
            <w:r w:rsidRPr="001072F4">
              <w:rPr>
                <w:lang w:val="en-AU"/>
              </w:rPr>
              <w:t xml:space="preserve"> in Kidney Transplant</w:t>
            </w:r>
            <w:r w:rsidR="001072F4" w:rsidRPr="001072F4">
              <w:rPr>
                <w:lang w:val="en-AU"/>
              </w:rPr>
              <w:t xml:space="preserve"> (</w:t>
            </w:r>
            <w:r w:rsidRPr="001072F4">
              <w:rPr>
                <w:lang w:val="en-AU"/>
              </w:rPr>
              <w:t>Rajagopal Srinivas, Kenneth D Chavin, Prabhakar K Baliga, Titte Srinivas, and David J Taber</w:t>
            </w:r>
            <w:r w:rsidR="001072F4">
              <w:rPr>
                <w:lang w:val="en-AU"/>
              </w:rPr>
              <w:t>)</w:t>
            </w:r>
          </w:p>
          <w:p w:rsidR="00C55ED1" w:rsidRPr="001072F4" w:rsidRDefault="00C55ED1" w:rsidP="00C55ED1">
            <w:pPr>
              <w:pStyle w:val="ListParagraph"/>
              <w:numPr>
                <w:ilvl w:val="0"/>
                <w:numId w:val="14"/>
              </w:numPr>
              <w:rPr>
                <w:lang w:val="en-AU"/>
              </w:rPr>
            </w:pPr>
            <w:r w:rsidRPr="001072F4">
              <w:rPr>
                <w:lang w:val="en-AU"/>
              </w:rPr>
              <w:lastRenderedPageBreak/>
              <w:t xml:space="preserve">Are </w:t>
            </w:r>
            <w:r w:rsidRPr="001072F4">
              <w:rPr>
                <w:b/>
                <w:lang w:val="en-AU"/>
              </w:rPr>
              <w:t>Clinical Practice Guidelines</w:t>
            </w:r>
            <w:r w:rsidRPr="001072F4">
              <w:rPr>
                <w:lang w:val="en-AU"/>
              </w:rPr>
              <w:t xml:space="preserve"> for Cataract and Glaucoma Trustworthy?</w:t>
            </w:r>
            <w:r w:rsidR="001072F4" w:rsidRPr="001072F4">
              <w:rPr>
                <w:lang w:val="en-AU"/>
              </w:rPr>
              <w:t xml:space="preserve"> (</w:t>
            </w:r>
            <w:r w:rsidRPr="001072F4">
              <w:rPr>
                <w:lang w:val="en-AU"/>
              </w:rPr>
              <w:t>Benjamin K Young, Connie M Wu, Annie M Wu, Curtis E Margo, and Paul B Greenberg</w:t>
            </w:r>
            <w:r w:rsidR="001072F4">
              <w:rPr>
                <w:lang w:val="en-AU"/>
              </w:rPr>
              <w:t>)</w:t>
            </w:r>
          </w:p>
          <w:p w:rsidR="00C55ED1" w:rsidRPr="001072F4" w:rsidRDefault="00C55ED1" w:rsidP="00C55ED1">
            <w:pPr>
              <w:pStyle w:val="ListParagraph"/>
              <w:numPr>
                <w:ilvl w:val="0"/>
                <w:numId w:val="14"/>
              </w:numPr>
              <w:rPr>
                <w:lang w:val="en-AU"/>
              </w:rPr>
            </w:pPr>
            <w:r w:rsidRPr="001072F4">
              <w:rPr>
                <w:lang w:val="en-AU"/>
              </w:rPr>
              <w:t xml:space="preserve">Compliance Does Not Mean Quality: An In-Depth Analysis of the </w:t>
            </w:r>
            <w:r w:rsidRPr="001072F4">
              <w:rPr>
                <w:b/>
                <w:lang w:val="en-AU"/>
              </w:rPr>
              <w:t>Safe Surgery Checklist</w:t>
            </w:r>
            <w:r w:rsidRPr="001072F4">
              <w:rPr>
                <w:lang w:val="en-AU"/>
              </w:rPr>
              <w:t xml:space="preserve"> at a Tertiary Care Health Facility</w:t>
            </w:r>
            <w:r w:rsidR="001072F4" w:rsidRPr="001072F4">
              <w:rPr>
                <w:lang w:val="en-AU"/>
              </w:rPr>
              <w:t xml:space="preserve"> (</w:t>
            </w:r>
            <w:r w:rsidRPr="001072F4">
              <w:rPr>
                <w:lang w:val="en-AU"/>
              </w:rPr>
              <w:t>Tahrin Mahmood, Faizal Haji, Rita Damignani, Darius Bagli, Adam Dubrowski, Julian Manzone, Judy Truong, Robert Martin, and Maria Mylopoulos</w:t>
            </w:r>
            <w:r w:rsidR="001072F4">
              <w:rPr>
                <w:lang w:val="en-AU"/>
              </w:rPr>
              <w:t>)</w:t>
            </w:r>
          </w:p>
          <w:p w:rsidR="00C55ED1" w:rsidRPr="0095520C" w:rsidRDefault="00C55ED1" w:rsidP="001072F4">
            <w:pPr>
              <w:pStyle w:val="ListParagraph"/>
              <w:numPr>
                <w:ilvl w:val="0"/>
                <w:numId w:val="14"/>
              </w:numPr>
              <w:rPr>
                <w:lang w:val="en-AU"/>
              </w:rPr>
            </w:pPr>
            <w:r w:rsidRPr="001072F4">
              <w:rPr>
                <w:lang w:val="en-AU"/>
              </w:rPr>
              <w:t xml:space="preserve">Impact of a </w:t>
            </w:r>
            <w:r w:rsidRPr="001072F4">
              <w:rPr>
                <w:b/>
                <w:lang w:val="en-AU"/>
              </w:rPr>
              <w:t>Pharmacy Education Program</w:t>
            </w:r>
            <w:r w:rsidRPr="001072F4">
              <w:rPr>
                <w:lang w:val="en-AU"/>
              </w:rPr>
              <w:t xml:space="preserve"> on </w:t>
            </w:r>
            <w:r w:rsidRPr="001072F4">
              <w:rPr>
                <w:b/>
                <w:lang w:val="en-AU"/>
              </w:rPr>
              <w:t>Chronic Kidney Disease Patients</w:t>
            </w:r>
            <w:r w:rsidRPr="001072F4">
              <w:rPr>
                <w:lang w:val="en-AU"/>
              </w:rPr>
              <w:t xml:space="preserve"> With Complications in an Outpatient Clinic at Police General Hospital</w:t>
            </w:r>
            <w:r w:rsidR="001072F4" w:rsidRPr="001072F4">
              <w:rPr>
                <w:lang w:val="en-AU"/>
              </w:rPr>
              <w:t xml:space="preserve"> (</w:t>
            </w:r>
            <w:r w:rsidRPr="001072F4">
              <w:rPr>
                <w:lang w:val="en-AU"/>
              </w:rPr>
              <w:t>Dhakrit Rungkitwattanakul, Weerachai Chaijamorn, Roongrudee Meesomboon, A Sangwiroon, J Kongrod, P Nurukkae, and S Poolluea</w:t>
            </w:r>
            <w:r w:rsidR="001072F4">
              <w:rPr>
                <w:lang w:val="en-AU"/>
              </w:rPr>
              <w:t>)</w:t>
            </w:r>
          </w:p>
        </w:tc>
      </w:tr>
    </w:tbl>
    <w:p w:rsidR="00C55ED1" w:rsidRDefault="00C55ED1" w:rsidP="00CA0B1F">
      <w:pPr>
        <w:keepLines/>
        <w:autoSpaceDE w:val="0"/>
        <w:autoSpaceDN w:val="0"/>
        <w:adjustRightInd w:val="0"/>
        <w:rPr>
          <w:lang w:val="en-AU"/>
        </w:rPr>
      </w:pPr>
    </w:p>
    <w:p w:rsidR="00DD6D12" w:rsidRPr="00255EF8" w:rsidRDefault="00DD6D12" w:rsidP="00DD6D12">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53214B" w:rsidP="00ED597A">
            <w:pPr>
              <w:rPr>
                <w:lang w:val="en-AU"/>
              </w:rPr>
            </w:pPr>
            <w:hyperlink r:id="rId32"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3D2B7C" w:rsidRDefault="00C933FD" w:rsidP="00C933FD">
            <w:pPr>
              <w:pStyle w:val="ListParagraph"/>
              <w:numPr>
                <w:ilvl w:val="0"/>
                <w:numId w:val="14"/>
              </w:numPr>
              <w:rPr>
                <w:lang w:val="en-AU"/>
              </w:rPr>
            </w:pPr>
            <w:r w:rsidRPr="00C933FD">
              <w:rPr>
                <w:lang w:val="en-AU"/>
              </w:rPr>
              <w:t xml:space="preserve">Editorial: </w:t>
            </w:r>
            <w:r w:rsidRPr="00C933FD">
              <w:rPr>
                <w:b/>
                <w:lang w:val="en-AU"/>
              </w:rPr>
              <w:t>Electronic health records</w:t>
            </w:r>
            <w:r w:rsidRPr="00C933FD">
              <w:rPr>
                <w:lang w:val="en-AU"/>
              </w:rPr>
              <w:t xml:space="preserve"> and </w:t>
            </w:r>
            <w:r w:rsidRPr="00C933FD">
              <w:rPr>
                <w:b/>
                <w:lang w:val="en-AU"/>
              </w:rPr>
              <w:t>patient safety</w:t>
            </w:r>
            <w:r w:rsidRPr="00C933FD">
              <w:rPr>
                <w:lang w:val="en-AU"/>
              </w:rPr>
              <w:t xml:space="preserve">: should we be discouraged? </w:t>
            </w:r>
            <w:r>
              <w:rPr>
                <w:lang w:val="en-AU"/>
              </w:rPr>
              <w:t>(</w:t>
            </w:r>
            <w:r w:rsidRPr="00C933FD">
              <w:rPr>
                <w:lang w:val="en-AU"/>
              </w:rPr>
              <w:t>Thomas H Payne</w:t>
            </w:r>
            <w:r>
              <w:rPr>
                <w:lang w:val="en-AU"/>
              </w:rPr>
              <w:t>)</w:t>
            </w:r>
          </w:p>
          <w:p w:rsidR="00A5519B" w:rsidRPr="00255EF8" w:rsidRDefault="00A5519B" w:rsidP="00A5519B">
            <w:pPr>
              <w:pStyle w:val="ListParagraph"/>
              <w:numPr>
                <w:ilvl w:val="0"/>
                <w:numId w:val="14"/>
              </w:numPr>
              <w:rPr>
                <w:lang w:val="en-AU"/>
              </w:rPr>
            </w:pPr>
            <w:r w:rsidRPr="00A5519B">
              <w:rPr>
                <w:b/>
                <w:lang w:val="en-AU"/>
              </w:rPr>
              <w:t>Human factors</w:t>
            </w:r>
            <w:r w:rsidRPr="00A5519B">
              <w:rPr>
                <w:lang w:val="en-AU"/>
              </w:rPr>
              <w:t xml:space="preserve"> and </w:t>
            </w:r>
            <w:r w:rsidRPr="00A5519B">
              <w:rPr>
                <w:b/>
                <w:lang w:val="en-AU"/>
              </w:rPr>
              <w:t>ergonomics</w:t>
            </w:r>
            <w:r w:rsidRPr="00A5519B">
              <w:rPr>
                <w:lang w:val="en-AU"/>
              </w:rPr>
              <w:t xml:space="preserve"> and </w:t>
            </w:r>
            <w:r w:rsidRPr="00A5519B">
              <w:rPr>
                <w:b/>
                <w:lang w:val="en-AU"/>
              </w:rPr>
              <w:t>quality improvement science</w:t>
            </w:r>
            <w:r w:rsidRPr="00A5519B">
              <w:rPr>
                <w:lang w:val="en-AU"/>
              </w:rPr>
              <w:t>: integrating appro</w:t>
            </w:r>
            <w:r>
              <w:rPr>
                <w:lang w:val="en-AU"/>
              </w:rPr>
              <w:t>aches for safety in healthcare (</w:t>
            </w:r>
            <w:r w:rsidRPr="00A5519B">
              <w:rPr>
                <w:lang w:val="en-AU"/>
              </w:rPr>
              <w:t>Sue Hignett, Emma Leanne Jones, Duncan Miller, Laurie Wolf, Chetna Modi, Muhammad Waseem Shahzad, Peter Buckle, Jaydip Banerjee, Ken Catchpole</w:t>
            </w:r>
            <w:r>
              <w:rPr>
                <w:lang w:val="en-AU"/>
              </w:rPr>
              <w:t>)</w:t>
            </w:r>
          </w:p>
        </w:tc>
      </w:tr>
    </w:tbl>
    <w:p w:rsidR="00D2325E" w:rsidRPr="00255EF8" w:rsidRDefault="00D2325E" w:rsidP="00D2325E">
      <w:pPr>
        <w:keepLines/>
        <w:autoSpaceDE w:val="0"/>
        <w:autoSpaceDN w:val="0"/>
        <w:adjustRightInd w:val="0"/>
        <w:rPr>
          <w:lang w:val="en-AU"/>
        </w:rPr>
      </w:pPr>
    </w:p>
    <w:p w:rsidR="00755242" w:rsidRPr="00255EF8" w:rsidRDefault="00755242" w:rsidP="00755242">
      <w:pPr>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53214B" w:rsidP="009F1E32">
            <w:pPr>
              <w:rPr>
                <w:lang w:val="en-AU"/>
              </w:rPr>
            </w:pPr>
            <w:hyperlink r:id="rId33" w:history="1">
              <w:r w:rsidR="00755242" w:rsidRPr="00255EF8">
                <w:rPr>
                  <w:rStyle w:val="Hyperlink"/>
                  <w:lang w:val="en-AU"/>
                </w:rPr>
                <w:t>http://intqhc.oxfordjournals.org/content/early/recent?papetoc</w:t>
              </w:r>
            </w:hyperlink>
            <w:r w:rsidR="00755242" w:rsidRPr="00255EF8">
              <w:rPr>
                <w:lang w:val="en-AU"/>
              </w:rPr>
              <w:t xml:space="preserve"> </w:t>
            </w:r>
          </w:p>
        </w:tc>
      </w:tr>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180CD6" w:rsidRDefault="00755242" w:rsidP="009F1E32">
            <w:pPr>
              <w:rPr>
                <w:lang w:val="en-AU"/>
              </w:rPr>
            </w:pPr>
            <w:r w:rsidRPr="00180CD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180CD6" w:rsidRDefault="00755242" w:rsidP="009F1E32">
            <w:pPr>
              <w:rPr>
                <w:lang w:val="en-AU"/>
              </w:rPr>
            </w:pPr>
            <w:r w:rsidRPr="00180CD6">
              <w:rPr>
                <w:i/>
                <w:lang w:val="en-AU"/>
              </w:rPr>
              <w:t xml:space="preserve">International Journal for Quality in Health Care </w:t>
            </w:r>
            <w:r w:rsidRPr="00180CD6">
              <w:rPr>
                <w:lang w:val="en-AU"/>
              </w:rPr>
              <w:t>has published a number of ‘online first’ articles, including:</w:t>
            </w:r>
          </w:p>
          <w:p w:rsidR="00F6103B" w:rsidRPr="00180CD6" w:rsidRDefault="00180CD6" w:rsidP="00180CD6">
            <w:pPr>
              <w:pStyle w:val="ListParagraph"/>
              <w:numPr>
                <w:ilvl w:val="0"/>
                <w:numId w:val="14"/>
              </w:numPr>
              <w:rPr>
                <w:lang w:val="en-AU"/>
              </w:rPr>
            </w:pPr>
            <w:r w:rsidRPr="00180CD6">
              <w:rPr>
                <w:b/>
                <w:lang w:val="en-AU"/>
              </w:rPr>
              <w:t xml:space="preserve">Interoperability </w:t>
            </w:r>
            <w:r w:rsidRPr="00180CD6">
              <w:rPr>
                <w:lang w:val="en-AU"/>
              </w:rPr>
              <w:t>after deployment: persistent challenges and regional strategies in Denmark</w:t>
            </w:r>
            <w:r w:rsidRPr="00180CD6">
              <w:rPr>
                <w:lang w:val="en-AU"/>
              </w:rPr>
              <w:t xml:space="preserve"> (</w:t>
            </w:r>
            <w:r w:rsidRPr="00180CD6">
              <w:rPr>
                <w:lang w:val="en-AU"/>
              </w:rPr>
              <w:t>Patrick Kierkegaard</w:t>
            </w:r>
            <w:r w:rsidRPr="00180CD6">
              <w:rPr>
                <w:lang w:val="en-AU"/>
              </w:rPr>
              <w:t>)</w:t>
            </w:r>
          </w:p>
        </w:tc>
      </w:tr>
    </w:tbl>
    <w:p w:rsidR="00755242" w:rsidRPr="00255EF8" w:rsidRDefault="00755242" w:rsidP="00755242">
      <w:pPr>
        <w:rPr>
          <w:lang w:val="en-AU"/>
        </w:rPr>
      </w:pPr>
    </w:p>
    <w:p w:rsidR="0076574A" w:rsidRPr="00255EF8" w:rsidRDefault="0076574A" w:rsidP="00755242">
      <w:pPr>
        <w:rPr>
          <w:lang w:val="en-AU"/>
        </w:rPr>
      </w:pPr>
    </w:p>
    <w:p w:rsidR="00590FB6" w:rsidRPr="00255EF8" w:rsidRDefault="00590FB6" w:rsidP="00F01814">
      <w:pPr>
        <w:keepNext/>
        <w:rPr>
          <w:b/>
          <w:lang w:val="en-AU"/>
        </w:rPr>
      </w:pPr>
      <w:r w:rsidRPr="00255EF8">
        <w:rPr>
          <w:b/>
          <w:lang w:val="en-AU"/>
        </w:rPr>
        <w:t>Online resources</w:t>
      </w:r>
    </w:p>
    <w:p w:rsidR="006012BC" w:rsidRDefault="006012BC" w:rsidP="00F01814">
      <w:pPr>
        <w:keepNext/>
        <w:rPr>
          <w:i/>
          <w:lang w:val="en-AU"/>
        </w:rPr>
      </w:pPr>
    </w:p>
    <w:p w:rsidR="00A83F9B" w:rsidRPr="008D074D" w:rsidRDefault="008D074D" w:rsidP="0029518F">
      <w:pPr>
        <w:rPr>
          <w:i/>
          <w:lang w:val="en-AU"/>
        </w:rPr>
      </w:pPr>
      <w:r w:rsidRPr="008D074D">
        <w:rPr>
          <w:i/>
          <w:lang w:val="en-AU"/>
        </w:rPr>
        <w:t>Assessment Methodologies - Achieving Accreditation</w:t>
      </w:r>
    </w:p>
    <w:p w:rsidR="008D074D" w:rsidRDefault="0053214B" w:rsidP="0029518F">
      <w:pPr>
        <w:rPr>
          <w:lang w:val="en-AU"/>
        </w:rPr>
      </w:pPr>
      <w:hyperlink r:id="rId34" w:history="1">
        <w:r w:rsidR="008D074D" w:rsidRPr="00BF28CA">
          <w:rPr>
            <w:rStyle w:val="Hyperlink"/>
            <w:lang w:val="en-AU"/>
          </w:rPr>
          <w:t>http://www.isqua.org/education/webinars/february-2015-webinar-with-stephen-clark</w:t>
        </w:r>
      </w:hyperlink>
    </w:p>
    <w:p w:rsidR="00767986" w:rsidRDefault="008D074D" w:rsidP="00767986">
      <w:pPr>
        <w:rPr>
          <w:lang w:val="en-AU"/>
        </w:rPr>
      </w:pPr>
      <w:r>
        <w:rPr>
          <w:lang w:val="en-AU"/>
        </w:rPr>
        <w:t xml:space="preserve">Webinar presented by </w:t>
      </w:r>
      <w:r w:rsidR="00767986" w:rsidRPr="00767986">
        <w:rPr>
          <w:lang w:val="en-AU"/>
        </w:rPr>
        <w:t xml:space="preserve">Dr Stephen Clark (Group Chief Executive: Quality Innovation Performance </w:t>
      </w:r>
      <w:proofErr w:type="gramStart"/>
      <w:r w:rsidR="00767986" w:rsidRPr="00767986">
        <w:rPr>
          <w:lang w:val="en-AU"/>
        </w:rPr>
        <w:t>Ltd  and</w:t>
      </w:r>
      <w:proofErr w:type="gramEnd"/>
      <w:r w:rsidR="00767986" w:rsidRPr="00767986">
        <w:rPr>
          <w:lang w:val="en-AU"/>
        </w:rPr>
        <w:t xml:space="preserve"> Australian General Practice Accreditation Ltd)</w:t>
      </w:r>
      <w:r w:rsidR="00767986">
        <w:rPr>
          <w:lang w:val="en-AU"/>
        </w:rPr>
        <w:t xml:space="preserve"> discussing </w:t>
      </w:r>
      <w:r w:rsidR="00767986" w:rsidRPr="00767986">
        <w:rPr>
          <w:lang w:val="en-AU"/>
        </w:rPr>
        <w:t>assessment methodologies to achieve accreditation.</w:t>
      </w:r>
      <w:r w:rsidR="00767986">
        <w:rPr>
          <w:lang w:val="en-AU"/>
        </w:rPr>
        <w:t xml:space="preserve"> </w:t>
      </w:r>
      <w:r w:rsidR="00767986" w:rsidRPr="00767986">
        <w:rPr>
          <w:lang w:val="en-AU"/>
        </w:rPr>
        <w:t xml:space="preserve">In </w:t>
      </w:r>
      <w:r w:rsidR="00767986">
        <w:rPr>
          <w:lang w:val="en-AU"/>
        </w:rPr>
        <w:t xml:space="preserve">the </w:t>
      </w:r>
      <w:r w:rsidR="00767986" w:rsidRPr="00767986">
        <w:rPr>
          <w:lang w:val="en-AU"/>
        </w:rPr>
        <w:t>webinar</w:t>
      </w:r>
      <w:r w:rsidR="00767986">
        <w:rPr>
          <w:lang w:val="en-AU"/>
        </w:rPr>
        <w:t xml:space="preserve"> he discusses </w:t>
      </w:r>
      <w:r w:rsidR="00767986" w:rsidRPr="00767986">
        <w:rPr>
          <w:lang w:val="en-AU"/>
        </w:rPr>
        <w:t>Australia's healthcare system and what's happening there in terms of health reform. He also discusses the importance of standards in primary care and the benefits of accreditation.</w:t>
      </w:r>
    </w:p>
    <w:p w:rsidR="00026C9C" w:rsidRDefault="00026C9C" w:rsidP="0029518F">
      <w:pPr>
        <w:rPr>
          <w:lang w:val="en-AU"/>
        </w:rPr>
      </w:pPr>
    </w:p>
    <w:p w:rsidR="00767986" w:rsidRDefault="00767986" w:rsidP="0029518F">
      <w:pPr>
        <w:rPr>
          <w:lang w:val="en-AU"/>
        </w:rPr>
      </w:pPr>
      <w:r>
        <w:rPr>
          <w:lang w:val="en-AU"/>
        </w:rPr>
        <w:t xml:space="preserve">For more information on the Commission’s </w:t>
      </w:r>
      <w:r w:rsidR="00F22F48">
        <w:rPr>
          <w:lang w:val="en-AU"/>
        </w:rPr>
        <w:t xml:space="preserve">work on </w:t>
      </w:r>
      <w:r>
        <w:rPr>
          <w:lang w:val="en-AU"/>
        </w:rPr>
        <w:t xml:space="preserve">accreditation and the National Safety and Quality Health Service Standards, see </w:t>
      </w:r>
      <w:hyperlink r:id="rId35" w:history="1">
        <w:r w:rsidRPr="00BF28CA">
          <w:rPr>
            <w:rStyle w:val="Hyperlink"/>
            <w:lang w:val="en-AU"/>
          </w:rPr>
          <w:t>http://www.safetyandquality.gov.au/our-work/national-standards-and-accreditation/</w:t>
        </w:r>
      </w:hyperlink>
      <w:r>
        <w:rPr>
          <w:lang w:val="en-AU"/>
        </w:rPr>
        <w:t xml:space="preserve"> </w:t>
      </w:r>
    </w:p>
    <w:p w:rsidR="00767986" w:rsidRDefault="00767986" w:rsidP="0029518F">
      <w:pPr>
        <w:rPr>
          <w:lang w:val="en-AU"/>
        </w:rPr>
      </w:pPr>
    </w:p>
    <w:p w:rsidR="001348B5" w:rsidRPr="00BB29D1" w:rsidRDefault="00BB29D1" w:rsidP="0029518F">
      <w:pPr>
        <w:rPr>
          <w:i/>
          <w:lang w:val="en-AU"/>
        </w:rPr>
      </w:pPr>
      <w:r w:rsidRPr="00BB29D1">
        <w:rPr>
          <w:i/>
          <w:lang w:val="en-AU"/>
        </w:rPr>
        <w:t xml:space="preserve">[WHO] WHO calls for worldwide use of "smart" </w:t>
      </w:r>
      <w:proofErr w:type="gramStart"/>
      <w:r w:rsidRPr="00BB29D1">
        <w:rPr>
          <w:i/>
          <w:lang w:val="en-AU"/>
        </w:rPr>
        <w:t>syringes</w:t>
      </w:r>
      <w:proofErr w:type="gramEnd"/>
    </w:p>
    <w:p w:rsidR="00BB29D1" w:rsidRDefault="0053214B" w:rsidP="0029518F">
      <w:pPr>
        <w:rPr>
          <w:lang w:val="en-AU"/>
        </w:rPr>
      </w:pPr>
      <w:hyperlink r:id="rId36" w:history="1">
        <w:r w:rsidR="00BB29D1" w:rsidRPr="00BF28CA">
          <w:rPr>
            <w:rStyle w:val="Hyperlink"/>
            <w:lang w:val="en-AU"/>
          </w:rPr>
          <w:t>http://www.who.int/mediacentre/news/releases/2015/injection-safety/en/</w:t>
        </w:r>
      </w:hyperlink>
    </w:p>
    <w:p w:rsidR="00BB29D1" w:rsidRDefault="00BB29D1" w:rsidP="00BB29D1">
      <w:pPr>
        <w:rPr>
          <w:lang w:val="en-AU"/>
        </w:rPr>
      </w:pPr>
      <w:r>
        <w:rPr>
          <w:lang w:val="en-AU"/>
        </w:rPr>
        <w:t xml:space="preserve">The </w:t>
      </w:r>
      <w:r w:rsidRPr="00BB29D1">
        <w:rPr>
          <w:lang w:val="en-AU"/>
        </w:rPr>
        <w:t xml:space="preserve">World Health Organization </w:t>
      </w:r>
      <w:r>
        <w:rPr>
          <w:lang w:val="en-AU"/>
        </w:rPr>
        <w:t xml:space="preserve">is calling for </w:t>
      </w:r>
      <w:r w:rsidRPr="00BB29D1">
        <w:rPr>
          <w:lang w:val="en-AU"/>
        </w:rPr>
        <w:t xml:space="preserve">the adoption of </w:t>
      </w:r>
      <w:r>
        <w:rPr>
          <w:lang w:val="en-AU"/>
        </w:rPr>
        <w:t>‘</w:t>
      </w:r>
      <w:r w:rsidRPr="00BB29D1">
        <w:rPr>
          <w:lang w:val="en-AU"/>
        </w:rPr>
        <w:t>smart</w:t>
      </w:r>
      <w:r>
        <w:rPr>
          <w:lang w:val="en-AU"/>
        </w:rPr>
        <w:t>’</w:t>
      </w:r>
      <w:r w:rsidRPr="00BB29D1">
        <w:rPr>
          <w:lang w:val="en-AU"/>
        </w:rPr>
        <w:t xml:space="preserve"> syringes </w:t>
      </w:r>
      <w:r>
        <w:rPr>
          <w:lang w:val="en-AU"/>
        </w:rPr>
        <w:t>(</w:t>
      </w:r>
      <w:r w:rsidRPr="00BB29D1">
        <w:rPr>
          <w:lang w:val="en-AU"/>
        </w:rPr>
        <w:t>which use various mechanisms to preve</w:t>
      </w:r>
      <w:r>
        <w:rPr>
          <w:lang w:val="en-AU"/>
        </w:rPr>
        <w:t xml:space="preserve">nt multiple use of the syringes) </w:t>
      </w:r>
      <w:r w:rsidRPr="00BB29D1">
        <w:rPr>
          <w:lang w:val="en-AU"/>
        </w:rPr>
        <w:t>to prevent needle reuse</w:t>
      </w:r>
      <w:r>
        <w:rPr>
          <w:lang w:val="en-AU"/>
        </w:rPr>
        <w:t xml:space="preserve"> </w:t>
      </w:r>
      <w:r w:rsidRPr="00BB29D1">
        <w:rPr>
          <w:lang w:val="en-AU"/>
        </w:rPr>
        <w:t xml:space="preserve">and </w:t>
      </w:r>
      <w:r>
        <w:rPr>
          <w:lang w:val="en-AU"/>
        </w:rPr>
        <w:t xml:space="preserve">has also called for </w:t>
      </w:r>
      <w:r w:rsidRPr="00BB29D1">
        <w:rPr>
          <w:lang w:val="en-AU"/>
        </w:rPr>
        <w:t>reduced use of injections in genera</w:t>
      </w:r>
      <w:r>
        <w:rPr>
          <w:lang w:val="en-AU"/>
        </w:rPr>
        <w:t>l.</w:t>
      </w:r>
    </w:p>
    <w:p w:rsidR="00BB29D1" w:rsidRDefault="00BB29D1" w:rsidP="00BB29D1">
      <w:pPr>
        <w:rPr>
          <w:lang w:val="en-AU"/>
        </w:rPr>
      </w:pPr>
      <w:r>
        <w:rPr>
          <w:lang w:val="en-AU"/>
        </w:rPr>
        <w:lastRenderedPageBreak/>
        <w:t>It is claimed that up</w:t>
      </w:r>
      <w:r w:rsidRPr="00BB29D1">
        <w:rPr>
          <w:lang w:val="en-AU"/>
        </w:rPr>
        <w:t xml:space="preserve"> to 1.7 million people were infected with hepatitis B, up to 315,000 with hepatitis C, and as many as 33,800 with HIV through an unsafe injection in 2010. The </w:t>
      </w:r>
      <w:r>
        <w:rPr>
          <w:lang w:val="en-AU"/>
        </w:rPr>
        <w:t>WHO encourages</w:t>
      </w:r>
      <w:r w:rsidRPr="00BB29D1">
        <w:rPr>
          <w:lang w:val="en-AU"/>
        </w:rPr>
        <w:t xml:space="preserve"> countries to transition to exclusive use of </w:t>
      </w:r>
      <w:r>
        <w:rPr>
          <w:lang w:val="en-AU"/>
        </w:rPr>
        <w:t>‘</w:t>
      </w:r>
      <w:r w:rsidRPr="00BB29D1">
        <w:rPr>
          <w:lang w:val="en-AU"/>
        </w:rPr>
        <w:t>smart</w:t>
      </w:r>
      <w:r>
        <w:rPr>
          <w:lang w:val="en-AU"/>
        </w:rPr>
        <w:t>’</w:t>
      </w:r>
      <w:r w:rsidRPr="00BB29D1">
        <w:rPr>
          <w:lang w:val="en-AU"/>
        </w:rPr>
        <w:t xml:space="preserve"> syringes</w:t>
      </w:r>
      <w:r>
        <w:rPr>
          <w:lang w:val="en-AU"/>
        </w:rPr>
        <w:t xml:space="preserve"> by 2020.</w:t>
      </w:r>
    </w:p>
    <w:p w:rsidR="00BB29D1" w:rsidRDefault="00BB29D1" w:rsidP="0029518F">
      <w:pPr>
        <w:rPr>
          <w:lang w:val="en-AU"/>
        </w:rPr>
      </w:pPr>
    </w:p>
    <w:p w:rsidR="00180CD6" w:rsidRDefault="00180CD6" w:rsidP="00180CD6">
      <w:pPr>
        <w:keepNext/>
        <w:rPr>
          <w:i/>
          <w:lang w:val="en-AU"/>
        </w:rPr>
      </w:pPr>
      <w:r>
        <w:rPr>
          <w:i/>
          <w:lang w:val="en-AU"/>
        </w:rPr>
        <w:t>[UK] NICE Guidelines and Quality Standards</w:t>
      </w:r>
    </w:p>
    <w:p w:rsidR="00180CD6" w:rsidRDefault="00180CD6" w:rsidP="00180CD6">
      <w:pPr>
        <w:keepNext/>
        <w:rPr>
          <w:lang w:val="en-AU"/>
        </w:rPr>
      </w:pPr>
      <w:hyperlink r:id="rId37" w:history="1">
        <w:r w:rsidRPr="00E846CD">
          <w:rPr>
            <w:rStyle w:val="Hyperlink"/>
            <w:lang w:val="en-AU"/>
          </w:rPr>
          <w:t>http://www.nice.org.uk</w:t>
        </w:r>
      </w:hyperlink>
    </w:p>
    <w:p w:rsidR="00180CD6" w:rsidRDefault="00180CD6" w:rsidP="00180CD6">
      <w:pPr>
        <w:rPr>
          <w:lang w:val="en-AU"/>
        </w:rPr>
      </w:pPr>
      <w:r>
        <w:rPr>
          <w:lang w:val="en-AU"/>
        </w:rPr>
        <w:t>The UK’s National Institute for Health and Care Excellence (NICE) has published new (or updated) guidelines and quality standards. The latest updates are:</w:t>
      </w:r>
    </w:p>
    <w:p w:rsidR="00180CD6" w:rsidRDefault="00180CD6" w:rsidP="00180CD6">
      <w:pPr>
        <w:pStyle w:val="ListParagraph"/>
        <w:numPr>
          <w:ilvl w:val="0"/>
          <w:numId w:val="14"/>
        </w:numPr>
        <w:rPr>
          <w:lang w:val="en-AU"/>
        </w:rPr>
      </w:pPr>
      <w:r>
        <w:rPr>
          <w:lang w:val="en-AU"/>
        </w:rPr>
        <w:t xml:space="preserve">NICE Guideline NG2 </w:t>
      </w:r>
      <w:r w:rsidRPr="00A0333D">
        <w:rPr>
          <w:b/>
          <w:lang w:val="en-AU"/>
        </w:rPr>
        <w:t>Bladder cancer</w:t>
      </w:r>
      <w:r w:rsidRPr="00A0333D">
        <w:rPr>
          <w:lang w:val="en-AU"/>
        </w:rPr>
        <w:t xml:space="preserve">: diagnosis and management of bladder cancer </w:t>
      </w:r>
      <w:hyperlink r:id="rId38" w:history="1">
        <w:r w:rsidRPr="00397C8F">
          <w:rPr>
            <w:rStyle w:val="Hyperlink"/>
            <w:lang w:val="en-AU"/>
          </w:rPr>
          <w:t>https://www.nice.org.uk/guidance/ng2</w:t>
        </w:r>
      </w:hyperlink>
      <w:r>
        <w:rPr>
          <w:lang w:val="en-AU"/>
        </w:rPr>
        <w:t xml:space="preserve"> </w:t>
      </w:r>
    </w:p>
    <w:p w:rsidR="00180CD6" w:rsidRDefault="00180CD6" w:rsidP="00180CD6">
      <w:pPr>
        <w:pStyle w:val="ListParagraph"/>
        <w:numPr>
          <w:ilvl w:val="0"/>
          <w:numId w:val="14"/>
        </w:numPr>
        <w:rPr>
          <w:lang w:val="en-AU"/>
        </w:rPr>
      </w:pPr>
      <w:r>
        <w:rPr>
          <w:lang w:val="en-AU"/>
        </w:rPr>
        <w:t xml:space="preserve">NICE Guideline NG3 </w:t>
      </w:r>
      <w:r w:rsidRPr="00A0333D">
        <w:rPr>
          <w:b/>
          <w:lang w:val="en-AU"/>
        </w:rPr>
        <w:t>Diabetes in pregnancy</w:t>
      </w:r>
      <w:r w:rsidRPr="00A0333D">
        <w:rPr>
          <w:lang w:val="en-AU"/>
        </w:rPr>
        <w:t xml:space="preserve">: management of diabetes and its complications from preconception to the postnatal period </w:t>
      </w:r>
      <w:hyperlink r:id="rId39" w:history="1">
        <w:r w:rsidRPr="00397C8F">
          <w:rPr>
            <w:rStyle w:val="Hyperlink"/>
            <w:lang w:val="en-AU"/>
          </w:rPr>
          <w:t>https://www.nice.org.uk/guidance/ng3</w:t>
        </w:r>
      </w:hyperlink>
      <w:r>
        <w:rPr>
          <w:lang w:val="en-AU"/>
        </w:rPr>
        <w:t xml:space="preserve"> </w:t>
      </w:r>
    </w:p>
    <w:p w:rsidR="00180CD6" w:rsidRDefault="00180CD6" w:rsidP="00180CD6">
      <w:pPr>
        <w:pStyle w:val="ListParagraph"/>
        <w:numPr>
          <w:ilvl w:val="0"/>
          <w:numId w:val="14"/>
        </w:numPr>
        <w:rPr>
          <w:lang w:val="en-AU"/>
        </w:rPr>
      </w:pPr>
      <w:r>
        <w:rPr>
          <w:lang w:val="en-AU"/>
        </w:rPr>
        <w:t xml:space="preserve">NICE Guideline CG61 </w:t>
      </w:r>
      <w:r w:rsidRPr="00A0333D">
        <w:rPr>
          <w:b/>
          <w:lang w:val="en-AU"/>
        </w:rPr>
        <w:t>Irritable bowel syndrome</w:t>
      </w:r>
      <w:r w:rsidRPr="00A0333D">
        <w:rPr>
          <w:lang w:val="en-AU"/>
        </w:rPr>
        <w:t xml:space="preserve"> in adults: diagnosis and management of irritable bowel syndrome in primary care</w:t>
      </w:r>
      <w:r>
        <w:rPr>
          <w:lang w:val="en-AU"/>
        </w:rPr>
        <w:t xml:space="preserve"> </w:t>
      </w:r>
      <w:hyperlink r:id="rId40" w:history="1">
        <w:r w:rsidRPr="00397C8F">
          <w:rPr>
            <w:rStyle w:val="Hyperlink"/>
            <w:lang w:val="en-AU"/>
          </w:rPr>
          <w:t>https://www.nice.org.uk/guidance/cg61</w:t>
        </w:r>
      </w:hyperlink>
    </w:p>
    <w:p w:rsidR="00180CD6" w:rsidRPr="00A0333D" w:rsidRDefault="00180CD6" w:rsidP="00180CD6">
      <w:pPr>
        <w:pStyle w:val="ListParagraph"/>
        <w:numPr>
          <w:ilvl w:val="0"/>
          <w:numId w:val="14"/>
        </w:numPr>
        <w:rPr>
          <w:lang w:val="en-AU"/>
        </w:rPr>
      </w:pPr>
      <w:r>
        <w:rPr>
          <w:lang w:val="en-AU"/>
        </w:rPr>
        <w:t xml:space="preserve">NICE Quality Standard QS80 </w:t>
      </w:r>
      <w:r w:rsidRPr="00A0333D">
        <w:rPr>
          <w:b/>
          <w:lang w:val="en-AU"/>
        </w:rPr>
        <w:t>Psychosis and schizophrenia in adults</w:t>
      </w:r>
      <w:r>
        <w:rPr>
          <w:b/>
          <w:lang w:val="en-AU"/>
        </w:rPr>
        <w:t xml:space="preserve"> </w:t>
      </w:r>
      <w:hyperlink r:id="rId41" w:history="1">
        <w:r w:rsidRPr="00A0333D">
          <w:rPr>
            <w:rStyle w:val="Hyperlink"/>
            <w:lang w:val="en-AU"/>
          </w:rPr>
          <w:t>http://www.nice.org.uk/guidance/QS80</w:t>
        </w:r>
      </w:hyperlink>
      <w:r w:rsidRPr="00A0333D">
        <w:rPr>
          <w:lang w:val="en-AU"/>
        </w:rPr>
        <w:t xml:space="preserve"> </w:t>
      </w:r>
    </w:p>
    <w:p w:rsidR="00180CD6" w:rsidRDefault="00180CD6" w:rsidP="00180CD6">
      <w:pPr>
        <w:keepNext/>
        <w:rPr>
          <w:i/>
          <w:lang w:val="en-AU"/>
        </w:rPr>
      </w:pPr>
    </w:p>
    <w:p w:rsidR="00BB29D1" w:rsidRPr="00255EF8" w:rsidRDefault="00BB29D1" w:rsidP="0029518F">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4B" w:rsidRDefault="0053214B">
      <w:r>
        <w:separator/>
      </w:r>
    </w:p>
  </w:endnote>
  <w:endnote w:type="continuationSeparator" w:id="0">
    <w:p w:rsidR="0053214B" w:rsidRDefault="0053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10CC3">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CA0B1F">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CC3">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CA0B1F">
      <w:t xml:space="preserve"> Issue 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4B" w:rsidRDefault="0053214B">
      <w:r>
        <w:separator/>
      </w:r>
    </w:p>
  </w:footnote>
  <w:footnote w:type="continuationSeparator" w:id="0">
    <w:p w:rsidR="0053214B" w:rsidRDefault="00532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6496C"/>
    <w:multiLevelType w:val="hybridMultilevel"/>
    <w:tmpl w:val="1748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FA0A52"/>
    <w:multiLevelType w:val="hybridMultilevel"/>
    <w:tmpl w:val="4BB8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566104"/>
    <w:multiLevelType w:val="hybridMultilevel"/>
    <w:tmpl w:val="201AC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B952A0"/>
    <w:multiLevelType w:val="hybridMultilevel"/>
    <w:tmpl w:val="316A3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1024A6"/>
    <w:multiLevelType w:val="hybridMultilevel"/>
    <w:tmpl w:val="4C8A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8D4E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C81344"/>
    <w:multiLevelType w:val="hybridMultilevel"/>
    <w:tmpl w:val="74265B6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61C5D"/>
    <w:multiLevelType w:val="hybridMultilevel"/>
    <w:tmpl w:val="A978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E059AE"/>
    <w:multiLevelType w:val="hybridMultilevel"/>
    <w:tmpl w:val="78CE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F9058E"/>
    <w:multiLevelType w:val="hybridMultilevel"/>
    <w:tmpl w:val="7F2AE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B901B1"/>
    <w:multiLevelType w:val="hybridMultilevel"/>
    <w:tmpl w:val="411675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17"/>
  </w:num>
  <w:num w:numId="16">
    <w:abstractNumId w:val="27"/>
  </w:num>
  <w:num w:numId="17">
    <w:abstractNumId w:val="19"/>
  </w:num>
  <w:num w:numId="18">
    <w:abstractNumId w:val="36"/>
  </w:num>
  <w:num w:numId="19">
    <w:abstractNumId w:val="34"/>
  </w:num>
  <w:num w:numId="20">
    <w:abstractNumId w:val="26"/>
  </w:num>
  <w:num w:numId="21">
    <w:abstractNumId w:val="37"/>
  </w:num>
  <w:num w:numId="22">
    <w:abstractNumId w:val="21"/>
  </w:num>
  <w:num w:numId="23">
    <w:abstractNumId w:val="14"/>
  </w:num>
  <w:num w:numId="24">
    <w:abstractNumId w:val="11"/>
  </w:num>
  <w:num w:numId="25">
    <w:abstractNumId w:val="12"/>
  </w:num>
  <w:num w:numId="26">
    <w:abstractNumId w:val="32"/>
  </w:num>
  <w:num w:numId="27">
    <w:abstractNumId w:val="28"/>
  </w:num>
  <w:num w:numId="28">
    <w:abstractNumId w:val="29"/>
  </w:num>
  <w:num w:numId="29">
    <w:abstractNumId w:val="41"/>
  </w:num>
  <w:num w:numId="30">
    <w:abstractNumId w:val="23"/>
  </w:num>
  <w:num w:numId="31">
    <w:abstractNumId w:val="33"/>
  </w:num>
  <w:num w:numId="32">
    <w:abstractNumId w:val="15"/>
  </w:num>
  <w:num w:numId="33">
    <w:abstractNumId w:val="13"/>
  </w:num>
  <w:num w:numId="34">
    <w:abstractNumId w:val="35"/>
  </w:num>
  <w:num w:numId="35">
    <w:abstractNumId w:val="40"/>
  </w:num>
  <w:num w:numId="36">
    <w:abstractNumId w:val="20"/>
  </w:num>
  <w:num w:numId="37">
    <w:abstractNumId w:val="39"/>
  </w:num>
  <w:num w:numId="38">
    <w:abstractNumId w:val="30"/>
  </w:num>
  <w:num w:numId="39">
    <w:abstractNumId w:val="16"/>
  </w:num>
  <w:num w:numId="40">
    <w:abstractNumId w:val="22"/>
  </w:num>
  <w:num w:numId="41">
    <w:abstractNumId w:val="18"/>
  </w:num>
  <w:num w:numId="4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47F2"/>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5E8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33D"/>
    <w:rsid w:val="00814896"/>
    <w:rsid w:val="00814B34"/>
    <w:rsid w:val="00814BCB"/>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0B"/>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55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CCE"/>
    <w:rsid w:val="00F20458"/>
    <w:rsid w:val="00F20F59"/>
    <w:rsid w:val="00F2160D"/>
    <w:rsid w:val="00F2207E"/>
    <w:rsid w:val="00F22C87"/>
    <w:rsid w:val="00F22E37"/>
    <w:rsid w:val="00F22F48"/>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1/jama.2015.25" TargetMode="External"/><Relationship Id="rId26" Type="http://schemas.openxmlformats.org/officeDocument/2006/relationships/hyperlink" Target="http://www.safetyandquality.gov.au/our-work/medication-safety/" TargetMode="External"/><Relationship Id="rId39" Type="http://schemas.openxmlformats.org/officeDocument/2006/relationships/hyperlink" Target="https://www.nice.org.uk/guidance/ng3" TargetMode="External"/><Relationship Id="rId3" Type="http://schemas.openxmlformats.org/officeDocument/2006/relationships/styles" Target="styles.xml"/><Relationship Id="rId21" Type="http://schemas.openxmlformats.org/officeDocument/2006/relationships/hyperlink" Target="http://dx.doi.org/10.1093/bja/aeu460" TargetMode="External"/><Relationship Id="rId34" Type="http://schemas.openxmlformats.org/officeDocument/2006/relationships/hyperlink" Target="http://www.isqua.org/education/webinars/february-2015-webinar-with-stephen-clark"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01/jama.2014.18614" TargetMode="External"/><Relationship Id="rId25" Type="http://schemas.openxmlformats.org/officeDocument/2006/relationships/hyperlink" Target="http://dx.doi.org/10.1111/ijpp.12172" TargetMode="External"/><Relationship Id="rId33" Type="http://schemas.openxmlformats.org/officeDocument/2006/relationships/hyperlink" Target="http://intqhc.oxfordjournals.org/content/early/recent?papetoc" TargetMode="External"/><Relationship Id="rId38" Type="http://schemas.openxmlformats.org/officeDocument/2006/relationships/hyperlink" Target="https://www.nice.org.uk/guidance/ng2" TargetMode="External"/><Relationship Id="rId2" Type="http://schemas.openxmlformats.org/officeDocument/2006/relationships/numbering" Target="numbering.xml"/><Relationship Id="rId16" Type="http://schemas.openxmlformats.org/officeDocument/2006/relationships/hyperlink" Target="http://www.kingsfund.org.uk/publications/staff-engagement" TargetMode="External"/><Relationship Id="rId20" Type="http://schemas.openxmlformats.org/officeDocument/2006/relationships/hyperlink" Target="http://dx.doi.org/10.1016/j.ijsu.2014.10.031" TargetMode="External"/><Relationship Id="rId29" Type="http://schemas.openxmlformats.org/officeDocument/2006/relationships/hyperlink" Target="http://intqhc.oxfordjournals.org/content/27/1?etoc" TargetMode="External"/><Relationship Id="rId41" Type="http://schemas.openxmlformats.org/officeDocument/2006/relationships/hyperlink" Target="http://www.nice.org.uk/guidance/QS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11/hex.12342" TargetMode="External"/><Relationship Id="rId32" Type="http://schemas.openxmlformats.org/officeDocument/2006/relationships/hyperlink" Target="http://qualitysafety.bmj.com/content/early/recent" TargetMode="External"/><Relationship Id="rId37" Type="http://schemas.openxmlformats.org/officeDocument/2006/relationships/hyperlink" Target="http://www.nice.org.uk" TargetMode="External"/><Relationship Id="rId40" Type="http://schemas.openxmlformats.org/officeDocument/2006/relationships/hyperlink" Target="https://www.nice.org.uk/guidance/cg6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safety-in-e-health/" TargetMode="External"/><Relationship Id="rId28" Type="http://schemas.openxmlformats.org/officeDocument/2006/relationships/hyperlink" Target="http://www.safetyandquality.gov.au/our-work/healthcare-associated-infection/" TargetMode="External"/><Relationship Id="rId36" Type="http://schemas.openxmlformats.org/officeDocument/2006/relationships/hyperlink" Target="http://www.who.int/mediacentre/news/releases/2015/injection-safety/en/"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01/jama.2015.4" TargetMode="External"/><Relationship Id="rId31" Type="http://schemas.openxmlformats.org/officeDocument/2006/relationships/hyperlink" Target="http://ajm.sagepub.com/content/30/2?eto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ijmedinf.2014.12.003" TargetMode="External"/><Relationship Id="rId27" Type="http://schemas.openxmlformats.org/officeDocument/2006/relationships/hyperlink" Target="http://dx.doi.org/10.1016/j.jhin.2014.12.003" TargetMode="External"/><Relationship Id="rId30" Type="http://schemas.openxmlformats.org/officeDocument/2006/relationships/hyperlink" Target="http://www.publish.csiro.au/nid/262/issue/7499.htm" TargetMode="External"/><Relationship Id="rId35" Type="http://schemas.openxmlformats.org/officeDocument/2006/relationships/hyperlink" Target="http://www.safetyandquality.gov.au/our-work/national-standards-and-accreditation/"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0F00-84A5-4CB7-90F0-1A96F530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8</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24194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24</cp:revision>
  <cp:lastPrinted>2013-06-06T03:47:00Z</cp:lastPrinted>
  <dcterms:created xsi:type="dcterms:W3CDTF">2015-02-22T21:05:00Z</dcterms:created>
  <dcterms:modified xsi:type="dcterms:W3CDTF">2015-03-01T06:05:00Z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