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20AA2">
        <w:rPr>
          <w:color w:val="000000"/>
          <w:lang w:val="en-AU"/>
        </w:rPr>
        <w:t>1</w:t>
      </w:r>
      <w:r w:rsidR="00E84B6F">
        <w:rPr>
          <w:color w:val="000000"/>
          <w:lang w:val="en-AU"/>
        </w:rPr>
        <w:t>3</w:t>
      </w:r>
    </w:p>
    <w:p w:rsidR="00755242" w:rsidRPr="00255EF8" w:rsidRDefault="00E84B6F" w:rsidP="00B160EF">
      <w:pPr>
        <w:rPr>
          <w:lang w:val="en-AU"/>
        </w:rPr>
      </w:pPr>
      <w:r>
        <w:rPr>
          <w:lang w:val="en-AU"/>
        </w:rPr>
        <w:t>9</w:t>
      </w:r>
      <w:r w:rsidR="00CA0B1F">
        <w:rPr>
          <w:lang w:val="en-AU"/>
        </w:rPr>
        <w:t xml:space="preserve"> March</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0"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0"/>
      <w:r w:rsidR="00A43352">
        <w:rPr>
          <w:bCs/>
          <w:lang w:val="en-AU"/>
        </w:rPr>
        <w:t>, Alice Bhasale</w:t>
      </w:r>
    </w:p>
    <w:p w:rsidR="00F34D09" w:rsidRPr="00255EF8" w:rsidRDefault="00F34D09" w:rsidP="00F34D09">
      <w:pPr>
        <w:rPr>
          <w:shd w:val="clear" w:color="auto" w:fill="FFFFFF"/>
          <w:lang w:val="en-AU"/>
        </w:rPr>
      </w:pPr>
    </w:p>
    <w:p w:rsidR="00CC4DDA" w:rsidRPr="00255EF8" w:rsidRDefault="00CC4DDA" w:rsidP="00CC4DDA">
      <w:pPr>
        <w:rPr>
          <w:b/>
          <w:shd w:val="clear" w:color="auto" w:fill="FFFFFF"/>
          <w:lang w:val="en-AU"/>
        </w:rPr>
      </w:pPr>
      <w:r w:rsidRPr="00255EF8">
        <w:rPr>
          <w:b/>
          <w:shd w:val="clear" w:color="auto" w:fill="FFFFFF"/>
          <w:lang w:val="en-AU"/>
        </w:rPr>
        <w:t>Report</w:t>
      </w:r>
      <w:r w:rsidR="00F52B72" w:rsidRPr="00255EF8">
        <w:rPr>
          <w:b/>
          <w:shd w:val="clear" w:color="auto" w:fill="FFFFFF"/>
          <w:lang w:val="en-AU"/>
        </w:rPr>
        <w:t>s</w:t>
      </w:r>
    </w:p>
    <w:p w:rsidR="00E84B6F" w:rsidRDefault="00E84B6F" w:rsidP="005C0864">
      <w:pPr>
        <w:rPr>
          <w:i/>
          <w:shd w:val="clear" w:color="auto" w:fill="FFFFFF"/>
          <w:lang w:val="en-AU"/>
        </w:rPr>
      </w:pPr>
    </w:p>
    <w:p w:rsidR="005F37B1" w:rsidRDefault="005F37B1" w:rsidP="005F37B1">
      <w:pPr>
        <w:rPr>
          <w:shd w:val="clear" w:color="auto" w:fill="FFFFFF"/>
          <w:lang w:val="en-AU"/>
        </w:rPr>
      </w:pPr>
      <w:proofErr w:type="gramStart"/>
      <w:r w:rsidRPr="005F37B1">
        <w:rPr>
          <w:i/>
          <w:shd w:val="clear" w:color="auto" w:fill="FFFFFF"/>
          <w:lang w:val="en-AU"/>
        </w:rPr>
        <w:t>Building the foundations for improvement: How five UK trusts built quality improvement capability at scale within their organisations</w:t>
      </w:r>
      <w:r>
        <w:rPr>
          <w:shd w:val="clear" w:color="auto" w:fill="FFFFFF"/>
          <w:lang w:val="en-AU"/>
        </w:rPr>
        <w:t>.</w:t>
      </w:r>
      <w:proofErr w:type="gramEnd"/>
      <w:r>
        <w:rPr>
          <w:shd w:val="clear" w:color="auto" w:fill="FFFFFF"/>
          <w:lang w:val="en-AU"/>
        </w:rPr>
        <w:t xml:space="preserve"> Learning report</w:t>
      </w:r>
    </w:p>
    <w:p w:rsidR="005F37B1" w:rsidRDefault="005F37B1" w:rsidP="00374F6A">
      <w:pPr>
        <w:rPr>
          <w:shd w:val="clear" w:color="auto" w:fill="FFFFFF"/>
          <w:lang w:val="en-AU"/>
        </w:rPr>
      </w:pPr>
      <w:r w:rsidRPr="005F37B1">
        <w:rPr>
          <w:shd w:val="clear" w:color="auto" w:fill="FFFFFF"/>
          <w:lang w:val="en-AU"/>
        </w:rPr>
        <w:t>Jones B, Woodhead T</w:t>
      </w:r>
    </w:p>
    <w:p w:rsidR="00374F6A" w:rsidRPr="00255EF8" w:rsidRDefault="005F37B1" w:rsidP="00374F6A">
      <w:pPr>
        <w:rPr>
          <w:shd w:val="clear" w:color="auto" w:fill="FFFFFF"/>
          <w:lang w:val="en-AU"/>
        </w:rPr>
      </w:pPr>
      <w:r w:rsidRPr="005F37B1">
        <w:rPr>
          <w:shd w:val="clear" w:color="auto" w:fill="FFFFFF"/>
          <w:lang w:val="en-AU"/>
        </w:rPr>
        <w:t xml:space="preserve">London: The Health Foundation; 2015. </w:t>
      </w:r>
      <w:proofErr w:type="gramStart"/>
      <w:r w:rsidRPr="005F37B1">
        <w:rPr>
          <w:shd w:val="clear" w:color="auto" w:fill="FFFFFF"/>
          <w:lang w:val="en-AU"/>
        </w:rPr>
        <w:t>p. 40.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31879" w:rsidRPr="00255EF8" w:rsidRDefault="00E15BFF" w:rsidP="005F37B1">
            <w:pPr>
              <w:rPr>
                <w:lang w:val="en-AU"/>
              </w:rPr>
            </w:pPr>
            <w:hyperlink r:id="rId16" w:history="1">
              <w:r w:rsidR="005F37B1" w:rsidRPr="00D52647">
                <w:rPr>
                  <w:rStyle w:val="Hyperlink"/>
                  <w:lang w:val="en-AU"/>
                </w:rPr>
                <w:t>http://www.health.org.uk/publications/building-the-foundations-for-improvement/</w:t>
              </w:r>
            </w:hyperlink>
          </w:p>
        </w:tc>
      </w:tr>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37B1" w:rsidRPr="005F37B1" w:rsidRDefault="005F37B1" w:rsidP="005F37B1">
            <w:pPr>
              <w:rPr>
                <w:lang w:val="en-AU" w:eastAsia="en-AU"/>
              </w:rPr>
            </w:pPr>
            <w:r>
              <w:rPr>
                <w:lang w:val="en-AU" w:eastAsia="en-AU"/>
              </w:rPr>
              <w:t xml:space="preserve">A ‘Learning Report’ from the UK’s Health Foundation </w:t>
            </w:r>
            <w:r w:rsidR="00EA5AB6">
              <w:rPr>
                <w:lang w:val="en-AU" w:eastAsia="en-AU"/>
              </w:rPr>
              <w:t xml:space="preserve">that examines </w:t>
            </w:r>
            <w:r>
              <w:rPr>
                <w:lang w:val="en-AU" w:eastAsia="en-AU"/>
              </w:rPr>
              <w:t xml:space="preserve">how </w:t>
            </w:r>
            <w:r w:rsidRPr="005F37B1">
              <w:rPr>
                <w:lang w:val="en-AU" w:eastAsia="en-AU"/>
              </w:rPr>
              <w:t xml:space="preserve">five UK </w:t>
            </w:r>
            <w:r>
              <w:rPr>
                <w:lang w:val="en-AU" w:eastAsia="en-AU"/>
              </w:rPr>
              <w:t xml:space="preserve">health </w:t>
            </w:r>
            <w:r w:rsidRPr="005F37B1">
              <w:rPr>
                <w:lang w:val="en-AU" w:eastAsia="en-AU"/>
              </w:rPr>
              <w:t xml:space="preserve">trusts built quality improvement </w:t>
            </w:r>
            <w:r w:rsidRPr="00EA5AB6">
              <w:rPr>
                <w:lang w:val="en-AU" w:eastAsia="en-AU"/>
                <w14:ligatures w14:val="all"/>
              </w:rPr>
              <w:t>capability</w:t>
            </w:r>
            <w:r w:rsidRPr="005F37B1">
              <w:rPr>
                <w:lang w:val="en-AU" w:eastAsia="en-AU"/>
              </w:rPr>
              <w:t xml:space="preserve"> at scale in their organisations.</w:t>
            </w:r>
            <w:r w:rsidR="00FB7039">
              <w:rPr>
                <w:lang w:val="en-AU" w:eastAsia="en-AU"/>
              </w:rPr>
              <w:t xml:space="preserve"> </w:t>
            </w:r>
            <w:r w:rsidRPr="005F37B1">
              <w:rPr>
                <w:lang w:val="en-AU" w:eastAsia="en-AU"/>
              </w:rPr>
              <w:t xml:space="preserve">The report </w:t>
            </w:r>
            <w:r>
              <w:rPr>
                <w:lang w:val="en-AU" w:eastAsia="en-AU"/>
              </w:rPr>
              <w:t xml:space="preserve">offers </w:t>
            </w:r>
            <w:r w:rsidRPr="005F37B1">
              <w:rPr>
                <w:lang w:val="en-AU" w:eastAsia="en-AU"/>
              </w:rPr>
              <w:t>an insight into how and why the</w:t>
            </w:r>
            <w:r>
              <w:rPr>
                <w:lang w:val="en-AU" w:eastAsia="en-AU"/>
              </w:rPr>
              <w:t>se</w:t>
            </w:r>
            <w:r w:rsidRPr="005F37B1">
              <w:rPr>
                <w:lang w:val="en-AU" w:eastAsia="en-AU"/>
              </w:rPr>
              <w:t xml:space="preserve"> trusts </w:t>
            </w:r>
            <w:r>
              <w:rPr>
                <w:lang w:val="en-AU" w:eastAsia="en-AU"/>
              </w:rPr>
              <w:t xml:space="preserve">undertook these improvement efforts, </w:t>
            </w:r>
            <w:r w:rsidRPr="005F37B1">
              <w:rPr>
                <w:lang w:val="en-AU" w:eastAsia="en-AU"/>
              </w:rPr>
              <w:t>the impact they achieved and the challenges they encountered.</w:t>
            </w:r>
          </w:p>
          <w:p w:rsidR="005F37B1" w:rsidRDefault="005F37B1" w:rsidP="00A96042">
            <w:pPr>
              <w:rPr>
                <w:lang w:val="en-AU" w:eastAsia="en-AU"/>
              </w:rPr>
            </w:pPr>
            <w:r w:rsidRPr="005F37B1">
              <w:rPr>
                <w:lang w:val="en-AU" w:eastAsia="en-AU"/>
              </w:rPr>
              <w:t xml:space="preserve">The report </w:t>
            </w:r>
            <w:r>
              <w:rPr>
                <w:lang w:val="en-AU" w:eastAsia="en-AU"/>
              </w:rPr>
              <w:t xml:space="preserve">also identifies </w:t>
            </w:r>
            <w:r w:rsidRPr="005F37B1">
              <w:rPr>
                <w:lang w:val="en-AU" w:eastAsia="en-AU"/>
              </w:rPr>
              <w:t xml:space="preserve">some key lessons from the trusts’ improvement journeys which </w:t>
            </w:r>
            <w:r w:rsidR="00A96042">
              <w:rPr>
                <w:lang w:val="en-AU" w:eastAsia="en-AU"/>
              </w:rPr>
              <w:t xml:space="preserve">it is hoped </w:t>
            </w:r>
            <w:r w:rsidRPr="005F37B1">
              <w:rPr>
                <w:lang w:val="en-AU" w:eastAsia="en-AU"/>
              </w:rPr>
              <w:t xml:space="preserve">will be useful for </w:t>
            </w:r>
            <w:r w:rsidR="00A96042">
              <w:rPr>
                <w:lang w:val="en-AU" w:eastAsia="en-AU"/>
              </w:rPr>
              <w:t xml:space="preserve">other </w:t>
            </w:r>
            <w:r w:rsidRPr="005F37B1">
              <w:rPr>
                <w:lang w:val="en-AU" w:eastAsia="en-AU"/>
              </w:rPr>
              <w:t>organisations that are considering building improvement capability at scale. It also provides a useful checklist of points for organisations to consider before planning, designing and delivering an improvement capability building programme.</w:t>
            </w:r>
          </w:p>
          <w:p w:rsidR="00A96042" w:rsidRDefault="00A96042" w:rsidP="00A96042">
            <w:pPr>
              <w:rPr>
                <w:lang w:val="en-AU" w:eastAsia="en-AU"/>
              </w:rPr>
            </w:pPr>
            <w:r>
              <w:rPr>
                <w:lang w:val="en-AU" w:eastAsia="en-AU"/>
              </w:rPr>
              <w:t>The key lessons include:</w:t>
            </w:r>
          </w:p>
          <w:p w:rsidR="00A96042" w:rsidRPr="00A96042" w:rsidRDefault="00A96042" w:rsidP="00A96042">
            <w:pPr>
              <w:pStyle w:val="ListParagraph"/>
              <w:numPr>
                <w:ilvl w:val="0"/>
                <w:numId w:val="43"/>
              </w:numPr>
              <w:rPr>
                <w:lang w:val="en-AU" w:eastAsia="en-AU"/>
              </w:rPr>
            </w:pPr>
            <w:r w:rsidRPr="00A96042">
              <w:rPr>
                <w:lang w:val="en-AU" w:eastAsia="en-AU"/>
              </w:rPr>
              <w:t>Getting early board-level support is essential</w:t>
            </w:r>
          </w:p>
          <w:p w:rsidR="00A96042" w:rsidRPr="00A96042" w:rsidRDefault="00A96042" w:rsidP="00A96042">
            <w:pPr>
              <w:pStyle w:val="ListParagraph"/>
              <w:numPr>
                <w:ilvl w:val="0"/>
                <w:numId w:val="43"/>
              </w:numPr>
              <w:rPr>
                <w:lang w:val="en-AU" w:eastAsia="en-AU"/>
              </w:rPr>
            </w:pPr>
            <w:r w:rsidRPr="00A96042">
              <w:rPr>
                <w:lang w:val="en-AU" w:eastAsia="en-AU"/>
              </w:rPr>
              <w:t>Organisations need to think carefully about how they will fund improvement capability programmes</w:t>
            </w:r>
          </w:p>
          <w:p w:rsidR="00A96042" w:rsidRPr="00A96042" w:rsidRDefault="00A96042" w:rsidP="00A96042">
            <w:pPr>
              <w:pStyle w:val="ListParagraph"/>
              <w:numPr>
                <w:ilvl w:val="0"/>
                <w:numId w:val="43"/>
              </w:numPr>
              <w:rPr>
                <w:lang w:val="en-AU" w:eastAsia="en-AU"/>
              </w:rPr>
            </w:pPr>
            <w:r w:rsidRPr="00A96042">
              <w:rPr>
                <w:lang w:val="en-AU" w:eastAsia="en-AU"/>
              </w:rPr>
              <w:lastRenderedPageBreak/>
              <w:t>Organisations need to find ways of freeing up staff time to take part in training</w:t>
            </w:r>
          </w:p>
          <w:p w:rsidR="00A96042" w:rsidRPr="00A96042" w:rsidRDefault="00A96042" w:rsidP="00A96042">
            <w:pPr>
              <w:pStyle w:val="ListParagraph"/>
              <w:numPr>
                <w:ilvl w:val="0"/>
                <w:numId w:val="43"/>
              </w:numPr>
              <w:rPr>
                <w:lang w:val="en-AU" w:eastAsia="en-AU"/>
              </w:rPr>
            </w:pPr>
            <w:r w:rsidRPr="00A96042">
              <w:rPr>
                <w:lang w:val="en-AU" w:eastAsia="en-AU"/>
              </w:rPr>
              <w:t>Commissioners need to do more to support organisations developing improvement capability building programmes</w:t>
            </w:r>
          </w:p>
          <w:p w:rsidR="00A96042" w:rsidRPr="00A96042" w:rsidRDefault="00A96042" w:rsidP="00A96042">
            <w:pPr>
              <w:pStyle w:val="ListParagraph"/>
              <w:numPr>
                <w:ilvl w:val="0"/>
                <w:numId w:val="43"/>
              </w:numPr>
              <w:rPr>
                <w:lang w:val="en-AU" w:eastAsia="en-AU"/>
              </w:rPr>
            </w:pPr>
            <w:r w:rsidRPr="00A96042">
              <w:rPr>
                <w:lang w:val="en-AU" w:eastAsia="en-AU"/>
              </w:rPr>
              <w:t>Arm’s length bodies need to give organisations the time and space to develop and embed their quality improvement programmes.</w:t>
            </w:r>
          </w:p>
          <w:p w:rsidR="00A96042" w:rsidRPr="00E84B6F" w:rsidRDefault="00A96042" w:rsidP="00A96042">
            <w:pPr>
              <w:rPr>
                <w:lang w:val="en-AU" w:eastAsia="en-AU"/>
              </w:rPr>
            </w:pPr>
            <w:r>
              <w:rPr>
                <w:lang w:val="en-AU" w:eastAsia="en-AU"/>
              </w:rPr>
              <w:t>Another key lesson could be that it is important to understand your own setting and context as simply ‘transplanting’ what may have worked elsewhere is usually insufficient for success</w:t>
            </w:r>
          </w:p>
        </w:tc>
      </w:tr>
    </w:tbl>
    <w:p w:rsidR="00E84B6F" w:rsidRDefault="00E84B6F" w:rsidP="00051C68">
      <w:pPr>
        <w:keepNext/>
        <w:rPr>
          <w:lang w:val="en-AU"/>
        </w:rPr>
      </w:pPr>
    </w:p>
    <w:p w:rsidR="00E84B6F" w:rsidRPr="00E84B6F" w:rsidRDefault="00E84B6F" w:rsidP="00051C68">
      <w:pPr>
        <w:keepNext/>
        <w:rPr>
          <w:lang w:val="en-AU"/>
        </w:rPr>
      </w:pPr>
    </w:p>
    <w:p w:rsidR="00A30DF9" w:rsidRPr="00255EF8" w:rsidRDefault="00254636" w:rsidP="00051C68">
      <w:pPr>
        <w:keepNext/>
        <w:rPr>
          <w:b/>
          <w:lang w:val="en-AU"/>
        </w:rPr>
      </w:pPr>
      <w:r w:rsidRPr="00255EF8">
        <w:rPr>
          <w:b/>
          <w:lang w:val="en-AU"/>
        </w:rPr>
        <w:t>Journal articles</w:t>
      </w:r>
    </w:p>
    <w:p w:rsidR="00A43352" w:rsidRDefault="00A43352" w:rsidP="00594E21">
      <w:pPr>
        <w:keepNext/>
        <w:keepLines/>
        <w:autoSpaceDE w:val="0"/>
        <w:autoSpaceDN w:val="0"/>
        <w:adjustRightInd w:val="0"/>
        <w:rPr>
          <w:lang w:val="en-AU"/>
        </w:rPr>
      </w:pPr>
    </w:p>
    <w:p w:rsidR="00083515" w:rsidRPr="00083515" w:rsidRDefault="00083515" w:rsidP="00083515">
      <w:pPr>
        <w:keepNext/>
        <w:keepLines/>
        <w:autoSpaceDE w:val="0"/>
        <w:autoSpaceDN w:val="0"/>
        <w:adjustRightInd w:val="0"/>
        <w:rPr>
          <w:i/>
          <w:lang w:val="en-AU"/>
        </w:rPr>
      </w:pPr>
      <w:r w:rsidRPr="00083515">
        <w:rPr>
          <w:i/>
          <w:lang w:val="en-AU"/>
        </w:rPr>
        <w:t>Safety of medication use in primary care</w:t>
      </w:r>
    </w:p>
    <w:p w:rsidR="00083515" w:rsidRDefault="00083515" w:rsidP="00E84B6F">
      <w:pPr>
        <w:keepNext/>
        <w:keepLines/>
        <w:autoSpaceDE w:val="0"/>
        <w:autoSpaceDN w:val="0"/>
        <w:adjustRightInd w:val="0"/>
        <w:rPr>
          <w:lang w:val="en-AU"/>
        </w:rPr>
      </w:pPr>
      <w:r w:rsidRPr="00083515">
        <w:rPr>
          <w:lang w:val="en-AU"/>
        </w:rPr>
        <w:t>Olaniyan JO, Ghaleb M, Dhillon S, Robinson P</w:t>
      </w:r>
    </w:p>
    <w:p w:rsidR="00E84B6F" w:rsidRPr="00255EF8" w:rsidRDefault="00083515" w:rsidP="00E84B6F">
      <w:pPr>
        <w:keepNext/>
        <w:keepLines/>
        <w:autoSpaceDE w:val="0"/>
        <w:autoSpaceDN w:val="0"/>
        <w:adjustRightInd w:val="0"/>
        <w:rPr>
          <w:lang w:val="en-AU"/>
        </w:rPr>
      </w:pPr>
      <w:proofErr w:type="gramStart"/>
      <w:r w:rsidRPr="00083515">
        <w:rPr>
          <w:lang w:val="en-AU"/>
        </w:rPr>
        <w:t>International Journal of Pharmacy Practice.</w:t>
      </w:r>
      <w:proofErr w:type="gramEnd"/>
      <w:r w:rsidRPr="00083515">
        <w:rPr>
          <w:lang w:val="en-AU"/>
        </w:rPr>
        <w:t xml:space="preserve"> 2015 Feb</w:t>
      </w:r>
      <w:proofErr w:type="gramStart"/>
      <w:r w:rsidRPr="00083515">
        <w:rPr>
          <w:lang w:val="en-AU"/>
        </w:rPr>
        <w:t>;23</w:t>
      </w:r>
      <w:proofErr w:type="gramEnd"/>
      <w:r w:rsidRPr="00083515">
        <w:rPr>
          <w:lang w:val="en-AU"/>
        </w:rPr>
        <w:t>(1):3-20.</w:t>
      </w:r>
    </w:p>
    <w:tbl>
      <w:tblPr>
        <w:tblStyle w:val="TableGrid"/>
        <w:tblW w:w="0" w:type="auto"/>
        <w:tblInd w:w="288" w:type="dxa"/>
        <w:tblLayout w:type="fixed"/>
        <w:tblLook w:val="01E0" w:firstRow="1" w:lastRow="1" w:firstColumn="1" w:lastColumn="1" w:noHBand="0" w:noVBand="0"/>
      </w:tblPr>
      <w:tblGrid>
        <w:gridCol w:w="1080"/>
        <w:gridCol w:w="8280"/>
      </w:tblGrid>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4B6F" w:rsidRDefault="00E15BFF" w:rsidP="008351DA">
            <w:pPr>
              <w:rPr>
                <w:lang w:val="en-AU"/>
              </w:rPr>
            </w:pPr>
            <w:hyperlink r:id="rId17" w:history="1">
              <w:r w:rsidR="00083515" w:rsidRPr="00D00E3C">
                <w:rPr>
                  <w:rStyle w:val="Hyperlink"/>
                  <w:lang w:val="en-AU"/>
                </w:rPr>
                <w:t>http://dx.doi.org/10.1111/ijpp.12120</w:t>
              </w:r>
            </w:hyperlink>
          </w:p>
          <w:p w:rsidR="00083515" w:rsidRPr="00255EF8" w:rsidRDefault="00E15BFF" w:rsidP="008351DA">
            <w:pPr>
              <w:rPr>
                <w:lang w:val="en-AU"/>
              </w:rPr>
            </w:pPr>
            <w:hyperlink r:id="rId18" w:history="1">
              <w:r w:rsidR="00083515" w:rsidRPr="00D00E3C">
                <w:rPr>
                  <w:rStyle w:val="Hyperlink"/>
                  <w:lang w:val="en-AU"/>
                </w:rPr>
                <w:t>http://onlinelibrary.wiley.com/doi/10.1111/ijpp.12120/full</w:t>
              </w:r>
            </w:hyperlink>
          </w:p>
        </w:tc>
      </w:tr>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4B6F" w:rsidRDefault="004A07F7" w:rsidP="004A07F7">
            <w:pPr>
              <w:rPr>
                <w:color w:val="333333"/>
                <w:shd w:val="clear" w:color="auto" w:fill="FFFFFF"/>
                <w:lang w:val="en-AU"/>
              </w:rPr>
            </w:pPr>
            <w:r>
              <w:rPr>
                <w:color w:val="333333"/>
                <w:shd w:val="clear" w:color="auto" w:fill="FFFFFF"/>
                <w:lang w:val="en-AU"/>
              </w:rPr>
              <w:t xml:space="preserve">This systematic review sought to establish rates of medication error in primary care and to identify interventions designed to prevent these errors. The review examined 35 </w:t>
            </w:r>
            <w:r w:rsidRPr="004A07F7">
              <w:rPr>
                <w:color w:val="333333"/>
                <w:shd w:val="clear" w:color="auto" w:fill="FFFFFF"/>
                <w:lang w:val="en-AU"/>
              </w:rPr>
              <w:t xml:space="preserve">studies estimating the incidence of medication errors and </w:t>
            </w:r>
            <w:r>
              <w:rPr>
                <w:color w:val="333333"/>
                <w:shd w:val="clear" w:color="auto" w:fill="FFFFFF"/>
                <w:lang w:val="en-AU"/>
              </w:rPr>
              <w:t xml:space="preserve">36 </w:t>
            </w:r>
            <w:r w:rsidRPr="004A07F7">
              <w:rPr>
                <w:color w:val="333333"/>
                <w:shd w:val="clear" w:color="auto" w:fill="FFFFFF"/>
                <w:lang w:val="en-AU"/>
              </w:rPr>
              <w:t>evaluating the impact of error-prevention interventions in primary care</w:t>
            </w:r>
            <w:r>
              <w:rPr>
                <w:color w:val="333333"/>
                <w:shd w:val="clear" w:color="auto" w:fill="FFFFFF"/>
                <w:lang w:val="en-AU"/>
              </w:rPr>
              <w:t>.</w:t>
            </w:r>
          </w:p>
          <w:p w:rsidR="004A07F7" w:rsidRPr="00255EF8" w:rsidRDefault="004A07F7" w:rsidP="004A07F7">
            <w:pPr>
              <w:rPr>
                <w:color w:val="333333"/>
                <w:shd w:val="clear" w:color="auto" w:fill="FFFFFF"/>
                <w:lang w:val="en-AU"/>
              </w:rPr>
            </w:pPr>
            <w:r>
              <w:rPr>
                <w:color w:val="333333"/>
                <w:shd w:val="clear" w:color="auto" w:fill="FFFFFF"/>
                <w:lang w:val="en-AU"/>
              </w:rPr>
              <w:t xml:space="preserve">The </w:t>
            </w:r>
            <w:r w:rsidRPr="004A07F7">
              <w:rPr>
                <w:b/>
                <w:color w:val="333333"/>
                <w:shd w:val="clear" w:color="auto" w:fill="FFFFFF"/>
                <w:lang w:val="en-AU"/>
              </w:rPr>
              <w:t>error rates</w:t>
            </w:r>
            <w:r>
              <w:rPr>
                <w:color w:val="333333"/>
                <w:shd w:val="clear" w:color="auto" w:fill="FFFFFF"/>
                <w:lang w:val="en-AU"/>
              </w:rPr>
              <w:t xml:space="preserve"> document</w:t>
            </w:r>
            <w:r w:rsidR="00FB7039">
              <w:rPr>
                <w:color w:val="333333"/>
                <w:shd w:val="clear" w:color="auto" w:fill="FFFFFF"/>
                <w:lang w:val="en-AU"/>
              </w:rPr>
              <w:t>ed</w:t>
            </w:r>
            <w:r>
              <w:rPr>
                <w:color w:val="333333"/>
                <w:shd w:val="clear" w:color="auto" w:fill="FFFFFF"/>
                <w:lang w:val="en-AU"/>
              </w:rPr>
              <w:t xml:space="preserve"> ranged markedly, ranging </w:t>
            </w:r>
            <w:r w:rsidRPr="004A07F7">
              <w:rPr>
                <w:b/>
                <w:color w:val="333333"/>
                <w:shd w:val="clear" w:color="auto" w:fill="FFFFFF"/>
                <w:lang w:val="en-AU"/>
              </w:rPr>
              <w:t>between &lt;1% and &gt;90%</w:t>
            </w:r>
            <w:r w:rsidRPr="004A07F7">
              <w:rPr>
                <w:color w:val="333333"/>
                <w:shd w:val="clear" w:color="auto" w:fill="FFFFFF"/>
                <w:lang w:val="en-AU"/>
              </w:rPr>
              <w:t>, depending</w:t>
            </w:r>
            <w:r>
              <w:rPr>
                <w:color w:val="333333"/>
                <w:shd w:val="clear" w:color="auto" w:fill="FFFFFF"/>
                <w:lang w:val="en-AU"/>
              </w:rPr>
              <w:t>, as the authors note “</w:t>
            </w:r>
            <w:r w:rsidRPr="004A07F7">
              <w:rPr>
                <w:color w:val="333333"/>
                <w:shd w:val="clear" w:color="auto" w:fill="FFFFFF"/>
                <w:lang w:val="en-AU"/>
              </w:rPr>
              <w:t>on the part of the system studied, and the definitions and methods used</w:t>
            </w:r>
            <w:r>
              <w:rPr>
                <w:color w:val="333333"/>
                <w:shd w:val="clear" w:color="auto" w:fill="FFFFFF"/>
                <w:lang w:val="en-AU"/>
              </w:rPr>
              <w:t>”</w:t>
            </w:r>
            <w:r w:rsidRPr="004A07F7">
              <w:rPr>
                <w:color w:val="333333"/>
                <w:shd w:val="clear" w:color="auto" w:fill="FFFFFF"/>
                <w:lang w:val="en-AU"/>
              </w:rPr>
              <w:t xml:space="preserve">. The </w:t>
            </w:r>
            <w:r>
              <w:rPr>
                <w:color w:val="333333"/>
                <w:shd w:val="clear" w:color="auto" w:fill="FFFFFF"/>
                <w:lang w:val="en-AU"/>
              </w:rPr>
              <w:t xml:space="preserve">studies found that the </w:t>
            </w:r>
            <w:r w:rsidRPr="004A07F7">
              <w:rPr>
                <w:b/>
                <w:color w:val="333333"/>
                <w:shd w:val="clear" w:color="auto" w:fill="FFFFFF"/>
                <w:lang w:val="en-AU"/>
              </w:rPr>
              <w:t xml:space="preserve">prescribing stage </w:t>
            </w:r>
            <w:r w:rsidRPr="004A07F7">
              <w:rPr>
                <w:color w:val="333333"/>
                <w:shd w:val="clear" w:color="auto" w:fill="FFFFFF"/>
                <w:lang w:val="en-AU"/>
              </w:rPr>
              <w:t>is the</w:t>
            </w:r>
            <w:r w:rsidRPr="004A07F7">
              <w:rPr>
                <w:b/>
                <w:color w:val="333333"/>
                <w:shd w:val="clear" w:color="auto" w:fill="FFFFFF"/>
                <w:lang w:val="en-AU"/>
              </w:rPr>
              <w:t xml:space="preserve"> most susceptible</w:t>
            </w:r>
            <w:r w:rsidRPr="004A07F7">
              <w:rPr>
                <w:color w:val="333333"/>
                <w:shd w:val="clear" w:color="auto" w:fill="FFFFFF"/>
                <w:lang w:val="en-AU"/>
              </w:rPr>
              <w:t xml:space="preserve">, and that the </w:t>
            </w:r>
            <w:r w:rsidRPr="004A07F7">
              <w:rPr>
                <w:b/>
                <w:color w:val="333333"/>
                <w:shd w:val="clear" w:color="auto" w:fill="FFFFFF"/>
                <w:lang w:val="en-AU"/>
              </w:rPr>
              <w:t>elderly</w:t>
            </w:r>
            <w:r w:rsidRPr="004A07F7">
              <w:rPr>
                <w:color w:val="333333"/>
                <w:shd w:val="clear" w:color="auto" w:fill="FFFFFF"/>
                <w:lang w:val="en-AU"/>
              </w:rPr>
              <w:t xml:space="preserve"> (over 65 years), and </w:t>
            </w:r>
            <w:r w:rsidRPr="004A07F7">
              <w:rPr>
                <w:b/>
                <w:color w:val="333333"/>
                <w:shd w:val="clear" w:color="auto" w:fill="FFFFFF"/>
                <w:lang w:val="en-AU"/>
              </w:rPr>
              <w:t>children</w:t>
            </w:r>
            <w:r w:rsidRPr="004A07F7">
              <w:rPr>
                <w:color w:val="333333"/>
                <w:shd w:val="clear" w:color="auto" w:fill="FFFFFF"/>
                <w:lang w:val="en-AU"/>
              </w:rPr>
              <w:t xml:space="preserve"> (under 18 years) are more likely to experience </w:t>
            </w:r>
            <w:r w:rsidRPr="004A07F7">
              <w:rPr>
                <w:b/>
                <w:color w:val="333333"/>
                <w:shd w:val="clear" w:color="auto" w:fill="FFFFFF"/>
                <w:lang w:val="en-AU"/>
              </w:rPr>
              <w:t>significant errors</w:t>
            </w:r>
            <w:r w:rsidRPr="004A07F7">
              <w:rPr>
                <w:color w:val="333333"/>
                <w:shd w:val="clear" w:color="auto" w:fill="FFFFFF"/>
                <w:lang w:val="en-AU"/>
              </w:rPr>
              <w:t xml:space="preserve">. </w:t>
            </w:r>
            <w:r>
              <w:rPr>
                <w:color w:val="333333"/>
                <w:shd w:val="clear" w:color="auto" w:fill="FFFFFF"/>
                <w:lang w:val="en-AU"/>
              </w:rPr>
              <w:t>On the interventions they report that “</w:t>
            </w:r>
            <w:r w:rsidRPr="004A07F7">
              <w:rPr>
                <w:color w:val="333333"/>
                <w:shd w:val="clear" w:color="auto" w:fill="FFFFFF"/>
                <w:lang w:val="en-AU"/>
              </w:rPr>
              <w:t>Individual interventions demonstrated marginal improvements</w:t>
            </w:r>
            <w:r>
              <w:rPr>
                <w:color w:val="333333"/>
                <w:shd w:val="clear" w:color="auto" w:fill="FFFFFF"/>
                <w:lang w:val="en-AU"/>
              </w:rPr>
              <w:t>”</w:t>
            </w:r>
          </w:p>
        </w:tc>
      </w:tr>
    </w:tbl>
    <w:p w:rsidR="00E84B6F" w:rsidRDefault="00E84B6F" w:rsidP="00E84B6F">
      <w:pPr>
        <w:keepLines/>
        <w:autoSpaceDE w:val="0"/>
        <w:autoSpaceDN w:val="0"/>
        <w:adjustRightInd w:val="0"/>
        <w:rPr>
          <w:lang w:val="en-AU"/>
        </w:rPr>
      </w:pPr>
    </w:p>
    <w:p w:rsidR="004A07F7" w:rsidRDefault="004A07F7" w:rsidP="004A07F7">
      <w:pPr>
        <w:keepLines/>
        <w:autoSpaceDE w:val="0"/>
        <w:autoSpaceDN w:val="0"/>
        <w:adjustRightInd w:val="0"/>
        <w:rPr>
          <w:lang w:val="en-AU"/>
        </w:rPr>
      </w:pPr>
      <w:r>
        <w:rPr>
          <w:lang w:val="en-AU"/>
        </w:rPr>
        <w:t xml:space="preserve">For information on the Commission’s work on medication safety, see </w:t>
      </w:r>
      <w:hyperlink r:id="rId19" w:history="1">
        <w:r w:rsidRPr="00BF28CA">
          <w:rPr>
            <w:rStyle w:val="Hyperlink"/>
            <w:lang w:val="en-AU"/>
          </w:rPr>
          <w:t>http://www.safetyandquality.gov.au/our-work/medication-safety/</w:t>
        </w:r>
      </w:hyperlink>
    </w:p>
    <w:p w:rsidR="004A07F7" w:rsidRDefault="004A07F7" w:rsidP="004A07F7">
      <w:pPr>
        <w:keepNext/>
        <w:keepLines/>
        <w:autoSpaceDE w:val="0"/>
        <w:autoSpaceDN w:val="0"/>
        <w:adjustRightInd w:val="0"/>
        <w:rPr>
          <w:lang w:val="en-AU"/>
        </w:rPr>
      </w:pPr>
    </w:p>
    <w:p w:rsidR="00083515" w:rsidRPr="00083515" w:rsidRDefault="00083515" w:rsidP="00083515">
      <w:pPr>
        <w:keepNext/>
        <w:keepLines/>
        <w:autoSpaceDE w:val="0"/>
        <w:autoSpaceDN w:val="0"/>
        <w:adjustRightInd w:val="0"/>
        <w:rPr>
          <w:i/>
          <w:lang w:val="en-AU"/>
        </w:rPr>
      </w:pPr>
      <w:r w:rsidRPr="00083515">
        <w:rPr>
          <w:i/>
          <w:lang w:val="en-AU"/>
        </w:rPr>
        <w:t>Diagnostic Errors in the Pediatric and Neonatal ICU: A Systematic Review</w:t>
      </w:r>
    </w:p>
    <w:p w:rsidR="00083515" w:rsidRDefault="00083515" w:rsidP="00E84B6F">
      <w:pPr>
        <w:keepNext/>
        <w:keepLines/>
        <w:autoSpaceDE w:val="0"/>
        <w:autoSpaceDN w:val="0"/>
        <w:adjustRightInd w:val="0"/>
        <w:rPr>
          <w:lang w:val="en-AU"/>
        </w:rPr>
      </w:pPr>
      <w:r w:rsidRPr="00083515">
        <w:rPr>
          <w:lang w:val="en-AU"/>
        </w:rPr>
        <w:t>Custer JW, Winters BD, Goode V, Robinson KA, Yang T, Pronovost PJ, et al</w:t>
      </w:r>
    </w:p>
    <w:p w:rsidR="00E84B6F" w:rsidRPr="00255EF8" w:rsidRDefault="00083515" w:rsidP="00E84B6F">
      <w:pPr>
        <w:keepNext/>
        <w:keepLines/>
        <w:autoSpaceDE w:val="0"/>
        <w:autoSpaceDN w:val="0"/>
        <w:adjustRightInd w:val="0"/>
        <w:rPr>
          <w:lang w:val="en-AU"/>
        </w:rPr>
      </w:pPr>
      <w:proofErr w:type="gramStart"/>
      <w:r w:rsidRPr="00083515">
        <w:rPr>
          <w:lang w:val="en-AU"/>
        </w:rPr>
        <w:t>Pediatric Critical Care Medicine.</w:t>
      </w:r>
      <w:proofErr w:type="gramEnd"/>
      <w:r w:rsidRPr="00083515">
        <w:rPr>
          <w:lang w:val="en-AU"/>
        </w:rPr>
        <w:t xml:space="preserve"> 2015 Jan</w:t>
      </w:r>
      <w:proofErr w:type="gramStart"/>
      <w:r w:rsidRPr="00083515">
        <w:rPr>
          <w:lang w:val="en-AU"/>
        </w:rPr>
        <w:t>;16</w:t>
      </w:r>
      <w:proofErr w:type="gramEnd"/>
      <w:r w:rsidRPr="00083515">
        <w:rPr>
          <w:lang w:val="en-AU"/>
        </w:rPr>
        <w:t>(1):29-36.</w:t>
      </w:r>
    </w:p>
    <w:tbl>
      <w:tblPr>
        <w:tblStyle w:val="TableGrid"/>
        <w:tblW w:w="0" w:type="auto"/>
        <w:tblInd w:w="288" w:type="dxa"/>
        <w:tblLayout w:type="fixed"/>
        <w:tblLook w:val="01E0" w:firstRow="1" w:lastRow="1" w:firstColumn="1" w:lastColumn="1" w:noHBand="0" w:noVBand="0"/>
      </w:tblPr>
      <w:tblGrid>
        <w:gridCol w:w="1080"/>
        <w:gridCol w:w="8280"/>
      </w:tblGrid>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83515" w:rsidRPr="00255EF8" w:rsidRDefault="00E15BFF" w:rsidP="00083515">
            <w:pPr>
              <w:rPr>
                <w:lang w:val="en-AU"/>
              </w:rPr>
            </w:pPr>
            <w:hyperlink r:id="rId20" w:history="1">
              <w:r w:rsidR="00083515" w:rsidRPr="00D00E3C">
                <w:rPr>
                  <w:rStyle w:val="Hyperlink"/>
                  <w:lang w:val="en-AU"/>
                </w:rPr>
                <w:t>http://dx.doi.org/10.1097/PCC.0000000000000274</w:t>
              </w:r>
            </w:hyperlink>
          </w:p>
        </w:tc>
      </w:tr>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56635" w:rsidRDefault="004A07F7" w:rsidP="004A07F7">
            <w:pPr>
              <w:rPr>
                <w:color w:val="333333"/>
                <w:shd w:val="clear" w:color="auto" w:fill="FFFFFF"/>
                <w:lang w:val="en-AU"/>
              </w:rPr>
            </w:pPr>
            <w:r>
              <w:rPr>
                <w:color w:val="333333"/>
                <w:shd w:val="clear" w:color="auto" w:fill="FFFFFF"/>
                <w:lang w:val="en-AU"/>
              </w:rPr>
              <w:t xml:space="preserve">This systematic review sought to </w:t>
            </w:r>
            <w:proofErr w:type="gramStart"/>
            <w:r w:rsidRPr="004A07F7">
              <w:rPr>
                <w:color w:val="333333"/>
                <w:shd w:val="clear" w:color="auto" w:fill="FFFFFF"/>
                <w:lang w:val="en-AU"/>
              </w:rPr>
              <w:t>sought</w:t>
            </w:r>
            <w:proofErr w:type="gramEnd"/>
            <w:r w:rsidRPr="004A07F7">
              <w:rPr>
                <w:color w:val="333333"/>
                <w:shd w:val="clear" w:color="auto" w:fill="FFFFFF"/>
                <w:lang w:val="en-AU"/>
              </w:rPr>
              <w:t xml:space="preserve"> to assess diagnostic errors in </w:t>
            </w:r>
            <w:r>
              <w:rPr>
                <w:color w:val="333333"/>
                <w:shd w:val="clear" w:color="auto" w:fill="FFFFFF"/>
                <w:lang w:val="en-AU"/>
              </w:rPr>
              <w:t>paediatric intensive care unit (</w:t>
            </w:r>
            <w:r w:rsidRPr="004A07F7">
              <w:rPr>
                <w:color w:val="333333"/>
                <w:shd w:val="clear" w:color="auto" w:fill="FFFFFF"/>
                <w:lang w:val="en-AU"/>
              </w:rPr>
              <w:t>PICU</w:t>
            </w:r>
            <w:r>
              <w:rPr>
                <w:color w:val="333333"/>
                <w:shd w:val="clear" w:color="auto" w:fill="FFFFFF"/>
                <w:lang w:val="en-AU"/>
              </w:rPr>
              <w:t>)</w:t>
            </w:r>
            <w:r w:rsidRPr="004A07F7">
              <w:rPr>
                <w:color w:val="333333"/>
                <w:shd w:val="clear" w:color="auto" w:fill="FFFFFF"/>
                <w:lang w:val="en-AU"/>
              </w:rPr>
              <w:t xml:space="preserve"> and neonatal ICU settings</w:t>
            </w:r>
            <w:r>
              <w:rPr>
                <w:color w:val="333333"/>
                <w:shd w:val="clear" w:color="auto" w:fill="FFFFFF"/>
                <w:lang w:val="en-AU"/>
              </w:rPr>
              <w:t xml:space="preserve">. The reviewers focused on 13 </w:t>
            </w:r>
            <w:r w:rsidRPr="004A07F7">
              <w:rPr>
                <w:color w:val="333333"/>
                <w:shd w:val="clear" w:color="auto" w:fill="FFFFFF"/>
                <w:lang w:val="en-AU"/>
              </w:rPr>
              <w:t>observational studies reporting autopsy-confirmed diagnostic errors in PICU or neonatal ICU</w:t>
            </w:r>
            <w:r>
              <w:rPr>
                <w:color w:val="333333"/>
                <w:shd w:val="clear" w:color="auto" w:fill="FFFFFF"/>
                <w:lang w:val="en-AU"/>
              </w:rPr>
              <w:t xml:space="preserve"> settings</w:t>
            </w:r>
            <w:r w:rsidR="00156635">
              <w:rPr>
                <w:color w:val="333333"/>
                <w:shd w:val="clear" w:color="auto" w:fill="FFFFFF"/>
                <w:lang w:val="en-AU"/>
              </w:rPr>
              <w:t xml:space="preserve"> </w:t>
            </w:r>
            <w:r w:rsidR="00156635" w:rsidRPr="00156635">
              <w:rPr>
                <w:color w:val="333333"/>
                <w:shd w:val="clear" w:color="auto" w:fill="FFFFFF"/>
                <w:lang w:val="en-AU"/>
              </w:rPr>
              <w:t>(seven PICU; six neonatal ICU). The PICU studies examined a total of 1,063 deaths and 498 autopsies. Neonatal ICU studies examined a total of 2,124 neonatal deaths an</w:t>
            </w:r>
            <w:r w:rsidR="00156635">
              <w:rPr>
                <w:color w:val="333333"/>
                <w:shd w:val="clear" w:color="auto" w:fill="FFFFFF"/>
                <w:lang w:val="en-AU"/>
              </w:rPr>
              <w:t>d 1,259 autopsies</w:t>
            </w:r>
            <w:r w:rsidR="00FB7039">
              <w:rPr>
                <w:color w:val="333333"/>
                <w:shd w:val="clear" w:color="auto" w:fill="FFFFFF"/>
                <w:lang w:val="en-AU"/>
              </w:rPr>
              <w:t>.</w:t>
            </w:r>
          </w:p>
          <w:p w:rsidR="00E84B6F" w:rsidRPr="00255EF8" w:rsidRDefault="00156635" w:rsidP="00156635">
            <w:pPr>
              <w:rPr>
                <w:color w:val="333333"/>
                <w:shd w:val="clear" w:color="auto" w:fill="FFFFFF"/>
                <w:lang w:val="en-AU"/>
              </w:rPr>
            </w:pPr>
            <w:r w:rsidRPr="00156635">
              <w:rPr>
                <w:color w:val="333333"/>
                <w:shd w:val="clear" w:color="auto" w:fill="FFFFFF"/>
                <w:lang w:val="en-AU"/>
              </w:rPr>
              <w:t xml:space="preserve">The most common missed diagnosis found at autopsy was infection. </w:t>
            </w:r>
            <w:r>
              <w:rPr>
                <w:color w:val="333333"/>
                <w:shd w:val="clear" w:color="auto" w:fill="FFFFFF"/>
                <w:lang w:val="en-AU"/>
              </w:rPr>
              <w:t xml:space="preserve">Vascular events and congenital conditions were also prevalent. </w:t>
            </w:r>
            <w:r w:rsidRPr="00156635">
              <w:rPr>
                <w:color w:val="333333"/>
                <w:shd w:val="clear" w:color="auto" w:fill="FFFFFF"/>
                <w:lang w:val="en-AU"/>
              </w:rPr>
              <w:t xml:space="preserve">The authors estimate that </w:t>
            </w:r>
            <w:r w:rsidRPr="00156635">
              <w:rPr>
                <w:b/>
                <w:color w:val="333333"/>
                <w:shd w:val="clear" w:color="auto" w:fill="FFFFFF"/>
                <w:lang w:val="en-AU"/>
              </w:rPr>
              <w:t>6.4% of paediatric ICU deaths and 3.7% of neonatal ICU deaths are attributable to major missed diagnosis</w:t>
            </w:r>
            <w:r w:rsidR="004A07F7">
              <w:rPr>
                <w:color w:val="333333"/>
                <w:shd w:val="clear" w:color="auto" w:fill="FFFFFF"/>
                <w:lang w:val="en-AU"/>
              </w:rPr>
              <w:t>.</w:t>
            </w:r>
          </w:p>
        </w:tc>
      </w:tr>
    </w:tbl>
    <w:p w:rsidR="00E84B6F" w:rsidRDefault="00E84B6F" w:rsidP="00E84B6F">
      <w:pPr>
        <w:keepLines/>
        <w:autoSpaceDE w:val="0"/>
        <w:autoSpaceDN w:val="0"/>
        <w:adjustRightInd w:val="0"/>
        <w:rPr>
          <w:lang w:val="en-AU"/>
        </w:rPr>
      </w:pPr>
    </w:p>
    <w:p w:rsidR="00083515" w:rsidRPr="00083515" w:rsidRDefault="00083515" w:rsidP="00083515">
      <w:pPr>
        <w:keepNext/>
        <w:keepLines/>
        <w:autoSpaceDE w:val="0"/>
        <w:autoSpaceDN w:val="0"/>
        <w:adjustRightInd w:val="0"/>
        <w:rPr>
          <w:i/>
          <w:lang w:val="en-AU"/>
        </w:rPr>
      </w:pPr>
      <w:r w:rsidRPr="00083515">
        <w:rPr>
          <w:i/>
          <w:lang w:val="en-AU"/>
        </w:rPr>
        <w:lastRenderedPageBreak/>
        <w:t>The impact of a nurse led rapid response system on adverse, major adverse events and activation of the medical emergency team</w:t>
      </w:r>
    </w:p>
    <w:p w:rsidR="00083515" w:rsidRDefault="00083515" w:rsidP="00E84B6F">
      <w:pPr>
        <w:keepNext/>
        <w:keepLines/>
        <w:autoSpaceDE w:val="0"/>
        <w:autoSpaceDN w:val="0"/>
        <w:adjustRightInd w:val="0"/>
        <w:rPr>
          <w:lang w:val="en-AU"/>
        </w:rPr>
      </w:pPr>
      <w:r w:rsidRPr="00083515">
        <w:rPr>
          <w:lang w:val="en-AU"/>
        </w:rPr>
        <w:t>Massey D, Aitken LM, Chaboyer W</w:t>
      </w:r>
    </w:p>
    <w:p w:rsidR="00E84B6F" w:rsidRPr="00255EF8" w:rsidRDefault="00083515" w:rsidP="00E84B6F">
      <w:pPr>
        <w:keepNext/>
        <w:keepLines/>
        <w:autoSpaceDE w:val="0"/>
        <w:autoSpaceDN w:val="0"/>
        <w:adjustRightInd w:val="0"/>
        <w:rPr>
          <w:lang w:val="en-AU"/>
        </w:rPr>
      </w:pPr>
      <w:proofErr w:type="gramStart"/>
      <w:r w:rsidRPr="00083515">
        <w:rPr>
          <w:lang w:val="en-AU"/>
        </w:rPr>
        <w:t>Intensive and critical care nursing.</w:t>
      </w:r>
      <w:proofErr w:type="gramEnd"/>
      <w:r w:rsidRPr="00083515">
        <w:rPr>
          <w:lang w:val="en-AU"/>
        </w:rPr>
        <w:t xml:space="preserve"> </w:t>
      </w:r>
      <w:proofErr w:type="gramStart"/>
      <w:r w:rsidRPr="00083515">
        <w:rPr>
          <w:lang w:val="en-AU"/>
        </w:rPr>
        <w:t xml:space="preserve">2015 </w:t>
      </w:r>
      <w:r>
        <w:rPr>
          <w:lang w:val="en-AU"/>
        </w:rPr>
        <w:t>[epub]</w:t>
      </w:r>
      <w:r w:rsidRPr="0008351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4B6F" w:rsidRPr="00255EF8" w:rsidRDefault="00E15BFF" w:rsidP="008351DA">
            <w:pPr>
              <w:rPr>
                <w:lang w:val="en-AU"/>
              </w:rPr>
            </w:pPr>
            <w:hyperlink r:id="rId21" w:history="1">
              <w:r w:rsidR="00083515" w:rsidRPr="00D00E3C">
                <w:rPr>
                  <w:rStyle w:val="Hyperlink"/>
                  <w:lang w:val="en-AU"/>
                </w:rPr>
                <w:t>http://dx.doi.org/10.1016/j.iccn.2014.11.005</w:t>
              </w:r>
            </w:hyperlink>
          </w:p>
        </w:tc>
      </w:tr>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4B6F" w:rsidRDefault="00406F74" w:rsidP="00406F74">
            <w:pPr>
              <w:rPr>
                <w:color w:val="333333"/>
                <w:shd w:val="clear" w:color="auto" w:fill="FFFFFF"/>
                <w:lang w:val="en-AU"/>
              </w:rPr>
            </w:pPr>
            <w:r>
              <w:rPr>
                <w:color w:val="333333"/>
                <w:shd w:val="clear" w:color="auto" w:fill="FFFFFF"/>
                <w:lang w:val="en-AU"/>
              </w:rPr>
              <w:t xml:space="preserve">Australian paper adding to literature on medical emergency teams (MET), particularly on the contribution of </w:t>
            </w:r>
            <w:r w:rsidRPr="00406F74">
              <w:rPr>
                <w:color w:val="333333"/>
                <w:shd w:val="clear" w:color="auto" w:fill="FFFFFF"/>
                <w:lang w:val="en-AU"/>
              </w:rPr>
              <w:t>an after-hours Clinical Team Co-Ordinator (CTC)</w:t>
            </w:r>
            <w:r>
              <w:rPr>
                <w:color w:val="333333"/>
                <w:shd w:val="clear" w:color="auto" w:fill="FFFFFF"/>
                <w:lang w:val="en-AU"/>
              </w:rPr>
              <w:t xml:space="preserve">. </w:t>
            </w:r>
          </w:p>
          <w:p w:rsidR="00406F74" w:rsidRDefault="00406F74" w:rsidP="00406F74">
            <w:pPr>
              <w:rPr>
                <w:color w:val="333333"/>
                <w:shd w:val="clear" w:color="auto" w:fill="FFFFFF"/>
                <w:lang w:val="en-AU"/>
              </w:rPr>
            </w:pPr>
            <w:r>
              <w:rPr>
                <w:color w:val="333333"/>
                <w:shd w:val="clear" w:color="auto" w:fill="FFFFFF"/>
                <w:lang w:val="en-AU"/>
              </w:rPr>
              <w:t>The study involved a</w:t>
            </w:r>
            <w:r w:rsidRPr="00406F74">
              <w:rPr>
                <w:color w:val="333333"/>
                <w:shd w:val="clear" w:color="auto" w:fill="FFFFFF"/>
                <w:lang w:val="en-AU"/>
              </w:rPr>
              <w:t xml:space="preserve"> retrospective chart audit of patients’ medical records </w:t>
            </w:r>
            <w:r>
              <w:rPr>
                <w:color w:val="333333"/>
                <w:shd w:val="clear" w:color="auto" w:fill="FFFFFF"/>
                <w:lang w:val="en-AU"/>
              </w:rPr>
              <w:t xml:space="preserve">involving an </w:t>
            </w:r>
            <w:r w:rsidRPr="00406F74">
              <w:rPr>
                <w:color w:val="333333"/>
                <w:shd w:val="clear" w:color="auto" w:fill="FFFFFF"/>
                <w:lang w:val="en-AU"/>
              </w:rPr>
              <w:t xml:space="preserve">intervention group </w:t>
            </w:r>
            <w:r>
              <w:rPr>
                <w:color w:val="333333"/>
                <w:shd w:val="clear" w:color="auto" w:fill="FFFFFF"/>
                <w:lang w:val="en-AU"/>
              </w:rPr>
              <w:t>(</w:t>
            </w:r>
            <w:r w:rsidRPr="00406F74">
              <w:rPr>
                <w:color w:val="333333"/>
                <w:shd w:val="clear" w:color="auto" w:fill="FFFFFF"/>
                <w:lang w:val="en-AU"/>
              </w:rPr>
              <w:t>150 randomly selected medical patients admitted during three months after the introduction of the CTC after-hours service</w:t>
            </w:r>
            <w:r>
              <w:rPr>
                <w:color w:val="333333"/>
                <w:shd w:val="clear" w:color="auto" w:fill="FFFFFF"/>
                <w:lang w:val="en-AU"/>
              </w:rPr>
              <w:t xml:space="preserve">) and a </w:t>
            </w:r>
            <w:r w:rsidRPr="00406F74">
              <w:rPr>
                <w:color w:val="333333"/>
                <w:shd w:val="clear" w:color="auto" w:fill="FFFFFF"/>
                <w:lang w:val="en-AU"/>
              </w:rPr>
              <w:t xml:space="preserve">control group </w:t>
            </w:r>
            <w:r>
              <w:rPr>
                <w:color w:val="333333"/>
                <w:shd w:val="clear" w:color="auto" w:fill="FFFFFF"/>
                <w:lang w:val="en-AU"/>
              </w:rPr>
              <w:t>(</w:t>
            </w:r>
            <w:r w:rsidRPr="00406F74">
              <w:rPr>
                <w:color w:val="333333"/>
                <w:shd w:val="clear" w:color="auto" w:fill="FFFFFF"/>
                <w:lang w:val="en-AU"/>
              </w:rPr>
              <w:t>50 randomly selected medical patients admitted before the introduction of the after-hours CTC service</w:t>
            </w:r>
            <w:r>
              <w:rPr>
                <w:color w:val="333333"/>
                <w:shd w:val="clear" w:color="auto" w:fill="FFFFFF"/>
                <w:lang w:val="en-AU"/>
              </w:rPr>
              <w:t>).</w:t>
            </w:r>
          </w:p>
          <w:p w:rsidR="00406F74" w:rsidRPr="00255EF8" w:rsidRDefault="00406F74" w:rsidP="00971831">
            <w:pPr>
              <w:rPr>
                <w:color w:val="333333"/>
                <w:shd w:val="clear" w:color="auto" w:fill="FFFFFF"/>
                <w:lang w:val="en-AU"/>
              </w:rPr>
            </w:pPr>
            <w:r>
              <w:rPr>
                <w:color w:val="333333"/>
                <w:shd w:val="clear" w:color="auto" w:fill="FFFFFF"/>
                <w:lang w:val="en-AU"/>
              </w:rPr>
              <w:t>The authors report that “</w:t>
            </w:r>
            <w:r w:rsidRPr="00406F74">
              <w:rPr>
                <w:color w:val="333333"/>
                <w:shd w:val="clear" w:color="auto" w:fill="FFFFFF"/>
                <w:lang w:val="en-AU"/>
              </w:rPr>
              <w:t>There were more adverse and major adverse events identified after the introduction of the CTC after-hours service. Changes in heart rate and reduction in Glasgow Coma Scores (GCS) were significant predictors of an adverse event. A low urine output and a drop of two or more in the GCS were significant predictors of a major adverse event.</w:t>
            </w:r>
            <w:r>
              <w:rPr>
                <w:color w:val="333333"/>
                <w:shd w:val="clear" w:color="auto" w:fill="FFFFFF"/>
                <w:lang w:val="en-AU"/>
              </w:rPr>
              <w:t>”</w:t>
            </w:r>
          </w:p>
        </w:tc>
      </w:tr>
    </w:tbl>
    <w:p w:rsidR="00E84B6F" w:rsidRDefault="00E84B6F" w:rsidP="00E84B6F">
      <w:pPr>
        <w:keepLines/>
        <w:autoSpaceDE w:val="0"/>
        <w:autoSpaceDN w:val="0"/>
        <w:adjustRightInd w:val="0"/>
        <w:rPr>
          <w:lang w:val="en-AU"/>
        </w:rPr>
      </w:pPr>
    </w:p>
    <w:p w:rsidR="004A07F7" w:rsidRPr="004A07F7" w:rsidRDefault="004A07F7" w:rsidP="004A07F7">
      <w:pPr>
        <w:keepNext/>
        <w:keepLines/>
        <w:autoSpaceDE w:val="0"/>
        <w:autoSpaceDN w:val="0"/>
        <w:adjustRightInd w:val="0"/>
        <w:rPr>
          <w:i/>
          <w:lang w:val="en-AU"/>
        </w:rPr>
      </w:pPr>
      <w:r w:rsidRPr="004A07F7">
        <w:rPr>
          <w:i/>
          <w:lang w:val="en-AU"/>
        </w:rPr>
        <w:t>Choosing wisely: the message, messenger and method</w:t>
      </w:r>
    </w:p>
    <w:p w:rsidR="004A07F7" w:rsidRDefault="004A07F7" w:rsidP="00E84B6F">
      <w:pPr>
        <w:keepNext/>
        <w:keepLines/>
        <w:autoSpaceDE w:val="0"/>
        <w:autoSpaceDN w:val="0"/>
        <w:adjustRightInd w:val="0"/>
        <w:rPr>
          <w:lang w:val="en-AU"/>
        </w:rPr>
      </w:pPr>
      <w:r w:rsidRPr="004A07F7">
        <w:rPr>
          <w:lang w:val="en-AU"/>
        </w:rPr>
        <w:t>O'Callaghan G, Meyer H, Elshaug AG</w:t>
      </w:r>
    </w:p>
    <w:p w:rsidR="00E84B6F" w:rsidRPr="00255EF8" w:rsidRDefault="004A07F7" w:rsidP="00E84B6F">
      <w:pPr>
        <w:keepNext/>
        <w:keepLines/>
        <w:autoSpaceDE w:val="0"/>
        <w:autoSpaceDN w:val="0"/>
        <w:adjustRightInd w:val="0"/>
        <w:rPr>
          <w:lang w:val="en-AU"/>
        </w:rPr>
      </w:pPr>
      <w:proofErr w:type="gramStart"/>
      <w:r w:rsidRPr="004A07F7">
        <w:rPr>
          <w:lang w:val="en-AU"/>
        </w:rPr>
        <w:t>Medical Journal of Australia.</w:t>
      </w:r>
      <w:proofErr w:type="gramEnd"/>
      <w:r w:rsidRPr="004A07F7">
        <w:rPr>
          <w:lang w:val="en-AU"/>
        </w:rPr>
        <w:t xml:space="preserve"> 2015</w:t>
      </w:r>
      <w:proofErr w:type="gramStart"/>
      <w:r w:rsidRPr="004A07F7">
        <w:rPr>
          <w:lang w:val="en-AU"/>
        </w:rPr>
        <w:t>;202</w:t>
      </w:r>
      <w:proofErr w:type="gramEnd"/>
      <w:r w:rsidRPr="004A07F7">
        <w:rPr>
          <w:lang w:val="en-AU"/>
        </w:rPr>
        <w:t>(4):175-7.</w:t>
      </w:r>
    </w:p>
    <w:tbl>
      <w:tblPr>
        <w:tblStyle w:val="TableGrid"/>
        <w:tblW w:w="0" w:type="auto"/>
        <w:tblInd w:w="288" w:type="dxa"/>
        <w:tblLayout w:type="fixed"/>
        <w:tblLook w:val="01E0" w:firstRow="1" w:lastRow="1" w:firstColumn="1" w:lastColumn="1" w:noHBand="0" w:noVBand="0"/>
      </w:tblPr>
      <w:tblGrid>
        <w:gridCol w:w="1080"/>
        <w:gridCol w:w="8280"/>
      </w:tblGrid>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4B6F" w:rsidRPr="00255EF8" w:rsidRDefault="00E15BFF" w:rsidP="008351DA">
            <w:pPr>
              <w:rPr>
                <w:lang w:val="en-AU"/>
              </w:rPr>
            </w:pPr>
            <w:hyperlink r:id="rId22" w:history="1">
              <w:r w:rsidR="004A07F7" w:rsidRPr="00D00E3C">
                <w:rPr>
                  <w:rStyle w:val="Hyperlink"/>
                  <w:lang w:val="en-AU"/>
                </w:rPr>
                <w:t>http://dx.doi.org/10.5694/mja14.00673</w:t>
              </w:r>
            </w:hyperlink>
          </w:p>
        </w:tc>
      </w:tr>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4B6F" w:rsidRPr="00255EF8" w:rsidRDefault="004602BF" w:rsidP="004602BF">
            <w:pPr>
              <w:rPr>
                <w:color w:val="333333"/>
                <w:shd w:val="clear" w:color="auto" w:fill="FFFFFF"/>
                <w:lang w:val="en-AU"/>
              </w:rPr>
            </w:pPr>
            <w:r w:rsidRPr="004602BF">
              <w:rPr>
                <w:color w:val="333333"/>
                <w:shd w:val="clear" w:color="auto" w:fill="FFFFFF"/>
                <w:lang w:val="en-AU"/>
              </w:rPr>
              <w:t xml:space="preserve">This article describes a South Australian experience with identifying low-value healthcare practices, based on the innovative US </w:t>
            </w:r>
            <w:r w:rsidRPr="004602BF">
              <w:rPr>
                <w:i/>
                <w:color w:val="333333"/>
                <w:shd w:val="clear" w:color="auto" w:fill="FFFFFF"/>
                <w:lang w:val="en-AU"/>
              </w:rPr>
              <w:t>Choosing Wisely</w:t>
            </w:r>
            <w:r w:rsidRPr="004602BF">
              <w:rPr>
                <w:color w:val="333333"/>
                <w:shd w:val="clear" w:color="auto" w:fill="FFFFFF"/>
                <w:lang w:val="en-AU"/>
              </w:rPr>
              <w:t xml:space="preserve"> campaign — and in the spirit of quality improvement, suggests enhancements. Taking quality, safety, appropriateness and cost into account to identify a ‘top five’ list is a simple premise, but with inherent complexities. Opportunities to improve on the processes used in the US for identifying the</w:t>
            </w:r>
            <w:r>
              <w:rPr>
                <w:color w:val="333333"/>
                <w:shd w:val="clear" w:color="auto" w:fill="FFFFFF"/>
                <w:lang w:val="en-AU"/>
              </w:rPr>
              <w:t xml:space="preserve"> top</w:t>
            </w:r>
            <w:r w:rsidRPr="004602BF">
              <w:rPr>
                <w:color w:val="333333"/>
                <w:shd w:val="clear" w:color="auto" w:fill="FFFFFF"/>
                <w:lang w:val="en-AU"/>
              </w:rPr>
              <w:t xml:space="preserve"> five are suggested – not least, a consistent and transparent process for each participating clinical specialty group. Routine inpatient blood tests, electrocardiograms, medical imaging and preoperative screening investigations; antibiotics; and arthroscopies featured in the South Australian top five.</w:t>
            </w:r>
          </w:p>
        </w:tc>
      </w:tr>
    </w:tbl>
    <w:p w:rsidR="00E84B6F" w:rsidRDefault="00E84B6F" w:rsidP="00E84B6F">
      <w:pPr>
        <w:keepLines/>
        <w:autoSpaceDE w:val="0"/>
        <w:autoSpaceDN w:val="0"/>
        <w:adjustRightInd w:val="0"/>
        <w:rPr>
          <w:lang w:val="en-AU"/>
        </w:rPr>
      </w:pPr>
    </w:p>
    <w:p w:rsidR="004602BF" w:rsidRPr="004602BF" w:rsidRDefault="004602BF" w:rsidP="00E84B6F">
      <w:pPr>
        <w:keepLines/>
        <w:autoSpaceDE w:val="0"/>
        <w:autoSpaceDN w:val="0"/>
        <w:adjustRightInd w:val="0"/>
        <w:rPr>
          <w:i/>
          <w:lang w:val="en-AU"/>
        </w:rPr>
      </w:pPr>
      <w:r w:rsidRPr="004602BF">
        <w:rPr>
          <w:i/>
          <w:lang w:val="en-AU"/>
        </w:rPr>
        <w:t>Safety through reporting</w:t>
      </w:r>
    </w:p>
    <w:p w:rsidR="004602BF" w:rsidRDefault="004602BF" w:rsidP="00E84B6F">
      <w:pPr>
        <w:keepNext/>
        <w:keepLines/>
        <w:autoSpaceDE w:val="0"/>
        <w:autoSpaceDN w:val="0"/>
        <w:adjustRightInd w:val="0"/>
        <w:rPr>
          <w:lang w:val="en-AU"/>
        </w:rPr>
      </w:pPr>
      <w:r>
        <w:rPr>
          <w:lang w:val="en-AU"/>
        </w:rPr>
        <w:t>Weekes LM.</w:t>
      </w:r>
    </w:p>
    <w:p w:rsidR="00E84B6F" w:rsidRPr="00255EF8" w:rsidRDefault="004602BF" w:rsidP="00E84B6F">
      <w:pPr>
        <w:keepNext/>
        <w:keepLines/>
        <w:autoSpaceDE w:val="0"/>
        <w:autoSpaceDN w:val="0"/>
        <w:adjustRightInd w:val="0"/>
        <w:rPr>
          <w:lang w:val="en-AU"/>
        </w:rPr>
      </w:pPr>
      <w:r w:rsidRPr="004602BF">
        <w:rPr>
          <w:lang w:val="en-AU"/>
        </w:rPr>
        <w:t>Medical Journal of Australia 2015; 202 (4): 168.</w:t>
      </w:r>
    </w:p>
    <w:tbl>
      <w:tblPr>
        <w:tblStyle w:val="TableGrid"/>
        <w:tblW w:w="0" w:type="auto"/>
        <w:tblInd w:w="288" w:type="dxa"/>
        <w:tblLayout w:type="fixed"/>
        <w:tblLook w:val="01E0" w:firstRow="1" w:lastRow="1" w:firstColumn="1" w:lastColumn="1" w:noHBand="0" w:noVBand="0"/>
      </w:tblPr>
      <w:tblGrid>
        <w:gridCol w:w="1080"/>
        <w:gridCol w:w="8280"/>
      </w:tblGrid>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4B6F" w:rsidRPr="00255EF8" w:rsidRDefault="00E15BFF" w:rsidP="004602BF">
            <w:pPr>
              <w:rPr>
                <w:lang w:val="en-AU"/>
              </w:rPr>
            </w:pPr>
            <w:hyperlink r:id="rId23" w:history="1">
              <w:r w:rsidR="004602BF" w:rsidRPr="004602BF">
                <w:rPr>
                  <w:rStyle w:val="Hyperlink"/>
                  <w:lang w:val="en-AU"/>
                </w:rPr>
                <w:t>http://dx.doi.org/10.5694/mja15.00192</w:t>
              </w:r>
            </w:hyperlink>
          </w:p>
        </w:tc>
      </w:tr>
      <w:tr w:rsidR="00E84B6F"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E84B6F" w:rsidRPr="00255EF8" w:rsidRDefault="00E84B6F" w:rsidP="008351D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02BF" w:rsidRPr="004602BF" w:rsidRDefault="00DB7616" w:rsidP="004602BF">
            <w:pPr>
              <w:rPr>
                <w:color w:val="333333"/>
                <w:shd w:val="clear" w:color="auto" w:fill="FFFFFF"/>
                <w:lang w:val="en-AU"/>
              </w:rPr>
            </w:pPr>
            <w:r>
              <w:rPr>
                <w:color w:val="333333"/>
                <w:shd w:val="clear" w:color="auto" w:fill="FFFFFF"/>
                <w:lang w:val="en-AU"/>
              </w:rPr>
              <w:t>In this piece, t</w:t>
            </w:r>
            <w:r w:rsidR="004602BF">
              <w:rPr>
                <w:color w:val="333333"/>
                <w:shd w:val="clear" w:color="auto" w:fill="FFFFFF"/>
                <w:lang w:val="en-AU"/>
              </w:rPr>
              <w:t xml:space="preserve">he CEO of NPS </w:t>
            </w:r>
            <w:proofErr w:type="spellStart"/>
            <w:r w:rsidR="004602BF">
              <w:rPr>
                <w:color w:val="333333"/>
                <w:shd w:val="clear" w:color="auto" w:fill="FFFFFF"/>
                <w:lang w:val="en-AU"/>
              </w:rPr>
              <w:t>Medicinewise</w:t>
            </w:r>
            <w:proofErr w:type="spellEnd"/>
            <w:r w:rsidR="004602BF">
              <w:rPr>
                <w:color w:val="333333"/>
                <w:shd w:val="clear" w:color="auto" w:fill="FFFFFF"/>
                <w:lang w:val="en-AU"/>
              </w:rPr>
              <w:t xml:space="preserve"> describes two n</w:t>
            </w:r>
            <w:r w:rsidR="004602BF" w:rsidRPr="004602BF">
              <w:rPr>
                <w:color w:val="333333"/>
                <w:shd w:val="clear" w:color="auto" w:fill="FFFFFF"/>
                <w:lang w:val="en-AU"/>
              </w:rPr>
              <w:t xml:space="preserve">ew online learning modules to support reporting of adverse events associated with medicines and therapeutic products and </w:t>
            </w:r>
            <w:proofErr w:type="gramStart"/>
            <w:r w:rsidR="004602BF" w:rsidRPr="004602BF">
              <w:rPr>
                <w:color w:val="333333"/>
                <w:shd w:val="clear" w:color="auto" w:fill="FFFFFF"/>
                <w:lang w:val="en-AU"/>
              </w:rPr>
              <w:t>devices</w:t>
            </w:r>
            <w:r w:rsidR="004602BF">
              <w:rPr>
                <w:color w:val="333333"/>
                <w:shd w:val="clear" w:color="auto" w:fill="FFFFFF"/>
                <w:lang w:val="en-AU"/>
              </w:rPr>
              <w:t>, that</w:t>
            </w:r>
            <w:proofErr w:type="gramEnd"/>
            <w:r w:rsidR="004602BF" w:rsidRPr="004602BF">
              <w:rPr>
                <w:color w:val="333333"/>
                <w:shd w:val="clear" w:color="auto" w:fill="FFFFFF"/>
                <w:lang w:val="en-AU"/>
              </w:rPr>
              <w:t xml:space="preserve"> have been developed by NPS </w:t>
            </w:r>
            <w:proofErr w:type="spellStart"/>
            <w:r w:rsidR="004602BF" w:rsidRPr="004602BF">
              <w:rPr>
                <w:color w:val="333333"/>
                <w:shd w:val="clear" w:color="auto" w:fill="FFFFFF"/>
                <w:lang w:val="en-AU"/>
              </w:rPr>
              <w:t>Medicinewise</w:t>
            </w:r>
            <w:proofErr w:type="spellEnd"/>
            <w:r w:rsidR="004602BF" w:rsidRPr="004602BF">
              <w:rPr>
                <w:color w:val="333333"/>
                <w:shd w:val="clear" w:color="auto" w:fill="FFFFFF"/>
                <w:lang w:val="en-AU"/>
              </w:rPr>
              <w:t xml:space="preserve"> and the Therapeutic Goods Administration. The modules explain the importance of reporting adverse events, how to build reporting into practice, and what happens to reports once they are submitted to the TGA. (Recognised as a professional development activity by RACGP, ACCRM, APC and RCNA)</w:t>
            </w:r>
          </w:p>
          <w:p w:rsidR="00E84B6F" w:rsidRPr="00255EF8" w:rsidRDefault="00DB7616" w:rsidP="004602BF">
            <w:pPr>
              <w:rPr>
                <w:color w:val="333333"/>
                <w:shd w:val="clear" w:color="auto" w:fill="FFFFFF"/>
                <w:lang w:val="en-AU"/>
              </w:rPr>
            </w:pPr>
            <w:r>
              <w:rPr>
                <w:color w:val="333333"/>
                <w:shd w:val="clear" w:color="auto" w:fill="FFFFFF"/>
                <w:lang w:val="en-AU"/>
              </w:rPr>
              <w:t xml:space="preserve">The modules are available at </w:t>
            </w:r>
            <w:hyperlink r:id="rId24" w:history="1">
              <w:r w:rsidRPr="00FC5309">
                <w:rPr>
                  <w:rStyle w:val="Hyperlink"/>
                  <w:shd w:val="clear" w:color="auto" w:fill="FFFFFF"/>
                  <w:lang w:val="en-AU"/>
                </w:rPr>
                <w:t>http://learn.nps.org.au/mod/page/view.php?id=5551</w:t>
              </w:r>
            </w:hyperlink>
            <w:r>
              <w:rPr>
                <w:color w:val="333333"/>
                <w:shd w:val="clear" w:color="auto" w:fill="FFFFFF"/>
                <w:lang w:val="en-AU"/>
              </w:rPr>
              <w:t xml:space="preserve"> </w:t>
            </w:r>
          </w:p>
        </w:tc>
      </w:tr>
    </w:tbl>
    <w:p w:rsidR="00E84B6F" w:rsidRDefault="00E84B6F" w:rsidP="00E84B6F">
      <w:pPr>
        <w:keepLines/>
        <w:autoSpaceDE w:val="0"/>
        <w:autoSpaceDN w:val="0"/>
        <w:adjustRightInd w:val="0"/>
        <w:rPr>
          <w:lang w:val="en-AU"/>
        </w:rPr>
      </w:pPr>
    </w:p>
    <w:p w:rsidR="00DB7616" w:rsidRDefault="00DB7616">
      <w:pPr>
        <w:rPr>
          <w:i/>
          <w:lang w:val="en-AU"/>
        </w:rPr>
      </w:pPr>
      <w:r>
        <w:rPr>
          <w:i/>
          <w:lang w:val="en-AU"/>
        </w:rPr>
        <w:br w:type="page"/>
      </w:r>
    </w:p>
    <w:p w:rsidR="004468E0" w:rsidRPr="00415487" w:rsidRDefault="004468E0" w:rsidP="004468E0">
      <w:pPr>
        <w:keepNext/>
        <w:keepLines/>
        <w:autoSpaceDE w:val="0"/>
        <w:autoSpaceDN w:val="0"/>
        <w:adjustRightInd w:val="0"/>
        <w:rPr>
          <w:i/>
          <w:lang w:val="en-AU"/>
        </w:rPr>
      </w:pPr>
      <w:r w:rsidRPr="00415487">
        <w:rPr>
          <w:i/>
          <w:lang w:val="en-AU"/>
        </w:rPr>
        <w:lastRenderedPageBreak/>
        <w:t>Health Affairs</w:t>
      </w:r>
    </w:p>
    <w:p w:rsidR="004468E0" w:rsidRPr="0095520C" w:rsidRDefault="004468E0" w:rsidP="004468E0">
      <w:pPr>
        <w:keepNext/>
        <w:keepLines/>
        <w:autoSpaceDE w:val="0"/>
        <w:autoSpaceDN w:val="0"/>
        <w:adjustRightInd w:val="0"/>
        <w:rPr>
          <w:lang w:val="en-AU"/>
        </w:rPr>
      </w:pPr>
      <w:r>
        <w:rPr>
          <w:lang w:val="en-AU"/>
        </w:rPr>
        <w:t>March 2015</w:t>
      </w:r>
      <w:r w:rsidRPr="00415487">
        <w:rPr>
          <w:lang w:val="en-AU"/>
        </w:rPr>
        <w:t>; Vol. 3</w:t>
      </w:r>
      <w:r>
        <w:rPr>
          <w:lang w:val="en-AU"/>
        </w:rPr>
        <w:t>4, No. 3</w:t>
      </w:r>
    </w:p>
    <w:tbl>
      <w:tblPr>
        <w:tblStyle w:val="TableGrid"/>
        <w:tblW w:w="0" w:type="auto"/>
        <w:tblInd w:w="288" w:type="dxa"/>
        <w:tblLayout w:type="fixed"/>
        <w:tblLook w:val="01E0" w:firstRow="1" w:lastRow="1" w:firstColumn="1" w:lastColumn="1" w:noHBand="0" w:noVBand="0"/>
      </w:tblPr>
      <w:tblGrid>
        <w:gridCol w:w="1080"/>
        <w:gridCol w:w="8280"/>
      </w:tblGrid>
      <w:tr w:rsidR="004468E0" w:rsidRPr="0095520C" w:rsidTr="00BD4F3D">
        <w:tc>
          <w:tcPr>
            <w:tcW w:w="1080" w:type="dxa"/>
            <w:tcBorders>
              <w:top w:val="single" w:sz="4" w:space="0" w:color="auto"/>
              <w:left w:val="single" w:sz="4" w:space="0" w:color="auto"/>
              <w:bottom w:val="single" w:sz="4" w:space="0" w:color="auto"/>
              <w:right w:val="single" w:sz="4" w:space="0" w:color="auto"/>
            </w:tcBorders>
            <w:vAlign w:val="center"/>
          </w:tcPr>
          <w:p w:rsidR="004468E0" w:rsidRPr="0095520C" w:rsidRDefault="004468E0" w:rsidP="00BD4F3D">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468E0" w:rsidRPr="0095520C" w:rsidRDefault="00E15BFF" w:rsidP="004468E0">
            <w:pPr>
              <w:rPr>
                <w:lang w:val="en-AU"/>
              </w:rPr>
            </w:pPr>
            <w:hyperlink r:id="rId25" w:history="1">
              <w:r w:rsidR="004468E0" w:rsidRPr="009F193C">
                <w:rPr>
                  <w:rStyle w:val="Hyperlink"/>
                  <w:lang w:val="en-AU"/>
                </w:rPr>
                <w:t>http://content.healthaffairs.org/content/34/3.toc</w:t>
              </w:r>
            </w:hyperlink>
          </w:p>
        </w:tc>
      </w:tr>
      <w:tr w:rsidR="004468E0" w:rsidRPr="0095520C" w:rsidTr="00BD4F3D">
        <w:tc>
          <w:tcPr>
            <w:tcW w:w="1080" w:type="dxa"/>
            <w:tcBorders>
              <w:top w:val="single" w:sz="4" w:space="0" w:color="auto"/>
              <w:left w:val="single" w:sz="4" w:space="0" w:color="auto"/>
              <w:bottom w:val="single" w:sz="4" w:space="0" w:color="auto"/>
              <w:right w:val="single" w:sz="4" w:space="0" w:color="auto"/>
            </w:tcBorders>
            <w:vAlign w:val="center"/>
          </w:tcPr>
          <w:p w:rsidR="004468E0" w:rsidRPr="0095520C" w:rsidRDefault="004468E0" w:rsidP="00BD4F3D">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68E0" w:rsidRDefault="004468E0" w:rsidP="00BD4F3D">
            <w:pPr>
              <w:rPr>
                <w:lang w:val="en-AU" w:eastAsia="en-AU"/>
              </w:rPr>
            </w:pPr>
            <w:r>
              <w:rPr>
                <w:lang w:val="en-AU" w:eastAsia="en-AU"/>
              </w:rPr>
              <w:t xml:space="preserve">A new issue of </w:t>
            </w:r>
            <w:r w:rsidRPr="00415487">
              <w:rPr>
                <w:i/>
                <w:lang w:val="en-AU" w:eastAsia="en-AU"/>
              </w:rPr>
              <w:t>Health Affairs</w:t>
            </w:r>
            <w:r>
              <w:rPr>
                <w:lang w:val="en-AU" w:eastAsia="en-AU"/>
              </w:rPr>
              <w:t xml:space="preserve"> has been published. Articles in this issue of </w:t>
            </w:r>
            <w:r w:rsidRPr="00415487">
              <w:rPr>
                <w:i/>
                <w:lang w:val="en-AU" w:eastAsia="en-AU"/>
              </w:rPr>
              <w:t>Health Affairs</w:t>
            </w:r>
            <w:r>
              <w:rPr>
                <w:lang w:val="en-AU" w:eastAsia="en-AU"/>
              </w:rPr>
              <w:t xml:space="preserve"> include:</w:t>
            </w:r>
          </w:p>
          <w:p w:rsidR="004468E0" w:rsidRPr="004468E0" w:rsidRDefault="004468E0" w:rsidP="004468E0">
            <w:pPr>
              <w:pStyle w:val="ListParagraph"/>
              <w:numPr>
                <w:ilvl w:val="0"/>
                <w:numId w:val="15"/>
              </w:numPr>
              <w:rPr>
                <w:lang w:val="en-AU" w:eastAsia="en-AU"/>
              </w:rPr>
            </w:pPr>
            <w:r w:rsidRPr="004468E0">
              <w:rPr>
                <w:lang w:val="en-AU" w:eastAsia="en-AU"/>
              </w:rPr>
              <w:t xml:space="preserve">Medicare’s </w:t>
            </w:r>
            <w:r w:rsidRPr="004468E0">
              <w:rPr>
                <w:b/>
                <w:lang w:val="en-AU" w:eastAsia="en-AU"/>
              </w:rPr>
              <w:t>Bundled Payment Initiative</w:t>
            </w:r>
            <w:r w:rsidRPr="004468E0">
              <w:rPr>
                <w:lang w:val="en-AU" w:eastAsia="en-AU"/>
              </w:rPr>
              <w:t>: Most Hospitals Are Focused On A Few High-Volume Conditions (Thomas C Tsai, Karen E Joynt, Robert C Wild, E John Orav, and Ashish K Jha</w:t>
            </w:r>
            <w:r>
              <w:rPr>
                <w:lang w:val="en-AU" w:eastAsia="en-AU"/>
              </w:rPr>
              <w:t>)</w:t>
            </w:r>
          </w:p>
          <w:p w:rsidR="004468E0" w:rsidRPr="004468E0" w:rsidRDefault="004468E0" w:rsidP="004468E0">
            <w:pPr>
              <w:pStyle w:val="ListParagraph"/>
              <w:numPr>
                <w:ilvl w:val="0"/>
                <w:numId w:val="15"/>
              </w:numPr>
              <w:rPr>
                <w:lang w:val="en-AU" w:eastAsia="en-AU"/>
              </w:rPr>
            </w:pPr>
            <w:r w:rsidRPr="004468E0">
              <w:rPr>
                <w:lang w:val="en-AU" w:eastAsia="en-AU"/>
              </w:rPr>
              <w:t xml:space="preserve">English National Health Service’s Savings Plan May Have Helped Reduce The Use Of Three </w:t>
            </w:r>
            <w:r w:rsidRPr="004468E0">
              <w:rPr>
                <w:b/>
                <w:lang w:val="en-AU" w:eastAsia="en-AU"/>
              </w:rPr>
              <w:t>‘Low-Value’ Procedures</w:t>
            </w:r>
            <w:r w:rsidRPr="004468E0">
              <w:rPr>
                <w:lang w:val="en-AU" w:eastAsia="en-AU"/>
              </w:rPr>
              <w:t xml:space="preserve"> (Sophie Coronini-Cronberg, Honor Bixby, Anthony A Laverty, Robert M Wachter, and C Millett</w:t>
            </w:r>
            <w:r>
              <w:rPr>
                <w:lang w:val="en-AU" w:eastAsia="en-AU"/>
              </w:rPr>
              <w:t>)</w:t>
            </w:r>
          </w:p>
          <w:p w:rsidR="004468E0" w:rsidRPr="004468E0" w:rsidRDefault="004468E0" w:rsidP="004468E0">
            <w:pPr>
              <w:pStyle w:val="ListParagraph"/>
              <w:numPr>
                <w:ilvl w:val="0"/>
                <w:numId w:val="15"/>
              </w:numPr>
              <w:rPr>
                <w:lang w:val="en-AU" w:eastAsia="en-AU"/>
              </w:rPr>
            </w:pPr>
            <w:r w:rsidRPr="004468E0">
              <w:rPr>
                <w:lang w:val="en-AU" w:eastAsia="en-AU"/>
              </w:rPr>
              <w:t xml:space="preserve">New Analysis Reexamines The </w:t>
            </w:r>
            <w:r w:rsidRPr="004468E0">
              <w:rPr>
                <w:b/>
                <w:lang w:val="en-AU" w:eastAsia="en-AU"/>
              </w:rPr>
              <w:t>Value Of Cancer Care</w:t>
            </w:r>
            <w:r w:rsidRPr="004468E0">
              <w:rPr>
                <w:lang w:val="en-AU" w:eastAsia="en-AU"/>
              </w:rPr>
              <w:t xml:space="preserve"> In The United States Compared To Western Europe (Samir Soneji and JaeWon Yang</w:t>
            </w:r>
            <w:r>
              <w:rPr>
                <w:lang w:val="en-AU" w:eastAsia="en-AU"/>
              </w:rPr>
              <w:t>)</w:t>
            </w:r>
          </w:p>
          <w:p w:rsidR="004468E0" w:rsidRPr="004468E0" w:rsidRDefault="004468E0" w:rsidP="004468E0">
            <w:pPr>
              <w:pStyle w:val="ListParagraph"/>
              <w:numPr>
                <w:ilvl w:val="0"/>
                <w:numId w:val="15"/>
              </w:numPr>
              <w:rPr>
                <w:lang w:val="en-AU" w:eastAsia="en-AU"/>
              </w:rPr>
            </w:pPr>
            <w:r w:rsidRPr="004468E0">
              <w:rPr>
                <w:lang w:val="en-AU" w:eastAsia="en-AU"/>
              </w:rPr>
              <w:t xml:space="preserve">Safety-Net Hospitals More Likely Than Other Hospitals To Fare Poorly Under Medicare’s </w:t>
            </w:r>
            <w:r w:rsidRPr="004468E0">
              <w:rPr>
                <w:b/>
                <w:lang w:val="en-AU" w:eastAsia="en-AU"/>
              </w:rPr>
              <w:t>Value-Based Purchasing</w:t>
            </w:r>
            <w:r w:rsidRPr="004468E0">
              <w:rPr>
                <w:lang w:val="en-AU" w:eastAsia="en-AU"/>
              </w:rPr>
              <w:t xml:space="preserve"> (Matlin Gilman, E Kathleen Adams, Jason M Hockenberry, A S Milstein, I B Wilson, and E R. Becker</w:t>
            </w:r>
            <w:r>
              <w:rPr>
                <w:lang w:val="en-AU" w:eastAsia="en-AU"/>
              </w:rPr>
              <w:t>)</w:t>
            </w:r>
          </w:p>
          <w:p w:rsidR="004468E0" w:rsidRPr="004468E0" w:rsidRDefault="004468E0" w:rsidP="004468E0">
            <w:pPr>
              <w:pStyle w:val="ListParagraph"/>
              <w:numPr>
                <w:ilvl w:val="0"/>
                <w:numId w:val="15"/>
              </w:numPr>
              <w:rPr>
                <w:lang w:val="en-AU" w:eastAsia="en-AU"/>
              </w:rPr>
            </w:pPr>
            <w:r w:rsidRPr="004468E0">
              <w:rPr>
                <w:lang w:val="en-AU" w:eastAsia="en-AU"/>
              </w:rPr>
              <w:t xml:space="preserve">In Tanzania, The Many </w:t>
            </w:r>
            <w:r w:rsidRPr="004468E0">
              <w:rPr>
                <w:b/>
                <w:lang w:val="en-AU" w:eastAsia="en-AU"/>
              </w:rPr>
              <w:t>Costs Of Pay-For-Performance</w:t>
            </w:r>
            <w:r w:rsidRPr="004468E0">
              <w:rPr>
                <w:lang w:val="en-AU" w:eastAsia="en-AU"/>
              </w:rPr>
              <w:t xml:space="preserve"> Leave Open To Debate Whether The Strategy Is Cost-Effective (Josephine Borghi, Richard Little, Peter Binyaruka, Edith Patouillard, and August Kuwawenaruwa</w:t>
            </w:r>
            <w:r>
              <w:rPr>
                <w:lang w:val="en-AU" w:eastAsia="en-AU"/>
              </w:rPr>
              <w:t>)</w:t>
            </w:r>
          </w:p>
          <w:p w:rsidR="004468E0" w:rsidRPr="004468E0" w:rsidRDefault="004468E0" w:rsidP="004468E0">
            <w:pPr>
              <w:pStyle w:val="ListParagraph"/>
              <w:numPr>
                <w:ilvl w:val="0"/>
                <w:numId w:val="15"/>
              </w:numPr>
              <w:rPr>
                <w:lang w:val="en-AU" w:eastAsia="en-AU"/>
              </w:rPr>
            </w:pPr>
            <w:r w:rsidRPr="004468E0">
              <w:rPr>
                <w:b/>
                <w:lang w:val="en-AU" w:eastAsia="en-AU"/>
              </w:rPr>
              <w:t>Reference-Based Benefit Design</w:t>
            </w:r>
            <w:r w:rsidRPr="004468E0">
              <w:rPr>
                <w:lang w:val="en-AU" w:eastAsia="en-AU"/>
              </w:rPr>
              <w:t xml:space="preserve"> Changes Consumers’ Choices And Employers’ Payments For Ambulatory Surgery (James C Robinson, Timothy Brown, and Christopher Whaley</w:t>
            </w:r>
            <w:r>
              <w:rPr>
                <w:lang w:val="en-AU" w:eastAsia="en-AU"/>
              </w:rPr>
              <w:t>)</w:t>
            </w:r>
          </w:p>
          <w:p w:rsidR="004468E0" w:rsidRPr="004468E0" w:rsidRDefault="004468E0" w:rsidP="004468E0">
            <w:pPr>
              <w:pStyle w:val="ListParagraph"/>
              <w:numPr>
                <w:ilvl w:val="0"/>
                <w:numId w:val="15"/>
              </w:numPr>
              <w:rPr>
                <w:lang w:val="en-AU" w:eastAsia="en-AU"/>
              </w:rPr>
            </w:pPr>
            <w:r w:rsidRPr="004468E0">
              <w:rPr>
                <w:b/>
                <w:lang w:val="en-AU" w:eastAsia="en-AU"/>
              </w:rPr>
              <w:t>National Hospital Ratings Systems</w:t>
            </w:r>
            <w:r w:rsidRPr="004468E0">
              <w:rPr>
                <w:lang w:val="en-AU" w:eastAsia="en-AU"/>
              </w:rPr>
              <w:t xml:space="preserve"> Share Few Common Scores And May Generate Confusion Instead Of Clarity (J Matthew Austin, Ashish K Jha, Patrick S Romano, S J Singer, T J Vogus, R M Wachter, and P J Pronovost</w:t>
            </w:r>
            <w:r>
              <w:rPr>
                <w:lang w:val="en-AU" w:eastAsia="en-AU"/>
              </w:rPr>
              <w:t>)</w:t>
            </w:r>
          </w:p>
          <w:p w:rsidR="004468E0" w:rsidRPr="004468E0" w:rsidRDefault="004468E0" w:rsidP="004468E0">
            <w:pPr>
              <w:pStyle w:val="ListParagraph"/>
              <w:numPr>
                <w:ilvl w:val="0"/>
                <w:numId w:val="15"/>
              </w:numPr>
              <w:rPr>
                <w:lang w:val="en-AU" w:eastAsia="en-AU"/>
              </w:rPr>
            </w:pPr>
            <w:r w:rsidRPr="004468E0">
              <w:rPr>
                <w:lang w:val="en-AU" w:eastAsia="en-AU"/>
              </w:rPr>
              <w:t xml:space="preserve">When </w:t>
            </w:r>
            <w:r w:rsidRPr="004468E0">
              <w:rPr>
                <w:b/>
                <w:lang w:val="en-AU" w:eastAsia="en-AU"/>
              </w:rPr>
              <w:t>Patient Activation</w:t>
            </w:r>
            <w:r w:rsidRPr="004468E0">
              <w:rPr>
                <w:lang w:val="en-AU" w:eastAsia="en-AU"/>
              </w:rPr>
              <w:t xml:space="preserve"> Levels Change, Health Outcomes And Costs Change, Too (Jessica Greene, Judith H Hibbard, Rebecca Sacks, Valerie Overton, and Carmen D Parrotta</w:t>
            </w:r>
            <w:r>
              <w:rPr>
                <w:lang w:val="en-AU" w:eastAsia="en-AU"/>
              </w:rPr>
              <w:t>)</w:t>
            </w:r>
          </w:p>
          <w:p w:rsidR="004468E0" w:rsidRPr="00415487" w:rsidRDefault="004468E0" w:rsidP="004468E0">
            <w:pPr>
              <w:pStyle w:val="ListParagraph"/>
              <w:numPr>
                <w:ilvl w:val="0"/>
                <w:numId w:val="15"/>
              </w:numPr>
              <w:rPr>
                <w:lang w:val="en-AU" w:eastAsia="en-AU"/>
              </w:rPr>
            </w:pPr>
            <w:r w:rsidRPr="004468E0">
              <w:rPr>
                <w:lang w:val="en-AU" w:eastAsia="en-AU"/>
              </w:rPr>
              <w:t xml:space="preserve">US </w:t>
            </w:r>
            <w:r w:rsidRPr="00ED44A5">
              <w:rPr>
                <w:b/>
                <w:lang w:val="en-AU" w:eastAsia="en-AU"/>
              </w:rPr>
              <w:t>Hospitals</w:t>
            </w:r>
            <w:r w:rsidRPr="004468E0">
              <w:rPr>
                <w:lang w:val="en-AU" w:eastAsia="en-AU"/>
              </w:rPr>
              <w:t xml:space="preserve"> Experienced Substantial </w:t>
            </w:r>
            <w:r w:rsidRPr="00ED44A5">
              <w:rPr>
                <w:b/>
                <w:lang w:val="en-AU" w:eastAsia="en-AU"/>
              </w:rPr>
              <w:t>Productivity</w:t>
            </w:r>
            <w:r w:rsidRPr="004468E0">
              <w:rPr>
                <w:lang w:val="en-AU" w:eastAsia="en-AU"/>
              </w:rPr>
              <w:t xml:space="preserve"> Growth During 2002–11</w:t>
            </w:r>
            <w:r>
              <w:rPr>
                <w:lang w:val="en-AU" w:eastAsia="en-AU"/>
              </w:rPr>
              <w:t xml:space="preserve"> (</w:t>
            </w:r>
            <w:r w:rsidRPr="004468E0">
              <w:rPr>
                <w:lang w:val="en-AU" w:eastAsia="en-AU"/>
              </w:rPr>
              <w:t>John A Romley, Dana P. Goldman, and Neeraj Sood</w:t>
            </w:r>
            <w:r>
              <w:rPr>
                <w:lang w:val="en-AU" w:eastAsia="en-AU"/>
              </w:rPr>
              <w:t>)</w:t>
            </w:r>
          </w:p>
        </w:tc>
      </w:tr>
    </w:tbl>
    <w:p w:rsidR="004468E0" w:rsidRDefault="004468E0" w:rsidP="009E0D91">
      <w:pPr>
        <w:keepLines/>
        <w:autoSpaceDE w:val="0"/>
        <w:autoSpaceDN w:val="0"/>
        <w:adjustRightInd w:val="0"/>
        <w:rPr>
          <w:lang w:val="en-AU"/>
        </w:rPr>
      </w:pPr>
    </w:p>
    <w:p w:rsidR="00DB7616" w:rsidRDefault="00DB7616" w:rsidP="009E0D91">
      <w:pPr>
        <w:keepLines/>
        <w:autoSpaceDE w:val="0"/>
        <w:autoSpaceDN w:val="0"/>
        <w:adjustRightInd w:val="0"/>
        <w:rPr>
          <w:lang w:val="en-AU"/>
        </w:rPr>
      </w:pPr>
    </w:p>
    <w:p w:rsidR="00CC69EA" w:rsidRPr="00401EAF" w:rsidRDefault="00CC69EA" w:rsidP="00CC69EA">
      <w:pPr>
        <w:keepNext/>
        <w:keepLines/>
        <w:autoSpaceDE w:val="0"/>
        <w:autoSpaceDN w:val="0"/>
        <w:adjustRightInd w:val="0"/>
        <w:rPr>
          <w:i/>
          <w:lang w:val="en-AU"/>
        </w:rPr>
      </w:pPr>
      <w:r>
        <w:rPr>
          <w:i/>
          <w:lang w:val="en-AU"/>
        </w:rPr>
        <w:t>Healthcare Infection</w:t>
      </w:r>
    </w:p>
    <w:p w:rsidR="00CC69EA" w:rsidRPr="00255EF8" w:rsidRDefault="00CC69EA" w:rsidP="00CC69EA">
      <w:pPr>
        <w:keepNext/>
        <w:keepLines/>
        <w:autoSpaceDE w:val="0"/>
        <w:autoSpaceDN w:val="0"/>
        <w:adjustRightInd w:val="0"/>
        <w:rPr>
          <w:lang w:val="en-AU"/>
        </w:rPr>
      </w:pPr>
      <w:r w:rsidRPr="00CC69EA">
        <w:rPr>
          <w:lang w:val="en-AU"/>
        </w:rPr>
        <w:t>Volume 20(1) 2015</w:t>
      </w:r>
    </w:p>
    <w:tbl>
      <w:tblPr>
        <w:tblStyle w:val="TableGrid"/>
        <w:tblW w:w="0" w:type="auto"/>
        <w:tblInd w:w="288" w:type="dxa"/>
        <w:tblLayout w:type="fixed"/>
        <w:tblLook w:val="01E0" w:firstRow="1" w:lastRow="1" w:firstColumn="1" w:lastColumn="1" w:noHBand="0" w:noVBand="0"/>
      </w:tblPr>
      <w:tblGrid>
        <w:gridCol w:w="1080"/>
        <w:gridCol w:w="8280"/>
      </w:tblGrid>
      <w:tr w:rsidR="00CC69EA"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CC69EA" w:rsidRPr="00255EF8" w:rsidRDefault="00CC69EA" w:rsidP="008351D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C69EA" w:rsidRPr="00255EF8" w:rsidRDefault="00E15BFF" w:rsidP="008351DA">
            <w:pPr>
              <w:rPr>
                <w:lang w:val="en-AU"/>
              </w:rPr>
            </w:pPr>
            <w:hyperlink r:id="rId26" w:history="1">
              <w:r w:rsidR="00CC69EA" w:rsidRPr="00B110C0">
                <w:rPr>
                  <w:rStyle w:val="Hyperlink"/>
                  <w:lang w:val="en-AU"/>
                </w:rPr>
                <w:t>http://www.publish.csiro.au/nid/241/issue/7519.htm</w:t>
              </w:r>
            </w:hyperlink>
            <w:r w:rsidR="00CC69EA">
              <w:rPr>
                <w:lang w:val="en-AU"/>
              </w:rPr>
              <w:t xml:space="preserve"> </w:t>
            </w:r>
          </w:p>
        </w:tc>
      </w:tr>
      <w:tr w:rsidR="00CC69EA" w:rsidRPr="00255EF8" w:rsidTr="008351DA">
        <w:tc>
          <w:tcPr>
            <w:tcW w:w="1080" w:type="dxa"/>
            <w:tcBorders>
              <w:top w:val="single" w:sz="4" w:space="0" w:color="auto"/>
              <w:left w:val="single" w:sz="4" w:space="0" w:color="auto"/>
              <w:bottom w:val="single" w:sz="4" w:space="0" w:color="auto"/>
              <w:right w:val="single" w:sz="4" w:space="0" w:color="auto"/>
            </w:tcBorders>
            <w:vAlign w:val="center"/>
          </w:tcPr>
          <w:p w:rsidR="00CC69EA" w:rsidRPr="00255EF8" w:rsidRDefault="00CC69EA" w:rsidP="008351D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69EA" w:rsidRDefault="00CC69EA" w:rsidP="00CC69EA">
            <w:pPr>
              <w:keepNext/>
              <w:keepLines/>
              <w:autoSpaceDE w:val="0"/>
              <w:autoSpaceDN w:val="0"/>
              <w:adjustRightInd w:val="0"/>
              <w:rPr>
                <w:color w:val="333333"/>
                <w:shd w:val="clear" w:color="auto" w:fill="FFFFFF"/>
                <w:lang w:val="en-AU"/>
              </w:rPr>
            </w:pPr>
            <w:r>
              <w:rPr>
                <w:color w:val="333333"/>
                <w:shd w:val="clear" w:color="auto" w:fill="FFFFFF"/>
                <w:lang w:val="en-AU"/>
              </w:rPr>
              <w:t xml:space="preserve">A new issue of </w:t>
            </w:r>
            <w:r>
              <w:rPr>
                <w:i/>
                <w:lang w:val="en-AU"/>
              </w:rPr>
              <w:t>Healthcare Infection</w:t>
            </w:r>
            <w:r>
              <w:rPr>
                <w:color w:val="333333"/>
                <w:shd w:val="clear" w:color="auto" w:fill="FFFFFF"/>
                <w:lang w:val="en-AU"/>
              </w:rPr>
              <w:t xml:space="preserve"> has been published, with the theme of ‘</w:t>
            </w:r>
            <w:r w:rsidRPr="00CC69EA">
              <w:rPr>
                <w:b/>
                <w:color w:val="333333"/>
                <w:shd w:val="clear" w:color="auto" w:fill="FFFFFF"/>
                <w:lang w:val="en-AU"/>
              </w:rPr>
              <w:t>Infection Control in Non-hospital Settings</w:t>
            </w:r>
            <w:r>
              <w:rPr>
                <w:color w:val="333333"/>
                <w:shd w:val="clear" w:color="auto" w:fill="FFFFFF"/>
                <w:lang w:val="en-AU"/>
              </w:rPr>
              <w:t xml:space="preserve">’. Articles in this issue of </w:t>
            </w:r>
            <w:r>
              <w:rPr>
                <w:i/>
                <w:lang w:val="en-AU"/>
              </w:rPr>
              <w:t>Healthcare Infection</w:t>
            </w:r>
            <w:r>
              <w:rPr>
                <w:color w:val="333333"/>
                <w:shd w:val="clear" w:color="auto" w:fill="FFFFFF"/>
                <w:lang w:val="en-AU"/>
              </w:rPr>
              <w:t xml:space="preserve"> include:</w:t>
            </w:r>
          </w:p>
          <w:p w:rsidR="00CC69EA" w:rsidRPr="00CC69EA" w:rsidRDefault="00CC69EA" w:rsidP="00CC69EA">
            <w:pPr>
              <w:pStyle w:val="ListParagraph"/>
              <w:numPr>
                <w:ilvl w:val="0"/>
                <w:numId w:val="41"/>
              </w:numPr>
              <w:rPr>
                <w:color w:val="333333"/>
                <w:shd w:val="clear" w:color="auto" w:fill="FFFFFF"/>
                <w:lang w:val="en-AU"/>
              </w:rPr>
            </w:pPr>
            <w:r w:rsidRPr="00CC69EA">
              <w:rPr>
                <w:b/>
                <w:color w:val="333333"/>
                <w:shd w:val="clear" w:color="auto" w:fill="FFFFFF"/>
                <w:lang w:val="en-AU"/>
              </w:rPr>
              <w:t>Infection prevention and antimicrobial stewardship</w:t>
            </w:r>
            <w:r w:rsidRPr="00CC69EA">
              <w:rPr>
                <w:color w:val="333333"/>
                <w:shd w:val="clear" w:color="auto" w:fill="FFFFFF"/>
                <w:lang w:val="en-AU"/>
              </w:rPr>
              <w:t>: important in all settings (</w:t>
            </w:r>
            <w:r>
              <w:rPr>
                <w:color w:val="333333"/>
                <w:shd w:val="clear" w:color="auto" w:fill="FFFFFF"/>
                <w:lang w:val="en-AU"/>
              </w:rPr>
              <w:t>N Deborah Friedman)</w:t>
            </w:r>
          </w:p>
          <w:p w:rsidR="00CC69EA" w:rsidRPr="00CC69EA" w:rsidRDefault="00CC69EA" w:rsidP="00CC69EA">
            <w:pPr>
              <w:pStyle w:val="ListParagraph"/>
              <w:numPr>
                <w:ilvl w:val="0"/>
                <w:numId w:val="41"/>
              </w:numPr>
              <w:rPr>
                <w:color w:val="333333"/>
                <w:shd w:val="clear" w:color="auto" w:fill="FFFFFF"/>
                <w:lang w:val="en-AU"/>
              </w:rPr>
            </w:pPr>
            <w:r w:rsidRPr="00CC69EA">
              <w:rPr>
                <w:color w:val="333333"/>
                <w:shd w:val="clear" w:color="auto" w:fill="FFFFFF"/>
                <w:lang w:val="en-AU"/>
              </w:rPr>
              <w:t xml:space="preserve">A </w:t>
            </w:r>
            <w:r w:rsidRPr="00CC69EA">
              <w:rPr>
                <w:b/>
                <w:color w:val="333333"/>
                <w:shd w:val="clear" w:color="auto" w:fill="FFFFFF"/>
                <w:lang w:val="en-AU"/>
              </w:rPr>
              <w:t>nurse-led antimicrobial stewardship</w:t>
            </w:r>
            <w:r w:rsidRPr="00CC69EA">
              <w:rPr>
                <w:color w:val="333333"/>
                <w:shd w:val="clear" w:color="auto" w:fill="FFFFFF"/>
                <w:lang w:val="en-AU"/>
              </w:rPr>
              <w:t xml:space="preserve"> intervention in two </w:t>
            </w:r>
            <w:r w:rsidRPr="00CC69EA">
              <w:rPr>
                <w:b/>
                <w:color w:val="333333"/>
                <w:shd w:val="clear" w:color="auto" w:fill="FFFFFF"/>
                <w:lang w:val="en-AU"/>
              </w:rPr>
              <w:t>residential aged care</w:t>
            </w:r>
            <w:r w:rsidRPr="00CC69EA">
              <w:rPr>
                <w:color w:val="333333"/>
                <w:shd w:val="clear" w:color="auto" w:fill="FFFFFF"/>
                <w:lang w:val="en-AU"/>
              </w:rPr>
              <w:t xml:space="preserve"> facilities (Rhonda L Stuart, Elizabeth Orr, Despina Kots</w:t>
            </w:r>
            <w:r>
              <w:rPr>
                <w:color w:val="333333"/>
                <w:shd w:val="clear" w:color="auto" w:fill="FFFFFF"/>
                <w:lang w:val="en-AU"/>
              </w:rPr>
              <w:t>anas and Elizabeth E Gillespie)</w:t>
            </w:r>
          </w:p>
          <w:p w:rsidR="00CC69EA" w:rsidRPr="00CC69EA" w:rsidRDefault="00CC69EA" w:rsidP="00CC69EA">
            <w:pPr>
              <w:pStyle w:val="ListParagraph"/>
              <w:numPr>
                <w:ilvl w:val="0"/>
                <w:numId w:val="41"/>
              </w:numPr>
              <w:rPr>
                <w:color w:val="333333"/>
                <w:shd w:val="clear" w:color="auto" w:fill="FFFFFF"/>
                <w:lang w:val="en-AU"/>
              </w:rPr>
            </w:pPr>
            <w:r w:rsidRPr="00CC69EA">
              <w:rPr>
                <w:color w:val="333333"/>
                <w:shd w:val="clear" w:color="auto" w:fill="FFFFFF"/>
                <w:lang w:val="en-AU"/>
              </w:rPr>
              <w:t xml:space="preserve">Assessment of current </w:t>
            </w:r>
            <w:r w:rsidRPr="00CC69EA">
              <w:rPr>
                <w:b/>
                <w:color w:val="333333"/>
                <w:shd w:val="clear" w:color="auto" w:fill="FFFFFF"/>
                <w:lang w:val="en-AU"/>
              </w:rPr>
              <w:t>antimicrobial stewardship policies and resources</w:t>
            </w:r>
            <w:r w:rsidRPr="00CC69EA">
              <w:rPr>
                <w:color w:val="333333"/>
                <w:shd w:val="clear" w:color="auto" w:fill="FFFFFF"/>
                <w:lang w:val="en-AU"/>
              </w:rPr>
              <w:t>: a focus group project (Darren K Pasay, Sheldon J S Chow, Lauren C Bresee, Miche</w:t>
            </w:r>
            <w:r>
              <w:rPr>
                <w:color w:val="333333"/>
                <w:shd w:val="clear" w:color="auto" w:fill="FFFFFF"/>
                <w:lang w:val="en-AU"/>
              </w:rPr>
              <w:t>al Guirguis and Jeremy Slobodan)</w:t>
            </w:r>
          </w:p>
          <w:p w:rsidR="00CC69EA" w:rsidRPr="00CC69EA" w:rsidRDefault="00CC69EA" w:rsidP="00CC69EA">
            <w:pPr>
              <w:pStyle w:val="ListParagraph"/>
              <w:numPr>
                <w:ilvl w:val="0"/>
                <w:numId w:val="41"/>
              </w:numPr>
              <w:rPr>
                <w:color w:val="333333"/>
                <w:shd w:val="clear" w:color="auto" w:fill="FFFFFF"/>
                <w:lang w:val="en-AU"/>
              </w:rPr>
            </w:pPr>
            <w:r w:rsidRPr="00CC69EA">
              <w:rPr>
                <w:color w:val="333333"/>
                <w:shd w:val="clear" w:color="auto" w:fill="FFFFFF"/>
                <w:lang w:val="en-AU"/>
              </w:rPr>
              <w:t xml:space="preserve">Evaluation of adenosine triphosphate (ATP) bioluminescence assay to confirm </w:t>
            </w:r>
            <w:r w:rsidRPr="00CC69EA">
              <w:rPr>
                <w:b/>
                <w:color w:val="333333"/>
                <w:shd w:val="clear" w:color="auto" w:fill="FFFFFF"/>
                <w:lang w:val="en-AU"/>
              </w:rPr>
              <w:t>surface disinfection</w:t>
            </w:r>
            <w:r w:rsidRPr="00CC69EA">
              <w:rPr>
                <w:color w:val="333333"/>
                <w:shd w:val="clear" w:color="auto" w:fill="FFFFFF"/>
                <w:lang w:val="en-AU"/>
              </w:rPr>
              <w:t xml:space="preserve"> of biological indicators with vaporised hydrogen peroxide (VHP) (Erica M Colbert, Shawn G Gibbs, Kendra K Schmid, Robin High, John J Lowe, </w:t>
            </w:r>
            <w:r>
              <w:rPr>
                <w:color w:val="333333"/>
                <w:shd w:val="clear" w:color="auto" w:fill="FFFFFF"/>
                <w:lang w:val="en-AU"/>
              </w:rPr>
              <w:t>Oleg Chaika and Philip W Smith)</w:t>
            </w:r>
          </w:p>
          <w:p w:rsidR="00CC69EA" w:rsidRPr="00CC69EA" w:rsidRDefault="00CC69EA" w:rsidP="00CC69EA">
            <w:pPr>
              <w:pStyle w:val="ListParagraph"/>
              <w:numPr>
                <w:ilvl w:val="0"/>
                <w:numId w:val="41"/>
              </w:numPr>
              <w:rPr>
                <w:color w:val="333333"/>
                <w:shd w:val="clear" w:color="auto" w:fill="FFFFFF"/>
                <w:lang w:val="en-AU"/>
              </w:rPr>
            </w:pPr>
            <w:r w:rsidRPr="00CC69EA">
              <w:rPr>
                <w:color w:val="333333"/>
                <w:shd w:val="clear" w:color="auto" w:fill="FFFFFF"/>
                <w:lang w:val="en-AU"/>
              </w:rPr>
              <w:lastRenderedPageBreak/>
              <w:t xml:space="preserve">Knowledge, attitudes and perceptions regarding </w:t>
            </w:r>
            <w:r w:rsidRPr="00CC69EA">
              <w:rPr>
                <w:b/>
                <w:color w:val="333333"/>
                <w:shd w:val="clear" w:color="auto" w:fill="FFFFFF"/>
                <w:lang w:val="en-AU"/>
              </w:rPr>
              <w:t>antibiotic use and self-medication</w:t>
            </w:r>
            <w:r w:rsidRPr="00CC69EA">
              <w:rPr>
                <w:color w:val="333333"/>
                <w:shd w:val="clear" w:color="auto" w:fill="FFFFFF"/>
                <w:lang w:val="en-AU"/>
              </w:rPr>
              <w:t>: a cross-sectional study among Australian Chinese migrants (Jie Hu a</w:t>
            </w:r>
            <w:r>
              <w:rPr>
                <w:color w:val="333333"/>
                <w:shd w:val="clear" w:color="auto" w:fill="FFFFFF"/>
                <w:lang w:val="en-AU"/>
              </w:rPr>
              <w:t>nd Zhiqiang Wang)</w:t>
            </w:r>
          </w:p>
          <w:p w:rsidR="00CC69EA" w:rsidRPr="00CC69EA" w:rsidRDefault="00CC69EA" w:rsidP="00CC69EA">
            <w:pPr>
              <w:pStyle w:val="ListParagraph"/>
              <w:numPr>
                <w:ilvl w:val="0"/>
                <w:numId w:val="41"/>
              </w:numPr>
              <w:rPr>
                <w:color w:val="333333"/>
                <w:shd w:val="clear" w:color="auto" w:fill="FFFFFF"/>
                <w:lang w:val="en-AU"/>
              </w:rPr>
            </w:pPr>
            <w:r w:rsidRPr="00CC69EA">
              <w:rPr>
                <w:color w:val="333333"/>
                <w:shd w:val="clear" w:color="auto" w:fill="FFFFFF"/>
                <w:lang w:val="en-AU"/>
              </w:rPr>
              <w:t xml:space="preserve">Roles, responsibilities and scope of practice: describing the ‘state of play’ for </w:t>
            </w:r>
            <w:r w:rsidRPr="00CC69EA">
              <w:rPr>
                <w:b/>
                <w:color w:val="333333"/>
                <w:shd w:val="clear" w:color="auto" w:fill="FFFFFF"/>
                <w:lang w:val="en-AU"/>
              </w:rPr>
              <w:t>infection control professionals</w:t>
            </w:r>
            <w:r w:rsidRPr="00CC69EA">
              <w:rPr>
                <w:color w:val="333333"/>
                <w:shd w:val="clear" w:color="auto" w:fill="FFFFFF"/>
                <w:lang w:val="en-AU"/>
              </w:rPr>
              <w:t xml:space="preserve"> in Australia and New Zealand (Lisa Hall, Kate Halton, Deborough Macbeth, </w:t>
            </w:r>
            <w:r>
              <w:rPr>
                <w:color w:val="333333"/>
                <w:shd w:val="clear" w:color="auto" w:fill="FFFFFF"/>
                <w:lang w:val="en-AU"/>
              </w:rPr>
              <w:t>Anne Gardner and Brett Mitchell)</w:t>
            </w:r>
          </w:p>
          <w:p w:rsidR="00CC69EA" w:rsidRPr="003B6A48" w:rsidRDefault="00CC69EA" w:rsidP="00CC69EA">
            <w:pPr>
              <w:pStyle w:val="ListParagraph"/>
              <w:numPr>
                <w:ilvl w:val="0"/>
                <w:numId w:val="41"/>
              </w:numPr>
              <w:rPr>
                <w:color w:val="333333"/>
                <w:shd w:val="clear" w:color="auto" w:fill="FFFFFF"/>
                <w:lang w:val="en-AU"/>
              </w:rPr>
            </w:pPr>
            <w:r w:rsidRPr="00CC69EA">
              <w:rPr>
                <w:color w:val="333333"/>
                <w:shd w:val="clear" w:color="auto" w:fill="FFFFFF"/>
                <w:lang w:val="en-AU"/>
              </w:rPr>
              <w:t xml:space="preserve">What have you heard about tattooing in prison? The clandestine role of hearing aids in the risk of </w:t>
            </w:r>
            <w:r w:rsidRPr="00CC69EA">
              <w:rPr>
                <w:b/>
                <w:color w:val="333333"/>
                <w:shd w:val="clear" w:color="auto" w:fill="FFFFFF"/>
                <w:lang w:val="en-AU"/>
              </w:rPr>
              <w:t>bloodborne virus transmission</w:t>
            </w:r>
            <w:r w:rsidRPr="00CC69EA">
              <w:rPr>
                <w:color w:val="333333"/>
                <w:shd w:val="clear" w:color="auto" w:fill="FFFFFF"/>
                <w:lang w:val="en-AU"/>
              </w:rPr>
              <w:t xml:space="preserve"> (</w:t>
            </w:r>
            <w:r>
              <w:rPr>
                <w:color w:val="333333"/>
                <w:shd w:val="clear" w:color="auto" w:fill="FFFFFF"/>
                <w:lang w:val="en-AU"/>
              </w:rPr>
              <w:t>Huan Jian Sia and Michael Levy)</w:t>
            </w:r>
          </w:p>
        </w:tc>
      </w:tr>
    </w:tbl>
    <w:p w:rsidR="00CC69EA" w:rsidRDefault="00CC69EA" w:rsidP="009E0D91">
      <w:pPr>
        <w:keepLines/>
        <w:autoSpaceDE w:val="0"/>
        <w:autoSpaceDN w:val="0"/>
        <w:adjustRightInd w:val="0"/>
        <w:rPr>
          <w:lang w:val="en-AU"/>
        </w:rPr>
      </w:pPr>
    </w:p>
    <w:p w:rsidR="00DD6D12" w:rsidRPr="00255EF8" w:rsidRDefault="00DD6D12" w:rsidP="00DD6D12">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E15BFF" w:rsidP="00ED597A">
            <w:pPr>
              <w:rPr>
                <w:lang w:val="en-AU"/>
              </w:rPr>
            </w:pPr>
            <w:hyperlink r:id="rId27" w:history="1">
              <w:r w:rsidR="00DD6D12" w:rsidRPr="00255EF8">
                <w:rPr>
                  <w:rStyle w:val="Hyperlink"/>
                  <w:lang w:val="en-AU"/>
                </w:rPr>
                <w:t>http://qualitysafety.bmj.com/content/early/recent</w:t>
              </w:r>
            </w:hyperlink>
          </w:p>
        </w:tc>
      </w:tr>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i/>
                <w:lang w:val="en-AU"/>
              </w:rPr>
              <w:t>BMJ Quality and Safety</w:t>
            </w:r>
            <w:r w:rsidRPr="00255EF8">
              <w:rPr>
                <w:lang w:val="en-AU"/>
              </w:rPr>
              <w:t xml:space="preserve"> has published a number of ‘online first’ articles, including:</w:t>
            </w:r>
          </w:p>
          <w:p w:rsidR="00A5519B" w:rsidRPr="00255EF8" w:rsidRDefault="0042149E" w:rsidP="0042149E">
            <w:pPr>
              <w:pStyle w:val="ListParagraph"/>
              <w:numPr>
                <w:ilvl w:val="0"/>
                <w:numId w:val="14"/>
              </w:numPr>
              <w:rPr>
                <w:lang w:val="en-AU"/>
              </w:rPr>
            </w:pPr>
            <w:r w:rsidRPr="0042149E">
              <w:rPr>
                <w:b/>
                <w:lang w:val="en-AU"/>
              </w:rPr>
              <w:t>Alarm system management</w:t>
            </w:r>
            <w:r w:rsidRPr="0042149E">
              <w:rPr>
                <w:lang w:val="en-AU"/>
              </w:rPr>
              <w:t xml:space="preserve">: evidence-based guidance encouraging direct measurement of informativeness to improve alarm response </w:t>
            </w:r>
            <w:r>
              <w:rPr>
                <w:lang w:val="en-AU"/>
              </w:rPr>
              <w:t>(</w:t>
            </w:r>
            <w:r w:rsidRPr="0042149E">
              <w:rPr>
                <w:lang w:val="en-AU"/>
              </w:rPr>
              <w:t>Michael F Rayo, Susan D Moffatt-Bruce</w:t>
            </w:r>
            <w:r>
              <w:rPr>
                <w:lang w:val="en-AU"/>
              </w:rPr>
              <w:t>)</w:t>
            </w:r>
          </w:p>
        </w:tc>
      </w:tr>
    </w:tbl>
    <w:p w:rsidR="00D2325E" w:rsidRPr="00255EF8" w:rsidRDefault="00D2325E" w:rsidP="00D2325E">
      <w:pPr>
        <w:keepLines/>
        <w:autoSpaceDE w:val="0"/>
        <w:autoSpaceDN w:val="0"/>
        <w:adjustRightInd w:val="0"/>
        <w:rPr>
          <w:lang w:val="en-AU"/>
        </w:rPr>
      </w:pPr>
    </w:p>
    <w:p w:rsidR="00590FB6" w:rsidRPr="00255EF8" w:rsidRDefault="00590FB6" w:rsidP="00F01814">
      <w:pPr>
        <w:keepNext/>
        <w:rPr>
          <w:b/>
          <w:lang w:val="en-AU"/>
        </w:rPr>
      </w:pPr>
      <w:r w:rsidRPr="00255EF8">
        <w:rPr>
          <w:b/>
          <w:lang w:val="en-AU"/>
        </w:rPr>
        <w:t>Online resources</w:t>
      </w:r>
    </w:p>
    <w:p w:rsidR="006012BC" w:rsidRDefault="006012BC" w:rsidP="00F01814">
      <w:pPr>
        <w:keepNext/>
        <w:rPr>
          <w:i/>
          <w:lang w:val="en-AU"/>
        </w:rPr>
      </w:pPr>
    </w:p>
    <w:p w:rsidR="00C865D7" w:rsidRDefault="00C865D7" w:rsidP="00C865D7">
      <w:pPr>
        <w:rPr>
          <w:i/>
          <w:lang w:val="en-AU"/>
        </w:rPr>
      </w:pPr>
      <w:r w:rsidRPr="00555BF8">
        <w:rPr>
          <w:i/>
          <w:lang w:val="en-AU"/>
        </w:rPr>
        <w:t>Medical Devices Safety Update</w:t>
      </w:r>
    </w:p>
    <w:p w:rsidR="00C865D7" w:rsidRDefault="00C865D7" w:rsidP="00C865D7">
      <w:pPr>
        <w:rPr>
          <w:lang w:val="en-AU"/>
        </w:rPr>
      </w:pPr>
      <w:r w:rsidRPr="004D255A">
        <w:rPr>
          <w:lang w:val="en-AU"/>
        </w:rPr>
        <w:t xml:space="preserve">Volume </w:t>
      </w:r>
      <w:r>
        <w:rPr>
          <w:lang w:val="en-AU"/>
        </w:rPr>
        <w:t>3</w:t>
      </w:r>
      <w:r w:rsidRPr="004D255A">
        <w:rPr>
          <w:lang w:val="en-AU"/>
        </w:rPr>
        <w:t xml:space="preserve">, Number </w:t>
      </w:r>
      <w:r>
        <w:rPr>
          <w:lang w:val="en-AU"/>
        </w:rPr>
        <w:t>2</w:t>
      </w:r>
      <w:r w:rsidRPr="004D255A">
        <w:rPr>
          <w:lang w:val="en-AU"/>
        </w:rPr>
        <w:t xml:space="preserve">, </w:t>
      </w:r>
      <w:r>
        <w:rPr>
          <w:lang w:val="en-AU"/>
        </w:rPr>
        <w:t>March 2015</w:t>
      </w:r>
    </w:p>
    <w:p w:rsidR="00C865D7" w:rsidRPr="004D255A" w:rsidRDefault="00E15BFF" w:rsidP="00C865D7">
      <w:pPr>
        <w:rPr>
          <w:lang w:val="en-AU"/>
        </w:rPr>
      </w:pPr>
      <w:hyperlink r:id="rId28" w:history="1">
        <w:r w:rsidR="00C865D7" w:rsidRPr="00B110C0">
          <w:rPr>
            <w:rStyle w:val="Hyperlink"/>
            <w:lang w:val="en-AU"/>
          </w:rPr>
          <w:t>https://www.tga.gov.au/publication-issue/medical-devices-safety-update-volume-3-number-2-march-2015</w:t>
        </w:r>
      </w:hyperlink>
    </w:p>
    <w:p w:rsidR="00C865D7" w:rsidRDefault="00C865D7" w:rsidP="00C865D7">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C865D7" w:rsidRPr="00C865D7" w:rsidRDefault="00C865D7" w:rsidP="00C865D7">
      <w:pPr>
        <w:pStyle w:val="ListParagraph"/>
        <w:numPr>
          <w:ilvl w:val="0"/>
          <w:numId w:val="29"/>
        </w:numPr>
        <w:rPr>
          <w:lang w:val="en-AU"/>
        </w:rPr>
      </w:pPr>
      <w:r w:rsidRPr="00C865D7">
        <w:rPr>
          <w:lang w:val="en-AU"/>
        </w:rPr>
        <w:t>Caution advised in choosing intravenous catheters if power injection may be required</w:t>
      </w:r>
    </w:p>
    <w:p w:rsidR="00C865D7" w:rsidRPr="00C865D7" w:rsidRDefault="00C865D7" w:rsidP="00C865D7">
      <w:pPr>
        <w:pStyle w:val="ListParagraph"/>
        <w:numPr>
          <w:ilvl w:val="0"/>
          <w:numId w:val="29"/>
        </w:numPr>
        <w:rPr>
          <w:lang w:val="en-AU"/>
        </w:rPr>
      </w:pPr>
      <w:r w:rsidRPr="00C865D7">
        <w:rPr>
          <w:lang w:val="en-AU"/>
        </w:rPr>
        <w:t>Acanthamoeba keratitis and contact lens users</w:t>
      </w:r>
    </w:p>
    <w:p w:rsidR="00C865D7" w:rsidRPr="00C865D7" w:rsidRDefault="00C865D7" w:rsidP="00C865D7">
      <w:pPr>
        <w:pStyle w:val="ListParagraph"/>
        <w:numPr>
          <w:ilvl w:val="0"/>
          <w:numId w:val="29"/>
        </w:numPr>
        <w:rPr>
          <w:lang w:val="en-AU"/>
        </w:rPr>
      </w:pPr>
      <w:r>
        <w:rPr>
          <w:lang w:val="en-AU"/>
        </w:rPr>
        <w:t>M</w:t>
      </w:r>
      <w:r w:rsidRPr="00C865D7">
        <w:rPr>
          <w:lang w:val="en-AU"/>
        </w:rPr>
        <w:t>edical device adverse event reports</w:t>
      </w:r>
    </w:p>
    <w:p w:rsidR="00C865D7" w:rsidRPr="006010FA" w:rsidRDefault="00C865D7" w:rsidP="00C865D7">
      <w:pPr>
        <w:pStyle w:val="ListParagraph"/>
        <w:numPr>
          <w:ilvl w:val="0"/>
          <w:numId w:val="29"/>
        </w:numPr>
        <w:rPr>
          <w:lang w:val="en-AU"/>
        </w:rPr>
      </w:pPr>
      <w:r w:rsidRPr="006010FA">
        <w:rPr>
          <w:lang w:val="en-AU"/>
        </w:rPr>
        <w:t>Recent safety alerts</w:t>
      </w:r>
      <w:r>
        <w:rPr>
          <w:lang w:val="en-AU"/>
        </w:rPr>
        <w:t>.</w:t>
      </w:r>
    </w:p>
    <w:p w:rsidR="00180CD6" w:rsidRDefault="00180CD6" w:rsidP="00180CD6">
      <w:pPr>
        <w:keepNext/>
        <w:rPr>
          <w:i/>
          <w:lang w:val="en-AU"/>
        </w:rPr>
      </w:pPr>
    </w:p>
    <w:p w:rsidR="00FC54E0" w:rsidRDefault="00B91833" w:rsidP="00180CD6">
      <w:pPr>
        <w:keepNext/>
        <w:rPr>
          <w:i/>
          <w:lang w:val="en-AU"/>
        </w:rPr>
      </w:pPr>
      <w:r w:rsidRPr="00B91833">
        <w:rPr>
          <w:i/>
          <w:lang w:val="en-AU"/>
        </w:rPr>
        <w:t>Risk-Adjusted Mortality as a Safety/Quality Measure</w:t>
      </w:r>
    </w:p>
    <w:p w:rsidR="00B91833" w:rsidRPr="00B91833" w:rsidRDefault="00E15BFF" w:rsidP="00180CD6">
      <w:pPr>
        <w:keepNext/>
        <w:rPr>
          <w:lang w:val="en-AU"/>
        </w:rPr>
      </w:pPr>
      <w:hyperlink r:id="rId29" w:history="1">
        <w:r w:rsidR="00B91833" w:rsidRPr="00B91833">
          <w:rPr>
            <w:rStyle w:val="Hyperlink"/>
            <w:lang w:val="en-AU"/>
          </w:rPr>
          <w:t>http://webmm.ahrq.gov/home.aspx</w:t>
        </w:r>
      </w:hyperlink>
    </w:p>
    <w:p w:rsidR="00B91833" w:rsidRDefault="00B91833" w:rsidP="00180CD6">
      <w:pPr>
        <w:keepNext/>
        <w:rPr>
          <w:lang w:val="en-AU"/>
        </w:rPr>
      </w:pPr>
      <w:r>
        <w:rPr>
          <w:lang w:val="en-AU"/>
        </w:rPr>
        <w:t xml:space="preserve">This month’s Web M&amp;M (morbidity and mortality round) from the US Agency for Healthcare Research and Quality (AHRQ) includes an </w:t>
      </w:r>
      <w:hyperlink r:id="rId30" w:history="1">
        <w:r w:rsidRPr="00B91833">
          <w:rPr>
            <w:rStyle w:val="Hyperlink"/>
            <w:lang w:val="en-AU"/>
          </w:rPr>
          <w:t>interview</w:t>
        </w:r>
      </w:hyperlink>
      <w:r>
        <w:rPr>
          <w:lang w:val="en-AU"/>
        </w:rPr>
        <w:t xml:space="preserve"> with </w:t>
      </w:r>
      <w:r w:rsidRPr="00B91833">
        <w:rPr>
          <w:lang w:val="en-AU"/>
        </w:rPr>
        <w:t>Sir Brian Jarman</w:t>
      </w:r>
      <w:r>
        <w:rPr>
          <w:lang w:val="en-AU"/>
        </w:rPr>
        <w:t xml:space="preserve"> discussing </w:t>
      </w:r>
      <w:r w:rsidRPr="00B91833">
        <w:rPr>
          <w:lang w:val="en-AU"/>
        </w:rPr>
        <w:t>the development of the hospital standardi</w:t>
      </w:r>
      <w:r>
        <w:rPr>
          <w:lang w:val="en-AU"/>
        </w:rPr>
        <w:t>s</w:t>
      </w:r>
      <w:r w:rsidRPr="00B91833">
        <w:rPr>
          <w:lang w:val="en-AU"/>
        </w:rPr>
        <w:t xml:space="preserve">ed mortality ratios </w:t>
      </w:r>
      <w:r>
        <w:rPr>
          <w:lang w:val="en-AU"/>
        </w:rPr>
        <w:t xml:space="preserve">(HSMR) </w:t>
      </w:r>
      <w:r w:rsidRPr="00B91833">
        <w:rPr>
          <w:lang w:val="en-AU"/>
        </w:rPr>
        <w:t>and their role in monitoring performance</w:t>
      </w:r>
      <w:r>
        <w:rPr>
          <w:lang w:val="en-AU"/>
        </w:rPr>
        <w:t xml:space="preserve">. Accompanying this is a </w:t>
      </w:r>
      <w:hyperlink r:id="rId31" w:history="1">
        <w:r w:rsidRPr="00B91833">
          <w:rPr>
            <w:rStyle w:val="Hyperlink"/>
            <w:lang w:val="en-AU"/>
          </w:rPr>
          <w:t>perspective</w:t>
        </w:r>
      </w:hyperlink>
      <w:r>
        <w:rPr>
          <w:lang w:val="en-AU"/>
        </w:rPr>
        <w:t xml:space="preserve"> piece from Ian Scott examining </w:t>
      </w:r>
      <w:r w:rsidRPr="00B91833">
        <w:rPr>
          <w:lang w:val="en-AU"/>
        </w:rPr>
        <w:t>risk-adjusted hospital mortality rates as a measure of hospital safety, including why they've become popular, major flaws such as low sensitivity, and alternative ways to use them.</w:t>
      </w:r>
    </w:p>
    <w:p w:rsidR="00B91833" w:rsidRDefault="00B91833" w:rsidP="00DB7616">
      <w:pPr>
        <w:rPr>
          <w:lang w:val="en-AU"/>
        </w:rPr>
      </w:pPr>
    </w:p>
    <w:p w:rsidR="00C369C9" w:rsidRPr="00255EF8" w:rsidRDefault="00B91833" w:rsidP="00587CB7">
      <w:pPr>
        <w:keepNext/>
        <w:rPr>
          <w:lang w:val="en-AU"/>
        </w:rPr>
      </w:pPr>
      <w:r>
        <w:rPr>
          <w:lang w:val="en-AU"/>
        </w:rPr>
        <w:t>For information on the Commission’s work</w:t>
      </w:r>
      <w:r w:rsidR="00C369C9">
        <w:rPr>
          <w:lang w:val="en-AU"/>
        </w:rPr>
        <w:t xml:space="preserve"> on indicators, including the </w:t>
      </w:r>
      <w:r w:rsidR="00C369C9" w:rsidRPr="00C369C9">
        <w:rPr>
          <w:i/>
          <w:lang w:val="en-AU"/>
        </w:rPr>
        <w:t>Using hospital mortality indicators to improve patient care: A guide for Boards and Chief Executives report</w:t>
      </w:r>
      <w:r w:rsidR="00C369C9">
        <w:rPr>
          <w:lang w:val="en-AU"/>
        </w:rPr>
        <w:t xml:space="preserve">, see </w:t>
      </w:r>
      <w:hyperlink r:id="rId32" w:history="1">
        <w:r w:rsidR="00C369C9" w:rsidRPr="00D52647">
          <w:rPr>
            <w:rStyle w:val="Hyperlink"/>
            <w:lang w:val="en-AU"/>
          </w:rPr>
          <w:t>http://www.safetyandquality.gov.au/our-work/information-strategy/indicators/core-hospital-based-outcome-indicators/</w:t>
        </w:r>
      </w:hyperlink>
      <w:bookmarkStart w:id="1" w:name="_GoBack"/>
      <w:bookmarkEnd w:id="1"/>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FF" w:rsidRDefault="00E15BFF">
      <w:r>
        <w:separator/>
      </w:r>
    </w:p>
  </w:endnote>
  <w:endnote w:type="continuationSeparator" w:id="0">
    <w:p w:rsidR="00E15BFF" w:rsidRDefault="00E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87CB7">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20AA2">
      <w:t>1</w:t>
    </w:r>
    <w:r w:rsidR="00E84B6F">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CB7">
      <w:rPr>
        <w:rStyle w:val="PageNumber"/>
        <w:noProof/>
      </w:rPr>
      <w:t>5</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E84B6F">
      <w:t xml:space="preserve"> Issue 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FF" w:rsidRDefault="00E15BFF">
      <w:r>
        <w:separator/>
      </w:r>
    </w:p>
  </w:footnote>
  <w:footnote w:type="continuationSeparator" w:id="0">
    <w:p w:rsidR="00E15BFF" w:rsidRDefault="00E15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F77C27"/>
    <w:multiLevelType w:val="hybridMultilevel"/>
    <w:tmpl w:val="4C2E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6496C"/>
    <w:multiLevelType w:val="hybridMultilevel"/>
    <w:tmpl w:val="17487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401049"/>
    <w:multiLevelType w:val="hybridMultilevel"/>
    <w:tmpl w:val="F99E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FFA0A52"/>
    <w:multiLevelType w:val="hybridMultilevel"/>
    <w:tmpl w:val="4BB8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BD3CF4"/>
    <w:multiLevelType w:val="hybridMultilevel"/>
    <w:tmpl w:val="45A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566104"/>
    <w:multiLevelType w:val="hybridMultilevel"/>
    <w:tmpl w:val="201AC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4B40D2"/>
    <w:multiLevelType w:val="hybridMultilevel"/>
    <w:tmpl w:val="F5405C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8B952A0"/>
    <w:multiLevelType w:val="hybridMultilevel"/>
    <w:tmpl w:val="316A3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1024A6"/>
    <w:multiLevelType w:val="hybridMultilevel"/>
    <w:tmpl w:val="4C8A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8D4E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2F4E8E"/>
    <w:multiLevelType w:val="hybridMultilevel"/>
    <w:tmpl w:val="DFF2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C06786"/>
    <w:multiLevelType w:val="hybridMultilevel"/>
    <w:tmpl w:val="930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8C6FE0"/>
    <w:multiLevelType w:val="hybridMultilevel"/>
    <w:tmpl w:val="825C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C81344"/>
    <w:multiLevelType w:val="hybridMultilevel"/>
    <w:tmpl w:val="74265B6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461C5D"/>
    <w:multiLevelType w:val="hybridMultilevel"/>
    <w:tmpl w:val="A978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A6552B"/>
    <w:multiLevelType w:val="hybridMultilevel"/>
    <w:tmpl w:val="180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E059AE"/>
    <w:multiLevelType w:val="hybridMultilevel"/>
    <w:tmpl w:val="78CE0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A86B75"/>
    <w:multiLevelType w:val="hybridMultilevel"/>
    <w:tmpl w:val="4B9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714708"/>
    <w:multiLevelType w:val="hybridMultilevel"/>
    <w:tmpl w:val="A0CE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540E52"/>
    <w:multiLevelType w:val="hybridMultilevel"/>
    <w:tmpl w:val="0A12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F9058E"/>
    <w:multiLevelType w:val="hybridMultilevel"/>
    <w:tmpl w:val="7F2AE3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B901B1"/>
    <w:multiLevelType w:val="hybridMultilevel"/>
    <w:tmpl w:val="411675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17"/>
  </w:num>
  <w:num w:numId="16">
    <w:abstractNumId w:val="27"/>
  </w:num>
  <w:num w:numId="17">
    <w:abstractNumId w:val="19"/>
  </w:num>
  <w:num w:numId="18">
    <w:abstractNumId w:val="36"/>
  </w:num>
  <w:num w:numId="19">
    <w:abstractNumId w:val="34"/>
  </w:num>
  <w:num w:numId="20">
    <w:abstractNumId w:val="26"/>
  </w:num>
  <w:num w:numId="21">
    <w:abstractNumId w:val="37"/>
  </w:num>
  <w:num w:numId="22">
    <w:abstractNumId w:val="21"/>
  </w:num>
  <w:num w:numId="23">
    <w:abstractNumId w:val="14"/>
  </w:num>
  <w:num w:numId="24">
    <w:abstractNumId w:val="11"/>
  </w:num>
  <w:num w:numId="25">
    <w:abstractNumId w:val="12"/>
  </w:num>
  <w:num w:numId="26">
    <w:abstractNumId w:val="32"/>
  </w:num>
  <w:num w:numId="27">
    <w:abstractNumId w:val="28"/>
  </w:num>
  <w:num w:numId="28">
    <w:abstractNumId w:val="29"/>
  </w:num>
  <w:num w:numId="29">
    <w:abstractNumId w:val="42"/>
  </w:num>
  <w:num w:numId="30">
    <w:abstractNumId w:val="23"/>
  </w:num>
  <w:num w:numId="31">
    <w:abstractNumId w:val="33"/>
  </w:num>
  <w:num w:numId="32">
    <w:abstractNumId w:val="15"/>
  </w:num>
  <w:num w:numId="33">
    <w:abstractNumId w:val="13"/>
  </w:num>
  <w:num w:numId="34">
    <w:abstractNumId w:val="35"/>
  </w:num>
  <w:num w:numId="35">
    <w:abstractNumId w:val="41"/>
  </w:num>
  <w:num w:numId="36">
    <w:abstractNumId w:val="20"/>
  </w:num>
  <w:num w:numId="37">
    <w:abstractNumId w:val="40"/>
  </w:num>
  <w:num w:numId="38">
    <w:abstractNumId w:val="30"/>
  </w:num>
  <w:num w:numId="39">
    <w:abstractNumId w:val="16"/>
  </w:num>
  <w:num w:numId="40">
    <w:abstractNumId w:val="22"/>
  </w:num>
  <w:num w:numId="41">
    <w:abstractNumId w:val="18"/>
  </w:num>
  <w:num w:numId="42">
    <w:abstractNumId w:val="10"/>
  </w:num>
  <w:num w:numId="43">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67A0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844"/>
    <w:rsid w:val="00212BEA"/>
    <w:rsid w:val="00212DBF"/>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5EF8"/>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6DC"/>
    <w:rsid w:val="002B09F2"/>
    <w:rsid w:val="002B0AE8"/>
    <w:rsid w:val="002B0C21"/>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7718"/>
    <w:rsid w:val="0033796F"/>
    <w:rsid w:val="00337DF2"/>
    <w:rsid w:val="00337FAA"/>
    <w:rsid w:val="00340157"/>
    <w:rsid w:val="0034028A"/>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778"/>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41C"/>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BC6"/>
    <w:rsid w:val="00445FCE"/>
    <w:rsid w:val="00446549"/>
    <w:rsid w:val="00446603"/>
    <w:rsid w:val="004468E0"/>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2BF"/>
    <w:rsid w:val="004604CE"/>
    <w:rsid w:val="004604FE"/>
    <w:rsid w:val="00460979"/>
    <w:rsid w:val="00461BFD"/>
    <w:rsid w:val="00461CF7"/>
    <w:rsid w:val="00461DAB"/>
    <w:rsid w:val="00462050"/>
    <w:rsid w:val="00462A50"/>
    <w:rsid w:val="00463614"/>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A70"/>
    <w:rsid w:val="00487BEF"/>
    <w:rsid w:val="00487D8E"/>
    <w:rsid w:val="00487E76"/>
    <w:rsid w:val="00487F97"/>
    <w:rsid w:val="00487FFC"/>
    <w:rsid w:val="00490024"/>
    <w:rsid w:val="00490126"/>
    <w:rsid w:val="004904F8"/>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7F7"/>
    <w:rsid w:val="004A0D31"/>
    <w:rsid w:val="004A0E95"/>
    <w:rsid w:val="004A14D3"/>
    <w:rsid w:val="004A1534"/>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CB7"/>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47F2"/>
    <w:rsid w:val="005E5227"/>
    <w:rsid w:val="005E522A"/>
    <w:rsid w:val="005E54B8"/>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9D6"/>
    <w:rsid w:val="00712B67"/>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67986"/>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A13"/>
    <w:rsid w:val="007C5D5C"/>
    <w:rsid w:val="007C5E8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33D"/>
    <w:rsid w:val="00814896"/>
    <w:rsid w:val="00814B34"/>
    <w:rsid w:val="00814BCB"/>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A64"/>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612B"/>
    <w:rsid w:val="00A36504"/>
    <w:rsid w:val="00A36531"/>
    <w:rsid w:val="00A36585"/>
    <w:rsid w:val="00A36E82"/>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597F"/>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7B"/>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461D"/>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616"/>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BFF"/>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AB6"/>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CCE"/>
    <w:rsid w:val="00F20458"/>
    <w:rsid w:val="00F20F59"/>
    <w:rsid w:val="00F2160D"/>
    <w:rsid w:val="00F2207E"/>
    <w:rsid w:val="00F22C87"/>
    <w:rsid w:val="00F22E37"/>
    <w:rsid w:val="00F22F48"/>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08860906">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8006">
      <w:bodyDiv w:val="1"/>
      <w:marLeft w:val="0"/>
      <w:marRight w:val="0"/>
      <w:marTop w:val="0"/>
      <w:marBottom w:val="0"/>
      <w:divBdr>
        <w:top w:val="none" w:sz="0" w:space="0" w:color="auto"/>
        <w:left w:val="none" w:sz="0" w:space="0" w:color="auto"/>
        <w:bottom w:val="none" w:sz="0" w:space="0" w:color="auto"/>
        <w:right w:val="none" w:sz="0" w:space="0" w:color="auto"/>
      </w:divBdr>
      <w:divsChild>
        <w:div w:id="1260020664">
          <w:marLeft w:val="0"/>
          <w:marRight w:val="0"/>
          <w:marTop w:val="60"/>
          <w:marBottom w:val="0"/>
          <w:divBdr>
            <w:top w:val="single" w:sz="2" w:space="4" w:color="FFA500"/>
            <w:left w:val="single" w:sz="2" w:space="0" w:color="FFA500"/>
            <w:bottom w:val="single" w:sz="2" w:space="0" w:color="FFA500"/>
            <w:right w:val="single" w:sz="2" w:space="0" w:color="FFA500"/>
          </w:divBdr>
        </w:div>
        <w:div w:id="1705793276">
          <w:marLeft w:val="0"/>
          <w:marRight w:val="0"/>
          <w:marTop w:val="60"/>
          <w:marBottom w:val="0"/>
          <w:divBdr>
            <w:top w:val="single" w:sz="2" w:space="4" w:color="800080"/>
            <w:left w:val="single" w:sz="2" w:space="0" w:color="800080"/>
            <w:bottom w:val="single" w:sz="2" w:space="0" w:color="800080"/>
            <w:right w:val="single" w:sz="2" w:space="0" w:color="800080"/>
          </w:divBdr>
          <w:divsChild>
            <w:div w:id="6817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onlinelibrary.wiley.com/doi/10.1111/ijpp.12120/full" TargetMode="External"/><Relationship Id="rId26" Type="http://schemas.openxmlformats.org/officeDocument/2006/relationships/hyperlink" Target="http://www.publish.csiro.au/nid/241/issue/7519.htm" TargetMode="External"/><Relationship Id="rId3" Type="http://schemas.openxmlformats.org/officeDocument/2006/relationships/styles" Target="styles.xml"/><Relationship Id="rId21" Type="http://schemas.openxmlformats.org/officeDocument/2006/relationships/hyperlink" Target="http://dx.doi.org/10.1016/j.iccn.2014.11.005"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111/ijpp.12120" TargetMode="External"/><Relationship Id="rId25" Type="http://schemas.openxmlformats.org/officeDocument/2006/relationships/hyperlink" Target="http://content.healthaffairs.org/content/34/3.to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ealth.org.uk/publications/building-the-foundations-for-improvement/" TargetMode="External"/><Relationship Id="rId20" Type="http://schemas.openxmlformats.org/officeDocument/2006/relationships/hyperlink" Target="http://dx.doi.org/10.1097/PCC.0000000000000274" TargetMode="External"/><Relationship Id="rId29" Type="http://schemas.openxmlformats.org/officeDocument/2006/relationships/hyperlink" Target="http://webmm.ahrq.gov/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learn.nps.org.au/mod/page/view.php?id=5551" TargetMode="External"/><Relationship Id="rId32" Type="http://schemas.openxmlformats.org/officeDocument/2006/relationships/hyperlink" Target="http://www.safetyandquality.gov.au/our-work/information-strategy/indicators/core-hospital-based-outcome-indicators/"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5694/mja15.00192" TargetMode="External"/><Relationship Id="rId28" Type="http://schemas.openxmlformats.org/officeDocument/2006/relationships/hyperlink" Target="https://www.tga.gov.au/publication-issue/medical-devices-safety-update-volume-3-number-2-march-2015" TargetMode="External"/><Relationship Id="rId36"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medication-safety/" TargetMode="External"/><Relationship Id="rId31" Type="http://schemas.openxmlformats.org/officeDocument/2006/relationships/hyperlink" Target="http://webmm.ahrq.gov/perspective.aspx?perspectiveID=17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4.00673"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ebmm.ahrq.gov/perspective.aspx?perspectiveId=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52AA-4CA3-451B-9069-5A907BBF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5</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15109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2013-06-06T03:47:00Z</cp:lastPrinted>
  <dcterms:created xsi:type="dcterms:W3CDTF">2015-03-01T20:57:00Z</dcterms:created>
  <dcterms:modified xsi:type="dcterms:W3CDTF">2015-03-07T09:13:00Z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