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F85360">
        <w:rPr>
          <w:color w:val="000000"/>
          <w:lang w:val="en-AU"/>
        </w:rPr>
        <w:t>20</w:t>
      </w:r>
    </w:p>
    <w:p w:rsidR="00755242" w:rsidRPr="00255EF8" w:rsidRDefault="00F005B8" w:rsidP="00B160EF">
      <w:pPr>
        <w:rPr>
          <w:lang w:val="en-AU"/>
        </w:rPr>
      </w:pPr>
      <w:r>
        <w:rPr>
          <w:lang w:val="en-AU"/>
        </w:rPr>
        <w:t>2</w:t>
      </w:r>
      <w:r w:rsidR="00F85360">
        <w:rPr>
          <w:lang w:val="en-AU"/>
        </w:rPr>
        <w:t>7</w:t>
      </w:r>
      <w:r>
        <w:rPr>
          <w:lang w:val="en-AU"/>
        </w:rPr>
        <w:t xml:space="preserve"> </w:t>
      </w:r>
      <w:r w:rsidR="00F61F35">
        <w:rPr>
          <w:lang w:val="en-AU"/>
        </w:rPr>
        <w:t>April</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0"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0"/>
      <w:r w:rsidR="00A1571A">
        <w:rPr>
          <w:bCs/>
          <w:lang w:val="en-AU"/>
        </w:rPr>
        <w:t>, Alice Bhasale</w:t>
      </w:r>
    </w:p>
    <w:p w:rsidR="00F34D09" w:rsidRDefault="00F34D09" w:rsidP="00F34D09">
      <w:pPr>
        <w:rPr>
          <w:shd w:val="clear" w:color="auto" w:fill="FFFFFF"/>
          <w:lang w:val="en-AU"/>
        </w:rPr>
      </w:pPr>
    </w:p>
    <w:p w:rsidR="00F85360" w:rsidRDefault="00F85360" w:rsidP="00B673A5">
      <w:pPr>
        <w:keepNext/>
        <w:autoSpaceDE w:val="0"/>
        <w:autoSpaceDN w:val="0"/>
        <w:adjustRightInd w:val="0"/>
        <w:rPr>
          <w:b/>
          <w:lang w:val="en-AU"/>
        </w:rPr>
      </w:pPr>
      <w:r>
        <w:rPr>
          <w:b/>
          <w:lang w:val="en-AU"/>
        </w:rPr>
        <w:t>Reports</w:t>
      </w:r>
    </w:p>
    <w:p w:rsidR="00444396" w:rsidRPr="00444396" w:rsidRDefault="00444396" w:rsidP="00444396">
      <w:pPr>
        <w:keepNext/>
        <w:keepLines/>
        <w:autoSpaceDE w:val="0"/>
        <w:autoSpaceDN w:val="0"/>
        <w:adjustRightInd w:val="0"/>
        <w:rPr>
          <w:i/>
          <w:lang w:val="en-AU"/>
        </w:rPr>
      </w:pPr>
      <w:r w:rsidRPr="00444396">
        <w:rPr>
          <w:i/>
          <w:lang w:val="en-AU"/>
        </w:rPr>
        <w:t>2014 National Healthcare Quality and Disparities Report</w:t>
      </w:r>
    </w:p>
    <w:p w:rsidR="009A3274" w:rsidRDefault="009A3274" w:rsidP="00444396">
      <w:pPr>
        <w:keepNext/>
        <w:keepLines/>
        <w:autoSpaceDE w:val="0"/>
        <w:autoSpaceDN w:val="0"/>
        <w:adjustRightInd w:val="0"/>
        <w:rPr>
          <w:lang w:val="en-AU"/>
        </w:rPr>
      </w:pPr>
      <w:r w:rsidRPr="009A3274">
        <w:rPr>
          <w:lang w:val="en-AU"/>
        </w:rPr>
        <w:t>Agency for Healthcare Quality and Research</w:t>
      </w:r>
    </w:p>
    <w:p w:rsidR="00444396" w:rsidRPr="00255EF8" w:rsidRDefault="009A3274" w:rsidP="00444396">
      <w:pPr>
        <w:keepNext/>
        <w:keepLines/>
        <w:autoSpaceDE w:val="0"/>
        <w:autoSpaceDN w:val="0"/>
        <w:adjustRightInd w:val="0"/>
        <w:rPr>
          <w:lang w:val="en-AU"/>
        </w:rPr>
      </w:pPr>
      <w:r w:rsidRPr="009A3274">
        <w:rPr>
          <w:lang w:val="en-AU"/>
        </w:rPr>
        <w:t>Rockville, MD: Agency for Healthcare Research and Quality; 2015.</w:t>
      </w:r>
    </w:p>
    <w:tbl>
      <w:tblPr>
        <w:tblStyle w:val="TableGrid"/>
        <w:tblW w:w="0" w:type="auto"/>
        <w:tblInd w:w="288" w:type="dxa"/>
        <w:tblLayout w:type="fixed"/>
        <w:tblLook w:val="01E0" w:firstRow="1" w:lastRow="1" w:firstColumn="1" w:lastColumn="1" w:noHBand="0" w:noVBand="0"/>
      </w:tblPr>
      <w:tblGrid>
        <w:gridCol w:w="1080"/>
        <w:gridCol w:w="8280"/>
      </w:tblGrid>
      <w:tr w:rsidR="00444396" w:rsidRPr="00255EF8" w:rsidTr="001B15EA">
        <w:tc>
          <w:tcPr>
            <w:tcW w:w="1080" w:type="dxa"/>
            <w:tcBorders>
              <w:top w:val="single" w:sz="4" w:space="0" w:color="auto"/>
              <w:left w:val="single" w:sz="4" w:space="0" w:color="auto"/>
              <w:bottom w:val="single" w:sz="4" w:space="0" w:color="auto"/>
              <w:right w:val="single" w:sz="4" w:space="0" w:color="auto"/>
            </w:tcBorders>
            <w:vAlign w:val="center"/>
          </w:tcPr>
          <w:p w:rsidR="00444396" w:rsidRPr="00255EF8" w:rsidRDefault="00444396" w:rsidP="001B15E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44396" w:rsidRPr="00255EF8" w:rsidRDefault="00CD3AA8" w:rsidP="001B15EA">
            <w:pPr>
              <w:rPr>
                <w:lang w:val="en-AU"/>
              </w:rPr>
            </w:pPr>
            <w:hyperlink r:id="rId16" w:history="1">
              <w:r w:rsidR="00444396" w:rsidRPr="00D061CD">
                <w:rPr>
                  <w:rStyle w:val="Hyperlink"/>
                  <w:lang w:val="en-AU"/>
                </w:rPr>
                <w:t>http://www.ahrq.gov/research/findings/nhqrdr/index.html</w:t>
              </w:r>
            </w:hyperlink>
            <w:r w:rsidR="00444396">
              <w:rPr>
                <w:lang w:val="en-AU"/>
              </w:rPr>
              <w:t xml:space="preserve"> </w:t>
            </w:r>
          </w:p>
        </w:tc>
      </w:tr>
      <w:tr w:rsidR="00444396" w:rsidRPr="00255EF8" w:rsidTr="001B15EA">
        <w:tc>
          <w:tcPr>
            <w:tcW w:w="1080" w:type="dxa"/>
            <w:tcBorders>
              <w:top w:val="single" w:sz="4" w:space="0" w:color="auto"/>
              <w:left w:val="single" w:sz="4" w:space="0" w:color="auto"/>
              <w:bottom w:val="single" w:sz="4" w:space="0" w:color="auto"/>
              <w:right w:val="single" w:sz="4" w:space="0" w:color="auto"/>
            </w:tcBorders>
            <w:vAlign w:val="center"/>
          </w:tcPr>
          <w:p w:rsidR="00444396" w:rsidRPr="00255EF8" w:rsidRDefault="00444396" w:rsidP="001B15E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4396" w:rsidRDefault="00444396" w:rsidP="00F05F4F">
            <w:pPr>
              <w:rPr>
                <w:color w:val="333333"/>
                <w:shd w:val="clear" w:color="auto" w:fill="FFFFFF"/>
                <w:lang w:val="en-AU"/>
              </w:rPr>
            </w:pPr>
            <w:r>
              <w:rPr>
                <w:color w:val="333333"/>
                <w:shd w:val="clear" w:color="auto" w:fill="FFFFFF"/>
                <w:lang w:val="en-AU"/>
              </w:rPr>
              <w:t>The (US) Agency for Healthcare Research and Quality</w:t>
            </w:r>
            <w:r w:rsidR="00F05F4F">
              <w:rPr>
                <w:color w:val="333333"/>
                <w:shd w:val="clear" w:color="auto" w:fill="FFFFFF"/>
                <w:lang w:val="en-AU"/>
              </w:rPr>
              <w:t xml:space="preserve"> </w:t>
            </w:r>
            <w:r>
              <w:rPr>
                <w:color w:val="333333"/>
                <w:shd w:val="clear" w:color="auto" w:fill="FFFFFF"/>
                <w:lang w:val="en-AU"/>
              </w:rPr>
              <w:t xml:space="preserve">(AHRQ) has released its latest annual national (US) report on healthcare quality and disparities. </w:t>
            </w:r>
            <w:r w:rsidR="00F05F4F" w:rsidRPr="00F05F4F">
              <w:rPr>
                <w:color w:val="333333"/>
                <w:shd w:val="clear" w:color="auto" w:fill="FFFFFF"/>
                <w:lang w:val="en-AU"/>
              </w:rPr>
              <w:t>These reports measure trends in effectiveness of care, patient safety, timeliness of care, patient centeredness, and efficiency of care. The report provides a snapshot of health care quality and disparities based on trend analyses from 2000</w:t>
            </w:r>
            <w:r w:rsidR="00F05F4F">
              <w:rPr>
                <w:color w:val="333333"/>
                <w:shd w:val="clear" w:color="auto" w:fill="FFFFFF"/>
                <w:lang w:val="en-AU"/>
              </w:rPr>
              <w:t>–</w:t>
            </w:r>
            <w:r w:rsidR="00F05F4F" w:rsidRPr="00F05F4F">
              <w:rPr>
                <w:color w:val="333333"/>
                <w:shd w:val="clear" w:color="auto" w:fill="FFFFFF"/>
                <w:lang w:val="en-AU"/>
              </w:rPr>
              <w:t>2002 to 2011</w:t>
            </w:r>
            <w:r w:rsidR="00F05F4F">
              <w:rPr>
                <w:color w:val="333333"/>
                <w:shd w:val="clear" w:color="auto" w:fill="FFFFFF"/>
                <w:lang w:val="en-AU"/>
              </w:rPr>
              <w:t>–</w:t>
            </w:r>
            <w:r w:rsidR="00F05F4F" w:rsidRPr="00F05F4F">
              <w:rPr>
                <w:color w:val="333333"/>
                <w:shd w:val="clear" w:color="auto" w:fill="FFFFFF"/>
                <w:lang w:val="en-AU"/>
              </w:rPr>
              <w:t xml:space="preserve">2012. </w:t>
            </w:r>
            <w:r w:rsidR="00F05F4F">
              <w:rPr>
                <w:color w:val="333333"/>
                <w:shd w:val="clear" w:color="auto" w:fill="FFFFFF"/>
                <w:lang w:val="en-AU"/>
              </w:rPr>
              <w:t xml:space="preserve">As </w:t>
            </w:r>
            <w:r w:rsidR="00F05F4F" w:rsidRPr="00F05F4F">
              <w:rPr>
                <w:color w:val="333333"/>
                <w:shd w:val="clear" w:color="auto" w:fill="FFFFFF"/>
                <w:lang w:val="en-AU"/>
              </w:rPr>
              <w:t xml:space="preserve">most </w:t>
            </w:r>
            <w:r w:rsidR="00F05F4F">
              <w:rPr>
                <w:color w:val="333333"/>
                <w:shd w:val="clear" w:color="auto" w:fill="FFFFFF"/>
                <w:lang w:val="en-AU"/>
              </w:rPr>
              <w:t xml:space="preserve">of the </w:t>
            </w:r>
            <w:r w:rsidR="00F05F4F" w:rsidRPr="00F05F4F">
              <w:rPr>
                <w:color w:val="333333"/>
                <w:shd w:val="clear" w:color="auto" w:fill="FFFFFF"/>
                <w:lang w:val="en-AU"/>
              </w:rPr>
              <w:t>data pre</w:t>
            </w:r>
            <w:r w:rsidR="00F05F4F">
              <w:rPr>
                <w:color w:val="333333"/>
                <w:shd w:val="clear" w:color="auto" w:fill="FFFFFF"/>
                <w:lang w:val="en-AU"/>
              </w:rPr>
              <w:t xml:space="preserve">date the </w:t>
            </w:r>
            <w:r w:rsidR="00F05F4F" w:rsidRPr="00F05F4F">
              <w:rPr>
                <w:color w:val="333333"/>
                <w:shd w:val="clear" w:color="auto" w:fill="FFFFFF"/>
                <w:lang w:val="en-AU"/>
              </w:rPr>
              <w:t xml:space="preserve">implementation of </w:t>
            </w:r>
            <w:r w:rsidR="00F05F4F">
              <w:rPr>
                <w:color w:val="333333"/>
                <w:shd w:val="clear" w:color="auto" w:fill="FFFFFF"/>
                <w:lang w:val="en-AU"/>
              </w:rPr>
              <w:t xml:space="preserve">most of the changes to </w:t>
            </w:r>
            <w:r w:rsidR="00F05F4F" w:rsidRPr="00F05F4F">
              <w:rPr>
                <w:color w:val="333333"/>
                <w:shd w:val="clear" w:color="auto" w:fill="FFFFFF"/>
                <w:lang w:val="en-AU"/>
              </w:rPr>
              <w:t xml:space="preserve">health insurance </w:t>
            </w:r>
            <w:r w:rsidR="00F05F4F">
              <w:rPr>
                <w:color w:val="333333"/>
                <w:shd w:val="clear" w:color="auto" w:fill="FFFFFF"/>
                <w:lang w:val="en-AU"/>
              </w:rPr>
              <w:t xml:space="preserve">stemming from </w:t>
            </w:r>
            <w:r w:rsidR="00F05F4F" w:rsidRPr="00F05F4F">
              <w:rPr>
                <w:color w:val="333333"/>
                <w:shd w:val="clear" w:color="auto" w:fill="FFFFFF"/>
                <w:lang w:val="en-AU"/>
              </w:rPr>
              <w:t xml:space="preserve">the Affordable Care Act, the report </w:t>
            </w:r>
            <w:r w:rsidR="00F05F4F">
              <w:rPr>
                <w:color w:val="333333"/>
                <w:shd w:val="clear" w:color="auto" w:fill="FFFFFF"/>
                <w:lang w:val="en-AU"/>
              </w:rPr>
              <w:t xml:space="preserve">also </w:t>
            </w:r>
            <w:r w:rsidR="00F05F4F" w:rsidRPr="00F05F4F">
              <w:rPr>
                <w:color w:val="333333"/>
                <w:shd w:val="clear" w:color="auto" w:fill="FFFFFF"/>
                <w:lang w:val="en-AU"/>
              </w:rPr>
              <w:t>serves as a baseline for measuring progress in future years.</w:t>
            </w:r>
          </w:p>
          <w:p w:rsidR="00F05F4F" w:rsidRDefault="00F05F4F" w:rsidP="00F05F4F">
            <w:pPr>
              <w:rPr>
                <w:color w:val="333333"/>
                <w:shd w:val="clear" w:color="auto" w:fill="FFFFFF"/>
                <w:lang w:val="en-AU"/>
              </w:rPr>
            </w:pPr>
            <w:r>
              <w:rPr>
                <w:color w:val="333333"/>
                <w:shd w:val="clear" w:color="auto" w:fill="FFFFFF"/>
                <w:lang w:val="en-AU"/>
              </w:rPr>
              <w:t>AHRQ note that:</w:t>
            </w:r>
          </w:p>
          <w:p w:rsidR="00F05F4F" w:rsidRPr="00F05F4F" w:rsidRDefault="00F05F4F" w:rsidP="00F05F4F">
            <w:pPr>
              <w:pStyle w:val="ListParagraph"/>
              <w:numPr>
                <w:ilvl w:val="0"/>
                <w:numId w:val="28"/>
              </w:numPr>
              <w:rPr>
                <w:color w:val="333333"/>
                <w:shd w:val="clear" w:color="auto" w:fill="FFFFFF"/>
                <w:lang w:val="en-AU"/>
              </w:rPr>
            </w:pPr>
            <w:r>
              <w:rPr>
                <w:color w:val="333333"/>
                <w:shd w:val="clear" w:color="auto" w:fill="FFFFFF"/>
                <w:lang w:val="en-AU"/>
              </w:rPr>
              <w:t>US h</w:t>
            </w:r>
            <w:r w:rsidRPr="00F05F4F">
              <w:rPr>
                <w:color w:val="333333"/>
                <w:shd w:val="clear" w:color="auto" w:fill="FFFFFF"/>
                <w:lang w:val="en-AU"/>
              </w:rPr>
              <w:t>ospital care was safer in 2013 than in 2010, with 17 percent fewer harms to patients and an estimated 1.3 million fewer hospital-acquired conditions, 50,000 fewer deaths, and $12 billion in cost savings over three years (2011, 2012, 2013). However, quality is still far from optimal, with millions of patients harmed by the care they receive, and only 70 percent of recommended care being delivered across a broad array of quality measures.</w:t>
            </w:r>
          </w:p>
          <w:p w:rsidR="00F05F4F" w:rsidRPr="00F05F4F" w:rsidRDefault="00F05F4F" w:rsidP="00F05F4F">
            <w:pPr>
              <w:pStyle w:val="ListParagraph"/>
              <w:numPr>
                <w:ilvl w:val="0"/>
                <w:numId w:val="28"/>
              </w:numPr>
              <w:rPr>
                <w:color w:val="333333"/>
                <w:shd w:val="clear" w:color="auto" w:fill="FFFFFF"/>
                <w:lang w:val="en-AU"/>
              </w:rPr>
            </w:pPr>
            <w:r w:rsidRPr="00F05F4F">
              <w:rPr>
                <w:color w:val="333333"/>
                <w:shd w:val="clear" w:color="auto" w:fill="FFFFFF"/>
                <w:lang w:val="en-AU"/>
              </w:rPr>
              <w:lastRenderedPageBreak/>
              <w:t>A few disparities among racial groups for services such as childhood vaccinations have been reduced to zero; however, much additional work remains to address a broad range of other disparities affecting quality of care.</w:t>
            </w:r>
          </w:p>
        </w:tc>
      </w:tr>
    </w:tbl>
    <w:p w:rsidR="00444396" w:rsidRDefault="00444396" w:rsidP="00444396">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5F52C2" w:rsidRDefault="005F52C2" w:rsidP="005F52C2">
      <w:pPr>
        <w:keepNext/>
        <w:keepLines/>
        <w:autoSpaceDE w:val="0"/>
        <w:autoSpaceDN w:val="0"/>
        <w:adjustRightInd w:val="0"/>
        <w:rPr>
          <w:lang w:val="en-AU"/>
        </w:rPr>
      </w:pPr>
    </w:p>
    <w:p w:rsidR="00314FB0" w:rsidRPr="00314FB0" w:rsidRDefault="00314FB0" w:rsidP="00314FB0">
      <w:pPr>
        <w:keepNext/>
        <w:keepLines/>
        <w:autoSpaceDE w:val="0"/>
        <w:autoSpaceDN w:val="0"/>
        <w:adjustRightInd w:val="0"/>
        <w:rPr>
          <w:i/>
          <w:lang w:val="en-AU"/>
        </w:rPr>
      </w:pPr>
      <w:r w:rsidRPr="00314FB0">
        <w:rPr>
          <w:i/>
          <w:lang w:val="en-AU"/>
        </w:rPr>
        <w:t>Using clinical practice variations as a method for commissioners and clinicians to identify and prioritise opportunities for disinvestment in health care: a cross-sectional study, systematic reviews and qualitative study</w:t>
      </w:r>
    </w:p>
    <w:p w:rsidR="00314FB0" w:rsidRDefault="00314FB0" w:rsidP="00E22A74">
      <w:pPr>
        <w:keepNext/>
        <w:keepLines/>
        <w:autoSpaceDE w:val="0"/>
        <w:autoSpaceDN w:val="0"/>
        <w:adjustRightInd w:val="0"/>
        <w:rPr>
          <w:lang w:val="en-AU"/>
        </w:rPr>
      </w:pPr>
      <w:r w:rsidRPr="00314FB0">
        <w:rPr>
          <w:lang w:val="en-AU"/>
        </w:rPr>
        <w:t xml:space="preserve">Beynon C, Hollingworth W, Rooshenas L, Busby J, Hine C, Badrinath P, et al. </w:t>
      </w:r>
    </w:p>
    <w:p w:rsidR="00E22A74" w:rsidRPr="00255EF8" w:rsidRDefault="00314FB0" w:rsidP="00E22A74">
      <w:pPr>
        <w:keepNext/>
        <w:keepLines/>
        <w:autoSpaceDE w:val="0"/>
        <w:autoSpaceDN w:val="0"/>
        <w:adjustRightInd w:val="0"/>
        <w:rPr>
          <w:lang w:val="en-AU"/>
        </w:rPr>
      </w:pPr>
      <w:proofErr w:type="gramStart"/>
      <w:r w:rsidRPr="00314FB0">
        <w:rPr>
          <w:lang w:val="en-AU"/>
        </w:rPr>
        <w:t>Health Serv</w:t>
      </w:r>
      <w:r>
        <w:rPr>
          <w:lang w:val="en-AU"/>
        </w:rPr>
        <w:t>ices and</w:t>
      </w:r>
      <w:r w:rsidRPr="00314FB0">
        <w:rPr>
          <w:lang w:val="en-AU"/>
        </w:rPr>
        <w:t xml:space="preserve"> Deliv</w:t>
      </w:r>
      <w:r>
        <w:rPr>
          <w:lang w:val="en-AU"/>
        </w:rPr>
        <w:t>ery</w:t>
      </w:r>
      <w:r w:rsidRPr="00314FB0">
        <w:rPr>
          <w:lang w:val="en-AU"/>
        </w:rPr>
        <w:t xml:space="preserve"> Res</w:t>
      </w:r>
      <w:r>
        <w:rPr>
          <w:lang w:val="en-AU"/>
        </w:rPr>
        <w:t>earch</w:t>
      </w:r>
      <w:r w:rsidRPr="00314FB0">
        <w:rPr>
          <w:lang w:val="en-AU"/>
        </w:rPr>
        <w:t>.</w:t>
      </w:r>
      <w:proofErr w:type="gramEnd"/>
      <w:r w:rsidRPr="00314FB0">
        <w:rPr>
          <w:lang w:val="en-AU"/>
        </w:rPr>
        <w:t xml:space="preserve"> </w:t>
      </w:r>
      <w:proofErr w:type="gramStart"/>
      <w:r w:rsidRPr="00314FB0">
        <w:rPr>
          <w:lang w:val="en-AU"/>
        </w:rPr>
        <w:t>2015;</w:t>
      </w:r>
      <w:r>
        <w:rPr>
          <w:lang w:val="en-AU"/>
        </w:rPr>
        <w:t xml:space="preserve"> </w:t>
      </w:r>
      <w:r w:rsidRPr="00314FB0">
        <w:rPr>
          <w:lang w:val="en-AU"/>
        </w:rPr>
        <w:t>3(13).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22A74" w:rsidRPr="00255EF8" w:rsidTr="00656CCA">
        <w:tc>
          <w:tcPr>
            <w:tcW w:w="1080" w:type="dxa"/>
            <w:tcBorders>
              <w:top w:val="single" w:sz="4" w:space="0" w:color="auto"/>
              <w:left w:val="single" w:sz="4" w:space="0" w:color="auto"/>
              <w:bottom w:val="single" w:sz="4" w:space="0" w:color="auto"/>
              <w:right w:val="single" w:sz="4" w:space="0" w:color="auto"/>
            </w:tcBorders>
            <w:vAlign w:val="center"/>
          </w:tcPr>
          <w:p w:rsidR="00E22A74" w:rsidRPr="00255EF8" w:rsidRDefault="00E22A74" w:rsidP="00656CC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2A74" w:rsidRPr="00255EF8" w:rsidRDefault="00CD3AA8" w:rsidP="00314FB0">
            <w:pPr>
              <w:rPr>
                <w:lang w:val="en-AU"/>
              </w:rPr>
            </w:pPr>
            <w:hyperlink r:id="rId17" w:history="1">
              <w:r w:rsidR="00314FB0" w:rsidRPr="00AA5FB8">
                <w:rPr>
                  <w:rStyle w:val="Hyperlink"/>
                  <w:lang w:val="en-AU"/>
                </w:rPr>
                <w:t>http://dx.doi.org/10.3310/hsdr03130</w:t>
              </w:r>
            </w:hyperlink>
          </w:p>
        </w:tc>
      </w:tr>
      <w:tr w:rsidR="00E22A74" w:rsidRPr="00255EF8" w:rsidTr="00656CCA">
        <w:tc>
          <w:tcPr>
            <w:tcW w:w="1080" w:type="dxa"/>
            <w:tcBorders>
              <w:top w:val="single" w:sz="4" w:space="0" w:color="auto"/>
              <w:left w:val="single" w:sz="4" w:space="0" w:color="auto"/>
              <w:bottom w:val="single" w:sz="4" w:space="0" w:color="auto"/>
              <w:right w:val="single" w:sz="4" w:space="0" w:color="auto"/>
            </w:tcBorders>
            <w:vAlign w:val="center"/>
          </w:tcPr>
          <w:p w:rsidR="00E22A74" w:rsidRPr="00255EF8" w:rsidRDefault="00E22A74" w:rsidP="00656CC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2A74" w:rsidRDefault="00D67E03" w:rsidP="00D67E03">
            <w:pPr>
              <w:rPr>
                <w:color w:val="333333"/>
                <w:shd w:val="clear" w:color="auto" w:fill="FFFFFF"/>
                <w:lang w:val="en-AU"/>
              </w:rPr>
            </w:pPr>
            <w:r>
              <w:rPr>
                <w:color w:val="333333"/>
                <w:shd w:val="clear" w:color="auto" w:fill="FFFFFF"/>
                <w:lang w:val="en-AU"/>
              </w:rPr>
              <w:t>Detailed p</w:t>
            </w:r>
            <w:r w:rsidR="00EC5972">
              <w:rPr>
                <w:color w:val="333333"/>
                <w:shd w:val="clear" w:color="auto" w:fill="FFFFFF"/>
                <w:lang w:val="en-AU"/>
              </w:rPr>
              <w:t xml:space="preserve">aper </w:t>
            </w:r>
            <w:r>
              <w:rPr>
                <w:color w:val="333333"/>
                <w:shd w:val="clear" w:color="auto" w:fill="FFFFFF"/>
                <w:lang w:val="en-AU"/>
              </w:rPr>
              <w:t xml:space="preserve">(full </w:t>
            </w:r>
            <w:r w:rsidR="00C6152A">
              <w:rPr>
                <w:color w:val="333333"/>
                <w:shd w:val="clear" w:color="auto" w:fill="FFFFFF"/>
                <w:lang w:val="en-AU"/>
              </w:rPr>
              <w:t xml:space="preserve">paper </w:t>
            </w:r>
            <w:r>
              <w:rPr>
                <w:color w:val="333333"/>
                <w:shd w:val="clear" w:color="auto" w:fill="FFFFFF"/>
                <w:lang w:val="en-AU"/>
              </w:rPr>
              <w:t xml:space="preserve">is 202 pages) </w:t>
            </w:r>
            <w:r w:rsidR="00EC5972">
              <w:rPr>
                <w:color w:val="333333"/>
                <w:shd w:val="clear" w:color="auto" w:fill="FFFFFF"/>
                <w:lang w:val="en-AU"/>
              </w:rPr>
              <w:t xml:space="preserve">discussing </w:t>
            </w:r>
            <w:r w:rsidRPr="00D67E03">
              <w:rPr>
                <w:color w:val="333333"/>
                <w:shd w:val="clear" w:color="auto" w:fill="FFFFFF"/>
                <w:lang w:val="en-AU"/>
              </w:rPr>
              <w:t xml:space="preserve">geographical variation in procedure rates </w:t>
            </w:r>
            <w:r>
              <w:rPr>
                <w:color w:val="333333"/>
                <w:shd w:val="clear" w:color="auto" w:fill="FFFFFF"/>
                <w:lang w:val="en-AU"/>
              </w:rPr>
              <w:t xml:space="preserve">may be </w:t>
            </w:r>
            <w:r w:rsidRPr="00D67E03">
              <w:rPr>
                <w:color w:val="333333"/>
                <w:shd w:val="clear" w:color="auto" w:fill="FFFFFF"/>
                <w:lang w:val="en-AU"/>
              </w:rPr>
              <w:t xml:space="preserve">a marker of clinical uncertainty and </w:t>
            </w:r>
            <w:r>
              <w:rPr>
                <w:color w:val="333333"/>
                <w:shd w:val="clear" w:color="auto" w:fill="FFFFFF"/>
                <w:lang w:val="en-AU"/>
              </w:rPr>
              <w:t xml:space="preserve">could also </w:t>
            </w:r>
            <w:r w:rsidRPr="00D67E03">
              <w:rPr>
                <w:color w:val="333333"/>
                <w:shd w:val="clear" w:color="auto" w:fill="FFFFFF"/>
                <w:lang w:val="en-AU"/>
              </w:rPr>
              <w:t>be used by to identify procedures that are potential candidates for disinvestment.</w:t>
            </w:r>
            <w:r>
              <w:rPr>
                <w:color w:val="333333"/>
                <w:shd w:val="clear" w:color="auto" w:fill="FFFFFF"/>
                <w:lang w:val="en-AU"/>
              </w:rPr>
              <w:t xml:space="preserve"> Using h</w:t>
            </w:r>
            <w:r w:rsidRPr="00D67E03">
              <w:rPr>
                <w:color w:val="333333"/>
                <w:shd w:val="clear" w:color="auto" w:fill="FFFFFF"/>
                <w:lang w:val="en-AU"/>
              </w:rPr>
              <w:t xml:space="preserve">ospital </w:t>
            </w:r>
            <w:r>
              <w:rPr>
                <w:color w:val="333333"/>
                <w:shd w:val="clear" w:color="auto" w:fill="FFFFFF"/>
                <w:lang w:val="en-AU"/>
              </w:rPr>
              <w:t>e</w:t>
            </w:r>
            <w:r w:rsidRPr="00D67E03">
              <w:rPr>
                <w:color w:val="333333"/>
                <w:shd w:val="clear" w:color="auto" w:fill="FFFFFF"/>
                <w:lang w:val="en-AU"/>
              </w:rPr>
              <w:t xml:space="preserve">pisode </w:t>
            </w:r>
            <w:r>
              <w:rPr>
                <w:color w:val="333333"/>
                <w:shd w:val="clear" w:color="auto" w:fill="FFFFFF"/>
                <w:lang w:val="en-AU"/>
              </w:rPr>
              <w:t>s</w:t>
            </w:r>
            <w:r w:rsidRPr="00D67E03">
              <w:rPr>
                <w:color w:val="333333"/>
                <w:shd w:val="clear" w:color="auto" w:fill="FFFFFF"/>
                <w:lang w:val="en-AU"/>
              </w:rPr>
              <w:t xml:space="preserve">tatistics </w:t>
            </w:r>
            <w:r>
              <w:rPr>
                <w:color w:val="333333"/>
                <w:shd w:val="clear" w:color="auto" w:fill="FFFFFF"/>
                <w:lang w:val="en-AU"/>
              </w:rPr>
              <w:t xml:space="preserve">the study examined </w:t>
            </w:r>
            <w:r w:rsidRPr="00D67E03">
              <w:rPr>
                <w:color w:val="333333"/>
                <w:shd w:val="clear" w:color="auto" w:fill="FFFFFF"/>
                <w:lang w:val="en-AU"/>
              </w:rPr>
              <w:t>geographical variation in procedure rates from 2007/8 to 2011/12</w:t>
            </w:r>
            <w:r>
              <w:rPr>
                <w:color w:val="333333"/>
                <w:shd w:val="clear" w:color="auto" w:fill="FFFFFF"/>
                <w:lang w:val="en-AU"/>
              </w:rPr>
              <w:t xml:space="preserve"> for </w:t>
            </w:r>
            <w:r w:rsidRPr="00D67E03">
              <w:rPr>
                <w:color w:val="333333"/>
                <w:shd w:val="clear" w:color="auto" w:fill="FFFFFF"/>
                <w:lang w:val="en-AU"/>
              </w:rPr>
              <w:t xml:space="preserve">154 commonly used procedures </w:t>
            </w:r>
            <w:r>
              <w:rPr>
                <w:color w:val="333333"/>
                <w:shd w:val="clear" w:color="auto" w:fill="FFFFFF"/>
                <w:lang w:val="en-AU"/>
              </w:rPr>
              <w:t xml:space="preserve">in </w:t>
            </w:r>
            <w:r w:rsidRPr="00D67E03">
              <w:rPr>
                <w:color w:val="333333"/>
                <w:shd w:val="clear" w:color="auto" w:fill="FFFFFF"/>
                <w:lang w:val="en-AU"/>
              </w:rPr>
              <w:t xml:space="preserve">151 </w:t>
            </w:r>
            <w:r>
              <w:rPr>
                <w:color w:val="333333"/>
                <w:shd w:val="clear" w:color="auto" w:fill="FFFFFF"/>
                <w:lang w:val="en-AU"/>
              </w:rPr>
              <w:t xml:space="preserve">English </w:t>
            </w:r>
            <w:r w:rsidRPr="00D67E03">
              <w:rPr>
                <w:color w:val="333333"/>
                <w:shd w:val="clear" w:color="auto" w:fill="FFFFFF"/>
                <w:lang w:val="en-AU"/>
              </w:rPr>
              <w:t>P</w:t>
            </w:r>
            <w:r>
              <w:rPr>
                <w:color w:val="333333"/>
                <w:shd w:val="clear" w:color="auto" w:fill="FFFFFF"/>
                <w:lang w:val="en-AU"/>
              </w:rPr>
              <w:t xml:space="preserve">rimary </w:t>
            </w:r>
            <w:r w:rsidRPr="00D67E03">
              <w:rPr>
                <w:color w:val="333333"/>
                <w:shd w:val="clear" w:color="auto" w:fill="FFFFFF"/>
                <w:lang w:val="en-AU"/>
              </w:rPr>
              <w:t>C</w:t>
            </w:r>
            <w:r>
              <w:rPr>
                <w:color w:val="333333"/>
                <w:shd w:val="clear" w:color="auto" w:fill="FFFFFF"/>
                <w:lang w:val="en-AU"/>
              </w:rPr>
              <w:t xml:space="preserve">are </w:t>
            </w:r>
            <w:r w:rsidRPr="00D67E03">
              <w:rPr>
                <w:color w:val="333333"/>
                <w:shd w:val="clear" w:color="auto" w:fill="FFFFFF"/>
                <w:lang w:val="en-AU"/>
              </w:rPr>
              <w:t>T</w:t>
            </w:r>
            <w:r>
              <w:rPr>
                <w:color w:val="333333"/>
                <w:shd w:val="clear" w:color="auto" w:fill="FFFFFF"/>
                <w:lang w:val="en-AU"/>
              </w:rPr>
              <w:t>rust</w:t>
            </w:r>
            <w:r w:rsidRPr="00D67E03">
              <w:rPr>
                <w:color w:val="333333"/>
                <w:shd w:val="clear" w:color="auto" w:fill="FFFFFF"/>
                <w:lang w:val="en-AU"/>
              </w:rPr>
              <w:t>s</w:t>
            </w:r>
            <w:r>
              <w:rPr>
                <w:color w:val="333333"/>
                <w:shd w:val="clear" w:color="auto" w:fill="FFFFFF"/>
                <w:lang w:val="en-AU"/>
              </w:rPr>
              <w:t>.</w:t>
            </w:r>
          </w:p>
          <w:p w:rsidR="00D67E03" w:rsidRDefault="00D67E03" w:rsidP="00D67E03">
            <w:pPr>
              <w:rPr>
                <w:color w:val="333333"/>
                <w:shd w:val="clear" w:color="auto" w:fill="FFFFFF"/>
                <w:lang w:val="en-AU"/>
              </w:rPr>
            </w:pPr>
            <w:r>
              <w:rPr>
                <w:color w:val="333333"/>
                <w:shd w:val="clear" w:color="auto" w:fill="FFFFFF"/>
                <w:lang w:val="en-AU"/>
              </w:rPr>
              <w:t>The authors report finding “</w:t>
            </w:r>
            <w:r w:rsidRPr="00D67E03">
              <w:rPr>
                <w:color w:val="333333"/>
                <w:shd w:val="clear" w:color="auto" w:fill="FFFFFF"/>
                <w:lang w:val="en-AU"/>
              </w:rPr>
              <w:t>a high degree of geographical variation in many procedures that cannot be explained by proxies of clinical need. Many procedures with the highest variability are not on the usual list of ‘low value’ procedures, underlining the potential of this approach to identify emerging areas of uncertainty.</w:t>
            </w:r>
            <w:r>
              <w:rPr>
                <w:color w:val="333333"/>
                <w:shd w:val="clear" w:color="auto" w:fill="FFFFFF"/>
                <w:lang w:val="en-AU"/>
              </w:rPr>
              <w:t>”</w:t>
            </w:r>
          </w:p>
          <w:p w:rsidR="00D67E03" w:rsidRPr="005833F4" w:rsidRDefault="00D67E03" w:rsidP="00D67E03">
            <w:pPr>
              <w:rPr>
                <w:color w:val="333333"/>
                <w:shd w:val="clear" w:color="auto" w:fill="FFFFFF"/>
                <w:lang w:val="en-AU"/>
              </w:rPr>
            </w:pPr>
            <w:r>
              <w:rPr>
                <w:color w:val="333333"/>
                <w:shd w:val="clear" w:color="auto" w:fill="FFFFFF"/>
                <w:lang w:val="en-AU"/>
              </w:rPr>
              <w:t>Their conclusions suggest that that this is an area with much utility but also contention: “</w:t>
            </w:r>
            <w:r w:rsidRPr="00D67E03">
              <w:rPr>
                <w:color w:val="333333"/>
                <w:shd w:val="clear" w:color="auto" w:fill="FFFFFF"/>
                <w:lang w:val="en-AU"/>
              </w:rPr>
              <w:t>Policy-makers could use geographical variation as a starting point to identify procedures where health technology reassessment or RCTs might be needed to inform policy. Commissioners can use benchmarking to identify procedures with high local use, possibly indicating overtreatment. However, coding inconsistency and limited evidence are major barriers to achieving disinvestment through benchmarking. Increased central support for commissioners to tackle disinvestment is needed, including tools, accurate data and relevant evidence. Early engagement with patients and clinicians is essential for successful local disinvestment.</w:t>
            </w:r>
            <w:r>
              <w:rPr>
                <w:color w:val="333333"/>
                <w:shd w:val="clear" w:color="auto" w:fill="FFFFFF"/>
                <w:lang w:val="en-AU"/>
              </w:rPr>
              <w:t>”</w:t>
            </w:r>
          </w:p>
        </w:tc>
      </w:tr>
    </w:tbl>
    <w:p w:rsidR="00E22A74" w:rsidRDefault="00E22A74" w:rsidP="00E22A74">
      <w:pPr>
        <w:keepLines/>
        <w:autoSpaceDE w:val="0"/>
        <w:autoSpaceDN w:val="0"/>
        <w:adjustRightInd w:val="0"/>
        <w:rPr>
          <w:lang w:val="en-AU"/>
        </w:rPr>
      </w:pPr>
    </w:p>
    <w:p w:rsidR="00D67E03" w:rsidRDefault="00D67E03" w:rsidP="00E22A74">
      <w:pPr>
        <w:keepLines/>
        <w:autoSpaceDE w:val="0"/>
        <w:autoSpaceDN w:val="0"/>
        <w:adjustRightInd w:val="0"/>
        <w:rPr>
          <w:lang w:val="en-AU"/>
        </w:rPr>
      </w:pPr>
      <w:r>
        <w:rPr>
          <w:lang w:val="en-AU"/>
        </w:rPr>
        <w:t xml:space="preserve">For information on the Commission’s work on variation in health care, see </w:t>
      </w:r>
      <w:hyperlink r:id="rId18" w:history="1">
        <w:r w:rsidRPr="00AA5FB8">
          <w:rPr>
            <w:rStyle w:val="Hyperlink"/>
            <w:lang w:val="en-AU"/>
          </w:rPr>
          <w:t>www.safetyandquality.gov.au/our-work/variation-in-health-care/</w:t>
        </w:r>
      </w:hyperlink>
    </w:p>
    <w:p w:rsidR="0065661C" w:rsidRDefault="0065661C" w:rsidP="00A1571A">
      <w:pPr>
        <w:keepNext/>
        <w:keepLines/>
        <w:autoSpaceDE w:val="0"/>
        <w:autoSpaceDN w:val="0"/>
        <w:adjustRightInd w:val="0"/>
        <w:rPr>
          <w:i/>
          <w:lang w:val="en-AU"/>
        </w:rPr>
      </w:pPr>
    </w:p>
    <w:p w:rsidR="0065661C" w:rsidRPr="00E61B8E" w:rsidRDefault="0065661C" w:rsidP="0065661C">
      <w:pPr>
        <w:keepNext/>
        <w:keepLines/>
        <w:autoSpaceDE w:val="0"/>
        <w:autoSpaceDN w:val="0"/>
        <w:adjustRightInd w:val="0"/>
        <w:rPr>
          <w:i/>
          <w:lang w:val="en-AU"/>
        </w:rPr>
      </w:pPr>
      <w:r w:rsidRPr="00E61B8E">
        <w:rPr>
          <w:i/>
          <w:lang w:val="en-AU"/>
        </w:rPr>
        <w:t>ASHP Guidelines on Preventing Medication Errors with Chemotherapy and Biotherapy</w:t>
      </w:r>
    </w:p>
    <w:p w:rsidR="0065661C" w:rsidRDefault="0065661C" w:rsidP="0065661C">
      <w:pPr>
        <w:keepNext/>
        <w:keepLines/>
        <w:autoSpaceDE w:val="0"/>
        <w:autoSpaceDN w:val="0"/>
        <w:adjustRightInd w:val="0"/>
        <w:rPr>
          <w:lang w:val="en-AU"/>
        </w:rPr>
      </w:pPr>
      <w:r w:rsidRPr="00E61B8E">
        <w:rPr>
          <w:lang w:val="en-AU"/>
        </w:rPr>
        <w:t>Goldspiel B, Hoffman JM, Griffith NL, Goodin S, DeChristoforo R, Montello CM, et al</w:t>
      </w:r>
    </w:p>
    <w:p w:rsidR="0065661C" w:rsidRPr="00255EF8" w:rsidRDefault="0065661C" w:rsidP="0065661C">
      <w:pPr>
        <w:keepNext/>
        <w:keepLines/>
        <w:autoSpaceDE w:val="0"/>
        <w:autoSpaceDN w:val="0"/>
        <w:adjustRightInd w:val="0"/>
        <w:rPr>
          <w:lang w:val="en-AU"/>
        </w:rPr>
      </w:pPr>
      <w:proofErr w:type="gramStart"/>
      <w:r w:rsidRPr="00E61B8E">
        <w:rPr>
          <w:lang w:val="en-AU"/>
        </w:rPr>
        <w:t>American Journal of Health-System Pharmacy.</w:t>
      </w:r>
      <w:proofErr w:type="gramEnd"/>
      <w:r w:rsidRPr="00E61B8E">
        <w:rPr>
          <w:lang w:val="en-AU"/>
        </w:rPr>
        <w:t xml:space="preserve"> 2015 April 15, 2015</w:t>
      </w:r>
      <w:proofErr w:type="gramStart"/>
      <w:r w:rsidRPr="00E61B8E">
        <w:rPr>
          <w:lang w:val="en-AU"/>
        </w:rPr>
        <w:t>;72</w:t>
      </w:r>
      <w:proofErr w:type="gramEnd"/>
      <w:r w:rsidRPr="00E61B8E">
        <w:rPr>
          <w:lang w:val="en-AU"/>
        </w:rPr>
        <w:t>(8):e6-e35.</w:t>
      </w:r>
    </w:p>
    <w:tbl>
      <w:tblPr>
        <w:tblStyle w:val="TableGrid"/>
        <w:tblW w:w="0" w:type="auto"/>
        <w:tblInd w:w="288" w:type="dxa"/>
        <w:tblLayout w:type="fixed"/>
        <w:tblLook w:val="01E0" w:firstRow="1" w:lastRow="1" w:firstColumn="1" w:lastColumn="1" w:noHBand="0" w:noVBand="0"/>
      </w:tblPr>
      <w:tblGrid>
        <w:gridCol w:w="1080"/>
        <w:gridCol w:w="8280"/>
      </w:tblGrid>
      <w:tr w:rsidR="0065661C" w:rsidRPr="00255EF8" w:rsidTr="006B42E0">
        <w:tc>
          <w:tcPr>
            <w:tcW w:w="1080" w:type="dxa"/>
            <w:tcBorders>
              <w:top w:val="single" w:sz="4" w:space="0" w:color="auto"/>
              <w:left w:val="single" w:sz="4" w:space="0" w:color="auto"/>
              <w:bottom w:val="single" w:sz="4" w:space="0" w:color="auto"/>
              <w:right w:val="single" w:sz="4" w:space="0" w:color="auto"/>
            </w:tcBorders>
            <w:vAlign w:val="center"/>
          </w:tcPr>
          <w:p w:rsidR="0065661C" w:rsidRPr="00255EF8" w:rsidRDefault="0065661C" w:rsidP="006B42E0">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661C" w:rsidRPr="00255EF8" w:rsidRDefault="00CD3AA8" w:rsidP="006B42E0">
            <w:pPr>
              <w:rPr>
                <w:lang w:val="en-AU"/>
              </w:rPr>
            </w:pPr>
            <w:hyperlink r:id="rId19" w:history="1">
              <w:r w:rsidR="0065661C" w:rsidRPr="00D061CD">
                <w:rPr>
                  <w:rStyle w:val="Hyperlink"/>
                  <w:lang w:val="en-AU"/>
                </w:rPr>
                <w:t>http://dx.doi.org/10.2146/sp150001</w:t>
              </w:r>
            </w:hyperlink>
            <w:r w:rsidR="0065661C">
              <w:rPr>
                <w:lang w:val="en-AU"/>
              </w:rPr>
              <w:t xml:space="preserve"> </w:t>
            </w:r>
          </w:p>
        </w:tc>
      </w:tr>
      <w:tr w:rsidR="0065661C" w:rsidRPr="00255EF8" w:rsidTr="006B42E0">
        <w:tc>
          <w:tcPr>
            <w:tcW w:w="1080" w:type="dxa"/>
            <w:tcBorders>
              <w:top w:val="single" w:sz="4" w:space="0" w:color="auto"/>
              <w:left w:val="single" w:sz="4" w:space="0" w:color="auto"/>
              <w:bottom w:val="single" w:sz="4" w:space="0" w:color="auto"/>
              <w:right w:val="single" w:sz="4" w:space="0" w:color="auto"/>
            </w:tcBorders>
            <w:vAlign w:val="center"/>
          </w:tcPr>
          <w:p w:rsidR="0065661C" w:rsidRPr="00255EF8" w:rsidRDefault="0065661C" w:rsidP="006B42E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661C" w:rsidRPr="005833F4" w:rsidRDefault="0065661C" w:rsidP="006B42E0">
            <w:pPr>
              <w:rPr>
                <w:color w:val="333333"/>
                <w:shd w:val="clear" w:color="auto" w:fill="FFFFFF"/>
                <w:lang w:val="en-AU"/>
              </w:rPr>
            </w:pPr>
            <w:r>
              <w:rPr>
                <w:color w:val="333333"/>
                <w:shd w:val="clear" w:color="auto" w:fill="FFFFFF"/>
                <w:lang w:val="en-AU"/>
              </w:rPr>
              <w:t xml:space="preserve">Many of the agents using in chemotherapy are highly toxic and need to be administered with care and diligence. These guidelines have been developed by the </w:t>
            </w:r>
            <w:r w:rsidRPr="00E61B8E">
              <w:rPr>
                <w:color w:val="333333"/>
                <w:shd w:val="clear" w:color="auto" w:fill="FFFFFF"/>
                <w:lang w:val="en-AU"/>
              </w:rPr>
              <w:t xml:space="preserve">American Society of Health-Systems Pharmacists </w:t>
            </w:r>
            <w:r>
              <w:rPr>
                <w:color w:val="333333"/>
                <w:shd w:val="clear" w:color="auto" w:fill="FFFFFF"/>
                <w:lang w:val="en-AU"/>
              </w:rPr>
              <w:t xml:space="preserve">to help ensure </w:t>
            </w:r>
            <w:r w:rsidRPr="00E61B8E">
              <w:rPr>
                <w:color w:val="333333"/>
                <w:shd w:val="clear" w:color="auto" w:fill="FFFFFF"/>
                <w:lang w:val="en-AU"/>
              </w:rPr>
              <w:t xml:space="preserve">best </w:t>
            </w:r>
            <w:r>
              <w:rPr>
                <w:color w:val="333333"/>
                <w:shd w:val="clear" w:color="auto" w:fill="FFFFFF"/>
                <w:lang w:val="en-AU"/>
              </w:rPr>
              <w:t xml:space="preserve">medication safety </w:t>
            </w:r>
            <w:r w:rsidRPr="00E61B8E">
              <w:rPr>
                <w:color w:val="333333"/>
                <w:shd w:val="clear" w:color="auto" w:fill="FFFFFF"/>
                <w:lang w:val="en-AU"/>
              </w:rPr>
              <w:t xml:space="preserve">practices </w:t>
            </w:r>
            <w:r>
              <w:rPr>
                <w:color w:val="333333"/>
                <w:shd w:val="clear" w:color="auto" w:fill="FFFFFF"/>
                <w:lang w:val="en-AU"/>
              </w:rPr>
              <w:t xml:space="preserve">are applied to </w:t>
            </w:r>
            <w:r w:rsidRPr="00E61B8E">
              <w:rPr>
                <w:color w:val="333333"/>
                <w:shd w:val="clear" w:color="auto" w:fill="FFFFFF"/>
                <w:lang w:val="en-AU"/>
              </w:rPr>
              <w:t>the delivery of chemotherapy and biotherapy agents. The recommendations include sets of specific actions for the health care system and for frontline providers.</w:t>
            </w:r>
          </w:p>
        </w:tc>
      </w:tr>
    </w:tbl>
    <w:p w:rsidR="0065661C" w:rsidRDefault="0065661C" w:rsidP="0065661C">
      <w:pPr>
        <w:keepLines/>
        <w:autoSpaceDE w:val="0"/>
        <w:autoSpaceDN w:val="0"/>
        <w:adjustRightInd w:val="0"/>
        <w:rPr>
          <w:lang w:val="en-AU"/>
        </w:rPr>
      </w:pPr>
    </w:p>
    <w:p w:rsidR="00A1571A" w:rsidRPr="00A40B1B" w:rsidRDefault="00A1571A" w:rsidP="00A1571A">
      <w:pPr>
        <w:keepNext/>
        <w:keepLines/>
        <w:autoSpaceDE w:val="0"/>
        <w:autoSpaceDN w:val="0"/>
        <w:adjustRightInd w:val="0"/>
        <w:rPr>
          <w:i/>
          <w:lang w:val="en-AU"/>
        </w:rPr>
      </w:pPr>
      <w:r w:rsidRPr="00A40B1B">
        <w:rPr>
          <w:i/>
          <w:lang w:val="en-AU"/>
        </w:rPr>
        <w:lastRenderedPageBreak/>
        <w:t>Polypharmacy among inpatients aged 70 years or older in Australia</w:t>
      </w:r>
    </w:p>
    <w:p w:rsidR="00A1571A" w:rsidRDefault="00A1571A" w:rsidP="00A1571A">
      <w:pPr>
        <w:keepNext/>
        <w:keepLines/>
        <w:autoSpaceDE w:val="0"/>
        <w:autoSpaceDN w:val="0"/>
        <w:adjustRightInd w:val="0"/>
        <w:rPr>
          <w:lang w:val="en-AU"/>
        </w:rPr>
      </w:pPr>
      <w:proofErr w:type="gramStart"/>
      <w:r w:rsidRPr="00A40B1B">
        <w:rPr>
          <w:lang w:val="en-AU"/>
        </w:rPr>
        <w:t>Hubbard RE, Peel NM, Scott IA, Martin JH, Smith A, Pillans PI, et al.</w:t>
      </w:r>
      <w:proofErr w:type="gramEnd"/>
      <w:r w:rsidRPr="00A40B1B">
        <w:rPr>
          <w:lang w:val="en-AU"/>
        </w:rPr>
        <w:t xml:space="preserve"> </w:t>
      </w:r>
    </w:p>
    <w:p w:rsidR="00A1571A" w:rsidRPr="00255EF8" w:rsidRDefault="00A1571A" w:rsidP="00A1571A">
      <w:pPr>
        <w:keepNext/>
        <w:keepLines/>
        <w:autoSpaceDE w:val="0"/>
        <w:autoSpaceDN w:val="0"/>
        <w:adjustRightInd w:val="0"/>
        <w:rPr>
          <w:lang w:val="en-AU"/>
        </w:rPr>
      </w:pPr>
      <w:proofErr w:type="gramStart"/>
      <w:r w:rsidRPr="00A40B1B">
        <w:rPr>
          <w:lang w:val="en-AU"/>
        </w:rPr>
        <w:t>Medical Journal of Australia.</w:t>
      </w:r>
      <w:proofErr w:type="gramEnd"/>
      <w:r w:rsidRPr="00A40B1B">
        <w:rPr>
          <w:lang w:val="en-AU"/>
        </w:rPr>
        <w:t xml:space="preserve"> 2015</w:t>
      </w:r>
      <w:proofErr w:type="gramStart"/>
      <w:r w:rsidRPr="00A40B1B">
        <w:rPr>
          <w:lang w:val="en-AU"/>
        </w:rPr>
        <w:t>;202</w:t>
      </w:r>
      <w:proofErr w:type="gramEnd"/>
      <w:r w:rsidRPr="00A40B1B">
        <w:rPr>
          <w:lang w:val="en-AU"/>
        </w:rPr>
        <w:t>(7):373-7.</w:t>
      </w:r>
    </w:p>
    <w:tbl>
      <w:tblPr>
        <w:tblStyle w:val="TableGrid"/>
        <w:tblW w:w="0" w:type="auto"/>
        <w:tblInd w:w="288" w:type="dxa"/>
        <w:tblLayout w:type="fixed"/>
        <w:tblLook w:val="01E0" w:firstRow="1" w:lastRow="1" w:firstColumn="1" w:lastColumn="1" w:noHBand="0" w:noVBand="0"/>
      </w:tblPr>
      <w:tblGrid>
        <w:gridCol w:w="1080"/>
        <w:gridCol w:w="8280"/>
      </w:tblGrid>
      <w:tr w:rsidR="00A1571A" w:rsidRPr="00255EF8" w:rsidTr="006906CB">
        <w:tc>
          <w:tcPr>
            <w:tcW w:w="1080" w:type="dxa"/>
            <w:tcBorders>
              <w:top w:val="single" w:sz="4" w:space="0" w:color="auto"/>
              <w:left w:val="single" w:sz="4" w:space="0" w:color="auto"/>
              <w:bottom w:val="single" w:sz="4" w:space="0" w:color="auto"/>
              <w:right w:val="single" w:sz="4" w:space="0" w:color="auto"/>
            </w:tcBorders>
            <w:vAlign w:val="center"/>
          </w:tcPr>
          <w:p w:rsidR="00A1571A" w:rsidRPr="00255EF8" w:rsidRDefault="00A1571A" w:rsidP="006906CB">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1571A" w:rsidRPr="00255EF8" w:rsidRDefault="00CD3AA8" w:rsidP="006906CB">
            <w:pPr>
              <w:rPr>
                <w:lang w:val="en-AU"/>
              </w:rPr>
            </w:pPr>
            <w:hyperlink r:id="rId20" w:history="1">
              <w:r w:rsidR="00A1571A" w:rsidRPr="00D675EF">
                <w:rPr>
                  <w:rStyle w:val="Hyperlink"/>
                  <w:lang w:val="en-AU"/>
                </w:rPr>
                <w:t>http://dx.doi.org/10.5694/mja13.00172</w:t>
              </w:r>
            </w:hyperlink>
          </w:p>
        </w:tc>
      </w:tr>
      <w:tr w:rsidR="00A1571A" w:rsidRPr="00255EF8" w:rsidTr="006906CB">
        <w:tc>
          <w:tcPr>
            <w:tcW w:w="1080" w:type="dxa"/>
            <w:tcBorders>
              <w:top w:val="single" w:sz="4" w:space="0" w:color="auto"/>
              <w:left w:val="single" w:sz="4" w:space="0" w:color="auto"/>
              <w:bottom w:val="single" w:sz="4" w:space="0" w:color="auto"/>
              <w:right w:val="single" w:sz="4" w:space="0" w:color="auto"/>
            </w:tcBorders>
            <w:vAlign w:val="center"/>
          </w:tcPr>
          <w:p w:rsidR="00A1571A" w:rsidRPr="00255EF8" w:rsidRDefault="00A1571A" w:rsidP="006906C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571A" w:rsidRDefault="00A1571A" w:rsidP="006906CB">
            <w:pPr>
              <w:rPr>
                <w:rStyle w:val="IntenseReference"/>
                <w:b w:val="0"/>
                <w:i w:val="0"/>
                <w:smallCaps w:val="0"/>
                <w:color w:val="auto"/>
              </w:rPr>
            </w:pPr>
            <w:r w:rsidRPr="00BE1D26">
              <w:t>Around</w:t>
            </w:r>
            <w:r w:rsidRPr="00BE1D26">
              <w:rPr>
                <w:b/>
                <w:i/>
                <w:smallCaps/>
              </w:rPr>
              <w:t xml:space="preserve"> </w:t>
            </w:r>
            <w:r w:rsidRPr="00BE1D26">
              <w:rPr>
                <w:rStyle w:val="IntenseReference"/>
                <w:b w:val="0"/>
                <w:i w:val="0"/>
                <w:smallCaps w:val="0"/>
                <w:color w:val="auto"/>
              </w:rPr>
              <w:t xml:space="preserve">24% of patients </w:t>
            </w:r>
            <w:r>
              <w:rPr>
                <w:rStyle w:val="IntenseReference"/>
                <w:b w:val="0"/>
                <w:i w:val="0"/>
                <w:smallCaps w:val="0"/>
                <w:color w:val="auto"/>
              </w:rPr>
              <w:t xml:space="preserve">aged </w:t>
            </w:r>
            <w:r w:rsidRPr="00BE1D26">
              <w:rPr>
                <w:rStyle w:val="IntenseReference"/>
                <w:b w:val="0"/>
                <w:i w:val="0"/>
                <w:smallCaps w:val="0"/>
                <w:color w:val="auto"/>
              </w:rPr>
              <w:t xml:space="preserve">70 </w:t>
            </w:r>
            <w:r>
              <w:rPr>
                <w:rStyle w:val="IntenseReference"/>
                <w:b w:val="0"/>
                <w:i w:val="0"/>
                <w:smallCaps w:val="0"/>
                <w:color w:val="auto"/>
              </w:rPr>
              <w:t xml:space="preserve">years or more </w:t>
            </w:r>
            <w:r w:rsidRPr="00BE1D26">
              <w:rPr>
                <w:rStyle w:val="IntenseReference"/>
                <w:b w:val="0"/>
                <w:i w:val="0"/>
                <w:smallCaps w:val="0"/>
                <w:color w:val="auto"/>
              </w:rPr>
              <w:t>in this study had 10 or more medicines routinely prescribed medicines</w:t>
            </w:r>
            <w:r>
              <w:rPr>
                <w:rStyle w:val="IntenseReference"/>
                <w:b w:val="0"/>
                <w:i w:val="0"/>
                <w:smallCaps w:val="0"/>
                <w:color w:val="auto"/>
              </w:rPr>
              <w:t xml:space="preserve"> on hospital admission</w:t>
            </w:r>
            <w:r w:rsidRPr="00BE1D26">
              <w:rPr>
                <w:rStyle w:val="IntenseReference"/>
                <w:b w:val="0"/>
                <w:i w:val="0"/>
                <w:smallCaps w:val="0"/>
                <w:color w:val="auto"/>
              </w:rPr>
              <w:t>. Hubbard et al compared the number of medicines recorded at hospital admission to the number recorded at hospital discharge and found there was no change in either the number or type of medicines prescribed to the patient. The authors infer that treating clinicians could be doing more to</w:t>
            </w:r>
            <w:r w:rsidRPr="00B67A75">
              <w:rPr>
                <w:rStyle w:val="IntenseReference"/>
                <w:b w:val="0"/>
                <w:i w:val="0"/>
                <w:smallCaps w:val="0"/>
                <w:color w:val="auto"/>
                <w:lang w:val="en-AU"/>
              </w:rPr>
              <w:t xml:space="preserve"> rationalise</w:t>
            </w:r>
            <w:r w:rsidRPr="00BE1D26">
              <w:rPr>
                <w:rStyle w:val="IntenseReference"/>
                <w:b w:val="0"/>
                <w:i w:val="0"/>
                <w:smallCaps w:val="0"/>
                <w:color w:val="auto"/>
              </w:rPr>
              <w:t xml:space="preserve"> the number of drugs prescribed </w:t>
            </w:r>
            <w:r w:rsidRPr="00B67A75">
              <w:rPr>
                <w:rStyle w:val="IntenseReference"/>
                <w:b w:val="0"/>
                <w:i w:val="0"/>
                <w:smallCaps w:val="0"/>
                <w:color w:val="auto"/>
                <w:lang w:val="en-AU"/>
              </w:rPr>
              <w:t>(deprescribing</w:t>
            </w:r>
            <w:r w:rsidRPr="00BE1D26">
              <w:rPr>
                <w:rStyle w:val="IntenseReference"/>
                <w:b w:val="0"/>
                <w:i w:val="0"/>
                <w:smallCaps w:val="0"/>
                <w:color w:val="auto"/>
              </w:rPr>
              <w:t>), whilst the older patient is in hospital. Use of specific types of drugs that are potentially targets for deprescribing in older people did not change (e.g. benzodiazepines, antipsychotics).</w:t>
            </w:r>
          </w:p>
          <w:p w:rsidR="00A1571A" w:rsidRPr="005833F4" w:rsidRDefault="00A1571A" w:rsidP="006906CB">
            <w:pPr>
              <w:rPr>
                <w:color w:val="333333"/>
                <w:shd w:val="clear" w:color="auto" w:fill="FFFFFF"/>
                <w:lang w:val="en-AU"/>
              </w:rPr>
            </w:pPr>
            <w:r>
              <w:rPr>
                <w:rStyle w:val="IntenseReference"/>
                <w:b w:val="0"/>
                <w:i w:val="0"/>
                <w:smallCaps w:val="0"/>
                <w:color w:val="auto"/>
              </w:rPr>
              <w:t xml:space="preserve">As </w:t>
            </w:r>
            <w:r w:rsidRPr="00BE1D26">
              <w:rPr>
                <w:rStyle w:val="IntenseReference"/>
                <w:b w:val="0"/>
                <w:i w:val="0"/>
                <w:smallCaps w:val="0"/>
                <w:color w:val="auto"/>
              </w:rPr>
              <w:t>noted</w:t>
            </w:r>
            <w:r>
              <w:rPr>
                <w:rStyle w:val="IntenseReference"/>
                <w:b w:val="0"/>
                <w:i w:val="0"/>
                <w:smallCaps w:val="0"/>
                <w:color w:val="auto"/>
              </w:rPr>
              <w:t xml:space="preserve">, the </w:t>
            </w:r>
            <w:r w:rsidRPr="00BE1D26">
              <w:rPr>
                <w:rStyle w:val="IntenseReference"/>
                <w:b w:val="0"/>
                <w:i w:val="0"/>
                <w:smallCaps w:val="0"/>
                <w:color w:val="auto"/>
              </w:rPr>
              <w:t xml:space="preserve">study did not look into the appropriateness of medications on an individual level, nor whether medicines reconciliation was formally undertaken or not. Records were examined for the period 2005 to 2010. Medicines reconciliation and development of a medication management plan are currently developmental actions within the </w:t>
            </w:r>
            <w:r>
              <w:rPr>
                <w:rStyle w:val="IntenseReference"/>
                <w:b w:val="0"/>
                <w:i w:val="0"/>
                <w:smallCaps w:val="0"/>
                <w:color w:val="auto"/>
              </w:rPr>
              <w:t>National Safety and Quality Health Service</w:t>
            </w:r>
            <w:r w:rsidRPr="00BE1D26">
              <w:rPr>
                <w:rStyle w:val="IntenseReference"/>
                <w:b w:val="0"/>
                <w:i w:val="0"/>
                <w:smallCaps w:val="0"/>
                <w:color w:val="auto"/>
              </w:rPr>
              <w:t xml:space="preserve"> Standards— it would be interesting to repeat the study </w:t>
            </w:r>
            <w:r>
              <w:rPr>
                <w:rStyle w:val="IntenseReference"/>
                <w:b w:val="0"/>
                <w:i w:val="0"/>
                <w:smallCaps w:val="0"/>
                <w:color w:val="auto"/>
              </w:rPr>
              <w:t xml:space="preserve">in future </w:t>
            </w:r>
            <w:r w:rsidRPr="00BE1D26">
              <w:rPr>
                <w:rStyle w:val="IntenseReference"/>
                <w:b w:val="0"/>
                <w:i w:val="0"/>
                <w:smallCaps w:val="0"/>
                <w:color w:val="auto"/>
              </w:rPr>
              <w:t xml:space="preserve">to see whether </w:t>
            </w:r>
            <w:r>
              <w:rPr>
                <w:rStyle w:val="IntenseReference"/>
                <w:b w:val="0"/>
                <w:i w:val="0"/>
                <w:smallCaps w:val="0"/>
                <w:color w:val="auto"/>
              </w:rPr>
              <w:t xml:space="preserve">medicines reconciliation </w:t>
            </w:r>
            <w:r w:rsidRPr="00BE1D26">
              <w:rPr>
                <w:rStyle w:val="IntenseReference"/>
                <w:b w:val="0"/>
                <w:i w:val="0"/>
                <w:smallCaps w:val="0"/>
                <w:color w:val="auto"/>
              </w:rPr>
              <w:t>has any effect on polypharmacy</w:t>
            </w:r>
            <w:r>
              <w:rPr>
                <w:rStyle w:val="IntenseReference"/>
                <w:b w:val="0"/>
                <w:i w:val="0"/>
                <w:smallCaps w:val="0"/>
                <w:color w:val="auto"/>
              </w:rPr>
              <w:t xml:space="preserve"> rates</w:t>
            </w:r>
            <w:r w:rsidRPr="00BE1D26">
              <w:rPr>
                <w:rStyle w:val="IntenseReference"/>
                <w:b w:val="0"/>
                <w:i w:val="0"/>
                <w:smallCaps w:val="0"/>
                <w:color w:val="auto"/>
              </w:rPr>
              <w:t>.</w:t>
            </w:r>
          </w:p>
        </w:tc>
      </w:tr>
    </w:tbl>
    <w:p w:rsidR="00A1571A" w:rsidRDefault="00A1571A" w:rsidP="00A1571A">
      <w:pPr>
        <w:keepLines/>
        <w:autoSpaceDE w:val="0"/>
        <w:autoSpaceDN w:val="0"/>
        <w:adjustRightInd w:val="0"/>
        <w:rPr>
          <w:lang w:val="en-AU"/>
        </w:rPr>
      </w:pPr>
    </w:p>
    <w:p w:rsidR="00A1571A" w:rsidRDefault="00A1571A" w:rsidP="00A1571A">
      <w:pPr>
        <w:keepLines/>
        <w:autoSpaceDE w:val="0"/>
        <w:autoSpaceDN w:val="0"/>
        <w:adjustRightInd w:val="0"/>
        <w:rPr>
          <w:lang w:val="en-AU"/>
        </w:rPr>
      </w:pPr>
      <w:r>
        <w:rPr>
          <w:lang w:val="en-AU"/>
        </w:rPr>
        <w:t xml:space="preserve">For information on the </w:t>
      </w:r>
      <w:r>
        <w:rPr>
          <w:rStyle w:val="IntenseReference"/>
          <w:b w:val="0"/>
          <w:i w:val="0"/>
          <w:smallCaps w:val="0"/>
          <w:color w:val="auto"/>
        </w:rPr>
        <w:t>National Safety and Quality Health Service</w:t>
      </w:r>
      <w:r w:rsidRPr="00BE1D26">
        <w:rPr>
          <w:rStyle w:val="IntenseReference"/>
          <w:b w:val="0"/>
          <w:i w:val="0"/>
          <w:smallCaps w:val="0"/>
          <w:color w:val="auto"/>
        </w:rPr>
        <w:t xml:space="preserve"> Standards</w:t>
      </w:r>
      <w:r>
        <w:rPr>
          <w:lang w:val="en-AU"/>
        </w:rPr>
        <w:t xml:space="preserve">, see </w:t>
      </w:r>
      <w:hyperlink r:id="rId21" w:history="1">
        <w:r w:rsidRPr="00D675EF">
          <w:rPr>
            <w:rStyle w:val="Hyperlink"/>
            <w:lang w:val="en-AU"/>
          </w:rPr>
          <w:t>http://www.safetyandquality.gov.au/our-work/accreditation-and-the-nsqhs-standards/</w:t>
        </w:r>
      </w:hyperlink>
      <w:r>
        <w:rPr>
          <w:lang w:val="en-AU"/>
        </w:rPr>
        <w:t xml:space="preserve"> </w:t>
      </w:r>
    </w:p>
    <w:p w:rsidR="00A1571A" w:rsidRDefault="00A1571A" w:rsidP="00A1571A">
      <w:pPr>
        <w:keepLines/>
        <w:autoSpaceDE w:val="0"/>
        <w:autoSpaceDN w:val="0"/>
        <w:adjustRightInd w:val="0"/>
        <w:rPr>
          <w:lang w:val="en-AU"/>
        </w:rPr>
      </w:pPr>
    </w:p>
    <w:p w:rsidR="00444396" w:rsidRPr="00444396" w:rsidRDefault="00444396" w:rsidP="00444396">
      <w:pPr>
        <w:keepNext/>
        <w:keepLines/>
        <w:autoSpaceDE w:val="0"/>
        <w:autoSpaceDN w:val="0"/>
        <w:adjustRightInd w:val="0"/>
        <w:rPr>
          <w:i/>
          <w:lang w:val="en-AU"/>
        </w:rPr>
      </w:pPr>
      <w:r w:rsidRPr="00444396">
        <w:rPr>
          <w:i/>
          <w:lang w:val="en-AU"/>
        </w:rPr>
        <w:t>How to make medication error reporting systems work – Factors associated with their successful development and implementation</w:t>
      </w:r>
    </w:p>
    <w:p w:rsidR="00444396" w:rsidRDefault="00444396" w:rsidP="00444396">
      <w:pPr>
        <w:keepNext/>
        <w:keepLines/>
        <w:autoSpaceDE w:val="0"/>
        <w:autoSpaceDN w:val="0"/>
        <w:adjustRightInd w:val="0"/>
        <w:rPr>
          <w:lang w:val="en-AU"/>
        </w:rPr>
      </w:pPr>
      <w:r w:rsidRPr="00444396">
        <w:rPr>
          <w:lang w:val="en-AU"/>
        </w:rPr>
        <w:t xml:space="preserve">Holmström </w:t>
      </w:r>
      <w:r>
        <w:rPr>
          <w:lang w:val="en-AU"/>
        </w:rPr>
        <w:t>A-R, Laaksonen R, Airaksinen M</w:t>
      </w:r>
    </w:p>
    <w:p w:rsidR="00444396" w:rsidRPr="00255EF8" w:rsidRDefault="00444396" w:rsidP="00444396">
      <w:pPr>
        <w:keepNext/>
        <w:keepLines/>
        <w:autoSpaceDE w:val="0"/>
        <w:autoSpaceDN w:val="0"/>
        <w:adjustRightInd w:val="0"/>
        <w:rPr>
          <w:lang w:val="en-AU"/>
        </w:rPr>
      </w:pPr>
      <w:proofErr w:type="gramStart"/>
      <w:r w:rsidRPr="00444396">
        <w:rPr>
          <w:lang w:val="en-AU"/>
        </w:rPr>
        <w:t>Health Policy</w:t>
      </w:r>
      <w:r w:rsidR="009A3274">
        <w:rPr>
          <w:lang w:val="en-AU"/>
        </w:rPr>
        <w:t>.</w:t>
      </w:r>
      <w:proofErr w:type="gramEnd"/>
      <w:r w:rsidR="009A3274">
        <w:rPr>
          <w:lang w:val="en-AU"/>
        </w:rPr>
        <w:t xml:space="preserve"> </w:t>
      </w:r>
      <w:proofErr w:type="gramStart"/>
      <w:r w:rsidR="009A3274">
        <w:rPr>
          <w:lang w:val="en-AU"/>
        </w:rPr>
        <w:t>2015</w:t>
      </w:r>
      <w:r>
        <w:rPr>
          <w:lang w:val="en-AU"/>
        </w:rPr>
        <w:t xml:space="preserve"> [epub]</w:t>
      </w:r>
      <w:r w:rsidRPr="0044439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44396" w:rsidRPr="00255EF8" w:rsidTr="001B15EA">
        <w:tc>
          <w:tcPr>
            <w:tcW w:w="1080" w:type="dxa"/>
            <w:tcBorders>
              <w:top w:val="single" w:sz="4" w:space="0" w:color="auto"/>
              <w:left w:val="single" w:sz="4" w:space="0" w:color="auto"/>
              <w:bottom w:val="single" w:sz="4" w:space="0" w:color="auto"/>
              <w:right w:val="single" w:sz="4" w:space="0" w:color="auto"/>
            </w:tcBorders>
            <w:vAlign w:val="center"/>
          </w:tcPr>
          <w:p w:rsidR="00444396" w:rsidRPr="00255EF8" w:rsidRDefault="00444396" w:rsidP="001B15E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44396" w:rsidRPr="00255EF8" w:rsidRDefault="00CD3AA8" w:rsidP="001B15EA">
            <w:pPr>
              <w:rPr>
                <w:lang w:val="en-AU"/>
              </w:rPr>
            </w:pPr>
            <w:hyperlink r:id="rId22" w:history="1">
              <w:r w:rsidR="00444396" w:rsidRPr="00D061CD">
                <w:rPr>
                  <w:rStyle w:val="Hyperlink"/>
                  <w:lang w:val="en-AU"/>
                </w:rPr>
                <w:t>http://dx.doi.org/10.1016/j.healthpol.2015.03.002</w:t>
              </w:r>
            </w:hyperlink>
          </w:p>
        </w:tc>
      </w:tr>
      <w:tr w:rsidR="00444396" w:rsidRPr="00255EF8" w:rsidTr="001B15EA">
        <w:tc>
          <w:tcPr>
            <w:tcW w:w="1080" w:type="dxa"/>
            <w:tcBorders>
              <w:top w:val="single" w:sz="4" w:space="0" w:color="auto"/>
              <w:left w:val="single" w:sz="4" w:space="0" w:color="auto"/>
              <w:bottom w:val="single" w:sz="4" w:space="0" w:color="auto"/>
              <w:right w:val="single" w:sz="4" w:space="0" w:color="auto"/>
            </w:tcBorders>
            <w:vAlign w:val="center"/>
          </w:tcPr>
          <w:p w:rsidR="00444396" w:rsidRPr="00255EF8" w:rsidRDefault="00444396" w:rsidP="001B15E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4396" w:rsidRDefault="00487374" w:rsidP="00487374">
            <w:pPr>
              <w:rPr>
                <w:color w:val="333333"/>
                <w:shd w:val="clear" w:color="auto" w:fill="FFFFFF"/>
                <w:lang w:val="en-AU"/>
              </w:rPr>
            </w:pPr>
            <w:r>
              <w:rPr>
                <w:color w:val="333333"/>
                <w:shd w:val="clear" w:color="auto" w:fill="FFFFFF"/>
                <w:lang w:val="en-AU"/>
              </w:rPr>
              <w:t xml:space="preserve">Paper reporting on a study surveying the views of medication safety experts in 16 countries on </w:t>
            </w:r>
            <w:r w:rsidRPr="00487374">
              <w:rPr>
                <w:color w:val="333333"/>
                <w:shd w:val="clear" w:color="auto" w:fill="FFFFFF"/>
                <w:lang w:val="en-AU"/>
              </w:rPr>
              <w:t xml:space="preserve">factors associated with successful development and implementation of medication error reporting (MER) systems in different healthcare </w:t>
            </w:r>
            <w:r>
              <w:rPr>
                <w:color w:val="333333"/>
                <w:shd w:val="clear" w:color="auto" w:fill="FFFFFF"/>
                <w:lang w:val="en-AU"/>
              </w:rPr>
              <w:t>settings. The authors report:</w:t>
            </w:r>
          </w:p>
          <w:p w:rsidR="00487374" w:rsidRPr="00487374" w:rsidRDefault="00487374" w:rsidP="005E659E">
            <w:pPr>
              <w:pStyle w:val="ListParagraph"/>
              <w:numPr>
                <w:ilvl w:val="0"/>
                <w:numId w:val="29"/>
              </w:numPr>
              <w:rPr>
                <w:color w:val="333333"/>
                <w:shd w:val="clear" w:color="auto" w:fill="FFFFFF"/>
                <w:lang w:val="en-AU"/>
              </w:rPr>
            </w:pPr>
            <w:r w:rsidRPr="00487374">
              <w:rPr>
                <w:color w:val="333333"/>
                <w:shd w:val="clear" w:color="auto" w:fill="FFFFFF"/>
                <w:lang w:val="en-AU"/>
              </w:rPr>
              <w:t>Several factors at national and local levels impact functionality of MER systems</w:t>
            </w:r>
            <w:r w:rsidR="005E659E">
              <w:rPr>
                <w:color w:val="333333"/>
                <w:shd w:val="clear" w:color="auto" w:fill="FFFFFF"/>
                <w:lang w:val="en-AU"/>
              </w:rPr>
              <w:t xml:space="preserve"> (including </w:t>
            </w:r>
            <w:r w:rsidR="005E659E" w:rsidRPr="005E659E">
              <w:rPr>
                <w:color w:val="333333"/>
                <w:shd w:val="clear" w:color="auto" w:fill="FFFFFF"/>
                <w:lang w:val="en-AU"/>
              </w:rPr>
              <w:t>awareness of deficiencies in medication safety at local and national levels; gaining political will for the development and implementation actions together with international and governmental support; creating or reforming legislation and national regulations, guidelines and strategies to support MER; allocation of adequate human and financial resources; establishment of an organisation or centre to coordinate and lead MER; and extending systems approach and safety culture to all parts of the operational environment to facilitate openness on and learning from medication errors</w:t>
            </w:r>
            <w:r w:rsidR="005E659E">
              <w:rPr>
                <w:color w:val="333333"/>
                <w:shd w:val="clear" w:color="auto" w:fill="FFFFFF"/>
                <w:lang w:val="en-AU"/>
              </w:rPr>
              <w:t>)</w:t>
            </w:r>
            <w:r w:rsidRPr="00487374">
              <w:rPr>
                <w:color w:val="333333"/>
                <w:shd w:val="clear" w:color="auto" w:fill="FFFFFF"/>
                <w:lang w:val="en-AU"/>
              </w:rPr>
              <w:t>.</w:t>
            </w:r>
          </w:p>
          <w:p w:rsidR="00487374" w:rsidRPr="00487374" w:rsidRDefault="00487374" w:rsidP="00487374">
            <w:pPr>
              <w:pStyle w:val="ListParagraph"/>
              <w:numPr>
                <w:ilvl w:val="0"/>
                <w:numId w:val="29"/>
              </w:numPr>
              <w:rPr>
                <w:color w:val="333333"/>
                <w:shd w:val="clear" w:color="auto" w:fill="FFFFFF"/>
                <w:lang w:val="en-AU"/>
              </w:rPr>
            </w:pPr>
            <w:r w:rsidRPr="00487374">
              <w:rPr>
                <w:color w:val="333333"/>
                <w:shd w:val="clear" w:color="auto" w:fill="FFFFFF"/>
                <w:lang w:val="en-AU"/>
              </w:rPr>
              <w:t>These factors should be considered when developing and implementing MER systems.</w:t>
            </w:r>
          </w:p>
          <w:p w:rsidR="00487374" w:rsidRPr="00487374" w:rsidRDefault="00487374" w:rsidP="00487374">
            <w:pPr>
              <w:pStyle w:val="ListParagraph"/>
              <w:numPr>
                <w:ilvl w:val="0"/>
                <w:numId w:val="29"/>
              </w:numPr>
              <w:rPr>
                <w:color w:val="333333"/>
                <w:shd w:val="clear" w:color="auto" w:fill="FFFFFF"/>
                <w:lang w:val="en-AU"/>
              </w:rPr>
            </w:pPr>
            <w:r w:rsidRPr="00487374">
              <w:rPr>
                <w:color w:val="333333"/>
                <w:shd w:val="clear" w:color="auto" w:fill="FFFFFF"/>
                <w:lang w:val="en-AU"/>
              </w:rPr>
              <w:t>National recognition of deficiencies in medication safety needs to precede actions.</w:t>
            </w:r>
          </w:p>
          <w:p w:rsidR="00487374" w:rsidRPr="00487374" w:rsidRDefault="00487374" w:rsidP="000729A4">
            <w:pPr>
              <w:pStyle w:val="ListParagraph"/>
              <w:numPr>
                <w:ilvl w:val="0"/>
                <w:numId w:val="29"/>
              </w:numPr>
              <w:rPr>
                <w:color w:val="333333"/>
                <w:shd w:val="clear" w:color="auto" w:fill="FFFFFF"/>
                <w:lang w:val="en-AU"/>
              </w:rPr>
            </w:pPr>
            <w:r w:rsidRPr="00487374">
              <w:rPr>
                <w:color w:val="333333"/>
                <w:shd w:val="clear" w:color="auto" w:fill="FFFFFF"/>
                <w:lang w:val="en-AU"/>
              </w:rPr>
              <w:t>Political will and adequate resources are crucial.</w:t>
            </w:r>
          </w:p>
        </w:tc>
      </w:tr>
    </w:tbl>
    <w:p w:rsidR="00B67A75" w:rsidRPr="00444396" w:rsidRDefault="00B67A75" w:rsidP="00B67A75">
      <w:pPr>
        <w:keepNext/>
        <w:keepLines/>
        <w:autoSpaceDE w:val="0"/>
        <w:autoSpaceDN w:val="0"/>
        <w:adjustRightInd w:val="0"/>
        <w:rPr>
          <w:i/>
          <w:lang w:val="en-AU"/>
        </w:rPr>
      </w:pPr>
      <w:r w:rsidRPr="00444396">
        <w:rPr>
          <w:i/>
          <w:lang w:val="en-AU"/>
        </w:rPr>
        <w:lastRenderedPageBreak/>
        <w:t>The nurse's role in medication safety</w:t>
      </w:r>
    </w:p>
    <w:p w:rsidR="00B67A75" w:rsidRDefault="00B67A75" w:rsidP="00B67A75">
      <w:pPr>
        <w:keepNext/>
        <w:keepLines/>
        <w:autoSpaceDE w:val="0"/>
        <w:autoSpaceDN w:val="0"/>
        <w:adjustRightInd w:val="0"/>
        <w:rPr>
          <w:lang w:val="en-AU"/>
        </w:rPr>
      </w:pPr>
      <w:r w:rsidRPr="00444396">
        <w:rPr>
          <w:lang w:val="en-AU"/>
        </w:rPr>
        <w:t>Durham B</w:t>
      </w:r>
    </w:p>
    <w:p w:rsidR="00B67A75" w:rsidRPr="00255EF8" w:rsidRDefault="00B67A75" w:rsidP="00B67A75">
      <w:pPr>
        <w:keepNext/>
        <w:keepLines/>
        <w:autoSpaceDE w:val="0"/>
        <w:autoSpaceDN w:val="0"/>
        <w:adjustRightInd w:val="0"/>
        <w:rPr>
          <w:lang w:val="en-AU"/>
        </w:rPr>
      </w:pPr>
      <w:proofErr w:type="gramStart"/>
      <w:r w:rsidRPr="00444396">
        <w:rPr>
          <w:lang w:val="en-AU"/>
        </w:rPr>
        <w:t>Nursing.</w:t>
      </w:r>
      <w:proofErr w:type="gramEnd"/>
      <w:r w:rsidRPr="00444396">
        <w:rPr>
          <w:lang w:val="en-AU"/>
        </w:rPr>
        <w:t xml:space="preserve"> 2015 Apr</w:t>
      </w:r>
      <w:proofErr w:type="gramStart"/>
      <w:r w:rsidRPr="00444396">
        <w:rPr>
          <w:lang w:val="en-AU"/>
        </w:rPr>
        <w:t>;45</w:t>
      </w:r>
      <w:proofErr w:type="gramEnd"/>
      <w:r w:rsidRPr="00444396">
        <w:rPr>
          <w:lang w:val="en-AU"/>
        </w:rPr>
        <w:t>(4):1-4.</w:t>
      </w:r>
    </w:p>
    <w:tbl>
      <w:tblPr>
        <w:tblStyle w:val="TableGrid"/>
        <w:tblW w:w="0" w:type="auto"/>
        <w:tblInd w:w="288" w:type="dxa"/>
        <w:tblLayout w:type="fixed"/>
        <w:tblLook w:val="01E0" w:firstRow="1" w:lastRow="1" w:firstColumn="1" w:lastColumn="1" w:noHBand="0" w:noVBand="0"/>
      </w:tblPr>
      <w:tblGrid>
        <w:gridCol w:w="1080"/>
        <w:gridCol w:w="8280"/>
      </w:tblGrid>
      <w:tr w:rsidR="00B67A75" w:rsidRPr="00255EF8" w:rsidTr="006B42E0">
        <w:tc>
          <w:tcPr>
            <w:tcW w:w="1080" w:type="dxa"/>
            <w:tcBorders>
              <w:top w:val="single" w:sz="4" w:space="0" w:color="auto"/>
              <w:left w:val="single" w:sz="4" w:space="0" w:color="auto"/>
              <w:bottom w:val="single" w:sz="4" w:space="0" w:color="auto"/>
              <w:right w:val="single" w:sz="4" w:space="0" w:color="auto"/>
            </w:tcBorders>
            <w:vAlign w:val="center"/>
          </w:tcPr>
          <w:p w:rsidR="00B67A75" w:rsidRPr="00255EF8" w:rsidRDefault="00B67A75" w:rsidP="006B42E0">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7A75" w:rsidRPr="00255EF8" w:rsidRDefault="00CD3AA8" w:rsidP="006B42E0">
            <w:pPr>
              <w:rPr>
                <w:lang w:val="en-AU"/>
              </w:rPr>
            </w:pPr>
            <w:hyperlink r:id="rId23" w:history="1">
              <w:r w:rsidR="00B67A75" w:rsidRPr="00D061CD">
                <w:rPr>
                  <w:rStyle w:val="Hyperlink"/>
                  <w:lang w:val="en-AU"/>
                </w:rPr>
                <w:t>http://dx.doi.org/10.1097/01.NURSE.0000461850.24153.8b</w:t>
              </w:r>
            </w:hyperlink>
            <w:r w:rsidR="00B67A75">
              <w:rPr>
                <w:lang w:val="en-AU"/>
              </w:rPr>
              <w:t xml:space="preserve"> </w:t>
            </w:r>
          </w:p>
        </w:tc>
      </w:tr>
      <w:tr w:rsidR="00B67A75" w:rsidRPr="00255EF8" w:rsidTr="006B42E0">
        <w:tc>
          <w:tcPr>
            <w:tcW w:w="1080" w:type="dxa"/>
            <w:tcBorders>
              <w:top w:val="single" w:sz="4" w:space="0" w:color="auto"/>
              <w:left w:val="single" w:sz="4" w:space="0" w:color="auto"/>
              <w:bottom w:val="single" w:sz="4" w:space="0" w:color="auto"/>
              <w:right w:val="single" w:sz="4" w:space="0" w:color="auto"/>
            </w:tcBorders>
            <w:vAlign w:val="center"/>
          </w:tcPr>
          <w:p w:rsidR="00B67A75" w:rsidRPr="00255EF8" w:rsidRDefault="00B67A75" w:rsidP="006B42E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7A75" w:rsidRPr="005833F4" w:rsidRDefault="00B67A75" w:rsidP="006B42E0">
            <w:pPr>
              <w:rPr>
                <w:color w:val="333333"/>
                <w:shd w:val="clear" w:color="auto" w:fill="FFFFFF"/>
                <w:lang w:val="en-AU"/>
              </w:rPr>
            </w:pPr>
            <w:r>
              <w:rPr>
                <w:color w:val="333333"/>
                <w:shd w:val="clear" w:color="auto" w:fill="FFFFFF"/>
                <w:lang w:val="en-AU"/>
              </w:rPr>
              <w:t xml:space="preserve">This commentary piece discusses the vital role nurses play in the safe delivery of medication. The authors briefly examines </w:t>
            </w:r>
            <w:r w:rsidRPr="00444396">
              <w:rPr>
                <w:color w:val="333333"/>
                <w:shd w:val="clear" w:color="auto" w:fill="FFFFFF"/>
                <w:lang w:val="en-AU"/>
              </w:rPr>
              <w:t>system</w:t>
            </w:r>
            <w:r>
              <w:rPr>
                <w:color w:val="333333"/>
                <w:shd w:val="clear" w:color="auto" w:fill="FFFFFF"/>
                <w:lang w:val="en-AU"/>
              </w:rPr>
              <w:t>s</w:t>
            </w:r>
            <w:r w:rsidRPr="00444396">
              <w:rPr>
                <w:color w:val="333333"/>
                <w:shd w:val="clear" w:color="auto" w:fill="FFFFFF"/>
                <w:lang w:val="en-AU"/>
              </w:rPr>
              <w:t xml:space="preserve">, human, and environmental factors </w:t>
            </w:r>
            <w:r>
              <w:rPr>
                <w:color w:val="333333"/>
                <w:shd w:val="clear" w:color="auto" w:fill="FFFFFF"/>
                <w:lang w:val="en-AU"/>
              </w:rPr>
              <w:t xml:space="preserve">in </w:t>
            </w:r>
            <w:r w:rsidRPr="00444396">
              <w:rPr>
                <w:color w:val="333333"/>
                <w:shd w:val="clear" w:color="auto" w:fill="FFFFFF"/>
                <w:lang w:val="en-AU"/>
              </w:rPr>
              <w:t xml:space="preserve">medication administration </w:t>
            </w:r>
            <w:r>
              <w:rPr>
                <w:color w:val="333333"/>
                <w:shd w:val="clear" w:color="auto" w:fill="FFFFFF"/>
                <w:lang w:val="en-AU"/>
              </w:rPr>
              <w:t xml:space="preserve">errors </w:t>
            </w:r>
            <w:r w:rsidRPr="00444396">
              <w:rPr>
                <w:color w:val="333333"/>
                <w:shd w:val="clear" w:color="auto" w:fill="FFFFFF"/>
                <w:lang w:val="en-AU"/>
              </w:rPr>
              <w:t>and near misses</w:t>
            </w:r>
            <w:r>
              <w:rPr>
                <w:color w:val="333333"/>
                <w:shd w:val="clear" w:color="auto" w:fill="FFFFFF"/>
                <w:lang w:val="en-AU"/>
              </w:rPr>
              <w:t xml:space="preserve"> before suggesting</w:t>
            </w:r>
            <w:r w:rsidRPr="00444396">
              <w:rPr>
                <w:color w:val="333333"/>
                <w:shd w:val="clear" w:color="auto" w:fill="FFFFFF"/>
                <w:lang w:val="en-AU"/>
              </w:rPr>
              <w:t xml:space="preserve"> changes in nursing practice</w:t>
            </w:r>
            <w:r>
              <w:rPr>
                <w:color w:val="333333"/>
                <w:shd w:val="clear" w:color="auto" w:fill="FFFFFF"/>
                <w:lang w:val="en-AU"/>
              </w:rPr>
              <w:t xml:space="preserve"> that could make medication delivery safer</w:t>
            </w:r>
            <w:r w:rsidRPr="00444396">
              <w:rPr>
                <w:color w:val="333333"/>
                <w:shd w:val="clear" w:color="auto" w:fill="FFFFFF"/>
                <w:lang w:val="en-AU"/>
              </w:rPr>
              <w:t>.</w:t>
            </w:r>
          </w:p>
        </w:tc>
      </w:tr>
    </w:tbl>
    <w:p w:rsidR="00B67A75" w:rsidRDefault="00B67A75" w:rsidP="00B67A75">
      <w:pPr>
        <w:keepLines/>
        <w:autoSpaceDE w:val="0"/>
        <w:autoSpaceDN w:val="0"/>
        <w:adjustRightInd w:val="0"/>
        <w:rPr>
          <w:lang w:val="en-AU"/>
        </w:rPr>
      </w:pPr>
    </w:p>
    <w:p w:rsidR="00B67A75" w:rsidRDefault="00B67A75" w:rsidP="00B67A75">
      <w:pPr>
        <w:keepLines/>
        <w:autoSpaceDE w:val="0"/>
        <w:autoSpaceDN w:val="0"/>
        <w:adjustRightInd w:val="0"/>
        <w:rPr>
          <w:lang w:val="en-AU"/>
        </w:rPr>
      </w:pPr>
      <w:r>
        <w:rPr>
          <w:lang w:val="en-AU"/>
        </w:rPr>
        <w:t xml:space="preserve">For information on the Commission’s work on medication safety, see </w:t>
      </w:r>
      <w:hyperlink r:id="rId24" w:history="1">
        <w:r w:rsidRPr="00D061CD">
          <w:rPr>
            <w:rStyle w:val="Hyperlink"/>
            <w:lang w:val="en-AU"/>
          </w:rPr>
          <w:t>www.safetyandquality.gov.au/our-work/medication-safety/</w:t>
        </w:r>
      </w:hyperlink>
    </w:p>
    <w:p w:rsidR="00B67A75" w:rsidRDefault="00B67A75" w:rsidP="00B67A75">
      <w:pPr>
        <w:keepLines/>
        <w:autoSpaceDE w:val="0"/>
        <w:autoSpaceDN w:val="0"/>
        <w:adjustRightInd w:val="0"/>
        <w:rPr>
          <w:lang w:val="en-AU"/>
        </w:rPr>
      </w:pPr>
    </w:p>
    <w:p w:rsidR="00165AD7" w:rsidRPr="00165AD7" w:rsidRDefault="00165AD7" w:rsidP="00165AD7">
      <w:pPr>
        <w:keepNext/>
        <w:keepLines/>
        <w:autoSpaceDE w:val="0"/>
        <w:autoSpaceDN w:val="0"/>
        <w:adjustRightInd w:val="0"/>
        <w:rPr>
          <w:i/>
          <w:lang w:val="en-AU"/>
        </w:rPr>
      </w:pPr>
      <w:r w:rsidRPr="00165AD7">
        <w:rPr>
          <w:i/>
          <w:lang w:val="en-AU"/>
        </w:rPr>
        <w:t>An enhanced recovery after surgery program for hip and knee arthroplasty</w:t>
      </w:r>
    </w:p>
    <w:p w:rsidR="00165AD7" w:rsidRDefault="00165AD7" w:rsidP="00F85360">
      <w:pPr>
        <w:keepNext/>
        <w:keepLines/>
        <w:autoSpaceDE w:val="0"/>
        <w:autoSpaceDN w:val="0"/>
        <w:adjustRightInd w:val="0"/>
        <w:rPr>
          <w:lang w:val="en-AU"/>
        </w:rPr>
      </w:pPr>
      <w:r w:rsidRPr="00165AD7">
        <w:rPr>
          <w:lang w:val="en-AU"/>
        </w:rPr>
        <w:t>Christelis N, Wallace S, Sage CE, Ba</w:t>
      </w:r>
      <w:r>
        <w:rPr>
          <w:lang w:val="en-AU"/>
        </w:rPr>
        <w:t>bitu U, Liew S, Dugal J, et al.</w:t>
      </w:r>
    </w:p>
    <w:p w:rsidR="00F85360" w:rsidRPr="00255EF8" w:rsidRDefault="00165AD7" w:rsidP="00F85360">
      <w:pPr>
        <w:keepNext/>
        <w:keepLines/>
        <w:autoSpaceDE w:val="0"/>
        <w:autoSpaceDN w:val="0"/>
        <w:adjustRightInd w:val="0"/>
        <w:rPr>
          <w:lang w:val="en-AU"/>
        </w:rPr>
      </w:pPr>
      <w:proofErr w:type="gramStart"/>
      <w:r w:rsidRPr="00165AD7">
        <w:rPr>
          <w:lang w:val="en-AU"/>
        </w:rPr>
        <w:t>Medical Journal of Australia.</w:t>
      </w:r>
      <w:proofErr w:type="gramEnd"/>
      <w:r w:rsidRPr="00165AD7">
        <w:rPr>
          <w:lang w:val="en-AU"/>
        </w:rPr>
        <w:t xml:space="preserve"> 2015</w:t>
      </w:r>
      <w:proofErr w:type="gramStart"/>
      <w:r w:rsidRPr="00165AD7">
        <w:rPr>
          <w:lang w:val="en-AU"/>
        </w:rPr>
        <w:t>;202</w:t>
      </w:r>
      <w:proofErr w:type="gramEnd"/>
      <w:r w:rsidRPr="00165AD7">
        <w:rPr>
          <w:lang w:val="en-AU"/>
        </w:rPr>
        <w:t>(7):363-8.</w:t>
      </w:r>
    </w:p>
    <w:tbl>
      <w:tblPr>
        <w:tblStyle w:val="TableGrid"/>
        <w:tblW w:w="0" w:type="auto"/>
        <w:tblInd w:w="288" w:type="dxa"/>
        <w:tblLayout w:type="fixed"/>
        <w:tblLook w:val="01E0" w:firstRow="1" w:lastRow="1" w:firstColumn="1" w:lastColumn="1" w:noHBand="0" w:noVBand="0"/>
      </w:tblPr>
      <w:tblGrid>
        <w:gridCol w:w="1080"/>
        <w:gridCol w:w="8280"/>
      </w:tblGrid>
      <w:tr w:rsidR="00F85360" w:rsidRPr="00255EF8" w:rsidTr="006D5853">
        <w:tc>
          <w:tcPr>
            <w:tcW w:w="1080" w:type="dxa"/>
            <w:tcBorders>
              <w:top w:val="single" w:sz="4" w:space="0" w:color="auto"/>
              <w:left w:val="single" w:sz="4" w:space="0" w:color="auto"/>
              <w:bottom w:val="single" w:sz="4" w:space="0" w:color="auto"/>
              <w:right w:val="single" w:sz="4" w:space="0" w:color="auto"/>
            </w:tcBorders>
            <w:vAlign w:val="center"/>
          </w:tcPr>
          <w:p w:rsidR="00F85360" w:rsidRPr="00255EF8" w:rsidRDefault="00F85360" w:rsidP="006D5853">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5360" w:rsidRPr="00255EF8" w:rsidRDefault="00CD3AA8" w:rsidP="00165AD7">
            <w:pPr>
              <w:rPr>
                <w:lang w:val="en-AU"/>
              </w:rPr>
            </w:pPr>
            <w:hyperlink r:id="rId25" w:history="1">
              <w:r w:rsidR="00165AD7" w:rsidRPr="00D675EF">
                <w:rPr>
                  <w:rStyle w:val="Hyperlink"/>
                  <w:lang w:val="en-AU"/>
                </w:rPr>
                <w:t>http://dx.doi.org/10.5694/mja14.00601</w:t>
              </w:r>
            </w:hyperlink>
          </w:p>
        </w:tc>
      </w:tr>
      <w:tr w:rsidR="00F85360" w:rsidRPr="00255EF8" w:rsidTr="006D5853">
        <w:tc>
          <w:tcPr>
            <w:tcW w:w="1080" w:type="dxa"/>
            <w:tcBorders>
              <w:top w:val="single" w:sz="4" w:space="0" w:color="auto"/>
              <w:left w:val="single" w:sz="4" w:space="0" w:color="auto"/>
              <w:bottom w:val="single" w:sz="4" w:space="0" w:color="auto"/>
              <w:right w:val="single" w:sz="4" w:space="0" w:color="auto"/>
            </w:tcBorders>
            <w:vAlign w:val="center"/>
          </w:tcPr>
          <w:p w:rsidR="00F85360" w:rsidRPr="00255EF8" w:rsidRDefault="00F85360" w:rsidP="006D585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5360" w:rsidRPr="005833F4" w:rsidRDefault="00BE1D26" w:rsidP="00BE1D26">
            <w:pPr>
              <w:rPr>
                <w:color w:val="333333"/>
                <w:shd w:val="clear" w:color="auto" w:fill="FFFFFF"/>
                <w:lang w:val="en-AU"/>
              </w:rPr>
            </w:pPr>
            <w:r w:rsidRPr="00BE1D26">
              <w:rPr>
                <w:color w:val="333333"/>
                <w:shd w:val="clear" w:color="auto" w:fill="FFFFFF"/>
                <w:lang w:val="en-AU"/>
              </w:rPr>
              <w:t xml:space="preserve">This study evaluated a multi-modal program to enhance recovery and reduce hospital stay after hip and knee replacement surgery, in three Victorian hospitals. A pre-defined program </w:t>
            </w:r>
            <w:r>
              <w:rPr>
                <w:color w:val="333333"/>
                <w:shd w:val="clear" w:color="auto" w:fill="FFFFFF"/>
                <w:lang w:val="en-AU"/>
              </w:rPr>
              <w:t xml:space="preserve">of 16 items including </w:t>
            </w:r>
            <w:r w:rsidRPr="00BE1D26">
              <w:rPr>
                <w:color w:val="333333"/>
                <w:shd w:val="clear" w:color="auto" w:fill="FFFFFF"/>
                <w:lang w:val="en-AU"/>
              </w:rPr>
              <w:t>peri- and post-operative analgesia, fluid management, mobilisation and pre-admission assessment achieved a small but statistically significant reduction in length of hospital stay. Hospital stay was reduced by an average of 0.4 days overall and 0.8 days for knee surgery. There was no significant difference for hip surgery patients. A greater proportion of patients were discharged by day 3 after surgery compared with those receiving usual care.</w:t>
            </w:r>
          </w:p>
        </w:tc>
      </w:tr>
    </w:tbl>
    <w:p w:rsidR="00F85360" w:rsidRDefault="00F85360" w:rsidP="00F85360">
      <w:pPr>
        <w:keepLines/>
        <w:autoSpaceDE w:val="0"/>
        <w:autoSpaceDN w:val="0"/>
        <w:adjustRightInd w:val="0"/>
        <w:rPr>
          <w:lang w:val="en-AU"/>
        </w:rPr>
      </w:pPr>
    </w:p>
    <w:p w:rsidR="00AC7AF8" w:rsidRPr="00AC7AF8" w:rsidRDefault="00AC7AF8" w:rsidP="00AC7AF8">
      <w:pPr>
        <w:keepNext/>
        <w:keepLines/>
        <w:autoSpaceDE w:val="0"/>
        <w:autoSpaceDN w:val="0"/>
        <w:adjustRightInd w:val="0"/>
        <w:rPr>
          <w:i/>
          <w:lang w:val="en-AU"/>
        </w:rPr>
      </w:pPr>
      <w:r w:rsidRPr="00AC7AF8">
        <w:rPr>
          <w:i/>
          <w:lang w:val="en-AU"/>
        </w:rPr>
        <w:t>Can staff and patient perspectives on hospital safety predict harm-free care? An analysis of staff and patient survey data and routinely collected outcomes</w:t>
      </w:r>
    </w:p>
    <w:p w:rsidR="00AC7AF8" w:rsidRDefault="00AC7AF8" w:rsidP="00F85360">
      <w:pPr>
        <w:keepNext/>
        <w:keepLines/>
        <w:autoSpaceDE w:val="0"/>
        <w:autoSpaceDN w:val="0"/>
        <w:adjustRightInd w:val="0"/>
        <w:rPr>
          <w:lang w:val="en-AU"/>
        </w:rPr>
      </w:pPr>
      <w:r w:rsidRPr="00AC7AF8">
        <w:rPr>
          <w:lang w:val="en-AU"/>
        </w:rPr>
        <w:t xml:space="preserve">Lawton R, O'Hara JK, Sheard L, Reynolds C, Cocks K, Armitage G, et al. </w:t>
      </w:r>
    </w:p>
    <w:p w:rsidR="00F85360" w:rsidRPr="00255EF8" w:rsidRDefault="00AC7AF8" w:rsidP="00F85360">
      <w:pPr>
        <w:keepNext/>
        <w:keepLines/>
        <w:autoSpaceDE w:val="0"/>
        <w:autoSpaceDN w:val="0"/>
        <w:adjustRightInd w:val="0"/>
        <w:rPr>
          <w:lang w:val="en-AU"/>
        </w:rPr>
      </w:pPr>
      <w:proofErr w:type="gramStart"/>
      <w:r w:rsidRPr="00AC7AF8">
        <w:rPr>
          <w:lang w:val="en-AU"/>
        </w:rPr>
        <w:t>BMJ Quality &amp; Safety.</w:t>
      </w:r>
      <w:proofErr w:type="gramEnd"/>
      <w:r w:rsidRPr="00AC7AF8">
        <w:rPr>
          <w:lang w:val="en-AU"/>
        </w:rPr>
        <w:t xml:space="preserve"> </w:t>
      </w:r>
      <w:proofErr w:type="gramStart"/>
      <w:r w:rsidRPr="00AC7AF8">
        <w:rPr>
          <w:lang w:val="en-AU"/>
        </w:rPr>
        <w:t>2015</w:t>
      </w:r>
      <w:r w:rsidR="00384572">
        <w:rPr>
          <w:lang w:val="en-AU"/>
        </w:rPr>
        <w:t xml:space="preserve"> [epub]</w:t>
      </w:r>
      <w:r w:rsidRPr="00AC7AF8">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85360" w:rsidRPr="00255EF8" w:rsidTr="006D5853">
        <w:tc>
          <w:tcPr>
            <w:tcW w:w="1080" w:type="dxa"/>
            <w:tcBorders>
              <w:top w:val="single" w:sz="4" w:space="0" w:color="auto"/>
              <w:left w:val="single" w:sz="4" w:space="0" w:color="auto"/>
              <w:bottom w:val="single" w:sz="4" w:space="0" w:color="auto"/>
              <w:right w:val="single" w:sz="4" w:space="0" w:color="auto"/>
            </w:tcBorders>
            <w:vAlign w:val="center"/>
          </w:tcPr>
          <w:p w:rsidR="00F85360" w:rsidRPr="00255EF8" w:rsidRDefault="00F85360" w:rsidP="006D5853">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5360" w:rsidRPr="00AC7AF8" w:rsidRDefault="00CD3AA8" w:rsidP="006D5853">
            <w:pPr>
              <w:rPr>
                <w:lang w:val="en-AU"/>
              </w:rPr>
            </w:pPr>
            <w:hyperlink r:id="rId26" w:history="1">
              <w:r w:rsidR="00AC7AF8" w:rsidRPr="007914B0">
                <w:rPr>
                  <w:rStyle w:val="Hyperlink"/>
                  <w:lang w:val="en-AU"/>
                </w:rPr>
                <w:t>http://dx.doi.org/10.1136/bmjqs-2014-003691</w:t>
              </w:r>
            </w:hyperlink>
            <w:r w:rsidR="00AC7AF8">
              <w:rPr>
                <w:lang w:val="en-AU"/>
              </w:rPr>
              <w:t xml:space="preserve"> </w:t>
            </w:r>
          </w:p>
        </w:tc>
      </w:tr>
      <w:tr w:rsidR="00F85360" w:rsidRPr="00255EF8" w:rsidTr="006D5853">
        <w:tc>
          <w:tcPr>
            <w:tcW w:w="1080" w:type="dxa"/>
            <w:tcBorders>
              <w:top w:val="single" w:sz="4" w:space="0" w:color="auto"/>
              <w:left w:val="single" w:sz="4" w:space="0" w:color="auto"/>
              <w:bottom w:val="single" w:sz="4" w:space="0" w:color="auto"/>
              <w:right w:val="single" w:sz="4" w:space="0" w:color="auto"/>
            </w:tcBorders>
            <w:vAlign w:val="center"/>
          </w:tcPr>
          <w:p w:rsidR="00F85360" w:rsidRPr="00255EF8" w:rsidRDefault="00F85360" w:rsidP="006D585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7AF8" w:rsidRPr="00AC7AF8" w:rsidRDefault="00AC7AF8" w:rsidP="00AC7AF8">
            <w:pPr>
              <w:rPr>
                <w:color w:val="333333"/>
                <w:shd w:val="clear" w:color="auto" w:fill="FFFFFF"/>
                <w:lang w:val="en-AU"/>
              </w:rPr>
            </w:pPr>
            <w:r w:rsidRPr="00AC7AF8">
              <w:rPr>
                <w:color w:val="333333"/>
                <w:shd w:val="clear" w:color="auto" w:fill="FFFFFF"/>
                <w:lang w:val="en-AU"/>
              </w:rPr>
              <w:t xml:space="preserve">This British study </w:t>
            </w:r>
            <w:r>
              <w:rPr>
                <w:color w:val="333333"/>
                <w:shd w:val="clear" w:color="auto" w:fill="FFFFFF"/>
                <w:lang w:val="en-AU"/>
              </w:rPr>
              <w:t xml:space="preserve">compared patient and staff perceptions on safety (and with other data). Surveying in </w:t>
            </w:r>
            <w:r w:rsidRPr="00AC7AF8">
              <w:rPr>
                <w:color w:val="333333"/>
                <w:shd w:val="clear" w:color="auto" w:fill="FFFFFF"/>
                <w:lang w:val="en-AU"/>
              </w:rPr>
              <w:t>33 hospital wards across 3 acute hospital Trusts in the UK</w:t>
            </w:r>
            <w:r>
              <w:rPr>
                <w:color w:val="333333"/>
                <w:shd w:val="clear" w:color="auto" w:fill="FFFFFF"/>
                <w:lang w:val="en-AU"/>
              </w:rPr>
              <w:t>, s</w:t>
            </w:r>
            <w:r w:rsidRPr="00AC7AF8">
              <w:rPr>
                <w:color w:val="333333"/>
                <w:shd w:val="clear" w:color="auto" w:fill="FFFFFF"/>
                <w:lang w:val="en-AU"/>
              </w:rPr>
              <w:t xml:space="preserve">taff were asked to complete the four outcome measures of the Hospital Survey of Patient Safety Culture, while patients were asked to complete the Patient Measure of Safety and the </w:t>
            </w:r>
            <w:r>
              <w:rPr>
                <w:color w:val="333333"/>
                <w:shd w:val="clear" w:color="auto" w:fill="FFFFFF"/>
                <w:lang w:val="en-AU"/>
              </w:rPr>
              <w:t>‘</w:t>
            </w:r>
            <w:r w:rsidRPr="00AC7AF8">
              <w:rPr>
                <w:color w:val="333333"/>
                <w:shd w:val="clear" w:color="auto" w:fill="FFFFFF"/>
                <w:lang w:val="en-AU"/>
              </w:rPr>
              <w:t>friends and family test</w:t>
            </w:r>
            <w:r>
              <w:rPr>
                <w:color w:val="333333"/>
                <w:shd w:val="clear" w:color="auto" w:fill="FFFFFF"/>
                <w:lang w:val="en-AU"/>
              </w:rPr>
              <w:t>’. These were c</w:t>
            </w:r>
            <w:r w:rsidRPr="00AC7AF8">
              <w:rPr>
                <w:color w:val="333333"/>
                <w:shd w:val="clear" w:color="auto" w:fill="FFFFFF"/>
                <w:lang w:val="en-AU"/>
              </w:rPr>
              <w:t xml:space="preserve">ollated </w:t>
            </w:r>
            <w:r>
              <w:rPr>
                <w:color w:val="333333"/>
                <w:shd w:val="clear" w:color="auto" w:fill="FFFFFF"/>
                <w:lang w:val="en-AU"/>
              </w:rPr>
              <w:t xml:space="preserve">with </w:t>
            </w:r>
            <w:r w:rsidRPr="00AC7AF8">
              <w:rPr>
                <w:color w:val="333333"/>
                <w:shd w:val="clear" w:color="auto" w:fill="FFFFFF"/>
                <w:lang w:val="en-AU"/>
              </w:rPr>
              <w:t>publicly reported safety outcome data for ‘harm-free care’ on each ward.</w:t>
            </w:r>
            <w:r>
              <w:rPr>
                <w:color w:val="333333"/>
                <w:shd w:val="clear" w:color="auto" w:fill="FFFFFF"/>
                <w:lang w:val="en-AU"/>
              </w:rPr>
              <w:t xml:space="preserve"> The authors report that the while “</w:t>
            </w:r>
            <w:r w:rsidRPr="00AC7AF8">
              <w:rPr>
                <w:color w:val="333333"/>
                <w:shd w:val="clear" w:color="auto" w:fill="FFFFFF"/>
                <w:lang w:val="en-AU"/>
              </w:rPr>
              <w:t xml:space="preserve">views of patients and staff predict some overlapping variance in patient safety outcomes, both also offer </w:t>
            </w:r>
            <w:r w:rsidRPr="00AC7AF8">
              <w:rPr>
                <w:b/>
                <w:color w:val="333333"/>
                <w:shd w:val="clear" w:color="auto" w:fill="FFFFFF"/>
                <w:lang w:val="en-AU"/>
              </w:rPr>
              <w:t>a unique perspective on patient safety</w:t>
            </w:r>
            <w:r w:rsidRPr="00AC7AF8">
              <w:rPr>
                <w:color w:val="333333"/>
                <w:shd w:val="clear" w:color="auto" w:fill="FFFFFF"/>
                <w:lang w:val="en-AU"/>
              </w:rPr>
              <w:t xml:space="preserve">, contributing independently to the prediction of safety outcomes. These findings suggest that </w:t>
            </w:r>
            <w:r w:rsidRPr="00AC7AF8">
              <w:rPr>
                <w:b/>
                <w:color w:val="333333"/>
                <w:shd w:val="clear" w:color="auto" w:fill="FFFFFF"/>
                <w:lang w:val="en-AU"/>
              </w:rPr>
              <w:t>feedback from patients</w:t>
            </w:r>
            <w:r w:rsidRPr="00AC7AF8">
              <w:rPr>
                <w:color w:val="333333"/>
                <w:shd w:val="clear" w:color="auto" w:fill="FFFFFF"/>
                <w:lang w:val="en-AU"/>
              </w:rPr>
              <w:t xml:space="preserve"> about the safety of the care that they receive can be used, </w:t>
            </w:r>
            <w:r w:rsidRPr="00AC7AF8">
              <w:rPr>
                <w:b/>
                <w:color w:val="333333"/>
                <w:shd w:val="clear" w:color="auto" w:fill="FFFFFF"/>
                <w:lang w:val="en-AU"/>
              </w:rPr>
              <w:t>in addition to data from staff</w:t>
            </w:r>
            <w:r w:rsidRPr="00AC7AF8">
              <w:rPr>
                <w:color w:val="333333"/>
                <w:shd w:val="clear" w:color="auto" w:fill="FFFFFF"/>
                <w:lang w:val="en-AU"/>
              </w:rPr>
              <w:t xml:space="preserve"> to </w:t>
            </w:r>
            <w:r w:rsidRPr="00AC7AF8">
              <w:rPr>
                <w:b/>
                <w:color w:val="333333"/>
                <w:shd w:val="clear" w:color="auto" w:fill="FFFFFF"/>
                <w:lang w:val="en-AU"/>
              </w:rPr>
              <w:t>drive safety improvements</w:t>
            </w:r>
            <w:r w:rsidRPr="00AC7AF8">
              <w:rPr>
                <w:color w:val="333333"/>
                <w:shd w:val="clear" w:color="auto" w:fill="FFFFFF"/>
                <w:lang w:val="en-AU"/>
              </w:rPr>
              <w:t xml:space="preserve"> in healthcare.</w:t>
            </w:r>
            <w:r>
              <w:rPr>
                <w:color w:val="333333"/>
                <w:shd w:val="clear" w:color="auto" w:fill="FFFFFF"/>
                <w:lang w:val="en-AU"/>
              </w:rPr>
              <w:t>”</w:t>
            </w:r>
          </w:p>
        </w:tc>
      </w:tr>
    </w:tbl>
    <w:p w:rsidR="00F85360" w:rsidRDefault="00F85360" w:rsidP="00F85360">
      <w:pPr>
        <w:keepLines/>
        <w:autoSpaceDE w:val="0"/>
        <w:autoSpaceDN w:val="0"/>
        <w:adjustRightInd w:val="0"/>
        <w:rPr>
          <w:lang w:val="en-AU"/>
        </w:rPr>
      </w:pPr>
    </w:p>
    <w:p w:rsidR="002E072A" w:rsidRDefault="002E072A">
      <w:pPr>
        <w:rPr>
          <w:i/>
          <w:lang w:val="en-AU"/>
        </w:rPr>
      </w:pPr>
      <w:r>
        <w:rPr>
          <w:i/>
          <w:lang w:val="en-AU"/>
        </w:rPr>
        <w:br w:type="page"/>
      </w:r>
    </w:p>
    <w:p w:rsidR="0065661C" w:rsidRDefault="0065661C" w:rsidP="00F85360">
      <w:pPr>
        <w:keepNext/>
        <w:keepLines/>
        <w:autoSpaceDE w:val="0"/>
        <w:autoSpaceDN w:val="0"/>
        <w:adjustRightInd w:val="0"/>
        <w:rPr>
          <w:lang w:val="en-AU"/>
        </w:rPr>
      </w:pPr>
      <w:r w:rsidRPr="0065661C">
        <w:rPr>
          <w:i/>
          <w:lang w:val="en-AU"/>
        </w:rPr>
        <w:lastRenderedPageBreak/>
        <w:t>Communication of Vital Signs at Emergency Department Handoff: Opportunities for Improvement</w:t>
      </w:r>
      <w:r w:rsidRPr="0065661C">
        <w:rPr>
          <w:lang w:val="en-AU"/>
        </w:rPr>
        <w:t xml:space="preserve"> Venkatesh AK, Curley D, Chang Y, Liu SW</w:t>
      </w:r>
    </w:p>
    <w:p w:rsidR="00F85360" w:rsidRPr="00255EF8" w:rsidRDefault="0065661C" w:rsidP="00F85360">
      <w:pPr>
        <w:keepNext/>
        <w:keepLines/>
        <w:autoSpaceDE w:val="0"/>
        <w:autoSpaceDN w:val="0"/>
        <w:adjustRightInd w:val="0"/>
        <w:rPr>
          <w:lang w:val="en-AU"/>
        </w:rPr>
      </w:pPr>
      <w:proofErr w:type="gramStart"/>
      <w:r w:rsidRPr="0065661C">
        <w:rPr>
          <w:lang w:val="en-AU"/>
        </w:rPr>
        <w:t>Annals of Emergency Medicine.</w:t>
      </w:r>
      <w:proofErr w:type="gramEnd"/>
      <w:r w:rsidRPr="0065661C">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F85360" w:rsidRPr="00255EF8" w:rsidTr="006D5853">
        <w:tc>
          <w:tcPr>
            <w:tcW w:w="1080" w:type="dxa"/>
            <w:tcBorders>
              <w:top w:val="single" w:sz="4" w:space="0" w:color="auto"/>
              <w:left w:val="single" w:sz="4" w:space="0" w:color="auto"/>
              <w:bottom w:val="single" w:sz="4" w:space="0" w:color="auto"/>
              <w:right w:val="single" w:sz="4" w:space="0" w:color="auto"/>
            </w:tcBorders>
            <w:vAlign w:val="center"/>
          </w:tcPr>
          <w:p w:rsidR="00F85360" w:rsidRPr="00255EF8" w:rsidRDefault="00F85360" w:rsidP="006D5853">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661C" w:rsidRPr="00255EF8" w:rsidRDefault="00CD3AA8" w:rsidP="0065661C">
            <w:pPr>
              <w:rPr>
                <w:lang w:val="en-AU"/>
              </w:rPr>
            </w:pPr>
            <w:hyperlink r:id="rId27" w:history="1">
              <w:r w:rsidR="00B67A75" w:rsidRPr="007914B0">
                <w:rPr>
                  <w:rStyle w:val="Hyperlink"/>
                  <w:lang w:val="en-AU"/>
                </w:rPr>
                <w:t>http://dx.doi.org/10.1016/j.annemergmed.2015.02.025</w:t>
              </w:r>
            </w:hyperlink>
          </w:p>
        </w:tc>
      </w:tr>
      <w:tr w:rsidR="00F85360" w:rsidRPr="00255EF8" w:rsidTr="006D5853">
        <w:tc>
          <w:tcPr>
            <w:tcW w:w="1080" w:type="dxa"/>
            <w:tcBorders>
              <w:top w:val="single" w:sz="4" w:space="0" w:color="auto"/>
              <w:left w:val="single" w:sz="4" w:space="0" w:color="auto"/>
              <w:bottom w:val="single" w:sz="4" w:space="0" w:color="auto"/>
              <w:right w:val="single" w:sz="4" w:space="0" w:color="auto"/>
            </w:tcBorders>
            <w:vAlign w:val="center"/>
          </w:tcPr>
          <w:p w:rsidR="00F85360" w:rsidRPr="00255EF8" w:rsidRDefault="00F85360" w:rsidP="006D585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661C" w:rsidRDefault="0065661C" w:rsidP="0065661C">
            <w:pPr>
              <w:rPr>
                <w:lang w:val="en-AU"/>
              </w:rPr>
            </w:pPr>
            <w:r>
              <w:rPr>
                <w:lang w:val="en-AU"/>
              </w:rPr>
              <w:t xml:space="preserve">Paper reporting </w:t>
            </w:r>
            <w:proofErr w:type="gramStart"/>
            <w:r>
              <w:rPr>
                <w:lang w:val="en-AU"/>
              </w:rPr>
              <w:t>an</w:t>
            </w:r>
            <w:proofErr w:type="gramEnd"/>
            <w:r>
              <w:rPr>
                <w:lang w:val="en-AU"/>
              </w:rPr>
              <w:t xml:space="preserve"> </w:t>
            </w:r>
            <w:r w:rsidRPr="0065661C">
              <w:rPr>
                <w:lang w:val="en-AU"/>
              </w:rPr>
              <w:t xml:space="preserve">prospective observational study of </w:t>
            </w:r>
            <w:r>
              <w:rPr>
                <w:lang w:val="en-AU"/>
              </w:rPr>
              <w:t>emergency department (</w:t>
            </w:r>
            <w:r w:rsidRPr="0065661C">
              <w:rPr>
                <w:lang w:val="en-AU"/>
              </w:rPr>
              <w:t>ED</w:t>
            </w:r>
            <w:r>
              <w:rPr>
                <w:lang w:val="en-AU"/>
              </w:rPr>
              <w:t>)</w:t>
            </w:r>
            <w:r w:rsidRPr="0065661C">
              <w:rPr>
                <w:lang w:val="en-AU"/>
              </w:rPr>
              <w:t xml:space="preserve"> </w:t>
            </w:r>
            <w:r>
              <w:rPr>
                <w:lang w:val="en-AU"/>
              </w:rPr>
              <w:t>handovers/</w:t>
            </w:r>
            <w:r w:rsidRPr="0065661C">
              <w:rPr>
                <w:lang w:val="en-AU"/>
              </w:rPr>
              <w:t xml:space="preserve">handoffs </w:t>
            </w:r>
            <w:r>
              <w:rPr>
                <w:lang w:val="en-AU"/>
              </w:rPr>
              <w:t>at a US</w:t>
            </w:r>
            <w:r w:rsidRPr="0065661C">
              <w:rPr>
                <w:lang w:val="en-AU"/>
              </w:rPr>
              <w:t xml:space="preserve"> urban academic hospital</w:t>
            </w:r>
            <w:r>
              <w:rPr>
                <w:lang w:val="en-AU"/>
              </w:rPr>
              <w:t xml:space="preserve">. From the observation of </w:t>
            </w:r>
            <w:r w:rsidRPr="0065661C">
              <w:rPr>
                <w:lang w:val="en-AU"/>
              </w:rPr>
              <w:t xml:space="preserve">1,163 patient </w:t>
            </w:r>
            <w:r>
              <w:rPr>
                <w:lang w:val="en-AU"/>
              </w:rPr>
              <w:t xml:space="preserve">handovers </w:t>
            </w:r>
            <w:r w:rsidRPr="0065661C">
              <w:rPr>
                <w:lang w:val="en-AU"/>
              </w:rPr>
              <w:t>during 130 ED shift rounds</w:t>
            </w:r>
            <w:r>
              <w:rPr>
                <w:lang w:val="en-AU"/>
              </w:rPr>
              <w:t xml:space="preserve"> it is reported that o</w:t>
            </w:r>
            <w:r w:rsidRPr="0065661C">
              <w:rPr>
                <w:lang w:val="en-AU"/>
              </w:rPr>
              <w:t xml:space="preserve">f </w:t>
            </w:r>
            <w:r>
              <w:rPr>
                <w:lang w:val="en-AU"/>
              </w:rPr>
              <w:t>“</w:t>
            </w:r>
            <w:r w:rsidRPr="0065661C">
              <w:rPr>
                <w:lang w:val="en-AU"/>
              </w:rPr>
              <w:t>117 patients with episodes of hypotension and 156 patients with hypoxia, 66 (42%) and 116 (74%) were not communicated at rounds, respectively. One hundred sixty-six handoffs (14%) included a vital sign communication error of omission.</w:t>
            </w:r>
            <w:r>
              <w:rPr>
                <w:lang w:val="en-AU"/>
              </w:rPr>
              <w:t xml:space="preserve">” </w:t>
            </w:r>
          </w:p>
          <w:p w:rsidR="00F85360" w:rsidRPr="005833F4" w:rsidRDefault="0065661C" w:rsidP="0065661C">
            <w:pPr>
              <w:rPr>
                <w:color w:val="333333"/>
                <w:shd w:val="clear" w:color="auto" w:fill="FFFFFF"/>
                <w:lang w:val="en-AU"/>
              </w:rPr>
            </w:pPr>
            <w:r>
              <w:rPr>
                <w:lang w:val="en-AU"/>
              </w:rPr>
              <w:t>Omissions of significant information are a known issue with handover. A range of tools or approaches of ‘flexible standardisation’ to assist clinicians in identifying the necessary information for handover in various contexts have been developed.</w:t>
            </w:r>
          </w:p>
        </w:tc>
      </w:tr>
    </w:tbl>
    <w:p w:rsidR="00F85360" w:rsidRDefault="00F85360" w:rsidP="00F85360">
      <w:pPr>
        <w:keepLines/>
        <w:autoSpaceDE w:val="0"/>
        <w:autoSpaceDN w:val="0"/>
        <w:adjustRightInd w:val="0"/>
        <w:rPr>
          <w:lang w:val="en-AU"/>
        </w:rPr>
      </w:pPr>
    </w:p>
    <w:p w:rsidR="0065661C" w:rsidRDefault="0065661C" w:rsidP="00F85360">
      <w:pPr>
        <w:keepLines/>
        <w:autoSpaceDE w:val="0"/>
        <w:autoSpaceDN w:val="0"/>
        <w:adjustRightInd w:val="0"/>
        <w:rPr>
          <w:lang w:val="en-AU"/>
        </w:rPr>
      </w:pPr>
      <w:r>
        <w:rPr>
          <w:lang w:val="en-AU"/>
        </w:rPr>
        <w:t xml:space="preserve">For information on the Commission’s work on clinical communications, including clinical handover, see </w:t>
      </w:r>
      <w:hyperlink r:id="rId28" w:history="1">
        <w:r w:rsidRPr="007914B0">
          <w:rPr>
            <w:rStyle w:val="Hyperlink"/>
            <w:lang w:val="en-AU"/>
          </w:rPr>
          <w:t>www.safetyandquality.gov.au/our-work/clinical-communications/</w:t>
        </w:r>
      </w:hyperlink>
      <w:r>
        <w:rPr>
          <w:lang w:val="en-AU"/>
        </w:rPr>
        <w:t xml:space="preserve"> </w:t>
      </w:r>
    </w:p>
    <w:p w:rsidR="002E072A" w:rsidRDefault="002E072A" w:rsidP="00AF700A">
      <w:pPr>
        <w:rPr>
          <w:i/>
          <w:lang w:val="en-AU"/>
        </w:rPr>
      </w:pPr>
    </w:p>
    <w:p w:rsidR="002E072A" w:rsidRDefault="002E072A" w:rsidP="00AF700A">
      <w:pPr>
        <w:rPr>
          <w:i/>
          <w:lang w:val="en-AU"/>
        </w:rPr>
      </w:pPr>
      <w:bookmarkStart w:id="1" w:name="_GoBack"/>
      <w:bookmarkEnd w:id="1"/>
    </w:p>
    <w:p w:rsidR="00AF700A" w:rsidRPr="00737BFB" w:rsidRDefault="00AF700A" w:rsidP="00AF700A">
      <w:pPr>
        <w:rPr>
          <w:i/>
          <w:lang w:val="en-AU"/>
        </w:rPr>
      </w:pPr>
      <w:r w:rsidRPr="00737BFB">
        <w:rPr>
          <w:i/>
          <w:lang w:val="en-AU"/>
        </w:rPr>
        <w:t>International Journal for Quality in Health Care</w:t>
      </w:r>
    </w:p>
    <w:p w:rsidR="00AF700A" w:rsidRPr="00737BFB" w:rsidRDefault="00AF700A" w:rsidP="00AF700A">
      <w:pPr>
        <w:keepNext/>
        <w:autoSpaceDE w:val="0"/>
        <w:autoSpaceDN w:val="0"/>
        <w:adjustRightInd w:val="0"/>
        <w:rPr>
          <w:lang w:val="en-AU"/>
        </w:rPr>
      </w:pPr>
      <w:r>
        <w:rPr>
          <w:lang w:val="en-AU"/>
        </w:rPr>
        <w:t>Vol. 27, No. 2, April 2015</w:t>
      </w:r>
    </w:p>
    <w:tbl>
      <w:tblPr>
        <w:tblStyle w:val="TableGrid"/>
        <w:tblW w:w="0" w:type="auto"/>
        <w:tblInd w:w="288" w:type="dxa"/>
        <w:tblLayout w:type="fixed"/>
        <w:tblLook w:val="01E0" w:firstRow="1" w:lastRow="1" w:firstColumn="1" w:lastColumn="1" w:noHBand="0" w:noVBand="0"/>
      </w:tblPr>
      <w:tblGrid>
        <w:gridCol w:w="1080"/>
        <w:gridCol w:w="8280"/>
      </w:tblGrid>
      <w:tr w:rsidR="00AF700A" w:rsidRPr="00737BFB" w:rsidTr="00400908">
        <w:tc>
          <w:tcPr>
            <w:tcW w:w="1080" w:type="dxa"/>
            <w:tcBorders>
              <w:top w:val="single" w:sz="4" w:space="0" w:color="auto"/>
              <w:left w:val="single" w:sz="4" w:space="0" w:color="auto"/>
              <w:bottom w:val="single" w:sz="4" w:space="0" w:color="auto"/>
              <w:right w:val="single" w:sz="4" w:space="0" w:color="auto"/>
            </w:tcBorders>
            <w:vAlign w:val="center"/>
          </w:tcPr>
          <w:p w:rsidR="00AF700A" w:rsidRPr="00737BFB" w:rsidRDefault="00AF700A" w:rsidP="0040090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700A" w:rsidRPr="00737BFB" w:rsidRDefault="00CD3AA8" w:rsidP="00400908">
            <w:pPr>
              <w:rPr>
                <w:lang w:val="en-AU"/>
              </w:rPr>
            </w:pPr>
            <w:hyperlink r:id="rId29" w:history="1">
              <w:r w:rsidR="00AF700A" w:rsidRPr="001F04DB">
                <w:rPr>
                  <w:rStyle w:val="Hyperlink"/>
                  <w:lang w:val="en-AU"/>
                </w:rPr>
                <w:t>http://intqhc.oxfordjournals.org/content/27/2?etoc</w:t>
              </w:r>
            </w:hyperlink>
            <w:r w:rsidR="00AF700A">
              <w:rPr>
                <w:lang w:val="en-AU"/>
              </w:rPr>
              <w:t xml:space="preserve"> </w:t>
            </w:r>
          </w:p>
        </w:tc>
      </w:tr>
      <w:tr w:rsidR="00AF700A" w:rsidRPr="00737BFB" w:rsidTr="00400908">
        <w:tc>
          <w:tcPr>
            <w:tcW w:w="1080" w:type="dxa"/>
            <w:tcBorders>
              <w:top w:val="single" w:sz="4" w:space="0" w:color="auto"/>
              <w:left w:val="single" w:sz="4" w:space="0" w:color="auto"/>
              <w:bottom w:val="single" w:sz="4" w:space="0" w:color="auto"/>
              <w:right w:val="single" w:sz="4" w:space="0" w:color="auto"/>
            </w:tcBorders>
            <w:vAlign w:val="center"/>
          </w:tcPr>
          <w:p w:rsidR="00AF700A" w:rsidRPr="00737BFB" w:rsidRDefault="00AF700A" w:rsidP="0040090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700A" w:rsidRDefault="00AF700A" w:rsidP="00400908">
            <w:pPr>
              <w:rPr>
                <w:lang w:val="en-AU"/>
              </w:rPr>
            </w:pPr>
            <w:r>
              <w:rPr>
                <w:lang w:val="en-AU"/>
              </w:rPr>
              <w:t xml:space="preserve">A new issue of the </w:t>
            </w:r>
            <w:r w:rsidRPr="00737BFB">
              <w:rPr>
                <w:i/>
                <w:lang w:val="en-AU"/>
              </w:rPr>
              <w:t>International Journal for Quality in Health Care</w:t>
            </w:r>
            <w:r>
              <w:rPr>
                <w:i/>
                <w:lang w:val="en-AU"/>
              </w:rPr>
              <w:t xml:space="preserve"> </w:t>
            </w:r>
            <w:r w:rsidRPr="004B0E69">
              <w:rPr>
                <w:lang w:val="en-AU"/>
              </w:rPr>
              <w:t>has</w:t>
            </w:r>
            <w:r>
              <w:rPr>
                <w:i/>
                <w:lang w:val="en-AU"/>
              </w:rPr>
              <w:t xml:space="preserve"> </w:t>
            </w:r>
            <w:r>
              <w:rPr>
                <w:lang w:val="en-AU"/>
              </w:rPr>
              <w:t xml:space="preserve">been published. Many of the papers in this issue have been referred to in previous editions of </w:t>
            </w:r>
            <w:r w:rsidRPr="000A382F">
              <w:rPr>
                <w:i/>
                <w:lang w:val="en-AU"/>
              </w:rPr>
              <w:t>On the Radar</w:t>
            </w:r>
            <w:r>
              <w:rPr>
                <w:lang w:val="en-AU"/>
              </w:rPr>
              <w:t xml:space="preserve"> (when they released online). Articles in this issue of the </w:t>
            </w:r>
            <w:r w:rsidRPr="00737BFB">
              <w:rPr>
                <w:i/>
                <w:lang w:val="en-AU"/>
              </w:rPr>
              <w:t>International Journal for Quality in Health Care</w:t>
            </w:r>
            <w:r>
              <w:rPr>
                <w:lang w:val="en-AU"/>
              </w:rPr>
              <w:t xml:space="preserve"> include:</w:t>
            </w:r>
          </w:p>
          <w:p w:rsidR="00AF700A" w:rsidRPr="00AF700A" w:rsidRDefault="00AF700A" w:rsidP="00AF700A">
            <w:pPr>
              <w:pStyle w:val="ListParagraph"/>
              <w:numPr>
                <w:ilvl w:val="0"/>
                <w:numId w:val="27"/>
              </w:numPr>
              <w:rPr>
                <w:lang w:val="en-AU"/>
              </w:rPr>
            </w:pPr>
            <w:r w:rsidRPr="00AF700A">
              <w:rPr>
                <w:lang w:val="en-AU"/>
              </w:rPr>
              <w:t xml:space="preserve">Editor's choice: </w:t>
            </w:r>
            <w:r w:rsidRPr="00AF700A">
              <w:rPr>
                <w:b/>
                <w:lang w:val="en-AU"/>
              </w:rPr>
              <w:t>Quality of care in primary health care</w:t>
            </w:r>
            <w:r w:rsidRPr="00AF700A">
              <w:rPr>
                <w:lang w:val="en-AU"/>
              </w:rPr>
              <w:t xml:space="preserve"> settings in the Eastern Mediterranean region: a systematic review of the literature (Shadi Saleh, Mohamad Alameddine, Yara Mourad, and Nabil Natafgi</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Interventions to improve </w:t>
            </w:r>
            <w:r w:rsidRPr="00AF700A">
              <w:rPr>
                <w:b/>
                <w:lang w:val="en-AU"/>
              </w:rPr>
              <w:t>cultural competency</w:t>
            </w:r>
            <w:r w:rsidRPr="00AF700A">
              <w:rPr>
                <w:lang w:val="en-AU"/>
              </w:rPr>
              <w:t xml:space="preserve"> in health care for </w:t>
            </w:r>
            <w:r w:rsidRPr="00AF700A">
              <w:rPr>
                <w:b/>
                <w:lang w:val="en-AU"/>
              </w:rPr>
              <w:t>Indigenous peoples</w:t>
            </w:r>
            <w:r w:rsidRPr="00AF700A">
              <w:rPr>
                <w:lang w:val="en-AU"/>
              </w:rPr>
              <w:t xml:space="preserve"> of Australia, New Zealand, Canada and the USA: a systematic review (Anton Clifford, Janya McCalman, Roxanne Bainbridge, and Komla Tsey</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Editor's choice: Observation of </w:t>
            </w:r>
            <w:r w:rsidRPr="00AF700A">
              <w:rPr>
                <w:b/>
                <w:lang w:val="en-AU"/>
              </w:rPr>
              <w:t>handover process</w:t>
            </w:r>
            <w:r w:rsidRPr="00AF700A">
              <w:rPr>
                <w:lang w:val="en-AU"/>
              </w:rPr>
              <w:t xml:space="preserve"> in an </w:t>
            </w:r>
            <w:r w:rsidRPr="00AF700A">
              <w:rPr>
                <w:b/>
                <w:lang w:val="en-AU"/>
              </w:rPr>
              <w:t>intensive care unit</w:t>
            </w:r>
            <w:r w:rsidRPr="00AF700A">
              <w:rPr>
                <w:lang w:val="en-AU"/>
              </w:rPr>
              <w:t xml:space="preserve"> (ICU): barriers and quality improvement strategy (Yanika Kowitlawakul, Benjamin S H Leong, Adela Lua, Rana Aroos, Jie Jun Wong, Nicola Koh, Nicholette Goh, Kay Choong See, Jason Phua, and A Mukhopadhyay</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A feasibility study of the provision of a personalized interdisciplinary audiovisual summary to facilitate care transfer care at </w:t>
            </w:r>
            <w:r w:rsidRPr="00AF700A">
              <w:rPr>
                <w:b/>
                <w:lang w:val="en-AU"/>
              </w:rPr>
              <w:t>hospital discharge: Care Transfer Video</w:t>
            </w:r>
            <w:r w:rsidRPr="00AF700A">
              <w:rPr>
                <w:lang w:val="en-AU"/>
              </w:rPr>
              <w:t xml:space="preserve"> (CareTV) (Harvey H. Newnham, Harry H. Gibbs, Edward S. Ritchie, Karen I. Hitchcock, Vathy Nagalingam, Andrew Hoiles, Ed Wallace, Elizabeth Georgeson, and Sara Holton</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Developing </w:t>
            </w:r>
            <w:r w:rsidRPr="00AF700A">
              <w:rPr>
                <w:b/>
                <w:lang w:val="en-AU"/>
              </w:rPr>
              <w:t>performance indicators</w:t>
            </w:r>
            <w:r w:rsidRPr="00AF700A">
              <w:rPr>
                <w:lang w:val="en-AU"/>
              </w:rPr>
              <w:t xml:space="preserve"> for </w:t>
            </w:r>
            <w:r w:rsidRPr="00AF700A">
              <w:rPr>
                <w:b/>
                <w:lang w:val="en-AU"/>
              </w:rPr>
              <w:t>clinical governance</w:t>
            </w:r>
            <w:r w:rsidRPr="00AF700A">
              <w:rPr>
                <w:lang w:val="en-AU"/>
              </w:rPr>
              <w:t xml:space="preserve"> in dimensions of risk management and clinical effectiveness (Saber Azami-Aghdash, Jafar Sadegh Tabrizi, Homayoun Sadeghi-Bazargani, Sakineh Hajebrahimi, and Mohammad Naghavi-Behzad</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Joint influence of </w:t>
            </w:r>
            <w:r w:rsidRPr="00AF700A">
              <w:rPr>
                <w:b/>
                <w:lang w:val="en-AU"/>
              </w:rPr>
              <w:t>patient-assessed chronic illness care</w:t>
            </w:r>
            <w:r w:rsidRPr="00AF700A">
              <w:rPr>
                <w:lang w:val="en-AU"/>
              </w:rPr>
              <w:t xml:space="preserve"> and </w:t>
            </w:r>
            <w:r w:rsidRPr="00AF700A">
              <w:rPr>
                <w:b/>
                <w:lang w:val="en-AU"/>
              </w:rPr>
              <w:t>patient activation</w:t>
            </w:r>
            <w:r w:rsidRPr="00AF700A">
              <w:rPr>
                <w:lang w:val="en-AU"/>
              </w:rPr>
              <w:t xml:space="preserve"> on glycaemic control in type 2 diabetes (Eindra Aung, Maria Donald, Gail M Williams, Joseph R Coll, and Suhail A R Doi</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Quality of care for </w:t>
            </w:r>
            <w:r w:rsidRPr="00AF700A">
              <w:rPr>
                <w:b/>
                <w:lang w:val="en-AU"/>
              </w:rPr>
              <w:t>hip and knee osteoarthritis</w:t>
            </w:r>
            <w:r w:rsidRPr="00AF700A">
              <w:rPr>
                <w:lang w:val="en-AU"/>
              </w:rPr>
              <w:t xml:space="preserve"> at family medicine clinics: lessons from Mexico (Svetlana V Doubova and Ricardo Perez-Cuevas</w:t>
            </w:r>
            <w:r>
              <w:rPr>
                <w:lang w:val="en-AU"/>
              </w:rPr>
              <w:t>)</w:t>
            </w:r>
          </w:p>
          <w:p w:rsidR="00AF700A" w:rsidRPr="00AF700A" w:rsidRDefault="00AF700A" w:rsidP="00AF700A">
            <w:pPr>
              <w:pStyle w:val="ListParagraph"/>
              <w:numPr>
                <w:ilvl w:val="0"/>
                <w:numId w:val="27"/>
              </w:numPr>
              <w:rPr>
                <w:lang w:val="en-AU"/>
              </w:rPr>
            </w:pPr>
            <w:r w:rsidRPr="00AF700A">
              <w:rPr>
                <w:lang w:val="en-AU"/>
              </w:rPr>
              <w:lastRenderedPageBreak/>
              <w:t xml:space="preserve">Results of a fast-track referral system for urgent </w:t>
            </w:r>
            <w:r w:rsidRPr="00AF700A">
              <w:rPr>
                <w:b/>
                <w:lang w:val="en-AU"/>
              </w:rPr>
              <w:t>outpatient hepatology</w:t>
            </w:r>
            <w:r w:rsidR="00C6152A">
              <w:rPr>
                <w:b/>
                <w:lang w:val="en-AU"/>
              </w:rPr>
              <w:t xml:space="preserve"> </w:t>
            </w:r>
            <w:r w:rsidR="00C6152A" w:rsidRPr="00C6152A">
              <w:rPr>
                <w:lang w:val="en-AU"/>
              </w:rPr>
              <w:t>v</w:t>
            </w:r>
            <w:r w:rsidRPr="00C6152A">
              <w:rPr>
                <w:lang w:val="en-AU"/>
              </w:rPr>
              <w:t>isits</w:t>
            </w:r>
            <w:r w:rsidR="00C6152A">
              <w:rPr>
                <w:lang w:val="en-AU"/>
              </w:rPr>
              <w:t xml:space="preserve"> </w:t>
            </w:r>
            <w:r w:rsidRPr="00AF700A">
              <w:rPr>
                <w:lang w:val="en-AU"/>
              </w:rPr>
              <w:t>(Martina Milana, Francesco Santopaolo, Ilaria Lenci, Simona Francioso, and Leonardo Baiocchi</w:t>
            </w:r>
            <w:r>
              <w:rPr>
                <w:lang w:val="en-AU"/>
              </w:rPr>
              <w:t>)</w:t>
            </w:r>
          </w:p>
          <w:p w:rsidR="00AF700A" w:rsidRPr="00AF700A" w:rsidRDefault="00AF700A" w:rsidP="00AF700A">
            <w:pPr>
              <w:pStyle w:val="ListParagraph"/>
              <w:numPr>
                <w:ilvl w:val="0"/>
                <w:numId w:val="27"/>
              </w:numPr>
              <w:rPr>
                <w:lang w:val="en-AU"/>
              </w:rPr>
            </w:pPr>
            <w:r w:rsidRPr="00AF700A">
              <w:rPr>
                <w:lang w:val="en-AU"/>
              </w:rPr>
              <w:t xml:space="preserve">Towards actionable international comparisons of </w:t>
            </w:r>
            <w:r w:rsidRPr="00AF700A">
              <w:rPr>
                <w:b/>
                <w:lang w:val="en-AU"/>
              </w:rPr>
              <w:t>health system performance</w:t>
            </w:r>
            <w:r w:rsidRPr="00AF700A">
              <w:rPr>
                <w:lang w:val="en-AU"/>
              </w:rPr>
              <w:t xml:space="preserve">: expert revision of the </w:t>
            </w:r>
            <w:r w:rsidRPr="00AF700A">
              <w:rPr>
                <w:b/>
                <w:lang w:val="en-AU"/>
              </w:rPr>
              <w:t>OECD framework and quality indicators</w:t>
            </w:r>
            <w:r w:rsidRPr="00AF700A">
              <w:rPr>
                <w:lang w:val="en-AU"/>
              </w:rPr>
              <w:t xml:space="preserve"> (F Carinci, K Van Gool</w:t>
            </w:r>
            <w:proofErr w:type="gramStart"/>
            <w:r w:rsidRPr="00AF700A">
              <w:rPr>
                <w:lang w:val="en-AU"/>
              </w:rPr>
              <w:t>, .</w:t>
            </w:r>
            <w:proofErr w:type="gramEnd"/>
            <w:r w:rsidRPr="00AF700A">
              <w:rPr>
                <w:lang w:val="en-AU"/>
              </w:rPr>
              <w:t xml:space="preserve"> Mainz, J Veillard, E C Pichora, J M   Januel, I Arispe, S M Kim, NS Klazinga, on Behalf of The OECD Health Care Quality Indicators Expert Group</w:t>
            </w:r>
            <w:r>
              <w:rPr>
                <w:lang w:val="en-AU"/>
              </w:rPr>
              <w:t>)</w:t>
            </w:r>
          </w:p>
          <w:p w:rsidR="00AF700A" w:rsidRPr="00AF700A" w:rsidRDefault="00AF700A" w:rsidP="00AF700A">
            <w:pPr>
              <w:pStyle w:val="ListParagraph"/>
              <w:numPr>
                <w:ilvl w:val="0"/>
                <w:numId w:val="27"/>
              </w:numPr>
              <w:rPr>
                <w:lang w:val="en-AU"/>
              </w:rPr>
            </w:pPr>
            <w:r w:rsidRPr="00AF700A">
              <w:rPr>
                <w:b/>
                <w:lang w:val="en-AU"/>
              </w:rPr>
              <w:t>Interoperability after deployment</w:t>
            </w:r>
            <w:r w:rsidRPr="00AF700A">
              <w:rPr>
                <w:lang w:val="en-AU"/>
              </w:rPr>
              <w:t>: persistent challenges and regional strategies in Denmark ( Patrick Kierkegaard</w:t>
            </w:r>
            <w:r>
              <w:rPr>
                <w:lang w:val="en-AU"/>
              </w:rPr>
              <w:t>)</w:t>
            </w:r>
          </w:p>
          <w:p w:rsidR="00AF700A" w:rsidRPr="00BE3C51" w:rsidRDefault="00AF700A" w:rsidP="00AF700A">
            <w:pPr>
              <w:pStyle w:val="ListParagraph"/>
              <w:numPr>
                <w:ilvl w:val="0"/>
                <w:numId w:val="27"/>
              </w:numPr>
              <w:rPr>
                <w:lang w:val="en-AU"/>
              </w:rPr>
            </w:pPr>
            <w:r w:rsidRPr="00AF700A">
              <w:rPr>
                <w:lang w:val="en-AU"/>
              </w:rPr>
              <w:t xml:space="preserve">Appropriateness of requests for </w:t>
            </w:r>
            <w:r w:rsidRPr="00AF700A">
              <w:rPr>
                <w:b/>
                <w:lang w:val="en-AU"/>
              </w:rPr>
              <w:t>human serum albumin</w:t>
            </w:r>
            <w:r w:rsidRPr="00AF700A">
              <w:rPr>
                <w:lang w:val="en-AU"/>
              </w:rPr>
              <w:t xml:space="preserve"> at the University Hospital of Palermo, Italy: a prospective study (Alessandra Casuccio, Eliana Nalbone, Palmira Immordino, Concetta La Seta, Paola Sanfilippo, Antonino Tuttolomondo, and Francesco Vitale</w:t>
            </w:r>
            <w:r>
              <w:rPr>
                <w:lang w:val="en-AU"/>
              </w:rPr>
              <w:t>)</w:t>
            </w:r>
          </w:p>
        </w:tc>
      </w:tr>
    </w:tbl>
    <w:p w:rsidR="00314FB0" w:rsidRDefault="00314FB0" w:rsidP="0029518F">
      <w:pPr>
        <w:rPr>
          <w:lang w:val="en-AU"/>
        </w:rPr>
      </w:pPr>
    </w:p>
    <w:p w:rsidR="00770913" w:rsidRPr="00255EF8" w:rsidRDefault="00770913"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A8" w:rsidRDefault="00CD3AA8">
      <w:r>
        <w:separator/>
      </w:r>
    </w:p>
  </w:endnote>
  <w:endnote w:type="continuationSeparator" w:id="0">
    <w:p w:rsidR="00CD3AA8" w:rsidRDefault="00CD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E072A">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F85360">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72A">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85360">
      <w:t xml:space="preserve"> Issue 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A8" w:rsidRDefault="00CD3AA8">
      <w:r>
        <w:separator/>
      </w:r>
    </w:p>
  </w:footnote>
  <w:footnote w:type="continuationSeparator" w:id="0">
    <w:p w:rsidR="00CD3AA8" w:rsidRDefault="00CD3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24"/>
  </w:num>
  <w:num w:numId="16">
    <w:abstractNumId w:val="25"/>
  </w:num>
  <w:num w:numId="17">
    <w:abstractNumId w:val="12"/>
  </w:num>
  <w:num w:numId="18">
    <w:abstractNumId w:val="20"/>
  </w:num>
  <w:num w:numId="19">
    <w:abstractNumId w:val="14"/>
  </w:num>
  <w:num w:numId="20">
    <w:abstractNumId w:val="13"/>
  </w:num>
  <w:num w:numId="21">
    <w:abstractNumId w:val="19"/>
  </w:num>
  <w:num w:numId="22">
    <w:abstractNumId w:val="11"/>
  </w:num>
  <w:num w:numId="23">
    <w:abstractNumId w:val="18"/>
  </w:num>
  <w:num w:numId="24">
    <w:abstractNumId w:val="15"/>
  </w:num>
  <w:num w:numId="25">
    <w:abstractNumId w:val="22"/>
  </w:num>
  <w:num w:numId="26">
    <w:abstractNumId w:val="26"/>
  </w:num>
  <w:num w:numId="27">
    <w:abstractNumId w:val="10"/>
  </w:num>
  <w:num w:numId="28">
    <w:abstractNumId w:val="28"/>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565"/>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72A"/>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4FB0"/>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13"/>
    <w:rsid w:val="003A18E5"/>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F29"/>
    <w:rsid w:val="003C1007"/>
    <w:rsid w:val="003C13F0"/>
    <w:rsid w:val="003C14B2"/>
    <w:rsid w:val="003C1C34"/>
    <w:rsid w:val="003C227B"/>
    <w:rsid w:val="003C2886"/>
    <w:rsid w:val="003C296B"/>
    <w:rsid w:val="003C29F3"/>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E9A"/>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425"/>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6173"/>
    <w:rsid w:val="008F66F1"/>
    <w:rsid w:val="008F6BE3"/>
    <w:rsid w:val="008F7A64"/>
    <w:rsid w:val="008F7D35"/>
    <w:rsid w:val="00900ECD"/>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0A"/>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A8"/>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EC0"/>
    <w:rsid w:val="00D32257"/>
    <w:rsid w:val="00D324AE"/>
    <w:rsid w:val="00D3278C"/>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A74"/>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variation-in-health-care/" TargetMode="External"/><Relationship Id="rId26" Type="http://schemas.openxmlformats.org/officeDocument/2006/relationships/hyperlink" Target="http://dx.doi.org/10.1136/bmjqs-2014-003691" TargetMode="External"/><Relationship Id="rId3" Type="http://schemas.openxmlformats.org/officeDocument/2006/relationships/styles" Target="styles.xml"/><Relationship Id="rId21" Type="http://schemas.openxmlformats.org/officeDocument/2006/relationships/hyperlink" Target="http://www.safetyandquality.gov.au/our-work/accreditation-and-the-nsqhs-standard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3310/hsdr03130" TargetMode="External"/><Relationship Id="rId25" Type="http://schemas.openxmlformats.org/officeDocument/2006/relationships/hyperlink" Target="http://dx.doi.org/10.5694/mja14.006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hrq.gov/research/findings/nhqrdr/index.html" TargetMode="External"/><Relationship Id="rId20" Type="http://schemas.openxmlformats.org/officeDocument/2006/relationships/hyperlink" Target="http://dx.doi.org/10.5694/mja13.00172" TargetMode="External"/><Relationship Id="rId29" Type="http://schemas.openxmlformats.org/officeDocument/2006/relationships/hyperlink" Target="http://intqhc.oxfordjournals.org/content/27/2?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medication-safe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97/01.NURSE.0000461850.24153.8b" TargetMode="External"/><Relationship Id="rId28" Type="http://schemas.openxmlformats.org/officeDocument/2006/relationships/hyperlink" Target="http://www.safetyandquality.gov.au/our-work/clinical-communications/"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2146/sp150001"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healthpol.2015.03.002" TargetMode="External"/><Relationship Id="rId27" Type="http://schemas.openxmlformats.org/officeDocument/2006/relationships/hyperlink" Target="http://dx.doi.org/10.1016/j.annemergmed.2015.02.02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BC86-8209-4145-99FC-2FD40BF3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17062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16</cp:revision>
  <cp:lastPrinted>2013-06-06T03:47:00Z</cp:lastPrinted>
  <dcterms:created xsi:type="dcterms:W3CDTF">2015-04-19T21:11:00Z</dcterms:created>
  <dcterms:modified xsi:type="dcterms:W3CDTF">2015-04-24T23:43:00Z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