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10728">
        <w:rPr>
          <w:color w:val="000000"/>
          <w:lang w:val="en-AU"/>
        </w:rPr>
        <w:t>21</w:t>
      </w:r>
    </w:p>
    <w:p w:rsidR="00755242" w:rsidRPr="00255EF8" w:rsidRDefault="00310728" w:rsidP="00B160EF">
      <w:pPr>
        <w:rPr>
          <w:lang w:val="en-AU"/>
        </w:rPr>
      </w:pPr>
      <w:r>
        <w:rPr>
          <w:lang w:val="en-AU"/>
        </w:rPr>
        <w:t>4 May</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0"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Default="004554DB" w:rsidP="004554DB">
      <w:pPr>
        <w:autoSpaceDE w:val="0"/>
        <w:rPr>
          <w:lang w:val="en-AU"/>
        </w:rPr>
      </w:pPr>
      <w:r w:rsidRPr="00255EF8">
        <w:rPr>
          <w:lang w:val="en-AU"/>
        </w:rPr>
        <w:t>You can also follow us on Twitter @ACSQHC.</w:t>
      </w:r>
    </w:p>
    <w:p w:rsidR="0054703F" w:rsidRPr="00255EF8" w:rsidRDefault="0054703F" w:rsidP="004554DB">
      <w:pPr>
        <w:autoSpaceDE w:val="0"/>
        <w:rPr>
          <w:lang w:val="en-AU"/>
        </w:rPr>
      </w:pP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0"/>
      <w:r w:rsidR="00765A4F">
        <w:rPr>
          <w:bCs/>
          <w:lang w:val="en-AU"/>
        </w:rPr>
        <w:t>, Amanda Mulcahy</w:t>
      </w:r>
      <w:bookmarkStart w:id="1" w:name="_GoBack"/>
      <w:bookmarkEnd w:id="1"/>
    </w:p>
    <w:p w:rsidR="00F34D09" w:rsidRDefault="00F34D09" w:rsidP="00F34D09">
      <w:pPr>
        <w:rPr>
          <w:shd w:val="clear" w:color="auto" w:fill="FFFFFF"/>
          <w:lang w:val="en-AU"/>
        </w:rPr>
      </w:pPr>
    </w:p>
    <w:p w:rsidR="00A306F1" w:rsidRDefault="00A306F1" w:rsidP="00B673A5">
      <w:pPr>
        <w:keepNext/>
        <w:autoSpaceDE w:val="0"/>
        <w:autoSpaceDN w:val="0"/>
        <w:adjustRightInd w:val="0"/>
        <w:rPr>
          <w:b/>
          <w:lang w:val="en-AU"/>
        </w:rPr>
      </w:pPr>
    </w:p>
    <w:p w:rsidR="00F85360" w:rsidRDefault="00F85360" w:rsidP="00B673A5">
      <w:pPr>
        <w:keepNext/>
        <w:autoSpaceDE w:val="0"/>
        <w:autoSpaceDN w:val="0"/>
        <w:adjustRightInd w:val="0"/>
        <w:rPr>
          <w:b/>
          <w:lang w:val="en-AU"/>
        </w:rPr>
      </w:pPr>
      <w:r>
        <w:rPr>
          <w:b/>
          <w:lang w:val="en-AU"/>
        </w:rPr>
        <w:t>Reports</w:t>
      </w:r>
    </w:p>
    <w:p w:rsidR="00F85360" w:rsidRDefault="00F85360" w:rsidP="00F85360">
      <w:pPr>
        <w:keepNext/>
        <w:keepLines/>
        <w:autoSpaceDE w:val="0"/>
        <w:autoSpaceDN w:val="0"/>
        <w:adjustRightInd w:val="0"/>
        <w:rPr>
          <w:lang w:val="en-AU"/>
        </w:rPr>
      </w:pPr>
    </w:p>
    <w:p w:rsidR="00991C42" w:rsidRPr="00991C42" w:rsidRDefault="00991C42" w:rsidP="00991C42">
      <w:pPr>
        <w:keepNext/>
        <w:keepLines/>
        <w:autoSpaceDE w:val="0"/>
        <w:autoSpaceDN w:val="0"/>
        <w:adjustRightInd w:val="0"/>
        <w:rPr>
          <w:i/>
          <w:lang w:val="en-AU"/>
        </w:rPr>
      </w:pPr>
      <w:r w:rsidRPr="00991C42">
        <w:rPr>
          <w:i/>
          <w:lang w:val="en-AU"/>
        </w:rPr>
        <w:t>Duty of Candour: Governance for Surgeons and Employers</w:t>
      </w:r>
    </w:p>
    <w:p w:rsidR="00991C42" w:rsidRDefault="00991C42" w:rsidP="00991C42">
      <w:pPr>
        <w:keepNext/>
        <w:keepLines/>
        <w:autoSpaceDE w:val="0"/>
        <w:autoSpaceDN w:val="0"/>
        <w:adjustRightInd w:val="0"/>
        <w:rPr>
          <w:lang w:val="en-AU"/>
        </w:rPr>
      </w:pPr>
      <w:r w:rsidRPr="00991C42">
        <w:rPr>
          <w:lang w:val="en-AU"/>
        </w:rPr>
        <w:t>Royal College of Surgeons of England</w:t>
      </w:r>
    </w:p>
    <w:p w:rsidR="00991C42" w:rsidRPr="00255EF8" w:rsidRDefault="00991C42" w:rsidP="00991C42">
      <w:pPr>
        <w:keepNext/>
        <w:keepLines/>
        <w:autoSpaceDE w:val="0"/>
        <w:autoSpaceDN w:val="0"/>
        <w:adjustRightInd w:val="0"/>
        <w:rPr>
          <w:lang w:val="en-AU"/>
        </w:rPr>
      </w:pPr>
      <w:r w:rsidRPr="00991C42">
        <w:rPr>
          <w:lang w:val="en-AU"/>
        </w:rPr>
        <w:t>London: Royal College of Surgeons of England; 2015. p. 36.</w:t>
      </w:r>
    </w:p>
    <w:tbl>
      <w:tblPr>
        <w:tblStyle w:val="TableGrid"/>
        <w:tblW w:w="0" w:type="auto"/>
        <w:tblInd w:w="288" w:type="dxa"/>
        <w:tblLayout w:type="fixed"/>
        <w:tblLook w:val="01E0" w:firstRow="1" w:lastRow="1" w:firstColumn="1" w:lastColumn="1" w:noHBand="0" w:noVBand="0"/>
      </w:tblPr>
      <w:tblGrid>
        <w:gridCol w:w="1080"/>
        <w:gridCol w:w="8280"/>
      </w:tblGrid>
      <w:tr w:rsidR="00991C42" w:rsidRPr="00255EF8" w:rsidTr="009C5150">
        <w:tc>
          <w:tcPr>
            <w:tcW w:w="1080" w:type="dxa"/>
            <w:tcBorders>
              <w:top w:val="single" w:sz="4" w:space="0" w:color="auto"/>
              <w:left w:val="single" w:sz="4" w:space="0" w:color="auto"/>
              <w:bottom w:val="single" w:sz="4" w:space="0" w:color="auto"/>
              <w:right w:val="single" w:sz="4" w:space="0" w:color="auto"/>
            </w:tcBorders>
            <w:vAlign w:val="center"/>
          </w:tcPr>
          <w:p w:rsidR="00991C42" w:rsidRPr="00255EF8" w:rsidRDefault="00991C42" w:rsidP="009C515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1C42" w:rsidRPr="00255EF8" w:rsidRDefault="006E09D3" w:rsidP="009C5150">
            <w:pPr>
              <w:rPr>
                <w:lang w:val="en-AU"/>
              </w:rPr>
            </w:pPr>
            <w:hyperlink r:id="rId16" w:history="1">
              <w:r w:rsidR="00991C42" w:rsidRPr="0057311A">
                <w:rPr>
                  <w:rStyle w:val="Hyperlink"/>
                  <w:lang w:val="en-AU"/>
                </w:rPr>
                <w:t>http://www.rcseng.ac.uk/news/rcs-launches-first-professional-guide-on-duty-of-candour</w:t>
              </w:r>
            </w:hyperlink>
          </w:p>
        </w:tc>
      </w:tr>
      <w:tr w:rsidR="00991C42" w:rsidRPr="00255EF8" w:rsidTr="009C5150">
        <w:tc>
          <w:tcPr>
            <w:tcW w:w="1080" w:type="dxa"/>
            <w:tcBorders>
              <w:top w:val="single" w:sz="4" w:space="0" w:color="auto"/>
              <w:left w:val="single" w:sz="4" w:space="0" w:color="auto"/>
              <w:bottom w:val="single" w:sz="4" w:space="0" w:color="auto"/>
              <w:right w:val="single" w:sz="4" w:space="0" w:color="auto"/>
            </w:tcBorders>
            <w:vAlign w:val="center"/>
          </w:tcPr>
          <w:p w:rsidR="00991C42" w:rsidRDefault="00991C42" w:rsidP="009C5150">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991C42" w:rsidRDefault="00991C42" w:rsidP="009C5150">
            <w:pPr>
              <w:rPr>
                <w:lang w:val="en-AU"/>
              </w:rPr>
            </w:pPr>
            <w:r>
              <w:rPr>
                <w:lang w:val="en-AU"/>
              </w:rPr>
              <w:t>D15-11370</w:t>
            </w:r>
          </w:p>
        </w:tc>
      </w:tr>
      <w:tr w:rsidR="00991C42" w:rsidRPr="00255EF8" w:rsidTr="009C5150">
        <w:tc>
          <w:tcPr>
            <w:tcW w:w="1080" w:type="dxa"/>
            <w:tcBorders>
              <w:top w:val="single" w:sz="4" w:space="0" w:color="auto"/>
              <w:left w:val="single" w:sz="4" w:space="0" w:color="auto"/>
              <w:bottom w:val="single" w:sz="4" w:space="0" w:color="auto"/>
              <w:right w:val="single" w:sz="4" w:space="0" w:color="auto"/>
            </w:tcBorders>
            <w:vAlign w:val="center"/>
          </w:tcPr>
          <w:p w:rsidR="00991C42" w:rsidRPr="00255EF8" w:rsidRDefault="00991C42" w:rsidP="009C515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1C42" w:rsidRPr="00B63D98" w:rsidRDefault="00991C42" w:rsidP="009C5150">
            <w:pPr>
              <w:rPr>
                <w:color w:val="333333"/>
                <w:shd w:val="clear" w:color="auto" w:fill="FFFFFF"/>
                <w:lang w:val="en-AU"/>
              </w:rPr>
            </w:pPr>
            <w:r>
              <w:rPr>
                <w:color w:val="333333"/>
                <w:shd w:val="clear" w:color="auto" w:fill="FFFFFF"/>
                <w:lang w:val="en-AU"/>
              </w:rPr>
              <w:t xml:space="preserve">The </w:t>
            </w:r>
            <w:r w:rsidRPr="00B63D98">
              <w:rPr>
                <w:color w:val="333333"/>
                <w:shd w:val="clear" w:color="auto" w:fill="FFFFFF"/>
                <w:lang w:val="en-AU"/>
              </w:rPr>
              <w:t xml:space="preserve">Royal College of Surgeons of England has launched </w:t>
            </w:r>
            <w:r>
              <w:rPr>
                <w:color w:val="333333"/>
                <w:shd w:val="clear" w:color="auto" w:fill="FFFFFF"/>
                <w:lang w:val="en-AU"/>
              </w:rPr>
              <w:t>this</w:t>
            </w:r>
            <w:r w:rsidRPr="00B63D98">
              <w:rPr>
                <w:color w:val="333333"/>
                <w:shd w:val="clear" w:color="auto" w:fill="FFFFFF"/>
                <w:lang w:val="en-AU"/>
              </w:rPr>
              <w:t xml:space="preserve"> best practice guide on how to implement the principles of duty of candour in everyday practice. Th</w:t>
            </w:r>
            <w:r>
              <w:rPr>
                <w:color w:val="333333"/>
                <w:shd w:val="clear" w:color="auto" w:fill="FFFFFF"/>
                <w:lang w:val="en-AU"/>
              </w:rPr>
              <w:t xml:space="preserve">e guide </w:t>
            </w:r>
            <w:r w:rsidRPr="00B63D98">
              <w:rPr>
                <w:color w:val="333333"/>
                <w:shd w:val="clear" w:color="auto" w:fill="FFFFFF"/>
                <w:lang w:val="en-AU"/>
              </w:rPr>
              <w:t>outline</w:t>
            </w:r>
            <w:r>
              <w:rPr>
                <w:color w:val="333333"/>
                <w:shd w:val="clear" w:color="auto" w:fill="FFFFFF"/>
                <w:lang w:val="en-AU"/>
              </w:rPr>
              <w:t>s</w:t>
            </w:r>
            <w:r w:rsidRPr="00B63D98">
              <w:rPr>
                <w:color w:val="333333"/>
                <w:shd w:val="clear" w:color="auto" w:fill="FFFFFF"/>
                <w:lang w:val="en-AU"/>
              </w:rPr>
              <w:t xml:space="preserve"> </w:t>
            </w:r>
            <w:r>
              <w:rPr>
                <w:color w:val="333333"/>
                <w:shd w:val="clear" w:color="auto" w:fill="FFFFFF"/>
                <w:lang w:val="en-AU"/>
              </w:rPr>
              <w:t xml:space="preserve">the </w:t>
            </w:r>
            <w:r w:rsidRPr="00B63D98">
              <w:rPr>
                <w:color w:val="333333"/>
                <w:shd w:val="clear" w:color="auto" w:fill="FFFFFF"/>
                <w:lang w:val="en-AU"/>
              </w:rPr>
              <w:t>steps that surgeons should take on an individual level, to ensure that the principles of the duty of candour are at the forefront of everyday work. It reflects the profession’s commitment towards creating greater openne</w:t>
            </w:r>
            <w:r>
              <w:rPr>
                <w:color w:val="333333"/>
                <w:shd w:val="clear" w:color="auto" w:fill="FFFFFF"/>
                <w:lang w:val="en-AU"/>
              </w:rPr>
              <w:t xml:space="preserve">ss and transparency in the NHS. </w:t>
            </w:r>
            <w:r w:rsidRPr="00B63D98">
              <w:rPr>
                <w:color w:val="333333"/>
                <w:shd w:val="clear" w:color="auto" w:fill="FFFFFF"/>
                <w:lang w:val="en-AU"/>
              </w:rPr>
              <w:t>This guide expands on the principles of the College’s Good Surgical Practice and aims to support surgeons to meet their professional and legal duties.</w:t>
            </w:r>
          </w:p>
          <w:p w:rsidR="00991C42" w:rsidRDefault="00991C42" w:rsidP="009C5150">
            <w:pPr>
              <w:rPr>
                <w:color w:val="333333"/>
                <w:shd w:val="clear" w:color="auto" w:fill="FFFFFF"/>
                <w:lang w:val="en-AU"/>
              </w:rPr>
            </w:pPr>
            <w:r>
              <w:rPr>
                <w:color w:val="333333"/>
                <w:shd w:val="clear" w:color="auto" w:fill="FFFFFF"/>
                <w:lang w:val="en-AU"/>
              </w:rPr>
              <w:t>As the RCS notes. “</w:t>
            </w:r>
            <w:r w:rsidRPr="00B63D98">
              <w:rPr>
                <w:color w:val="333333"/>
                <w:shd w:val="clear" w:color="auto" w:fill="FFFFFF"/>
                <w:lang w:val="en-AU"/>
              </w:rPr>
              <w:t>Every surgeon has a duty to maintain a relationship of trust with their patient. This is founded on honesty and openness.</w:t>
            </w:r>
            <w:r>
              <w:rPr>
                <w:color w:val="333333"/>
                <w:shd w:val="clear" w:color="auto" w:fill="FFFFFF"/>
                <w:lang w:val="en-AU"/>
              </w:rPr>
              <w:t>”</w:t>
            </w:r>
          </w:p>
          <w:p w:rsidR="00991C42" w:rsidRPr="00B63D98" w:rsidRDefault="00991C42" w:rsidP="009C5150">
            <w:pPr>
              <w:rPr>
                <w:color w:val="333333"/>
                <w:shd w:val="clear" w:color="auto" w:fill="FFFFFF"/>
                <w:lang w:val="en-AU"/>
              </w:rPr>
            </w:pPr>
            <w:r w:rsidRPr="00B63D98">
              <w:rPr>
                <w:color w:val="333333"/>
                <w:shd w:val="clear" w:color="auto" w:fill="FFFFFF"/>
                <w:lang w:val="en-AU"/>
              </w:rPr>
              <w:t>The guidance document outlines the following considerations for surgeons and their employers:</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lastRenderedPageBreak/>
              <w:t>How to nominate an individual to carry out the disclosure discussion</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The process for apologising and understanding liability</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Details on timing, location and persons to notify should an error occur</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How to ensure that the patient is well supported</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How to facilitate an open dialogue with patients</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What documentation is required</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What to do  if the error occurred in a different organisation</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The support that should be available for surgeons  and surgical teams who have been involved in harm</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How to report the incident and ensure lessons are learnt</w:t>
            </w:r>
          </w:p>
          <w:p w:rsidR="00991C42" w:rsidRPr="00B63D98" w:rsidRDefault="00991C42" w:rsidP="009C5150">
            <w:pPr>
              <w:pStyle w:val="ListParagraph"/>
              <w:numPr>
                <w:ilvl w:val="0"/>
                <w:numId w:val="30"/>
              </w:numPr>
              <w:rPr>
                <w:color w:val="333333"/>
                <w:shd w:val="clear" w:color="auto" w:fill="FFFFFF"/>
                <w:lang w:val="en-AU"/>
              </w:rPr>
            </w:pPr>
            <w:r w:rsidRPr="00B63D98">
              <w:rPr>
                <w:color w:val="333333"/>
                <w:shd w:val="clear" w:color="auto" w:fill="FFFFFF"/>
                <w:lang w:val="en-AU"/>
              </w:rPr>
              <w:t>Ensuring that there is a culture of openness, focusing on patient safety</w:t>
            </w:r>
            <w:r w:rsidR="00BF4220">
              <w:rPr>
                <w:color w:val="333333"/>
                <w:shd w:val="clear" w:color="auto" w:fill="FFFFFF"/>
                <w:lang w:val="en-AU"/>
              </w:rPr>
              <w:t>.</w:t>
            </w:r>
          </w:p>
        </w:tc>
      </w:tr>
    </w:tbl>
    <w:p w:rsidR="00991C42" w:rsidRDefault="00991C42" w:rsidP="00991C42">
      <w:pPr>
        <w:keepLines/>
        <w:autoSpaceDE w:val="0"/>
        <w:autoSpaceDN w:val="0"/>
        <w:adjustRightInd w:val="0"/>
        <w:rPr>
          <w:lang w:val="en-AU"/>
        </w:rPr>
      </w:pPr>
    </w:p>
    <w:p w:rsidR="00991C42" w:rsidRDefault="00991C42" w:rsidP="00991C42">
      <w:pPr>
        <w:keepLines/>
        <w:autoSpaceDE w:val="0"/>
        <w:autoSpaceDN w:val="0"/>
        <w:adjustRightInd w:val="0"/>
        <w:rPr>
          <w:lang w:val="en-AU"/>
        </w:rPr>
      </w:pPr>
      <w:r>
        <w:rPr>
          <w:lang w:val="en-AU"/>
        </w:rPr>
        <w:t>For information on the Commission’s work on open disclosure,</w:t>
      </w:r>
      <w:r w:rsidR="00B24BB3">
        <w:rPr>
          <w:lang w:val="en-AU"/>
        </w:rPr>
        <w:t xml:space="preserve"> including the </w:t>
      </w:r>
      <w:r w:rsidR="00B24BB3" w:rsidRPr="00B24BB3">
        <w:rPr>
          <w:i/>
          <w:lang w:val="en-AU"/>
        </w:rPr>
        <w:t>Australian Open Disclosure Framework</w:t>
      </w:r>
      <w:r w:rsidR="00B24BB3">
        <w:rPr>
          <w:lang w:val="en-AU"/>
        </w:rPr>
        <w:t>,</w:t>
      </w:r>
      <w:r>
        <w:rPr>
          <w:lang w:val="en-AU"/>
        </w:rPr>
        <w:t xml:space="preserve"> see </w:t>
      </w:r>
      <w:hyperlink r:id="rId17" w:history="1">
        <w:r w:rsidR="00B24BB3" w:rsidRPr="0057311A">
          <w:rPr>
            <w:rStyle w:val="Hyperlink"/>
            <w:lang w:val="en-AU"/>
          </w:rPr>
          <w:t>www.safetyandquality.gov.au/our-work/open-disclosure/</w:t>
        </w:r>
      </w:hyperlink>
    </w:p>
    <w:p w:rsidR="00444396" w:rsidRDefault="00444396" w:rsidP="00444396">
      <w:pPr>
        <w:keepNext/>
        <w:keepLines/>
        <w:autoSpaceDE w:val="0"/>
        <w:autoSpaceDN w:val="0"/>
        <w:adjustRightInd w:val="0"/>
        <w:rPr>
          <w:lang w:val="en-AU"/>
        </w:rPr>
      </w:pPr>
    </w:p>
    <w:p w:rsidR="00BF4220" w:rsidRPr="00BF4220" w:rsidRDefault="00BF4220" w:rsidP="00BF4220">
      <w:pPr>
        <w:keepNext/>
        <w:keepLines/>
        <w:autoSpaceDE w:val="0"/>
        <w:autoSpaceDN w:val="0"/>
        <w:adjustRightInd w:val="0"/>
        <w:rPr>
          <w:i/>
          <w:lang w:val="en-AU"/>
        </w:rPr>
      </w:pPr>
      <w:r w:rsidRPr="00BF4220">
        <w:rPr>
          <w:i/>
          <w:lang w:val="en-AU"/>
        </w:rPr>
        <w:t>Uses and abuses of performance data</w:t>
      </w:r>
    </w:p>
    <w:p w:rsidR="00BF4220" w:rsidRDefault="00BF4220" w:rsidP="00444396">
      <w:pPr>
        <w:keepNext/>
        <w:keepLines/>
        <w:autoSpaceDE w:val="0"/>
        <w:autoSpaceDN w:val="0"/>
        <w:adjustRightInd w:val="0"/>
        <w:rPr>
          <w:lang w:val="en-AU"/>
        </w:rPr>
      </w:pPr>
      <w:r w:rsidRPr="00BF4220">
        <w:rPr>
          <w:lang w:val="en-AU"/>
        </w:rPr>
        <w:t>Shaw J, Taylor R, Dix K</w:t>
      </w:r>
    </w:p>
    <w:p w:rsidR="00991C42" w:rsidRDefault="00BF4220" w:rsidP="00444396">
      <w:pPr>
        <w:keepNext/>
        <w:keepLines/>
        <w:autoSpaceDE w:val="0"/>
        <w:autoSpaceDN w:val="0"/>
        <w:adjustRightInd w:val="0"/>
        <w:rPr>
          <w:lang w:val="en-AU"/>
        </w:rPr>
      </w:pPr>
      <w:r w:rsidRPr="00BF4220">
        <w:rPr>
          <w:lang w:val="en-AU"/>
        </w:rPr>
        <w:t>London: Dr Foster; 2015. p. 41.</w:t>
      </w:r>
    </w:p>
    <w:tbl>
      <w:tblPr>
        <w:tblStyle w:val="TableGrid"/>
        <w:tblW w:w="0" w:type="auto"/>
        <w:tblInd w:w="288" w:type="dxa"/>
        <w:tblLayout w:type="fixed"/>
        <w:tblLook w:val="01E0" w:firstRow="1" w:lastRow="1" w:firstColumn="1" w:lastColumn="1" w:noHBand="0" w:noVBand="0"/>
      </w:tblPr>
      <w:tblGrid>
        <w:gridCol w:w="1080"/>
        <w:gridCol w:w="8280"/>
      </w:tblGrid>
      <w:tr w:rsidR="00444396" w:rsidRPr="00255EF8" w:rsidTr="001B15EA">
        <w:tc>
          <w:tcPr>
            <w:tcW w:w="1080" w:type="dxa"/>
            <w:tcBorders>
              <w:top w:val="single" w:sz="4" w:space="0" w:color="auto"/>
              <w:left w:val="single" w:sz="4" w:space="0" w:color="auto"/>
              <w:bottom w:val="single" w:sz="4" w:space="0" w:color="auto"/>
              <w:right w:val="single" w:sz="4" w:space="0" w:color="auto"/>
            </w:tcBorders>
            <w:vAlign w:val="center"/>
          </w:tcPr>
          <w:p w:rsidR="00444396" w:rsidRPr="00255EF8" w:rsidRDefault="00444396" w:rsidP="001B15E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F4220" w:rsidRPr="00255EF8" w:rsidRDefault="006E09D3" w:rsidP="001B15EA">
            <w:pPr>
              <w:rPr>
                <w:lang w:val="en-AU"/>
              </w:rPr>
            </w:pPr>
            <w:hyperlink r:id="rId18" w:history="1">
              <w:r w:rsidR="00BF4220" w:rsidRPr="0057311A">
                <w:rPr>
                  <w:rStyle w:val="Hyperlink"/>
                  <w:lang w:val="en-AU"/>
                </w:rPr>
                <w:t>http://www.drfoster.com/updates/recent-publications/uses-and-abuses-of-performance-data-in-healthcare/</w:t>
              </w:r>
            </w:hyperlink>
            <w:r w:rsidR="00BF4220">
              <w:rPr>
                <w:lang w:val="en-AU"/>
              </w:rPr>
              <w:t xml:space="preserve"> </w:t>
            </w:r>
          </w:p>
        </w:tc>
      </w:tr>
      <w:tr w:rsidR="00444396" w:rsidRPr="00255EF8" w:rsidTr="001B15EA">
        <w:tc>
          <w:tcPr>
            <w:tcW w:w="1080" w:type="dxa"/>
            <w:tcBorders>
              <w:top w:val="single" w:sz="4" w:space="0" w:color="auto"/>
              <w:left w:val="single" w:sz="4" w:space="0" w:color="auto"/>
              <w:bottom w:val="single" w:sz="4" w:space="0" w:color="auto"/>
              <w:right w:val="single" w:sz="4" w:space="0" w:color="auto"/>
            </w:tcBorders>
            <w:vAlign w:val="center"/>
          </w:tcPr>
          <w:p w:rsidR="00444396" w:rsidRPr="00255EF8" w:rsidRDefault="00444396" w:rsidP="001B15E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4BB3" w:rsidRDefault="00B24BB3" w:rsidP="00B24BB3">
            <w:pPr>
              <w:rPr>
                <w:color w:val="333333"/>
                <w:shd w:val="clear" w:color="auto" w:fill="FFFFFF"/>
                <w:lang w:val="en-AU"/>
              </w:rPr>
            </w:pPr>
            <w:r>
              <w:rPr>
                <w:color w:val="333333"/>
                <w:shd w:val="clear" w:color="auto" w:fill="FFFFFF"/>
                <w:lang w:val="en-AU"/>
              </w:rPr>
              <w:t xml:space="preserve">Dr Foster—recently acquired by Telstra Health—has been at the forefront of public reporting on health performance in the UK. This report suggests that </w:t>
            </w:r>
            <w:r w:rsidRPr="00B24BB3">
              <w:rPr>
                <w:color w:val="333333"/>
                <w:shd w:val="clear" w:color="auto" w:fill="FFFFFF"/>
                <w:lang w:val="en-AU"/>
              </w:rPr>
              <w:t xml:space="preserve">efforts to improve standards of patient care in the </w:t>
            </w:r>
            <w:r>
              <w:rPr>
                <w:color w:val="333333"/>
                <w:shd w:val="clear" w:color="auto" w:fill="FFFFFF"/>
                <w:lang w:val="en-AU"/>
              </w:rPr>
              <w:t xml:space="preserve">British </w:t>
            </w:r>
            <w:r w:rsidRPr="00B24BB3">
              <w:rPr>
                <w:color w:val="333333"/>
                <w:shd w:val="clear" w:color="auto" w:fill="FFFFFF"/>
                <w:lang w:val="en-AU"/>
              </w:rPr>
              <w:t xml:space="preserve">NHS are being undermined by performance measures that encourage ‘gaming’ and sap professional motivation. </w:t>
            </w:r>
            <w:r>
              <w:rPr>
                <w:color w:val="333333"/>
                <w:shd w:val="clear" w:color="auto" w:fill="FFFFFF"/>
                <w:lang w:val="en-AU"/>
              </w:rPr>
              <w:t xml:space="preserve">The report includes </w:t>
            </w:r>
            <w:r w:rsidRPr="00B24BB3">
              <w:rPr>
                <w:color w:val="333333"/>
                <w:shd w:val="clear" w:color="auto" w:fill="FFFFFF"/>
                <w:lang w:val="en-AU"/>
              </w:rPr>
              <w:t xml:space="preserve">a series of recommendations to tackle practices that distort the reliability of the information used to manage the standards of care delivered to patients. It </w:t>
            </w:r>
            <w:r>
              <w:rPr>
                <w:color w:val="333333"/>
                <w:shd w:val="clear" w:color="auto" w:fill="FFFFFF"/>
                <w:lang w:val="en-AU"/>
              </w:rPr>
              <w:t xml:space="preserve">also discusses </w:t>
            </w:r>
            <w:r w:rsidRPr="00B24BB3">
              <w:rPr>
                <w:color w:val="333333"/>
                <w:shd w:val="clear" w:color="auto" w:fill="FFFFFF"/>
                <w:lang w:val="en-AU"/>
              </w:rPr>
              <w:t>how better healthcare data from English hospitals has led to greater transparency.</w:t>
            </w:r>
          </w:p>
          <w:p w:rsidR="00B24BB3" w:rsidRPr="00B24BB3" w:rsidRDefault="00B24BB3" w:rsidP="00B24BB3">
            <w:pPr>
              <w:rPr>
                <w:color w:val="333333"/>
                <w:shd w:val="clear" w:color="auto" w:fill="FFFFFF"/>
                <w:lang w:val="en-AU"/>
              </w:rPr>
            </w:pPr>
            <w:r w:rsidRPr="00B24BB3">
              <w:rPr>
                <w:color w:val="333333"/>
                <w:shd w:val="clear" w:color="auto" w:fill="FFFFFF"/>
                <w:lang w:val="en-AU"/>
              </w:rPr>
              <w:t>The repor</w:t>
            </w:r>
            <w:r>
              <w:rPr>
                <w:color w:val="333333"/>
                <w:shd w:val="clear" w:color="auto" w:fill="FFFFFF"/>
                <w:lang w:val="en-AU"/>
              </w:rPr>
              <w:t>t makes five key recommendation:</w:t>
            </w:r>
            <w:r w:rsidRPr="00B24BB3">
              <w:rPr>
                <w:color w:val="333333"/>
                <w:shd w:val="clear" w:color="auto" w:fill="FFFFFF"/>
                <w:lang w:val="en-AU"/>
              </w:rPr>
              <w:t>:</w:t>
            </w:r>
          </w:p>
          <w:p w:rsidR="00B24BB3" w:rsidRPr="00BF4220" w:rsidRDefault="00B24BB3" w:rsidP="00BF4220">
            <w:pPr>
              <w:pStyle w:val="ListParagraph"/>
              <w:numPr>
                <w:ilvl w:val="0"/>
                <w:numId w:val="31"/>
              </w:numPr>
              <w:rPr>
                <w:color w:val="333333"/>
                <w:shd w:val="clear" w:color="auto" w:fill="FFFFFF"/>
                <w:lang w:val="en-AU"/>
              </w:rPr>
            </w:pPr>
            <w:r w:rsidRPr="00BF4220">
              <w:rPr>
                <w:b/>
                <w:color w:val="333333"/>
                <w:shd w:val="clear" w:color="auto" w:fill="FFFFFF"/>
                <w:lang w:val="en-AU"/>
              </w:rPr>
              <w:t>Make data quality as important as hitting targets</w:t>
            </w:r>
            <w:r w:rsidRPr="00BF4220">
              <w:rPr>
                <w:color w:val="333333"/>
                <w:shd w:val="clear" w:color="auto" w:fill="FFFFFF"/>
                <w:lang w:val="en-AU"/>
              </w:rPr>
              <w:t xml:space="preserve"> – By initiating a long term audit programme to tackle misreporting and incomplete or inaccurate data recording.</w:t>
            </w:r>
          </w:p>
          <w:p w:rsidR="00B24BB3" w:rsidRPr="00BF4220" w:rsidRDefault="00B24BB3" w:rsidP="00BF4220">
            <w:pPr>
              <w:pStyle w:val="ListParagraph"/>
              <w:numPr>
                <w:ilvl w:val="0"/>
                <w:numId w:val="31"/>
              </w:numPr>
              <w:rPr>
                <w:color w:val="333333"/>
                <w:shd w:val="clear" w:color="auto" w:fill="FFFFFF"/>
                <w:lang w:val="en-AU"/>
              </w:rPr>
            </w:pPr>
            <w:r w:rsidRPr="00BF4220">
              <w:rPr>
                <w:b/>
                <w:color w:val="333333"/>
                <w:shd w:val="clear" w:color="auto" w:fill="FFFFFF"/>
                <w:lang w:val="en-AU"/>
              </w:rPr>
              <w:t>Measure the context not just the indicator</w:t>
            </w:r>
            <w:r w:rsidRPr="00BF4220">
              <w:rPr>
                <w:color w:val="333333"/>
                <w:shd w:val="clear" w:color="auto" w:fill="FFFFFF"/>
                <w:lang w:val="en-AU"/>
              </w:rPr>
              <w:t xml:space="preserve"> – Keeping performance measures under constant review, perhaps by multi-disciplinary specialist groups, including Royal Colleges and patient organisations.</w:t>
            </w:r>
          </w:p>
          <w:p w:rsidR="00B24BB3" w:rsidRPr="00BF4220" w:rsidRDefault="00B24BB3" w:rsidP="00BF4220">
            <w:pPr>
              <w:pStyle w:val="ListParagraph"/>
              <w:numPr>
                <w:ilvl w:val="0"/>
                <w:numId w:val="31"/>
              </w:numPr>
              <w:rPr>
                <w:color w:val="333333"/>
                <w:shd w:val="clear" w:color="auto" w:fill="FFFFFF"/>
                <w:lang w:val="en-AU"/>
              </w:rPr>
            </w:pPr>
            <w:r w:rsidRPr="00BF4220">
              <w:rPr>
                <w:b/>
                <w:color w:val="333333"/>
                <w:shd w:val="clear" w:color="auto" w:fill="FFFFFF"/>
                <w:lang w:val="en-AU"/>
              </w:rPr>
              <w:t>Avoid thresholds and consider the potential to incentivise ‘gaming’ in design of metrics</w:t>
            </w:r>
            <w:r w:rsidRPr="00BF4220">
              <w:rPr>
                <w:color w:val="333333"/>
                <w:shd w:val="clear" w:color="auto" w:fill="FFFFFF"/>
                <w:lang w:val="en-AU"/>
              </w:rPr>
              <w:t xml:space="preserve"> – Performance measures should be assessed according to the likelihood they will encourage abuse. Thresholds should be avoided wherever possible.</w:t>
            </w:r>
          </w:p>
          <w:p w:rsidR="00B24BB3" w:rsidRPr="00BF4220" w:rsidRDefault="00B24BB3" w:rsidP="00BF4220">
            <w:pPr>
              <w:pStyle w:val="ListParagraph"/>
              <w:numPr>
                <w:ilvl w:val="0"/>
                <w:numId w:val="31"/>
              </w:numPr>
              <w:rPr>
                <w:color w:val="333333"/>
                <w:shd w:val="clear" w:color="auto" w:fill="FFFFFF"/>
                <w:lang w:val="en-AU"/>
              </w:rPr>
            </w:pPr>
            <w:r w:rsidRPr="00BF4220">
              <w:rPr>
                <w:b/>
                <w:color w:val="333333"/>
                <w:shd w:val="clear" w:color="auto" w:fill="FFFFFF"/>
                <w:lang w:val="en-AU"/>
              </w:rPr>
              <w:t>Be more open</w:t>
            </w:r>
            <w:r w:rsidRPr="00BF4220">
              <w:rPr>
                <w:color w:val="333333"/>
                <w:shd w:val="clear" w:color="auto" w:fill="FFFFFF"/>
                <w:lang w:val="en-AU"/>
              </w:rPr>
              <w:t xml:space="preserve"> – Making data underlying performance management widely available and promoting ongoing assessment of the degree to which metrics are being gamed.</w:t>
            </w:r>
          </w:p>
          <w:p w:rsidR="00B24BB3" w:rsidRPr="00BF4220" w:rsidRDefault="00B24BB3" w:rsidP="00BF4220">
            <w:pPr>
              <w:pStyle w:val="ListParagraph"/>
              <w:numPr>
                <w:ilvl w:val="0"/>
                <w:numId w:val="31"/>
              </w:numPr>
              <w:rPr>
                <w:color w:val="333333"/>
                <w:shd w:val="clear" w:color="auto" w:fill="FFFFFF"/>
                <w:lang w:val="en-AU"/>
              </w:rPr>
            </w:pPr>
            <w:r w:rsidRPr="00BF4220">
              <w:rPr>
                <w:b/>
                <w:color w:val="333333"/>
                <w:shd w:val="clear" w:color="auto" w:fill="FFFFFF"/>
                <w:lang w:val="en-AU"/>
              </w:rPr>
              <w:t>Apply measures fairly</w:t>
            </w:r>
            <w:r w:rsidRPr="00BF4220">
              <w:rPr>
                <w:color w:val="333333"/>
                <w:shd w:val="clear" w:color="auto" w:fill="FFFFFF"/>
                <w:lang w:val="en-AU"/>
              </w:rPr>
              <w:t xml:space="preserve"> – In order to recognise legitimate mitigating factors such as resources and pressures outside the control of the organisation.</w:t>
            </w:r>
          </w:p>
        </w:tc>
      </w:tr>
    </w:tbl>
    <w:p w:rsidR="00444396" w:rsidRDefault="00444396" w:rsidP="00444396">
      <w:pPr>
        <w:keepLines/>
        <w:autoSpaceDE w:val="0"/>
        <w:autoSpaceDN w:val="0"/>
        <w:adjustRightInd w:val="0"/>
        <w:rPr>
          <w:lang w:val="en-AU"/>
        </w:rPr>
      </w:pPr>
    </w:p>
    <w:p w:rsidR="00A306F1" w:rsidRDefault="00A306F1">
      <w:pPr>
        <w:rPr>
          <w:i/>
          <w:lang w:val="en-AU"/>
        </w:rPr>
      </w:pPr>
      <w:r>
        <w:rPr>
          <w:i/>
          <w:lang w:val="en-AU"/>
        </w:rPr>
        <w:br w:type="page"/>
      </w:r>
    </w:p>
    <w:p w:rsidR="003F5EC9" w:rsidRPr="003F5EC9" w:rsidRDefault="003F5EC9" w:rsidP="003F5EC9">
      <w:pPr>
        <w:keepNext/>
        <w:keepLines/>
        <w:autoSpaceDE w:val="0"/>
        <w:autoSpaceDN w:val="0"/>
        <w:adjustRightInd w:val="0"/>
        <w:rPr>
          <w:i/>
          <w:lang w:val="en-AU"/>
        </w:rPr>
      </w:pPr>
      <w:r w:rsidRPr="003F5EC9">
        <w:rPr>
          <w:i/>
          <w:lang w:val="en-AU"/>
        </w:rPr>
        <w:lastRenderedPageBreak/>
        <w:t>Vital Signs: Core Metrics for Health and Health Care Progress</w:t>
      </w:r>
    </w:p>
    <w:p w:rsidR="003F5EC9" w:rsidRDefault="003F5EC9" w:rsidP="003F5EC9">
      <w:pPr>
        <w:keepNext/>
        <w:keepLines/>
        <w:autoSpaceDE w:val="0"/>
        <w:autoSpaceDN w:val="0"/>
        <w:adjustRightInd w:val="0"/>
        <w:rPr>
          <w:lang w:val="en-AU"/>
        </w:rPr>
      </w:pPr>
      <w:r w:rsidRPr="003F5EC9">
        <w:rPr>
          <w:lang w:val="en-AU"/>
        </w:rPr>
        <w:t>Institute of Medicine</w:t>
      </w:r>
    </w:p>
    <w:p w:rsidR="003F5EC9" w:rsidRDefault="003F5EC9" w:rsidP="003F5EC9">
      <w:pPr>
        <w:keepNext/>
        <w:keepLines/>
        <w:autoSpaceDE w:val="0"/>
        <w:autoSpaceDN w:val="0"/>
        <w:adjustRightInd w:val="0"/>
        <w:rPr>
          <w:lang w:val="en-AU"/>
        </w:rPr>
      </w:pPr>
      <w:r w:rsidRPr="003F5EC9">
        <w:rPr>
          <w:lang w:val="en-AU"/>
        </w:rPr>
        <w:t>Blumenthal D, Malphrus E, McGinnis JM, editors</w:t>
      </w:r>
    </w:p>
    <w:p w:rsidR="003F5EC9" w:rsidRPr="00255EF8" w:rsidRDefault="003F5EC9" w:rsidP="003F5EC9">
      <w:pPr>
        <w:keepNext/>
        <w:keepLines/>
        <w:autoSpaceDE w:val="0"/>
        <w:autoSpaceDN w:val="0"/>
        <w:adjustRightInd w:val="0"/>
        <w:rPr>
          <w:lang w:val="en-AU"/>
        </w:rPr>
      </w:pPr>
      <w:r w:rsidRPr="003F5EC9">
        <w:rPr>
          <w:lang w:val="en-AU"/>
        </w:rPr>
        <w:t>Washington, DC: The National Academies Press; 2015. 380 p.</w:t>
      </w:r>
    </w:p>
    <w:tbl>
      <w:tblPr>
        <w:tblStyle w:val="TableGrid"/>
        <w:tblW w:w="0" w:type="auto"/>
        <w:tblInd w:w="288" w:type="dxa"/>
        <w:tblLayout w:type="fixed"/>
        <w:tblLook w:val="01E0" w:firstRow="1" w:lastRow="1" w:firstColumn="1" w:lastColumn="1" w:noHBand="0" w:noVBand="0"/>
      </w:tblPr>
      <w:tblGrid>
        <w:gridCol w:w="1080"/>
        <w:gridCol w:w="8280"/>
      </w:tblGrid>
      <w:tr w:rsidR="003F5EC9" w:rsidRPr="00255EF8" w:rsidTr="00714797">
        <w:tc>
          <w:tcPr>
            <w:tcW w:w="1080" w:type="dxa"/>
            <w:tcBorders>
              <w:top w:val="single" w:sz="4" w:space="0" w:color="auto"/>
              <w:left w:val="single" w:sz="4" w:space="0" w:color="auto"/>
              <w:bottom w:val="single" w:sz="4" w:space="0" w:color="auto"/>
              <w:right w:val="single" w:sz="4" w:space="0" w:color="auto"/>
            </w:tcBorders>
            <w:vAlign w:val="center"/>
          </w:tcPr>
          <w:p w:rsidR="003F5EC9" w:rsidRPr="00255EF8" w:rsidRDefault="003F5EC9" w:rsidP="0071479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5EC9" w:rsidRPr="00255EF8" w:rsidRDefault="006E09D3" w:rsidP="00A306F1">
            <w:pPr>
              <w:rPr>
                <w:lang w:val="en-AU"/>
              </w:rPr>
            </w:pPr>
            <w:hyperlink r:id="rId19" w:history="1">
              <w:r w:rsidR="003F5EC9" w:rsidRPr="00BB4FEB">
                <w:rPr>
                  <w:rStyle w:val="Hyperlink"/>
                  <w:lang w:val="en-AU"/>
                </w:rPr>
                <w:t>http://www.iom.edu/Reports/2015/Vital-Signs-Core-Metrics.aspx</w:t>
              </w:r>
            </w:hyperlink>
          </w:p>
        </w:tc>
      </w:tr>
      <w:tr w:rsidR="0085152E" w:rsidRPr="00255EF8" w:rsidTr="00714797">
        <w:tc>
          <w:tcPr>
            <w:tcW w:w="1080" w:type="dxa"/>
            <w:tcBorders>
              <w:top w:val="single" w:sz="4" w:space="0" w:color="auto"/>
              <w:left w:val="single" w:sz="4" w:space="0" w:color="auto"/>
              <w:bottom w:val="single" w:sz="4" w:space="0" w:color="auto"/>
              <w:right w:val="single" w:sz="4" w:space="0" w:color="auto"/>
            </w:tcBorders>
            <w:vAlign w:val="center"/>
          </w:tcPr>
          <w:p w:rsidR="0085152E" w:rsidRDefault="0085152E" w:rsidP="00714797">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85152E" w:rsidRDefault="0085152E" w:rsidP="003F5EC9">
            <w:pPr>
              <w:rPr>
                <w:lang w:val="en-AU"/>
              </w:rPr>
            </w:pPr>
            <w:r w:rsidRPr="0085152E">
              <w:rPr>
                <w:lang w:val="en-AU"/>
              </w:rPr>
              <w:t>D15-11782</w:t>
            </w:r>
          </w:p>
        </w:tc>
      </w:tr>
      <w:tr w:rsidR="003F5EC9" w:rsidRPr="00255EF8" w:rsidTr="00714797">
        <w:tc>
          <w:tcPr>
            <w:tcW w:w="1080" w:type="dxa"/>
            <w:tcBorders>
              <w:top w:val="single" w:sz="4" w:space="0" w:color="auto"/>
              <w:left w:val="single" w:sz="4" w:space="0" w:color="auto"/>
              <w:bottom w:val="single" w:sz="4" w:space="0" w:color="auto"/>
              <w:right w:val="single" w:sz="4" w:space="0" w:color="auto"/>
            </w:tcBorders>
            <w:vAlign w:val="center"/>
          </w:tcPr>
          <w:p w:rsidR="003F5EC9" w:rsidRPr="00255EF8" w:rsidRDefault="003F5EC9" w:rsidP="0071479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5EC9" w:rsidRDefault="003F5EC9" w:rsidP="003F5EC9">
            <w:pPr>
              <w:rPr>
                <w:color w:val="333333"/>
                <w:shd w:val="clear" w:color="auto" w:fill="FFFFFF"/>
                <w:lang w:val="en-AU"/>
              </w:rPr>
            </w:pPr>
            <w:r>
              <w:rPr>
                <w:color w:val="333333"/>
                <w:shd w:val="clear" w:color="auto" w:fill="FFFFFF"/>
                <w:lang w:val="en-AU"/>
              </w:rPr>
              <w:t xml:space="preserve">The apparently burgeoning volume of reporting, performance measures, indicators, etc. have given rise to a degree of ‘indicator fatigue’ and the like. The US Institute of Medicine (to be renamed as the National Academy of Medicine as of 1 July 2015) have released this. Stemming from a committee the IoM convened, the report </w:t>
            </w:r>
            <w:r w:rsidRPr="003F5EC9">
              <w:rPr>
                <w:color w:val="333333"/>
                <w:shd w:val="clear" w:color="auto" w:fill="FFFFFF"/>
                <w:lang w:val="en-AU"/>
              </w:rPr>
              <w:t>proposes a streamlined set of 15 standardi</w:t>
            </w:r>
            <w:r>
              <w:rPr>
                <w:color w:val="333333"/>
                <w:shd w:val="clear" w:color="auto" w:fill="FFFFFF"/>
                <w:lang w:val="en-AU"/>
              </w:rPr>
              <w:t>s</w:t>
            </w:r>
            <w:r w:rsidRPr="003F5EC9">
              <w:rPr>
                <w:color w:val="333333"/>
                <w:shd w:val="clear" w:color="auto" w:fill="FFFFFF"/>
                <w:lang w:val="en-AU"/>
              </w:rPr>
              <w:t>ed measures, with recommendations for their applicatio</w:t>
            </w:r>
            <w:r>
              <w:rPr>
                <w:color w:val="333333"/>
                <w:shd w:val="clear" w:color="auto" w:fill="FFFFFF"/>
                <w:lang w:val="en-AU"/>
              </w:rPr>
              <w:t>n at every level and across sec</w:t>
            </w:r>
            <w:r w:rsidRPr="003F5EC9">
              <w:rPr>
                <w:color w:val="333333"/>
                <w:shd w:val="clear" w:color="auto" w:fill="FFFFFF"/>
                <w:lang w:val="en-AU"/>
              </w:rPr>
              <w:t xml:space="preserve">tors. </w:t>
            </w:r>
            <w:r>
              <w:rPr>
                <w:color w:val="333333"/>
                <w:shd w:val="clear" w:color="auto" w:fill="FFFFFF"/>
                <w:lang w:val="en-AU"/>
              </w:rPr>
              <w:t>T</w:t>
            </w:r>
            <w:r w:rsidRPr="003F5EC9">
              <w:rPr>
                <w:color w:val="333333"/>
                <w:shd w:val="clear" w:color="auto" w:fill="FFFFFF"/>
                <w:lang w:val="en-AU"/>
              </w:rPr>
              <w:t xml:space="preserve">he committee </w:t>
            </w:r>
            <w:r>
              <w:rPr>
                <w:color w:val="333333"/>
                <w:shd w:val="clear" w:color="auto" w:fill="FFFFFF"/>
                <w:lang w:val="en-AU"/>
              </w:rPr>
              <w:t>argues</w:t>
            </w:r>
            <w:r w:rsidRPr="003F5EC9">
              <w:rPr>
                <w:color w:val="333333"/>
                <w:shd w:val="clear" w:color="auto" w:fill="FFFFFF"/>
                <w:lang w:val="en-AU"/>
              </w:rPr>
              <w:t xml:space="preserve"> that this streamlined set of measures could provide consistent benchmarks for health progress and improve system performance in the highest-priority areas.</w:t>
            </w:r>
          </w:p>
          <w:p w:rsidR="003F5EC9" w:rsidRPr="00310728" w:rsidRDefault="005E2159" w:rsidP="003F5EC9">
            <w:pPr>
              <w:rPr>
                <w:color w:val="333333"/>
                <w:shd w:val="clear" w:color="auto" w:fill="FFFFFF"/>
                <w:lang w:val="en-AU"/>
              </w:rPr>
            </w:pPr>
            <w:r>
              <w:rPr>
                <w:noProof/>
                <w:lang w:val="en-AU" w:eastAsia="en-AU"/>
              </w:rPr>
              <w:drawing>
                <wp:inline distT="0" distB="0" distL="0" distR="0" wp14:anchorId="71F18607" wp14:editId="413535D4">
                  <wp:extent cx="5120704" cy="3086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26842" cy="3089799"/>
                          </a:xfrm>
                          <a:prstGeom prst="rect">
                            <a:avLst/>
                          </a:prstGeom>
                        </pic:spPr>
                      </pic:pic>
                    </a:graphicData>
                  </a:graphic>
                </wp:inline>
              </w:drawing>
            </w:r>
          </w:p>
        </w:tc>
      </w:tr>
    </w:tbl>
    <w:p w:rsidR="003F5EC9" w:rsidRDefault="003F5EC9" w:rsidP="003F5EC9">
      <w:pPr>
        <w:keepLines/>
        <w:autoSpaceDE w:val="0"/>
        <w:autoSpaceDN w:val="0"/>
        <w:adjustRightInd w:val="0"/>
        <w:rPr>
          <w:lang w:val="en-AU"/>
        </w:rPr>
      </w:pPr>
    </w:p>
    <w:p w:rsidR="00310728" w:rsidRDefault="00310728" w:rsidP="00444396">
      <w:pPr>
        <w:keepLines/>
        <w:autoSpaceDE w:val="0"/>
        <w:autoSpaceDN w:val="0"/>
        <w:adjustRightInd w:val="0"/>
        <w:rPr>
          <w:lang w:val="en-AU"/>
        </w:rPr>
      </w:pPr>
    </w:p>
    <w:p w:rsidR="00BF1006" w:rsidRPr="005F52C2" w:rsidRDefault="005F52C2" w:rsidP="00B673A5">
      <w:pPr>
        <w:keepNext/>
        <w:autoSpaceDE w:val="0"/>
        <w:autoSpaceDN w:val="0"/>
        <w:adjustRightInd w:val="0"/>
        <w:rPr>
          <w:b/>
          <w:lang w:val="en-AU"/>
        </w:rPr>
      </w:pPr>
      <w:r w:rsidRPr="005F52C2">
        <w:rPr>
          <w:b/>
          <w:lang w:val="en-AU"/>
        </w:rPr>
        <w:t>Journal articles</w:t>
      </w:r>
    </w:p>
    <w:p w:rsidR="005F52C2" w:rsidRDefault="005F52C2" w:rsidP="005F52C2">
      <w:pPr>
        <w:keepNext/>
        <w:keepLines/>
        <w:autoSpaceDE w:val="0"/>
        <w:autoSpaceDN w:val="0"/>
        <w:adjustRightInd w:val="0"/>
        <w:rPr>
          <w:lang w:val="en-AU"/>
        </w:rPr>
      </w:pPr>
    </w:p>
    <w:p w:rsidR="00A306F1" w:rsidRPr="0054703F" w:rsidRDefault="00A306F1" w:rsidP="00A306F1">
      <w:pPr>
        <w:keepNext/>
        <w:keepLines/>
        <w:autoSpaceDE w:val="0"/>
        <w:autoSpaceDN w:val="0"/>
        <w:adjustRightInd w:val="0"/>
        <w:rPr>
          <w:i/>
          <w:lang w:val="en-AU"/>
        </w:rPr>
      </w:pPr>
      <w:r w:rsidRPr="0054703F">
        <w:rPr>
          <w:i/>
          <w:lang w:val="en-AU"/>
        </w:rPr>
        <w:t>Patient Safety and End-of-Life Care: Common Issues, Perspectives, and Strategies for Improving Care</w:t>
      </w:r>
    </w:p>
    <w:p w:rsidR="00A306F1" w:rsidRDefault="00A306F1" w:rsidP="00A306F1">
      <w:pPr>
        <w:keepNext/>
        <w:keepLines/>
        <w:autoSpaceDE w:val="0"/>
        <w:autoSpaceDN w:val="0"/>
        <w:adjustRightInd w:val="0"/>
        <w:rPr>
          <w:lang w:val="en-AU"/>
        </w:rPr>
      </w:pPr>
      <w:r w:rsidRPr="0054703F">
        <w:rPr>
          <w:lang w:val="en-AU"/>
        </w:rPr>
        <w:t>Dy SM</w:t>
      </w:r>
    </w:p>
    <w:p w:rsidR="00A306F1" w:rsidRPr="00255EF8" w:rsidRDefault="00A306F1" w:rsidP="00A306F1">
      <w:pPr>
        <w:keepNext/>
        <w:keepLines/>
        <w:autoSpaceDE w:val="0"/>
        <w:autoSpaceDN w:val="0"/>
        <w:adjustRightInd w:val="0"/>
        <w:rPr>
          <w:lang w:val="en-AU"/>
        </w:rPr>
      </w:pPr>
      <w:r w:rsidRPr="0054703F">
        <w:rPr>
          <w:lang w:val="en-AU"/>
        </w:rPr>
        <w:t>American Journal of Hospice and Palliative Medicine. 2015 April 15, 2015.</w:t>
      </w:r>
    </w:p>
    <w:tbl>
      <w:tblPr>
        <w:tblStyle w:val="TableGrid"/>
        <w:tblW w:w="0" w:type="auto"/>
        <w:tblInd w:w="288" w:type="dxa"/>
        <w:tblLayout w:type="fixed"/>
        <w:tblLook w:val="01E0" w:firstRow="1" w:lastRow="1" w:firstColumn="1" w:lastColumn="1" w:noHBand="0" w:noVBand="0"/>
      </w:tblPr>
      <w:tblGrid>
        <w:gridCol w:w="1080"/>
        <w:gridCol w:w="8280"/>
      </w:tblGrid>
      <w:tr w:rsidR="00A306F1" w:rsidRPr="00255EF8" w:rsidTr="00F53A19">
        <w:tc>
          <w:tcPr>
            <w:tcW w:w="1080" w:type="dxa"/>
            <w:tcBorders>
              <w:top w:val="single" w:sz="4" w:space="0" w:color="auto"/>
              <w:left w:val="single" w:sz="4" w:space="0" w:color="auto"/>
              <w:bottom w:val="single" w:sz="4" w:space="0" w:color="auto"/>
              <w:right w:val="single" w:sz="4" w:space="0" w:color="auto"/>
            </w:tcBorders>
            <w:vAlign w:val="center"/>
          </w:tcPr>
          <w:p w:rsidR="00A306F1" w:rsidRPr="00255EF8" w:rsidRDefault="00A306F1" w:rsidP="00F53A1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306F1" w:rsidRPr="00255EF8" w:rsidRDefault="006E09D3" w:rsidP="00F53A19">
            <w:pPr>
              <w:rPr>
                <w:lang w:val="en-AU"/>
              </w:rPr>
            </w:pPr>
            <w:hyperlink r:id="rId21" w:history="1">
              <w:r w:rsidR="00A306F1" w:rsidRPr="00111F6D">
                <w:rPr>
                  <w:rStyle w:val="Hyperlink"/>
                  <w:lang w:val="en-AU"/>
                </w:rPr>
                <w:t>http://dx.doi.org/10.1177/1049909115581847</w:t>
              </w:r>
            </w:hyperlink>
          </w:p>
        </w:tc>
      </w:tr>
      <w:tr w:rsidR="00A306F1" w:rsidRPr="00255EF8" w:rsidTr="00F53A19">
        <w:tc>
          <w:tcPr>
            <w:tcW w:w="1080" w:type="dxa"/>
            <w:tcBorders>
              <w:top w:val="single" w:sz="4" w:space="0" w:color="auto"/>
              <w:left w:val="single" w:sz="4" w:space="0" w:color="auto"/>
              <w:bottom w:val="single" w:sz="4" w:space="0" w:color="auto"/>
              <w:right w:val="single" w:sz="4" w:space="0" w:color="auto"/>
            </w:tcBorders>
            <w:vAlign w:val="center"/>
          </w:tcPr>
          <w:p w:rsidR="00A306F1" w:rsidRPr="00255EF8" w:rsidRDefault="00A306F1" w:rsidP="00F53A1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06F1" w:rsidRPr="005833F4" w:rsidRDefault="00A306F1" w:rsidP="00F53A19">
            <w:pPr>
              <w:rPr>
                <w:color w:val="333333"/>
                <w:shd w:val="clear" w:color="auto" w:fill="FFFFFF"/>
                <w:lang w:val="en-AU"/>
              </w:rPr>
            </w:pPr>
            <w:r>
              <w:rPr>
                <w:color w:val="333333"/>
                <w:shd w:val="clear" w:color="auto" w:fill="FFFFFF"/>
                <w:lang w:val="en-AU"/>
              </w:rPr>
              <w:t xml:space="preserve">Review article drawing together recent work on </w:t>
            </w:r>
            <w:r w:rsidRPr="00F73B07">
              <w:rPr>
                <w:color w:val="333333"/>
                <w:shd w:val="clear" w:color="auto" w:fill="FFFFFF"/>
                <w:lang w:val="en-AU"/>
              </w:rPr>
              <w:t>patient safety and end-of-life care</w:t>
            </w:r>
            <w:r>
              <w:rPr>
                <w:color w:val="333333"/>
                <w:shd w:val="clear" w:color="auto" w:fill="FFFFFF"/>
                <w:lang w:val="en-AU"/>
              </w:rPr>
              <w:t xml:space="preserve"> and discussing areas of commonality and overlap and strategies, </w:t>
            </w:r>
            <w:r w:rsidRPr="00F73B07">
              <w:rPr>
                <w:color w:val="333333"/>
                <w:shd w:val="clear" w:color="auto" w:fill="FFFFFF"/>
                <w:lang w:val="en-AU"/>
              </w:rPr>
              <w:t>such</w:t>
            </w:r>
            <w:r>
              <w:rPr>
                <w:color w:val="333333"/>
                <w:shd w:val="clear" w:color="auto" w:fill="FFFFFF"/>
                <w:lang w:val="en-AU"/>
              </w:rPr>
              <w:t xml:space="preserve"> as team training and standardis</w:t>
            </w:r>
            <w:r w:rsidRPr="00F73B07">
              <w:rPr>
                <w:color w:val="333333"/>
                <w:shd w:val="clear" w:color="auto" w:fill="FFFFFF"/>
                <w:lang w:val="en-AU"/>
              </w:rPr>
              <w:t>ation of care.</w:t>
            </w:r>
            <w:r>
              <w:rPr>
                <w:color w:val="333333"/>
                <w:shd w:val="clear" w:color="auto" w:fill="FFFFFF"/>
                <w:lang w:val="en-AU"/>
              </w:rPr>
              <w:t xml:space="preserve"> The author applies the</w:t>
            </w:r>
            <w:r w:rsidRPr="00F73B07">
              <w:rPr>
                <w:color w:val="333333"/>
                <w:shd w:val="clear" w:color="auto" w:fill="FFFFFF"/>
                <w:lang w:val="en-AU"/>
              </w:rPr>
              <w:t xml:space="preserve"> overlapping concepts to a key example area: improving documentation of patient preferences for life-sustaining treatment. The </w:t>
            </w:r>
            <w:r>
              <w:rPr>
                <w:color w:val="333333"/>
                <w:shd w:val="clear" w:color="auto" w:fill="FFFFFF"/>
                <w:lang w:val="en-AU"/>
              </w:rPr>
              <w:t>authors suggest that this “</w:t>
            </w:r>
            <w:r w:rsidRPr="00F73B07">
              <w:rPr>
                <w:color w:val="333333"/>
                <w:shd w:val="clear" w:color="auto" w:fill="FFFFFF"/>
                <w:lang w:val="en-AU"/>
              </w:rPr>
              <w:t>synthesis demonstrates how end-of-life issues should be incorporated into patient safety initiatives. In addition, evaluating overlap and comparable issues between patient safety and end-of-life care and comparing different perspectives and improvement strategies can benefit both fields.</w:t>
            </w:r>
            <w:r>
              <w:rPr>
                <w:color w:val="333333"/>
                <w:shd w:val="clear" w:color="auto" w:fill="FFFFFF"/>
                <w:lang w:val="en-AU"/>
              </w:rPr>
              <w:t>”</w:t>
            </w:r>
          </w:p>
        </w:tc>
      </w:tr>
    </w:tbl>
    <w:p w:rsidR="00A306F1" w:rsidRDefault="00A306F1" w:rsidP="00A306F1">
      <w:pPr>
        <w:keepLines/>
        <w:autoSpaceDE w:val="0"/>
        <w:autoSpaceDN w:val="0"/>
        <w:adjustRightInd w:val="0"/>
        <w:rPr>
          <w:lang w:val="en-AU"/>
        </w:rPr>
      </w:pPr>
    </w:p>
    <w:p w:rsidR="00A306F1" w:rsidRDefault="00A306F1" w:rsidP="00A306F1">
      <w:pPr>
        <w:keepLines/>
        <w:autoSpaceDE w:val="0"/>
        <w:autoSpaceDN w:val="0"/>
        <w:adjustRightInd w:val="0"/>
        <w:rPr>
          <w:lang w:val="en-AU"/>
        </w:rPr>
      </w:pPr>
      <w:r>
        <w:rPr>
          <w:lang w:val="en-AU"/>
        </w:rPr>
        <w:lastRenderedPageBreak/>
        <w:t xml:space="preserve">For information on the Commission’s work on end-of-life care in acute hospitals, see </w:t>
      </w:r>
      <w:hyperlink r:id="rId22" w:history="1">
        <w:r w:rsidRPr="00111F6D">
          <w:rPr>
            <w:rStyle w:val="Hyperlink"/>
            <w:lang w:val="en-AU"/>
          </w:rPr>
          <w:t>http://www.safetyandquality.gov.au/our-work/recognising-and-responding-to-clinical-deterioration/end-of-life-care-in-acute-hospitals/</w:t>
        </w:r>
      </w:hyperlink>
    </w:p>
    <w:p w:rsidR="00A306F1" w:rsidRDefault="00A306F1" w:rsidP="00A306F1">
      <w:pPr>
        <w:keepLines/>
        <w:autoSpaceDE w:val="0"/>
        <w:autoSpaceDN w:val="0"/>
        <w:adjustRightInd w:val="0"/>
        <w:rPr>
          <w:lang w:val="en-AU"/>
        </w:rPr>
      </w:pPr>
    </w:p>
    <w:p w:rsidR="00301417" w:rsidRPr="00301417" w:rsidRDefault="00301417" w:rsidP="00301417">
      <w:pPr>
        <w:keepNext/>
        <w:keepLines/>
        <w:autoSpaceDE w:val="0"/>
        <w:autoSpaceDN w:val="0"/>
        <w:adjustRightInd w:val="0"/>
        <w:rPr>
          <w:i/>
          <w:lang w:val="en-AU"/>
        </w:rPr>
      </w:pPr>
      <w:r w:rsidRPr="00301417">
        <w:rPr>
          <w:i/>
          <w:lang w:val="en-AU"/>
        </w:rPr>
        <w:t xml:space="preserve">The association of hospital prevention processes and patient risk factors with the risk of </w:t>
      </w:r>
      <w:r w:rsidRPr="00301417">
        <w:rPr>
          <w:lang w:val="en-AU"/>
        </w:rPr>
        <w:t>Clostridium difficile</w:t>
      </w:r>
      <w:r w:rsidRPr="00301417">
        <w:rPr>
          <w:i/>
          <w:lang w:val="en-AU"/>
        </w:rPr>
        <w:t xml:space="preserve"> infection: a population-based cohort study</w:t>
      </w:r>
    </w:p>
    <w:p w:rsidR="00301417" w:rsidRDefault="00301417" w:rsidP="00E22A74">
      <w:pPr>
        <w:keepNext/>
        <w:keepLines/>
        <w:autoSpaceDE w:val="0"/>
        <w:autoSpaceDN w:val="0"/>
        <w:adjustRightInd w:val="0"/>
        <w:rPr>
          <w:lang w:val="en-AU"/>
        </w:rPr>
      </w:pPr>
      <w:r w:rsidRPr="00301417">
        <w:rPr>
          <w:lang w:val="en-AU"/>
        </w:rPr>
        <w:t>Daneman N, Guttmann A, Wang X, Ma X, Gibson D, Stukel T</w:t>
      </w:r>
    </w:p>
    <w:p w:rsidR="00E22A74" w:rsidRPr="00255EF8" w:rsidRDefault="00301417" w:rsidP="00E22A74">
      <w:pPr>
        <w:keepNext/>
        <w:keepLines/>
        <w:autoSpaceDE w:val="0"/>
        <w:autoSpaceDN w:val="0"/>
        <w:adjustRightInd w:val="0"/>
        <w:rPr>
          <w:lang w:val="en-AU"/>
        </w:rPr>
      </w:pPr>
      <w:r w:rsidRPr="00301417">
        <w:rPr>
          <w:lang w:val="en-AU"/>
        </w:rPr>
        <w:t>BMJ Quality &amp; Safety. 2015</w:t>
      </w:r>
      <w:r>
        <w:rPr>
          <w:lang w:val="en-AU"/>
        </w:rPr>
        <w:t xml:space="preserve"> [epub]</w:t>
      </w:r>
      <w:r w:rsidRPr="0030141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22A74" w:rsidRPr="00255EF8" w:rsidTr="00656CCA">
        <w:tc>
          <w:tcPr>
            <w:tcW w:w="1080" w:type="dxa"/>
            <w:tcBorders>
              <w:top w:val="single" w:sz="4" w:space="0" w:color="auto"/>
              <w:left w:val="single" w:sz="4" w:space="0" w:color="auto"/>
              <w:bottom w:val="single" w:sz="4" w:space="0" w:color="auto"/>
              <w:right w:val="single" w:sz="4" w:space="0" w:color="auto"/>
            </w:tcBorders>
            <w:vAlign w:val="center"/>
          </w:tcPr>
          <w:p w:rsidR="00E22A74" w:rsidRPr="00255EF8" w:rsidRDefault="00E22A74" w:rsidP="00656CCA">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2A74" w:rsidRPr="00255EF8" w:rsidRDefault="006E09D3" w:rsidP="00301417">
            <w:pPr>
              <w:rPr>
                <w:lang w:val="en-AU"/>
              </w:rPr>
            </w:pPr>
            <w:hyperlink r:id="rId23" w:history="1">
              <w:r w:rsidR="00301417" w:rsidRPr="0057311A">
                <w:rPr>
                  <w:rStyle w:val="Hyperlink"/>
                  <w:lang w:val="en-AU"/>
                </w:rPr>
                <w:t>http://dx.doi.org/10.1136/bmjqs-2014-003863</w:t>
              </w:r>
            </w:hyperlink>
          </w:p>
        </w:tc>
      </w:tr>
      <w:tr w:rsidR="00E22A74" w:rsidRPr="00255EF8" w:rsidTr="00656CCA">
        <w:tc>
          <w:tcPr>
            <w:tcW w:w="1080" w:type="dxa"/>
            <w:tcBorders>
              <w:top w:val="single" w:sz="4" w:space="0" w:color="auto"/>
              <w:left w:val="single" w:sz="4" w:space="0" w:color="auto"/>
              <w:bottom w:val="single" w:sz="4" w:space="0" w:color="auto"/>
              <w:right w:val="single" w:sz="4" w:space="0" w:color="auto"/>
            </w:tcBorders>
            <w:vAlign w:val="center"/>
          </w:tcPr>
          <w:p w:rsidR="00E22A74" w:rsidRPr="00255EF8" w:rsidRDefault="00E22A74" w:rsidP="00656CC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7E03" w:rsidRDefault="00301417" w:rsidP="00301417">
            <w:pPr>
              <w:rPr>
                <w:color w:val="333333"/>
                <w:shd w:val="clear" w:color="auto" w:fill="FFFFFF"/>
                <w:lang w:val="en-AU"/>
              </w:rPr>
            </w:pPr>
            <w:r>
              <w:rPr>
                <w:color w:val="333333"/>
                <w:shd w:val="clear" w:color="auto" w:fill="FFFFFF"/>
                <w:lang w:val="en-AU"/>
              </w:rPr>
              <w:t xml:space="preserve">Canadian </w:t>
            </w:r>
            <w:r w:rsidRPr="00301417">
              <w:rPr>
                <w:color w:val="333333"/>
                <w:shd w:val="clear" w:color="auto" w:fill="FFFFFF"/>
                <w:lang w:val="en-AU"/>
              </w:rPr>
              <w:t xml:space="preserve">population-based retrospective cohort study of all patients admitted to </w:t>
            </w:r>
            <w:r w:rsidR="00C74EDA">
              <w:rPr>
                <w:color w:val="333333"/>
                <w:shd w:val="clear" w:color="auto" w:fill="FFFFFF"/>
                <w:lang w:val="en-AU"/>
              </w:rPr>
              <w:t xml:space="preserve">159 </w:t>
            </w:r>
            <w:r w:rsidRPr="00301417">
              <w:rPr>
                <w:color w:val="333333"/>
                <w:shd w:val="clear" w:color="auto" w:fill="FFFFFF"/>
                <w:lang w:val="en-AU"/>
              </w:rPr>
              <w:t>acute care hospitals between April 2011 and March 2012 in Ontario, Canada.</w:t>
            </w:r>
          </w:p>
          <w:p w:rsidR="00301417" w:rsidRDefault="00301417" w:rsidP="00301417">
            <w:pPr>
              <w:rPr>
                <w:color w:val="333333"/>
                <w:shd w:val="clear" w:color="auto" w:fill="FFFFFF"/>
                <w:lang w:val="en-AU"/>
              </w:rPr>
            </w:pPr>
            <w:r>
              <w:rPr>
                <w:color w:val="333333"/>
                <w:shd w:val="clear" w:color="auto" w:fill="FFFFFF"/>
                <w:lang w:val="en-AU"/>
              </w:rPr>
              <w:t xml:space="preserve">Of the 653,896 admissions, </w:t>
            </w:r>
            <w:r w:rsidRPr="00301417">
              <w:rPr>
                <w:i/>
                <w:color w:val="333333"/>
                <w:shd w:val="clear" w:color="auto" w:fill="FFFFFF"/>
                <w:lang w:val="en-AU"/>
              </w:rPr>
              <w:t>C. difficile</w:t>
            </w:r>
            <w:r w:rsidRPr="00301417">
              <w:rPr>
                <w:color w:val="333333"/>
                <w:shd w:val="clear" w:color="auto" w:fill="FFFFFF"/>
                <w:lang w:val="en-AU"/>
              </w:rPr>
              <w:t xml:space="preserve"> infections complicated 2341 (</w:t>
            </w:r>
            <w:r w:rsidRPr="00301417">
              <w:rPr>
                <w:b/>
                <w:color w:val="333333"/>
                <w:shd w:val="clear" w:color="auto" w:fill="FFFFFF"/>
                <w:lang w:val="en-AU"/>
              </w:rPr>
              <w:t>3.6 per 1000 admissions</w:t>
            </w:r>
            <w:r w:rsidRPr="00301417">
              <w:rPr>
                <w:color w:val="333333"/>
                <w:shd w:val="clear" w:color="auto" w:fill="FFFFFF"/>
                <w:lang w:val="en-AU"/>
              </w:rPr>
              <w:t xml:space="preserve">). </w:t>
            </w:r>
          </w:p>
          <w:p w:rsidR="00301417" w:rsidRPr="005833F4" w:rsidRDefault="00301417" w:rsidP="00C74EDA">
            <w:pPr>
              <w:rPr>
                <w:color w:val="333333"/>
                <w:shd w:val="clear" w:color="auto" w:fill="FFFFFF"/>
                <w:lang w:val="en-AU"/>
              </w:rPr>
            </w:pPr>
            <w:r>
              <w:rPr>
                <w:color w:val="333333"/>
                <w:shd w:val="clear" w:color="auto" w:fill="FFFFFF"/>
                <w:lang w:val="en-AU"/>
              </w:rPr>
              <w:t>From their survey of prevention practices, the authors report that i</w:t>
            </w:r>
            <w:r w:rsidRPr="00301417">
              <w:rPr>
                <w:color w:val="333333"/>
                <w:shd w:val="clear" w:color="auto" w:fill="FFFFFF"/>
                <w:lang w:val="en-AU"/>
              </w:rPr>
              <w:t>mplementation of selected prevention practices was variable across the 159 hospitals</w:t>
            </w:r>
            <w:r w:rsidR="00C74EDA">
              <w:rPr>
                <w:color w:val="333333"/>
                <w:shd w:val="clear" w:color="auto" w:fill="FFFFFF"/>
                <w:lang w:val="en-AU"/>
              </w:rPr>
              <w:t>.</w:t>
            </w:r>
            <w:r w:rsidRPr="00301417">
              <w:rPr>
                <w:color w:val="333333"/>
                <w:shd w:val="clear" w:color="auto" w:fill="FFFFFF"/>
                <w:lang w:val="en-AU"/>
              </w:rPr>
              <w:t xml:space="preserve"> </w:t>
            </w:r>
            <w:r w:rsidR="00C74EDA">
              <w:rPr>
                <w:color w:val="333333"/>
                <w:shd w:val="clear" w:color="auto" w:fill="FFFFFF"/>
                <w:lang w:val="en-AU"/>
              </w:rPr>
              <w:t>I</w:t>
            </w:r>
            <w:r w:rsidRPr="00301417">
              <w:rPr>
                <w:color w:val="333333"/>
                <w:shd w:val="clear" w:color="auto" w:fill="FFFFFF"/>
                <w:lang w:val="en-AU"/>
              </w:rPr>
              <w:t xml:space="preserve">solation of all patients at onset of diarrhoea </w:t>
            </w:r>
            <w:r w:rsidR="00C74EDA">
              <w:rPr>
                <w:color w:val="333333"/>
                <w:shd w:val="clear" w:color="auto" w:fill="FFFFFF"/>
                <w:lang w:val="en-AU"/>
              </w:rPr>
              <w:t xml:space="preserve">was </w:t>
            </w:r>
            <w:r w:rsidRPr="00301417">
              <w:rPr>
                <w:color w:val="333333"/>
                <w:shd w:val="clear" w:color="auto" w:fill="FFFFFF"/>
                <w:lang w:val="en-AU"/>
              </w:rPr>
              <w:t xml:space="preserve">reported by 43 (27%), auditing of antibiotic stewardship compliance by 26 (16%), auditing of cleaning practices by 115 (72%), on-site diagnostic testing by 74 (47%), vancomycin as first-line treatment by 24 (15%) and reporting rates to senior leadership by 52 (33%). </w:t>
            </w:r>
            <w:r w:rsidR="00C74EDA">
              <w:rPr>
                <w:color w:val="333333"/>
                <w:shd w:val="clear" w:color="auto" w:fill="FFFFFF"/>
                <w:lang w:val="en-AU"/>
              </w:rPr>
              <w:t>The authors report that “</w:t>
            </w:r>
            <w:r w:rsidRPr="00C74EDA">
              <w:rPr>
                <w:b/>
                <w:color w:val="333333"/>
                <w:shd w:val="clear" w:color="auto" w:fill="FFFFFF"/>
                <w:lang w:val="en-AU"/>
              </w:rPr>
              <w:t xml:space="preserve">None of these processes were associated with a significantly reduced risk of </w:t>
            </w:r>
            <w:r w:rsidRPr="00C74EDA">
              <w:rPr>
                <w:b/>
                <w:i/>
                <w:color w:val="333333"/>
                <w:shd w:val="clear" w:color="auto" w:fill="FFFFFF"/>
                <w:lang w:val="en-AU"/>
              </w:rPr>
              <w:t>C. difficile</w:t>
            </w:r>
            <w:r w:rsidRPr="00301417">
              <w:rPr>
                <w:color w:val="333333"/>
                <w:shd w:val="clear" w:color="auto" w:fill="FFFFFF"/>
                <w:lang w:val="en-AU"/>
              </w:rPr>
              <w:t xml:space="preserve"> after adjustment for baseline </w:t>
            </w:r>
            <w:r w:rsidRPr="00C74EDA">
              <w:rPr>
                <w:i/>
                <w:color w:val="333333"/>
                <w:shd w:val="clear" w:color="auto" w:fill="FFFFFF"/>
                <w:lang w:val="en-AU"/>
              </w:rPr>
              <w:t>C. difficile</w:t>
            </w:r>
            <w:r w:rsidRPr="00301417">
              <w:rPr>
                <w:color w:val="333333"/>
                <w:shd w:val="clear" w:color="auto" w:fill="FFFFFF"/>
                <w:lang w:val="en-AU"/>
              </w:rPr>
              <w:t xml:space="preserve"> rates, structural hospital characteristics and patient-level factors. </w:t>
            </w:r>
            <w:r w:rsidRPr="00C74EDA">
              <w:rPr>
                <w:b/>
                <w:color w:val="333333"/>
                <w:shd w:val="clear" w:color="auto" w:fill="FFFFFF"/>
                <w:lang w:val="en-AU"/>
              </w:rPr>
              <w:t>Patient-level factors were strongly associated</w:t>
            </w:r>
            <w:r w:rsidRPr="00301417">
              <w:rPr>
                <w:color w:val="333333"/>
                <w:shd w:val="clear" w:color="auto" w:fill="FFFFFF"/>
                <w:lang w:val="en-AU"/>
              </w:rPr>
              <w:t xml:space="preserve"> with </w:t>
            </w:r>
            <w:r w:rsidRPr="00C74EDA">
              <w:rPr>
                <w:i/>
                <w:color w:val="333333"/>
                <w:shd w:val="clear" w:color="auto" w:fill="FFFFFF"/>
                <w:lang w:val="en-AU"/>
              </w:rPr>
              <w:t>C. difficile risk</w:t>
            </w:r>
            <w:r w:rsidRPr="00301417">
              <w:rPr>
                <w:color w:val="333333"/>
                <w:shd w:val="clear" w:color="auto" w:fill="FFFFFF"/>
                <w:lang w:val="en-AU"/>
              </w:rPr>
              <w:t>, including age, comorbidities, non-elective and medical admissions.</w:t>
            </w:r>
            <w:r w:rsidR="00C74EDA">
              <w:rPr>
                <w:color w:val="333333"/>
                <w:shd w:val="clear" w:color="auto" w:fill="FFFFFF"/>
                <w:lang w:val="en-AU"/>
              </w:rPr>
              <w:t>”</w:t>
            </w:r>
          </w:p>
        </w:tc>
      </w:tr>
    </w:tbl>
    <w:p w:rsidR="00E22A74" w:rsidRDefault="00E22A74" w:rsidP="00E22A74">
      <w:pPr>
        <w:keepLines/>
        <w:autoSpaceDE w:val="0"/>
        <w:autoSpaceDN w:val="0"/>
        <w:adjustRightInd w:val="0"/>
        <w:rPr>
          <w:lang w:val="en-AU"/>
        </w:rPr>
      </w:pPr>
    </w:p>
    <w:p w:rsidR="00301417" w:rsidRDefault="00301417" w:rsidP="00E22A74">
      <w:pPr>
        <w:keepLines/>
        <w:autoSpaceDE w:val="0"/>
        <w:autoSpaceDN w:val="0"/>
        <w:adjustRightInd w:val="0"/>
        <w:rPr>
          <w:lang w:val="en-AU"/>
        </w:rPr>
      </w:pPr>
      <w:r>
        <w:rPr>
          <w:lang w:val="en-AU"/>
        </w:rPr>
        <w:t xml:space="preserve">For information on the Commission’s work on healthcare associated infection, see </w:t>
      </w:r>
      <w:hyperlink r:id="rId24" w:history="1">
        <w:r w:rsidR="00C74EDA" w:rsidRPr="0057311A">
          <w:rPr>
            <w:rStyle w:val="Hyperlink"/>
            <w:lang w:val="en-AU"/>
          </w:rPr>
          <w:t>www.safetyandquality.gov.au/our-work/healthcare-associated-infection/</w:t>
        </w:r>
      </w:hyperlink>
    </w:p>
    <w:p w:rsidR="00310728" w:rsidRDefault="00310728" w:rsidP="00310728">
      <w:pPr>
        <w:keepNext/>
        <w:keepLines/>
        <w:autoSpaceDE w:val="0"/>
        <w:autoSpaceDN w:val="0"/>
        <w:adjustRightInd w:val="0"/>
        <w:rPr>
          <w:lang w:val="en-AU"/>
        </w:rPr>
      </w:pPr>
    </w:p>
    <w:p w:rsidR="00445461" w:rsidRPr="00445461" w:rsidRDefault="00445461" w:rsidP="00445461">
      <w:pPr>
        <w:keepNext/>
        <w:keepLines/>
        <w:autoSpaceDE w:val="0"/>
        <w:autoSpaceDN w:val="0"/>
        <w:adjustRightInd w:val="0"/>
        <w:rPr>
          <w:i/>
          <w:lang w:val="en-AU"/>
        </w:rPr>
      </w:pPr>
      <w:r w:rsidRPr="00445461">
        <w:rPr>
          <w:i/>
          <w:lang w:val="en-AU"/>
        </w:rPr>
        <w:t>Pressure injury in Australian public hospitals: a cost-of-illness study</w:t>
      </w:r>
    </w:p>
    <w:p w:rsidR="00445461" w:rsidRDefault="00445461" w:rsidP="00310728">
      <w:pPr>
        <w:keepNext/>
        <w:keepLines/>
        <w:autoSpaceDE w:val="0"/>
        <w:autoSpaceDN w:val="0"/>
        <w:adjustRightInd w:val="0"/>
        <w:rPr>
          <w:lang w:val="en-AU"/>
        </w:rPr>
      </w:pPr>
      <w:r w:rsidRPr="00445461">
        <w:rPr>
          <w:lang w:val="en-AU"/>
        </w:rPr>
        <w:t>Nguyen K-H, Chaboyer W, Whitty JA</w:t>
      </w:r>
    </w:p>
    <w:p w:rsidR="00DE5F50" w:rsidRPr="00255EF8" w:rsidRDefault="00445461" w:rsidP="00310728">
      <w:pPr>
        <w:keepNext/>
        <w:keepLines/>
        <w:autoSpaceDE w:val="0"/>
        <w:autoSpaceDN w:val="0"/>
        <w:adjustRightInd w:val="0"/>
        <w:rPr>
          <w:lang w:val="en-AU"/>
        </w:rPr>
      </w:pPr>
      <w:r w:rsidRPr="00445461">
        <w:rPr>
          <w:lang w:val="en-AU"/>
        </w:rPr>
        <w:t>Australian Health Review. 2015</w:t>
      </w:r>
      <w:r>
        <w:rPr>
          <w:lang w:val="en-AU"/>
        </w:rPr>
        <w:t xml:space="preserve"> [epub]</w:t>
      </w:r>
      <w:r w:rsidRPr="00445461">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10728" w:rsidRPr="00255EF8" w:rsidTr="009C5150">
        <w:tc>
          <w:tcPr>
            <w:tcW w:w="1080" w:type="dxa"/>
            <w:tcBorders>
              <w:top w:val="single" w:sz="4" w:space="0" w:color="auto"/>
              <w:left w:val="single" w:sz="4" w:space="0" w:color="auto"/>
              <w:bottom w:val="single" w:sz="4" w:space="0" w:color="auto"/>
              <w:right w:val="single" w:sz="4" w:space="0" w:color="auto"/>
            </w:tcBorders>
            <w:vAlign w:val="center"/>
          </w:tcPr>
          <w:p w:rsidR="00310728" w:rsidRPr="00255EF8" w:rsidRDefault="00310728" w:rsidP="009C5150">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10728" w:rsidRPr="00255EF8" w:rsidRDefault="006E09D3" w:rsidP="00445461">
            <w:pPr>
              <w:rPr>
                <w:lang w:val="en-AU"/>
              </w:rPr>
            </w:pPr>
            <w:hyperlink r:id="rId25" w:history="1">
              <w:r w:rsidR="00445461" w:rsidRPr="00BB4FEB">
                <w:rPr>
                  <w:rStyle w:val="Hyperlink"/>
                  <w:lang w:val="en-AU"/>
                </w:rPr>
                <w:t>http://dx.doi.org/10.1071/AH14088</w:t>
              </w:r>
            </w:hyperlink>
          </w:p>
        </w:tc>
      </w:tr>
      <w:tr w:rsidR="00310728" w:rsidRPr="00255EF8" w:rsidTr="009C5150">
        <w:tc>
          <w:tcPr>
            <w:tcW w:w="1080" w:type="dxa"/>
            <w:tcBorders>
              <w:top w:val="single" w:sz="4" w:space="0" w:color="auto"/>
              <w:left w:val="single" w:sz="4" w:space="0" w:color="auto"/>
              <w:bottom w:val="single" w:sz="4" w:space="0" w:color="auto"/>
              <w:right w:val="single" w:sz="4" w:space="0" w:color="auto"/>
            </w:tcBorders>
            <w:vAlign w:val="center"/>
          </w:tcPr>
          <w:p w:rsidR="00310728" w:rsidRPr="00255EF8" w:rsidRDefault="00310728" w:rsidP="009C515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0728" w:rsidRPr="005833F4" w:rsidRDefault="00B01F82" w:rsidP="003D4BCC">
            <w:pPr>
              <w:rPr>
                <w:color w:val="333333"/>
                <w:shd w:val="clear" w:color="auto" w:fill="FFFFFF"/>
                <w:lang w:val="en-AU"/>
              </w:rPr>
            </w:pPr>
            <w:r>
              <w:t xml:space="preserve">Pressure injuries are a major contributor to the care needs of patients within hospitals. Standard Eight of the National Safety and Quality Healthcare Service Standards is aimed at preventing patients from developing pressure injuries and effectively managing them when they do occur. They are largely preventable, are an adverse outcome of healthcare and are costly to the system. In this study, Nguyen et al estimate the number of cases and costs associated with pressure injuries in public hospitals in Australia. Of total public hospital expenditure in 2012–13, 1.9% is attributed to treatment for </w:t>
            </w:r>
            <w:r w:rsidRPr="00B01F82">
              <w:rPr>
                <w:b/>
              </w:rPr>
              <w:t xml:space="preserve">pressure injuries </w:t>
            </w:r>
            <w:r>
              <w:t>at a total of A</w:t>
            </w:r>
            <w:r w:rsidRPr="00B01F82">
              <w:rPr>
                <w:b/>
              </w:rPr>
              <w:t>$983 million</w:t>
            </w:r>
            <w:r>
              <w:t xml:space="preserve">. Furthermore, the severe cases (stage III and IV pressure injuries) were 12% of the injuries but accounted for 30% of the total cost. The study suggests that there is still quality improvement work to be done to prevent this largely avoidable injury. It shows an opportunity cost perspective on pressure injury prevention and management, demonstrating the potential to reduce economic waste and improve quality of care.  </w:t>
            </w:r>
          </w:p>
        </w:tc>
      </w:tr>
    </w:tbl>
    <w:p w:rsidR="00310728" w:rsidRDefault="00310728" w:rsidP="00310728">
      <w:pPr>
        <w:keepLines/>
        <w:autoSpaceDE w:val="0"/>
        <w:autoSpaceDN w:val="0"/>
        <w:adjustRightInd w:val="0"/>
        <w:rPr>
          <w:lang w:val="en-AU"/>
        </w:rPr>
      </w:pPr>
    </w:p>
    <w:p w:rsidR="00B01F82" w:rsidRDefault="00B01F82" w:rsidP="00B01F82">
      <w:pPr>
        <w:keepLines/>
        <w:autoSpaceDE w:val="0"/>
        <w:autoSpaceDN w:val="0"/>
        <w:adjustRightInd w:val="0"/>
        <w:rPr>
          <w:lang w:val="en-AU"/>
        </w:rPr>
      </w:pPr>
      <w:r>
        <w:rPr>
          <w:lang w:val="en-AU"/>
        </w:rPr>
        <w:t xml:space="preserve">For information on the </w:t>
      </w:r>
      <w:r>
        <w:rPr>
          <w:rStyle w:val="IntenseReference"/>
          <w:b w:val="0"/>
          <w:i w:val="0"/>
          <w:smallCaps w:val="0"/>
          <w:color w:val="auto"/>
        </w:rPr>
        <w:t>National Safety and Quality Health Service</w:t>
      </w:r>
      <w:r w:rsidRPr="00BE1D26">
        <w:rPr>
          <w:rStyle w:val="IntenseReference"/>
          <w:b w:val="0"/>
          <w:i w:val="0"/>
          <w:smallCaps w:val="0"/>
          <w:color w:val="auto"/>
        </w:rPr>
        <w:t xml:space="preserve"> Standards</w:t>
      </w:r>
      <w:r>
        <w:rPr>
          <w:lang w:val="en-AU"/>
        </w:rPr>
        <w:t xml:space="preserve">, see </w:t>
      </w:r>
      <w:hyperlink r:id="rId26" w:history="1">
        <w:r w:rsidRPr="00D675EF">
          <w:rPr>
            <w:rStyle w:val="Hyperlink"/>
            <w:lang w:val="en-AU"/>
          </w:rPr>
          <w:t>http://www.safetyandquality.gov.au/our-work/accreditation-and-the-nsqhs-standards/</w:t>
        </w:r>
      </w:hyperlink>
      <w:r>
        <w:rPr>
          <w:lang w:val="en-AU"/>
        </w:rPr>
        <w:t xml:space="preserve"> </w:t>
      </w:r>
    </w:p>
    <w:p w:rsidR="00146DD2" w:rsidRDefault="00146DD2" w:rsidP="00146DD2">
      <w:pPr>
        <w:keepLines/>
        <w:autoSpaceDE w:val="0"/>
        <w:autoSpaceDN w:val="0"/>
        <w:adjustRightInd w:val="0"/>
        <w:rPr>
          <w:lang w:val="en-AU"/>
        </w:rPr>
      </w:pPr>
    </w:p>
    <w:p w:rsidR="00146DD2" w:rsidRPr="00AA019F" w:rsidRDefault="00146DD2" w:rsidP="003B7EA6">
      <w:pPr>
        <w:keepNext/>
        <w:keepLines/>
        <w:autoSpaceDE w:val="0"/>
        <w:autoSpaceDN w:val="0"/>
        <w:adjustRightInd w:val="0"/>
        <w:rPr>
          <w:i/>
          <w:lang w:val="en-AU"/>
        </w:rPr>
      </w:pPr>
      <w:r w:rsidRPr="00AA019F">
        <w:rPr>
          <w:i/>
          <w:lang w:val="en-AU"/>
        </w:rPr>
        <w:lastRenderedPageBreak/>
        <w:t>American Journal of Medical Quality</w:t>
      </w:r>
    </w:p>
    <w:p w:rsidR="00146DD2" w:rsidRDefault="00146DD2" w:rsidP="00146DD2">
      <w:pPr>
        <w:keepLines/>
        <w:autoSpaceDE w:val="0"/>
        <w:autoSpaceDN w:val="0"/>
        <w:adjustRightInd w:val="0"/>
        <w:rPr>
          <w:lang w:val="en-AU"/>
        </w:rPr>
      </w:pPr>
      <w:r>
        <w:rPr>
          <w:lang w:val="en-AU"/>
        </w:rPr>
        <w:t>May/June 2015; 30 (3</w:t>
      </w:r>
      <w:r w:rsidRPr="00AA019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46DD2" w:rsidRPr="0095520C" w:rsidTr="00714797">
        <w:tc>
          <w:tcPr>
            <w:tcW w:w="1080" w:type="dxa"/>
            <w:tcBorders>
              <w:top w:val="single" w:sz="4" w:space="0" w:color="auto"/>
              <w:left w:val="single" w:sz="4" w:space="0" w:color="auto"/>
              <w:bottom w:val="single" w:sz="4" w:space="0" w:color="auto"/>
              <w:right w:val="single" w:sz="4" w:space="0" w:color="auto"/>
            </w:tcBorders>
            <w:vAlign w:val="center"/>
          </w:tcPr>
          <w:p w:rsidR="00146DD2" w:rsidRPr="0095520C" w:rsidRDefault="00146DD2" w:rsidP="00714797">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46DD2" w:rsidRPr="0095520C" w:rsidRDefault="006E09D3" w:rsidP="00146DD2">
            <w:pPr>
              <w:rPr>
                <w:lang w:val="en-AU"/>
              </w:rPr>
            </w:pPr>
            <w:hyperlink r:id="rId27" w:history="1">
              <w:r w:rsidR="00146DD2" w:rsidRPr="00BB4FEB">
                <w:rPr>
                  <w:rStyle w:val="Hyperlink"/>
                  <w:lang w:val="en-AU"/>
                </w:rPr>
                <w:t>http://ajm.sagepub.com/content/30/3?etoc</w:t>
              </w:r>
            </w:hyperlink>
          </w:p>
        </w:tc>
      </w:tr>
      <w:tr w:rsidR="00146DD2" w:rsidRPr="0095520C" w:rsidTr="00714797">
        <w:tc>
          <w:tcPr>
            <w:tcW w:w="1080" w:type="dxa"/>
            <w:tcBorders>
              <w:top w:val="single" w:sz="4" w:space="0" w:color="auto"/>
              <w:left w:val="single" w:sz="4" w:space="0" w:color="auto"/>
              <w:bottom w:val="single" w:sz="4" w:space="0" w:color="auto"/>
              <w:right w:val="single" w:sz="4" w:space="0" w:color="auto"/>
            </w:tcBorders>
            <w:vAlign w:val="center"/>
          </w:tcPr>
          <w:p w:rsidR="00146DD2" w:rsidRPr="0095520C" w:rsidRDefault="00146DD2" w:rsidP="0071479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6DD2" w:rsidRPr="0095520C" w:rsidRDefault="00146DD2" w:rsidP="00714797">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146DD2" w:rsidRPr="00146DD2" w:rsidRDefault="00146DD2" w:rsidP="00146DD2">
            <w:pPr>
              <w:pStyle w:val="ListParagraph"/>
              <w:numPr>
                <w:ilvl w:val="0"/>
                <w:numId w:val="14"/>
              </w:numPr>
              <w:rPr>
                <w:lang w:val="en-AU"/>
              </w:rPr>
            </w:pPr>
            <w:r w:rsidRPr="00146DD2">
              <w:rPr>
                <w:lang w:val="en-AU"/>
              </w:rPr>
              <w:t xml:space="preserve">The Association Between </w:t>
            </w:r>
            <w:r w:rsidRPr="004A7CE9">
              <w:rPr>
                <w:b/>
                <w:lang w:val="en-AU"/>
              </w:rPr>
              <w:t>Skilled Nursing</w:t>
            </w:r>
            <w:r w:rsidRPr="00146DD2">
              <w:rPr>
                <w:lang w:val="en-AU"/>
              </w:rPr>
              <w:t xml:space="preserve"> Facility Care Quality and </w:t>
            </w:r>
            <w:r w:rsidRPr="004A7CE9">
              <w:rPr>
                <w:b/>
                <w:lang w:val="en-AU"/>
              </w:rPr>
              <w:t>30-Day Readmission Rates</w:t>
            </w:r>
            <w:r w:rsidRPr="00146DD2">
              <w:rPr>
                <w:lang w:val="en-AU"/>
              </w:rPr>
              <w:t xml:space="preserve"> After Hospitalization for Heart Failure (Owolabi Ogunneye, Michael B</w:t>
            </w:r>
            <w:r w:rsidR="004A7CE9">
              <w:rPr>
                <w:lang w:val="en-AU"/>
              </w:rPr>
              <w:t xml:space="preserve"> </w:t>
            </w:r>
            <w:r w:rsidRPr="00146DD2">
              <w:rPr>
                <w:lang w:val="en-AU"/>
              </w:rPr>
              <w:t>Rothberg, Jennifer Friderici, Mara T. Slawsky, Vijay T. Gadiraju, and Mihaela S. Stefan</w:t>
            </w:r>
            <w:r>
              <w:rPr>
                <w:lang w:val="en-AU"/>
              </w:rPr>
              <w:t>)</w:t>
            </w:r>
          </w:p>
          <w:p w:rsidR="00146DD2" w:rsidRPr="004A7CE9" w:rsidRDefault="00146DD2" w:rsidP="00146DD2">
            <w:pPr>
              <w:pStyle w:val="ListParagraph"/>
              <w:numPr>
                <w:ilvl w:val="0"/>
                <w:numId w:val="14"/>
              </w:numPr>
              <w:rPr>
                <w:lang w:val="en-AU"/>
              </w:rPr>
            </w:pPr>
            <w:r w:rsidRPr="004A7CE9">
              <w:rPr>
                <w:lang w:val="en-AU"/>
              </w:rPr>
              <w:t xml:space="preserve">Explaining </w:t>
            </w:r>
            <w:r w:rsidRPr="004A7CE9">
              <w:rPr>
                <w:b/>
                <w:lang w:val="en-AU"/>
              </w:rPr>
              <w:t>Racial Disparities in Anticoagulation Control</w:t>
            </w:r>
            <w:r w:rsidRPr="004A7CE9">
              <w:rPr>
                <w:lang w:val="en-AU"/>
              </w:rPr>
              <w:t>: Results From a Study of Patients at the Veterans Administration</w:t>
            </w:r>
            <w:r w:rsidR="004A7CE9" w:rsidRPr="004A7CE9">
              <w:rPr>
                <w:lang w:val="en-AU"/>
              </w:rPr>
              <w:t xml:space="preserve"> (</w:t>
            </w:r>
            <w:r w:rsidRPr="004A7CE9">
              <w:rPr>
                <w:lang w:val="en-AU"/>
              </w:rPr>
              <w:t>Sowmya R Rao, Joel I Reisman, Nancy R Kressin, Dan R Berlowitz, Arlene S Ash, Al Ozonoff, Donald R Miller, Elaine M Hylek, Shibei Zhao, and Adam J Rose</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A Simple Framework for </w:t>
            </w:r>
            <w:r w:rsidRPr="004A7CE9">
              <w:rPr>
                <w:b/>
                <w:lang w:val="en-AU"/>
              </w:rPr>
              <w:t>Complex System Improvement</w:t>
            </w:r>
            <w:r w:rsidR="004A7CE9" w:rsidRPr="004A7CE9">
              <w:rPr>
                <w:lang w:val="en-AU"/>
              </w:rPr>
              <w:t xml:space="preserve"> (</w:t>
            </w:r>
            <w:r w:rsidRPr="004A7CE9">
              <w:rPr>
                <w:lang w:val="en-AU"/>
              </w:rPr>
              <w:t>Sally Kraft, Pascale Carayon, Jennifer Weiss, and Nancy Pandhi</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Weaving </w:t>
            </w:r>
            <w:r w:rsidRPr="004A7CE9">
              <w:rPr>
                <w:b/>
                <w:lang w:val="en-AU"/>
              </w:rPr>
              <w:t xml:space="preserve">Quality Improvement </w:t>
            </w:r>
            <w:r w:rsidRPr="004A7CE9">
              <w:rPr>
                <w:lang w:val="en-AU"/>
              </w:rPr>
              <w:t>and</w:t>
            </w:r>
            <w:r w:rsidRPr="004A7CE9">
              <w:rPr>
                <w:b/>
                <w:lang w:val="en-AU"/>
              </w:rPr>
              <w:t xml:space="preserve"> Patient Safety</w:t>
            </w:r>
            <w:r w:rsidRPr="004A7CE9">
              <w:rPr>
                <w:lang w:val="en-AU"/>
              </w:rPr>
              <w:t xml:space="preserve"> Skills Into All Levels of </w:t>
            </w:r>
            <w:r w:rsidRPr="004A7CE9">
              <w:rPr>
                <w:b/>
                <w:lang w:val="en-AU"/>
              </w:rPr>
              <w:t>Medical Training</w:t>
            </w:r>
            <w:r w:rsidRPr="004A7CE9">
              <w:rPr>
                <w:lang w:val="en-AU"/>
              </w:rPr>
              <w:t>: An Annotated Bibliography</w:t>
            </w:r>
            <w:r w:rsidR="004A7CE9" w:rsidRPr="004A7CE9">
              <w:rPr>
                <w:lang w:val="en-AU"/>
              </w:rPr>
              <w:t xml:space="preserve"> (</w:t>
            </w:r>
            <w:r w:rsidRPr="004A7CE9">
              <w:rPr>
                <w:lang w:val="en-AU"/>
              </w:rPr>
              <w:t>Eugene Mochan and David B Nash</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The Human Side of </w:t>
            </w:r>
            <w:r w:rsidRPr="004A7CE9">
              <w:rPr>
                <w:b/>
                <w:lang w:val="en-AU"/>
              </w:rPr>
              <w:t>Lean Teams</w:t>
            </w:r>
            <w:r w:rsidR="004A7CE9">
              <w:rPr>
                <w:lang w:val="en-AU"/>
              </w:rPr>
              <w:t xml:space="preserve"> (</w:t>
            </w:r>
            <w:r w:rsidRPr="004A7CE9">
              <w:rPr>
                <w:lang w:val="en-AU"/>
              </w:rPr>
              <w:t>Sarah B Wackerbarth, Jamie R Strawser-Srinath, and Joseph C Conigliaro</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NPITxt, a </w:t>
            </w:r>
            <w:r w:rsidRPr="00887246">
              <w:rPr>
                <w:b/>
                <w:lang w:val="en-AU"/>
              </w:rPr>
              <w:t>21st-Century Reporting System</w:t>
            </w:r>
            <w:r w:rsidRPr="004A7CE9">
              <w:rPr>
                <w:lang w:val="en-AU"/>
              </w:rPr>
              <w:t>: Engaging Residents in a Lean-Inspired Process</w:t>
            </w:r>
            <w:r w:rsidR="004A7CE9" w:rsidRPr="004A7CE9">
              <w:rPr>
                <w:lang w:val="en-AU"/>
              </w:rPr>
              <w:t xml:space="preserve"> (</w:t>
            </w:r>
            <w:r w:rsidRPr="004A7CE9">
              <w:rPr>
                <w:lang w:val="en-AU"/>
              </w:rPr>
              <w:t>Pushpa V Raja, Michael C Davis, Alicia Bales, and Nasim Afsarmanesh</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The Impact of Tort Reform and Quality Improvements on </w:t>
            </w:r>
            <w:r w:rsidRPr="004A7CE9">
              <w:rPr>
                <w:b/>
                <w:lang w:val="en-AU"/>
              </w:rPr>
              <w:t>Medical Liability</w:t>
            </w:r>
            <w:r w:rsidRPr="004A7CE9">
              <w:rPr>
                <w:lang w:val="en-AU"/>
              </w:rPr>
              <w:t xml:space="preserve"> Claims: A Tale of 2 States</w:t>
            </w:r>
            <w:r w:rsidR="004A7CE9" w:rsidRPr="004A7CE9">
              <w:rPr>
                <w:lang w:val="en-AU"/>
              </w:rPr>
              <w:t xml:space="preserve"> (</w:t>
            </w:r>
            <w:r w:rsidRPr="004A7CE9">
              <w:rPr>
                <w:lang w:val="en-AU"/>
              </w:rPr>
              <w:t>Kenneth D Illingworth, Steven H Shaha, Tony H Tzeng, Michael S Sinha, and Khaled J Saleh</w:t>
            </w:r>
            <w:r w:rsidR="004A7CE9">
              <w:rPr>
                <w:lang w:val="en-AU"/>
              </w:rPr>
              <w:t>)</w:t>
            </w:r>
          </w:p>
          <w:p w:rsidR="00146DD2" w:rsidRPr="004A7CE9" w:rsidRDefault="00146DD2" w:rsidP="00146DD2">
            <w:pPr>
              <w:pStyle w:val="ListParagraph"/>
              <w:numPr>
                <w:ilvl w:val="0"/>
                <w:numId w:val="14"/>
              </w:numPr>
              <w:rPr>
                <w:lang w:val="en-AU"/>
              </w:rPr>
            </w:pPr>
            <w:r w:rsidRPr="004A7CE9">
              <w:rPr>
                <w:b/>
                <w:lang w:val="en-AU"/>
              </w:rPr>
              <w:t>Operative Volume</w:t>
            </w:r>
            <w:r w:rsidRPr="004A7CE9">
              <w:rPr>
                <w:lang w:val="en-AU"/>
              </w:rPr>
              <w:t xml:space="preserve"> in Colon Surgery: A Matched Cohort Analysis</w:t>
            </w:r>
            <w:r w:rsidR="004A7CE9" w:rsidRPr="004A7CE9">
              <w:rPr>
                <w:lang w:val="en-AU"/>
              </w:rPr>
              <w:t xml:space="preserve"> (</w:t>
            </w:r>
            <w:r w:rsidRPr="004A7CE9">
              <w:rPr>
                <w:lang w:val="en-AU"/>
              </w:rPr>
              <w:t>Matthew Z Wilson, David I Soybel, and Christopher S Hollenbeak</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The Relationship of Hospital Charges and Volume to </w:t>
            </w:r>
            <w:r w:rsidRPr="004A7CE9">
              <w:rPr>
                <w:b/>
                <w:lang w:val="en-AU"/>
              </w:rPr>
              <w:t>Surgical Site Infection</w:t>
            </w:r>
            <w:r w:rsidRPr="004A7CE9">
              <w:rPr>
                <w:lang w:val="en-AU"/>
              </w:rPr>
              <w:t xml:space="preserve"> After Total Hip Replacement</w:t>
            </w:r>
            <w:r w:rsidR="004A7CE9" w:rsidRPr="004A7CE9">
              <w:rPr>
                <w:lang w:val="en-AU"/>
              </w:rPr>
              <w:t xml:space="preserve"> (</w:t>
            </w:r>
            <w:r w:rsidRPr="004A7CE9">
              <w:rPr>
                <w:lang w:val="en-AU"/>
              </w:rPr>
              <w:t>Rebecca Boas, Kelsey Ensor, Edward Qian, Lorraine Hutzler, James Slover, and Joseph Bosco</w:t>
            </w:r>
          </w:p>
          <w:p w:rsidR="00146DD2" w:rsidRPr="004A7CE9" w:rsidRDefault="00146DD2" w:rsidP="00146DD2">
            <w:pPr>
              <w:pStyle w:val="ListParagraph"/>
              <w:numPr>
                <w:ilvl w:val="0"/>
                <w:numId w:val="14"/>
              </w:numPr>
              <w:rPr>
                <w:lang w:val="en-AU"/>
              </w:rPr>
            </w:pPr>
            <w:r w:rsidRPr="004A7CE9">
              <w:rPr>
                <w:b/>
                <w:lang w:val="en-AU"/>
              </w:rPr>
              <w:t>The “I” in I CARE</w:t>
            </w:r>
            <w:r w:rsidRPr="004A7CE9">
              <w:rPr>
                <w:lang w:val="en-AU"/>
              </w:rPr>
              <w:t>: Out of the Ashes of Dystopia, a Phoenix Will Rise</w:t>
            </w:r>
            <w:r w:rsidR="004A7CE9" w:rsidRPr="004A7CE9">
              <w:rPr>
                <w:lang w:val="en-AU"/>
              </w:rPr>
              <w:t xml:space="preserve"> (</w:t>
            </w:r>
            <w:r w:rsidRPr="004A7CE9">
              <w:rPr>
                <w:lang w:val="en-AU"/>
              </w:rPr>
              <w:t>Maher Roman</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Use of a </w:t>
            </w:r>
            <w:r w:rsidRPr="004A7CE9">
              <w:rPr>
                <w:b/>
                <w:lang w:val="en-AU"/>
              </w:rPr>
              <w:t>Transition of Care Coordinator</w:t>
            </w:r>
            <w:r w:rsidRPr="004A7CE9">
              <w:rPr>
                <w:lang w:val="en-AU"/>
              </w:rPr>
              <w:t xml:space="preserve"> to Improve Ambulatory Follow-up After Hospital </w:t>
            </w:r>
            <w:r w:rsidRPr="004A7CE9">
              <w:rPr>
                <w:b/>
                <w:lang w:val="en-AU"/>
              </w:rPr>
              <w:t>Discharge</w:t>
            </w:r>
            <w:r w:rsidR="004A7CE9" w:rsidRPr="004A7CE9">
              <w:rPr>
                <w:lang w:val="en-AU"/>
              </w:rPr>
              <w:t xml:space="preserve"> (</w:t>
            </w:r>
            <w:r w:rsidRPr="004A7CE9">
              <w:rPr>
                <w:lang w:val="en-AU"/>
              </w:rPr>
              <w:t>Ruben Rhoades, Caitlin Dietsche, Rebecca Jaffe, Cara Reynolds, Michael Latreille, Albert Crawford, and L Ward</w:t>
            </w:r>
            <w:r w:rsidR="004A7CE9">
              <w:rPr>
                <w:lang w:val="en-AU"/>
              </w:rPr>
              <w:t>)</w:t>
            </w:r>
          </w:p>
          <w:p w:rsidR="00146DD2" w:rsidRPr="004A7CE9" w:rsidRDefault="00146DD2" w:rsidP="00146DD2">
            <w:pPr>
              <w:pStyle w:val="ListParagraph"/>
              <w:numPr>
                <w:ilvl w:val="0"/>
                <w:numId w:val="14"/>
              </w:numPr>
              <w:rPr>
                <w:lang w:val="en-AU"/>
              </w:rPr>
            </w:pPr>
            <w:r w:rsidRPr="004A7CE9">
              <w:rPr>
                <w:lang w:val="en-AU"/>
              </w:rPr>
              <w:t xml:space="preserve">House Staff Perceptions of How </w:t>
            </w:r>
            <w:r w:rsidRPr="004A7CE9">
              <w:rPr>
                <w:b/>
                <w:lang w:val="en-AU"/>
              </w:rPr>
              <w:t>Handoff Quality</w:t>
            </w:r>
            <w:r w:rsidRPr="004A7CE9">
              <w:rPr>
                <w:lang w:val="en-AU"/>
              </w:rPr>
              <w:t xml:space="preserve"> Influences Code Blue and Rapid Response Team Events</w:t>
            </w:r>
            <w:r w:rsidR="004A7CE9" w:rsidRPr="004A7CE9">
              <w:rPr>
                <w:lang w:val="en-AU"/>
              </w:rPr>
              <w:t xml:space="preserve"> (</w:t>
            </w:r>
            <w:r w:rsidRPr="004A7CE9">
              <w:rPr>
                <w:lang w:val="en-AU"/>
              </w:rPr>
              <w:t>Deana Miller, Aaron Mitchell, Rebecca Sadun, Judy Milne, and Joel Boggan</w:t>
            </w:r>
            <w:r w:rsidR="004A7CE9">
              <w:rPr>
                <w:lang w:val="en-AU"/>
              </w:rPr>
              <w:t>)</w:t>
            </w:r>
          </w:p>
          <w:p w:rsidR="00146DD2" w:rsidRPr="0095520C" w:rsidRDefault="00146DD2" w:rsidP="004A7CE9">
            <w:pPr>
              <w:pStyle w:val="ListParagraph"/>
              <w:numPr>
                <w:ilvl w:val="0"/>
                <w:numId w:val="14"/>
              </w:numPr>
              <w:rPr>
                <w:lang w:val="en-AU"/>
              </w:rPr>
            </w:pPr>
            <w:r w:rsidRPr="004A7CE9">
              <w:rPr>
                <w:b/>
                <w:lang w:val="en-AU"/>
              </w:rPr>
              <w:t>Clinical Laboratories Accreditation</w:t>
            </w:r>
            <w:r w:rsidRPr="00146DD2">
              <w:rPr>
                <w:lang w:val="en-AU"/>
              </w:rPr>
              <w:t xml:space="preserve"> Program of the Brazilian Society of Clinical Pathology/Laboratory Medicine (PALC/SBPC-ML): 15-Year Experience</w:t>
            </w:r>
            <w:r w:rsidR="004A7CE9">
              <w:rPr>
                <w:lang w:val="en-AU"/>
              </w:rPr>
              <w:t xml:space="preserve"> (</w:t>
            </w:r>
            <w:r w:rsidRPr="00146DD2">
              <w:rPr>
                <w:lang w:val="en-AU"/>
              </w:rPr>
              <w:t>Wilson Shcolnik, Carla Chaves, Carlos Eduardo dos Santos Ferreira, Cesar Sanches, Erlo Roth, Louise Fabri, Lucia Villela, Luisane Maria Falci Vieira, and Paula Tavora</w:t>
            </w:r>
            <w:r w:rsidR="004A7CE9">
              <w:rPr>
                <w:lang w:val="en-AU"/>
              </w:rPr>
              <w:t>)</w:t>
            </w:r>
          </w:p>
        </w:tc>
      </w:tr>
    </w:tbl>
    <w:p w:rsidR="00A306F1" w:rsidRDefault="00A306F1" w:rsidP="00D3278C">
      <w:pPr>
        <w:keepLines/>
        <w:autoSpaceDE w:val="0"/>
        <w:autoSpaceDN w:val="0"/>
        <w:adjustRightInd w:val="0"/>
        <w:rPr>
          <w:lang w:val="en-AU"/>
        </w:rPr>
      </w:pPr>
    </w:p>
    <w:p w:rsidR="00EF2581" w:rsidRDefault="00EF2581" w:rsidP="00EF2581">
      <w:pPr>
        <w:keepLines/>
        <w:autoSpaceDE w:val="0"/>
        <w:autoSpaceDN w:val="0"/>
        <w:adjustRightInd w:val="0"/>
        <w:rPr>
          <w:i/>
          <w:lang w:val="en-AU"/>
        </w:rPr>
      </w:pPr>
      <w:r w:rsidRPr="00EF2581">
        <w:rPr>
          <w:i/>
          <w:lang w:val="en-AU"/>
        </w:rPr>
        <w:t>Patient Experience Journal</w:t>
      </w:r>
    </w:p>
    <w:p w:rsidR="00EF2581" w:rsidRDefault="00EF2581" w:rsidP="00EF2581">
      <w:pPr>
        <w:keepLines/>
        <w:autoSpaceDE w:val="0"/>
        <w:autoSpaceDN w:val="0"/>
        <w:adjustRightInd w:val="0"/>
        <w:rPr>
          <w:lang w:val="en-AU"/>
        </w:rPr>
      </w:pPr>
      <w:r w:rsidRPr="00EF2581">
        <w:rPr>
          <w:lang w:val="en-AU"/>
        </w:rPr>
        <w:t>Volume 2, Issue 1 (2015)</w:t>
      </w:r>
    </w:p>
    <w:tbl>
      <w:tblPr>
        <w:tblStyle w:val="TableGrid"/>
        <w:tblW w:w="0" w:type="auto"/>
        <w:tblInd w:w="288" w:type="dxa"/>
        <w:tblLayout w:type="fixed"/>
        <w:tblLook w:val="01E0" w:firstRow="1" w:lastRow="1" w:firstColumn="1" w:lastColumn="1" w:noHBand="0" w:noVBand="0"/>
      </w:tblPr>
      <w:tblGrid>
        <w:gridCol w:w="1080"/>
        <w:gridCol w:w="8280"/>
      </w:tblGrid>
      <w:tr w:rsidR="00EF2581" w:rsidRPr="0095520C" w:rsidTr="00F53A19">
        <w:tc>
          <w:tcPr>
            <w:tcW w:w="1080" w:type="dxa"/>
            <w:tcBorders>
              <w:top w:val="single" w:sz="4" w:space="0" w:color="auto"/>
              <w:left w:val="single" w:sz="4" w:space="0" w:color="auto"/>
              <w:bottom w:val="single" w:sz="4" w:space="0" w:color="auto"/>
              <w:right w:val="single" w:sz="4" w:space="0" w:color="auto"/>
            </w:tcBorders>
            <w:vAlign w:val="center"/>
          </w:tcPr>
          <w:p w:rsidR="00EF2581" w:rsidRPr="0095520C" w:rsidRDefault="00EF2581" w:rsidP="00F53A19">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F2581" w:rsidRPr="0095520C" w:rsidRDefault="006E09D3" w:rsidP="00EF2581">
            <w:pPr>
              <w:rPr>
                <w:lang w:val="en-AU"/>
              </w:rPr>
            </w:pPr>
            <w:hyperlink r:id="rId28" w:history="1">
              <w:r w:rsidR="00EF2581" w:rsidRPr="00934818">
                <w:rPr>
                  <w:rStyle w:val="Hyperlink"/>
                  <w:lang w:val="en-AU"/>
                </w:rPr>
                <w:t>http://pxjournal.org/journal/vol2/iss1/</w:t>
              </w:r>
            </w:hyperlink>
          </w:p>
        </w:tc>
      </w:tr>
      <w:tr w:rsidR="00EF2581" w:rsidRPr="0095520C" w:rsidTr="00F53A19">
        <w:tc>
          <w:tcPr>
            <w:tcW w:w="1080" w:type="dxa"/>
            <w:tcBorders>
              <w:top w:val="single" w:sz="4" w:space="0" w:color="auto"/>
              <w:left w:val="single" w:sz="4" w:space="0" w:color="auto"/>
              <w:bottom w:val="single" w:sz="4" w:space="0" w:color="auto"/>
              <w:right w:val="single" w:sz="4" w:space="0" w:color="auto"/>
            </w:tcBorders>
            <w:vAlign w:val="center"/>
          </w:tcPr>
          <w:p w:rsidR="00EF2581" w:rsidRPr="0095520C" w:rsidRDefault="00EF2581" w:rsidP="00F53A1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2581" w:rsidRPr="0095520C" w:rsidRDefault="00EF2581" w:rsidP="00F53A19">
            <w:pPr>
              <w:keepLines/>
              <w:autoSpaceDE w:val="0"/>
              <w:autoSpaceDN w:val="0"/>
              <w:adjustRightInd w:val="0"/>
              <w:rPr>
                <w:lang w:val="en-AU"/>
              </w:rPr>
            </w:pPr>
            <w:r>
              <w:rPr>
                <w:lang w:val="en-AU"/>
              </w:rPr>
              <w:t xml:space="preserve">A new issue of the </w:t>
            </w:r>
            <w:r w:rsidRPr="00EF2581">
              <w:rPr>
                <w:i/>
                <w:lang w:val="en-AU"/>
              </w:rPr>
              <w:t>Patient Experience Journal</w:t>
            </w:r>
            <w:r>
              <w:rPr>
                <w:i/>
                <w:lang w:val="en-AU"/>
              </w:rPr>
              <w:t xml:space="preserve"> </w:t>
            </w:r>
            <w:r>
              <w:rPr>
                <w:lang w:val="en-AU"/>
              </w:rPr>
              <w:t xml:space="preserve">has been published. Articles in this issue of the </w:t>
            </w:r>
            <w:r w:rsidRPr="00EF2581">
              <w:rPr>
                <w:i/>
                <w:lang w:val="en-AU"/>
              </w:rPr>
              <w:t>Patient Experience Journal</w:t>
            </w:r>
            <w:r>
              <w:rPr>
                <w:i/>
                <w:lang w:val="en-AU"/>
              </w:rPr>
              <w:t xml:space="preserve"> </w:t>
            </w:r>
            <w:r>
              <w:rPr>
                <w:lang w:val="en-AU"/>
              </w:rPr>
              <w:t>include:</w:t>
            </w:r>
          </w:p>
          <w:p w:rsidR="00EF2581" w:rsidRDefault="00EF2581" w:rsidP="00EF2581">
            <w:pPr>
              <w:pStyle w:val="ListParagraph"/>
              <w:numPr>
                <w:ilvl w:val="0"/>
                <w:numId w:val="14"/>
              </w:numPr>
              <w:rPr>
                <w:lang w:val="en-AU"/>
              </w:rPr>
            </w:pPr>
            <w:r w:rsidRPr="00EF2581">
              <w:rPr>
                <w:lang w:val="en-AU"/>
              </w:rPr>
              <w:lastRenderedPageBreak/>
              <w:t xml:space="preserve">The </w:t>
            </w:r>
            <w:r w:rsidRPr="00B57F49">
              <w:rPr>
                <w:b/>
                <w:lang w:val="en-AU"/>
              </w:rPr>
              <w:t>patient experience movement</w:t>
            </w:r>
            <w:r w:rsidRPr="00EF2581">
              <w:rPr>
                <w:lang w:val="en-AU"/>
              </w:rPr>
              <w:t xml:space="preserve"> moves on (Jason A Wolf</w:t>
            </w:r>
            <w:r>
              <w:rPr>
                <w:lang w:val="en-AU"/>
              </w:rPr>
              <w:t>)</w:t>
            </w:r>
          </w:p>
          <w:p w:rsidR="00EF2581" w:rsidRDefault="00EF2581" w:rsidP="00EF2581">
            <w:pPr>
              <w:pStyle w:val="ListParagraph"/>
              <w:numPr>
                <w:ilvl w:val="0"/>
                <w:numId w:val="14"/>
              </w:numPr>
              <w:rPr>
                <w:lang w:val="en-AU"/>
              </w:rPr>
            </w:pPr>
            <w:r w:rsidRPr="00B57F49">
              <w:rPr>
                <w:b/>
                <w:lang w:val="en-AU"/>
              </w:rPr>
              <w:t>Patient experience established</w:t>
            </w:r>
            <w:r w:rsidRPr="00EF2581">
              <w:rPr>
                <w:lang w:val="en-AU"/>
              </w:rPr>
              <w:t>: One year later (Geoffrey A Silvera and Jason A Wolf</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Reframing the work on </w:t>
            </w:r>
            <w:r w:rsidRPr="00B57F49">
              <w:rPr>
                <w:b/>
                <w:lang w:val="en-AU"/>
              </w:rPr>
              <w:t>patient experience improvement</w:t>
            </w:r>
            <w:r w:rsidRPr="00EF2581">
              <w:rPr>
                <w:lang w:val="en-AU"/>
              </w:rPr>
              <w:t xml:space="preserve"> (J Cornwell</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The </w:t>
            </w:r>
            <w:r w:rsidRPr="00B57F49">
              <w:rPr>
                <w:b/>
                <w:lang w:val="en-AU"/>
              </w:rPr>
              <w:t>power</w:t>
            </w:r>
            <w:r w:rsidRPr="00EF2581">
              <w:rPr>
                <w:lang w:val="en-AU"/>
              </w:rPr>
              <w:t xml:space="preserve"> </w:t>
            </w:r>
            <w:r w:rsidRPr="00B57F49">
              <w:rPr>
                <w:b/>
                <w:lang w:val="en-AU"/>
              </w:rPr>
              <w:t>of patient ownership</w:t>
            </w:r>
            <w:r w:rsidRPr="00EF2581">
              <w:rPr>
                <w:lang w:val="en-AU"/>
              </w:rPr>
              <w:t>: The path from engagement to equity (Zal Press and Dawn Richards</w:t>
            </w:r>
            <w:r>
              <w:rPr>
                <w:lang w:val="en-AU"/>
              </w:rPr>
              <w:t>)</w:t>
            </w:r>
          </w:p>
          <w:p w:rsidR="00EF2581" w:rsidRPr="00EF2581" w:rsidRDefault="00EF2581" w:rsidP="00EF2581">
            <w:pPr>
              <w:pStyle w:val="ListParagraph"/>
              <w:numPr>
                <w:ilvl w:val="0"/>
                <w:numId w:val="14"/>
              </w:numPr>
              <w:rPr>
                <w:lang w:val="en-AU"/>
              </w:rPr>
            </w:pPr>
            <w:r w:rsidRPr="00B57F49">
              <w:rPr>
                <w:b/>
                <w:lang w:val="en-AU"/>
              </w:rPr>
              <w:t>Meaningful and effective patient engagement</w:t>
            </w:r>
            <w:r w:rsidRPr="00EF2581">
              <w:rPr>
                <w:lang w:val="en-AU"/>
              </w:rPr>
              <w:t>: What matters most to stakeholders (Mandy Bellows, Katharina Kovacs Burns, Karen Jackson, Brae Surgeoner, and Jennifer Gallivan</w:t>
            </w:r>
            <w:r>
              <w:rPr>
                <w:lang w:val="en-AU"/>
              </w:rPr>
              <w:t>)</w:t>
            </w:r>
          </w:p>
          <w:p w:rsidR="00EF2581" w:rsidRPr="00EF2581" w:rsidRDefault="00EF2581" w:rsidP="00EF2581">
            <w:pPr>
              <w:pStyle w:val="ListParagraph"/>
              <w:numPr>
                <w:ilvl w:val="0"/>
                <w:numId w:val="14"/>
              </w:numPr>
              <w:rPr>
                <w:lang w:val="en-AU"/>
              </w:rPr>
            </w:pPr>
            <w:r w:rsidRPr="00B57F49">
              <w:rPr>
                <w:b/>
                <w:lang w:val="en-AU"/>
              </w:rPr>
              <w:t>Patient partnership in quality improvement</w:t>
            </w:r>
            <w:r w:rsidRPr="00EF2581">
              <w:rPr>
                <w:lang w:val="en-AU"/>
              </w:rPr>
              <w:t xml:space="preserve"> of healthcare services: Patients’ inputs and challenges faced (Marie-Pascale Pomey, Hassiba Hihat, May Khalifa, Paule Lebel, André Néron, and Vincent Dumez</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So much more than a “pair of brown shoes”: Triumphs of </w:t>
            </w:r>
            <w:r w:rsidRPr="00B57F49">
              <w:rPr>
                <w:b/>
                <w:lang w:val="en-AU"/>
              </w:rPr>
              <w:t>patient and other stakeholder engagement</w:t>
            </w:r>
            <w:r w:rsidRPr="00EF2581">
              <w:rPr>
                <w:lang w:val="en-AU"/>
              </w:rPr>
              <w:t xml:space="preserve"> in patient-centered outcomes research (Amanda Brodt, M.P.P.; Christine K. Norton, M.A.; and Amy Kratchman</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The Children’s Hospital of Philadelphia Family Partners Program: Promoting </w:t>
            </w:r>
            <w:r w:rsidRPr="00B57F49">
              <w:rPr>
                <w:b/>
                <w:lang w:val="en-AU"/>
              </w:rPr>
              <w:t>child and family-centered care in paediatrics</w:t>
            </w:r>
            <w:r w:rsidRPr="00EF2581">
              <w:rPr>
                <w:lang w:val="en-AU"/>
              </w:rPr>
              <w:t xml:space="preserve"> (Amy Kratchman, Darlene Barkman, Kathy Conaboy, Anna de la Motte, Rachel Biblow, </w:t>
            </w:r>
            <w:r>
              <w:rPr>
                <w:lang w:val="en-AU"/>
              </w:rPr>
              <w:t>and Katherine Bevan)</w:t>
            </w:r>
          </w:p>
          <w:p w:rsidR="00EF2581" w:rsidRPr="00EF2581" w:rsidRDefault="00EF2581" w:rsidP="00EF2581">
            <w:pPr>
              <w:pStyle w:val="ListParagraph"/>
              <w:numPr>
                <w:ilvl w:val="0"/>
                <w:numId w:val="14"/>
              </w:numPr>
              <w:rPr>
                <w:lang w:val="en-AU"/>
              </w:rPr>
            </w:pPr>
            <w:r w:rsidRPr="00EF2581">
              <w:rPr>
                <w:lang w:val="en-AU"/>
              </w:rPr>
              <w:t xml:space="preserve">Considering </w:t>
            </w:r>
            <w:r w:rsidRPr="00B57F49">
              <w:rPr>
                <w:b/>
                <w:lang w:val="en-AU"/>
              </w:rPr>
              <w:t>shared power and responsibility</w:t>
            </w:r>
            <w:r w:rsidRPr="00EF2581">
              <w:rPr>
                <w:lang w:val="en-AU"/>
              </w:rPr>
              <w:t>: Diabetic patients’ experience with the PCMH care model (Olena Mazurenko</w:t>
            </w:r>
            <w:r>
              <w:rPr>
                <w:lang w:val="en-AU"/>
              </w:rPr>
              <w:t>,</w:t>
            </w:r>
            <w:r w:rsidRPr="00EF2581">
              <w:rPr>
                <w:lang w:val="en-AU"/>
              </w:rPr>
              <w:t xml:space="preserve"> Sheila Bock</w:t>
            </w:r>
            <w:r>
              <w:rPr>
                <w:lang w:val="en-AU"/>
              </w:rPr>
              <w:t>,</w:t>
            </w:r>
            <w:r w:rsidRPr="00EF2581">
              <w:rPr>
                <w:lang w:val="en-AU"/>
              </w:rPr>
              <w:t xml:space="preserve"> Catherine Prato</w:t>
            </w:r>
            <w:r>
              <w:rPr>
                <w:lang w:val="en-AU"/>
              </w:rPr>
              <w:t>,</w:t>
            </w:r>
            <w:r w:rsidRPr="00EF2581">
              <w:rPr>
                <w:lang w:val="en-AU"/>
              </w:rPr>
              <w:t xml:space="preserve"> and Margarita Bondarenko</w:t>
            </w:r>
            <w:r>
              <w:rPr>
                <w:lang w:val="en-AU"/>
              </w:rPr>
              <w:t>)</w:t>
            </w:r>
          </w:p>
          <w:p w:rsidR="00EF2581" w:rsidRPr="00EF2581" w:rsidRDefault="00EF2581" w:rsidP="00EF2581">
            <w:pPr>
              <w:pStyle w:val="ListParagraph"/>
              <w:numPr>
                <w:ilvl w:val="0"/>
                <w:numId w:val="14"/>
              </w:numPr>
              <w:rPr>
                <w:lang w:val="en-AU"/>
              </w:rPr>
            </w:pPr>
            <w:r w:rsidRPr="00B57F49">
              <w:rPr>
                <w:b/>
                <w:lang w:val="en-AU"/>
              </w:rPr>
              <w:t>Patient satisfaction</w:t>
            </w:r>
            <w:r w:rsidRPr="00EF2581">
              <w:rPr>
                <w:lang w:val="en-AU"/>
              </w:rPr>
              <w:t xml:space="preserve"> reported by in-visit and after-visit surveys (Rukiya Wongus, Nicholas H Schluterman, Sharon Feinstein, Nihkolle McGirt, Deborah R Greenberg, and David B Schwartz</w:t>
            </w:r>
            <w:r>
              <w:rPr>
                <w:lang w:val="en-AU"/>
              </w:rPr>
              <w:t>)</w:t>
            </w:r>
          </w:p>
          <w:p w:rsidR="00EF2581" w:rsidRPr="00EF2581" w:rsidRDefault="00EF2581" w:rsidP="00EF2581">
            <w:pPr>
              <w:pStyle w:val="ListParagraph"/>
              <w:numPr>
                <w:ilvl w:val="0"/>
                <w:numId w:val="14"/>
              </w:numPr>
              <w:rPr>
                <w:lang w:val="en-AU"/>
              </w:rPr>
            </w:pPr>
            <w:r w:rsidRPr="00B57F49">
              <w:rPr>
                <w:b/>
                <w:lang w:val="en-AU"/>
              </w:rPr>
              <w:t>Measuring patient experience</w:t>
            </w:r>
            <w:r w:rsidRPr="00EF2581">
              <w:rPr>
                <w:lang w:val="en-AU"/>
              </w:rPr>
              <w:t xml:space="preserve"> in a safety net setting: Lessons learned (Nina Shabbat, Katy Dobbins, Sonja Seglin, and Kristin Davis</w:t>
            </w:r>
            <w:r>
              <w:rPr>
                <w:lang w:val="en-AU"/>
              </w:rPr>
              <w:t>)</w:t>
            </w:r>
          </w:p>
          <w:p w:rsidR="00EF2581" w:rsidRPr="00EF2581" w:rsidRDefault="00EF2581" w:rsidP="00EF2581">
            <w:pPr>
              <w:pStyle w:val="ListParagraph"/>
              <w:numPr>
                <w:ilvl w:val="0"/>
                <w:numId w:val="14"/>
              </w:numPr>
              <w:rPr>
                <w:lang w:val="en-AU"/>
              </w:rPr>
            </w:pPr>
            <w:r w:rsidRPr="00B57F49">
              <w:rPr>
                <w:b/>
                <w:lang w:val="en-AU"/>
              </w:rPr>
              <w:t>Weighting patient satisfaction factors</w:t>
            </w:r>
            <w:r w:rsidRPr="00EF2581">
              <w:rPr>
                <w:lang w:val="en-AU"/>
              </w:rPr>
              <w:t xml:space="preserve"> to inform health care providers of the patient experience in the age of social media consumer sentiment (Blaine Parrish, Amita N Vyas, and Grace Douglass</w:t>
            </w:r>
            <w:r>
              <w:rPr>
                <w:lang w:val="en-AU"/>
              </w:rPr>
              <w:t>)</w:t>
            </w:r>
          </w:p>
          <w:p w:rsidR="00EF2581" w:rsidRPr="00EF2581" w:rsidRDefault="00EF2581" w:rsidP="00EF2581">
            <w:pPr>
              <w:pStyle w:val="ListParagraph"/>
              <w:numPr>
                <w:ilvl w:val="0"/>
                <w:numId w:val="14"/>
              </w:numPr>
              <w:rPr>
                <w:lang w:val="en-AU"/>
              </w:rPr>
            </w:pPr>
            <w:r w:rsidRPr="00B57F49">
              <w:rPr>
                <w:b/>
                <w:lang w:val="en-AU"/>
              </w:rPr>
              <w:t>Patient centered infertility care</w:t>
            </w:r>
            <w:r w:rsidRPr="00EF2581">
              <w:rPr>
                <w:lang w:val="en-AU"/>
              </w:rPr>
              <w:t>: The health care provider’s perspective (Alana Streisfield, Nurun Chowdhury, Rebecca Cherniak, and H Shapiro</w:t>
            </w:r>
            <w:r>
              <w:rPr>
                <w:lang w:val="en-AU"/>
              </w:rPr>
              <w:t>)</w:t>
            </w:r>
          </w:p>
          <w:p w:rsidR="00EF2581" w:rsidRPr="00EF2581" w:rsidRDefault="00EF2581" w:rsidP="00EF2581">
            <w:pPr>
              <w:pStyle w:val="ListParagraph"/>
              <w:numPr>
                <w:ilvl w:val="0"/>
                <w:numId w:val="14"/>
              </w:numPr>
              <w:rPr>
                <w:lang w:val="en-AU"/>
              </w:rPr>
            </w:pPr>
            <w:r w:rsidRPr="00B57F49">
              <w:rPr>
                <w:b/>
                <w:lang w:val="en-AU"/>
              </w:rPr>
              <w:t>Patient complaints</w:t>
            </w:r>
            <w:r w:rsidRPr="00EF2581">
              <w:rPr>
                <w:lang w:val="en-AU"/>
              </w:rPr>
              <w:t xml:space="preserve"> as predictors of patient safety incidents (</w:t>
            </w:r>
            <w:r>
              <w:rPr>
                <w:lang w:val="en-AU"/>
              </w:rPr>
              <w:t>Helen L</w:t>
            </w:r>
            <w:r w:rsidRPr="00EF2581">
              <w:rPr>
                <w:lang w:val="en-AU"/>
              </w:rPr>
              <w:t xml:space="preserve"> Kroening, Bronwyn Kerr, James Bruce, and Iain Yardley</w:t>
            </w:r>
            <w:r>
              <w:rPr>
                <w:lang w:val="en-AU"/>
              </w:rPr>
              <w:t>)</w:t>
            </w:r>
          </w:p>
          <w:p w:rsidR="00EF2581" w:rsidRPr="00EF2581" w:rsidRDefault="00EF2581" w:rsidP="00EF2581">
            <w:pPr>
              <w:pStyle w:val="ListParagraph"/>
              <w:numPr>
                <w:ilvl w:val="0"/>
                <w:numId w:val="14"/>
              </w:numPr>
              <w:rPr>
                <w:lang w:val="en-AU"/>
              </w:rPr>
            </w:pPr>
            <w:r w:rsidRPr="00B57F49">
              <w:rPr>
                <w:b/>
                <w:lang w:val="en-AU"/>
              </w:rPr>
              <w:t>Cancer patients’ experiences</w:t>
            </w:r>
            <w:r w:rsidRPr="00EF2581">
              <w:rPr>
                <w:lang w:val="en-AU"/>
              </w:rPr>
              <w:t xml:space="preserve"> of error and consequences during diagnosis and treatment (</w:t>
            </w:r>
            <w:r>
              <w:rPr>
                <w:lang w:val="en-AU"/>
              </w:rPr>
              <w:t>Henriette Lipczak, Liv H</w:t>
            </w:r>
            <w:r w:rsidRPr="00EF2581">
              <w:rPr>
                <w:lang w:val="en-AU"/>
              </w:rPr>
              <w:t xml:space="preserve"> Dørflinger, Christine Enevoldsen, Mette M Vinter, and Jeanne L Knudsen</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Usefulness of a </w:t>
            </w:r>
            <w:r w:rsidRPr="00B57F49">
              <w:rPr>
                <w:b/>
                <w:lang w:val="en-AU"/>
              </w:rPr>
              <w:t>patient experience study</w:t>
            </w:r>
            <w:r w:rsidRPr="00EF2581">
              <w:rPr>
                <w:lang w:val="en-AU"/>
              </w:rPr>
              <w:t xml:space="preserve"> to adjust psychosocial oncology and spiritual care services according to patients’ needs (Lynda Belanger, Francois Rainville, Martin Coulombe, and Annie Tremblay</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Building </w:t>
            </w:r>
            <w:r w:rsidRPr="00B57F49">
              <w:rPr>
                <w:b/>
                <w:lang w:val="en-AU"/>
              </w:rPr>
              <w:t>national consensus on experiences of care</w:t>
            </w:r>
            <w:r w:rsidRPr="00EF2581">
              <w:rPr>
                <w:lang w:val="en-AU"/>
              </w:rPr>
              <w:t xml:space="preserve"> (Anna Baranski, Neil Churchill, and Sophie Staniszewska</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Variations in the patients’ </w:t>
            </w:r>
            <w:r w:rsidRPr="00B57F49">
              <w:rPr>
                <w:b/>
                <w:lang w:val="en-AU"/>
              </w:rPr>
              <w:t>hospital care experience</w:t>
            </w:r>
            <w:r w:rsidRPr="00EF2581">
              <w:rPr>
                <w:lang w:val="en-AU"/>
              </w:rPr>
              <w:t xml:space="preserve"> by states’ strategy for Medicaid expansion: 2009-2013 (Edmund Becker; Kenton Johnson; J Bae; J M Hockenberry</w:t>
            </w:r>
            <w:r>
              <w:rPr>
                <w:lang w:val="en-AU"/>
              </w:rPr>
              <w:t>;</w:t>
            </w:r>
            <w:r w:rsidRPr="00EF2581">
              <w:rPr>
                <w:lang w:val="en-AU"/>
              </w:rPr>
              <w:t xml:space="preserve"> A C Avgar; S Liu; I Wilson; and A Milstein</w:t>
            </w:r>
            <w:r>
              <w:rPr>
                <w:lang w:val="en-AU"/>
              </w:rPr>
              <w:t>)</w:t>
            </w:r>
          </w:p>
          <w:p w:rsidR="00EF2581" w:rsidRPr="00EF2581" w:rsidRDefault="00EF2581" w:rsidP="00EF2581">
            <w:pPr>
              <w:pStyle w:val="ListParagraph"/>
              <w:numPr>
                <w:ilvl w:val="0"/>
                <w:numId w:val="14"/>
              </w:numPr>
              <w:rPr>
                <w:lang w:val="en-AU"/>
              </w:rPr>
            </w:pPr>
            <w:r w:rsidRPr="00B57F49">
              <w:rPr>
                <w:b/>
                <w:lang w:val="en-AU"/>
              </w:rPr>
              <w:t>Health information technology</w:t>
            </w:r>
            <w:r w:rsidRPr="00EF2581">
              <w:rPr>
                <w:lang w:val="en-AU"/>
              </w:rPr>
              <w:t>: A key ingredient of the patient experience (Matthew Werder</w:t>
            </w:r>
            <w:r>
              <w:rPr>
                <w:lang w:val="en-AU"/>
              </w:rPr>
              <w:t>)</w:t>
            </w:r>
          </w:p>
          <w:p w:rsidR="00EF2581" w:rsidRPr="00EF2581" w:rsidRDefault="00EF2581" w:rsidP="00EF2581">
            <w:pPr>
              <w:pStyle w:val="ListParagraph"/>
              <w:numPr>
                <w:ilvl w:val="0"/>
                <w:numId w:val="14"/>
              </w:numPr>
              <w:rPr>
                <w:lang w:val="en-AU"/>
              </w:rPr>
            </w:pPr>
            <w:r w:rsidRPr="00EF2581">
              <w:rPr>
                <w:lang w:val="en-AU"/>
              </w:rPr>
              <w:t xml:space="preserve">The </w:t>
            </w:r>
            <w:r w:rsidRPr="00B57F49">
              <w:rPr>
                <w:b/>
                <w:lang w:val="en-AU"/>
              </w:rPr>
              <w:t>patient portal and abnormal test results</w:t>
            </w:r>
            <w:r w:rsidRPr="00EF2581">
              <w:rPr>
                <w:lang w:val="en-AU"/>
              </w:rPr>
              <w:t xml:space="preserve">: An exploratory study of patient experiences (Traber Giardina, Varsha Modi, Danielle Parrish, and </w:t>
            </w:r>
            <w:r w:rsidRPr="00EF2581">
              <w:rPr>
                <w:lang w:val="en-AU"/>
              </w:rPr>
              <w:lastRenderedPageBreak/>
              <w:t>Hardeep Singh</w:t>
            </w:r>
            <w:r>
              <w:rPr>
                <w:lang w:val="en-AU"/>
              </w:rPr>
              <w:t>)</w:t>
            </w:r>
          </w:p>
          <w:p w:rsidR="00EF2581" w:rsidRPr="0095520C" w:rsidRDefault="00EF2581" w:rsidP="00EF2581">
            <w:pPr>
              <w:pStyle w:val="ListParagraph"/>
              <w:numPr>
                <w:ilvl w:val="0"/>
                <w:numId w:val="14"/>
              </w:numPr>
              <w:rPr>
                <w:lang w:val="en-AU"/>
              </w:rPr>
            </w:pPr>
            <w:r w:rsidRPr="00EF2581">
              <w:rPr>
                <w:lang w:val="en-AU"/>
              </w:rPr>
              <w:t xml:space="preserve">Creating and integrating a new </w:t>
            </w:r>
            <w:r w:rsidRPr="00B57F49">
              <w:rPr>
                <w:b/>
                <w:lang w:val="en-AU"/>
              </w:rPr>
              <w:t>patient experience leadership</w:t>
            </w:r>
            <w:r w:rsidRPr="00EF2581">
              <w:rPr>
                <w:lang w:val="en-AU"/>
              </w:rPr>
              <w:t xml:space="preserve"> role: A consultative approach for partnering with executive and clinical leaders</w:t>
            </w:r>
            <w:r>
              <w:rPr>
                <w:lang w:val="en-AU"/>
              </w:rPr>
              <w:t xml:space="preserve"> (</w:t>
            </w:r>
            <w:r w:rsidRPr="00EF2581">
              <w:rPr>
                <w:lang w:val="en-AU"/>
              </w:rPr>
              <w:t>Denise M Kennedy</w:t>
            </w:r>
            <w:r>
              <w:rPr>
                <w:lang w:val="en-AU"/>
              </w:rPr>
              <w:t>)</w:t>
            </w:r>
          </w:p>
        </w:tc>
      </w:tr>
    </w:tbl>
    <w:p w:rsidR="00EF2581" w:rsidRDefault="00EF2581" w:rsidP="00D3278C">
      <w:pPr>
        <w:keepLines/>
        <w:autoSpaceDE w:val="0"/>
        <w:autoSpaceDN w:val="0"/>
        <w:adjustRightInd w:val="0"/>
        <w:rPr>
          <w:lang w:val="en-AU"/>
        </w:rPr>
      </w:pPr>
    </w:p>
    <w:p w:rsidR="005833F4" w:rsidRPr="00255EF8" w:rsidRDefault="005833F4" w:rsidP="005833F4">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6E09D3" w:rsidP="00AF05F3">
            <w:pPr>
              <w:rPr>
                <w:lang w:val="en-AU"/>
              </w:rPr>
            </w:pPr>
            <w:hyperlink r:id="rId29" w:history="1">
              <w:r w:rsidR="005833F4" w:rsidRPr="00255EF8">
                <w:rPr>
                  <w:rStyle w:val="Hyperlink"/>
                  <w:lang w:val="en-AU"/>
                </w:rPr>
                <w:t>http://qualitysafety.bmj.com/content/early/recent</w:t>
              </w:r>
            </w:hyperlink>
          </w:p>
        </w:tc>
      </w:tr>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i/>
                <w:lang w:val="en-AU"/>
              </w:rPr>
              <w:t>BMJ Quality and Safety</w:t>
            </w:r>
            <w:r w:rsidRPr="00255EF8">
              <w:rPr>
                <w:lang w:val="en-AU"/>
              </w:rPr>
              <w:t xml:space="preserve"> has published a number of ‘online first’ articles, including:</w:t>
            </w:r>
          </w:p>
          <w:p w:rsidR="00F670EE" w:rsidRDefault="00A07DF8" w:rsidP="00A07DF8">
            <w:pPr>
              <w:pStyle w:val="ListParagraph"/>
              <w:numPr>
                <w:ilvl w:val="0"/>
                <w:numId w:val="14"/>
              </w:numPr>
              <w:rPr>
                <w:lang w:val="en-AU"/>
              </w:rPr>
            </w:pPr>
            <w:r w:rsidRPr="00A07DF8">
              <w:rPr>
                <w:lang w:val="en-AU"/>
              </w:rPr>
              <w:t xml:space="preserve">The association of hospital prevention processes and patient risk factors with the risk of </w:t>
            </w:r>
            <w:r w:rsidRPr="00A07DF8">
              <w:rPr>
                <w:b/>
                <w:i/>
                <w:lang w:val="en-AU"/>
              </w:rPr>
              <w:t>Clostridium difficile</w:t>
            </w:r>
            <w:r w:rsidRPr="00A07DF8">
              <w:rPr>
                <w:b/>
                <w:lang w:val="en-AU"/>
              </w:rPr>
              <w:t xml:space="preserve"> infection</w:t>
            </w:r>
            <w:r w:rsidRPr="00A07DF8">
              <w:rPr>
                <w:lang w:val="en-AU"/>
              </w:rPr>
              <w:t>: a</w:t>
            </w:r>
            <w:r>
              <w:rPr>
                <w:lang w:val="en-AU"/>
              </w:rPr>
              <w:t xml:space="preserve"> population-based cohort study (</w:t>
            </w:r>
            <w:r w:rsidRPr="00A07DF8">
              <w:rPr>
                <w:lang w:val="en-AU"/>
              </w:rPr>
              <w:t>N Daneman, A Guttmann, X Wang, X Ma, D Gibson, TA Stukel</w:t>
            </w:r>
            <w:r>
              <w:rPr>
                <w:lang w:val="en-AU"/>
              </w:rPr>
              <w:t>)</w:t>
            </w:r>
          </w:p>
          <w:p w:rsidR="004E7AB5" w:rsidRDefault="004E7AB5" w:rsidP="004E7AB5">
            <w:pPr>
              <w:pStyle w:val="ListParagraph"/>
              <w:numPr>
                <w:ilvl w:val="0"/>
                <w:numId w:val="14"/>
              </w:numPr>
              <w:rPr>
                <w:lang w:val="en-AU"/>
              </w:rPr>
            </w:pPr>
            <w:r w:rsidRPr="004E7AB5">
              <w:rPr>
                <w:lang w:val="en-AU"/>
              </w:rPr>
              <w:t xml:space="preserve">A qualitative study of the variable effects of </w:t>
            </w:r>
            <w:r w:rsidRPr="004E7AB5">
              <w:rPr>
                <w:b/>
                <w:lang w:val="en-AU"/>
              </w:rPr>
              <w:t>audit and feedback in the ICU</w:t>
            </w:r>
            <w:r w:rsidRPr="004E7AB5">
              <w:rPr>
                <w:lang w:val="en-AU"/>
              </w:rPr>
              <w:t xml:space="preserve"> </w:t>
            </w:r>
            <w:r>
              <w:rPr>
                <w:lang w:val="en-AU"/>
              </w:rPr>
              <w:t>(</w:t>
            </w:r>
            <w:r w:rsidRPr="004E7AB5">
              <w:rPr>
                <w:lang w:val="en-AU"/>
              </w:rPr>
              <w:t>Tasnim Sinuff, John Muscedere, Linda Rozmovitz, Craig M Dale, Damon C Scales</w:t>
            </w:r>
            <w:r>
              <w:rPr>
                <w:lang w:val="en-AU"/>
              </w:rPr>
              <w:t>)</w:t>
            </w:r>
          </w:p>
          <w:p w:rsidR="00EF3F50" w:rsidRPr="00255EF8" w:rsidRDefault="00EF3F50" w:rsidP="00EF3F50">
            <w:pPr>
              <w:pStyle w:val="ListParagraph"/>
              <w:numPr>
                <w:ilvl w:val="0"/>
                <w:numId w:val="14"/>
              </w:numPr>
              <w:rPr>
                <w:lang w:val="en-AU"/>
              </w:rPr>
            </w:pPr>
            <w:r w:rsidRPr="00EF3F50">
              <w:rPr>
                <w:lang w:val="en-AU"/>
              </w:rPr>
              <w:t xml:space="preserve">Role of cognition in generating and mitigating </w:t>
            </w:r>
            <w:r w:rsidRPr="00EF3F50">
              <w:rPr>
                <w:b/>
                <w:lang w:val="en-AU"/>
              </w:rPr>
              <w:t>clinical errors</w:t>
            </w:r>
            <w:r w:rsidRPr="00EF3F50">
              <w:rPr>
                <w:lang w:val="en-AU"/>
              </w:rPr>
              <w:t xml:space="preserve"> </w:t>
            </w:r>
            <w:r>
              <w:rPr>
                <w:lang w:val="en-AU"/>
              </w:rPr>
              <w:t>(</w:t>
            </w:r>
            <w:r w:rsidRPr="00EF3F50">
              <w:rPr>
                <w:lang w:val="en-AU"/>
              </w:rPr>
              <w:t>Vimla L Patel, Thomas G Kannampallil, Edward H Shortliffe</w:t>
            </w:r>
            <w:r>
              <w:rPr>
                <w:lang w:val="en-AU"/>
              </w:rPr>
              <w:t>)</w:t>
            </w:r>
          </w:p>
        </w:tc>
      </w:tr>
    </w:tbl>
    <w:p w:rsidR="00557C36" w:rsidRPr="00255EF8" w:rsidRDefault="00557C36" w:rsidP="00557C36">
      <w:pPr>
        <w:keepLines/>
        <w:autoSpaceDE w:val="0"/>
        <w:autoSpaceDN w:val="0"/>
        <w:adjustRightInd w:val="0"/>
        <w:rPr>
          <w:lang w:val="en-AU"/>
        </w:rPr>
      </w:pPr>
    </w:p>
    <w:p w:rsidR="00557C36" w:rsidRPr="00255EF8" w:rsidRDefault="00557C36" w:rsidP="00557C36">
      <w:pPr>
        <w:keepNext/>
        <w:rPr>
          <w:lang w:val="en-AU"/>
        </w:rPr>
      </w:pPr>
      <w:r w:rsidRPr="00255EF8">
        <w:rPr>
          <w:i/>
          <w:lang w:val="en-AU"/>
        </w:rPr>
        <w:t xml:space="preserve">International Journal for Quality in Health Care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255EF8" w:rsidRDefault="00557C36" w:rsidP="00E345D6">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7C36" w:rsidRPr="00255EF8" w:rsidRDefault="006E09D3" w:rsidP="00E345D6">
            <w:pPr>
              <w:rPr>
                <w:lang w:val="en-AU"/>
              </w:rPr>
            </w:pPr>
            <w:hyperlink r:id="rId30" w:history="1">
              <w:r w:rsidR="00557C36" w:rsidRPr="00255EF8">
                <w:rPr>
                  <w:rStyle w:val="Hyperlink"/>
                  <w:lang w:val="en-AU"/>
                </w:rPr>
                <w:t>http://intqhc.oxfordjournals.org/content/early/recent?papetoc</w:t>
              </w:r>
            </w:hyperlink>
            <w:r w:rsidR="00557C36" w:rsidRPr="00255EF8">
              <w:rPr>
                <w:lang w:val="en-AU"/>
              </w:rPr>
              <w:t xml:space="preserve"> </w:t>
            </w:r>
          </w:p>
        </w:tc>
      </w:tr>
      <w:tr w:rsidR="00557C36" w:rsidRPr="00255EF8" w:rsidTr="00E345D6">
        <w:tc>
          <w:tcPr>
            <w:tcW w:w="1080" w:type="dxa"/>
            <w:tcBorders>
              <w:top w:val="single" w:sz="4" w:space="0" w:color="auto"/>
              <w:left w:val="single" w:sz="4" w:space="0" w:color="auto"/>
              <w:bottom w:val="single" w:sz="4" w:space="0" w:color="auto"/>
              <w:right w:val="single" w:sz="4" w:space="0" w:color="auto"/>
            </w:tcBorders>
            <w:vAlign w:val="center"/>
          </w:tcPr>
          <w:p w:rsidR="00557C36" w:rsidRPr="00180CD6" w:rsidRDefault="00557C36" w:rsidP="00E345D6">
            <w:pPr>
              <w:rPr>
                <w:lang w:val="en-AU"/>
              </w:rPr>
            </w:pPr>
            <w:r w:rsidRPr="00180CD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5360" w:rsidRPr="00180CD6" w:rsidRDefault="00557C36" w:rsidP="00F85360">
            <w:pPr>
              <w:rPr>
                <w:lang w:val="en-AU"/>
              </w:rPr>
            </w:pPr>
            <w:r w:rsidRPr="00180CD6">
              <w:rPr>
                <w:i/>
                <w:lang w:val="en-AU"/>
              </w:rPr>
              <w:t xml:space="preserve">International Journal for Quality in Health Care </w:t>
            </w:r>
            <w:r w:rsidRPr="00180CD6">
              <w:rPr>
                <w:lang w:val="en-AU"/>
              </w:rPr>
              <w:t>has published a number of ‘online first’ articles, including:</w:t>
            </w:r>
          </w:p>
          <w:p w:rsidR="00A07DF8" w:rsidRPr="00A07DF8" w:rsidRDefault="00A07DF8" w:rsidP="00A07DF8">
            <w:pPr>
              <w:pStyle w:val="ListParagraph"/>
              <w:numPr>
                <w:ilvl w:val="0"/>
                <w:numId w:val="14"/>
              </w:numPr>
              <w:rPr>
                <w:lang w:val="en-AU"/>
              </w:rPr>
            </w:pPr>
            <w:r w:rsidRPr="00A07DF8">
              <w:rPr>
                <w:lang w:val="en-AU"/>
              </w:rPr>
              <w:t xml:space="preserve">Improving </w:t>
            </w:r>
            <w:r w:rsidRPr="00A07DF8">
              <w:rPr>
                <w:b/>
                <w:lang w:val="en-AU"/>
              </w:rPr>
              <w:t>clinician–carer communication</w:t>
            </w:r>
            <w:r w:rsidRPr="00A07DF8">
              <w:rPr>
                <w:lang w:val="en-AU"/>
              </w:rPr>
              <w:t xml:space="preserve"> for safer hospital care: a study of the ‘TOP 5’ strategy in patients with dementia</w:t>
            </w:r>
            <w:r>
              <w:rPr>
                <w:lang w:val="en-AU"/>
              </w:rPr>
              <w:t xml:space="preserve"> (</w:t>
            </w:r>
            <w:r w:rsidRPr="00A07DF8">
              <w:rPr>
                <w:lang w:val="en-AU"/>
              </w:rPr>
              <w:t>Karen Luxford, Anne Axam, Fiona Hasnip, John Dobrohotoff, Maureen Strudwick, Rebecca Reeve, Changhao Hou, and Rosalie Viney</w:t>
            </w:r>
            <w:r>
              <w:rPr>
                <w:lang w:val="en-AU"/>
              </w:rPr>
              <w:t>)</w:t>
            </w:r>
          </w:p>
          <w:p w:rsidR="00557C36" w:rsidRPr="00180CD6" w:rsidRDefault="00A07DF8" w:rsidP="00A07DF8">
            <w:pPr>
              <w:pStyle w:val="ListParagraph"/>
              <w:numPr>
                <w:ilvl w:val="0"/>
                <w:numId w:val="14"/>
              </w:numPr>
              <w:rPr>
                <w:lang w:val="en-AU"/>
              </w:rPr>
            </w:pPr>
            <w:r w:rsidRPr="00A07DF8">
              <w:rPr>
                <w:lang w:val="en-AU"/>
              </w:rPr>
              <w:t xml:space="preserve">Attitudes towards vital signs monitoring in the detection of </w:t>
            </w:r>
            <w:r w:rsidRPr="00A07DF8">
              <w:rPr>
                <w:b/>
                <w:lang w:val="en-AU"/>
              </w:rPr>
              <w:t>clinical deterioration</w:t>
            </w:r>
            <w:r w:rsidRPr="00A07DF8">
              <w:rPr>
                <w:lang w:val="en-AU"/>
              </w:rPr>
              <w:t>: scale development and survey of ward nurses</w:t>
            </w:r>
            <w:r>
              <w:rPr>
                <w:lang w:val="en-AU"/>
              </w:rPr>
              <w:t xml:space="preserve"> (</w:t>
            </w:r>
            <w:r w:rsidRPr="00A07DF8">
              <w:rPr>
                <w:lang w:val="en-AU"/>
              </w:rPr>
              <w:t>Wenqi Mok, Wenru Wang, Simon Cooper, Emily Neo Kim Ang, and Sok Ying Liaw</w:t>
            </w:r>
            <w:r>
              <w:rPr>
                <w:lang w:val="en-AU"/>
              </w:rPr>
              <w:t>)</w:t>
            </w:r>
          </w:p>
        </w:tc>
      </w:tr>
    </w:tbl>
    <w:p w:rsidR="00557C36" w:rsidRDefault="00557C36" w:rsidP="00557C36">
      <w:pPr>
        <w:rPr>
          <w:lang w:val="en-AU"/>
        </w:rPr>
      </w:pPr>
    </w:p>
    <w:p w:rsidR="00314FB0" w:rsidRDefault="00314FB0" w:rsidP="00557C36">
      <w:pPr>
        <w:rPr>
          <w:lang w:val="en-AU"/>
        </w:rPr>
      </w:pPr>
    </w:p>
    <w:p w:rsidR="00590FB6" w:rsidRPr="00255EF8" w:rsidRDefault="00590FB6" w:rsidP="00036565">
      <w:pPr>
        <w:rPr>
          <w:b/>
          <w:lang w:val="en-AU"/>
        </w:rPr>
      </w:pPr>
      <w:r w:rsidRPr="00255EF8">
        <w:rPr>
          <w:b/>
          <w:lang w:val="en-AU"/>
        </w:rPr>
        <w:t>Online resources</w:t>
      </w:r>
    </w:p>
    <w:p w:rsidR="000668CC" w:rsidRDefault="000668CC" w:rsidP="0029518F">
      <w:pPr>
        <w:rPr>
          <w:lang w:val="en-AU"/>
        </w:rPr>
      </w:pPr>
    </w:p>
    <w:p w:rsidR="003A5F9D" w:rsidRPr="00255EF8" w:rsidRDefault="003A5F9D" w:rsidP="003A5F9D">
      <w:pPr>
        <w:rPr>
          <w:i/>
          <w:lang w:val="en-AU"/>
        </w:rPr>
      </w:pPr>
      <w:r w:rsidRPr="00255EF8">
        <w:rPr>
          <w:i/>
          <w:lang w:val="en-AU"/>
        </w:rPr>
        <w:t>[USA] Effective Health Care Program reports</w:t>
      </w:r>
    </w:p>
    <w:p w:rsidR="003A5F9D" w:rsidRPr="00255EF8" w:rsidRDefault="006E09D3" w:rsidP="003A5F9D">
      <w:pPr>
        <w:rPr>
          <w:lang w:val="en-AU"/>
        </w:rPr>
      </w:pPr>
      <w:hyperlink r:id="rId31" w:history="1">
        <w:r w:rsidR="003A5F9D" w:rsidRPr="00255EF8">
          <w:rPr>
            <w:rStyle w:val="Hyperlink"/>
            <w:lang w:val="en-AU"/>
          </w:rPr>
          <w:t>http://effectivehealthcare.ahrq.gov/</w:t>
        </w:r>
      </w:hyperlink>
    </w:p>
    <w:p w:rsidR="003A5F9D" w:rsidRPr="00255EF8" w:rsidRDefault="003A5F9D" w:rsidP="003A5F9D">
      <w:pPr>
        <w:rPr>
          <w:lang w:val="en-AU"/>
        </w:rPr>
      </w:pPr>
      <w:r w:rsidRPr="00255EF8">
        <w:rPr>
          <w:lang w:val="en-AU"/>
        </w:rPr>
        <w:t>The US Agency for Healthcare Research and Quality (AHRQ) has an Effective Health Care (EHC) Program. The EHC has released the following final reports and updates:</w:t>
      </w:r>
    </w:p>
    <w:p w:rsidR="003A5F9D" w:rsidRPr="003A5F9D" w:rsidRDefault="003A5F9D" w:rsidP="003A5F9D">
      <w:pPr>
        <w:pStyle w:val="ListParagraph"/>
        <w:numPr>
          <w:ilvl w:val="0"/>
          <w:numId w:val="32"/>
        </w:numPr>
        <w:rPr>
          <w:lang w:val="en-AU"/>
        </w:rPr>
      </w:pPr>
      <w:r w:rsidRPr="003A5F9D">
        <w:rPr>
          <w:i/>
          <w:lang w:val="en-AU"/>
        </w:rPr>
        <w:t>Management of Postpartum Hemorrhage</w:t>
      </w:r>
      <w:r w:rsidRPr="003A5F9D">
        <w:rPr>
          <w:lang w:val="en-AU"/>
        </w:rPr>
        <w:t xml:space="preserve"> </w:t>
      </w:r>
      <w:hyperlink r:id="rId32" w:history="1">
        <w:r w:rsidRPr="00BB4FEB">
          <w:rPr>
            <w:rStyle w:val="Hyperlink"/>
            <w:lang w:val="en-AU"/>
          </w:rPr>
          <w:t>http://www.effectivehealthcare.ahrq.gov/search-for-guides-reviews-and-reports/?pageaction=displayproduct&amp;productID=2078</w:t>
        </w:r>
      </w:hyperlink>
    </w:p>
    <w:p w:rsidR="003A5F9D" w:rsidRPr="003A5F9D" w:rsidRDefault="003A5F9D" w:rsidP="003A5F9D">
      <w:pPr>
        <w:pStyle w:val="ListParagraph"/>
        <w:numPr>
          <w:ilvl w:val="0"/>
          <w:numId w:val="32"/>
        </w:numPr>
        <w:rPr>
          <w:lang w:val="en-AU"/>
        </w:rPr>
      </w:pPr>
      <w:r w:rsidRPr="003A5F9D">
        <w:rPr>
          <w:i/>
          <w:lang w:val="en-AU"/>
        </w:rPr>
        <w:t>Discontinuation of Disease-Modifying Treatment for Multiple Sclerosis</w:t>
      </w:r>
      <w:r w:rsidRPr="003A5F9D">
        <w:rPr>
          <w:lang w:val="en-AU"/>
        </w:rPr>
        <w:t xml:space="preserve"> </w:t>
      </w:r>
      <w:hyperlink r:id="rId33" w:history="1">
        <w:r w:rsidRPr="00BB4FEB">
          <w:rPr>
            <w:rStyle w:val="Hyperlink"/>
            <w:lang w:val="en-AU"/>
          </w:rPr>
          <w:t>http://www.effectivehealthcare.ahrq.gov/search-for-guides-reviews-and-reports/?pageaction=displayproduct&amp;productID=2076</w:t>
        </w:r>
      </w:hyperlink>
    </w:p>
    <w:p w:rsidR="00314FB0" w:rsidRDefault="00314FB0" w:rsidP="0029518F">
      <w:pPr>
        <w:rPr>
          <w:lang w:val="en-AU"/>
        </w:rPr>
      </w:pPr>
    </w:p>
    <w:p w:rsidR="00770913" w:rsidRPr="00255EF8" w:rsidRDefault="00770913" w:rsidP="00EE6723">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D3" w:rsidRDefault="006E09D3">
      <w:r>
        <w:separator/>
      </w:r>
    </w:p>
  </w:endnote>
  <w:endnote w:type="continuationSeparator" w:id="0">
    <w:p w:rsidR="006E09D3" w:rsidRDefault="006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65A4F">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10728">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A4F">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310728">
      <w:t xml:space="preserve"> Issue 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D3" w:rsidRDefault="006E09D3">
      <w:r>
        <w:separator/>
      </w:r>
    </w:p>
  </w:footnote>
  <w:footnote w:type="continuationSeparator" w:id="0">
    <w:p w:rsidR="006E09D3" w:rsidRDefault="006E0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7"/>
  </w:num>
  <w:num w:numId="15">
    <w:abstractNumId w:val="26"/>
  </w:num>
  <w:num w:numId="16">
    <w:abstractNumId w:val="28"/>
  </w:num>
  <w:num w:numId="17">
    <w:abstractNumId w:val="12"/>
  </w:num>
  <w:num w:numId="18">
    <w:abstractNumId w:val="22"/>
  </w:num>
  <w:num w:numId="19">
    <w:abstractNumId w:val="14"/>
  </w:num>
  <w:num w:numId="20">
    <w:abstractNumId w:val="13"/>
  </w:num>
  <w:num w:numId="21">
    <w:abstractNumId w:val="19"/>
  </w:num>
  <w:num w:numId="22">
    <w:abstractNumId w:val="11"/>
  </w:num>
  <w:num w:numId="23">
    <w:abstractNumId w:val="18"/>
  </w:num>
  <w:num w:numId="24">
    <w:abstractNumId w:val="15"/>
  </w:num>
  <w:num w:numId="25">
    <w:abstractNumId w:val="24"/>
  </w:num>
  <w:num w:numId="26">
    <w:abstractNumId w:val="29"/>
  </w:num>
  <w:num w:numId="27">
    <w:abstractNumId w:val="10"/>
  </w:num>
  <w:num w:numId="28">
    <w:abstractNumId w:val="31"/>
  </w:num>
  <w:num w:numId="29">
    <w:abstractNumId w:val="30"/>
  </w:num>
  <w:num w:numId="30">
    <w:abstractNumId w:val="21"/>
  </w:num>
  <w:num w:numId="31">
    <w:abstractNumId w:val="27"/>
  </w:num>
  <w:num w:numId="3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565"/>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1268"/>
    <w:rsid w:val="003A1813"/>
    <w:rsid w:val="003A18E5"/>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F3"/>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E9A"/>
    <w:rsid w:val="00445461"/>
    <w:rsid w:val="0044572A"/>
    <w:rsid w:val="0044593B"/>
    <w:rsid w:val="00445BC6"/>
    <w:rsid w:val="00445FCE"/>
    <w:rsid w:val="00446549"/>
    <w:rsid w:val="00446603"/>
    <w:rsid w:val="004468E0"/>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6173"/>
    <w:rsid w:val="008F66F1"/>
    <w:rsid w:val="008F6BE3"/>
    <w:rsid w:val="008F7A64"/>
    <w:rsid w:val="008F7D35"/>
    <w:rsid w:val="00900ECD"/>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2AD6"/>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220"/>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EC0"/>
    <w:rsid w:val="00D32257"/>
    <w:rsid w:val="00D324AE"/>
    <w:rsid w:val="00D3278C"/>
    <w:rsid w:val="00D32B20"/>
    <w:rsid w:val="00D32D07"/>
    <w:rsid w:val="00D3309B"/>
    <w:rsid w:val="00D33321"/>
    <w:rsid w:val="00D333B9"/>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266"/>
    <w:rsid w:val="00D553FB"/>
    <w:rsid w:val="00D55905"/>
    <w:rsid w:val="00D56134"/>
    <w:rsid w:val="00D566A3"/>
    <w:rsid w:val="00D56931"/>
    <w:rsid w:val="00D56A75"/>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A74"/>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drfoster.com/updates/recent-publications/uses-and-abuses-of-performance-data-in-healthcare/" TargetMode="External"/><Relationship Id="rId26" Type="http://schemas.openxmlformats.org/officeDocument/2006/relationships/hyperlink" Target="http://www.safetyandquality.gov.au/our-work/accreditation-and-the-nsqhs-standards/" TargetMode="External"/><Relationship Id="rId3" Type="http://schemas.openxmlformats.org/officeDocument/2006/relationships/styles" Target="styles.xml"/><Relationship Id="rId21" Type="http://schemas.openxmlformats.org/officeDocument/2006/relationships/hyperlink" Target="http://dx.doi.org/10.1177/104990911558184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open-disclosure/" TargetMode="External"/><Relationship Id="rId25" Type="http://schemas.openxmlformats.org/officeDocument/2006/relationships/hyperlink" Target="http://dx.doi.org/10.1071/AH14088" TargetMode="External"/><Relationship Id="rId33" Type="http://schemas.openxmlformats.org/officeDocument/2006/relationships/hyperlink" Target="http://www.effectivehealthcare.ahrq.gov/search-for-guides-reviews-and-reports/?pageaction=displayproduct&amp;productID=2076" TargetMode="External"/><Relationship Id="rId2" Type="http://schemas.openxmlformats.org/officeDocument/2006/relationships/numbering" Target="numbering.xml"/><Relationship Id="rId16" Type="http://schemas.openxmlformats.org/officeDocument/2006/relationships/hyperlink" Target="http://www.rcseng.ac.uk/news/rcs-launches-first-professional-guide-on-duty-of-candour" TargetMode="External"/><Relationship Id="rId20" Type="http://schemas.openxmlformats.org/officeDocument/2006/relationships/image" Target="media/image2.png"/><Relationship Id="rId29" Type="http://schemas.openxmlformats.org/officeDocument/2006/relationships/hyperlink" Target="http://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healthcare-associated-infection/" TargetMode="External"/><Relationship Id="rId32" Type="http://schemas.openxmlformats.org/officeDocument/2006/relationships/hyperlink" Target="http://www.effectivehealthcare.ahrq.gov/search-for-guides-reviews-and-reports/?pageaction=displayproduct&amp;productID=207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qs-2014-003863" TargetMode="External"/><Relationship Id="rId28" Type="http://schemas.openxmlformats.org/officeDocument/2006/relationships/hyperlink" Target="http://pxjournal.org/journal/vol2/iss1/"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iom.edu/Reports/2015/Vital-Signs-Core-Metrics.aspx" TargetMode="External"/><Relationship Id="rId31" Type="http://schemas.openxmlformats.org/officeDocument/2006/relationships/hyperlink" Target="http://effectivehealthcare.ahrq.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recognising-and-responding-to-clinical-deterioration/end-of-life-care-in-acute-hospitals/" TargetMode="External"/><Relationship Id="rId27" Type="http://schemas.openxmlformats.org/officeDocument/2006/relationships/hyperlink" Target="http://ajm.sagepub.com/content/30/3?etoc" TargetMode="External"/><Relationship Id="rId30" Type="http://schemas.openxmlformats.org/officeDocument/2006/relationships/hyperlink" Target="http://intqhc.oxfordjournals.org/content/early/recent?papetoc"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F352-112F-4AA7-936B-41D4F9DC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7</Pages>
  <Words>2808</Words>
  <Characters>17469</Characters>
  <Application>Microsoft Office Word</Application>
  <DocSecurity>0</DocSecurity>
  <Lines>388</Lines>
  <Paragraphs>194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20083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2013-06-06T03:47:00Z</cp:lastPrinted>
  <dcterms:created xsi:type="dcterms:W3CDTF">2015-04-26T21:59:00Z</dcterms:created>
  <dcterms:modified xsi:type="dcterms:W3CDTF">2015-05-03T07:31:00Z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