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55EF8" w:rsidRDefault="00824B99" w:rsidP="00A420BD">
      <w:pPr>
        <w:pStyle w:val="Heading1"/>
        <w:ind w:left="720" w:hanging="720"/>
        <w:jc w:val="both"/>
        <w:rPr>
          <w:rFonts w:ascii="Bookman Old Style" w:hAnsi="Bookman Old Style"/>
          <w:sz w:val="48"/>
          <w:szCs w:val="48"/>
          <w:lang w:val="en-AU"/>
        </w:rPr>
      </w:pPr>
      <w:r w:rsidRPr="00255EF8">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FD2ABB1" wp14:editId="70116F8D">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sidR="00B160EF" w:rsidRPr="00255EF8">
        <w:rPr>
          <w:rFonts w:ascii="Bookman Old Style" w:hAnsi="Bookman Old Style"/>
          <w:sz w:val="48"/>
          <w:szCs w:val="48"/>
          <w:lang w:val="en-AU"/>
        </w:rPr>
        <w:t>On the Radar</w:t>
      </w:r>
    </w:p>
    <w:p w:rsidR="00B160EF" w:rsidRPr="00255EF8" w:rsidRDefault="00715F47" w:rsidP="00B160EF">
      <w:pPr>
        <w:rPr>
          <w:color w:val="000000"/>
          <w:lang w:val="en-AU"/>
        </w:rPr>
      </w:pPr>
      <w:r w:rsidRPr="00255EF8">
        <w:rPr>
          <w:color w:val="000000"/>
          <w:lang w:val="en-AU"/>
        </w:rPr>
        <w:t xml:space="preserve">Issue </w:t>
      </w:r>
      <w:r w:rsidR="00755242" w:rsidRPr="00255EF8">
        <w:rPr>
          <w:color w:val="000000"/>
          <w:lang w:val="en-AU"/>
        </w:rPr>
        <w:t>2</w:t>
      </w:r>
      <w:r w:rsidR="00614EFB">
        <w:rPr>
          <w:color w:val="000000"/>
          <w:lang w:val="en-AU"/>
        </w:rPr>
        <w:t>25</w:t>
      </w:r>
    </w:p>
    <w:p w:rsidR="00755242" w:rsidRPr="00255EF8" w:rsidRDefault="00614EFB" w:rsidP="00B160EF">
      <w:pPr>
        <w:rPr>
          <w:lang w:val="en-AU"/>
        </w:rPr>
      </w:pPr>
      <w:r>
        <w:rPr>
          <w:lang w:val="en-AU"/>
        </w:rPr>
        <w:t>1 June</w:t>
      </w:r>
      <w:r w:rsidR="009233ED" w:rsidRPr="00255EF8">
        <w:rPr>
          <w:lang w:val="en-AU"/>
        </w:rPr>
        <w:t xml:space="preserve"> 2015</w:t>
      </w:r>
    </w:p>
    <w:p w:rsidR="00566895" w:rsidRPr="00255EF8" w:rsidRDefault="00566895" w:rsidP="00B160EF">
      <w:pPr>
        <w:rPr>
          <w:lang w:val="en-AU"/>
        </w:rPr>
      </w:pPr>
    </w:p>
    <w:p w:rsidR="00B160EF" w:rsidRPr="00255EF8" w:rsidRDefault="00B160EF" w:rsidP="00B160EF">
      <w:pPr>
        <w:rPr>
          <w:b/>
          <w:lang w:val="en-AU"/>
        </w:rPr>
      </w:pPr>
      <w:r w:rsidRPr="00255EF8">
        <w:rPr>
          <w:i/>
          <w:lang w:val="en-AU"/>
        </w:rPr>
        <w:t>On the Radar</w:t>
      </w:r>
      <w:r w:rsidRPr="00255EF8">
        <w:rPr>
          <w:lang w:val="en-AU"/>
        </w:rPr>
        <w:t xml:space="preserve"> is a summary of some of the recent publications in </w:t>
      </w:r>
      <w:r w:rsidR="000025DB" w:rsidRPr="00255EF8">
        <w:rPr>
          <w:lang w:val="en-AU"/>
        </w:rPr>
        <w:t>the</w:t>
      </w:r>
      <w:r w:rsidRPr="00255EF8">
        <w:rPr>
          <w:lang w:val="en-AU"/>
        </w:rPr>
        <w:t xml:space="preserve"> areas of safety and quality in health care. Inclusion in this document is not an endorsement or recommendation of any publication or provider.</w:t>
      </w:r>
      <w:r w:rsidR="00594E21">
        <w:rPr>
          <w:lang w:val="en-AU"/>
        </w:rPr>
        <w:t xml:space="preserve"> </w:t>
      </w:r>
      <w:r w:rsidRPr="00255EF8">
        <w:rPr>
          <w:lang w:val="en-AU"/>
        </w:rPr>
        <w:t>Access to particular documents may depend on whether they are Open Access or not, and/or your individual or institutional access to subscription sites/services.</w:t>
      </w:r>
      <w:r w:rsidR="00F460A7" w:rsidRPr="00255EF8">
        <w:rPr>
          <w:lang w:val="en-AU"/>
        </w:rPr>
        <w:t xml:space="preserve"> Material that may require subscription is included as it is considered relevant.</w:t>
      </w:r>
    </w:p>
    <w:p w:rsidR="00B160EF" w:rsidRPr="00255EF8" w:rsidRDefault="00B160EF" w:rsidP="00B160EF">
      <w:pPr>
        <w:rPr>
          <w:lang w:val="en-AU"/>
        </w:rPr>
      </w:pPr>
    </w:p>
    <w:p w:rsidR="00230D83" w:rsidRPr="00255EF8" w:rsidRDefault="00B160EF" w:rsidP="0045757F">
      <w:pPr>
        <w:autoSpaceDE w:val="0"/>
        <w:rPr>
          <w:lang w:val="en-AU"/>
        </w:rPr>
      </w:pPr>
      <w:r w:rsidRPr="00255EF8">
        <w:rPr>
          <w:i/>
          <w:lang w:val="en-AU"/>
        </w:rPr>
        <w:t>On the Radar</w:t>
      </w:r>
      <w:r w:rsidRPr="00255EF8">
        <w:rPr>
          <w:lang w:val="en-AU"/>
        </w:rPr>
        <w:t xml:space="preserve"> is available </w:t>
      </w:r>
      <w:r w:rsidR="003D1E7A" w:rsidRPr="00255EF8">
        <w:rPr>
          <w:lang w:val="en-AU"/>
        </w:rPr>
        <w:t xml:space="preserve">online, </w:t>
      </w:r>
      <w:r w:rsidRPr="00255EF8">
        <w:rPr>
          <w:lang w:val="en-AU"/>
        </w:rPr>
        <w:t xml:space="preserve">via email or as a PDF document from </w:t>
      </w:r>
      <w:hyperlink r:id="rId10" w:history="1">
        <w:r w:rsidR="00230D83" w:rsidRPr="00255EF8">
          <w:rPr>
            <w:rStyle w:val="Hyperlink"/>
            <w:lang w:val="en-AU"/>
          </w:rPr>
          <w:t>http://www.safetyandquality.gov.au/publications-resources/on-the-radar/</w:t>
        </w:r>
      </w:hyperlink>
    </w:p>
    <w:p w:rsidR="0090536C" w:rsidRPr="00255EF8" w:rsidRDefault="0090536C" w:rsidP="0045757F">
      <w:pPr>
        <w:autoSpaceDE w:val="0"/>
        <w:rPr>
          <w:lang w:val="en-AU"/>
        </w:rPr>
      </w:pPr>
    </w:p>
    <w:p w:rsidR="00B160EF" w:rsidRPr="00255EF8" w:rsidRDefault="00B160EF" w:rsidP="0045757F">
      <w:pPr>
        <w:autoSpaceDE w:val="0"/>
        <w:rPr>
          <w:lang w:val="en-AU"/>
        </w:rPr>
      </w:pPr>
      <w:r w:rsidRPr="00255EF8">
        <w:rPr>
          <w:lang w:val="en-AU"/>
        </w:rPr>
        <w:t xml:space="preserve">If you would like to receive </w:t>
      </w:r>
      <w:r w:rsidRPr="00255EF8">
        <w:rPr>
          <w:i/>
          <w:lang w:val="en-AU"/>
        </w:rPr>
        <w:t>On the Radar</w:t>
      </w:r>
      <w:r w:rsidRPr="00255EF8">
        <w:rPr>
          <w:lang w:val="en-AU"/>
        </w:rPr>
        <w:t xml:space="preserve"> via email</w:t>
      </w:r>
      <w:r w:rsidR="003D7B9E" w:rsidRPr="00255EF8">
        <w:rPr>
          <w:lang w:val="en-AU"/>
        </w:rPr>
        <w:t>, you can</w:t>
      </w:r>
      <w:r w:rsidR="00F24F60" w:rsidRPr="00255EF8">
        <w:rPr>
          <w:lang w:val="en-AU"/>
        </w:rPr>
        <w:t xml:space="preserve"> subscribe on our website </w:t>
      </w:r>
      <w:hyperlink r:id="rId11" w:history="1">
        <w:r w:rsidR="00F24F60" w:rsidRPr="00255EF8">
          <w:rPr>
            <w:rStyle w:val="Hyperlink"/>
            <w:lang w:val="en-AU"/>
          </w:rPr>
          <w:t>http://www.safetyandquality.gov.au/</w:t>
        </w:r>
      </w:hyperlink>
      <w:r w:rsidR="003D7B9E" w:rsidRPr="00255EF8">
        <w:rPr>
          <w:lang w:val="en-AU"/>
        </w:rPr>
        <w:t xml:space="preserve"> or by emailing us at </w:t>
      </w:r>
      <w:r w:rsidR="003D7B9E" w:rsidRPr="00255EF8">
        <w:rPr>
          <w:rFonts w:ascii="ZWAdobeF" w:hAnsi="ZWAdobeF" w:cs="ZWAdobeF"/>
          <w:sz w:val="2"/>
          <w:szCs w:val="2"/>
          <w:lang w:val="en-AU"/>
        </w:rPr>
        <w:t>H</w:t>
      </w:r>
      <w:hyperlink r:id="rId12"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 xml:space="preserve">. </w:t>
      </w:r>
      <w:r w:rsidR="00E51D23" w:rsidRPr="00255EF8">
        <w:rPr>
          <w:lang w:val="en-AU"/>
        </w:rPr>
        <w:br/>
      </w:r>
      <w:r w:rsidR="003D7B9E" w:rsidRPr="00255EF8">
        <w:rPr>
          <w:lang w:val="en-AU"/>
        </w:rPr>
        <w:t xml:space="preserve">You can also send feedback and comments to </w:t>
      </w:r>
      <w:r w:rsidR="003D7B9E" w:rsidRPr="00255EF8">
        <w:rPr>
          <w:rFonts w:ascii="ZWAdobeF" w:hAnsi="ZWAdobeF" w:cs="ZWAdobeF"/>
          <w:sz w:val="2"/>
          <w:szCs w:val="2"/>
          <w:lang w:val="en-AU"/>
        </w:rPr>
        <w:t>H</w:t>
      </w:r>
      <w:hyperlink r:id="rId13"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w:t>
      </w:r>
    </w:p>
    <w:p w:rsidR="00B160EF" w:rsidRPr="00255EF8" w:rsidRDefault="00B160EF" w:rsidP="00837FC4">
      <w:pPr>
        <w:tabs>
          <w:tab w:val="left" w:pos="7773"/>
        </w:tabs>
        <w:rPr>
          <w:lang w:val="en-AU"/>
        </w:rPr>
      </w:pPr>
    </w:p>
    <w:p w:rsidR="00837FC4" w:rsidRPr="00255EF8" w:rsidRDefault="00B160EF" w:rsidP="004554DB">
      <w:pPr>
        <w:autoSpaceDE w:val="0"/>
        <w:rPr>
          <w:lang w:val="en-AU"/>
        </w:rPr>
      </w:pPr>
      <w:bookmarkStart w:id="1" w:name="OLE_LINK1"/>
      <w:r w:rsidRPr="00255EF8">
        <w:rPr>
          <w:lang w:val="en-AU"/>
        </w:rPr>
        <w:t xml:space="preserve">For information about the Commission and its programs and publications, please visit </w:t>
      </w:r>
      <w:hyperlink r:id="rId14" w:history="1">
        <w:r w:rsidR="00837FC4" w:rsidRPr="00255EF8">
          <w:rPr>
            <w:rStyle w:val="Hyperlink"/>
            <w:lang w:val="en-AU"/>
          </w:rPr>
          <w:t>http://www.safetyandquality.gov.au</w:t>
        </w:r>
      </w:hyperlink>
    </w:p>
    <w:p w:rsidR="009233ED" w:rsidRDefault="004554DB" w:rsidP="004554DB">
      <w:pPr>
        <w:autoSpaceDE w:val="0"/>
        <w:rPr>
          <w:lang w:val="en-AU"/>
        </w:rPr>
      </w:pPr>
      <w:r w:rsidRPr="00255EF8">
        <w:rPr>
          <w:lang w:val="en-AU"/>
        </w:rPr>
        <w:t>You can also follow us on Twitter @ACSQHC.</w:t>
      </w:r>
    </w:p>
    <w:p w:rsidR="0054703F" w:rsidRPr="00255EF8" w:rsidRDefault="0054703F" w:rsidP="004554DB">
      <w:pPr>
        <w:autoSpaceDE w:val="0"/>
        <w:rPr>
          <w:lang w:val="en-AU"/>
        </w:rPr>
      </w:pPr>
    </w:p>
    <w:p w:rsidR="00210235" w:rsidRPr="00255EF8" w:rsidRDefault="00210235" w:rsidP="00210235">
      <w:pPr>
        <w:keepNext/>
        <w:pBdr>
          <w:top w:val="single" w:sz="4" w:space="1" w:color="auto"/>
        </w:pBdr>
        <w:rPr>
          <w:b/>
          <w:lang w:val="en-AU"/>
        </w:rPr>
      </w:pPr>
      <w:r w:rsidRPr="00255EF8">
        <w:rPr>
          <w:b/>
          <w:lang w:val="en-AU"/>
        </w:rPr>
        <w:t>On the Radar</w:t>
      </w:r>
    </w:p>
    <w:p w:rsidR="00340157" w:rsidRPr="00255EF8" w:rsidRDefault="00340157" w:rsidP="00210235">
      <w:pPr>
        <w:keepNext/>
        <w:pBdr>
          <w:top w:val="single" w:sz="4" w:space="1" w:color="auto"/>
        </w:pBdr>
        <w:rPr>
          <w:bCs/>
          <w:lang w:val="en-AU"/>
        </w:rPr>
      </w:pPr>
      <w:r w:rsidRPr="00255EF8">
        <w:rPr>
          <w:bCs/>
          <w:lang w:val="en-AU"/>
        </w:rPr>
        <w:t xml:space="preserve">Editor: </w:t>
      </w:r>
      <w:r w:rsidR="00C8085B" w:rsidRPr="00255EF8">
        <w:rPr>
          <w:bCs/>
          <w:lang w:val="en-AU"/>
        </w:rPr>
        <w:t xml:space="preserve">Dr </w:t>
      </w:r>
      <w:r w:rsidRPr="00255EF8">
        <w:rPr>
          <w:bCs/>
          <w:lang w:val="en-AU"/>
        </w:rPr>
        <w:t xml:space="preserve">Niall Johnson </w:t>
      </w:r>
      <w:hyperlink r:id="rId15" w:history="1">
        <w:r w:rsidRPr="00255EF8">
          <w:rPr>
            <w:rStyle w:val="Hyperlink"/>
            <w:bCs/>
            <w:lang w:val="en-AU"/>
          </w:rPr>
          <w:t>niall.johnson@safetyandquality.gov.au</w:t>
        </w:r>
      </w:hyperlink>
    </w:p>
    <w:p w:rsidR="009A35BE" w:rsidRPr="00255EF8" w:rsidRDefault="00210235" w:rsidP="00A8296D">
      <w:pPr>
        <w:keepNext/>
        <w:pBdr>
          <w:top w:val="single" w:sz="4" w:space="1" w:color="auto"/>
        </w:pBdr>
        <w:rPr>
          <w:shd w:val="clear" w:color="auto" w:fill="FFFFFF"/>
          <w:lang w:val="en-AU"/>
        </w:rPr>
      </w:pPr>
      <w:r w:rsidRPr="00255EF8">
        <w:rPr>
          <w:bCs/>
          <w:lang w:val="en-AU"/>
        </w:rPr>
        <w:t xml:space="preserve">Contributors: </w:t>
      </w:r>
      <w:r w:rsidR="0056339A" w:rsidRPr="00255EF8">
        <w:rPr>
          <w:bCs/>
          <w:lang w:val="en-AU"/>
        </w:rPr>
        <w:t>Niall Johnson</w:t>
      </w:r>
      <w:bookmarkEnd w:id="1"/>
    </w:p>
    <w:p w:rsidR="00F34D09" w:rsidRDefault="00F34D09" w:rsidP="00F34D09">
      <w:pPr>
        <w:rPr>
          <w:shd w:val="clear" w:color="auto" w:fill="FFFFFF"/>
          <w:lang w:val="en-AU"/>
        </w:rPr>
      </w:pPr>
    </w:p>
    <w:p w:rsidR="00790484" w:rsidRDefault="00790484" w:rsidP="00F34D09">
      <w:pPr>
        <w:rPr>
          <w:shd w:val="clear" w:color="auto" w:fill="FFFFFF"/>
          <w:lang w:val="en-AU"/>
        </w:rPr>
      </w:pPr>
    </w:p>
    <w:p w:rsidR="00BF3158" w:rsidRPr="00BF3158" w:rsidRDefault="00BF3158" w:rsidP="00BF3158">
      <w:pPr>
        <w:keepNext/>
        <w:autoSpaceDE w:val="0"/>
        <w:autoSpaceDN w:val="0"/>
        <w:adjustRightInd w:val="0"/>
        <w:rPr>
          <w:b/>
          <w:lang w:val="en-AU"/>
        </w:rPr>
      </w:pPr>
      <w:r w:rsidRPr="00BF3158">
        <w:rPr>
          <w:b/>
          <w:lang w:val="en-AU"/>
        </w:rPr>
        <w:t>Consultation on draft Delirium and Hip Fracture Care Clinical Care Standards</w:t>
      </w:r>
    </w:p>
    <w:p w:rsidR="005F077C" w:rsidRDefault="00BF3158" w:rsidP="005F077C">
      <w:pPr>
        <w:keepNext/>
        <w:autoSpaceDE w:val="0"/>
        <w:autoSpaceDN w:val="0"/>
        <w:adjustRightInd w:val="0"/>
        <w:rPr>
          <w:lang w:val="en-AU"/>
        </w:rPr>
      </w:pPr>
      <w:r w:rsidRPr="00BF3158">
        <w:rPr>
          <w:lang w:val="en-AU"/>
        </w:rPr>
        <w:t xml:space="preserve">In collaboration with consumers, clinicians, researchers and health service organisations, the </w:t>
      </w:r>
      <w:r>
        <w:rPr>
          <w:lang w:val="en-AU"/>
        </w:rPr>
        <w:t xml:space="preserve">Australian </w:t>
      </w:r>
      <w:r w:rsidRPr="00BF3158">
        <w:rPr>
          <w:lang w:val="en-AU"/>
        </w:rPr>
        <w:t xml:space="preserve">Commission </w:t>
      </w:r>
      <w:r>
        <w:rPr>
          <w:lang w:val="en-AU"/>
        </w:rPr>
        <w:t xml:space="preserve">on Safety and Quality in Health Care </w:t>
      </w:r>
      <w:r w:rsidRPr="00BF3158">
        <w:rPr>
          <w:lang w:val="en-AU"/>
        </w:rPr>
        <w:t>has developed two draft Clinical Care Standards</w:t>
      </w:r>
      <w:r>
        <w:rPr>
          <w:lang w:val="en-AU"/>
        </w:rPr>
        <w:t xml:space="preserve">: </w:t>
      </w:r>
      <w:r w:rsidR="005F077C" w:rsidRPr="005F077C">
        <w:rPr>
          <w:i/>
          <w:lang w:val="en-AU"/>
        </w:rPr>
        <w:t>Delirium Clinical Care Standard</w:t>
      </w:r>
      <w:r w:rsidR="005F077C">
        <w:rPr>
          <w:lang w:val="en-AU"/>
        </w:rPr>
        <w:t xml:space="preserve"> and </w:t>
      </w:r>
      <w:r w:rsidRPr="005F077C">
        <w:rPr>
          <w:i/>
          <w:lang w:val="en-AU"/>
        </w:rPr>
        <w:t>Hip Fracture Care</w:t>
      </w:r>
      <w:r w:rsidR="005F077C" w:rsidRPr="005F077C">
        <w:rPr>
          <w:i/>
          <w:lang w:val="en-AU"/>
        </w:rPr>
        <w:t xml:space="preserve"> Clinical Care Standard</w:t>
      </w:r>
      <w:r w:rsidRPr="00BF3158">
        <w:rPr>
          <w:lang w:val="en-AU"/>
        </w:rPr>
        <w:t>.</w:t>
      </w:r>
    </w:p>
    <w:p w:rsidR="00BF3158" w:rsidRPr="00BF3158" w:rsidRDefault="00BF3158" w:rsidP="005F077C">
      <w:pPr>
        <w:keepNext/>
        <w:autoSpaceDE w:val="0"/>
        <w:autoSpaceDN w:val="0"/>
        <w:adjustRightInd w:val="0"/>
        <w:rPr>
          <w:lang w:val="en-AU"/>
        </w:rPr>
      </w:pPr>
      <w:r w:rsidRPr="00BF3158">
        <w:rPr>
          <w:lang w:val="en-AU"/>
        </w:rPr>
        <w:t>These draft Clinical Care Standards are now available for public consultation.</w:t>
      </w:r>
    </w:p>
    <w:p w:rsidR="00BF3158" w:rsidRPr="00BF3158" w:rsidRDefault="00BF3158" w:rsidP="00BF3158">
      <w:pPr>
        <w:keepNext/>
        <w:autoSpaceDE w:val="0"/>
        <w:autoSpaceDN w:val="0"/>
        <w:adjustRightInd w:val="0"/>
        <w:rPr>
          <w:lang w:val="en-AU"/>
        </w:rPr>
      </w:pPr>
      <w:r w:rsidRPr="00BF3158">
        <w:rPr>
          <w:lang w:val="en-AU"/>
        </w:rPr>
        <w:t>Feedback is sought via an online survey or in writing by close of business Friday, 3 July 2015.</w:t>
      </w:r>
    </w:p>
    <w:p w:rsidR="005F077C" w:rsidRDefault="005F077C" w:rsidP="005F077C">
      <w:pPr>
        <w:keepNext/>
        <w:autoSpaceDE w:val="0"/>
        <w:autoSpaceDN w:val="0"/>
        <w:adjustRightInd w:val="0"/>
        <w:rPr>
          <w:lang w:val="en-AU"/>
        </w:rPr>
      </w:pPr>
      <w:r w:rsidRPr="00BF3158">
        <w:rPr>
          <w:lang w:val="en-AU"/>
        </w:rPr>
        <w:t>In developing these draft Clinical Care Standards, the most up-to-date guidelines and standards have been considered.</w:t>
      </w:r>
    </w:p>
    <w:p w:rsidR="00BF3158" w:rsidRPr="00BF3158" w:rsidRDefault="00BF3158" w:rsidP="00BF3158">
      <w:pPr>
        <w:keepNext/>
        <w:autoSpaceDE w:val="0"/>
        <w:autoSpaceDN w:val="0"/>
        <w:adjustRightInd w:val="0"/>
        <w:rPr>
          <w:lang w:val="en-AU"/>
        </w:rPr>
      </w:pPr>
      <w:r w:rsidRPr="00BF3158">
        <w:rPr>
          <w:lang w:val="en-AU"/>
        </w:rPr>
        <w:t xml:space="preserve">Find out about the consultation process and access the draft Clinical Care Standards, </w:t>
      </w:r>
      <w:r w:rsidR="004D3B02">
        <w:rPr>
          <w:lang w:val="en-AU"/>
        </w:rPr>
        <w:t xml:space="preserve">the online survey, </w:t>
      </w:r>
      <w:r w:rsidRPr="00BF3158">
        <w:rPr>
          <w:lang w:val="en-AU"/>
        </w:rPr>
        <w:t xml:space="preserve">indicator specifications and factsheets </w:t>
      </w:r>
      <w:r w:rsidR="005F077C">
        <w:rPr>
          <w:lang w:val="en-AU"/>
        </w:rPr>
        <w:t xml:space="preserve">at </w:t>
      </w:r>
      <w:hyperlink r:id="rId16" w:history="1">
        <w:r w:rsidR="005F651A" w:rsidRPr="00B80782">
          <w:rPr>
            <w:rStyle w:val="Hyperlink"/>
            <w:lang w:val="en-AU"/>
          </w:rPr>
          <w:t>www.safetyandquality.gov.au/ccs/consultation</w:t>
        </w:r>
      </w:hyperlink>
    </w:p>
    <w:p w:rsidR="00BF3158" w:rsidRPr="00BF3158" w:rsidRDefault="00BF3158" w:rsidP="00BF3158">
      <w:pPr>
        <w:keepNext/>
        <w:autoSpaceDE w:val="0"/>
        <w:autoSpaceDN w:val="0"/>
        <w:adjustRightInd w:val="0"/>
        <w:rPr>
          <w:lang w:val="en-AU"/>
        </w:rPr>
      </w:pPr>
    </w:p>
    <w:p w:rsidR="00774D04" w:rsidRDefault="00774D04">
      <w:pPr>
        <w:rPr>
          <w:b/>
          <w:lang w:val="en-AU"/>
        </w:rPr>
      </w:pPr>
      <w:r>
        <w:rPr>
          <w:b/>
          <w:lang w:val="en-AU"/>
        </w:rPr>
        <w:br w:type="page"/>
      </w:r>
    </w:p>
    <w:p w:rsidR="001A4F9E" w:rsidRDefault="001A4F9E" w:rsidP="001A4F9E">
      <w:pPr>
        <w:keepNext/>
        <w:autoSpaceDE w:val="0"/>
        <w:autoSpaceDN w:val="0"/>
        <w:adjustRightInd w:val="0"/>
        <w:rPr>
          <w:b/>
          <w:lang w:val="en-AU"/>
        </w:rPr>
      </w:pPr>
      <w:r>
        <w:rPr>
          <w:b/>
          <w:lang w:val="en-AU"/>
        </w:rPr>
        <w:lastRenderedPageBreak/>
        <w:t>Reports</w:t>
      </w:r>
    </w:p>
    <w:p w:rsidR="001A4F9E" w:rsidRDefault="001A4F9E" w:rsidP="001A4F9E">
      <w:pPr>
        <w:keepNext/>
        <w:keepLines/>
        <w:autoSpaceDE w:val="0"/>
        <w:autoSpaceDN w:val="0"/>
        <w:adjustRightInd w:val="0"/>
        <w:rPr>
          <w:i/>
          <w:lang w:val="en-AU"/>
        </w:rPr>
      </w:pPr>
    </w:p>
    <w:p w:rsidR="00036C39" w:rsidRPr="00036C39" w:rsidRDefault="00036C39" w:rsidP="00036C39">
      <w:pPr>
        <w:keepNext/>
        <w:keepLines/>
        <w:autoSpaceDE w:val="0"/>
        <w:autoSpaceDN w:val="0"/>
        <w:adjustRightInd w:val="0"/>
        <w:rPr>
          <w:i/>
          <w:lang w:val="en-AU"/>
        </w:rPr>
      </w:pPr>
      <w:r w:rsidRPr="00036C39">
        <w:rPr>
          <w:i/>
          <w:lang w:val="en-AU"/>
        </w:rPr>
        <w:t>National Consensus Statement: essential elements for safe and high-quality end-of-life care</w:t>
      </w:r>
    </w:p>
    <w:p w:rsidR="00036C39" w:rsidRDefault="00036C39" w:rsidP="00AD4E62">
      <w:pPr>
        <w:keepNext/>
        <w:keepLines/>
        <w:autoSpaceDE w:val="0"/>
        <w:autoSpaceDN w:val="0"/>
        <w:adjustRightInd w:val="0"/>
        <w:rPr>
          <w:lang w:val="en-AU"/>
        </w:rPr>
      </w:pPr>
      <w:r w:rsidRPr="00036C39">
        <w:rPr>
          <w:lang w:val="en-AU"/>
        </w:rPr>
        <w:t>Australian Commission on Safety and Quality in Health Care</w:t>
      </w:r>
    </w:p>
    <w:p w:rsidR="00AD4E62" w:rsidRPr="00255EF8" w:rsidRDefault="00036C39" w:rsidP="00AD4E62">
      <w:pPr>
        <w:keepNext/>
        <w:keepLines/>
        <w:autoSpaceDE w:val="0"/>
        <w:autoSpaceDN w:val="0"/>
        <w:adjustRightInd w:val="0"/>
        <w:rPr>
          <w:lang w:val="en-AU"/>
        </w:rPr>
      </w:pPr>
      <w:r w:rsidRPr="00036C39">
        <w:rPr>
          <w:lang w:val="en-AU"/>
        </w:rPr>
        <w:t>Sydney: ACSQHC, 2015.</w:t>
      </w:r>
    </w:p>
    <w:tbl>
      <w:tblPr>
        <w:tblStyle w:val="TableGrid"/>
        <w:tblW w:w="0" w:type="auto"/>
        <w:tblInd w:w="288" w:type="dxa"/>
        <w:tblLayout w:type="fixed"/>
        <w:tblLook w:val="01E0" w:firstRow="1" w:lastRow="1" w:firstColumn="1" w:lastColumn="1" w:noHBand="0" w:noVBand="0"/>
      </w:tblPr>
      <w:tblGrid>
        <w:gridCol w:w="1080"/>
        <w:gridCol w:w="8280"/>
      </w:tblGrid>
      <w:tr w:rsidR="001A4F9E" w:rsidRPr="00255EF8" w:rsidTr="00446650">
        <w:tc>
          <w:tcPr>
            <w:tcW w:w="1080" w:type="dxa"/>
            <w:tcBorders>
              <w:top w:val="single" w:sz="4" w:space="0" w:color="auto"/>
              <w:left w:val="single" w:sz="4" w:space="0" w:color="auto"/>
              <w:bottom w:val="single" w:sz="4" w:space="0" w:color="auto"/>
              <w:right w:val="single" w:sz="4" w:space="0" w:color="auto"/>
            </w:tcBorders>
            <w:vAlign w:val="center"/>
          </w:tcPr>
          <w:p w:rsidR="001A4F9E" w:rsidRPr="00255EF8" w:rsidRDefault="001A4F9E" w:rsidP="00446650">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A4F9E" w:rsidRPr="00255EF8" w:rsidRDefault="00411AEB" w:rsidP="00446650">
            <w:pPr>
              <w:rPr>
                <w:lang w:val="en-AU"/>
              </w:rPr>
            </w:pPr>
            <w:hyperlink r:id="rId17" w:history="1">
              <w:r w:rsidR="00036C39" w:rsidRPr="00673849">
                <w:rPr>
                  <w:rStyle w:val="Hyperlink"/>
                  <w:lang w:val="en-AU"/>
                </w:rPr>
                <w:t>http://www.safetyandquality.gov.au/endoflifecare</w:t>
              </w:r>
            </w:hyperlink>
          </w:p>
        </w:tc>
      </w:tr>
      <w:tr w:rsidR="001A4F9E" w:rsidRPr="00255EF8" w:rsidTr="00446650">
        <w:tc>
          <w:tcPr>
            <w:tcW w:w="1080" w:type="dxa"/>
            <w:tcBorders>
              <w:top w:val="single" w:sz="4" w:space="0" w:color="auto"/>
              <w:left w:val="single" w:sz="4" w:space="0" w:color="auto"/>
              <w:bottom w:val="single" w:sz="4" w:space="0" w:color="auto"/>
              <w:right w:val="single" w:sz="4" w:space="0" w:color="auto"/>
            </w:tcBorders>
            <w:vAlign w:val="center"/>
          </w:tcPr>
          <w:p w:rsidR="001A4F9E" w:rsidRPr="00255EF8" w:rsidRDefault="001A4F9E" w:rsidP="00446650">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36C39" w:rsidRDefault="00036C39" w:rsidP="00036C39">
            <w:pPr>
              <w:rPr>
                <w:color w:val="333333"/>
                <w:shd w:val="clear" w:color="auto" w:fill="FFFFFF"/>
                <w:lang w:val="en-AU"/>
              </w:rPr>
            </w:pPr>
            <w:r>
              <w:rPr>
                <w:color w:val="333333"/>
                <w:shd w:val="clear" w:color="auto" w:fill="FFFFFF"/>
                <w:lang w:val="en-AU"/>
              </w:rPr>
              <w:t xml:space="preserve">The Australian Commission on Safety and Quality in Health Care has published a </w:t>
            </w:r>
            <w:r w:rsidRPr="00036C39">
              <w:rPr>
                <w:color w:val="333333"/>
                <w:shd w:val="clear" w:color="auto" w:fill="FFFFFF"/>
                <w:lang w:val="en-AU"/>
              </w:rPr>
              <w:t>consensus statement describing the essential elements for providing safe and high-quality care at the end of life</w:t>
            </w:r>
            <w:r>
              <w:rPr>
                <w:color w:val="333333"/>
                <w:shd w:val="clear" w:color="auto" w:fill="FFFFFF"/>
                <w:lang w:val="en-AU"/>
              </w:rPr>
              <w:t xml:space="preserve">. The </w:t>
            </w:r>
            <w:r w:rsidRPr="00036C39">
              <w:rPr>
                <w:i/>
                <w:color w:val="333333"/>
                <w:shd w:val="clear" w:color="auto" w:fill="FFFFFF"/>
                <w:lang w:val="en-AU"/>
              </w:rPr>
              <w:t>National Consensus Statement</w:t>
            </w:r>
            <w:r w:rsidRPr="00036C39">
              <w:rPr>
                <w:color w:val="333333"/>
                <w:shd w:val="clear" w:color="auto" w:fill="FFFFFF"/>
                <w:lang w:val="en-AU"/>
              </w:rPr>
              <w:t xml:space="preserve"> has been endorsed by the Australian Health Ministers as the national approach to the delivery of end-of-life care in Australian hospitals.</w:t>
            </w:r>
          </w:p>
          <w:p w:rsidR="00036C39" w:rsidRDefault="00036C39" w:rsidP="00036C39">
            <w:pPr>
              <w:rPr>
                <w:color w:val="333333"/>
                <w:shd w:val="clear" w:color="auto" w:fill="FFFFFF"/>
                <w:lang w:val="en-AU"/>
              </w:rPr>
            </w:pPr>
            <w:r w:rsidRPr="00036C39">
              <w:rPr>
                <w:color w:val="333333"/>
                <w:shd w:val="clear" w:color="auto" w:fill="FFFFFF"/>
                <w:lang w:val="en-AU"/>
              </w:rPr>
              <w:t>In Australia, more than 50% of deaths occur in hospitals, despite surveys reporting the majority of people would prefer to die at home. Hospitals are designed for rapid assessment, treatment and discharge of patients. New models of care may be needed to consistently deliver safe and high-quality end-of-life care in these settings.</w:t>
            </w:r>
          </w:p>
          <w:p w:rsidR="00036C39" w:rsidRPr="00614EFB" w:rsidRDefault="00036C39" w:rsidP="00036C39">
            <w:pPr>
              <w:rPr>
                <w:color w:val="333333"/>
                <w:shd w:val="clear" w:color="auto" w:fill="FFFFFF"/>
                <w:lang w:val="en-AU"/>
              </w:rPr>
            </w:pPr>
            <w:r w:rsidRPr="00036C39">
              <w:rPr>
                <w:color w:val="333333"/>
                <w:shd w:val="clear" w:color="auto" w:fill="FFFFFF"/>
                <w:lang w:val="en-AU"/>
              </w:rPr>
              <w:t>The purpose of the consensus statement is to set out the principles and elements that shape the delivery of safe and high-quality end-of-life care in hospitals and other acute health services.</w:t>
            </w:r>
          </w:p>
        </w:tc>
      </w:tr>
    </w:tbl>
    <w:p w:rsidR="001A4F9E" w:rsidRDefault="001A4F9E" w:rsidP="001A4F9E">
      <w:pPr>
        <w:keepLines/>
        <w:autoSpaceDE w:val="0"/>
        <w:autoSpaceDN w:val="0"/>
        <w:adjustRightInd w:val="0"/>
        <w:rPr>
          <w:lang w:val="en-AU"/>
        </w:rPr>
      </w:pPr>
    </w:p>
    <w:p w:rsidR="001A4F9E" w:rsidRDefault="001A4F9E" w:rsidP="001A4F9E">
      <w:pPr>
        <w:keepLines/>
        <w:autoSpaceDE w:val="0"/>
        <w:autoSpaceDN w:val="0"/>
        <w:adjustRightInd w:val="0"/>
        <w:rPr>
          <w:lang w:val="en-AU"/>
        </w:rPr>
      </w:pPr>
    </w:p>
    <w:p w:rsidR="00BF1006" w:rsidRPr="005F52C2" w:rsidRDefault="005F52C2" w:rsidP="00B673A5">
      <w:pPr>
        <w:keepNext/>
        <w:autoSpaceDE w:val="0"/>
        <w:autoSpaceDN w:val="0"/>
        <w:adjustRightInd w:val="0"/>
        <w:rPr>
          <w:b/>
          <w:lang w:val="en-AU"/>
        </w:rPr>
      </w:pPr>
      <w:r w:rsidRPr="005F52C2">
        <w:rPr>
          <w:b/>
          <w:lang w:val="en-AU"/>
        </w:rPr>
        <w:t>Journal articles</w:t>
      </w:r>
    </w:p>
    <w:p w:rsidR="008A69AE" w:rsidRDefault="008A69AE" w:rsidP="008A69AE">
      <w:pPr>
        <w:keepNext/>
        <w:keepLines/>
        <w:autoSpaceDE w:val="0"/>
        <w:autoSpaceDN w:val="0"/>
        <w:adjustRightInd w:val="0"/>
        <w:rPr>
          <w:i/>
          <w:lang w:val="en-AU"/>
        </w:rPr>
      </w:pPr>
    </w:p>
    <w:p w:rsidR="00574BA5" w:rsidRPr="00574BA5" w:rsidRDefault="00574BA5" w:rsidP="00574BA5">
      <w:pPr>
        <w:keepNext/>
        <w:keepLines/>
        <w:autoSpaceDE w:val="0"/>
        <w:autoSpaceDN w:val="0"/>
        <w:adjustRightInd w:val="0"/>
        <w:rPr>
          <w:i/>
          <w:lang w:val="en-AU"/>
        </w:rPr>
      </w:pPr>
      <w:r w:rsidRPr="00574BA5">
        <w:rPr>
          <w:i/>
          <w:lang w:val="en-AU"/>
        </w:rPr>
        <w:t>Aiming higher to enhance professionalism: Beyond accreditation and certification</w:t>
      </w:r>
    </w:p>
    <w:p w:rsidR="00574BA5" w:rsidRDefault="00574BA5" w:rsidP="007B25E6">
      <w:pPr>
        <w:keepNext/>
        <w:keepLines/>
        <w:autoSpaceDE w:val="0"/>
        <w:autoSpaceDN w:val="0"/>
        <w:adjustRightInd w:val="0"/>
        <w:rPr>
          <w:lang w:val="en-AU"/>
        </w:rPr>
      </w:pPr>
      <w:r w:rsidRPr="00574BA5">
        <w:rPr>
          <w:lang w:val="en-AU"/>
        </w:rPr>
        <w:t>Chassin MR, Baker DW</w:t>
      </w:r>
    </w:p>
    <w:p w:rsidR="007B25E6" w:rsidRDefault="00574BA5" w:rsidP="007B25E6">
      <w:pPr>
        <w:keepNext/>
        <w:keepLines/>
        <w:autoSpaceDE w:val="0"/>
        <w:autoSpaceDN w:val="0"/>
        <w:adjustRightInd w:val="0"/>
        <w:rPr>
          <w:lang w:val="en-AU"/>
        </w:rPr>
      </w:pPr>
      <w:r w:rsidRPr="00574BA5">
        <w:rPr>
          <w:lang w:val="en-AU"/>
        </w:rPr>
        <w:t>Journal of the American Medical Association 2015;313(18):1795-96.</w:t>
      </w:r>
    </w:p>
    <w:p w:rsidR="00817B7C" w:rsidRDefault="00817B7C" w:rsidP="007B25E6">
      <w:pPr>
        <w:keepNext/>
        <w:keepLines/>
        <w:autoSpaceDE w:val="0"/>
        <w:autoSpaceDN w:val="0"/>
        <w:adjustRightInd w:val="0"/>
        <w:rPr>
          <w:lang w:val="en-AU"/>
        </w:rPr>
      </w:pPr>
    </w:p>
    <w:p w:rsidR="00817B7C" w:rsidRPr="00817B7C" w:rsidRDefault="00817B7C" w:rsidP="00817B7C">
      <w:pPr>
        <w:keepNext/>
        <w:keepLines/>
        <w:autoSpaceDE w:val="0"/>
        <w:autoSpaceDN w:val="0"/>
        <w:adjustRightInd w:val="0"/>
        <w:rPr>
          <w:i/>
          <w:lang w:val="en-AU"/>
        </w:rPr>
      </w:pPr>
      <w:r w:rsidRPr="00817B7C">
        <w:rPr>
          <w:i/>
          <w:lang w:val="en-AU"/>
        </w:rPr>
        <w:t>The PRONE score: an algorithm for predicting doctors’ risks of formal patient complaints using routinely collected administrative data</w:t>
      </w:r>
    </w:p>
    <w:p w:rsidR="00817B7C" w:rsidRDefault="00817B7C" w:rsidP="007B25E6">
      <w:pPr>
        <w:keepNext/>
        <w:keepLines/>
        <w:autoSpaceDE w:val="0"/>
        <w:autoSpaceDN w:val="0"/>
        <w:adjustRightInd w:val="0"/>
        <w:rPr>
          <w:lang w:val="en-AU"/>
        </w:rPr>
      </w:pPr>
      <w:r w:rsidRPr="00817B7C">
        <w:rPr>
          <w:lang w:val="en-AU"/>
        </w:rPr>
        <w:t>Spittal MJ, Bismark MM, Studdert DM</w:t>
      </w:r>
    </w:p>
    <w:p w:rsidR="00817B7C" w:rsidRPr="00255EF8" w:rsidRDefault="00817B7C" w:rsidP="007B25E6">
      <w:pPr>
        <w:keepNext/>
        <w:keepLines/>
        <w:autoSpaceDE w:val="0"/>
        <w:autoSpaceDN w:val="0"/>
        <w:adjustRightInd w:val="0"/>
        <w:rPr>
          <w:lang w:val="en-AU"/>
        </w:rPr>
      </w:pPr>
      <w:r w:rsidRPr="00817B7C">
        <w:rPr>
          <w:lang w:val="en-AU"/>
        </w:rPr>
        <w:t>BMJ Quality &amp; Safety 2015;24(6):360-68.</w:t>
      </w:r>
    </w:p>
    <w:tbl>
      <w:tblPr>
        <w:tblStyle w:val="TableGrid"/>
        <w:tblW w:w="0" w:type="auto"/>
        <w:tblInd w:w="288" w:type="dxa"/>
        <w:tblLayout w:type="fixed"/>
        <w:tblLook w:val="01E0" w:firstRow="1" w:lastRow="1" w:firstColumn="1" w:lastColumn="1" w:noHBand="0" w:noVBand="0"/>
      </w:tblPr>
      <w:tblGrid>
        <w:gridCol w:w="1080"/>
        <w:gridCol w:w="8280"/>
      </w:tblGrid>
      <w:tr w:rsidR="007B25E6" w:rsidRPr="00255EF8" w:rsidTr="004769E9">
        <w:tc>
          <w:tcPr>
            <w:tcW w:w="1080" w:type="dxa"/>
            <w:tcBorders>
              <w:top w:val="single" w:sz="4" w:space="0" w:color="auto"/>
              <w:left w:val="single" w:sz="4" w:space="0" w:color="auto"/>
              <w:bottom w:val="single" w:sz="4" w:space="0" w:color="auto"/>
              <w:right w:val="single" w:sz="4" w:space="0" w:color="auto"/>
            </w:tcBorders>
            <w:vAlign w:val="center"/>
          </w:tcPr>
          <w:p w:rsidR="007B25E6" w:rsidRPr="00255EF8" w:rsidRDefault="007B25E6" w:rsidP="004769E9">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74BA5" w:rsidRDefault="00055DE6" w:rsidP="004769E9">
            <w:pPr>
              <w:rPr>
                <w:lang w:val="en-AU"/>
              </w:rPr>
            </w:pPr>
            <w:r>
              <w:rPr>
                <w:lang w:val="en-AU"/>
              </w:rPr>
              <w:t xml:space="preserve">Chassin and Baker </w:t>
            </w:r>
            <w:hyperlink r:id="rId18" w:history="1">
              <w:r w:rsidR="00574BA5" w:rsidRPr="00673849">
                <w:rPr>
                  <w:rStyle w:val="Hyperlink"/>
                  <w:lang w:val="en-AU"/>
                </w:rPr>
                <w:t>http://dx.doi.org/10.1001/jama.2015.3818</w:t>
              </w:r>
            </w:hyperlink>
          </w:p>
          <w:p w:rsidR="007B25E6" w:rsidRPr="00255EF8" w:rsidRDefault="00055DE6" w:rsidP="00055DE6">
            <w:pPr>
              <w:rPr>
                <w:lang w:val="en-AU"/>
              </w:rPr>
            </w:pPr>
            <w:r>
              <w:rPr>
                <w:lang w:val="en-AU"/>
              </w:rPr>
              <w:t xml:space="preserve">Spittal </w:t>
            </w:r>
            <w:hyperlink r:id="rId19" w:history="1">
              <w:r w:rsidRPr="00673849">
                <w:rPr>
                  <w:rStyle w:val="Hyperlink"/>
                  <w:lang w:val="en-AU"/>
                </w:rPr>
                <w:t>http://dx.doi.org/10.1136/bmjqs-2014-003834</w:t>
              </w:r>
            </w:hyperlink>
            <w:r>
              <w:rPr>
                <w:lang w:val="en-AU"/>
              </w:rPr>
              <w:t xml:space="preserve"> </w:t>
            </w:r>
          </w:p>
        </w:tc>
      </w:tr>
      <w:tr w:rsidR="007B25E6" w:rsidRPr="00255EF8" w:rsidTr="004769E9">
        <w:tc>
          <w:tcPr>
            <w:tcW w:w="1080" w:type="dxa"/>
            <w:tcBorders>
              <w:top w:val="single" w:sz="4" w:space="0" w:color="auto"/>
              <w:left w:val="single" w:sz="4" w:space="0" w:color="auto"/>
              <w:bottom w:val="single" w:sz="4" w:space="0" w:color="auto"/>
              <w:right w:val="single" w:sz="4" w:space="0" w:color="auto"/>
            </w:tcBorders>
            <w:vAlign w:val="center"/>
          </w:tcPr>
          <w:p w:rsidR="007B25E6" w:rsidRPr="00255EF8" w:rsidRDefault="007B25E6" w:rsidP="004769E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25E6" w:rsidRDefault="00574BA5" w:rsidP="004769E9">
            <w:pPr>
              <w:rPr>
                <w:color w:val="333333"/>
                <w:shd w:val="clear" w:color="auto" w:fill="FFFFFF"/>
                <w:lang w:val="en-AU"/>
              </w:rPr>
            </w:pPr>
            <w:r>
              <w:rPr>
                <w:color w:val="333333"/>
                <w:shd w:val="clear" w:color="auto" w:fill="FFFFFF"/>
                <w:lang w:val="en-AU"/>
              </w:rPr>
              <w:t xml:space="preserve">A pair of items looking at aspects of medical professionalism. </w:t>
            </w:r>
          </w:p>
          <w:p w:rsidR="00574BA5" w:rsidRDefault="00574BA5" w:rsidP="004769E9">
            <w:pPr>
              <w:rPr>
                <w:color w:val="333333"/>
                <w:shd w:val="clear" w:color="auto" w:fill="FFFFFF"/>
                <w:lang w:val="en-AU"/>
              </w:rPr>
            </w:pPr>
            <w:r>
              <w:rPr>
                <w:color w:val="333333"/>
                <w:shd w:val="clear" w:color="auto" w:fill="FFFFFF"/>
                <w:lang w:val="en-AU"/>
              </w:rPr>
              <w:t xml:space="preserve">Chassin and Baker </w:t>
            </w:r>
            <w:r w:rsidR="00B81505">
              <w:rPr>
                <w:color w:val="333333"/>
                <w:shd w:val="clear" w:color="auto" w:fill="FFFFFF"/>
                <w:lang w:val="en-AU"/>
              </w:rPr>
              <w:t>argue that we can and should expect more from health professionals. They need to move beyond codes of conduct and meeting the needs of accreditation and certification to be leaders on demanding improvements on harm, safety, excellence and improvement in themselves, their colleagues and their institutions as they seek “</w:t>
            </w:r>
            <w:r w:rsidR="00B81505" w:rsidRPr="00B81505">
              <w:rPr>
                <w:color w:val="333333"/>
                <w:shd w:val="clear" w:color="auto" w:fill="FFFFFF"/>
                <w:lang w:val="en-AU"/>
              </w:rPr>
              <w:t>consistent excellence across the full continuum of care</w:t>
            </w:r>
            <w:r w:rsidR="00B81505">
              <w:rPr>
                <w:color w:val="333333"/>
                <w:shd w:val="clear" w:color="auto" w:fill="FFFFFF"/>
                <w:lang w:val="en-AU"/>
              </w:rPr>
              <w:t>”.</w:t>
            </w:r>
          </w:p>
          <w:p w:rsidR="00817B7C" w:rsidRPr="005833F4" w:rsidRDefault="00574BA5" w:rsidP="00232781">
            <w:pPr>
              <w:rPr>
                <w:color w:val="333333"/>
                <w:shd w:val="clear" w:color="auto" w:fill="FFFFFF"/>
                <w:lang w:val="en-AU"/>
              </w:rPr>
            </w:pPr>
            <w:r>
              <w:rPr>
                <w:color w:val="333333"/>
                <w:shd w:val="clear" w:color="auto" w:fill="FFFFFF"/>
                <w:lang w:val="en-AU"/>
              </w:rPr>
              <w:t>Spittal et al look at a darker facet and describe a potential method of identifying doctors at risk of generating complaints.</w:t>
            </w:r>
            <w:r w:rsidR="00232781">
              <w:rPr>
                <w:color w:val="333333"/>
                <w:shd w:val="clear" w:color="auto" w:fill="FFFFFF"/>
                <w:lang w:val="en-AU"/>
              </w:rPr>
              <w:t xml:space="preserve"> Their tool – the </w:t>
            </w:r>
            <w:r w:rsidR="00232781" w:rsidRPr="00232781">
              <w:rPr>
                <w:color w:val="333333"/>
                <w:shd w:val="clear" w:color="auto" w:fill="FFFFFF"/>
                <w:lang w:val="en-AU"/>
              </w:rPr>
              <w:t xml:space="preserve">PRONE (Predicted Risk Of New Event) score </w:t>
            </w:r>
            <w:r w:rsidR="00232781">
              <w:rPr>
                <w:color w:val="333333"/>
                <w:shd w:val="clear" w:color="auto" w:fill="FFFFFF"/>
                <w:lang w:val="en-AU"/>
              </w:rPr>
              <w:t xml:space="preserve">– </w:t>
            </w:r>
            <w:r w:rsidR="00232781" w:rsidRPr="00232781">
              <w:rPr>
                <w:color w:val="333333"/>
                <w:shd w:val="clear" w:color="auto" w:fill="FFFFFF"/>
                <w:lang w:val="en-AU"/>
              </w:rPr>
              <w:t>is a 22-point scoring system that indicates a doctor's future complaint risk based on four variables: a doctor's specialty</w:t>
            </w:r>
            <w:r w:rsidR="00232781">
              <w:rPr>
                <w:color w:val="333333"/>
                <w:shd w:val="clear" w:color="auto" w:fill="FFFFFF"/>
                <w:lang w:val="en-AU"/>
              </w:rPr>
              <w:t>, gender</w:t>
            </w:r>
            <w:r w:rsidR="00232781" w:rsidRPr="00232781">
              <w:rPr>
                <w:color w:val="333333"/>
                <w:shd w:val="clear" w:color="auto" w:fill="FFFFFF"/>
                <w:lang w:val="en-AU"/>
              </w:rPr>
              <w:t>, the number of previous complaints and the time since the last complaint. The</w:t>
            </w:r>
            <w:r w:rsidR="00232781">
              <w:rPr>
                <w:color w:val="333333"/>
                <w:shd w:val="clear" w:color="auto" w:fill="FFFFFF"/>
                <w:lang w:val="en-AU"/>
              </w:rPr>
              <w:t xml:space="preserve">y report that the </w:t>
            </w:r>
            <w:r w:rsidR="00232781" w:rsidRPr="00232781">
              <w:rPr>
                <w:color w:val="333333"/>
                <w:shd w:val="clear" w:color="auto" w:fill="FFFFFF"/>
                <w:lang w:val="en-AU"/>
              </w:rPr>
              <w:t xml:space="preserve">score performed well in predicting subsequent complaints, </w:t>
            </w:r>
            <w:r w:rsidR="00232781">
              <w:rPr>
                <w:color w:val="333333"/>
                <w:shd w:val="clear" w:color="auto" w:fill="FFFFFF"/>
                <w:lang w:val="en-AU"/>
              </w:rPr>
              <w:t>“</w:t>
            </w:r>
            <w:r w:rsidR="00232781" w:rsidRPr="00232781">
              <w:rPr>
                <w:color w:val="333333"/>
                <w:shd w:val="clear" w:color="auto" w:fill="FFFFFF"/>
                <w:lang w:val="en-AU"/>
              </w:rPr>
              <w:t>exhibiting strong validity and reliability and reasonable goodness of fit (c-statistic=0.70).</w:t>
            </w:r>
            <w:r w:rsidR="00232781">
              <w:rPr>
                <w:color w:val="333333"/>
                <w:shd w:val="clear" w:color="auto" w:fill="FFFFFF"/>
                <w:lang w:val="en-AU"/>
              </w:rPr>
              <w:t>”</w:t>
            </w:r>
          </w:p>
        </w:tc>
      </w:tr>
    </w:tbl>
    <w:p w:rsidR="00B227BE" w:rsidRDefault="00B227BE" w:rsidP="00774D04">
      <w:pPr>
        <w:keepNext/>
        <w:keepLines/>
        <w:autoSpaceDE w:val="0"/>
        <w:autoSpaceDN w:val="0"/>
        <w:adjustRightInd w:val="0"/>
        <w:rPr>
          <w:i/>
          <w:lang w:val="en-AU"/>
        </w:rPr>
      </w:pPr>
    </w:p>
    <w:p w:rsidR="00B227BE" w:rsidRDefault="00B227BE" w:rsidP="00B227BE">
      <w:pPr>
        <w:rPr>
          <w:lang w:val="en-AU"/>
        </w:rPr>
      </w:pPr>
      <w:r>
        <w:rPr>
          <w:lang w:val="en-AU"/>
        </w:rPr>
        <w:br w:type="page"/>
      </w:r>
    </w:p>
    <w:p w:rsidR="00774D04" w:rsidRPr="00BB2736" w:rsidRDefault="00774D04" w:rsidP="00774D04">
      <w:pPr>
        <w:keepNext/>
        <w:keepLines/>
        <w:autoSpaceDE w:val="0"/>
        <w:autoSpaceDN w:val="0"/>
        <w:adjustRightInd w:val="0"/>
        <w:rPr>
          <w:i/>
          <w:lang w:val="en-AU"/>
        </w:rPr>
      </w:pPr>
      <w:r w:rsidRPr="00BB2736">
        <w:rPr>
          <w:i/>
          <w:lang w:val="en-AU"/>
        </w:rPr>
        <w:lastRenderedPageBreak/>
        <w:t>Hospitals should be exemplars of healthy workplaces</w:t>
      </w:r>
    </w:p>
    <w:p w:rsidR="00774D04" w:rsidRDefault="00774D04" w:rsidP="00774D04">
      <w:pPr>
        <w:keepNext/>
        <w:keepLines/>
        <w:autoSpaceDE w:val="0"/>
        <w:autoSpaceDN w:val="0"/>
        <w:adjustRightInd w:val="0"/>
        <w:rPr>
          <w:lang w:val="en-AU"/>
        </w:rPr>
      </w:pPr>
      <w:r w:rsidRPr="00BB2736">
        <w:rPr>
          <w:lang w:val="en-AU"/>
        </w:rPr>
        <w:t>Russell LM, Anstey MHR, Wells S</w:t>
      </w:r>
    </w:p>
    <w:p w:rsidR="00774D04" w:rsidRPr="00255EF8" w:rsidRDefault="00774D04" w:rsidP="00774D04">
      <w:pPr>
        <w:keepNext/>
        <w:keepLines/>
        <w:autoSpaceDE w:val="0"/>
        <w:autoSpaceDN w:val="0"/>
        <w:adjustRightInd w:val="0"/>
        <w:rPr>
          <w:lang w:val="en-AU"/>
        </w:rPr>
      </w:pPr>
      <w:r w:rsidRPr="00BB2736">
        <w:rPr>
          <w:lang w:val="en-AU"/>
        </w:rPr>
        <w:t>Medical Journal of Australia 2015;202(8):424-26.</w:t>
      </w:r>
    </w:p>
    <w:tbl>
      <w:tblPr>
        <w:tblStyle w:val="TableGrid"/>
        <w:tblW w:w="0" w:type="auto"/>
        <w:tblInd w:w="288" w:type="dxa"/>
        <w:tblLayout w:type="fixed"/>
        <w:tblLook w:val="01E0" w:firstRow="1" w:lastRow="1" w:firstColumn="1" w:lastColumn="1" w:noHBand="0" w:noVBand="0"/>
      </w:tblPr>
      <w:tblGrid>
        <w:gridCol w:w="1080"/>
        <w:gridCol w:w="8280"/>
      </w:tblGrid>
      <w:tr w:rsidR="00774D04" w:rsidRPr="00255EF8" w:rsidTr="00130645">
        <w:tc>
          <w:tcPr>
            <w:tcW w:w="1080" w:type="dxa"/>
            <w:tcBorders>
              <w:top w:val="single" w:sz="4" w:space="0" w:color="auto"/>
              <w:left w:val="single" w:sz="4" w:space="0" w:color="auto"/>
              <w:bottom w:val="single" w:sz="4" w:space="0" w:color="auto"/>
              <w:right w:val="single" w:sz="4" w:space="0" w:color="auto"/>
            </w:tcBorders>
            <w:vAlign w:val="center"/>
          </w:tcPr>
          <w:p w:rsidR="00774D04" w:rsidRPr="00255EF8" w:rsidRDefault="00774D04" w:rsidP="00130645">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74D04" w:rsidRPr="00255EF8" w:rsidRDefault="00411AEB" w:rsidP="00130645">
            <w:pPr>
              <w:rPr>
                <w:lang w:val="en-AU"/>
              </w:rPr>
            </w:pPr>
            <w:hyperlink r:id="rId20" w:history="1">
              <w:r w:rsidR="00774D04" w:rsidRPr="00673849">
                <w:rPr>
                  <w:rStyle w:val="Hyperlink"/>
                  <w:lang w:val="en-AU"/>
                </w:rPr>
                <w:t>http://dx.doi.org/10.5694/mja14.01437</w:t>
              </w:r>
            </w:hyperlink>
          </w:p>
        </w:tc>
      </w:tr>
      <w:tr w:rsidR="00774D04" w:rsidRPr="00255EF8" w:rsidTr="00130645">
        <w:tc>
          <w:tcPr>
            <w:tcW w:w="1080" w:type="dxa"/>
            <w:tcBorders>
              <w:top w:val="single" w:sz="4" w:space="0" w:color="auto"/>
              <w:left w:val="single" w:sz="4" w:space="0" w:color="auto"/>
              <w:bottom w:val="single" w:sz="4" w:space="0" w:color="auto"/>
              <w:right w:val="single" w:sz="4" w:space="0" w:color="auto"/>
            </w:tcBorders>
            <w:vAlign w:val="center"/>
          </w:tcPr>
          <w:p w:rsidR="00774D04" w:rsidRPr="00255EF8" w:rsidRDefault="00774D04" w:rsidP="0013064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4D04" w:rsidRPr="005833F4" w:rsidRDefault="00774D04" w:rsidP="00130645">
            <w:pPr>
              <w:rPr>
                <w:color w:val="333333"/>
                <w:shd w:val="clear" w:color="auto" w:fill="FFFFFF"/>
                <w:lang w:val="en-AU"/>
              </w:rPr>
            </w:pPr>
            <w:r>
              <w:rPr>
                <w:color w:val="333333"/>
                <w:shd w:val="clear" w:color="auto" w:fill="FFFFFF"/>
                <w:lang w:val="en-AU"/>
              </w:rPr>
              <w:t xml:space="preserve">In a similar vein to the item in last week’s </w:t>
            </w:r>
            <w:r w:rsidRPr="00BB2736">
              <w:rPr>
                <w:i/>
                <w:color w:val="333333"/>
                <w:shd w:val="clear" w:color="auto" w:fill="FFFFFF"/>
                <w:lang w:val="en-AU"/>
              </w:rPr>
              <w:t>On the Radar</w:t>
            </w:r>
            <w:r>
              <w:rPr>
                <w:color w:val="333333"/>
                <w:shd w:val="clear" w:color="auto" w:fill="FFFFFF"/>
                <w:lang w:val="en-AU"/>
              </w:rPr>
              <w:t xml:space="preserve"> looking at how the climate of worker safety could relate to patient safety was this call for hospitals to show leadership and model practices and behaviours. This goes beyond the workplace safety aspects and, according to the authors, should be “</w:t>
            </w:r>
            <w:r w:rsidRPr="00BB2736">
              <w:rPr>
                <w:color w:val="333333"/>
                <w:shd w:val="clear" w:color="auto" w:fill="FFFFFF"/>
                <w:lang w:val="en-AU"/>
              </w:rPr>
              <w:t>integral part of the push for quality and safety in clinical care and also contributes to the triple bottom line for health care: better patient experience of care; better population health through improved social and environmental impacts; and better financial performance.</w:t>
            </w:r>
            <w:r>
              <w:rPr>
                <w:color w:val="333333"/>
                <w:shd w:val="clear" w:color="auto" w:fill="FFFFFF"/>
                <w:lang w:val="en-AU"/>
              </w:rPr>
              <w:t>”</w:t>
            </w:r>
          </w:p>
        </w:tc>
      </w:tr>
    </w:tbl>
    <w:p w:rsidR="00817B7C" w:rsidRDefault="00817B7C" w:rsidP="007B25E6">
      <w:pPr>
        <w:keepNext/>
        <w:keepLines/>
        <w:autoSpaceDE w:val="0"/>
        <w:autoSpaceDN w:val="0"/>
        <w:adjustRightInd w:val="0"/>
        <w:rPr>
          <w:lang w:val="en-AU"/>
        </w:rPr>
      </w:pPr>
    </w:p>
    <w:p w:rsidR="00774D04" w:rsidRPr="00774D04" w:rsidRDefault="00774D04" w:rsidP="00774D04">
      <w:pPr>
        <w:keepNext/>
        <w:keepLines/>
        <w:autoSpaceDE w:val="0"/>
        <w:autoSpaceDN w:val="0"/>
        <w:adjustRightInd w:val="0"/>
        <w:rPr>
          <w:i/>
          <w:lang w:val="en-AU"/>
        </w:rPr>
      </w:pPr>
      <w:r w:rsidRPr="00774D04">
        <w:rPr>
          <w:i/>
          <w:lang w:val="en-AU"/>
        </w:rPr>
        <w:t>Exploring the role of communications in quality improvement: A case study of the 1000 Lives Campaign in NHS Wales</w:t>
      </w:r>
    </w:p>
    <w:p w:rsidR="00774D04" w:rsidRDefault="00774D04" w:rsidP="00774D04">
      <w:pPr>
        <w:keepNext/>
        <w:keepLines/>
        <w:autoSpaceDE w:val="0"/>
        <w:autoSpaceDN w:val="0"/>
        <w:adjustRightInd w:val="0"/>
        <w:rPr>
          <w:lang w:val="en-AU"/>
        </w:rPr>
      </w:pPr>
      <w:r w:rsidRPr="00774D04">
        <w:rPr>
          <w:lang w:val="en-AU"/>
        </w:rPr>
        <w:t>Cooper A, Gray J, Willson A, Lines C, McCannon J, McHardy K</w:t>
      </w:r>
    </w:p>
    <w:p w:rsidR="00774D04" w:rsidRPr="00255EF8" w:rsidRDefault="00774D04" w:rsidP="00774D04">
      <w:pPr>
        <w:keepNext/>
        <w:keepLines/>
        <w:autoSpaceDE w:val="0"/>
        <w:autoSpaceDN w:val="0"/>
        <w:adjustRightInd w:val="0"/>
        <w:rPr>
          <w:lang w:val="en-AU"/>
        </w:rPr>
      </w:pPr>
      <w:r w:rsidRPr="00774D04">
        <w:rPr>
          <w:lang w:val="en-AU"/>
        </w:rPr>
        <w:t>Journal of Communication in Healthcare 2015;8(1):76-84.</w:t>
      </w:r>
    </w:p>
    <w:tbl>
      <w:tblPr>
        <w:tblStyle w:val="TableGrid"/>
        <w:tblW w:w="0" w:type="auto"/>
        <w:tblInd w:w="288" w:type="dxa"/>
        <w:tblLayout w:type="fixed"/>
        <w:tblLook w:val="01E0" w:firstRow="1" w:lastRow="1" w:firstColumn="1" w:lastColumn="1" w:noHBand="0" w:noVBand="0"/>
      </w:tblPr>
      <w:tblGrid>
        <w:gridCol w:w="1080"/>
        <w:gridCol w:w="8280"/>
      </w:tblGrid>
      <w:tr w:rsidR="00774D04" w:rsidRPr="00255EF8" w:rsidTr="00130645">
        <w:tc>
          <w:tcPr>
            <w:tcW w:w="1080" w:type="dxa"/>
            <w:tcBorders>
              <w:top w:val="single" w:sz="4" w:space="0" w:color="auto"/>
              <w:left w:val="single" w:sz="4" w:space="0" w:color="auto"/>
              <w:bottom w:val="single" w:sz="4" w:space="0" w:color="auto"/>
              <w:right w:val="single" w:sz="4" w:space="0" w:color="auto"/>
            </w:tcBorders>
            <w:vAlign w:val="center"/>
          </w:tcPr>
          <w:p w:rsidR="00774D04" w:rsidRPr="00255EF8" w:rsidRDefault="00774D04" w:rsidP="00130645">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74D04" w:rsidRPr="00255EF8" w:rsidRDefault="00411AEB" w:rsidP="00130645">
            <w:pPr>
              <w:rPr>
                <w:lang w:val="en-AU"/>
              </w:rPr>
            </w:pPr>
            <w:hyperlink r:id="rId21" w:history="1">
              <w:r w:rsidR="00774D04" w:rsidRPr="00673849">
                <w:rPr>
                  <w:rStyle w:val="Hyperlink"/>
                  <w:lang w:val="en-AU"/>
                </w:rPr>
                <w:t>http://dx.doi.org/10.1179/1753807615Y.0000000006</w:t>
              </w:r>
            </w:hyperlink>
          </w:p>
        </w:tc>
      </w:tr>
      <w:tr w:rsidR="00774D04" w:rsidRPr="00255EF8" w:rsidTr="00130645">
        <w:tc>
          <w:tcPr>
            <w:tcW w:w="1080" w:type="dxa"/>
            <w:tcBorders>
              <w:top w:val="single" w:sz="4" w:space="0" w:color="auto"/>
              <w:left w:val="single" w:sz="4" w:space="0" w:color="auto"/>
              <w:bottom w:val="single" w:sz="4" w:space="0" w:color="auto"/>
              <w:right w:val="single" w:sz="4" w:space="0" w:color="auto"/>
            </w:tcBorders>
            <w:vAlign w:val="center"/>
          </w:tcPr>
          <w:p w:rsidR="00774D04" w:rsidRPr="00255EF8" w:rsidRDefault="00774D04" w:rsidP="0013064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03610" w:rsidRPr="005833F4" w:rsidRDefault="00774D04" w:rsidP="00003610">
            <w:pPr>
              <w:rPr>
                <w:color w:val="333333"/>
                <w:shd w:val="clear" w:color="auto" w:fill="FFFFFF"/>
                <w:lang w:val="en-AU"/>
              </w:rPr>
            </w:pPr>
            <w:r>
              <w:rPr>
                <w:color w:val="333333"/>
                <w:shd w:val="clear" w:color="auto" w:fill="FFFFFF"/>
                <w:lang w:val="en-AU"/>
              </w:rPr>
              <w:t xml:space="preserve">Communication is fundamental to the success of almost any form of change management, in health or any other setting. This article describes the development and implementation of the communications strategy for the </w:t>
            </w:r>
            <w:r w:rsidRPr="00774D04">
              <w:rPr>
                <w:color w:val="333333"/>
                <w:shd w:val="clear" w:color="auto" w:fill="FFFFFF"/>
                <w:lang w:val="en-AU"/>
              </w:rPr>
              <w:t xml:space="preserve">1000 Lives Campaign </w:t>
            </w:r>
            <w:r>
              <w:rPr>
                <w:color w:val="333333"/>
                <w:shd w:val="clear" w:color="auto" w:fill="FFFFFF"/>
                <w:lang w:val="en-AU"/>
              </w:rPr>
              <w:t>(</w:t>
            </w:r>
            <w:r w:rsidRPr="00774D04">
              <w:rPr>
                <w:color w:val="333333"/>
                <w:shd w:val="clear" w:color="auto" w:fill="FFFFFF"/>
                <w:lang w:val="en-AU"/>
              </w:rPr>
              <w:t xml:space="preserve">a large-scale national </w:t>
            </w:r>
            <w:r>
              <w:rPr>
                <w:color w:val="333333"/>
                <w:shd w:val="clear" w:color="auto" w:fill="FFFFFF"/>
                <w:lang w:val="en-AU"/>
              </w:rPr>
              <w:t xml:space="preserve">quality improvement (QI) </w:t>
            </w:r>
            <w:r w:rsidRPr="00774D04">
              <w:rPr>
                <w:color w:val="333333"/>
                <w:shd w:val="clear" w:color="auto" w:fill="FFFFFF"/>
                <w:lang w:val="en-AU"/>
              </w:rPr>
              <w:t>collaborative that aimed to save an additional 1000 lives and prevent 50 000 episodes of harm</w:t>
            </w:r>
            <w:r>
              <w:rPr>
                <w:color w:val="333333"/>
                <w:shd w:val="clear" w:color="auto" w:fill="FFFFFF"/>
                <w:lang w:val="en-AU"/>
              </w:rPr>
              <w:t>) in Wales</w:t>
            </w:r>
            <w:r w:rsidRPr="00774D04">
              <w:rPr>
                <w:color w:val="333333"/>
                <w:shd w:val="clear" w:color="auto" w:fill="FFFFFF"/>
                <w:lang w:val="en-AU"/>
              </w:rPr>
              <w:t>.</w:t>
            </w:r>
            <w:r>
              <w:rPr>
                <w:color w:val="333333"/>
                <w:shd w:val="clear" w:color="auto" w:fill="FFFFFF"/>
                <w:lang w:val="en-AU"/>
              </w:rPr>
              <w:t xml:space="preserve"> The strategy aimed “</w:t>
            </w:r>
            <w:r w:rsidRPr="00774D04">
              <w:rPr>
                <w:color w:val="333333"/>
                <w:shd w:val="clear" w:color="auto" w:fill="FFFFFF"/>
                <w:lang w:val="en-AU"/>
              </w:rPr>
              <w:t>to engage the hearts and minds of frontline National Health Service (NHS) staff in the Campaign and promote their awareness and understanding of specific QI interventions and the wider patient safety agenda</w:t>
            </w:r>
            <w:r w:rsidR="00003610">
              <w:rPr>
                <w:color w:val="333333"/>
                <w:shd w:val="clear" w:color="auto" w:fill="FFFFFF"/>
                <w:lang w:val="en-AU"/>
              </w:rPr>
              <w:t>”.</w:t>
            </w:r>
          </w:p>
        </w:tc>
      </w:tr>
    </w:tbl>
    <w:p w:rsidR="00774D04" w:rsidRDefault="00774D04" w:rsidP="00774D04">
      <w:pPr>
        <w:keepNext/>
        <w:keepLines/>
        <w:autoSpaceDE w:val="0"/>
        <w:autoSpaceDN w:val="0"/>
        <w:adjustRightInd w:val="0"/>
        <w:rPr>
          <w:lang w:val="en-AU"/>
        </w:rPr>
      </w:pPr>
    </w:p>
    <w:p w:rsidR="00003610" w:rsidRPr="00003610" w:rsidRDefault="00003610" w:rsidP="00003610">
      <w:pPr>
        <w:keepNext/>
        <w:keepLines/>
        <w:autoSpaceDE w:val="0"/>
        <w:autoSpaceDN w:val="0"/>
        <w:adjustRightInd w:val="0"/>
        <w:rPr>
          <w:i/>
          <w:lang w:val="en-AU"/>
        </w:rPr>
      </w:pPr>
      <w:r w:rsidRPr="00003610">
        <w:rPr>
          <w:i/>
          <w:lang w:val="en-AU"/>
        </w:rPr>
        <w:t>Computerised clinical decision support systems to improve medication safety in long-term care homes: a systematic review</w:t>
      </w:r>
    </w:p>
    <w:p w:rsidR="00003610" w:rsidRDefault="00003610" w:rsidP="00003610">
      <w:pPr>
        <w:keepNext/>
        <w:keepLines/>
        <w:autoSpaceDE w:val="0"/>
        <w:autoSpaceDN w:val="0"/>
        <w:adjustRightInd w:val="0"/>
        <w:rPr>
          <w:lang w:val="en-AU"/>
        </w:rPr>
      </w:pPr>
      <w:r w:rsidRPr="00003610">
        <w:rPr>
          <w:lang w:val="en-AU"/>
        </w:rPr>
        <w:t>Marasinghe KM</w:t>
      </w:r>
    </w:p>
    <w:p w:rsidR="00003610" w:rsidRPr="00255EF8" w:rsidRDefault="00003610" w:rsidP="00003610">
      <w:pPr>
        <w:keepNext/>
        <w:keepLines/>
        <w:autoSpaceDE w:val="0"/>
        <w:autoSpaceDN w:val="0"/>
        <w:adjustRightInd w:val="0"/>
        <w:rPr>
          <w:lang w:val="en-AU"/>
        </w:rPr>
      </w:pPr>
      <w:r w:rsidRPr="00003610">
        <w:rPr>
          <w:lang w:val="en-AU"/>
        </w:rPr>
        <w:t>BMJ Open 2015;5(5).</w:t>
      </w:r>
    </w:p>
    <w:tbl>
      <w:tblPr>
        <w:tblStyle w:val="TableGrid"/>
        <w:tblW w:w="0" w:type="auto"/>
        <w:tblInd w:w="288" w:type="dxa"/>
        <w:tblLayout w:type="fixed"/>
        <w:tblLook w:val="01E0" w:firstRow="1" w:lastRow="1" w:firstColumn="1" w:lastColumn="1" w:noHBand="0" w:noVBand="0"/>
      </w:tblPr>
      <w:tblGrid>
        <w:gridCol w:w="1080"/>
        <w:gridCol w:w="8280"/>
      </w:tblGrid>
      <w:tr w:rsidR="00003610" w:rsidRPr="00255EF8" w:rsidTr="00130645">
        <w:tc>
          <w:tcPr>
            <w:tcW w:w="1080" w:type="dxa"/>
            <w:tcBorders>
              <w:top w:val="single" w:sz="4" w:space="0" w:color="auto"/>
              <w:left w:val="single" w:sz="4" w:space="0" w:color="auto"/>
              <w:bottom w:val="single" w:sz="4" w:space="0" w:color="auto"/>
              <w:right w:val="single" w:sz="4" w:space="0" w:color="auto"/>
            </w:tcBorders>
            <w:vAlign w:val="center"/>
          </w:tcPr>
          <w:p w:rsidR="00003610" w:rsidRPr="00255EF8" w:rsidRDefault="00003610" w:rsidP="00130645">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03610" w:rsidRPr="00255EF8" w:rsidRDefault="00411AEB" w:rsidP="00130645">
            <w:pPr>
              <w:rPr>
                <w:lang w:val="en-AU"/>
              </w:rPr>
            </w:pPr>
            <w:hyperlink r:id="rId22" w:history="1">
              <w:r w:rsidR="00003610" w:rsidRPr="00673849">
                <w:rPr>
                  <w:rStyle w:val="Hyperlink"/>
                  <w:lang w:val="en-AU"/>
                </w:rPr>
                <w:t>http://dx.doi.org/10.1136/bmjopen-2014-006539</w:t>
              </w:r>
            </w:hyperlink>
          </w:p>
        </w:tc>
      </w:tr>
      <w:tr w:rsidR="00003610" w:rsidRPr="00255EF8" w:rsidTr="00130645">
        <w:tc>
          <w:tcPr>
            <w:tcW w:w="1080" w:type="dxa"/>
            <w:tcBorders>
              <w:top w:val="single" w:sz="4" w:space="0" w:color="auto"/>
              <w:left w:val="single" w:sz="4" w:space="0" w:color="auto"/>
              <w:bottom w:val="single" w:sz="4" w:space="0" w:color="auto"/>
              <w:right w:val="single" w:sz="4" w:space="0" w:color="auto"/>
            </w:tcBorders>
            <w:vAlign w:val="center"/>
          </w:tcPr>
          <w:p w:rsidR="00003610" w:rsidRPr="00255EF8" w:rsidRDefault="00003610" w:rsidP="0013064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03610" w:rsidRPr="005833F4" w:rsidRDefault="00003610" w:rsidP="00003610">
            <w:pPr>
              <w:rPr>
                <w:color w:val="333333"/>
                <w:shd w:val="clear" w:color="auto" w:fill="FFFFFF"/>
                <w:lang w:val="en-AU"/>
              </w:rPr>
            </w:pPr>
            <w:r>
              <w:rPr>
                <w:color w:val="333333"/>
                <w:shd w:val="clear" w:color="auto" w:fill="FFFFFF"/>
                <w:lang w:val="en-AU"/>
              </w:rPr>
              <w:t>Paper reporting on a systematic review examining the impact of c</w:t>
            </w:r>
            <w:r w:rsidRPr="00003610">
              <w:rPr>
                <w:color w:val="333333"/>
                <w:shd w:val="clear" w:color="auto" w:fill="FFFFFF"/>
                <w:lang w:val="en-AU"/>
              </w:rPr>
              <w:t>omputerised clinical decision support systems (CCDSS)</w:t>
            </w:r>
            <w:r>
              <w:rPr>
                <w:color w:val="333333"/>
                <w:shd w:val="clear" w:color="auto" w:fill="FFFFFF"/>
                <w:lang w:val="en-AU"/>
              </w:rPr>
              <w:t xml:space="preserve"> on </w:t>
            </w:r>
            <w:r w:rsidRPr="00003610">
              <w:rPr>
                <w:color w:val="333333"/>
                <w:shd w:val="clear" w:color="auto" w:fill="FFFFFF"/>
                <w:lang w:val="en-AU"/>
              </w:rPr>
              <w:t>medication safety in long-term care homes</w:t>
            </w:r>
            <w:r>
              <w:rPr>
                <w:color w:val="333333"/>
                <w:shd w:val="clear" w:color="auto" w:fill="FFFFFF"/>
                <w:lang w:val="en-AU"/>
              </w:rPr>
              <w:t>. Notwithstanding the limited literature, th</w:t>
            </w:r>
            <w:r w:rsidR="00055DE6">
              <w:rPr>
                <w:color w:val="333333"/>
                <w:shd w:val="clear" w:color="auto" w:fill="FFFFFF"/>
                <w:lang w:val="en-AU"/>
              </w:rPr>
              <w:t>e author</w:t>
            </w:r>
            <w:r>
              <w:rPr>
                <w:color w:val="333333"/>
                <w:shd w:val="clear" w:color="auto" w:fill="FFFFFF"/>
                <w:lang w:val="en-AU"/>
              </w:rPr>
              <w:t xml:space="preserve"> </w:t>
            </w:r>
            <w:r w:rsidR="00FB2BC8">
              <w:rPr>
                <w:color w:val="333333"/>
                <w:shd w:val="clear" w:color="auto" w:fill="FFFFFF"/>
                <w:lang w:val="en-AU"/>
              </w:rPr>
              <w:t>reports</w:t>
            </w:r>
            <w:r>
              <w:rPr>
                <w:color w:val="333333"/>
                <w:shd w:val="clear" w:color="auto" w:fill="FFFFFF"/>
                <w:lang w:val="en-AU"/>
              </w:rPr>
              <w:t xml:space="preserve"> that such systems </w:t>
            </w:r>
            <w:r w:rsidRPr="00003610">
              <w:rPr>
                <w:color w:val="333333"/>
                <w:shd w:val="clear" w:color="auto" w:fill="FFFFFF"/>
                <w:lang w:val="en-AU"/>
              </w:rPr>
              <w:t xml:space="preserve">improve the quality of prescribing decisions, detected </w:t>
            </w:r>
            <w:r>
              <w:rPr>
                <w:color w:val="333333"/>
                <w:shd w:val="clear" w:color="auto" w:fill="FFFFFF"/>
                <w:lang w:val="en-AU"/>
              </w:rPr>
              <w:t>adverse drug reactions</w:t>
            </w:r>
            <w:r w:rsidRPr="00003610">
              <w:rPr>
                <w:color w:val="333333"/>
                <w:shd w:val="clear" w:color="auto" w:fill="FFFFFF"/>
                <w:lang w:val="en-AU"/>
              </w:rPr>
              <w:t>, triggered warning messages and reduced injury risk among older adults</w:t>
            </w:r>
            <w:r w:rsidR="003A26CC">
              <w:rPr>
                <w:color w:val="333333"/>
                <w:shd w:val="clear" w:color="auto" w:fill="FFFFFF"/>
                <w:lang w:val="en-AU"/>
              </w:rPr>
              <w:t>.</w:t>
            </w:r>
          </w:p>
        </w:tc>
      </w:tr>
    </w:tbl>
    <w:p w:rsidR="00003610" w:rsidRDefault="00003610" w:rsidP="00003610">
      <w:pPr>
        <w:keepNext/>
        <w:keepLines/>
        <w:autoSpaceDE w:val="0"/>
        <w:autoSpaceDN w:val="0"/>
        <w:adjustRightInd w:val="0"/>
        <w:rPr>
          <w:lang w:val="en-AU"/>
        </w:rPr>
      </w:pPr>
    </w:p>
    <w:p w:rsidR="00003610" w:rsidRDefault="00003610" w:rsidP="00003610">
      <w:pPr>
        <w:keepNext/>
        <w:keepLines/>
        <w:autoSpaceDE w:val="0"/>
        <w:autoSpaceDN w:val="0"/>
        <w:adjustRightInd w:val="0"/>
        <w:rPr>
          <w:lang w:val="en-AU"/>
        </w:rPr>
      </w:pPr>
      <w:r>
        <w:rPr>
          <w:lang w:val="en-AU"/>
        </w:rPr>
        <w:t xml:space="preserve">For information on the Commission’s work on medication safety, see </w:t>
      </w:r>
      <w:hyperlink r:id="rId23" w:history="1">
        <w:r w:rsidRPr="00673849">
          <w:rPr>
            <w:rStyle w:val="Hyperlink"/>
            <w:lang w:val="en-AU"/>
          </w:rPr>
          <w:t>www.safetyandquality.gov.au/our-work/medication-safety/</w:t>
        </w:r>
      </w:hyperlink>
      <w:r>
        <w:rPr>
          <w:lang w:val="en-AU"/>
        </w:rPr>
        <w:t xml:space="preserve"> </w:t>
      </w:r>
    </w:p>
    <w:p w:rsidR="00B227BE" w:rsidRDefault="00B227BE">
      <w:pPr>
        <w:rPr>
          <w:i/>
          <w:lang w:val="en-AU"/>
        </w:rPr>
      </w:pPr>
    </w:p>
    <w:p w:rsidR="007B25E6" w:rsidRPr="00401EAF" w:rsidRDefault="007B25E6" w:rsidP="007B25E6">
      <w:pPr>
        <w:keepNext/>
        <w:keepLines/>
        <w:autoSpaceDE w:val="0"/>
        <w:autoSpaceDN w:val="0"/>
        <w:adjustRightInd w:val="0"/>
        <w:rPr>
          <w:i/>
          <w:lang w:val="en-AU"/>
        </w:rPr>
      </w:pPr>
      <w:r>
        <w:rPr>
          <w:i/>
          <w:lang w:val="en-AU"/>
        </w:rPr>
        <w:t>Healthcare Infection</w:t>
      </w:r>
    </w:p>
    <w:p w:rsidR="007B25E6" w:rsidRPr="00255EF8" w:rsidRDefault="007B25E6" w:rsidP="007B25E6">
      <w:pPr>
        <w:keepNext/>
        <w:keepLines/>
        <w:autoSpaceDE w:val="0"/>
        <w:autoSpaceDN w:val="0"/>
        <w:adjustRightInd w:val="0"/>
        <w:rPr>
          <w:lang w:val="en-AU"/>
        </w:rPr>
      </w:pPr>
      <w:r w:rsidRPr="00CC69EA">
        <w:rPr>
          <w:lang w:val="en-AU"/>
        </w:rPr>
        <w:t>Volume 20(</w:t>
      </w:r>
      <w:r>
        <w:rPr>
          <w:lang w:val="en-AU"/>
        </w:rPr>
        <w:t>2</w:t>
      </w:r>
      <w:r w:rsidRPr="00CC69EA">
        <w:rPr>
          <w:lang w:val="en-AU"/>
        </w:rPr>
        <w:t>) 2015</w:t>
      </w:r>
    </w:p>
    <w:tbl>
      <w:tblPr>
        <w:tblStyle w:val="TableGrid"/>
        <w:tblW w:w="0" w:type="auto"/>
        <w:tblInd w:w="288" w:type="dxa"/>
        <w:tblLayout w:type="fixed"/>
        <w:tblLook w:val="01E0" w:firstRow="1" w:lastRow="1" w:firstColumn="1" w:lastColumn="1" w:noHBand="0" w:noVBand="0"/>
      </w:tblPr>
      <w:tblGrid>
        <w:gridCol w:w="1080"/>
        <w:gridCol w:w="8280"/>
      </w:tblGrid>
      <w:tr w:rsidR="007B25E6" w:rsidRPr="00255EF8" w:rsidTr="004769E9">
        <w:tc>
          <w:tcPr>
            <w:tcW w:w="1080" w:type="dxa"/>
            <w:tcBorders>
              <w:top w:val="single" w:sz="4" w:space="0" w:color="auto"/>
              <w:left w:val="single" w:sz="4" w:space="0" w:color="auto"/>
              <w:bottom w:val="single" w:sz="4" w:space="0" w:color="auto"/>
              <w:right w:val="single" w:sz="4" w:space="0" w:color="auto"/>
            </w:tcBorders>
            <w:vAlign w:val="center"/>
          </w:tcPr>
          <w:p w:rsidR="007B25E6" w:rsidRPr="00255EF8" w:rsidRDefault="007B25E6" w:rsidP="004769E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25E6" w:rsidRPr="00255EF8" w:rsidRDefault="00411AEB" w:rsidP="007B25E6">
            <w:pPr>
              <w:rPr>
                <w:lang w:val="en-AU"/>
              </w:rPr>
            </w:pPr>
            <w:hyperlink r:id="rId24" w:history="1">
              <w:r w:rsidR="007B25E6" w:rsidRPr="00B80782">
                <w:rPr>
                  <w:rStyle w:val="Hyperlink"/>
                  <w:lang w:val="en-AU"/>
                </w:rPr>
                <w:t>http://www.publish.csiro.au/nid/241/issue/7521.htm</w:t>
              </w:r>
            </w:hyperlink>
          </w:p>
        </w:tc>
      </w:tr>
      <w:tr w:rsidR="007B25E6" w:rsidRPr="00255EF8" w:rsidTr="004769E9">
        <w:tc>
          <w:tcPr>
            <w:tcW w:w="1080" w:type="dxa"/>
            <w:tcBorders>
              <w:top w:val="single" w:sz="4" w:space="0" w:color="auto"/>
              <w:left w:val="single" w:sz="4" w:space="0" w:color="auto"/>
              <w:bottom w:val="single" w:sz="4" w:space="0" w:color="auto"/>
              <w:right w:val="single" w:sz="4" w:space="0" w:color="auto"/>
            </w:tcBorders>
            <w:vAlign w:val="center"/>
          </w:tcPr>
          <w:p w:rsidR="007B25E6" w:rsidRPr="00255EF8" w:rsidRDefault="007B25E6" w:rsidP="004769E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25E6" w:rsidRDefault="007B25E6" w:rsidP="004769E9">
            <w:pPr>
              <w:keepNext/>
              <w:keepLines/>
              <w:autoSpaceDE w:val="0"/>
              <w:autoSpaceDN w:val="0"/>
              <w:adjustRightInd w:val="0"/>
              <w:rPr>
                <w:color w:val="333333"/>
                <w:shd w:val="clear" w:color="auto" w:fill="FFFFFF"/>
                <w:lang w:val="en-AU"/>
              </w:rPr>
            </w:pPr>
            <w:r>
              <w:rPr>
                <w:color w:val="333333"/>
                <w:shd w:val="clear" w:color="auto" w:fill="FFFFFF"/>
                <w:lang w:val="en-AU"/>
              </w:rPr>
              <w:t xml:space="preserve">A new issue of </w:t>
            </w:r>
            <w:r>
              <w:rPr>
                <w:i/>
                <w:lang w:val="en-AU"/>
              </w:rPr>
              <w:t>Healthcare Infection</w:t>
            </w:r>
            <w:r>
              <w:rPr>
                <w:color w:val="333333"/>
                <w:shd w:val="clear" w:color="auto" w:fill="FFFFFF"/>
                <w:lang w:val="en-AU"/>
              </w:rPr>
              <w:t xml:space="preserve"> has been published. Articles in this issue of </w:t>
            </w:r>
            <w:r>
              <w:rPr>
                <w:i/>
                <w:lang w:val="en-AU"/>
              </w:rPr>
              <w:t>Healthcare Infection</w:t>
            </w:r>
            <w:r>
              <w:rPr>
                <w:color w:val="333333"/>
                <w:shd w:val="clear" w:color="auto" w:fill="FFFFFF"/>
                <w:lang w:val="en-AU"/>
              </w:rPr>
              <w:t xml:space="preserve"> include:</w:t>
            </w:r>
          </w:p>
          <w:p w:rsidR="007B25E6" w:rsidRPr="007B25E6" w:rsidRDefault="007B25E6" w:rsidP="007B25E6">
            <w:pPr>
              <w:pStyle w:val="ListParagraph"/>
              <w:numPr>
                <w:ilvl w:val="0"/>
                <w:numId w:val="36"/>
              </w:numPr>
              <w:rPr>
                <w:color w:val="333333"/>
                <w:shd w:val="clear" w:color="auto" w:fill="FFFFFF"/>
                <w:lang w:val="en-AU"/>
              </w:rPr>
            </w:pPr>
            <w:r w:rsidRPr="007B25E6">
              <w:rPr>
                <w:b/>
                <w:color w:val="333333"/>
                <w:shd w:val="clear" w:color="auto" w:fill="FFFFFF"/>
                <w:lang w:val="en-AU"/>
              </w:rPr>
              <w:t>Surgical site infection</w:t>
            </w:r>
            <w:r w:rsidRPr="007B25E6">
              <w:rPr>
                <w:color w:val="333333"/>
                <w:shd w:val="clear" w:color="auto" w:fill="FFFFFF"/>
                <w:lang w:val="en-AU"/>
              </w:rPr>
              <w:t xml:space="preserve"> in orthopaedic surgery: an audit of peri-operative practice at a tertiary centre (Peter Tao, Caroli</w:t>
            </w:r>
            <w:r>
              <w:rPr>
                <w:color w:val="333333"/>
                <w:shd w:val="clear" w:color="auto" w:fill="FFFFFF"/>
                <w:lang w:val="en-AU"/>
              </w:rPr>
              <w:t>ne Marshall and Andrew Bucknill)</w:t>
            </w:r>
          </w:p>
          <w:p w:rsidR="007B25E6" w:rsidRPr="007B25E6" w:rsidRDefault="007B25E6" w:rsidP="007B25E6">
            <w:pPr>
              <w:pStyle w:val="ListParagraph"/>
              <w:numPr>
                <w:ilvl w:val="0"/>
                <w:numId w:val="36"/>
              </w:numPr>
              <w:rPr>
                <w:color w:val="333333"/>
                <w:shd w:val="clear" w:color="auto" w:fill="FFFFFF"/>
                <w:lang w:val="en-AU"/>
              </w:rPr>
            </w:pPr>
            <w:r w:rsidRPr="007B25E6">
              <w:rPr>
                <w:color w:val="333333"/>
                <w:shd w:val="clear" w:color="auto" w:fill="FFFFFF"/>
                <w:lang w:val="en-AU"/>
              </w:rPr>
              <w:t xml:space="preserve">Improving the </w:t>
            </w:r>
            <w:r w:rsidRPr="007B25E6">
              <w:rPr>
                <w:b/>
                <w:color w:val="333333"/>
                <w:shd w:val="clear" w:color="auto" w:fill="FFFFFF"/>
                <w:lang w:val="en-AU"/>
              </w:rPr>
              <w:t>central venous access devices</w:t>
            </w:r>
            <w:r w:rsidRPr="007B25E6">
              <w:rPr>
                <w:color w:val="333333"/>
                <w:shd w:val="clear" w:color="auto" w:fill="FFFFFF"/>
                <w:lang w:val="en-AU"/>
              </w:rPr>
              <w:t xml:space="preserve"> maintenance process to reduce associated infections in paediatrics: evaluation of a practical, multi-</w:t>
            </w:r>
            <w:r w:rsidRPr="007B25E6">
              <w:rPr>
                <w:color w:val="333333"/>
                <w:shd w:val="clear" w:color="auto" w:fill="FFFFFF"/>
                <w:lang w:val="en-AU"/>
              </w:rPr>
              <w:lastRenderedPageBreak/>
              <w:t>faceted quality-improvement initiative (Tricia Kleidon, Abby Illing, Gerry Fogarty, Rachel Edwards, J</w:t>
            </w:r>
            <w:r>
              <w:rPr>
                <w:color w:val="333333"/>
                <w:shd w:val="clear" w:color="auto" w:fill="FFFFFF"/>
                <w:lang w:val="en-AU"/>
              </w:rPr>
              <w:t>ane Tomlinson and Amanda Ullman)</w:t>
            </w:r>
          </w:p>
          <w:p w:rsidR="007B25E6" w:rsidRPr="007B25E6" w:rsidRDefault="007B25E6" w:rsidP="007B25E6">
            <w:pPr>
              <w:pStyle w:val="ListParagraph"/>
              <w:numPr>
                <w:ilvl w:val="0"/>
                <w:numId w:val="36"/>
              </w:numPr>
              <w:rPr>
                <w:color w:val="333333"/>
                <w:shd w:val="clear" w:color="auto" w:fill="FFFFFF"/>
                <w:lang w:val="en-AU"/>
              </w:rPr>
            </w:pPr>
            <w:r w:rsidRPr="007B25E6">
              <w:rPr>
                <w:color w:val="333333"/>
                <w:shd w:val="clear" w:color="auto" w:fill="FFFFFF"/>
                <w:lang w:val="en-AU"/>
              </w:rPr>
              <w:t xml:space="preserve">Success in the South Pacific: a case study of successful </w:t>
            </w:r>
            <w:r w:rsidRPr="007B25E6">
              <w:rPr>
                <w:b/>
                <w:color w:val="333333"/>
                <w:shd w:val="clear" w:color="auto" w:fill="FFFFFF"/>
                <w:lang w:val="en-AU"/>
              </w:rPr>
              <w:t>diffusion of an infection prevention and control program</w:t>
            </w:r>
            <w:r w:rsidRPr="007B25E6">
              <w:rPr>
                <w:color w:val="333333"/>
                <w:shd w:val="clear" w:color="auto" w:fill="FFFFFF"/>
                <w:lang w:val="en-AU"/>
              </w:rPr>
              <w:t xml:space="preserve"> (Peta-Anne Zimmerman, Heather Yeatman, </w:t>
            </w:r>
            <w:r>
              <w:rPr>
                <w:color w:val="333333"/>
                <w:shd w:val="clear" w:color="auto" w:fill="FFFFFF"/>
                <w:lang w:val="en-AU"/>
              </w:rPr>
              <w:t>Michael Jones and Helen Murdoch)</w:t>
            </w:r>
          </w:p>
          <w:p w:rsidR="007B25E6" w:rsidRPr="007B25E6" w:rsidRDefault="007B25E6" w:rsidP="007B25E6">
            <w:pPr>
              <w:pStyle w:val="ListParagraph"/>
              <w:numPr>
                <w:ilvl w:val="0"/>
                <w:numId w:val="36"/>
              </w:numPr>
              <w:rPr>
                <w:color w:val="333333"/>
                <w:shd w:val="clear" w:color="auto" w:fill="FFFFFF"/>
                <w:lang w:val="en-AU"/>
              </w:rPr>
            </w:pPr>
            <w:r w:rsidRPr="007B25E6">
              <w:rPr>
                <w:color w:val="333333"/>
                <w:shd w:val="clear" w:color="auto" w:fill="FFFFFF"/>
                <w:lang w:val="en-AU"/>
              </w:rPr>
              <w:t xml:space="preserve">Does our bundle stack up! Innovative nurse-led changes for preventing </w:t>
            </w:r>
            <w:r w:rsidRPr="007B25E6">
              <w:rPr>
                <w:b/>
                <w:color w:val="333333"/>
                <w:shd w:val="clear" w:color="auto" w:fill="FFFFFF"/>
                <w:lang w:val="en-AU"/>
              </w:rPr>
              <w:t>catheter-associated urinary tract infection (CAUTI)</w:t>
            </w:r>
            <w:r w:rsidRPr="007B25E6">
              <w:rPr>
                <w:color w:val="333333"/>
                <w:shd w:val="clear" w:color="auto" w:fill="FFFFFF"/>
                <w:lang w:val="en-AU"/>
              </w:rPr>
              <w:t xml:space="preserve"> (Michelle Giles, Wendy Watts, Anthony O'Brien, Sandy Berenger, Michelle Paul, </w:t>
            </w:r>
            <w:r>
              <w:rPr>
                <w:color w:val="333333"/>
                <w:shd w:val="clear" w:color="auto" w:fill="FFFFFF"/>
                <w:lang w:val="en-AU"/>
              </w:rPr>
              <w:t>Karen McNeil and Kamana Bantawa)</w:t>
            </w:r>
          </w:p>
          <w:p w:rsidR="007B25E6" w:rsidRPr="007B25E6" w:rsidRDefault="007B25E6" w:rsidP="007B25E6">
            <w:pPr>
              <w:pStyle w:val="ListParagraph"/>
              <w:numPr>
                <w:ilvl w:val="0"/>
                <w:numId w:val="36"/>
              </w:numPr>
              <w:rPr>
                <w:color w:val="333333"/>
                <w:shd w:val="clear" w:color="auto" w:fill="FFFFFF"/>
                <w:lang w:val="en-AU"/>
              </w:rPr>
            </w:pPr>
            <w:r w:rsidRPr="007B25E6">
              <w:rPr>
                <w:color w:val="333333"/>
                <w:shd w:val="clear" w:color="auto" w:fill="FFFFFF"/>
                <w:lang w:val="en-AU"/>
              </w:rPr>
              <w:t xml:space="preserve">The emergence of </w:t>
            </w:r>
            <w:r w:rsidRPr="00055DE6">
              <w:rPr>
                <w:b/>
                <w:color w:val="333333"/>
                <w:shd w:val="clear" w:color="auto" w:fill="FFFFFF"/>
                <w:lang w:val="en-AU"/>
              </w:rPr>
              <w:t>community-acquired</w:t>
            </w:r>
            <w:r w:rsidRPr="007B25E6">
              <w:rPr>
                <w:color w:val="333333"/>
                <w:shd w:val="clear" w:color="auto" w:fill="FFFFFF"/>
                <w:lang w:val="en-AU"/>
              </w:rPr>
              <w:t xml:space="preserve"> </w:t>
            </w:r>
            <w:r w:rsidRPr="007B25E6">
              <w:rPr>
                <w:b/>
                <w:i/>
                <w:color w:val="333333"/>
                <w:shd w:val="clear" w:color="auto" w:fill="FFFFFF"/>
                <w:lang w:val="en-AU"/>
              </w:rPr>
              <w:t>Clostridium difficile</w:t>
            </w:r>
            <w:r w:rsidRPr="007B25E6">
              <w:rPr>
                <w:color w:val="333333"/>
                <w:shd w:val="clear" w:color="auto" w:fill="FFFFFF"/>
                <w:lang w:val="en-AU"/>
              </w:rPr>
              <w:t xml:space="preserve"> in an Australian hospital (Teresa M Wozniak, George Rubin</w:t>
            </w:r>
            <w:r>
              <w:rPr>
                <w:color w:val="333333"/>
                <w:shd w:val="clear" w:color="auto" w:fill="FFFFFF"/>
                <w:lang w:val="en-AU"/>
              </w:rPr>
              <w:t xml:space="preserve"> and C Raina MacIntyre)</w:t>
            </w:r>
          </w:p>
          <w:p w:rsidR="007B25E6" w:rsidRPr="003B6A48" w:rsidRDefault="007B25E6" w:rsidP="007B25E6">
            <w:pPr>
              <w:pStyle w:val="ListParagraph"/>
              <w:numPr>
                <w:ilvl w:val="0"/>
                <w:numId w:val="36"/>
              </w:numPr>
              <w:rPr>
                <w:color w:val="333333"/>
                <w:shd w:val="clear" w:color="auto" w:fill="FFFFFF"/>
                <w:lang w:val="en-AU"/>
              </w:rPr>
            </w:pPr>
            <w:r w:rsidRPr="007B25E6">
              <w:rPr>
                <w:b/>
                <w:color w:val="333333"/>
                <w:shd w:val="clear" w:color="auto" w:fill="FFFFFF"/>
                <w:lang w:val="en-AU"/>
              </w:rPr>
              <w:t>Infection prevention and control</w:t>
            </w:r>
            <w:r w:rsidRPr="007B25E6">
              <w:rPr>
                <w:color w:val="333333"/>
                <w:shd w:val="clear" w:color="auto" w:fill="FFFFFF"/>
                <w:lang w:val="en-AU"/>
              </w:rPr>
              <w:t xml:space="preserve"> lessons learned from the management of the first suspected </w:t>
            </w:r>
            <w:r w:rsidRPr="007B25E6">
              <w:rPr>
                <w:b/>
                <w:color w:val="333333"/>
                <w:shd w:val="clear" w:color="auto" w:fill="FFFFFF"/>
                <w:lang w:val="en-AU"/>
              </w:rPr>
              <w:t>Ebola</w:t>
            </w:r>
            <w:r w:rsidRPr="007B25E6">
              <w:rPr>
                <w:color w:val="333333"/>
                <w:shd w:val="clear" w:color="auto" w:fill="FFFFFF"/>
                <w:lang w:val="en-AU"/>
              </w:rPr>
              <w:t xml:space="preserve"> virus disease case admitted to a New Zealand hospital (</w:t>
            </w:r>
            <w:r>
              <w:rPr>
                <w:color w:val="333333"/>
                <w:shd w:val="clear" w:color="auto" w:fill="FFFFFF"/>
                <w:lang w:val="en-AU"/>
              </w:rPr>
              <w:t>Ruth Barratt)</w:t>
            </w:r>
          </w:p>
        </w:tc>
      </w:tr>
    </w:tbl>
    <w:p w:rsidR="007B25E6" w:rsidRDefault="007B25E6" w:rsidP="007B25E6">
      <w:pPr>
        <w:keepNext/>
        <w:keepLines/>
        <w:autoSpaceDE w:val="0"/>
        <w:autoSpaceDN w:val="0"/>
        <w:adjustRightInd w:val="0"/>
        <w:rPr>
          <w:lang w:val="en-AU"/>
        </w:rPr>
      </w:pPr>
    </w:p>
    <w:p w:rsidR="005833F4" w:rsidRPr="00255EF8" w:rsidRDefault="005833F4" w:rsidP="005833F4">
      <w:pPr>
        <w:keepNext/>
        <w:rPr>
          <w:lang w:val="en-AU"/>
        </w:rPr>
      </w:pPr>
      <w:r w:rsidRPr="00255EF8">
        <w:rPr>
          <w:i/>
          <w:lang w:val="en-AU"/>
        </w:rPr>
        <w:t xml:space="preserve">BMJ Quality and Safety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55EF8"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55EF8" w:rsidRDefault="00411AEB" w:rsidP="00AF05F3">
            <w:pPr>
              <w:rPr>
                <w:lang w:val="en-AU"/>
              </w:rPr>
            </w:pPr>
            <w:hyperlink r:id="rId25" w:history="1">
              <w:r w:rsidR="005833F4" w:rsidRPr="00255EF8">
                <w:rPr>
                  <w:rStyle w:val="Hyperlink"/>
                  <w:lang w:val="en-AU"/>
                </w:rPr>
                <w:t>http://qualitysafety.bmj.com/content/early/recent</w:t>
              </w:r>
            </w:hyperlink>
          </w:p>
        </w:tc>
      </w:tr>
      <w:tr w:rsidR="005833F4" w:rsidRPr="00255EF8"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55EF8" w:rsidRDefault="005833F4" w:rsidP="00AF05F3">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614EFB" w:rsidRDefault="005833F4" w:rsidP="00614EFB">
            <w:pPr>
              <w:rPr>
                <w:lang w:val="en-AU"/>
              </w:rPr>
            </w:pPr>
            <w:r w:rsidRPr="00255EF8">
              <w:rPr>
                <w:i/>
                <w:lang w:val="en-AU"/>
              </w:rPr>
              <w:t>BMJ Quality and Safety</w:t>
            </w:r>
            <w:r w:rsidRPr="00255EF8">
              <w:rPr>
                <w:lang w:val="en-AU"/>
              </w:rPr>
              <w:t xml:space="preserve"> has published a number of ‘online first’ articles, including:</w:t>
            </w:r>
          </w:p>
          <w:p w:rsidR="00510ED2" w:rsidRPr="00510ED2" w:rsidRDefault="00510ED2" w:rsidP="00510ED2">
            <w:pPr>
              <w:pStyle w:val="ListParagraph"/>
              <w:numPr>
                <w:ilvl w:val="0"/>
                <w:numId w:val="14"/>
              </w:numPr>
              <w:rPr>
                <w:lang w:val="en-AU"/>
              </w:rPr>
            </w:pPr>
            <w:r w:rsidRPr="00510ED2">
              <w:rPr>
                <w:b/>
                <w:lang w:val="en-AU"/>
              </w:rPr>
              <w:t>Teamwork, communication and safety climate</w:t>
            </w:r>
            <w:r w:rsidRPr="00510ED2">
              <w:rPr>
                <w:lang w:val="en-AU"/>
              </w:rPr>
              <w:t>: a systematic review of interventions to improve surgical culture (Greg D Sacks, Evan M Shannon, Aaron J Dawes, Johnathon C Rollo, David K Nguyen, Marcia M Russell, Clifford Y Ko, Melinda A Maggard-Gibbons</w:t>
            </w:r>
            <w:r>
              <w:rPr>
                <w:lang w:val="en-AU"/>
              </w:rPr>
              <w:t>)</w:t>
            </w:r>
          </w:p>
          <w:p w:rsidR="000C56F7" w:rsidRPr="00255EF8" w:rsidRDefault="00510ED2" w:rsidP="00510ED2">
            <w:pPr>
              <w:pStyle w:val="ListParagraph"/>
              <w:numPr>
                <w:ilvl w:val="0"/>
                <w:numId w:val="14"/>
              </w:numPr>
              <w:rPr>
                <w:lang w:val="en-AU"/>
              </w:rPr>
            </w:pPr>
            <w:r w:rsidRPr="00510ED2">
              <w:rPr>
                <w:b/>
                <w:lang w:val="en-AU"/>
              </w:rPr>
              <w:t>Infection prevention and control in nursing homes</w:t>
            </w:r>
            <w:r w:rsidRPr="00510ED2">
              <w:rPr>
                <w:lang w:val="en-AU"/>
              </w:rPr>
              <w:t xml:space="preserve">: a qualitative study of decision-making regarding isolation-based practices </w:t>
            </w:r>
            <w:r>
              <w:rPr>
                <w:lang w:val="en-AU"/>
              </w:rPr>
              <w:t>(</w:t>
            </w:r>
            <w:r w:rsidRPr="00510ED2">
              <w:rPr>
                <w:lang w:val="en-AU"/>
              </w:rPr>
              <w:t>Catherine Crawford Cohen, Monika Pogorzelska-Maziarz, Carolyn T A Herzig, Eileen J Carter, Ragnhildur Bjarnadottir, Patricia Semeraro, Jasmine L Travers, P W Stone</w:t>
            </w:r>
            <w:r>
              <w:rPr>
                <w:lang w:val="en-AU"/>
              </w:rPr>
              <w:t>)</w:t>
            </w:r>
          </w:p>
        </w:tc>
      </w:tr>
    </w:tbl>
    <w:p w:rsidR="00D31BCC" w:rsidRDefault="00D31BCC" w:rsidP="00D31BCC">
      <w:pPr>
        <w:keepLines/>
        <w:autoSpaceDE w:val="0"/>
        <w:autoSpaceDN w:val="0"/>
        <w:adjustRightInd w:val="0"/>
        <w:rPr>
          <w:lang w:val="en-AU"/>
        </w:rPr>
      </w:pPr>
    </w:p>
    <w:p w:rsidR="001A4F9E" w:rsidRPr="001A4F9E" w:rsidRDefault="001A4F9E" w:rsidP="0029518F">
      <w:pPr>
        <w:rPr>
          <w:b/>
          <w:lang w:val="en-AU"/>
        </w:rPr>
      </w:pPr>
      <w:r w:rsidRPr="001A4F9E">
        <w:rPr>
          <w:b/>
          <w:lang w:val="en-AU"/>
        </w:rPr>
        <w:t>Onlin</w:t>
      </w:r>
      <w:r>
        <w:rPr>
          <w:b/>
          <w:lang w:val="en-AU"/>
        </w:rPr>
        <w:t>e</w:t>
      </w:r>
      <w:r w:rsidRPr="001A4F9E">
        <w:rPr>
          <w:b/>
          <w:lang w:val="en-AU"/>
        </w:rPr>
        <w:t xml:space="preserve"> resources</w:t>
      </w:r>
    </w:p>
    <w:p w:rsidR="007D571A" w:rsidRDefault="007D571A" w:rsidP="00EE6723">
      <w:pPr>
        <w:rPr>
          <w:lang w:val="en-AU"/>
        </w:rPr>
      </w:pPr>
    </w:p>
    <w:p w:rsidR="005F077C" w:rsidRDefault="005F077C" w:rsidP="005F077C">
      <w:pPr>
        <w:rPr>
          <w:i/>
          <w:lang w:val="en-AU"/>
        </w:rPr>
      </w:pPr>
      <w:r w:rsidRPr="00555BF8">
        <w:rPr>
          <w:i/>
          <w:lang w:val="en-AU"/>
        </w:rPr>
        <w:t>Medical Devices Safety Update</w:t>
      </w:r>
    </w:p>
    <w:p w:rsidR="005F077C" w:rsidRDefault="005F077C" w:rsidP="005F077C">
      <w:pPr>
        <w:rPr>
          <w:lang w:val="en-AU"/>
        </w:rPr>
      </w:pPr>
      <w:r w:rsidRPr="004D255A">
        <w:rPr>
          <w:lang w:val="en-AU"/>
        </w:rPr>
        <w:t xml:space="preserve">Volume </w:t>
      </w:r>
      <w:r>
        <w:rPr>
          <w:lang w:val="en-AU"/>
        </w:rPr>
        <w:t>3</w:t>
      </w:r>
      <w:r w:rsidRPr="004D255A">
        <w:rPr>
          <w:lang w:val="en-AU"/>
        </w:rPr>
        <w:t xml:space="preserve">, Number </w:t>
      </w:r>
      <w:r>
        <w:rPr>
          <w:lang w:val="en-AU"/>
        </w:rPr>
        <w:t>3</w:t>
      </w:r>
      <w:r w:rsidRPr="004D255A">
        <w:rPr>
          <w:lang w:val="en-AU"/>
        </w:rPr>
        <w:t xml:space="preserve">, </w:t>
      </w:r>
      <w:r>
        <w:rPr>
          <w:lang w:val="en-AU"/>
        </w:rPr>
        <w:t>May 2015</w:t>
      </w:r>
    </w:p>
    <w:p w:rsidR="005F077C" w:rsidRPr="004D255A" w:rsidRDefault="00411AEB" w:rsidP="005F077C">
      <w:pPr>
        <w:rPr>
          <w:lang w:val="en-AU"/>
        </w:rPr>
      </w:pPr>
      <w:hyperlink r:id="rId26" w:history="1">
        <w:r w:rsidR="005F077C" w:rsidRPr="00B80782">
          <w:rPr>
            <w:rStyle w:val="Hyperlink"/>
            <w:lang w:val="en-AU"/>
          </w:rPr>
          <w:t>https://www.tga.gov.au/publication-issue/medical-devices-safety-update-volume-3-number-3-may-2015</w:t>
        </w:r>
      </w:hyperlink>
      <w:r w:rsidR="005F077C">
        <w:rPr>
          <w:lang w:val="en-AU"/>
        </w:rPr>
        <w:t xml:space="preserve"> </w:t>
      </w:r>
    </w:p>
    <w:p w:rsidR="005F077C" w:rsidRDefault="005F077C" w:rsidP="005F077C">
      <w:pPr>
        <w:rPr>
          <w:lang w:val="en-AU"/>
        </w:rPr>
      </w:pPr>
      <w:r>
        <w:rPr>
          <w:lang w:val="en-AU"/>
        </w:rPr>
        <w:t xml:space="preserve">The </w:t>
      </w:r>
      <w:r w:rsidRPr="00555BF8">
        <w:rPr>
          <w:lang w:val="en-AU"/>
        </w:rPr>
        <w:t>Therapeutic Goods Administration (TGA)</w:t>
      </w:r>
      <w:r>
        <w:rPr>
          <w:lang w:val="en-AU"/>
        </w:rPr>
        <w:t xml:space="preserve"> has released the latest edition of its </w:t>
      </w:r>
      <w:r w:rsidRPr="00555BF8">
        <w:rPr>
          <w:lang w:val="en-AU"/>
        </w:rPr>
        <w:t>medical device safety bulletin</w:t>
      </w:r>
      <w:r>
        <w:rPr>
          <w:lang w:val="en-AU"/>
        </w:rPr>
        <w:t>. Topics covered in this issue include:</w:t>
      </w:r>
    </w:p>
    <w:p w:rsidR="005F077C" w:rsidRPr="005F077C" w:rsidRDefault="005F077C" w:rsidP="005F077C">
      <w:pPr>
        <w:pStyle w:val="ListParagraph"/>
        <w:numPr>
          <w:ilvl w:val="0"/>
          <w:numId w:val="37"/>
        </w:numPr>
        <w:rPr>
          <w:lang w:val="en-AU"/>
        </w:rPr>
      </w:pPr>
      <w:r>
        <w:rPr>
          <w:lang w:val="en-AU"/>
        </w:rPr>
        <w:t>The need to r</w:t>
      </w:r>
      <w:r w:rsidRPr="005F077C">
        <w:rPr>
          <w:lang w:val="en-AU"/>
        </w:rPr>
        <w:t>etain medical devices associated with adverse event reports</w:t>
      </w:r>
    </w:p>
    <w:p w:rsidR="005F077C" w:rsidRPr="005F077C" w:rsidRDefault="005F077C" w:rsidP="005F077C">
      <w:pPr>
        <w:pStyle w:val="ListParagraph"/>
        <w:numPr>
          <w:ilvl w:val="0"/>
          <w:numId w:val="37"/>
        </w:numPr>
        <w:rPr>
          <w:lang w:val="en-AU"/>
        </w:rPr>
      </w:pPr>
      <w:r>
        <w:rPr>
          <w:lang w:val="en-AU"/>
        </w:rPr>
        <w:t>L</w:t>
      </w:r>
      <w:r w:rsidRPr="005F077C">
        <w:rPr>
          <w:lang w:val="en-AU"/>
        </w:rPr>
        <w:t>aparoscopic morcellator review</w:t>
      </w:r>
      <w:r>
        <w:rPr>
          <w:lang w:val="en-AU"/>
        </w:rPr>
        <w:t xml:space="preserve"> of instructions for use now complete</w:t>
      </w:r>
    </w:p>
    <w:p w:rsidR="005F077C" w:rsidRPr="005F077C" w:rsidRDefault="005F077C" w:rsidP="005F077C">
      <w:pPr>
        <w:pStyle w:val="ListParagraph"/>
        <w:numPr>
          <w:ilvl w:val="0"/>
          <w:numId w:val="37"/>
        </w:numPr>
        <w:rPr>
          <w:lang w:val="en-AU"/>
        </w:rPr>
      </w:pPr>
      <w:r>
        <w:rPr>
          <w:lang w:val="en-AU"/>
        </w:rPr>
        <w:t>P</w:t>
      </w:r>
      <w:r w:rsidRPr="005F077C">
        <w:rPr>
          <w:lang w:val="en-AU"/>
        </w:rPr>
        <w:t>leural catheters</w:t>
      </w:r>
      <w:r>
        <w:rPr>
          <w:lang w:val="en-AU"/>
        </w:rPr>
        <w:t xml:space="preserve"> practice points</w:t>
      </w:r>
    </w:p>
    <w:p w:rsidR="005F077C" w:rsidRPr="005F077C" w:rsidRDefault="005F077C" w:rsidP="005F077C">
      <w:pPr>
        <w:pStyle w:val="ListParagraph"/>
        <w:numPr>
          <w:ilvl w:val="0"/>
          <w:numId w:val="37"/>
        </w:numPr>
        <w:rPr>
          <w:lang w:val="en-AU"/>
        </w:rPr>
      </w:pPr>
      <w:r w:rsidRPr="005F077C">
        <w:rPr>
          <w:lang w:val="en-AU"/>
        </w:rPr>
        <w:t>Recent safety alerts</w:t>
      </w:r>
    </w:p>
    <w:p w:rsidR="005F077C" w:rsidRDefault="005F077C" w:rsidP="005F077C">
      <w:pPr>
        <w:pStyle w:val="ListParagraph"/>
        <w:numPr>
          <w:ilvl w:val="0"/>
          <w:numId w:val="37"/>
        </w:numPr>
        <w:rPr>
          <w:lang w:val="en-AU"/>
        </w:rPr>
      </w:pPr>
      <w:r w:rsidRPr="005F077C">
        <w:rPr>
          <w:lang w:val="en-AU"/>
        </w:rPr>
        <w:t xml:space="preserve">What to report? </w:t>
      </w:r>
      <w:r>
        <w:rPr>
          <w:lang w:val="en-AU"/>
        </w:rPr>
        <w:t>R</w:t>
      </w:r>
      <w:r w:rsidRPr="005F077C">
        <w:rPr>
          <w:lang w:val="en-AU"/>
        </w:rPr>
        <w:t>eport adverse events, as well as near misses</w:t>
      </w:r>
    </w:p>
    <w:p w:rsidR="00C84E0B" w:rsidRDefault="00C84E0B" w:rsidP="00EE6723">
      <w:pPr>
        <w:rPr>
          <w:lang w:val="en-AU"/>
        </w:rPr>
      </w:pPr>
    </w:p>
    <w:p w:rsidR="00F925F2" w:rsidRPr="00255EF8" w:rsidRDefault="00F925F2" w:rsidP="00EE6723">
      <w:pPr>
        <w:rPr>
          <w:lang w:val="en-AU"/>
        </w:rPr>
      </w:pPr>
    </w:p>
    <w:p w:rsidR="00B160EF" w:rsidRPr="00255EF8" w:rsidRDefault="00B160EF" w:rsidP="00B160EF">
      <w:pPr>
        <w:keepNext/>
        <w:pBdr>
          <w:top w:val="single" w:sz="4" w:space="1" w:color="auto"/>
        </w:pBdr>
        <w:rPr>
          <w:b/>
          <w:lang w:val="en-AU"/>
        </w:rPr>
      </w:pPr>
      <w:r w:rsidRPr="00255EF8">
        <w:rPr>
          <w:b/>
          <w:lang w:val="en-AU"/>
        </w:rPr>
        <w:t>Disclaimer</w:t>
      </w:r>
    </w:p>
    <w:p w:rsidR="00E41D2F" w:rsidRPr="00255EF8" w:rsidRDefault="00B160EF" w:rsidP="00B160EF">
      <w:pPr>
        <w:rPr>
          <w:lang w:val="en-AU"/>
        </w:rPr>
      </w:pPr>
      <w:r w:rsidRPr="00255EF8">
        <w:rPr>
          <w:i/>
          <w:lang w:val="en-AU"/>
        </w:rPr>
        <w:t xml:space="preserve">On the </w:t>
      </w:r>
      <w:r w:rsidR="001A66F9" w:rsidRPr="00255EF8">
        <w:rPr>
          <w:i/>
          <w:lang w:val="en-AU"/>
        </w:rPr>
        <w:t>R</w:t>
      </w:r>
      <w:r w:rsidRPr="00255EF8">
        <w:rPr>
          <w:i/>
          <w:lang w:val="en-AU"/>
        </w:rPr>
        <w:t>adar</w:t>
      </w:r>
      <w:r w:rsidRPr="00255EF8">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Pr>
          <w:lang w:val="en-AU"/>
        </w:rPr>
        <w:fldChar w:fldCharType="begin"/>
      </w:r>
      <w:r w:rsidR="000B7296">
        <w:rPr>
          <w:lang w:val="en-AU"/>
        </w:rPr>
        <w:instrText xml:space="preserve"> ADDIN </w:instrText>
      </w:r>
      <w:r w:rsidR="000B7296">
        <w:rPr>
          <w:lang w:val="en-AU"/>
        </w:rPr>
        <w:fldChar w:fldCharType="end"/>
      </w:r>
    </w:p>
    <w:sectPr w:rsidR="00E41D2F" w:rsidRPr="00255EF8" w:rsidSect="005C5ABC">
      <w:footerReference w:type="even" r:id="rId27"/>
      <w:footerReference w:type="default" r:id="rId2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AEB" w:rsidRDefault="00411AEB">
      <w:r>
        <w:separator/>
      </w:r>
    </w:p>
  </w:endnote>
  <w:endnote w:type="continuationSeparator" w:id="0">
    <w:p w:rsidR="00411AEB" w:rsidRDefault="0041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E0E0A">
      <w:rPr>
        <w:rStyle w:val="PageNumber"/>
        <w:noProof/>
      </w:rPr>
      <w:t>2</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306625">
      <w:t>2</w:t>
    </w:r>
    <w:r w:rsidR="00614EFB">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0E0A">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614EFB">
      <w:t xml:space="preserve"> Issue 225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AEB" w:rsidRDefault="00411AEB">
      <w:r>
        <w:separator/>
      </w:r>
    </w:p>
  </w:footnote>
  <w:footnote w:type="continuationSeparator" w:id="0">
    <w:p w:rsidR="00411AEB" w:rsidRDefault="00411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F050F"/>
    <w:multiLevelType w:val="hybridMultilevel"/>
    <w:tmpl w:val="803A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990845"/>
    <w:multiLevelType w:val="hybridMultilevel"/>
    <w:tmpl w:val="C97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BD31D1"/>
    <w:multiLevelType w:val="hybridMultilevel"/>
    <w:tmpl w:val="A192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BF63F5"/>
    <w:multiLevelType w:val="hybridMultilevel"/>
    <w:tmpl w:val="424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872CF8"/>
    <w:multiLevelType w:val="hybridMultilevel"/>
    <w:tmpl w:val="B6F6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23687E"/>
    <w:multiLevelType w:val="hybridMultilevel"/>
    <w:tmpl w:val="FDC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723690"/>
    <w:multiLevelType w:val="hybridMultilevel"/>
    <w:tmpl w:val="CCF2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4E3195"/>
    <w:multiLevelType w:val="hybridMultilevel"/>
    <w:tmpl w:val="B3E6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49379D9"/>
    <w:multiLevelType w:val="hybridMultilevel"/>
    <w:tmpl w:val="730E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9E803BE"/>
    <w:multiLevelType w:val="hybridMultilevel"/>
    <w:tmpl w:val="A172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B617DE6"/>
    <w:multiLevelType w:val="hybridMultilevel"/>
    <w:tmpl w:val="5E3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DF91AAB"/>
    <w:multiLevelType w:val="hybridMultilevel"/>
    <w:tmpl w:val="807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0"/>
  </w:num>
  <w:num w:numId="15">
    <w:abstractNumId w:val="30"/>
  </w:num>
  <w:num w:numId="16">
    <w:abstractNumId w:val="32"/>
  </w:num>
  <w:num w:numId="17">
    <w:abstractNumId w:val="12"/>
  </w:num>
  <w:num w:numId="18">
    <w:abstractNumId w:val="26"/>
  </w:num>
  <w:num w:numId="19">
    <w:abstractNumId w:val="17"/>
  </w:num>
  <w:num w:numId="20">
    <w:abstractNumId w:val="13"/>
  </w:num>
  <w:num w:numId="21">
    <w:abstractNumId w:val="22"/>
  </w:num>
  <w:num w:numId="22">
    <w:abstractNumId w:val="11"/>
  </w:num>
  <w:num w:numId="23">
    <w:abstractNumId w:val="21"/>
  </w:num>
  <w:num w:numId="24">
    <w:abstractNumId w:val="18"/>
  </w:num>
  <w:num w:numId="25">
    <w:abstractNumId w:val="28"/>
  </w:num>
  <w:num w:numId="26">
    <w:abstractNumId w:val="33"/>
  </w:num>
  <w:num w:numId="27">
    <w:abstractNumId w:val="10"/>
  </w:num>
  <w:num w:numId="28">
    <w:abstractNumId w:val="35"/>
  </w:num>
  <w:num w:numId="29">
    <w:abstractNumId w:val="34"/>
  </w:num>
  <w:num w:numId="30">
    <w:abstractNumId w:val="24"/>
  </w:num>
  <w:num w:numId="31">
    <w:abstractNumId w:val="31"/>
  </w:num>
  <w:num w:numId="32">
    <w:abstractNumId w:val="23"/>
  </w:num>
  <w:num w:numId="33">
    <w:abstractNumId w:val="14"/>
  </w:num>
  <w:num w:numId="34">
    <w:abstractNumId w:val="15"/>
  </w:num>
  <w:num w:numId="35">
    <w:abstractNumId w:val="25"/>
  </w:num>
  <w:num w:numId="36">
    <w:abstractNumId w:val="16"/>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1A4B"/>
    <w:rsid w:val="000322BA"/>
    <w:rsid w:val="00032B41"/>
    <w:rsid w:val="00032BD7"/>
    <w:rsid w:val="00032C75"/>
    <w:rsid w:val="0003319C"/>
    <w:rsid w:val="000331B2"/>
    <w:rsid w:val="0003320D"/>
    <w:rsid w:val="000333A7"/>
    <w:rsid w:val="00033628"/>
    <w:rsid w:val="0003371D"/>
    <w:rsid w:val="00033ABC"/>
    <w:rsid w:val="00033C76"/>
    <w:rsid w:val="0003405A"/>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DD4"/>
    <w:rsid w:val="000606EF"/>
    <w:rsid w:val="0006079C"/>
    <w:rsid w:val="00060926"/>
    <w:rsid w:val="00061609"/>
    <w:rsid w:val="000618E2"/>
    <w:rsid w:val="00061B9C"/>
    <w:rsid w:val="00061C52"/>
    <w:rsid w:val="00061D38"/>
    <w:rsid w:val="0006203E"/>
    <w:rsid w:val="00062364"/>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920"/>
    <w:rsid w:val="00082C4C"/>
    <w:rsid w:val="0008346E"/>
    <w:rsid w:val="00083515"/>
    <w:rsid w:val="000837A9"/>
    <w:rsid w:val="000838F1"/>
    <w:rsid w:val="00083A0B"/>
    <w:rsid w:val="00083BF6"/>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57D"/>
    <w:rsid w:val="0021465E"/>
    <w:rsid w:val="002148BC"/>
    <w:rsid w:val="002149FD"/>
    <w:rsid w:val="002150EA"/>
    <w:rsid w:val="002159C3"/>
    <w:rsid w:val="00216510"/>
    <w:rsid w:val="00216C46"/>
    <w:rsid w:val="00216EFD"/>
    <w:rsid w:val="00217022"/>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628"/>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51E3"/>
    <w:rsid w:val="00255271"/>
    <w:rsid w:val="00255AEA"/>
    <w:rsid w:val="00255EF8"/>
    <w:rsid w:val="002560E7"/>
    <w:rsid w:val="002566F6"/>
    <w:rsid w:val="0025674C"/>
    <w:rsid w:val="00256B46"/>
    <w:rsid w:val="00256C9B"/>
    <w:rsid w:val="00256D36"/>
    <w:rsid w:val="00256EF2"/>
    <w:rsid w:val="00256F2E"/>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121"/>
    <w:rsid w:val="00277E73"/>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8743D"/>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14E"/>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C6B"/>
    <w:rsid w:val="002D5A2C"/>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4E8C"/>
    <w:rsid w:val="002F51ED"/>
    <w:rsid w:val="002F5237"/>
    <w:rsid w:val="002F52CF"/>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1268"/>
    <w:rsid w:val="003A1813"/>
    <w:rsid w:val="003A18E5"/>
    <w:rsid w:val="003A1FD3"/>
    <w:rsid w:val="003A241F"/>
    <w:rsid w:val="003A26CC"/>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D67"/>
    <w:rsid w:val="003B0336"/>
    <w:rsid w:val="003B03E4"/>
    <w:rsid w:val="003B0712"/>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9FB"/>
    <w:rsid w:val="003C3CA0"/>
    <w:rsid w:val="003C3DDA"/>
    <w:rsid w:val="003C3E5C"/>
    <w:rsid w:val="003C462E"/>
    <w:rsid w:val="003C46B0"/>
    <w:rsid w:val="003C470B"/>
    <w:rsid w:val="003C479E"/>
    <w:rsid w:val="003C4A3D"/>
    <w:rsid w:val="003C4CEA"/>
    <w:rsid w:val="003C4F9E"/>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6F74"/>
    <w:rsid w:val="004075DB"/>
    <w:rsid w:val="00407D0D"/>
    <w:rsid w:val="00407DC7"/>
    <w:rsid w:val="004104E0"/>
    <w:rsid w:val="004112CA"/>
    <w:rsid w:val="004119D4"/>
    <w:rsid w:val="004119DC"/>
    <w:rsid w:val="00411A6F"/>
    <w:rsid w:val="00411AEB"/>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88E"/>
    <w:rsid w:val="00467A4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933"/>
    <w:rsid w:val="004C6A00"/>
    <w:rsid w:val="004C78CF"/>
    <w:rsid w:val="004C7A99"/>
    <w:rsid w:val="004D02FF"/>
    <w:rsid w:val="004D07A8"/>
    <w:rsid w:val="004D102D"/>
    <w:rsid w:val="004D1103"/>
    <w:rsid w:val="004D1BFB"/>
    <w:rsid w:val="004D255A"/>
    <w:rsid w:val="004D267F"/>
    <w:rsid w:val="004D28FC"/>
    <w:rsid w:val="004D2CDD"/>
    <w:rsid w:val="004D2E7A"/>
    <w:rsid w:val="004D3B02"/>
    <w:rsid w:val="004D4096"/>
    <w:rsid w:val="004D414D"/>
    <w:rsid w:val="004D4CBF"/>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824"/>
    <w:rsid w:val="00503AAD"/>
    <w:rsid w:val="00503C54"/>
    <w:rsid w:val="00503CF4"/>
    <w:rsid w:val="00503DA0"/>
    <w:rsid w:val="00504108"/>
    <w:rsid w:val="0050410B"/>
    <w:rsid w:val="005047F1"/>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36"/>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CCB"/>
    <w:rsid w:val="00592D35"/>
    <w:rsid w:val="00593227"/>
    <w:rsid w:val="005934A2"/>
    <w:rsid w:val="0059375F"/>
    <w:rsid w:val="00593B0B"/>
    <w:rsid w:val="00594A7A"/>
    <w:rsid w:val="00594C79"/>
    <w:rsid w:val="00594E0C"/>
    <w:rsid w:val="00594E21"/>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C33"/>
    <w:rsid w:val="005C3EA8"/>
    <w:rsid w:val="005C3F6F"/>
    <w:rsid w:val="005C4874"/>
    <w:rsid w:val="005C4DB5"/>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9D3"/>
    <w:rsid w:val="006E0A92"/>
    <w:rsid w:val="006E0DF3"/>
    <w:rsid w:val="006E0E0A"/>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6E8"/>
    <w:rsid w:val="00713DBD"/>
    <w:rsid w:val="00713E1E"/>
    <w:rsid w:val="00713F8C"/>
    <w:rsid w:val="00713FE5"/>
    <w:rsid w:val="007140EE"/>
    <w:rsid w:val="00714188"/>
    <w:rsid w:val="007145E0"/>
    <w:rsid w:val="00714695"/>
    <w:rsid w:val="007147D5"/>
    <w:rsid w:val="00714A3A"/>
    <w:rsid w:val="00715218"/>
    <w:rsid w:val="0071544C"/>
    <w:rsid w:val="00715A78"/>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2A6C"/>
    <w:rsid w:val="007530CF"/>
    <w:rsid w:val="007530F7"/>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81E"/>
    <w:rsid w:val="00775BB8"/>
    <w:rsid w:val="00775FBF"/>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734"/>
    <w:rsid w:val="007B09C8"/>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5B37"/>
    <w:rsid w:val="008A5D43"/>
    <w:rsid w:val="008A607F"/>
    <w:rsid w:val="008A69AE"/>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0C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BAE"/>
    <w:rsid w:val="008E7FA9"/>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4E6E"/>
    <w:rsid w:val="008F5014"/>
    <w:rsid w:val="008F5054"/>
    <w:rsid w:val="008F5176"/>
    <w:rsid w:val="008F535D"/>
    <w:rsid w:val="008F5CB9"/>
    <w:rsid w:val="008F5E22"/>
    <w:rsid w:val="008F5EEC"/>
    <w:rsid w:val="008F6173"/>
    <w:rsid w:val="008F66F1"/>
    <w:rsid w:val="008F6BE3"/>
    <w:rsid w:val="008F7A64"/>
    <w:rsid w:val="008F7D35"/>
    <w:rsid w:val="00900ECD"/>
    <w:rsid w:val="00901324"/>
    <w:rsid w:val="00901B8B"/>
    <w:rsid w:val="00901BBB"/>
    <w:rsid w:val="00901CE3"/>
    <w:rsid w:val="00902108"/>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159"/>
    <w:rsid w:val="00917572"/>
    <w:rsid w:val="00917D32"/>
    <w:rsid w:val="00920169"/>
    <w:rsid w:val="009207D6"/>
    <w:rsid w:val="00920892"/>
    <w:rsid w:val="00921303"/>
    <w:rsid w:val="00921375"/>
    <w:rsid w:val="00921740"/>
    <w:rsid w:val="00921EB3"/>
    <w:rsid w:val="00921F29"/>
    <w:rsid w:val="00922407"/>
    <w:rsid w:val="00922AD6"/>
    <w:rsid w:val="009230A6"/>
    <w:rsid w:val="009233ED"/>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D2C"/>
    <w:rsid w:val="009C106C"/>
    <w:rsid w:val="009C1292"/>
    <w:rsid w:val="009C1B1D"/>
    <w:rsid w:val="009C1B51"/>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C35"/>
    <w:rsid w:val="00A32C86"/>
    <w:rsid w:val="00A32D87"/>
    <w:rsid w:val="00A32DEB"/>
    <w:rsid w:val="00A332C2"/>
    <w:rsid w:val="00A336E9"/>
    <w:rsid w:val="00A33E2B"/>
    <w:rsid w:val="00A343D8"/>
    <w:rsid w:val="00A34477"/>
    <w:rsid w:val="00A348C4"/>
    <w:rsid w:val="00A35119"/>
    <w:rsid w:val="00A3531A"/>
    <w:rsid w:val="00A35556"/>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3F9B"/>
    <w:rsid w:val="00A8405E"/>
    <w:rsid w:val="00A84250"/>
    <w:rsid w:val="00A8443B"/>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90C"/>
    <w:rsid w:val="00AE7B5C"/>
    <w:rsid w:val="00AE7C44"/>
    <w:rsid w:val="00AE7CC4"/>
    <w:rsid w:val="00AF0120"/>
    <w:rsid w:val="00AF0782"/>
    <w:rsid w:val="00AF0866"/>
    <w:rsid w:val="00AF0B81"/>
    <w:rsid w:val="00AF0C1F"/>
    <w:rsid w:val="00AF0C38"/>
    <w:rsid w:val="00AF0E8D"/>
    <w:rsid w:val="00AF0F66"/>
    <w:rsid w:val="00AF0FCC"/>
    <w:rsid w:val="00AF10CB"/>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600"/>
    <w:rsid w:val="00B15D05"/>
    <w:rsid w:val="00B1605D"/>
    <w:rsid w:val="00B160EF"/>
    <w:rsid w:val="00B16335"/>
    <w:rsid w:val="00B16579"/>
    <w:rsid w:val="00B17087"/>
    <w:rsid w:val="00B17171"/>
    <w:rsid w:val="00B17286"/>
    <w:rsid w:val="00B1731F"/>
    <w:rsid w:val="00B17BF1"/>
    <w:rsid w:val="00B215BA"/>
    <w:rsid w:val="00B21C70"/>
    <w:rsid w:val="00B21CF7"/>
    <w:rsid w:val="00B221D2"/>
    <w:rsid w:val="00B221ED"/>
    <w:rsid w:val="00B225EE"/>
    <w:rsid w:val="00B227BE"/>
    <w:rsid w:val="00B227CD"/>
    <w:rsid w:val="00B22D6E"/>
    <w:rsid w:val="00B23308"/>
    <w:rsid w:val="00B235B5"/>
    <w:rsid w:val="00B238B5"/>
    <w:rsid w:val="00B23C20"/>
    <w:rsid w:val="00B23E76"/>
    <w:rsid w:val="00B241F2"/>
    <w:rsid w:val="00B24BB3"/>
    <w:rsid w:val="00B251B4"/>
    <w:rsid w:val="00B2532F"/>
    <w:rsid w:val="00B25663"/>
    <w:rsid w:val="00B259A6"/>
    <w:rsid w:val="00B26110"/>
    <w:rsid w:val="00B261D4"/>
    <w:rsid w:val="00B262A8"/>
    <w:rsid w:val="00B2638C"/>
    <w:rsid w:val="00B26582"/>
    <w:rsid w:val="00B26A21"/>
    <w:rsid w:val="00B26CBA"/>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86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9DA"/>
    <w:rsid w:val="00B71A2F"/>
    <w:rsid w:val="00B71DA0"/>
    <w:rsid w:val="00B723A9"/>
    <w:rsid w:val="00B72446"/>
    <w:rsid w:val="00B72479"/>
    <w:rsid w:val="00B72495"/>
    <w:rsid w:val="00B726AA"/>
    <w:rsid w:val="00B727F8"/>
    <w:rsid w:val="00B72886"/>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36B"/>
    <w:rsid w:val="00BD7439"/>
    <w:rsid w:val="00BD75E0"/>
    <w:rsid w:val="00BD7C6B"/>
    <w:rsid w:val="00BD7D8B"/>
    <w:rsid w:val="00BE06B4"/>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158"/>
    <w:rsid w:val="00BF3B58"/>
    <w:rsid w:val="00BF3CCC"/>
    <w:rsid w:val="00BF3D49"/>
    <w:rsid w:val="00BF3D7B"/>
    <w:rsid w:val="00BF3DCD"/>
    <w:rsid w:val="00BF3F20"/>
    <w:rsid w:val="00BF4220"/>
    <w:rsid w:val="00BF48FF"/>
    <w:rsid w:val="00BF4D68"/>
    <w:rsid w:val="00BF55C7"/>
    <w:rsid w:val="00BF565F"/>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AB3"/>
    <w:rsid w:val="00D12BEC"/>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101C"/>
    <w:rsid w:val="00D21100"/>
    <w:rsid w:val="00D215F1"/>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C0B"/>
    <w:rsid w:val="00D54DC6"/>
    <w:rsid w:val="00D55266"/>
    <w:rsid w:val="00D553FB"/>
    <w:rsid w:val="00D55905"/>
    <w:rsid w:val="00D56134"/>
    <w:rsid w:val="00D566A3"/>
    <w:rsid w:val="00D56931"/>
    <w:rsid w:val="00D56A75"/>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CCB"/>
    <w:rsid w:val="00D64254"/>
    <w:rsid w:val="00D6453B"/>
    <w:rsid w:val="00D64565"/>
    <w:rsid w:val="00D64608"/>
    <w:rsid w:val="00D6461D"/>
    <w:rsid w:val="00D666B2"/>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B49"/>
    <w:rsid w:val="00E2132F"/>
    <w:rsid w:val="00E2135D"/>
    <w:rsid w:val="00E216CC"/>
    <w:rsid w:val="00E2173C"/>
    <w:rsid w:val="00E22A74"/>
    <w:rsid w:val="00E22B53"/>
    <w:rsid w:val="00E23946"/>
    <w:rsid w:val="00E239D3"/>
    <w:rsid w:val="00E244DB"/>
    <w:rsid w:val="00E2451D"/>
    <w:rsid w:val="00E245C8"/>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211"/>
    <w:rsid w:val="00E35974"/>
    <w:rsid w:val="00E35AC8"/>
    <w:rsid w:val="00E35D0E"/>
    <w:rsid w:val="00E3600D"/>
    <w:rsid w:val="00E3617A"/>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8E"/>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D08"/>
    <w:rsid w:val="00E97F9D"/>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4F00"/>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3096"/>
    <w:rsid w:val="00EF30C9"/>
    <w:rsid w:val="00EF3F50"/>
    <w:rsid w:val="00EF4496"/>
    <w:rsid w:val="00EF47E5"/>
    <w:rsid w:val="00EF47F3"/>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21B"/>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45"/>
    <w:rsid w:val="00FA31E4"/>
    <w:rsid w:val="00FA362B"/>
    <w:rsid w:val="00FA3EF0"/>
    <w:rsid w:val="00FA3EFC"/>
    <w:rsid w:val="00FA40C4"/>
    <w:rsid w:val="00FA40C7"/>
    <w:rsid w:val="00FA43B5"/>
    <w:rsid w:val="00FA4467"/>
    <w:rsid w:val="00FA46F0"/>
    <w:rsid w:val="00FA4D35"/>
    <w:rsid w:val="00FA53E0"/>
    <w:rsid w:val="00FA553C"/>
    <w:rsid w:val="00FA56E1"/>
    <w:rsid w:val="00FA57FB"/>
    <w:rsid w:val="00FA5B0D"/>
    <w:rsid w:val="00FA62E9"/>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2BC8"/>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01/jama.2015.3818" TargetMode="External"/><Relationship Id="rId26" Type="http://schemas.openxmlformats.org/officeDocument/2006/relationships/hyperlink" Target="https://www.tga.gov.au/publication-issue/medical-devices-safety-update-volume-3-number-3-may-2015" TargetMode="External"/><Relationship Id="rId3" Type="http://schemas.openxmlformats.org/officeDocument/2006/relationships/styles" Target="styles.xml"/><Relationship Id="rId21" Type="http://schemas.openxmlformats.org/officeDocument/2006/relationships/hyperlink" Target="http://dx.doi.org/10.1179/1753807615Y.0000000006"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endoflifecare" TargetMode="External"/><Relationship Id="rId25" Type="http://schemas.openxmlformats.org/officeDocument/2006/relationships/hyperlink" Target="http://qualitysafety.bmj.com/content/early/recent" TargetMode="External"/><Relationship Id="rId2" Type="http://schemas.openxmlformats.org/officeDocument/2006/relationships/numbering" Target="numbering.xml"/><Relationship Id="rId16" Type="http://schemas.openxmlformats.org/officeDocument/2006/relationships/hyperlink" Target="http://www.safetyandquality.gov.au/ccs/consultation" TargetMode="External"/><Relationship Id="rId20" Type="http://schemas.openxmlformats.org/officeDocument/2006/relationships/hyperlink" Target="http://dx.doi.org/10.5694/mja14.0143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publish.csiro.au/nid/241/issue/7521.htm"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medication-safety/" TargetMode="External"/><Relationship Id="rId28" Type="http://schemas.openxmlformats.org/officeDocument/2006/relationships/footer" Target="footer2.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36/bmjqs-2014-003834"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36/bmjopen-2014-006539"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7AE52-4BBD-42D2-8033-FAB64849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Pages>
  <Words>1600</Words>
  <Characters>9908</Characters>
  <Application>Microsoft Office Word</Application>
  <DocSecurity>0</DocSecurity>
  <Lines>225</Lines>
  <Paragraphs>121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11387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17</cp:revision>
  <cp:lastPrinted>2013-06-06T03:47:00Z</cp:lastPrinted>
  <dcterms:created xsi:type="dcterms:W3CDTF">2015-05-24T22:31:00Z</dcterms:created>
  <dcterms:modified xsi:type="dcterms:W3CDTF">2015-05-31T00:05:00Z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