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71328B">
        <w:rPr>
          <w:color w:val="000000"/>
          <w:lang w:val="en-AU"/>
        </w:rPr>
        <w:t>28</w:t>
      </w:r>
    </w:p>
    <w:p w:rsidR="00755242" w:rsidRPr="002302EF" w:rsidRDefault="0071328B" w:rsidP="00B160EF">
      <w:pPr>
        <w:rPr>
          <w:lang w:val="en-AU"/>
        </w:rPr>
      </w:pPr>
      <w:r>
        <w:rPr>
          <w:lang w:val="en-AU"/>
        </w:rPr>
        <w:t>22</w:t>
      </w:r>
      <w:r w:rsidR="000827EC" w:rsidRPr="002302EF">
        <w:rPr>
          <w:lang w:val="en-AU"/>
        </w:rPr>
        <w:t xml:space="preserve"> </w:t>
      </w:r>
      <w:r w:rsidR="00614EFB" w:rsidRPr="002302EF">
        <w:rPr>
          <w:lang w:val="en-AU"/>
        </w:rPr>
        <w:t>June</w:t>
      </w:r>
      <w:r w:rsidR="009233ED" w:rsidRPr="002302EF">
        <w:rPr>
          <w:lang w:val="en-AU"/>
        </w:rPr>
        <w:t xml:space="preserve"> 2015</w:t>
      </w:r>
    </w:p>
    <w:p w:rsidR="00566895" w:rsidRPr="002302EF"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2F4191">
        <w:rPr>
          <w:bCs/>
          <w:lang w:val="en-AU"/>
        </w:rPr>
        <w:t>, Amanda Mulcahy</w:t>
      </w:r>
    </w:p>
    <w:p w:rsidR="00790484" w:rsidRDefault="00790484" w:rsidP="00F34D09">
      <w:pPr>
        <w:rPr>
          <w:shd w:val="clear" w:color="auto" w:fill="FFFFFF"/>
          <w:lang w:val="en-AU"/>
        </w:rPr>
      </w:pPr>
    </w:p>
    <w:p w:rsidR="00E472B1" w:rsidRPr="0071328B" w:rsidRDefault="0071328B" w:rsidP="00F34D09">
      <w:pPr>
        <w:rPr>
          <w:b/>
          <w:shd w:val="clear" w:color="auto" w:fill="FFFFFF"/>
          <w:lang w:val="en-AU"/>
        </w:rPr>
      </w:pPr>
      <w:r w:rsidRPr="0071328B">
        <w:rPr>
          <w:b/>
          <w:shd w:val="clear" w:color="auto" w:fill="FFFFFF"/>
          <w:lang w:val="en-AU"/>
        </w:rPr>
        <w:t>Books</w:t>
      </w:r>
    </w:p>
    <w:p w:rsidR="0071328B" w:rsidRPr="002302EF" w:rsidRDefault="0071328B" w:rsidP="0071328B">
      <w:pPr>
        <w:rPr>
          <w:shd w:val="clear" w:color="auto" w:fill="FFFFFF"/>
          <w:lang w:val="en-AU"/>
        </w:rPr>
      </w:pPr>
    </w:p>
    <w:p w:rsidR="00856FF6" w:rsidRPr="00856FF6" w:rsidRDefault="00856FF6" w:rsidP="00856FF6">
      <w:pPr>
        <w:keepNext/>
        <w:keepLines/>
        <w:autoSpaceDE w:val="0"/>
        <w:autoSpaceDN w:val="0"/>
        <w:adjustRightInd w:val="0"/>
        <w:rPr>
          <w:i/>
          <w:lang w:val="en-AU"/>
        </w:rPr>
      </w:pPr>
      <w:r w:rsidRPr="00856FF6">
        <w:rPr>
          <w:i/>
          <w:lang w:val="en-AU"/>
        </w:rPr>
        <w:t>Patient safety tool kit</w:t>
      </w:r>
    </w:p>
    <w:p w:rsidR="00856FF6" w:rsidRDefault="00856FF6" w:rsidP="0071328B">
      <w:pPr>
        <w:keepNext/>
        <w:keepLines/>
        <w:autoSpaceDE w:val="0"/>
        <w:autoSpaceDN w:val="0"/>
        <w:adjustRightInd w:val="0"/>
        <w:rPr>
          <w:lang w:val="en-AU"/>
        </w:rPr>
      </w:pPr>
      <w:proofErr w:type="gramStart"/>
      <w:r w:rsidRPr="00856FF6">
        <w:rPr>
          <w:lang w:val="en-AU"/>
        </w:rPr>
        <w:t>World Health Organization.</w:t>
      </w:r>
      <w:proofErr w:type="gramEnd"/>
      <w:r w:rsidRPr="00856FF6">
        <w:rPr>
          <w:lang w:val="en-AU"/>
        </w:rPr>
        <w:t xml:space="preserve"> Regional Office for the Eastern Mediterranean</w:t>
      </w:r>
    </w:p>
    <w:p w:rsidR="0071328B" w:rsidRPr="002302EF" w:rsidRDefault="00856FF6" w:rsidP="0071328B">
      <w:pPr>
        <w:keepNext/>
        <w:keepLines/>
        <w:autoSpaceDE w:val="0"/>
        <w:autoSpaceDN w:val="0"/>
        <w:adjustRightInd w:val="0"/>
        <w:rPr>
          <w:lang w:val="en-AU"/>
        </w:rPr>
      </w:pPr>
      <w:r w:rsidRPr="00856FF6">
        <w:rPr>
          <w:lang w:val="en-AU"/>
        </w:rPr>
        <w:t xml:space="preserve">Cairo, Egypt: World Health Organization. </w:t>
      </w:r>
      <w:proofErr w:type="gramStart"/>
      <w:r w:rsidRPr="00856FF6">
        <w:rPr>
          <w:lang w:val="en-AU"/>
        </w:rPr>
        <w:t>Regional Office for the Eastern Mediterranean; 2015.</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1328B" w:rsidRPr="002302EF" w:rsidTr="002611A6">
        <w:tc>
          <w:tcPr>
            <w:tcW w:w="1080" w:type="dxa"/>
            <w:tcBorders>
              <w:top w:val="single" w:sz="4" w:space="0" w:color="auto"/>
              <w:left w:val="single" w:sz="4" w:space="0" w:color="auto"/>
              <w:bottom w:val="single" w:sz="4" w:space="0" w:color="auto"/>
              <w:right w:val="single" w:sz="4" w:space="0" w:color="auto"/>
            </w:tcBorders>
            <w:vAlign w:val="center"/>
          </w:tcPr>
          <w:p w:rsidR="0071328B" w:rsidRPr="002302EF" w:rsidRDefault="0071328B" w:rsidP="002611A6">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1328B" w:rsidRPr="002302EF" w:rsidRDefault="007B06DA" w:rsidP="002611A6">
            <w:pPr>
              <w:rPr>
                <w:lang w:val="en-AU"/>
              </w:rPr>
            </w:pPr>
            <w:hyperlink r:id="rId16" w:history="1">
              <w:r w:rsidR="00856FF6" w:rsidRPr="00CE53AB">
                <w:rPr>
                  <w:rStyle w:val="Hyperlink"/>
                  <w:lang w:val="en-AU"/>
                </w:rPr>
                <w:t>http://applications.emro.who.int/dsaf/EMROPUB_2015_EN_1856.pdf</w:t>
              </w:r>
            </w:hyperlink>
          </w:p>
        </w:tc>
      </w:tr>
      <w:tr w:rsidR="00856FF6" w:rsidRPr="002302EF" w:rsidTr="002611A6">
        <w:tc>
          <w:tcPr>
            <w:tcW w:w="1080" w:type="dxa"/>
            <w:tcBorders>
              <w:top w:val="single" w:sz="4" w:space="0" w:color="auto"/>
              <w:left w:val="single" w:sz="4" w:space="0" w:color="auto"/>
              <w:bottom w:val="single" w:sz="4" w:space="0" w:color="auto"/>
              <w:right w:val="single" w:sz="4" w:space="0" w:color="auto"/>
            </w:tcBorders>
            <w:vAlign w:val="center"/>
          </w:tcPr>
          <w:p w:rsidR="00856FF6" w:rsidRPr="002302EF" w:rsidRDefault="00856FF6" w:rsidP="002611A6">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856FF6" w:rsidRDefault="00856FF6" w:rsidP="00856FF6">
            <w:pPr>
              <w:rPr>
                <w:color w:val="333333"/>
                <w:shd w:val="clear" w:color="auto" w:fill="FFFFFF"/>
                <w:lang w:val="en-AU"/>
              </w:rPr>
            </w:pPr>
            <w:r>
              <w:rPr>
                <w:color w:val="333333"/>
                <w:shd w:val="clear" w:color="auto" w:fill="FFFFFF"/>
                <w:lang w:val="en-AU"/>
              </w:rPr>
              <w:t>D15-17272</w:t>
            </w:r>
          </w:p>
        </w:tc>
      </w:tr>
      <w:tr w:rsidR="0071328B" w:rsidRPr="002302EF" w:rsidTr="002611A6">
        <w:tc>
          <w:tcPr>
            <w:tcW w:w="1080" w:type="dxa"/>
            <w:tcBorders>
              <w:top w:val="single" w:sz="4" w:space="0" w:color="auto"/>
              <w:left w:val="single" w:sz="4" w:space="0" w:color="auto"/>
              <w:bottom w:val="single" w:sz="4" w:space="0" w:color="auto"/>
              <w:right w:val="single" w:sz="4" w:space="0" w:color="auto"/>
            </w:tcBorders>
            <w:vAlign w:val="center"/>
          </w:tcPr>
          <w:p w:rsidR="0071328B" w:rsidRPr="002302EF" w:rsidRDefault="0071328B" w:rsidP="002611A6">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328B" w:rsidRDefault="00856FF6" w:rsidP="00856FF6">
            <w:pPr>
              <w:rPr>
                <w:color w:val="333333"/>
                <w:shd w:val="clear" w:color="auto" w:fill="FFFFFF"/>
                <w:lang w:val="en-AU"/>
              </w:rPr>
            </w:pPr>
            <w:r>
              <w:rPr>
                <w:color w:val="333333"/>
                <w:shd w:val="clear" w:color="auto" w:fill="FFFFFF"/>
                <w:lang w:val="en-AU"/>
              </w:rPr>
              <w:t xml:space="preserve">The Eastern Mediterranean Regional Office of the World Health Organisation has published a </w:t>
            </w:r>
            <w:r w:rsidRPr="00856FF6">
              <w:rPr>
                <w:i/>
                <w:color w:val="333333"/>
                <w:shd w:val="clear" w:color="auto" w:fill="FFFFFF"/>
                <w:lang w:val="en-AU"/>
              </w:rPr>
              <w:t>Patient Safety tool kit</w:t>
            </w:r>
            <w:r>
              <w:rPr>
                <w:color w:val="333333"/>
                <w:shd w:val="clear" w:color="auto" w:fill="FFFFFF"/>
                <w:lang w:val="en-AU"/>
              </w:rPr>
              <w:t xml:space="preserve">. This has been produced to meet a perceived regional need </w:t>
            </w:r>
            <w:r w:rsidRPr="00856FF6">
              <w:rPr>
                <w:color w:val="333333"/>
                <w:shd w:val="clear" w:color="auto" w:fill="FFFFFF"/>
                <w:lang w:val="en-AU"/>
              </w:rPr>
              <w:t xml:space="preserve">to </w:t>
            </w:r>
            <w:r>
              <w:rPr>
                <w:color w:val="333333"/>
                <w:shd w:val="clear" w:color="auto" w:fill="FFFFFF"/>
                <w:lang w:val="en-AU"/>
              </w:rPr>
              <w:t>“</w:t>
            </w:r>
            <w:r w:rsidRPr="00856FF6">
              <w:rPr>
                <w:color w:val="333333"/>
                <w:shd w:val="clear" w:color="auto" w:fill="FFFFFF"/>
                <w:lang w:val="en-AU"/>
              </w:rPr>
              <w:t>develop</w:t>
            </w:r>
            <w:r>
              <w:rPr>
                <w:color w:val="333333"/>
                <w:shd w:val="clear" w:color="auto" w:fill="FFFFFF"/>
                <w:lang w:val="en-AU"/>
              </w:rPr>
              <w:t xml:space="preserve"> </w:t>
            </w:r>
            <w:r w:rsidRPr="00856FF6">
              <w:rPr>
                <w:color w:val="333333"/>
                <w:shd w:val="clear" w:color="auto" w:fill="FFFFFF"/>
                <w:lang w:val="en-AU"/>
              </w:rPr>
              <w:t>the capacities of health professionals with regard to developing a patient safety improvement</w:t>
            </w:r>
            <w:r>
              <w:rPr>
                <w:color w:val="333333"/>
                <w:shd w:val="clear" w:color="auto" w:fill="FFFFFF"/>
                <w:lang w:val="en-AU"/>
              </w:rPr>
              <w:t xml:space="preserve"> </w:t>
            </w:r>
            <w:r w:rsidRPr="00856FF6">
              <w:rPr>
                <w:color w:val="333333"/>
                <w:shd w:val="clear" w:color="auto" w:fill="FFFFFF"/>
                <w:lang w:val="en-AU"/>
              </w:rPr>
              <w:t>programme at the operational level and implementing corrective measures, adapted to local</w:t>
            </w:r>
            <w:r>
              <w:rPr>
                <w:color w:val="333333"/>
                <w:shd w:val="clear" w:color="auto" w:fill="FFFFFF"/>
                <w:lang w:val="en-AU"/>
              </w:rPr>
              <w:t xml:space="preserve"> </w:t>
            </w:r>
            <w:r w:rsidRPr="00856FF6">
              <w:rPr>
                <w:color w:val="333333"/>
                <w:shd w:val="clear" w:color="auto" w:fill="FFFFFF"/>
                <w:lang w:val="en-AU"/>
              </w:rPr>
              <w:t>settings</w:t>
            </w:r>
            <w:r>
              <w:rPr>
                <w:color w:val="333333"/>
                <w:shd w:val="clear" w:color="auto" w:fill="FFFFFF"/>
                <w:lang w:val="en-AU"/>
              </w:rPr>
              <w:t>” in the eastern Mediterranean.</w:t>
            </w:r>
          </w:p>
          <w:p w:rsidR="00856FF6" w:rsidRPr="002302EF" w:rsidRDefault="00856FF6" w:rsidP="00856FF6">
            <w:pPr>
              <w:rPr>
                <w:color w:val="333333"/>
                <w:shd w:val="clear" w:color="auto" w:fill="FFFFFF"/>
                <w:lang w:val="en-AU"/>
              </w:rPr>
            </w:pPr>
            <w:r>
              <w:rPr>
                <w:color w:val="333333"/>
                <w:shd w:val="clear" w:color="auto" w:fill="FFFFFF"/>
                <w:lang w:val="en-AU"/>
              </w:rPr>
              <w:t>The tool kit is “</w:t>
            </w:r>
            <w:r w:rsidRPr="00856FF6">
              <w:rPr>
                <w:color w:val="333333"/>
                <w:shd w:val="clear" w:color="auto" w:fill="FFFFFF"/>
                <w:lang w:val="en-AU"/>
              </w:rPr>
              <w:t>intended to help health care professionals</w:t>
            </w:r>
            <w:r>
              <w:rPr>
                <w:color w:val="333333"/>
                <w:shd w:val="clear" w:color="auto" w:fill="FFFFFF"/>
                <w:lang w:val="en-AU"/>
              </w:rPr>
              <w:t xml:space="preserve"> </w:t>
            </w:r>
            <w:r w:rsidRPr="00856FF6">
              <w:rPr>
                <w:color w:val="333333"/>
                <w:shd w:val="clear" w:color="auto" w:fill="FFFFFF"/>
                <w:lang w:val="en-AU"/>
              </w:rPr>
              <w:t>implementing patient safety improvement programmes. It describes the practical steps and</w:t>
            </w:r>
            <w:r>
              <w:rPr>
                <w:color w:val="333333"/>
                <w:shd w:val="clear" w:color="auto" w:fill="FFFFFF"/>
                <w:lang w:val="en-AU"/>
              </w:rPr>
              <w:t xml:space="preserve"> </w:t>
            </w:r>
            <w:proofErr w:type="gramStart"/>
            <w:r w:rsidRPr="00856FF6">
              <w:rPr>
                <w:color w:val="333333"/>
                <w:shd w:val="clear" w:color="auto" w:fill="FFFFFF"/>
                <w:lang w:val="en-AU"/>
              </w:rPr>
              <w:t>actions needed to build a comprehensive patie</w:t>
            </w:r>
            <w:r>
              <w:rPr>
                <w:color w:val="333333"/>
                <w:shd w:val="clear" w:color="auto" w:fill="FFFFFF"/>
                <w:lang w:val="en-AU"/>
              </w:rPr>
              <w:t>nt safety improvement programme…</w:t>
            </w:r>
            <w:r w:rsidRPr="00856FF6">
              <w:rPr>
                <w:color w:val="333333"/>
                <w:shd w:val="clear" w:color="auto" w:fill="FFFFFF"/>
                <w:lang w:val="en-AU"/>
              </w:rPr>
              <w:t>The emphasis</w:t>
            </w:r>
            <w:r w:rsidR="008933C8">
              <w:rPr>
                <w:color w:val="333333"/>
                <w:shd w:val="clear" w:color="auto" w:fill="FFFFFF"/>
                <w:lang w:val="en-AU"/>
              </w:rPr>
              <w:t xml:space="preserve"> </w:t>
            </w:r>
            <w:r w:rsidRPr="00856FF6">
              <w:rPr>
                <w:color w:val="333333"/>
                <w:shd w:val="clear" w:color="auto" w:fill="FFFFFF"/>
                <w:lang w:val="en-AU"/>
              </w:rPr>
              <w:t>is</w:t>
            </w:r>
            <w:proofErr w:type="gramEnd"/>
            <w:r w:rsidRPr="00856FF6">
              <w:rPr>
                <w:color w:val="333333"/>
                <w:shd w:val="clear" w:color="auto" w:fill="FFFFFF"/>
                <w:lang w:val="en-AU"/>
              </w:rPr>
              <w:t xml:space="preserve"> on its practical value to health care leadership and management and front-line clinicians. It</w:t>
            </w:r>
            <w:r>
              <w:rPr>
                <w:color w:val="333333"/>
                <w:shd w:val="clear" w:color="auto" w:fill="FFFFFF"/>
                <w:lang w:val="en-AU"/>
              </w:rPr>
              <w:t xml:space="preserve"> </w:t>
            </w:r>
            <w:r w:rsidRPr="00856FF6">
              <w:rPr>
                <w:color w:val="333333"/>
                <w:shd w:val="clear" w:color="auto" w:fill="FFFFFF"/>
                <w:lang w:val="en-AU"/>
              </w:rPr>
              <w:t>describes a systematic approach to identifying the “what” and the “how” of patient safety. It</w:t>
            </w:r>
            <w:r>
              <w:rPr>
                <w:color w:val="333333"/>
                <w:shd w:val="clear" w:color="auto" w:fill="FFFFFF"/>
                <w:lang w:val="en-AU"/>
              </w:rPr>
              <w:t xml:space="preserve"> </w:t>
            </w:r>
            <w:r w:rsidRPr="00856FF6">
              <w:rPr>
                <w:color w:val="333333"/>
                <w:shd w:val="clear" w:color="auto" w:fill="FFFFFF"/>
                <w:lang w:val="en-AU"/>
              </w:rPr>
              <w:t>acknowledges that patient safety is one component of an overall quality strategy.</w:t>
            </w:r>
            <w:r>
              <w:rPr>
                <w:color w:val="333333"/>
                <w:shd w:val="clear" w:color="auto" w:fill="FFFFFF"/>
                <w:lang w:val="en-AU"/>
              </w:rPr>
              <w:t>”</w:t>
            </w:r>
          </w:p>
        </w:tc>
      </w:tr>
    </w:tbl>
    <w:p w:rsidR="0071328B" w:rsidRPr="002302EF" w:rsidRDefault="0071328B" w:rsidP="0071328B">
      <w:pPr>
        <w:keepLines/>
        <w:autoSpaceDE w:val="0"/>
        <w:autoSpaceDN w:val="0"/>
        <w:adjustRightInd w:val="0"/>
        <w:rPr>
          <w:lang w:val="en-AU"/>
        </w:rPr>
      </w:pPr>
    </w:p>
    <w:p w:rsidR="00BF1006" w:rsidRPr="002302EF" w:rsidRDefault="005F52C2" w:rsidP="00B673A5">
      <w:pPr>
        <w:keepNext/>
        <w:autoSpaceDE w:val="0"/>
        <w:autoSpaceDN w:val="0"/>
        <w:adjustRightInd w:val="0"/>
        <w:rPr>
          <w:b/>
          <w:lang w:val="en-AU"/>
        </w:rPr>
      </w:pPr>
      <w:r w:rsidRPr="002302EF">
        <w:rPr>
          <w:b/>
          <w:lang w:val="en-AU"/>
        </w:rPr>
        <w:lastRenderedPageBreak/>
        <w:t>Journal articles</w:t>
      </w:r>
    </w:p>
    <w:p w:rsidR="00A061F1" w:rsidRDefault="00A061F1" w:rsidP="00A061F1">
      <w:pPr>
        <w:keepNext/>
        <w:keepLines/>
        <w:autoSpaceDE w:val="0"/>
        <w:autoSpaceDN w:val="0"/>
        <w:adjustRightInd w:val="0"/>
        <w:rPr>
          <w:i/>
          <w:lang w:val="en-AU"/>
        </w:rPr>
      </w:pPr>
    </w:p>
    <w:p w:rsidR="008E7F6E" w:rsidRPr="00DB1EAD" w:rsidRDefault="008E7F6E" w:rsidP="008E7F6E">
      <w:pPr>
        <w:keepNext/>
        <w:keepLines/>
        <w:autoSpaceDE w:val="0"/>
        <w:autoSpaceDN w:val="0"/>
        <w:adjustRightInd w:val="0"/>
        <w:rPr>
          <w:i/>
          <w:lang w:val="en-AU"/>
        </w:rPr>
      </w:pPr>
      <w:r w:rsidRPr="00DB1EAD">
        <w:rPr>
          <w:i/>
          <w:lang w:val="en-AU"/>
        </w:rPr>
        <w:t>Back to basics: checklists in aviation and healthcare</w:t>
      </w:r>
    </w:p>
    <w:p w:rsidR="008E7F6E" w:rsidRDefault="008E7F6E" w:rsidP="008E7F6E">
      <w:pPr>
        <w:keepNext/>
        <w:keepLines/>
        <w:autoSpaceDE w:val="0"/>
        <w:autoSpaceDN w:val="0"/>
        <w:adjustRightInd w:val="0"/>
        <w:rPr>
          <w:lang w:val="en-AU"/>
        </w:rPr>
      </w:pPr>
      <w:r w:rsidRPr="00DB1EAD">
        <w:rPr>
          <w:lang w:val="en-AU"/>
        </w:rPr>
        <w:t>Clay-Williams R, Colligan L</w:t>
      </w:r>
    </w:p>
    <w:p w:rsidR="008E7F6E" w:rsidRDefault="008E7F6E" w:rsidP="008E7F6E">
      <w:pPr>
        <w:keepNext/>
        <w:keepLines/>
        <w:autoSpaceDE w:val="0"/>
        <w:autoSpaceDN w:val="0"/>
        <w:adjustRightInd w:val="0"/>
        <w:rPr>
          <w:lang w:val="en-AU"/>
        </w:rPr>
      </w:pPr>
      <w:proofErr w:type="gramStart"/>
      <w:r w:rsidRPr="00DB1EAD">
        <w:rPr>
          <w:lang w:val="en-AU"/>
        </w:rPr>
        <w:t>BMJ Quality &amp; Safety.</w:t>
      </w:r>
      <w:proofErr w:type="gramEnd"/>
      <w:r w:rsidRPr="00DB1EAD">
        <w:rPr>
          <w:lang w:val="en-AU"/>
        </w:rPr>
        <w:t xml:space="preserve"> </w:t>
      </w:r>
      <w:proofErr w:type="gramStart"/>
      <w:r w:rsidRPr="00DB1EAD">
        <w:rPr>
          <w:lang w:val="en-AU"/>
        </w:rPr>
        <w:t xml:space="preserve">2015 </w:t>
      </w:r>
      <w:r>
        <w:rPr>
          <w:lang w:val="en-AU"/>
        </w:rPr>
        <w:t>[epub]</w:t>
      </w:r>
      <w:r w:rsidRPr="00DB1EAD">
        <w:rPr>
          <w:lang w:val="en-AU"/>
        </w:rPr>
        <w:t>.</w:t>
      </w:r>
      <w:proofErr w:type="gramEnd"/>
    </w:p>
    <w:p w:rsidR="003C52E5" w:rsidRDefault="003C52E5" w:rsidP="008E7F6E">
      <w:pPr>
        <w:keepNext/>
        <w:keepLines/>
        <w:autoSpaceDE w:val="0"/>
        <w:autoSpaceDN w:val="0"/>
        <w:adjustRightInd w:val="0"/>
        <w:rPr>
          <w:lang w:val="en-AU"/>
        </w:rPr>
      </w:pPr>
    </w:p>
    <w:p w:rsidR="003C52E5" w:rsidRPr="003C52E5" w:rsidRDefault="003C52E5" w:rsidP="003C52E5">
      <w:pPr>
        <w:keepNext/>
        <w:keepLines/>
        <w:autoSpaceDE w:val="0"/>
        <w:autoSpaceDN w:val="0"/>
        <w:adjustRightInd w:val="0"/>
        <w:rPr>
          <w:i/>
          <w:lang w:val="en-AU"/>
        </w:rPr>
      </w:pPr>
      <w:r w:rsidRPr="003C52E5">
        <w:rPr>
          <w:i/>
          <w:lang w:val="en-AU"/>
        </w:rPr>
        <w:t>The problem with checklists</w:t>
      </w:r>
    </w:p>
    <w:p w:rsidR="003C52E5" w:rsidRDefault="003C52E5" w:rsidP="008E7F6E">
      <w:pPr>
        <w:keepNext/>
        <w:keepLines/>
        <w:autoSpaceDE w:val="0"/>
        <w:autoSpaceDN w:val="0"/>
        <w:adjustRightInd w:val="0"/>
        <w:rPr>
          <w:lang w:val="en-AU"/>
        </w:rPr>
      </w:pPr>
      <w:r w:rsidRPr="003C52E5">
        <w:rPr>
          <w:lang w:val="en-AU"/>
        </w:rPr>
        <w:t>Catchpole K, Russ S</w:t>
      </w:r>
    </w:p>
    <w:p w:rsidR="003C52E5" w:rsidRPr="002302EF" w:rsidRDefault="003C52E5" w:rsidP="008E7F6E">
      <w:pPr>
        <w:keepNext/>
        <w:keepLines/>
        <w:autoSpaceDE w:val="0"/>
        <w:autoSpaceDN w:val="0"/>
        <w:adjustRightInd w:val="0"/>
        <w:rPr>
          <w:lang w:val="en-AU"/>
        </w:rPr>
      </w:pPr>
      <w:proofErr w:type="gramStart"/>
      <w:r w:rsidRPr="003C52E5">
        <w:rPr>
          <w:lang w:val="en-AU"/>
        </w:rPr>
        <w:t>BMJ Quality &amp; Safety.</w:t>
      </w:r>
      <w:proofErr w:type="gramEnd"/>
      <w:r w:rsidRPr="003C52E5">
        <w:rPr>
          <w:lang w:val="en-AU"/>
        </w:rPr>
        <w:t xml:space="preserve"> </w:t>
      </w:r>
      <w:proofErr w:type="gramStart"/>
      <w:r w:rsidRPr="003C52E5">
        <w:rPr>
          <w:lang w:val="en-AU"/>
        </w:rPr>
        <w:t xml:space="preserve">2015 </w:t>
      </w:r>
      <w:r>
        <w:rPr>
          <w:lang w:val="en-AU"/>
        </w:rPr>
        <w:t>[epub]</w:t>
      </w:r>
      <w:r w:rsidRPr="003C52E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E7F6E" w:rsidRPr="002302EF" w:rsidTr="00D057EA">
        <w:tc>
          <w:tcPr>
            <w:tcW w:w="1080" w:type="dxa"/>
            <w:tcBorders>
              <w:top w:val="single" w:sz="4" w:space="0" w:color="auto"/>
              <w:left w:val="single" w:sz="4" w:space="0" w:color="auto"/>
              <w:bottom w:val="single" w:sz="4" w:space="0" w:color="auto"/>
              <w:right w:val="single" w:sz="4" w:space="0" w:color="auto"/>
            </w:tcBorders>
            <w:vAlign w:val="center"/>
          </w:tcPr>
          <w:p w:rsidR="008E7F6E" w:rsidRPr="002302EF" w:rsidRDefault="008E7F6E" w:rsidP="00D057EA">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E7F6E" w:rsidRDefault="003C52E5" w:rsidP="00D057EA">
            <w:pPr>
              <w:rPr>
                <w:rStyle w:val="Hyperlink"/>
                <w:lang w:val="en-AU"/>
              </w:rPr>
            </w:pPr>
            <w:r>
              <w:t xml:space="preserve">Clay-Williams and Colligan </w:t>
            </w:r>
            <w:hyperlink r:id="rId17" w:history="1">
              <w:r w:rsidR="008E7F6E" w:rsidRPr="00D05FF9">
                <w:rPr>
                  <w:rStyle w:val="Hyperlink"/>
                  <w:lang w:val="en-AU"/>
                </w:rPr>
                <w:t>http://dx.doi.org/10.1136/bmjqs-2015-003957</w:t>
              </w:r>
            </w:hyperlink>
          </w:p>
          <w:p w:rsidR="003C52E5" w:rsidRPr="002302EF" w:rsidRDefault="003C52E5" w:rsidP="003C52E5">
            <w:pPr>
              <w:rPr>
                <w:lang w:val="en-AU"/>
              </w:rPr>
            </w:pPr>
            <w:r>
              <w:rPr>
                <w:lang w:val="en-AU"/>
              </w:rPr>
              <w:t xml:space="preserve">Catchpole and Russ </w:t>
            </w:r>
            <w:hyperlink r:id="rId18" w:history="1">
              <w:r w:rsidRPr="00D05FF9">
                <w:rPr>
                  <w:rStyle w:val="Hyperlink"/>
                  <w:lang w:val="en-AU"/>
                </w:rPr>
                <w:t>http://dx.doi.org/10.1136/bmjqs-2015-004431</w:t>
              </w:r>
            </w:hyperlink>
          </w:p>
        </w:tc>
      </w:tr>
      <w:tr w:rsidR="008E7F6E" w:rsidRPr="002302EF" w:rsidTr="00D057EA">
        <w:tc>
          <w:tcPr>
            <w:tcW w:w="1080" w:type="dxa"/>
            <w:tcBorders>
              <w:top w:val="single" w:sz="4" w:space="0" w:color="auto"/>
              <w:left w:val="single" w:sz="4" w:space="0" w:color="auto"/>
              <w:bottom w:val="single" w:sz="4" w:space="0" w:color="auto"/>
              <w:right w:val="single" w:sz="4" w:space="0" w:color="auto"/>
            </w:tcBorders>
            <w:vAlign w:val="center"/>
          </w:tcPr>
          <w:p w:rsidR="008E7F6E" w:rsidRPr="002302EF" w:rsidRDefault="008E7F6E" w:rsidP="00D057E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7F6E" w:rsidRDefault="003C52E5" w:rsidP="00D057EA">
            <w:pPr>
              <w:rPr>
                <w:lang w:val="en-AU"/>
              </w:rPr>
            </w:pPr>
            <w:r>
              <w:t xml:space="preserve">Clay-Williams and Colligan’s </w:t>
            </w:r>
            <w:r w:rsidR="008E7F6E">
              <w:rPr>
                <w:lang w:val="en-AU"/>
              </w:rPr>
              <w:t>Viewpoint piece reviews the adoption of checklists into healthcare. The piece briefly discusses the design and use of checklists, including some of the pitfalls.</w:t>
            </w:r>
          </w:p>
          <w:p w:rsidR="008E7F6E" w:rsidRDefault="008E7F6E" w:rsidP="00D057EA">
            <w:pPr>
              <w:rPr>
                <w:lang w:val="en-AU"/>
              </w:rPr>
            </w:pPr>
            <w:r>
              <w:rPr>
                <w:lang w:val="en-AU"/>
              </w:rPr>
              <w:t>While recognising some of the successes and utility of checklists in healthcare, the authors make some suggestions about making effective and appropriate use of checklists. This includes keeping checklists “</w:t>
            </w:r>
            <w:r w:rsidRPr="00DB1EAD">
              <w:rPr>
                <w:lang w:val="en-AU"/>
              </w:rPr>
              <w:t>for processes that are</w:t>
            </w:r>
            <w:r>
              <w:rPr>
                <w:lang w:val="en-AU"/>
              </w:rPr>
              <w:t xml:space="preserve"> </w:t>
            </w:r>
            <w:r w:rsidRPr="00DB1EAD">
              <w:rPr>
                <w:lang w:val="en-AU"/>
              </w:rPr>
              <w:t>simple, easy to follow, standardised and (perhaps)</w:t>
            </w:r>
            <w:r>
              <w:rPr>
                <w:lang w:val="en-AU"/>
              </w:rPr>
              <w:t xml:space="preserve"> </w:t>
            </w:r>
            <w:r w:rsidRPr="00DB1EAD">
              <w:rPr>
                <w:lang w:val="en-AU"/>
              </w:rPr>
              <w:t>time critical.</w:t>
            </w:r>
            <w:r>
              <w:rPr>
                <w:lang w:val="en-AU"/>
              </w:rPr>
              <w:t xml:space="preserve">” </w:t>
            </w:r>
          </w:p>
          <w:p w:rsidR="008E7F6E" w:rsidRDefault="008E7F6E" w:rsidP="00D057EA">
            <w:pPr>
              <w:rPr>
                <w:lang w:val="en-AU"/>
              </w:rPr>
            </w:pPr>
            <w:r>
              <w:rPr>
                <w:lang w:val="en-AU"/>
              </w:rPr>
              <w:t>They also warn that “</w:t>
            </w:r>
            <w:r w:rsidRPr="00DB1EAD">
              <w:rPr>
                <w:lang w:val="en-AU"/>
              </w:rPr>
              <w:t xml:space="preserve">Introduction of </w:t>
            </w:r>
            <w:proofErr w:type="gramStart"/>
            <w:r w:rsidRPr="00DB1EAD">
              <w:rPr>
                <w:lang w:val="en-AU"/>
              </w:rPr>
              <w:t>a</w:t>
            </w:r>
            <w:r>
              <w:rPr>
                <w:lang w:val="en-AU"/>
              </w:rPr>
              <w:t>[</w:t>
            </w:r>
            <w:proofErr w:type="gramEnd"/>
            <w:r>
              <w:rPr>
                <w:lang w:val="en-AU"/>
              </w:rPr>
              <w:t>ny]</w:t>
            </w:r>
            <w:r w:rsidRPr="00DB1EAD">
              <w:rPr>
                <w:lang w:val="en-AU"/>
              </w:rPr>
              <w:t xml:space="preserve"> new tool without full consideration of its purpose, benefits and limitations may actually increase risk to patients, providers and the system as a whole. Overimplementation of checklists may erode respect for long-standing healthcare cognitive aids that are effective, have been iteratively improved, and are well suited to specific purposes. Overreliance on checklists as a safety net can lead to omission of other safety practices that may better support safety through reliability and resilience. Checklists are excellent ‘aides memoire’ and directives to correct procedures, but they are not a panacea.</w:t>
            </w:r>
            <w:r>
              <w:rPr>
                <w:lang w:val="en-AU"/>
              </w:rPr>
              <w:t>”</w:t>
            </w:r>
          </w:p>
          <w:p w:rsidR="003C52E5" w:rsidRPr="002302EF" w:rsidRDefault="003C52E5" w:rsidP="00256FAC">
            <w:pPr>
              <w:rPr>
                <w:lang w:val="en-AU"/>
              </w:rPr>
            </w:pPr>
            <w:r>
              <w:rPr>
                <w:lang w:val="en-AU"/>
              </w:rPr>
              <w:t xml:space="preserve">Following on this </w:t>
            </w:r>
            <w:r w:rsidR="00256FAC">
              <w:rPr>
                <w:lang w:val="en-AU"/>
              </w:rPr>
              <w:t xml:space="preserve">Viewpoint </w:t>
            </w:r>
            <w:r>
              <w:rPr>
                <w:lang w:val="en-AU"/>
              </w:rPr>
              <w:t xml:space="preserve">is Catchpole and Russ’ piece, </w:t>
            </w:r>
            <w:r w:rsidRPr="003C52E5">
              <w:rPr>
                <w:i/>
                <w:lang w:val="en-AU"/>
              </w:rPr>
              <w:t>The problem with checklists</w:t>
            </w:r>
            <w:r>
              <w:rPr>
                <w:lang w:val="en-AU"/>
              </w:rPr>
              <w:t xml:space="preserve">. </w:t>
            </w:r>
            <w:r w:rsidR="00256FAC">
              <w:rPr>
                <w:lang w:val="en-AU"/>
              </w:rPr>
              <w:t>Again, recognising the potential of checklists they also counsel care in design, implementation and use, reminding us that “</w:t>
            </w:r>
            <w:r w:rsidR="00256FAC" w:rsidRPr="00256FAC">
              <w:rPr>
                <w:b/>
                <w:lang w:val="en-AU"/>
              </w:rPr>
              <w:t>A checklist is a complex socio-technical intervention that requires careful attention to design, implementation and basic skills required for the task</w:t>
            </w:r>
            <w:r w:rsidR="00256FAC">
              <w:rPr>
                <w:lang w:val="en-AU"/>
              </w:rPr>
              <w:t>.”</w:t>
            </w:r>
          </w:p>
        </w:tc>
      </w:tr>
    </w:tbl>
    <w:p w:rsidR="008E7F6E" w:rsidRDefault="008E7F6E" w:rsidP="008E7F6E">
      <w:pPr>
        <w:keepNext/>
        <w:rPr>
          <w:i/>
          <w:lang w:val="en-AU"/>
        </w:rPr>
      </w:pPr>
    </w:p>
    <w:p w:rsidR="008A4F3D" w:rsidRPr="008A4F3D" w:rsidRDefault="008A4F3D" w:rsidP="008A4F3D">
      <w:pPr>
        <w:keepNext/>
        <w:keepLines/>
        <w:autoSpaceDE w:val="0"/>
        <w:autoSpaceDN w:val="0"/>
        <w:adjustRightInd w:val="0"/>
        <w:rPr>
          <w:i/>
          <w:lang w:val="en-AU"/>
        </w:rPr>
      </w:pPr>
      <w:r w:rsidRPr="008A4F3D">
        <w:rPr>
          <w:i/>
          <w:lang w:val="en-AU"/>
        </w:rPr>
        <w:t xml:space="preserve">Opioid Prescribing and Potential Overdose Errors </w:t>
      </w:r>
      <w:proofErr w:type="gramStart"/>
      <w:r w:rsidRPr="008A4F3D">
        <w:rPr>
          <w:i/>
          <w:lang w:val="en-AU"/>
        </w:rPr>
        <w:t>Among</w:t>
      </w:r>
      <w:proofErr w:type="gramEnd"/>
      <w:r w:rsidRPr="008A4F3D">
        <w:rPr>
          <w:i/>
          <w:lang w:val="en-AU"/>
        </w:rPr>
        <w:t xml:space="preserve"> Children 0 to 36 Months Old</w:t>
      </w:r>
    </w:p>
    <w:p w:rsidR="008A4F3D" w:rsidRDefault="008A4F3D" w:rsidP="00A061F1">
      <w:pPr>
        <w:keepNext/>
        <w:keepLines/>
        <w:autoSpaceDE w:val="0"/>
        <w:autoSpaceDN w:val="0"/>
        <w:adjustRightInd w:val="0"/>
        <w:rPr>
          <w:lang w:val="en-AU"/>
        </w:rPr>
      </w:pPr>
      <w:r w:rsidRPr="008A4F3D">
        <w:rPr>
          <w:lang w:val="en-AU"/>
        </w:rPr>
        <w:t>Basco WT, Ebeling M, Garner SS, Hulsey TC, Simpson K</w:t>
      </w:r>
    </w:p>
    <w:p w:rsidR="00A061F1" w:rsidRPr="002302EF" w:rsidRDefault="008A4F3D" w:rsidP="00A061F1">
      <w:pPr>
        <w:keepNext/>
        <w:keepLines/>
        <w:autoSpaceDE w:val="0"/>
        <w:autoSpaceDN w:val="0"/>
        <w:adjustRightInd w:val="0"/>
        <w:rPr>
          <w:lang w:val="en-AU"/>
        </w:rPr>
      </w:pPr>
      <w:proofErr w:type="gramStart"/>
      <w:r w:rsidRPr="008A4F3D">
        <w:rPr>
          <w:lang w:val="en-AU"/>
        </w:rPr>
        <w:t>Clinical Pediatrics.</w:t>
      </w:r>
      <w:proofErr w:type="gramEnd"/>
      <w:r w:rsidRPr="008A4F3D">
        <w:rPr>
          <w:lang w:val="en-AU"/>
        </w:rPr>
        <w:t xml:space="preserve"> 2015 July 1, 2015</w:t>
      </w:r>
      <w:proofErr w:type="gramStart"/>
      <w:r w:rsidRPr="008A4F3D">
        <w:rPr>
          <w:lang w:val="en-AU"/>
        </w:rPr>
        <w:t>;54</w:t>
      </w:r>
      <w:proofErr w:type="gramEnd"/>
      <w:r w:rsidRPr="008A4F3D">
        <w:rPr>
          <w:lang w:val="en-AU"/>
        </w:rPr>
        <w:t>(8):738-44.</w:t>
      </w:r>
    </w:p>
    <w:tbl>
      <w:tblPr>
        <w:tblStyle w:val="TableGrid"/>
        <w:tblW w:w="0" w:type="auto"/>
        <w:tblInd w:w="288" w:type="dxa"/>
        <w:tblLayout w:type="fixed"/>
        <w:tblLook w:val="01E0" w:firstRow="1" w:lastRow="1" w:firstColumn="1" w:lastColumn="1" w:noHBand="0" w:noVBand="0"/>
      </w:tblPr>
      <w:tblGrid>
        <w:gridCol w:w="1080"/>
        <w:gridCol w:w="8280"/>
      </w:tblGrid>
      <w:tr w:rsidR="00A061F1"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A061F1" w:rsidRPr="002302EF" w:rsidRDefault="00A061F1" w:rsidP="0003423B">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061F1" w:rsidRPr="002302EF" w:rsidRDefault="007B06DA" w:rsidP="00723C0A">
            <w:pPr>
              <w:rPr>
                <w:lang w:val="en-AU"/>
              </w:rPr>
            </w:pPr>
            <w:hyperlink r:id="rId19" w:history="1">
              <w:r w:rsidR="00723C0A" w:rsidRPr="00D05FF9">
                <w:rPr>
                  <w:rStyle w:val="Hyperlink"/>
                  <w:lang w:val="en-AU"/>
                </w:rPr>
                <w:t>http://dx.doi.org/10.1177/0009922815586050</w:t>
              </w:r>
            </w:hyperlink>
          </w:p>
        </w:tc>
      </w:tr>
      <w:tr w:rsidR="00A061F1"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A061F1" w:rsidRPr="002302EF" w:rsidRDefault="00A061F1" w:rsidP="0003423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061F1" w:rsidRDefault="008A4F3D" w:rsidP="008A4F3D">
            <w:pPr>
              <w:rPr>
                <w:color w:val="333333"/>
                <w:shd w:val="clear" w:color="auto" w:fill="FFFFFF"/>
                <w:lang w:val="en-AU"/>
              </w:rPr>
            </w:pPr>
            <w:r>
              <w:rPr>
                <w:color w:val="333333"/>
                <w:shd w:val="clear" w:color="auto" w:fill="FFFFFF"/>
                <w:lang w:val="en-AU"/>
              </w:rPr>
              <w:t xml:space="preserve">Following items in previous issues of </w:t>
            </w:r>
            <w:r w:rsidRPr="008A4F3D">
              <w:rPr>
                <w:i/>
                <w:color w:val="333333"/>
                <w:shd w:val="clear" w:color="auto" w:fill="FFFFFF"/>
                <w:lang w:val="en-AU"/>
              </w:rPr>
              <w:t>On the Radar</w:t>
            </w:r>
            <w:r>
              <w:rPr>
                <w:color w:val="333333"/>
                <w:shd w:val="clear" w:color="auto" w:fill="FFFFFF"/>
                <w:lang w:val="en-AU"/>
              </w:rPr>
              <w:t xml:space="preserve"> on harm to young patients, is this piece examining over-dosing in young children. The study used 11 years of (US) </w:t>
            </w:r>
            <w:r w:rsidRPr="008A4F3D">
              <w:rPr>
                <w:color w:val="333333"/>
                <w:shd w:val="clear" w:color="auto" w:fill="FFFFFF"/>
                <w:lang w:val="en-AU"/>
              </w:rPr>
              <w:t xml:space="preserve">Medicaid </w:t>
            </w:r>
            <w:r>
              <w:rPr>
                <w:color w:val="333333"/>
                <w:shd w:val="clear" w:color="auto" w:fill="FFFFFF"/>
                <w:lang w:val="en-AU"/>
              </w:rPr>
              <w:t xml:space="preserve">outpatient </w:t>
            </w:r>
            <w:r w:rsidRPr="008A4F3D">
              <w:rPr>
                <w:color w:val="333333"/>
                <w:shd w:val="clear" w:color="auto" w:fill="FFFFFF"/>
                <w:lang w:val="en-AU"/>
              </w:rPr>
              <w:t>prescription data</w:t>
            </w:r>
            <w:r>
              <w:rPr>
                <w:color w:val="333333"/>
                <w:shd w:val="clear" w:color="auto" w:fill="FFFFFF"/>
                <w:lang w:val="en-AU"/>
              </w:rPr>
              <w:t xml:space="preserve"> to compare </w:t>
            </w:r>
            <w:r w:rsidRPr="008A4F3D">
              <w:rPr>
                <w:color w:val="333333"/>
                <w:shd w:val="clear" w:color="auto" w:fill="FFFFFF"/>
                <w:lang w:val="en-AU"/>
              </w:rPr>
              <w:t>opioid dose dispensed (observed) versus expected dose</w:t>
            </w:r>
            <w:r>
              <w:rPr>
                <w:color w:val="333333"/>
                <w:shd w:val="clear" w:color="auto" w:fill="FFFFFF"/>
                <w:lang w:val="en-AU"/>
              </w:rPr>
              <w:t xml:space="preserve">. A </w:t>
            </w:r>
            <w:r w:rsidRPr="008A4F3D">
              <w:rPr>
                <w:color w:val="333333"/>
                <w:shd w:val="clear" w:color="auto" w:fill="FFFFFF"/>
                <w:lang w:val="en-AU"/>
              </w:rPr>
              <w:t>potential overdose was defined as any preparation dispensed that was &gt;110% of expected</w:t>
            </w:r>
            <w:r>
              <w:rPr>
                <w:color w:val="333333"/>
                <w:shd w:val="clear" w:color="auto" w:fill="FFFFFF"/>
                <w:lang w:val="en-AU"/>
              </w:rPr>
              <w:t xml:space="preserve">. The study found that </w:t>
            </w:r>
            <w:r w:rsidRPr="008A4F3D">
              <w:rPr>
                <w:b/>
                <w:color w:val="333333"/>
                <w:shd w:val="clear" w:color="auto" w:fill="FFFFFF"/>
                <w:lang w:val="en-AU"/>
              </w:rPr>
              <w:t>2.7%</w:t>
            </w:r>
            <w:r>
              <w:rPr>
                <w:color w:val="333333"/>
                <w:shd w:val="clear" w:color="auto" w:fill="FFFFFF"/>
                <w:lang w:val="en-AU"/>
              </w:rPr>
              <w:t xml:space="preserve"> of the </w:t>
            </w:r>
            <w:r w:rsidRPr="008A4F3D">
              <w:rPr>
                <w:color w:val="333333"/>
                <w:shd w:val="clear" w:color="auto" w:fill="FFFFFF"/>
                <w:lang w:val="en-AU"/>
              </w:rPr>
              <w:t>59 536 study drug prescriptions to children 0 to 36 months old</w:t>
            </w:r>
            <w:r>
              <w:rPr>
                <w:color w:val="333333"/>
                <w:shd w:val="clear" w:color="auto" w:fill="FFFFFF"/>
                <w:lang w:val="en-AU"/>
              </w:rPr>
              <w:t xml:space="preserve"> </w:t>
            </w:r>
            <w:r w:rsidRPr="008A4F3D">
              <w:rPr>
                <w:color w:val="333333"/>
                <w:shd w:val="clear" w:color="auto" w:fill="FFFFFF"/>
                <w:lang w:val="en-AU"/>
              </w:rPr>
              <w:t xml:space="preserve">contained </w:t>
            </w:r>
            <w:r w:rsidRPr="008A4F3D">
              <w:rPr>
                <w:b/>
                <w:color w:val="333333"/>
                <w:shd w:val="clear" w:color="auto" w:fill="FFFFFF"/>
                <w:lang w:val="en-AU"/>
              </w:rPr>
              <w:t>potential overdose</w:t>
            </w:r>
            <w:r w:rsidRPr="008A4F3D">
              <w:rPr>
                <w:color w:val="333333"/>
                <w:shd w:val="clear" w:color="auto" w:fill="FFFFFF"/>
                <w:lang w:val="en-AU"/>
              </w:rPr>
              <w:t xml:space="preserve"> quantities, and the average excess amount dispensed was 48% above expected.</w:t>
            </w:r>
            <w:r>
              <w:rPr>
                <w:color w:val="333333"/>
                <w:shd w:val="clear" w:color="auto" w:fill="FFFFFF"/>
                <w:lang w:val="en-AU"/>
              </w:rPr>
              <w:t xml:space="preserve"> Further, younger patients </w:t>
            </w:r>
            <w:r w:rsidRPr="008A4F3D">
              <w:rPr>
                <w:color w:val="333333"/>
                <w:shd w:val="clear" w:color="auto" w:fill="FFFFFF"/>
                <w:lang w:val="en-AU"/>
              </w:rPr>
              <w:t>were associated with higher frequencies of potential overdose</w:t>
            </w:r>
            <w:r>
              <w:rPr>
                <w:color w:val="333333"/>
                <w:shd w:val="clear" w:color="auto" w:fill="FFFFFF"/>
                <w:lang w:val="en-AU"/>
              </w:rPr>
              <w:t xml:space="preserve">: there were potential overdose quantities in </w:t>
            </w:r>
            <w:r w:rsidRPr="008A4F3D">
              <w:rPr>
                <w:color w:val="333333"/>
                <w:shd w:val="clear" w:color="auto" w:fill="FFFFFF"/>
                <w:lang w:val="en-AU"/>
              </w:rPr>
              <w:t>8.9% of among infants 0 to 2,</w:t>
            </w:r>
            <w:r>
              <w:rPr>
                <w:color w:val="333333"/>
                <w:shd w:val="clear" w:color="auto" w:fill="FFFFFF"/>
                <w:lang w:val="en-AU"/>
              </w:rPr>
              <w:t xml:space="preserve"> </w:t>
            </w:r>
            <w:r w:rsidRPr="008A4F3D">
              <w:rPr>
                <w:color w:val="333333"/>
                <w:shd w:val="clear" w:color="auto" w:fill="FFFFFF"/>
                <w:lang w:val="en-AU"/>
              </w:rPr>
              <w:t xml:space="preserve"> 5.7% among infants 3 to 5 months old, 3.6% among infants 6 to 11 months old, and 2.3% among children &gt;12 months</w:t>
            </w:r>
            <w:r>
              <w:rPr>
                <w:color w:val="333333"/>
                <w:shd w:val="clear" w:color="auto" w:fill="FFFFFF"/>
                <w:lang w:val="en-AU"/>
              </w:rPr>
              <w:t>.</w:t>
            </w:r>
          </w:p>
          <w:p w:rsidR="008A4F3D" w:rsidRPr="002302EF" w:rsidRDefault="008A4F3D" w:rsidP="008A4F3D">
            <w:pPr>
              <w:rPr>
                <w:color w:val="333333"/>
                <w:shd w:val="clear" w:color="auto" w:fill="FFFFFF"/>
                <w:lang w:val="en-AU"/>
              </w:rPr>
            </w:pPr>
            <w:r>
              <w:rPr>
                <w:color w:val="333333"/>
                <w:shd w:val="clear" w:color="auto" w:fill="FFFFFF"/>
                <w:lang w:val="en-AU"/>
              </w:rPr>
              <w:t>The authors conclude that “</w:t>
            </w:r>
            <w:r w:rsidRPr="008A4F3D">
              <w:rPr>
                <w:b/>
                <w:color w:val="333333"/>
                <w:shd w:val="clear" w:color="auto" w:fill="FFFFFF"/>
                <w:lang w:val="en-AU"/>
              </w:rPr>
              <w:t>Opioid prescriptions</w:t>
            </w:r>
            <w:r w:rsidRPr="008A4F3D">
              <w:rPr>
                <w:color w:val="333333"/>
                <w:shd w:val="clear" w:color="auto" w:fill="FFFFFF"/>
                <w:lang w:val="en-AU"/>
              </w:rPr>
              <w:t xml:space="preserve"> for infants and children </w:t>
            </w:r>
            <w:r w:rsidRPr="008A4F3D">
              <w:rPr>
                <w:b/>
                <w:color w:val="333333"/>
                <w:shd w:val="clear" w:color="auto" w:fill="FFFFFF"/>
                <w:lang w:val="en-AU"/>
              </w:rPr>
              <w:t>routinely</w:t>
            </w:r>
            <w:r w:rsidRPr="008A4F3D">
              <w:rPr>
                <w:color w:val="333333"/>
                <w:shd w:val="clear" w:color="auto" w:fill="FFFFFF"/>
                <w:lang w:val="en-AU"/>
              </w:rPr>
              <w:t xml:space="preserve"> contained </w:t>
            </w:r>
            <w:r w:rsidRPr="008A4F3D">
              <w:rPr>
                <w:b/>
                <w:color w:val="333333"/>
                <w:shd w:val="clear" w:color="auto" w:fill="FFFFFF"/>
                <w:lang w:val="en-AU"/>
              </w:rPr>
              <w:t>potential overdose</w:t>
            </w:r>
            <w:r w:rsidRPr="008A4F3D">
              <w:rPr>
                <w:color w:val="333333"/>
                <w:shd w:val="clear" w:color="auto" w:fill="FFFFFF"/>
                <w:lang w:val="en-AU"/>
              </w:rPr>
              <w:t xml:space="preserve"> quantities.</w:t>
            </w:r>
            <w:r>
              <w:rPr>
                <w:color w:val="333333"/>
                <w:shd w:val="clear" w:color="auto" w:fill="FFFFFF"/>
                <w:lang w:val="en-AU"/>
              </w:rPr>
              <w:t>”</w:t>
            </w:r>
          </w:p>
        </w:tc>
      </w:tr>
    </w:tbl>
    <w:p w:rsidR="0071328B" w:rsidRDefault="0071328B" w:rsidP="005833F4">
      <w:pPr>
        <w:keepNext/>
        <w:rPr>
          <w:i/>
          <w:lang w:val="en-AU"/>
        </w:rPr>
      </w:pPr>
    </w:p>
    <w:p w:rsidR="008A4F3D" w:rsidRPr="008A4F3D" w:rsidRDefault="008A4F3D" w:rsidP="005833F4">
      <w:pPr>
        <w:keepNext/>
        <w:rPr>
          <w:lang w:val="en-AU"/>
        </w:rPr>
      </w:pPr>
      <w:r w:rsidRPr="008A4F3D">
        <w:rPr>
          <w:lang w:val="en-AU"/>
        </w:rPr>
        <w:t xml:space="preserve">For information on the Commission’s work on medication safety, </w:t>
      </w:r>
      <w:r w:rsidR="001F2674">
        <w:rPr>
          <w:lang w:val="en-AU"/>
        </w:rPr>
        <w:t xml:space="preserve">including medication reconciliation, </w:t>
      </w:r>
      <w:r w:rsidRPr="008A4F3D">
        <w:rPr>
          <w:lang w:val="en-AU"/>
        </w:rPr>
        <w:t xml:space="preserve">see </w:t>
      </w:r>
      <w:hyperlink r:id="rId20" w:history="1">
        <w:r w:rsidRPr="00D05FF9">
          <w:rPr>
            <w:rStyle w:val="Hyperlink"/>
            <w:lang w:val="en-AU"/>
          </w:rPr>
          <w:t>www.safetyandquality.gov.au/our-work/medication-safety/</w:t>
        </w:r>
      </w:hyperlink>
    </w:p>
    <w:p w:rsidR="0071328B" w:rsidRDefault="0071328B" w:rsidP="008E7F6E">
      <w:pPr>
        <w:keepLines/>
        <w:autoSpaceDE w:val="0"/>
        <w:autoSpaceDN w:val="0"/>
        <w:adjustRightInd w:val="0"/>
        <w:rPr>
          <w:lang w:val="en-AU"/>
        </w:rPr>
      </w:pPr>
    </w:p>
    <w:p w:rsidR="008E7F6E" w:rsidRPr="008E7F6E" w:rsidRDefault="008E7F6E" w:rsidP="008E7F6E">
      <w:pPr>
        <w:keepNext/>
        <w:keepLines/>
        <w:autoSpaceDE w:val="0"/>
        <w:autoSpaceDN w:val="0"/>
        <w:adjustRightInd w:val="0"/>
        <w:rPr>
          <w:i/>
          <w:lang w:val="en-AU"/>
        </w:rPr>
      </w:pPr>
      <w:r w:rsidRPr="008E7F6E">
        <w:rPr>
          <w:i/>
          <w:lang w:val="en-AU"/>
        </w:rPr>
        <w:t>Improving medication safety during hospital-based transitions of care</w:t>
      </w:r>
    </w:p>
    <w:p w:rsidR="008E7F6E" w:rsidRDefault="008E7F6E" w:rsidP="008E7F6E">
      <w:pPr>
        <w:keepNext/>
        <w:keepLines/>
        <w:autoSpaceDE w:val="0"/>
        <w:autoSpaceDN w:val="0"/>
        <w:adjustRightInd w:val="0"/>
        <w:rPr>
          <w:lang w:val="en-AU"/>
        </w:rPr>
      </w:pPr>
      <w:r w:rsidRPr="008E7F6E">
        <w:rPr>
          <w:lang w:val="en-AU"/>
        </w:rPr>
        <w:t>Sponsler KC, Neal EB, Kripalani S</w:t>
      </w:r>
    </w:p>
    <w:p w:rsidR="008E7F6E" w:rsidRPr="002302EF" w:rsidRDefault="008E7F6E" w:rsidP="008E7F6E">
      <w:pPr>
        <w:keepNext/>
        <w:keepLines/>
        <w:autoSpaceDE w:val="0"/>
        <w:autoSpaceDN w:val="0"/>
        <w:adjustRightInd w:val="0"/>
        <w:rPr>
          <w:lang w:val="en-AU"/>
        </w:rPr>
      </w:pPr>
      <w:proofErr w:type="gramStart"/>
      <w:r w:rsidRPr="008E7F6E">
        <w:rPr>
          <w:lang w:val="en-AU"/>
        </w:rPr>
        <w:t>Cleveland Clinic Journal of Medicine.</w:t>
      </w:r>
      <w:proofErr w:type="gramEnd"/>
      <w:r w:rsidRPr="008E7F6E">
        <w:rPr>
          <w:lang w:val="en-AU"/>
        </w:rPr>
        <w:t xml:space="preserve"> 2015 1 June</w:t>
      </w:r>
      <w:proofErr w:type="gramStart"/>
      <w:r w:rsidRPr="008E7F6E">
        <w:rPr>
          <w:lang w:val="en-AU"/>
        </w:rPr>
        <w:t>;82</w:t>
      </w:r>
      <w:proofErr w:type="gramEnd"/>
      <w:r w:rsidRPr="008E7F6E">
        <w:rPr>
          <w:lang w:val="en-AU"/>
        </w:rPr>
        <w:t>(6):351-60.</w:t>
      </w:r>
    </w:p>
    <w:tbl>
      <w:tblPr>
        <w:tblStyle w:val="TableGrid"/>
        <w:tblW w:w="0" w:type="auto"/>
        <w:tblInd w:w="288" w:type="dxa"/>
        <w:tblLayout w:type="fixed"/>
        <w:tblLook w:val="01E0" w:firstRow="1" w:lastRow="1" w:firstColumn="1" w:lastColumn="1" w:noHBand="0" w:noVBand="0"/>
      </w:tblPr>
      <w:tblGrid>
        <w:gridCol w:w="1080"/>
        <w:gridCol w:w="8280"/>
      </w:tblGrid>
      <w:tr w:rsidR="008E7F6E" w:rsidRPr="002302EF" w:rsidTr="00D057EA">
        <w:tc>
          <w:tcPr>
            <w:tcW w:w="1080" w:type="dxa"/>
            <w:tcBorders>
              <w:top w:val="single" w:sz="4" w:space="0" w:color="auto"/>
              <w:left w:val="single" w:sz="4" w:space="0" w:color="auto"/>
              <w:bottom w:val="single" w:sz="4" w:space="0" w:color="auto"/>
              <w:right w:val="single" w:sz="4" w:space="0" w:color="auto"/>
            </w:tcBorders>
            <w:vAlign w:val="center"/>
          </w:tcPr>
          <w:p w:rsidR="008E7F6E" w:rsidRPr="002302EF" w:rsidRDefault="008E7F6E" w:rsidP="00D057E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E7F6E" w:rsidRPr="002302EF" w:rsidRDefault="007B06DA" w:rsidP="00D057EA">
            <w:pPr>
              <w:rPr>
                <w:lang w:val="en-AU"/>
              </w:rPr>
            </w:pPr>
            <w:hyperlink r:id="rId21" w:history="1">
              <w:r w:rsidR="008E7F6E" w:rsidRPr="00D05FF9">
                <w:rPr>
                  <w:rStyle w:val="Hyperlink"/>
                  <w:lang w:val="en-AU"/>
                </w:rPr>
                <w:t>http://www.clevelandclinicmeded.com/online/journal/06_June-2015/0531375/</w:t>
              </w:r>
            </w:hyperlink>
            <w:r w:rsidR="008E7F6E">
              <w:rPr>
                <w:lang w:val="en-AU"/>
              </w:rPr>
              <w:t xml:space="preserve"> </w:t>
            </w:r>
          </w:p>
        </w:tc>
      </w:tr>
      <w:tr w:rsidR="008E7F6E" w:rsidRPr="002302EF" w:rsidTr="00D057EA">
        <w:tc>
          <w:tcPr>
            <w:tcW w:w="1080" w:type="dxa"/>
            <w:tcBorders>
              <w:top w:val="single" w:sz="4" w:space="0" w:color="auto"/>
              <w:left w:val="single" w:sz="4" w:space="0" w:color="auto"/>
              <w:bottom w:val="single" w:sz="4" w:space="0" w:color="auto"/>
              <w:right w:val="single" w:sz="4" w:space="0" w:color="auto"/>
            </w:tcBorders>
            <w:vAlign w:val="center"/>
          </w:tcPr>
          <w:p w:rsidR="008E7F6E" w:rsidRPr="002302EF" w:rsidRDefault="008E7F6E" w:rsidP="00D057E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7F6E" w:rsidRPr="002302EF" w:rsidRDefault="008E7F6E" w:rsidP="00D057EA">
            <w:pPr>
              <w:rPr>
                <w:color w:val="333333"/>
                <w:shd w:val="clear" w:color="auto" w:fill="FFFFFF"/>
                <w:lang w:val="en-AU"/>
              </w:rPr>
            </w:pPr>
            <w:r>
              <w:rPr>
                <w:color w:val="333333"/>
                <w:shd w:val="clear" w:color="auto" w:fill="FFFFFF"/>
                <w:lang w:val="en-AU"/>
              </w:rPr>
              <w:t>Transitions of care or handovers (also known as handoffs) are well-recognised as points where lapses in communication can be potentially harmful to patients. This paper focuses on the communication about medications when hospital patients are going through a transition of care. As has been seen elsewhere, standardised communication and tools to aid such standardisation can help provide a safer setting. In this instance such elements include medication reconciliation processes, patient-centred medication lists, post-discharge follow-up, etc.</w:t>
            </w:r>
          </w:p>
        </w:tc>
      </w:tr>
    </w:tbl>
    <w:p w:rsidR="008E7F6E" w:rsidRDefault="008E7F6E" w:rsidP="008E7F6E">
      <w:pPr>
        <w:keepNext/>
        <w:rPr>
          <w:i/>
          <w:lang w:val="en-AU"/>
        </w:rPr>
      </w:pPr>
    </w:p>
    <w:p w:rsidR="0071328B" w:rsidRDefault="00AB2662" w:rsidP="0071328B">
      <w:pPr>
        <w:keepNext/>
        <w:keepLines/>
        <w:autoSpaceDE w:val="0"/>
        <w:autoSpaceDN w:val="0"/>
        <w:adjustRightInd w:val="0"/>
        <w:rPr>
          <w:lang w:val="en-AU"/>
        </w:rPr>
      </w:pPr>
      <w:r w:rsidRPr="008A4F3D">
        <w:rPr>
          <w:lang w:val="en-AU"/>
        </w:rPr>
        <w:t xml:space="preserve">For information on the Commission’s work on </w:t>
      </w:r>
      <w:r>
        <w:rPr>
          <w:lang w:val="en-AU"/>
        </w:rPr>
        <w:t xml:space="preserve">clinical communications, including clinical handover, see </w:t>
      </w:r>
      <w:hyperlink r:id="rId22" w:history="1">
        <w:r w:rsidRPr="00D05FF9">
          <w:rPr>
            <w:rStyle w:val="Hyperlink"/>
            <w:lang w:val="en-AU"/>
          </w:rPr>
          <w:t>www.safetyandquality.gov.au/our-work/clinical-communications/</w:t>
        </w:r>
      </w:hyperlink>
    </w:p>
    <w:p w:rsidR="00AB2662" w:rsidRDefault="00AB2662" w:rsidP="0071328B">
      <w:pPr>
        <w:keepNext/>
        <w:keepLines/>
        <w:autoSpaceDE w:val="0"/>
        <w:autoSpaceDN w:val="0"/>
        <w:adjustRightInd w:val="0"/>
        <w:rPr>
          <w:lang w:val="en-AU"/>
        </w:rPr>
      </w:pPr>
    </w:p>
    <w:p w:rsidR="0071328B" w:rsidRPr="002F4191" w:rsidRDefault="002F4191" w:rsidP="0071328B">
      <w:pPr>
        <w:keepNext/>
        <w:keepLines/>
        <w:autoSpaceDE w:val="0"/>
        <w:autoSpaceDN w:val="0"/>
        <w:adjustRightInd w:val="0"/>
        <w:rPr>
          <w:i/>
          <w:lang w:val="en-AU"/>
        </w:rPr>
      </w:pPr>
      <w:r w:rsidRPr="002F4191">
        <w:rPr>
          <w:i/>
          <w:lang w:val="en-AU"/>
        </w:rPr>
        <w:t>Community representation in hospital decision making: a literature review</w:t>
      </w:r>
    </w:p>
    <w:p w:rsidR="002F4191" w:rsidRDefault="002F4191" w:rsidP="0071328B">
      <w:pPr>
        <w:keepNext/>
        <w:keepLines/>
        <w:autoSpaceDE w:val="0"/>
        <w:autoSpaceDN w:val="0"/>
        <w:adjustRightInd w:val="0"/>
        <w:rPr>
          <w:lang w:val="en-AU"/>
        </w:rPr>
      </w:pPr>
      <w:r>
        <w:rPr>
          <w:lang w:val="en-AU"/>
        </w:rPr>
        <w:t>Murray Z</w:t>
      </w:r>
    </w:p>
    <w:p w:rsidR="002F4191" w:rsidRDefault="002F4191" w:rsidP="0071328B">
      <w:pPr>
        <w:keepNext/>
        <w:keepLines/>
        <w:autoSpaceDE w:val="0"/>
        <w:autoSpaceDN w:val="0"/>
        <w:adjustRightInd w:val="0"/>
        <w:rPr>
          <w:lang w:val="en-AU"/>
        </w:rPr>
      </w:pPr>
      <w:proofErr w:type="gramStart"/>
      <w:r>
        <w:rPr>
          <w:lang w:val="en-AU"/>
        </w:rPr>
        <w:t>Australian Health Review.</w:t>
      </w:r>
      <w:proofErr w:type="gramEnd"/>
      <w:r>
        <w:rPr>
          <w:lang w:val="en-AU"/>
        </w:rPr>
        <w:t xml:space="preserve"> 2015</w:t>
      </w:r>
      <w:proofErr w:type="gramStart"/>
      <w:r>
        <w:rPr>
          <w:lang w:val="en-AU"/>
        </w:rPr>
        <w:t>;39:323</w:t>
      </w:r>
      <w:proofErr w:type="gramEnd"/>
      <w:r>
        <w:rPr>
          <w:lang w:val="en-AU"/>
        </w:rPr>
        <w:t>-328</w:t>
      </w:r>
    </w:p>
    <w:tbl>
      <w:tblPr>
        <w:tblStyle w:val="TableGrid"/>
        <w:tblW w:w="0" w:type="auto"/>
        <w:tblInd w:w="288" w:type="dxa"/>
        <w:tblLayout w:type="fixed"/>
        <w:tblLook w:val="01E0" w:firstRow="1" w:lastRow="1" w:firstColumn="1" w:lastColumn="1" w:noHBand="0" w:noVBand="0"/>
      </w:tblPr>
      <w:tblGrid>
        <w:gridCol w:w="1080"/>
        <w:gridCol w:w="8280"/>
      </w:tblGrid>
      <w:tr w:rsidR="0071328B" w:rsidRPr="002302EF" w:rsidTr="002611A6">
        <w:tc>
          <w:tcPr>
            <w:tcW w:w="1080" w:type="dxa"/>
            <w:tcBorders>
              <w:top w:val="single" w:sz="4" w:space="0" w:color="auto"/>
              <w:left w:val="single" w:sz="4" w:space="0" w:color="auto"/>
              <w:bottom w:val="single" w:sz="4" w:space="0" w:color="auto"/>
              <w:right w:val="single" w:sz="4" w:space="0" w:color="auto"/>
            </w:tcBorders>
            <w:vAlign w:val="center"/>
          </w:tcPr>
          <w:p w:rsidR="0071328B" w:rsidRPr="002302EF" w:rsidRDefault="0071328B" w:rsidP="002611A6">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328B" w:rsidRPr="002302EF" w:rsidRDefault="007B06DA" w:rsidP="002611A6">
            <w:pPr>
              <w:rPr>
                <w:lang w:val="en-AU"/>
              </w:rPr>
            </w:pPr>
            <w:hyperlink r:id="rId23" w:history="1">
              <w:r w:rsidR="002F4191" w:rsidRPr="001E4A90">
                <w:rPr>
                  <w:rStyle w:val="Hyperlink"/>
                  <w:lang w:val="en-AU"/>
                </w:rPr>
                <w:t>http://dx.doi.org/10.1071/AH14016</w:t>
              </w:r>
            </w:hyperlink>
            <w:r w:rsidR="002F4191">
              <w:rPr>
                <w:rFonts w:ascii="Arial" w:hAnsi="Arial" w:cs="Arial"/>
                <w:color w:val="666666"/>
                <w:sz w:val="20"/>
                <w:szCs w:val="20"/>
                <w:shd w:val="clear" w:color="auto" w:fill="FFFFFF"/>
              </w:rPr>
              <w:t xml:space="preserve"> </w:t>
            </w:r>
          </w:p>
        </w:tc>
      </w:tr>
      <w:tr w:rsidR="0071328B" w:rsidRPr="002302EF" w:rsidTr="002611A6">
        <w:tc>
          <w:tcPr>
            <w:tcW w:w="1080" w:type="dxa"/>
            <w:tcBorders>
              <w:top w:val="single" w:sz="4" w:space="0" w:color="auto"/>
              <w:left w:val="single" w:sz="4" w:space="0" w:color="auto"/>
              <w:bottom w:val="single" w:sz="4" w:space="0" w:color="auto"/>
              <w:right w:val="single" w:sz="4" w:space="0" w:color="auto"/>
            </w:tcBorders>
            <w:vAlign w:val="center"/>
          </w:tcPr>
          <w:p w:rsidR="0071328B" w:rsidRPr="002302EF" w:rsidRDefault="0071328B" w:rsidP="002611A6">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328B" w:rsidRPr="002302EF" w:rsidRDefault="002F4191" w:rsidP="001E4A90">
            <w:pPr>
              <w:rPr>
                <w:color w:val="333333"/>
                <w:shd w:val="clear" w:color="auto" w:fill="FFFFFF"/>
                <w:lang w:val="en-AU"/>
              </w:rPr>
            </w:pPr>
            <w:r>
              <w:rPr>
                <w:color w:val="333333"/>
                <w:shd w:val="clear" w:color="auto" w:fill="FFFFFF"/>
                <w:lang w:val="en-AU"/>
              </w:rPr>
              <w:t xml:space="preserve">It is well accepted that partnering with the community is an essential aspect of hospital quality improvement strategies. </w:t>
            </w:r>
            <w:r w:rsidR="00D54786">
              <w:rPr>
                <w:color w:val="333333"/>
                <w:shd w:val="clear" w:color="auto" w:fill="FFFFFF"/>
                <w:lang w:val="en-AU"/>
              </w:rPr>
              <w:t xml:space="preserve">This article references the National Safety and Quality Health Service Standards and places the responsibility for community involvement in planning for safety and quality with hospital senior executives and boards. The </w:t>
            </w:r>
            <w:r w:rsidR="001E4A90">
              <w:rPr>
                <w:color w:val="333333"/>
                <w:shd w:val="clear" w:color="auto" w:fill="FFFFFF"/>
                <w:lang w:val="en-AU"/>
              </w:rPr>
              <w:t xml:space="preserve">paper reports on </w:t>
            </w:r>
            <w:r w:rsidR="00D54786">
              <w:rPr>
                <w:color w:val="333333"/>
                <w:shd w:val="clear" w:color="auto" w:fill="FFFFFF"/>
                <w:lang w:val="en-AU"/>
              </w:rPr>
              <w:t>an integrative literature review which explored articles about community representation in hospital governance. The analysis found limited published studies (33 articles were used for thematic analysis), but some key themes did emerge. Effectively utilising community representation in hospital decision making was challenging because of a number of factors</w:t>
            </w:r>
            <w:r w:rsidR="009C54AF">
              <w:rPr>
                <w:color w:val="333333"/>
                <w:shd w:val="clear" w:color="auto" w:fill="FFFFFF"/>
                <w:lang w:val="en-AU"/>
              </w:rPr>
              <w:t>. These</w:t>
            </w:r>
            <w:r w:rsidR="00D54786">
              <w:rPr>
                <w:color w:val="333333"/>
                <w:shd w:val="clear" w:color="auto" w:fill="FFFFFF"/>
                <w:lang w:val="en-AU"/>
              </w:rPr>
              <w:t xml:space="preserve"> includ</w:t>
            </w:r>
            <w:r w:rsidR="009C54AF">
              <w:rPr>
                <w:color w:val="333333"/>
                <w:shd w:val="clear" w:color="auto" w:fill="FFFFFF"/>
                <w:lang w:val="en-AU"/>
              </w:rPr>
              <w:t xml:space="preserve">ed </w:t>
            </w:r>
            <w:r w:rsidR="009C54AF" w:rsidRPr="001E4A90">
              <w:rPr>
                <w:b/>
                <w:color w:val="333333"/>
                <w:shd w:val="clear" w:color="auto" w:fill="FFFFFF"/>
                <w:lang w:val="en-AU"/>
              </w:rPr>
              <w:t>ambiguity</w:t>
            </w:r>
            <w:r w:rsidR="009C54AF">
              <w:rPr>
                <w:color w:val="333333"/>
                <w:shd w:val="clear" w:color="auto" w:fill="FFFFFF"/>
                <w:lang w:val="en-AU"/>
              </w:rPr>
              <w:t xml:space="preserve"> around the role of consumer representatives; poor allocation of </w:t>
            </w:r>
            <w:r w:rsidR="009C54AF" w:rsidRPr="001E4A90">
              <w:rPr>
                <w:b/>
                <w:color w:val="333333"/>
                <w:shd w:val="clear" w:color="auto" w:fill="FFFFFF"/>
                <w:lang w:val="en-AU"/>
              </w:rPr>
              <w:t>resources</w:t>
            </w:r>
            <w:r w:rsidR="009C54AF">
              <w:rPr>
                <w:color w:val="333333"/>
                <w:shd w:val="clear" w:color="auto" w:fill="FFFFFF"/>
                <w:lang w:val="en-AU"/>
              </w:rPr>
              <w:t xml:space="preserve"> to support community engagement; </w:t>
            </w:r>
            <w:r w:rsidR="009C54AF" w:rsidRPr="001E4A90">
              <w:rPr>
                <w:b/>
                <w:color w:val="333333"/>
                <w:shd w:val="clear" w:color="auto" w:fill="FFFFFF"/>
                <w:lang w:val="en-AU"/>
              </w:rPr>
              <w:t>organisational cultural issues</w:t>
            </w:r>
            <w:r w:rsidR="009C54AF">
              <w:rPr>
                <w:color w:val="333333"/>
                <w:shd w:val="clear" w:color="auto" w:fill="FFFFFF"/>
                <w:lang w:val="en-AU"/>
              </w:rPr>
              <w:t xml:space="preserve"> and consumers feeling isolated or intimidated. The study suggested that establishing quality sub-committees to support boards are an important structure for involving community representation in governance around quality of care. </w:t>
            </w:r>
            <w:r w:rsidR="00D54786">
              <w:rPr>
                <w:color w:val="333333"/>
                <w:shd w:val="clear" w:color="auto" w:fill="FFFFFF"/>
                <w:lang w:val="en-AU"/>
              </w:rPr>
              <w:t xml:space="preserve"> </w:t>
            </w:r>
          </w:p>
        </w:tc>
      </w:tr>
    </w:tbl>
    <w:p w:rsidR="0071328B" w:rsidRDefault="0071328B" w:rsidP="0071328B">
      <w:pPr>
        <w:keepNext/>
        <w:rPr>
          <w:i/>
          <w:lang w:val="en-AU"/>
        </w:rPr>
      </w:pPr>
    </w:p>
    <w:p w:rsidR="002D6BAC" w:rsidRDefault="002D6BAC" w:rsidP="002D6BAC">
      <w:pPr>
        <w:keepNext/>
        <w:rPr>
          <w:lang w:val="en-AU"/>
        </w:rPr>
      </w:pPr>
      <w:r w:rsidRPr="008A4F3D">
        <w:rPr>
          <w:lang w:val="en-AU"/>
        </w:rPr>
        <w:t xml:space="preserve">For information on the </w:t>
      </w:r>
      <w:r w:rsidR="001E4A90">
        <w:rPr>
          <w:color w:val="333333"/>
          <w:shd w:val="clear" w:color="auto" w:fill="FFFFFF"/>
          <w:lang w:val="en-AU"/>
        </w:rPr>
        <w:t>National Safety and Quality Health Service Standards</w:t>
      </w:r>
      <w:r>
        <w:rPr>
          <w:lang w:val="en-AU"/>
        </w:rPr>
        <w:t xml:space="preserve">, see </w:t>
      </w:r>
      <w:hyperlink r:id="rId24" w:history="1">
        <w:r w:rsidRPr="00FD3A2A">
          <w:rPr>
            <w:rStyle w:val="Hyperlink"/>
            <w:lang w:val="en-AU"/>
          </w:rPr>
          <w:t>http://www.safetyandquality.gov.au/our-work/national-standards-and-accreditation/</w:t>
        </w:r>
      </w:hyperlink>
      <w:r>
        <w:rPr>
          <w:lang w:val="en-AU"/>
        </w:rPr>
        <w:t xml:space="preserve"> </w:t>
      </w:r>
    </w:p>
    <w:p w:rsidR="001E4A90" w:rsidRDefault="001E4A90" w:rsidP="001E4A90">
      <w:pPr>
        <w:keepNext/>
        <w:keepLines/>
        <w:autoSpaceDE w:val="0"/>
        <w:autoSpaceDN w:val="0"/>
        <w:adjustRightInd w:val="0"/>
        <w:rPr>
          <w:i/>
          <w:lang w:val="en-AU"/>
        </w:rPr>
      </w:pPr>
    </w:p>
    <w:p w:rsidR="004552ED" w:rsidRPr="00B26582" w:rsidRDefault="004552ED" w:rsidP="004552ED">
      <w:pPr>
        <w:keepLines/>
        <w:autoSpaceDE w:val="0"/>
        <w:autoSpaceDN w:val="0"/>
        <w:adjustRightInd w:val="0"/>
        <w:rPr>
          <w:i/>
          <w:lang w:val="en-AU"/>
        </w:rPr>
      </w:pPr>
      <w:r w:rsidRPr="00B26582">
        <w:rPr>
          <w:i/>
          <w:lang w:val="en-AU"/>
        </w:rPr>
        <w:t>Australian Health Review</w:t>
      </w:r>
    </w:p>
    <w:p w:rsidR="004552ED" w:rsidRDefault="004552ED" w:rsidP="004552ED">
      <w:pPr>
        <w:keepLines/>
        <w:autoSpaceDE w:val="0"/>
        <w:autoSpaceDN w:val="0"/>
        <w:adjustRightInd w:val="0"/>
        <w:rPr>
          <w:lang w:val="en-AU"/>
        </w:rPr>
      </w:pPr>
      <w:proofErr w:type="gramStart"/>
      <w:r w:rsidRPr="00B26582">
        <w:rPr>
          <w:lang w:val="en-AU"/>
        </w:rPr>
        <w:t>Volume 39 Number</w:t>
      </w:r>
      <w:r>
        <w:rPr>
          <w:lang w:val="en-AU"/>
        </w:rPr>
        <w:t xml:space="preserve"> 3.</w:t>
      </w:r>
      <w:proofErr w:type="gramEnd"/>
      <w:r w:rsidRPr="00B26582">
        <w:rPr>
          <w:lang w:val="en-AU"/>
        </w:rPr>
        <w:t xml:space="preserve"> </w:t>
      </w:r>
      <w:r>
        <w:rPr>
          <w:lang w:val="en-AU"/>
        </w:rPr>
        <w:t xml:space="preserve">June </w:t>
      </w:r>
      <w:r w:rsidRPr="00B26582">
        <w:rPr>
          <w:lang w:val="en-AU"/>
        </w:rPr>
        <w:t>2015</w:t>
      </w:r>
    </w:p>
    <w:tbl>
      <w:tblPr>
        <w:tblStyle w:val="TableGrid"/>
        <w:tblW w:w="0" w:type="auto"/>
        <w:tblInd w:w="288" w:type="dxa"/>
        <w:tblLayout w:type="fixed"/>
        <w:tblLook w:val="01E0" w:firstRow="1" w:lastRow="1" w:firstColumn="1" w:lastColumn="1" w:noHBand="0" w:noVBand="0"/>
      </w:tblPr>
      <w:tblGrid>
        <w:gridCol w:w="1080"/>
        <w:gridCol w:w="8280"/>
      </w:tblGrid>
      <w:tr w:rsidR="004552ED" w:rsidRPr="00255EF8" w:rsidTr="002611A6">
        <w:tc>
          <w:tcPr>
            <w:tcW w:w="1080" w:type="dxa"/>
            <w:tcBorders>
              <w:top w:val="single" w:sz="4" w:space="0" w:color="auto"/>
              <w:left w:val="single" w:sz="4" w:space="0" w:color="auto"/>
              <w:bottom w:val="single" w:sz="4" w:space="0" w:color="auto"/>
              <w:right w:val="single" w:sz="4" w:space="0" w:color="auto"/>
            </w:tcBorders>
            <w:vAlign w:val="center"/>
          </w:tcPr>
          <w:p w:rsidR="004552ED" w:rsidRPr="00255EF8" w:rsidRDefault="004552ED" w:rsidP="002611A6">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552ED" w:rsidRPr="00255EF8" w:rsidRDefault="007B06DA" w:rsidP="004552ED">
            <w:pPr>
              <w:rPr>
                <w:lang w:val="en-AU"/>
              </w:rPr>
            </w:pPr>
            <w:hyperlink r:id="rId25" w:history="1">
              <w:r w:rsidR="004552ED" w:rsidRPr="00CE53AB">
                <w:rPr>
                  <w:rStyle w:val="Hyperlink"/>
                  <w:lang w:val="en-AU"/>
                </w:rPr>
                <w:t>http://www.publish.csiro.au/nid/270/issue/7469.htm</w:t>
              </w:r>
            </w:hyperlink>
          </w:p>
        </w:tc>
      </w:tr>
      <w:tr w:rsidR="004552ED" w:rsidRPr="00255EF8" w:rsidTr="002611A6">
        <w:tc>
          <w:tcPr>
            <w:tcW w:w="1080" w:type="dxa"/>
            <w:tcBorders>
              <w:top w:val="single" w:sz="4" w:space="0" w:color="auto"/>
              <w:left w:val="single" w:sz="4" w:space="0" w:color="auto"/>
              <w:bottom w:val="single" w:sz="4" w:space="0" w:color="auto"/>
              <w:right w:val="single" w:sz="4" w:space="0" w:color="auto"/>
            </w:tcBorders>
            <w:vAlign w:val="center"/>
          </w:tcPr>
          <w:p w:rsidR="004552ED" w:rsidRPr="00255EF8" w:rsidRDefault="004552ED" w:rsidP="002611A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52ED" w:rsidRDefault="004552ED" w:rsidP="002611A6">
            <w:pPr>
              <w:rPr>
                <w:lang w:val="en-AU"/>
              </w:rPr>
            </w:pPr>
            <w:r>
              <w:rPr>
                <w:lang w:val="en-AU"/>
              </w:rPr>
              <w:t xml:space="preserve">A new issue of </w:t>
            </w:r>
            <w:r w:rsidRPr="004B0E69">
              <w:rPr>
                <w:i/>
                <w:lang w:val="en-AU"/>
              </w:rPr>
              <w:t>Australian Health Review</w:t>
            </w:r>
            <w:r>
              <w:rPr>
                <w:lang w:val="en-AU"/>
              </w:rPr>
              <w:t xml:space="preserve"> has been published, with a focus on allied health. Articles in this issue of </w:t>
            </w:r>
            <w:r w:rsidRPr="004B0E69">
              <w:rPr>
                <w:i/>
                <w:lang w:val="en-AU"/>
              </w:rPr>
              <w:t>Australian Health Review</w:t>
            </w:r>
            <w:r>
              <w:rPr>
                <w:lang w:val="en-AU"/>
              </w:rPr>
              <w:t xml:space="preserve"> include:</w:t>
            </w:r>
          </w:p>
          <w:p w:rsidR="004552ED" w:rsidRDefault="004552ED" w:rsidP="004552ED">
            <w:pPr>
              <w:pStyle w:val="ListParagraph"/>
              <w:numPr>
                <w:ilvl w:val="0"/>
                <w:numId w:val="20"/>
              </w:numPr>
              <w:rPr>
                <w:lang w:val="en-AU" w:eastAsia="en-AU"/>
              </w:rPr>
            </w:pPr>
            <w:r w:rsidRPr="004552ED">
              <w:rPr>
                <w:b/>
                <w:lang w:val="en-AU" w:eastAsia="en-AU"/>
              </w:rPr>
              <w:t>Strengthening the allied health workforce</w:t>
            </w:r>
            <w:r w:rsidRPr="004552ED">
              <w:rPr>
                <w:lang w:val="en-AU" w:eastAsia="en-AU"/>
              </w:rPr>
              <w:t>: policy, practice and research issues and opportunities (Lucio Naccarella</w:t>
            </w:r>
            <w:r>
              <w:rPr>
                <w:lang w:val="en-AU" w:eastAsia="en-AU"/>
              </w:rPr>
              <w:t>)</w:t>
            </w:r>
          </w:p>
          <w:p w:rsidR="004552ED" w:rsidRPr="004552ED" w:rsidRDefault="004552ED" w:rsidP="004552ED">
            <w:pPr>
              <w:pStyle w:val="ListParagraph"/>
              <w:numPr>
                <w:ilvl w:val="0"/>
                <w:numId w:val="20"/>
              </w:numPr>
              <w:rPr>
                <w:lang w:val="en-AU" w:eastAsia="en-AU"/>
              </w:rPr>
            </w:pPr>
            <w:r w:rsidRPr="004552ED">
              <w:rPr>
                <w:b/>
                <w:lang w:val="en-AU" w:eastAsia="en-AU"/>
              </w:rPr>
              <w:t>Allied health: untapped potential</w:t>
            </w:r>
            <w:r w:rsidRPr="004552ED">
              <w:rPr>
                <w:lang w:val="en-AU" w:eastAsia="en-AU"/>
              </w:rPr>
              <w:t xml:space="preserve"> in the Australian health system (Kathleen Philip</w:t>
            </w:r>
            <w:r>
              <w:rPr>
                <w:lang w:val="en-AU" w:eastAsia="en-AU"/>
              </w:rPr>
              <w:t>)</w:t>
            </w:r>
          </w:p>
          <w:p w:rsidR="004552ED" w:rsidRDefault="004552ED" w:rsidP="004552ED">
            <w:pPr>
              <w:pStyle w:val="ListParagraph"/>
              <w:numPr>
                <w:ilvl w:val="0"/>
                <w:numId w:val="20"/>
              </w:numPr>
              <w:rPr>
                <w:lang w:val="en-AU" w:eastAsia="en-AU"/>
              </w:rPr>
            </w:pPr>
            <w:r w:rsidRPr="004552ED">
              <w:rPr>
                <w:b/>
                <w:lang w:val="en-AU" w:eastAsia="en-AU"/>
              </w:rPr>
              <w:lastRenderedPageBreak/>
              <w:t>Allied health: leaders in health care reform</w:t>
            </w:r>
            <w:r w:rsidRPr="004552ED">
              <w:rPr>
                <w:lang w:val="en-AU" w:eastAsia="en-AU"/>
              </w:rPr>
              <w:t xml:space="preserve"> (Donna Markham</w:t>
            </w:r>
            <w:r>
              <w:rPr>
                <w:lang w:val="en-AU" w:eastAsia="en-AU"/>
              </w:rPr>
              <w:t>)</w:t>
            </w:r>
          </w:p>
          <w:p w:rsidR="004552ED" w:rsidRDefault="004552ED" w:rsidP="004552ED">
            <w:pPr>
              <w:pStyle w:val="ListParagraph"/>
              <w:numPr>
                <w:ilvl w:val="0"/>
                <w:numId w:val="20"/>
              </w:numPr>
              <w:rPr>
                <w:lang w:val="en-AU" w:eastAsia="en-AU"/>
              </w:rPr>
            </w:pPr>
            <w:r w:rsidRPr="004552ED">
              <w:rPr>
                <w:lang w:val="en-AU" w:eastAsia="en-AU"/>
              </w:rPr>
              <w:t xml:space="preserve">The Queensland Health Ministerial Taskforce on </w:t>
            </w:r>
            <w:r w:rsidRPr="004552ED">
              <w:rPr>
                <w:b/>
                <w:lang w:val="en-AU" w:eastAsia="en-AU"/>
              </w:rPr>
              <w:t>health practitioners’ expanded scope of practice</w:t>
            </w:r>
            <w:r w:rsidRPr="004552ED">
              <w:rPr>
                <w:lang w:val="en-AU" w:eastAsia="en-AU"/>
              </w:rPr>
              <w:t>: consultation findings (Gretchen Young, Julie Hulcombe, Andrea Hurwood and Susan Nancarrow</w:t>
            </w:r>
            <w:r>
              <w:rPr>
                <w:lang w:val="en-AU" w:eastAsia="en-AU"/>
              </w:rPr>
              <w:t>)</w:t>
            </w:r>
          </w:p>
          <w:p w:rsidR="004552ED" w:rsidRDefault="004552ED" w:rsidP="004552ED">
            <w:pPr>
              <w:pStyle w:val="ListParagraph"/>
              <w:numPr>
                <w:ilvl w:val="0"/>
                <w:numId w:val="20"/>
              </w:numPr>
              <w:rPr>
                <w:lang w:val="en-AU" w:eastAsia="en-AU"/>
              </w:rPr>
            </w:pPr>
            <w:r w:rsidRPr="004552ED">
              <w:rPr>
                <w:lang w:val="en-AU" w:eastAsia="en-AU"/>
              </w:rPr>
              <w:t xml:space="preserve">Future of </w:t>
            </w:r>
            <w:r w:rsidRPr="004552ED">
              <w:rPr>
                <w:b/>
                <w:lang w:val="en-AU" w:eastAsia="en-AU"/>
              </w:rPr>
              <w:t>specialised roles in allied health practice</w:t>
            </w:r>
            <w:r w:rsidRPr="004552ED">
              <w:rPr>
                <w:lang w:val="en-AU" w:eastAsia="en-AU"/>
              </w:rPr>
              <w:t>: who is responsible? (Elizabeth H Skinner, Kimberley J Haines, Kate Hayes, Daniel Seller, Jessica C Toohey, Julie C Reeve, Clare Holdsworth and Terry P Haines</w:t>
            </w:r>
            <w:r>
              <w:rPr>
                <w:lang w:val="en-AU" w:eastAsia="en-AU"/>
              </w:rPr>
              <w:t>)</w:t>
            </w:r>
          </w:p>
          <w:p w:rsidR="004552ED" w:rsidRDefault="004552ED" w:rsidP="004552ED">
            <w:pPr>
              <w:pStyle w:val="ListParagraph"/>
              <w:numPr>
                <w:ilvl w:val="0"/>
                <w:numId w:val="20"/>
              </w:numPr>
              <w:rPr>
                <w:lang w:val="en-AU" w:eastAsia="en-AU"/>
              </w:rPr>
            </w:pPr>
            <w:r w:rsidRPr="004552ED">
              <w:rPr>
                <w:b/>
                <w:lang w:val="en-AU" w:eastAsia="en-AU"/>
              </w:rPr>
              <w:t>Advanced allied health assistants</w:t>
            </w:r>
            <w:r w:rsidRPr="004552ED">
              <w:rPr>
                <w:lang w:val="en-AU" w:eastAsia="en-AU"/>
              </w:rPr>
              <w:t>: an emerging workforce (Claire Pearce and Leanne Pagett</w:t>
            </w:r>
            <w:r>
              <w:rPr>
                <w:lang w:val="en-AU" w:eastAsia="en-AU"/>
              </w:rPr>
              <w:t>)</w:t>
            </w:r>
          </w:p>
          <w:p w:rsidR="004552ED" w:rsidRDefault="004552ED" w:rsidP="004552ED">
            <w:pPr>
              <w:pStyle w:val="ListParagraph"/>
              <w:numPr>
                <w:ilvl w:val="0"/>
                <w:numId w:val="20"/>
              </w:numPr>
              <w:rPr>
                <w:lang w:val="en-AU" w:eastAsia="en-AU"/>
              </w:rPr>
            </w:pPr>
            <w:r w:rsidRPr="004552ED">
              <w:rPr>
                <w:b/>
                <w:lang w:val="en-AU" w:eastAsia="en-AU"/>
              </w:rPr>
              <w:t>Patient experience</w:t>
            </w:r>
            <w:r w:rsidRPr="004552ED">
              <w:rPr>
                <w:lang w:val="en-AU" w:eastAsia="en-AU"/>
              </w:rPr>
              <w:t xml:space="preserve"> of expanded-scope-of-practice </w:t>
            </w:r>
            <w:r w:rsidRPr="004552ED">
              <w:rPr>
                <w:b/>
                <w:lang w:val="en-AU" w:eastAsia="en-AU"/>
              </w:rPr>
              <w:t>musculoskeletal physiotherapy</w:t>
            </w:r>
            <w:r w:rsidRPr="004552ED">
              <w:rPr>
                <w:lang w:val="en-AU" w:eastAsia="en-AU"/>
              </w:rPr>
              <w:t xml:space="preserve"> in the emergency department: a qualitative study (Paula Harding, Jonathan Prescott, Lenore Block, A M O’Flynn and A T Burge</w:t>
            </w:r>
            <w:r>
              <w:rPr>
                <w:lang w:val="en-AU" w:eastAsia="en-AU"/>
              </w:rPr>
              <w:t>)</w:t>
            </w:r>
          </w:p>
          <w:p w:rsidR="00A2322B" w:rsidRDefault="004552ED" w:rsidP="004552ED">
            <w:pPr>
              <w:pStyle w:val="ListParagraph"/>
              <w:numPr>
                <w:ilvl w:val="0"/>
                <w:numId w:val="20"/>
              </w:numPr>
              <w:rPr>
                <w:lang w:val="en-AU" w:eastAsia="en-AU"/>
              </w:rPr>
            </w:pPr>
            <w:r w:rsidRPr="00A2322B">
              <w:rPr>
                <w:lang w:val="en-AU" w:eastAsia="en-AU"/>
              </w:rPr>
              <w:t xml:space="preserve">Embedding </w:t>
            </w:r>
            <w:r w:rsidRPr="00A2322B">
              <w:rPr>
                <w:b/>
                <w:lang w:val="en-AU" w:eastAsia="en-AU"/>
              </w:rPr>
              <w:t>research culture and productivity</w:t>
            </w:r>
            <w:r w:rsidRPr="00A2322B">
              <w:rPr>
                <w:lang w:val="en-AU" w:eastAsia="en-AU"/>
              </w:rPr>
              <w:t xml:space="preserve"> in hospital physiotherapy departments: challenges and opportunities </w:t>
            </w:r>
            <w:r w:rsidR="00A2322B" w:rsidRPr="00A2322B">
              <w:rPr>
                <w:lang w:val="en-AU" w:eastAsia="en-AU"/>
              </w:rPr>
              <w:t>(</w:t>
            </w:r>
            <w:r w:rsidRPr="00A2322B">
              <w:rPr>
                <w:lang w:val="en-AU" w:eastAsia="en-AU"/>
              </w:rPr>
              <w:t>Elizabeth H Skinner, Cylie M Williams and Terry P Haines</w:t>
            </w:r>
            <w:r w:rsidR="00A2322B">
              <w:rPr>
                <w:lang w:val="en-AU" w:eastAsia="en-AU"/>
              </w:rPr>
              <w:t>)</w:t>
            </w:r>
          </w:p>
          <w:p w:rsidR="00A2322B" w:rsidRDefault="004552ED" w:rsidP="004552ED">
            <w:pPr>
              <w:pStyle w:val="ListParagraph"/>
              <w:numPr>
                <w:ilvl w:val="0"/>
                <w:numId w:val="20"/>
              </w:numPr>
              <w:rPr>
                <w:lang w:val="en-AU" w:eastAsia="en-AU"/>
              </w:rPr>
            </w:pPr>
            <w:r w:rsidRPr="00A2322B">
              <w:rPr>
                <w:lang w:val="en-AU" w:eastAsia="en-AU"/>
              </w:rPr>
              <w:t xml:space="preserve">Implementing </w:t>
            </w:r>
            <w:r w:rsidRPr="00A2322B">
              <w:rPr>
                <w:b/>
                <w:lang w:val="en-AU" w:eastAsia="en-AU"/>
              </w:rPr>
              <w:t>antimicrobial stewardship</w:t>
            </w:r>
            <w:r w:rsidRPr="00A2322B">
              <w:rPr>
                <w:lang w:val="en-AU" w:eastAsia="en-AU"/>
              </w:rPr>
              <w:t xml:space="preserve"> in the Australian private hospital system: a qualitative study </w:t>
            </w:r>
            <w:r w:rsidR="00A2322B" w:rsidRPr="00A2322B">
              <w:rPr>
                <w:lang w:val="en-AU" w:eastAsia="en-AU"/>
              </w:rPr>
              <w:t>(</w:t>
            </w:r>
            <w:r w:rsidRPr="00A2322B">
              <w:rPr>
                <w:lang w:val="en-AU" w:eastAsia="en-AU"/>
              </w:rPr>
              <w:t>Menino O Cotta, Megan S Robertson, Caroline Marshall, Karin A Thursky, Danny Liew and Kirsty L Buising</w:t>
            </w:r>
            <w:r w:rsidR="00A2322B">
              <w:rPr>
                <w:lang w:val="en-AU" w:eastAsia="en-AU"/>
              </w:rPr>
              <w:t>)</w:t>
            </w:r>
          </w:p>
          <w:p w:rsidR="00A2322B" w:rsidRDefault="004552ED" w:rsidP="004552ED">
            <w:pPr>
              <w:pStyle w:val="ListParagraph"/>
              <w:numPr>
                <w:ilvl w:val="0"/>
                <w:numId w:val="20"/>
              </w:numPr>
              <w:rPr>
                <w:lang w:val="en-AU" w:eastAsia="en-AU"/>
              </w:rPr>
            </w:pPr>
            <w:r w:rsidRPr="00A2322B">
              <w:rPr>
                <w:b/>
                <w:lang w:val="en-AU" w:eastAsia="en-AU"/>
              </w:rPr>
              <w:t>Community representation in hospital decision making</w:t>
            </w:r>
            <w:r w:rsidRPr="00A2322B">
              <w:rPr>
                <w:lang w:val="en-AU" w:eastAsia="en-AU"/>
              </w:rPr>
              <w:t xml:space="preserve">: a literature review </w:t>
            </w:r>
            <w:r w:rsidR="00A2322B" w:rsidRPr="00A2322B">
              <w:rPr>
                <w:lang w:val="en-AU" w:eastAsia="en-AU"/>
              </w:rPr>
              <w:t>(</w:t>
            </w:r>
            <w:r w:rsidRPr="00A2322B">
              <w:rPr>
                <w:lang w:val="en-AU" w:eastAsia="en-AU"/>
              </w:rPr>
              <w:t>Zoë Murray</w:t>
            </w:r>
            <w:r w:rsidR="00A2322B">
              <w:rPr>
                <w:lang w:val="en-AU" w:eastAsia="en-AU"/>
              </w:rPr>
              <w:t>)</w:t>
            </w:r>
          </w:p>
          <w:p w:rsidR="00A2322B" w:rsidRDefault="004552ED" w:rsidP="004552ED">
            <w:pPr>
              <w:pStyle w:val="ListParagraph"/>
              <w:numPr>
                <w:ilvl w:val="0"/>
                <w:numId w:val="20"/>
              </w:numPr>
              <w:rPr>
                <w:lang w:val="en-AU" w:eastAsia="en-AU"/>
              </w:rPr>
            </w:pPr>
            <w:r w:rsidRPr="00A2322B">
              <w:rPr>
                <w:b/>
                <w:lang w:val="en-AU" w:eastAsia="en-AU"/>
              </w:rPr>
              <w:t>Pressure injury in Australian public hospitals</w:t>
            </w:r>
            <w:r w:rsidRPr="00A2322B">
              <w:rPr>
                <w:lang w:val="en-AU" w:eastAsia="en-AU"/>
              </w:rPr>
              <w:t xml:space="preserve">: a cost-of-illness study </w:t>
            </w:r>
            <w:r w:rsidR="00A2322B" w:rsidRPr="00A2322B">
              <w:rPr>
                <w:lang w:val="en-AU" w:eastAsia="en-AU"/>
              </w:rPr>
              <w:t>(</w:t>
            </w:r>
            <w:r w:rsidRPr="00A2322B">
              <w:rPr>
                <w:lang w:val="en-AU" w:eastAsia="en-AU"/>
              </w:rPr>
              <w:t>Kim-Huong Nguyen, Wendy Chaboyer and Jennifer A. Whitty</w:t>
            </w:r>
            <w:r w:rsidR="00A2322B">
              <w:rPr>
                <w:lang w:val="en-AU" w:eastAsia="en-AU"/>
              </w:rPr>
              <w:t>)</w:t>
            </w:r>
          </w:p>
          <w:p w:rsidR="00A2322B" w:rsidRDefault="004552ED" w:rsidP="004552ED">
            <w:pPr>
              <w:pStyle w:val="ListParagraph"/>
              <w:numPr>
                <w:ilvl w:val="0"/>
                <w:numId w:val="20"/>
              </w:numPr>
              <w:rPr>
                <w:lang w:val="en-AU" w:eastAsia="en-AU"/>
              </w:rPr>
            </w:pPr>
            <w:r w:rsidRPr="00A2322B">
              <w:rPr>
                <w:lang w:val="en-AU" w:eastAsia="en-AU"/>
              </w:rPr>
              <w:t xml:space="preserve">Which mothers receive a </w:t>
            </w:r>
            <w:r w:rsidRPr="00A2322B">
              <w:rPr>
                <w:b/>
                <w:lang w:val="en-AU" w:eastAsia="en-AU"/>
              </w:rPr>
              <w:t>post partum home visit</w:t>
            </w:r>
            <w:r w:rsidRPr="00A2322B">
              <w:rPr>
                <w:lang w:val="en-AU" w:eastAsia="en-AU"/>
              </w:rPr>
              <w:t xml:space="preserve"> in Queensland, Australia? A cross-sectional retrospective study </w:t>
            </w:r>
            <w:r w:rsidR="00A2322B" w:rsidRPr="00A2322B">
              <w:rPr>
                <w:lang w:val="en-AU" w:eastAsia="en-AU"/>
              </w:rPr>
              <w:t>(</w:t>
            </w:r>
            <w:r w:rsidRPr="00A2322B">
              <w:rPr>
                <w:lang w:val="en-AU" w:eastAsia="en-AU"/>
              </w:rPr>
              <w:t>Wendy Brodribb and Yvette Miller</w:t>
            </w:r>
            <w:r w:rsidR="00A2322B">
              <w:rPr>
                <w:lang w:val="en-AU" w:eastAsia="en-AU"/>
              </w:rPr>
              <w:t>)</w:t>
            </w:r>
          </w:p>
          <w:p w:rsidR="00A2322B" w:rsidRDefault="004552ED" w:rsidP="004552ED">
            <w:pPr>
              <w:pStyle w:val="ListParagraph"/>
              <w:numPr>
                <w:ilvl w:val="0"/>
                <w:numId w:val="20"/>
              </w:numPr>
              <w:rPr>
                <w:lang w:val="en-AU" w:eastAsia="en-AU"/>
              </w:rPr>
            </w:pPr>
            <w:r w:rsidRPr="00A2322B">
              <w:rPr>
                <w:lang w:val="en-AU" w:eastAsia="en-AU"/>
              </w:rPr>
              <w:t xml:space="preserve">Overcoming the </w:t>
            </w:r>
            <w:r w:rsidRPr="00A2322B">
              <w:rPr>
                <w:b/>
                <w:lang w:val="en-AU" w:eastAsia="en-AU"/>
              </w:rPr>
              <w:t>distance barrier</w:t>
            </w:r>
            <w:r w:rsidRPr="00A2322B">
              <w:rPr>
                <w:lang w:val="en-AU" w:eastAsia="en-AU"/>
              </w:rPr>
              <w:t xml:space="preserve"> in relation to treatment for haematology patients: Queensland findings </w:t>
            </w:r>
            <w:r w:rsidR="00A2322B" w:rsidRPr="00A2322B">
              <w:rPr>
                <w:lang w:val="en-AU" w:eastAsia="en-AU"/>
              </w:rPr>
              <w:t>(</w:t>
            </w:r>
            <w:r w:rsidRPr="00A2322B">
              <w:rPr>
                <w:lang w:val="en-AU" w:eastAsia="en-AU"/>
              </w:rPr>
              <w:t>Pam McGrath</w:t>
            </w:r>
            <w:r w:rsidR="00A2322B">
              <w:rPr>
                <w:lang w:val="en-AU" w:eastAsia="en-AU"/>
              </w:rPr>
              <w:t>)</w:t>
            </w:r>
          </w:p>
          <w:p w:rsidR="004552ED" w:rsidRPr="00255EF8" w:rsidRDefault="004552ED" w:rsidP="00A2322B">
            <w:pPr>
              <w:pStyle w:val="ListParagraph"/>
              <w:numPr>
                <w:ilvl w:val="0"/>
                <w:numId w:val="20"/>
              </w:numPr>
              <w:rPr>
                <w:lang w:val="en-AU" w:eastAsia="en-AU"/>
              </w:rPr>
            </w:pPr>
            <w:r w:rsidRPr="00A2322B">
              <w:rPr>
                <w:lang w:val="en-AU" w:eastAsia="en-AU"/>
              </w:rPr>
              <w:t xml:space="preserve">Thinking differently: </w:t>
            </w:r>
            <w:r w:rsidRPr="00A2322B">
              <w:rPr>
                <w:b/>
                <w:lang w:val="en-AU" w:eastAsia="en-AU"/>
              </w:rPr>
              <w:t>working together for better care</w:t>
            </w:r>
            <w:r w:rsidRPr="00A2322B">
              <w:rPr>
                <w:lang w:val="en-AU" w:eastAsia="en-AU"/>
              </w:rPr>
              <w:t xml:space="preserve"> </w:t>
            </w:r>
            <w:r w:rsidR="00A2322B" w:rsidRPr="00A2322B">
              <w:rPr>
                <w:lang w:val="en-AU" w:eastAsia="en-AU"/>
              </w:rPr>
              <w:t>(</w:t>
            </w:r>
            <w:r w:rsidRPr="004552ED">
              <w:rPr>
                <w:lang w:val="en-AU" w:eastAsia="en-AU"/>
              </w:rPr>
              <w:t>Patrick Bolton, Hilary Crilly and Ketty Rivas</w:t>
            </w:r>
            <w:r w:rsidR="00A2322B">
              <w:rPr>
                <w:lang w:val="en-AU" w:eastAsia="en-AU"/>
              </w:rPr>
              <w:t>)</w:t>
            </w:r>
          </w:p>
        </w:tc>
      </w:tr>
    </w:tbl>
    <w:p w:rsidR="00280065" w:rsidRDefault="00280065" w:rsidP="00280065">
      <w:pPr>
        <w:keepNext/>
        <w:keepLines/>
        <w:autoSpaceDE w:val="0"/>
        <w:autoSpaceDN w:val="0"/>
        <w:adjustRightInd w:val="0"/>
        <w:rPr>
          <w:i/>
          <w:lang w:val="en-AU"/>
        </w:rPr>
      </w:pPr>
    </w:p>
    <w:p w:rsidR="00280065" w:rsidRPr="001E47B6" w:rsidRDefault="00280065" w:rsidP="00280065">
      <w:pPr>
        <w:keepNext/>
        <w:keepLines/>
        <w:autoSpaceDE w:val="0"/>
        <w:autoSpaceDN w:val="0"/>
        <w:adjustRightInd w:val="0"/>
        <w:rPr>
          <w:i/>
          <w:lang w:val="en-AU"/>
        </w:rPr>
      </w:pPr>
      <w:r w:rsidRPr="001E47B6">
        <w:rPr>
          <w:i/>
          <w:lang w:val="en-AU"/>
        </w:rPr>
        <w:t>Journal of Health Services Research &amp; Policy</w:t>
      </w:r>
    </w:p>
    <w:p w:rsidR="00280065" w:rsidRPr="002302EF" w:rsidRDefault="00280065" w:rsidP="00280065">
      <w:pPr>
        <w:keepNext/>
        <w:keepLines/>
        <w:autoSpaceDE w:val="0"/>
        <w:autoSpaceDN w:val="0"/>
        <w:adjustRightInd w:val="0"/>
        <w:rPr>
          <w:lang w:val="en-AU"/>
        </w:rPr>
      </w:pPr>
      <w:r w:rsidRPr="001E47B6">
        <w:rPr>
          <w:lang w:val="en-AU"/>
        </w:rPr>
        <w:t>July 2015; Vol. 20, No. 3</w:t>
      </w:r>
    </w:p>
    <w:tbl>
      <w:tblPr>
        <w:tblStyle w:val="TableGrid"/>
        <w:tblW w:w="0" w:type="auto"/>
        <w:tblInd w:w="288" w:type="dxa"/>
        <w:tblLayout w:type="fixed"/>
        <w:tblLook w:val="01E0" w:firstRow="1" w:lastRow="1" w:firstColumn="1" w:lastColumn="1" w:noHBand="0" w:noVBand="0"/>
      </w:tblPr>
      <w:tblGrid>
        <w:gridCol w:w="1080"/>
        <w:gridCol w:w="8280"/>
      </w:tblGrid>
      <w:tr w:rsidR="00280065" w:rsidRPr="002302EF" w:rsidTr="00B72019">
        <w:tc>
          <w:tcPr>
            <w:tcW w:w="1080" w:type="dxa"/>
            <w:tcBorders>
              <w:top w:val="single" w:sz="4" w:space="0" w:color="auto"/>
              <w:left w:val="single" w:sz="4" w:space="0" w:color="auto"/>
              <w:bottom w:val="single" w:sz="4" w:space="0" w:color="auto"/>
              <w:right w:val="single" w:sz="4" w:space="0" w:color="auto"/>
            </w:tcBorders>
            <w:vAlign w:val="center"/>
          </w:tcPr>
          <w:p w:rsidR="00280065" w:rsidRPr="002302EF" w:rsidRDefault="00280065" w:rsidP="00B7201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80065" w:rsidRPr="002302EF" w:rsidRDefault="007B06DA" w:rsidP="00B72019">
            <w:pPr>
              <w:rPr>
                <w:lang w:val="en-AU"/>
              </w:rPr>
            </w:pPr>
            <w:hyperlink r:id="rId26" w:history="1">
              <w:r w:rsidR="00280065" w:rsidRPr="00C76C8B">
                <w:rPr>
                  <w:rStyle w:val="Hyperlink"/>
                  <w:lang w:val="en-AU"/>
                </w:rPr>
                <w:t>http://hsr.sagepub.com/content/20/3?etoc</w:t>
              </w:r>
            </w:hyperlink>
          </w:p>
        </w:tc>
      </w:tr>
      <w:tr w:rsidR="00280065" w:rsidRPr="002302EF" w:rsidTr="00B72019">
        <w:tc>
          <w:tcPr>
            <w:tcW w:w="1080" w:type="dxa"/>
            <w:tcBorders>
              <w:top w:val="single" w:sz="4" w:space="0" w:color="auto"/>
              <w:left w:val="single" w:sz="4" w:space="0" w:color="auto"/>
              <w:bottom w:val="single" w:sz="4" w:space="0" w:color="auto"/>
              <w:right w:val="single" w:sz="4" w:space="0" w:color="auto"/>
            </w:tcBorders>
            <w:vAlign w:val="center"/>
          </w:tcPr>
          <w:p w:rsidR="00280065" w:rsidRPr="002302EF" w:rsidRDefault="00280065" w:rsidP="00B72019">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0065" w:rsidRDefault="00280065" w:rsidP="00B72019">
            <w:pPr>
              <w:rPr>
                <w:lang w:val="en-AU"/>
              </w:rPr>
            </w:pPr>
            <w:r>
              <w:rPr>
                <w:lang w:val="en-AU"/>
              </w:rPr>
              <w:t xml:space="preserve">A new issue of </w:t>
            </w:r>
            <w:r w:rsidR="00723C0A">
              <w:rPr>
                <w:lang w:val="en-AU"/>
              </w:rPr>
              <w:t xml:space="preserve">the </w:t>
            </w:r>
            <w:r w:rsidRPr="001E47B6">
              <w:rPr>
                <w:i/>
                <w:lang w:val="en-AU"/>
              </w:rPr>
              <w:t>Journal of Health Services Research &amp; Policy</w:t>
            </w:r>
            <w:r w:rsidRPr="004B0E69">
              <w:rPr>
                <w:i/>
                <w:lang w:val="en-AU"/>
              </w:rPr>
              <w:t xml:space="preserve"> </w:t>
            </w:r>
            <w:r>
              <w:rPr>
                <w:lang w:val="en-AU"/>
              </w:rPr>
              <w:t xml:space="preserve">has been published. Articles in this issue of </w:t>
            </w:r>
            <w:r w:rsidR="00723C0A">
              <w:rPr>
                <w:lang w:val="en-AU"/>
              </w:rPr>
              <w:t xml:space="preserve">the </w:t>
            </w:r>
            <w:r w:rsidRPr="001E47B6">
              <w:rPr>
                <w:i/>
                <w:lang w:val="en-AU"/>
              </w:rPr>
              <w:t>Journal of Health Services Research &amp; Policy</w:t>
            </w:r>
            <w:r>
              <w:rPr>
                <w:lang w:val="en-AU"/>
              </w:rPr>
              <w:t xml:space="preserve"> include:</w:t>
            </w:r>
          </w:p>
          <w:p w:rsidR="00280065" w:rsidRPr="001E47B6" w:rsidRDefault="00280065" w:rsidP="00B72019">
            <w:pPr>
              <w:pStyle w:val="ListParagraph"/>
              <w:numPr>
                <w:ilvl w:val="0"/>
                <w:numId w:val="40"/>
              </w:numPr>
              <w:rPr>
                <w:color w:val="333333"/>
                <w:shd w:val="clear" w:color="auto" w:fill="FFFFFF"/>
                <w:lang w:val="en-AU"/>
              </w:rPr>
            </w:pPr>
            <w:r w:rsidRPr="001E47B6">
              <w:rPr>
                <w:color w:val="333333"/>
                <w:shd w:val="clear" w:color="auto" w:fill="FFFFFF"/>
                <w:lang w:val="en-AU"/>
              </w:rPr>
              <w:t xml:space="preserve">Editorial: </w:t>
            </w:r>
            <w:r w:rsidRPr="001E47B6">
              <w:rPr>
                <w:b/>
                <w:color w:val="333333"/>
                <w:shd w:val="clear" w:color="auto" w:fill="FFFFFF"/>
                <w:lang w:val="en-AU"/>
              </w:rPr>
              <w:t>Nursing and the future of ‘care’</w:t>
            </w:r>
            <w:r w:rsidRPr="001E47B6">
              <w:rPr>
                <w:color w:val="333333"/>
                <w:shd w:val="clear" w:color="auto" w:fill="FFFFFF"/>
                <w:lang w:val="en-AU"/>
              </w:rPr>
              <w:t xml:space="preserve"> in health care systems (Davina Allen</w:t>
            </w:r>
            <w:r>
              <w:rPr>
                <w:color w:val="333333"/>
                <w:shd w:val="clear" w:color="auto" w:fill="FFFFFF"/>
                <w:lang w:val="en-AU"/>
              </w:rPr>
              <w:t>)</w:t>
            </w:r>
          </w:p>
          <w:p w:rsidR="00280065" w:rsidRPr="001E47B6" w:rsidRDefault="00280065" w:rsidP="00B72019">
            <w:pPr>
              <w:pStyle w:val="ListParagraph"/>
              <w:numPr>
                <w:ilvl w:val="0"/>
                <w:numId w:val="40"/>
              </w:numPr>
              <w:rPr>
                <w:color w:val="333333"/>
                <w:shd w:val="clear" w:color="auto" w:fill="FFFFFF"/>
                <w:lang w:val="en-AU"/>
              </w:rPr>
            </w:pPr>
            <w:r w:rsidRPr="001E47B6">
              <w:rPr>
                <w:color w:val="333333"/>
                <w:shd w:val="clear" w:color="auto" w:fill="FFFFFF"/>
                <w:lang w:val="en-AU"/>
              </w:rPr>
              <w:t xml:space="preserve">Changes in </w:t>
            </w:r>
            <w:r w:rsidRPr="001E47B6">
              <w:rPr>
                <w:b/>
                <w:color w:val="333333"/>
                <w:shd w:val="clear" w:color="auto" w:fill="FFFFFF"/>
                <w:lang w:val="en-AU"/>
              </w:rPr>
              <w:t>inpatients’ experiences of hospital care</w:t>
            </w:r>
            <w:r w:rsidRPr="001E47B6">
              <w:rPr>
                <w:color w:val="333333"/>
                <w:shd w:val="clear" w:color="auto" w:fill="FFFFFF"/>
                <w:lang w:val="en-AU"/>
              </w:rPr>
              <w:t xml:space="preserve"> in England over a 12-year period: a secondary analysis of national survey data (Rachel Reeves and Elizabeth West</w:t>
            </w:r>
            <w:r>
              <w:rPr>
                <w:color w:val="333333"/>
                <w:shd w:val="clear" w:color="auto" w:fill="FFFFFF"/>
                <w:lang w:val="en-AU"/>
              </w:rPr>
              <w:t>)</w:t>
            </w:r>
          </w:p>
          <w:p w:rsidR="00280065" w:rsidRPr="001E47B6" w:rsidRDefault="00280065" w:rsidP="00B72019">
            <w:pPr>
              <w:pStyle w:val="ListParagraph"/>
              <w:numPr>
                <w:ilvl w:val="0"/>
                <w:numId w:val="40"/>
              </w:numPr>
              <w:rPr>
                <w:color w:val="333333"/>
                <w:shd w:val="clear" w:color="auto" w:fill="FFFFFF"/>
                <w:lang w:val="en-AU"/>
              </w:rPr>
            </w:pPr>
            <w:r w:rsidRPr="001E47B6">
              <w:rPr>
                <w:color w:val="333333"/>
                <w:shd w:val="clear" w:color="auto" w:fill="FFFFFF"/>
                <w:lang w:val="en-AU"/>
              </w:rPr>
              <w:t xml:space="preserve">The dysfunctional consequences of a </w:t>
            </w:r>
            <w:r w:rsidRPr="001E47B6">
              <w:rPr>
                <w:b/>
                <w:color w:val="333333"/>
                <w:shd w:val="clear" w:color="auto" w:fill="FFFFFF"/>
                <w:lang w:val="en-AU"/>
              </w:rPr>
              <w:t>performance measurement system</w:t>
            </w:r>
            <w:r w:rsidRPr="001E47B6">
              <w:rPr>
                <w:color w:val="333333"/>
                <w:shd w:val="clear" w:color="auto" w:fill="FFFFFF"/>
                <w:lang w:val="en-AU"/>
              </w:rPr>
              <w:t>: the case of the Iranian national hospital grading programme (Aidin Aryankhesal, Trevor A Sheldon, Russell Mannion, and Saeade Mahdipour</w:t>
            </w:r>
            <w:r>
              <w:rPr>
                <w:color w:val="333333"/>
                <w:shd w:val="clear" w:color="auto" w:fill="FFFFFF"/>
                <w:lang w:val="en-AU"/>
              </w:rPr>
              <w:t>)</w:t>
            </w:r>
          </w:p>
          <w:p w:rsidR="00280065" w:rsidRPr="001E47B6" w:rsidRDefault="00280065" w:rsidP="00B72019">
            <w:pPr>
              <w:pStyle w:val="ListParagraph"/>
              <w:numPr>
                <w:ilvl w:val="0"/>
                <w:numId w:val="40"/>
              </w:numPr>
              <w:rPr>
                <w:color w:val="333333"/>
                <w:shd w:val="clear" w:color="auto" w:fill="FFFFFF"/>
                <w:lang w:val="en-AU"/>
              </w:rPr>
            </w:pPr>
            <w:r w:rsidRPr="001E47B6">
              <w:rPr>
                <w:color w:val="333333"/>
                <w:shd w:val="clear" w:color="auto" w:fill="FFFFFF"/>
                <w:lang w:val="en-AU"/>
              </w:rPr>
              <w:t xml:space="preserve">Variations in the persistence of </w:t>
            </w:r>
            <w:r w:rsidRPr="001E47B6">
              <w:rPr>
                <w:b/>
                <w:color w:val="333333"/>
                <w:shd w:val="clear" w:color="auto" w:fill="FFFFFF"/>
                <w:lang w:val="en-AU"/>
              </w:rPr>
              <w:t>health expenditures</w:t>
            </w:r>
            <w:r w:rsidRPr="001E47B6">
              <w:rPr>
                <w:color w:val="333333"/>
                <w:shd w:val="clear" w:color="auto" w:fill="FFFFFF"/>
                <w:lang w:val="en-AU"/>
              </w:rPr>
              <w:t xml:space="preserve"> and the implications for the design of </w:t>
            </w:r>
            <w:r w:rsidRPr="001E47B6">
              <w:rPr>
                <w:b/>
                <w:color w:val="333333"/>
                <w:shd w:val="clear" w:color="auto" w:fill="FFFFFF"/>
                <w:lang w:val="en-AU"/>
              </w:rPr>
              <w:t>capitation payments</w:t>
            </w:r>
            <w:r w:rsidRPr="001E47B6">
              <w:rPr>
                <w:color w:val="333333"/>
                <w:shd w:val="clear" w:color="auto" w:fill="FFFFFF"/>
                <w:lang w:val="en-AU"/>
              </w:rPr>
              <w:t xml:space="preserve"> in Taiwan (Li-Jung Elizabeth Ku, Meng-Jiun Chiou, and Li-Fan Liu</w:t>
            </w:r>
            <w:r>
              <w:rPr>
                <w:color w:val="333333"/>
                <w:shd w:val="clear" w:color="auto" w:fill="FFFFFF"/>
                <w:lang w:val="en-AU"/>
              </w:rPr>
              <w:t>)</w:t>
            </w:r>
          </w:p>
          <w:p w:rsidR="00280065" w:rsidRPr="001E47B6" w:rsidRDefault="00280065" w:rsidP="00B72019">
            <w:pPr>
              <w:pStyle w:val="ListParagraph"/>
              <w:numPr>
                <w:ilvl w:val="0"/>
                <w:numId w:val="40"/>
              </w:numPr>
              <w:rPr>
                <w:color w:val="333333"/>
                <w:shd w:val="clear" w:color="auto" w:fill="FFFFFF"/>
                <w:lang w:val="en-AU"/>
              </w:rPr>
            </w:pPr>
            <w:r w:rsidRPr="001E47B6">
              <w:rPr>
                <w:b/>
                <w:color w:val="333333"/>
                <w:shd w:val="clear" w:color="auto" w:fill="FFFFFF"/>
                <w:lang w:val="en-AU"/>
              </w:rPr>
              <w:t>Integrating</w:t>
            </w:r>
            <w:r w:rsidRPr="001E47B6">
              <w:rPr>
                <w:color w:val="333333"/>
                <w:shd w:val="clear" w:color="auto" w:fill="FFFFFF"/>
                <w:lang w:val="en-AU"/>
              </w:rPr>
              <w:t xml:space="preserve"> </w:t>
            </w:r>
            <w:r w:rsidRPr="001E47B6">
              <w:rPr>
                <w:b/>
                <w:color w:val="333333"/>
                <w:shd w:val="clear" w:color="auto" w:fill="FFFFFF"/>
                <w:lang w:val="en-AU"/>
              </w:rPr>
              <w:t>funds for health and social care</w:t>
            </w:r>
            <w:r w:rsidRPr="001E47B6">
              <w:rPr>
                <w:color w:val="333333"/>
                <w:shd w:val="clear" w:color="auto" w:fill="FFFFFF"/>
                <w:lang w:val="en-AU"/>
              </w:rPr>
              <w:t>: an evidence review (Anne Mason, Maria Goddard, Helen Weatherly, and Martin Chalkley</w:t>
            </w:r>
            <w:r>
              <w:rPr>
                <w:color w:val="333333"/>
                <w:shd w:val="clear" w:color="auto" w:fill="FFFFFF"/>
                <w:lang w:val="en-AU"/>
              </w:rPr>
              <w:t>)</w:t>
            </w:r>
          </w:p>
          <w:p w:rsidR="00280065" w:rsidRPr="001E47B6" w:rsidRDefault="00280065" w:rsidP="00B72019">
            <w:pPr>
              <w:pStyle w:val="ListParagraph"/>
              <w:numPr>
                <w:ilvl w:val="0"/>
                <w:numId w:val="40"/>
              </w:numPr>
              <w:rPr>
                <w:color w:val="333333"/>
                <w:shd w:val="clear" w:color="auto" w:fill="FFFFFF"/>
                <w:lang w:val="en-AU"/>
              </w:rPr>
            </w:pPr>
            <w:r w:rsidRPr="001E47B6">
              <w:rPr>
                <w:color w:val="333333"/>
                <w:shd w:val="clear" w:color="auto" w:fill="FFFFFF"/>
                <w:lang w:val="en-AU"/>
              </w:rPr>
              <w:lastRenderedPageBreak/>
              <w:t xml:space="preserve">Who wants to live forever? </w:t>
            </w:r>
            <w:r w:rsidRPr="001E47B6">
              <w:rPr>
                <w:b/>
                <w:color w:val="333333"/>
                <w:shd w:val="clear" w:color="auto" w:fill="FFFFFF"/>
                <w:lang w:val="en-AU"/>
              </w:rPr>
              <w:t>Organizational decline in health care</w:t>
            </w:r>
            <w:r w:rsidRPr="001E47B6">
              <w:rPr>
                <w:color w:val="333333"/>
                <w:shd w:val="clear" w:color="auto" w:fill="FFFFFF"/>
                <w:lang w:val="en-AU"/>
              </w:rPr>
              <w:t xml:space="preserve"> (Iestyn Williams</w:t>
            </w:r>
            <w:r>
              <w:rPr>
                <w:color w:val="333333"/>
                <w:shd w:val="clear" w:color="auto" w:fill="FFFFFF"/>
                <w:lang w:val="en-AU"/>
              </w:rPr>
              <w:t>)</w:t>
            </w:r>
          </w:p>
          <w:p w:rsidR="00280065" w:rsidRPr="001E47B6" w:rsidRDefault="00280065" w:rsidP="00B72019">
            <w:pPr>
              <w:pStyle w:val="ListParagraph"/>
              <w:numPr>
                <w:ilvl w:val="0"/>
                <w:numId w:val="40"/>
              </w:numPr>
              <w:rPr>
                <w:color w:val="333333"/>
                <w:shd w:val="clear" w:color="auto" w:fill="FFFFFF"/>
                <w:lang w:val="en-AU"/>
              </w:rPr>
            </w:pPr>
            <w:r w:rsidRPr="001E47B6">
              <w:rPr>
                <w:color w:val="333333"/>
                <w:shd w:val="clear" w:color="auto" w:fill="FFFFFF"/>
                <w:lang w:val="en-AU"/>
              </w:rPr>
              <w:t xml:space="preserve">Who should decide how much and what information is important in </w:t>
            </w:r>
            <w:r w:rsidRPr="001E47B6">
              <w:rPr>
                <w:b/>
                <w:color w:val="333333"/>
                <w:shd w:val="clear" w:color="auto" w:fill="FFFFFF"/>
                <w:lang w:val="en-AU"/>
              </w:rPr>
              <w:t>person-centred health care</w:t>
            </w:r>
            <w:r w:rsidRPr="001E47B6">
              <w:rPr>
                <w:color w:val="333333"/>
                <w:shd w:val="clear" w:color="auto" w:fill="FFFFFF"/>
                <w:lang w:val="en-AU"/>
              </w:rPr>
              <w:t>? (Mette Kjer Kaltoft, Jesper Bo Nielsen, Glenn Salkeld, and Jack Dowie</w:t>
            </w:r>
            <w:r>
              <w:rPr>
                <w:color w:val="333333"/>
                <w:shd w:val="clear" w:color="auto" w:fill="FFFFFF"/>
                <w:lang w:val="en-AU"/>
              </w:rPr>
              <w:t>)</w:t>
            </w:r>
          </w:p>
        </w:tc>
      </w:tr>
    </w:tbl>
    <w:p w:rsidR="00280065" w:rsidRDefault="00280065" w:rsidP="00280065">
      <w:pPr>
        <w:keepNext/>
        <w:rPr>
          <w:i/>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7B06DA" w:rsidP="00AF05F3">
            <w:pPr>
              <w:rPr>
                <w:lang w:val="en-AU"/>
              </w:rPr>
            </w:pPr>
            <w:hyperlink r:id="rId27" w:history="1">
              <w:r w:rsidR="005833F4" w:rsidRPr="002302EF">
                <w:rPr>
                  <w:rStyle w:val="Hyperlink"/>
                  <w:lang w:val="en-AU"/>
                </w:rPr>
                <w:t>http://qualitysafety.bmj.com/content/early/recent</w:t>
              </w:r>
            </w:hyperlink>
          </w:p>
        </w:tc>
      </w:tr>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B72DC8" w:rsidRDefault="00A8347F" w:rsidP="00A8347F">
            <w:pPr>
              <w:pStyle w:val="ListParagraph"/>
              <w:numPr>
                <w:ilvl w:val="0"/>
                <w:numId w:val="14"/>
              </w:numPr>
              <w:rPr>
                <w:lang w:val="en-AU"/>
              </w:rPr>
            </w:pPr>
            <w:r w:rsidRPr="00A8347F">
              <w:rPr>
                <w:lang w:val="en-AU"/>
              </w:rPr>
              <w:t xml:space="preserve">Editorial: </w:t>
            </w:r>
            <w:r w:rsidRPr="00A8347F">
              <w:rPr>
                <w:b/>
                <w:lang w:val="en-AU"/>
              </w:rPr>
              <w:t>Surgical video analysis</w:t>
            </w:r>
            <w:r w:rsidRPr="00A8347F">
              <w:rPr>
                <w:lang w:val="en-AU"/>
              </w:rPr>
              <w:t xml:space="preserve">: an emerging tool for improving surgeon performance </w:t>
            </w:r>
            <w:r>
              <w:rPr>
                <w:lang w:val="en-AU"/>
              </w:rPr>
              <w:t>(</w:t>
            </w:r>
            <w:r w:rsidRPr="00A8347F">
              <w:rPr>
                <w:lang w:val="en-AU"/>
              </w:rPr>
              <w:t>Justin B Dimick, Oliver A Varban</w:t>
            </w:r>
            <w:r>
              <w:rPr>
                <w:lang w:val="en-AU"/>
              </w:rPr>
              <w:t>)</w:t>
            </w:r>
          </w:p>
          <w:p w:rsidR="00A8347F" w:rsidRDefault="00AE7EFB" w:rsidP="00AE7EFB">
            <w:pPr>
              <w:pStyle w:val="ListParagraph"/>
              <w:numPr>
                <w:ilvl w:val="0"/>
                <w:numId w:val="14"/>
              </w:numPr>
              <w:rPr>
                <w:lang w:val="en-AU"/>
              </w:rPr>
            </w:pPr>
            <w:r w:rsidRPr="00AE7EFB">
              <w:rPr>
                <w:b/>
                <w:lang w:val="en-AU"/>
              </w:rPr>
              <w:t>Patient and family engagement</w:t>
            </w:r>
            <w:r w:rsidRPr="00AE7EFB">
              <w:rPr>
                <w:lang w:val="en-AU"/>
              </w:rPr>
              <w:t xml:space="preserve">: a survey of US hospital practices </w:t>
            </w:r>
            <w:r>
              <w:rPr>
                <w:lang w:val="en-AU"/>
              </w:rPr>
              <w:t>(</w:t>
            </w:r>
            <w:r w:rsidRPr="00AE7EFB">
              <w:rPr>
                <w:lang w:val="en-AU"/>
              </w:rPr>
              <w:t>Jeph Herrin, Kathleen G Harris, Kevin Kenward, Stephen Hines, Maulik S Joshi, Dominick L Frosch</w:t>
            </w:r>
            <w:r>
              <w:rPr>
                <w:lang w:val="en-AU"/>
              </w:rPr>
              <w:t>)</w:t>
            </w:r>
          </w:p>
          <w:p w:rsidR="008933C8" w:rsidRDefault="008933C8" w:rsidP="008933C8">
            <w:pPr>
              <w:pStyle w:val="ListParagraph"/>
              <w:numPr>
                <w:ilvl w:val="0"/>
                <w:numId w:val="14"/>
              </w:numPr>
              <w:rPr>
                <w:lang w:val="en-AU"/>
              </w:rPr>
            </w:pPr>
            <w:r w:rsidRPr="008933C8">
              <w:rPr>
                <w:lang w:val="en-AU"/>
              </w:rPr>
              <w:t xml:space="preserve">Emotional </w:t>
            </w:r>
            <w:r w:rsidRPr="008933C8">
              <w:rPr>
                <w:b/>
                <w:lang w:val="en-AU"/>
              </w:rPr>
              <w:t>harm from disrespect</w:t>
            </w:r>
            <w:r w:rsidRPr="008933C8">
              <w:rPr>
                <w:lang w:val="en-AU"/>
              </w:rPr>
              <w:t xml:space="preserve">: the neglected preventable harm </w:t>
            </w:r>
            <w:r>
              <w:rPr>
                <w:lang w:val="en-AU"/>
              </w:rPr>
              <w:t>(</w:t>
            </w:r>
            <w:r w:rsidRPr="008933C8">
              <w:rPr>
                <w:lang w:val="en-AU"/>
              </w:rPr>
              <w:t>Lauge Sokol-Hessner, Patricia Henry Folcarelli, Kenneth E F Sands</w:t>
            </w:r>
            <w:r>
              <w:rPr>
                <w:lang w:val="en-AU"/>
              </w:rPr>
              <w:t>)</w:t>
            </w:r>
          </w:p>
          <w:p w:rsidR="007911D8" w:rsidRPr="007911D8" w:rsidRDefault="007911D8" w:rsidP="007911D8">
            <w:pPr>
              <w:pStyle w:val="ListParagraph"/>
              <w:numPr>
                <w:ilvl w:val="0"/>
                <w:numId w:val="14"/>
              </w:numPr>
              <w:rPr>
                <w:lang w:val="en-AU"/>
              </w:rPr>
            </w:pPr>
            <w:r w:rsidRPr="007911D8">
              <w:rPr>
                <w:lang w:val="en-AU"/>
              </w:rPr>
              <w:t xml:space="preserve">The </w:t>
            </w:r>
            <w:r w:rsidRPr="007911D8">
              <w:rPr>
                <w:b/>
                <w:lang w:val="en-AU"/>
              </w:rPr>
              <w:t>SQUIRE Guidelines</w:t>
            </w:r>
            <w:r w:rsidRPr="007911D8">
              <w:rPr>
                <w:lang w:val="en-AU"/>
              </w:rPr>
              <w:t>: an evaluation from the field, 5 years post release (Louise Davies, Paul Batalden, Frank David</w:t>
            </w:r>
            <w:r>
              <w:rPr>
                <w:lang w:val="en-AU"/>
              </w:rPr>
              <w:t>off, David Stevens, G Ogrinc)</w:t>
            </w:r>
          </w:p>
          <w:p w:rsidR="007911D8" w:rsidRPr="007911D8" w:rsidRDefault="007911D8" w:rsidP="007911D8">
            <w:pPr>
              <w:pStyle w:val="ListParagraph"/>
              <w:numPr>
                <w:ilvl w:val="0"/>
                <w:numId w:val="14"/>
              </w:numPr>
              <w:rPr>
                <w:lang w:val="en-AU"/>
              </w:rPr>
            </w:pPr>
            <w:r w:rsidRPr="007911D8">
              <w:rPr>
                <w:b/>
                <w:lang w:val="en-AU"/>
              </w:rPr>
              <w:t>Compromised communication</w:t>
            </w:r>
            <w:r w:rsidRPr="007911D8">
              <w:rPr>
                <w:lang w:val="en-AU"/>
              </w:rPr>
              <w:t xml:space="preserve">: a qualitative study exploring Afghan families and health professionals’ experience of interpreting support in Australian maternity care (Jane Yelland, Elisha Riggs, Josef Szwarc, Sue Casey, Philippa Duell-Piening, Donna Chesters, Sayed Wahidi, </w:t>
            </w:r>
            <w:r>
              <w:rPr>
                <w:lang w:val="en-AU"/>
              </w:rPr>
              <w:t>Fatema Fouladi, Stephanie Brown)</w:t>
            </w:r>
          </w:p>
          <w:p w:rsidR="007911D8" w:rsidRPr="002302EF" w:rsidRDefault="007911D8" w:rsidP="007911D8">
            <w:pPr>
              <w:pStyle w:val="ListParagraph"/>
              <w:numPr>
                <w:ilvl w:val="0"/>
                <w:numId w:val="14"/>
              </w:numPr>
              <w:rPr>
                <w:lang w:val="en-AU"/>
              </w:rPr>
            </w:pPr>
            <w:r w:rsidRPr="007911D8">
              <w:rPr>
                <w:lang w:val="en-AU"/>
              </w:rPr>
              <w:t xml:space="preserve">The problem with </w:t>
            </w:r>
            <w:r w:rsidRPr="007911D8">
              <w:rPr>
                <w:b/>
                <w:lang w:val="en-AU"/>
              </w:rPr>
              <w:t>checklists</w:t>
            </w:r>
            <w:r w:rsidRPr="007911D8">
              <w:rPr>
                <w:lang w:val="en-AU"/>
              </w:rPr>
              <w:t xml:space="preserve"> </w:t>
            </w:r>
            <w:r>
              <w:rPr>
                <w:lang w:val="en-AU"/>
              </w:rPr>
              <w:t>(</w:t>
            </w:r>
            <w:r w:rsidRPr="007911D8">
              <w:rPr>
                <w:lang w:val="en-AU"/>
              </w:rPr>
              <w:t>Ken Catchpole, Stephanie Russ</w:t>
            </w:r>
            <w:r>
              <w:rPr>
                <w:lang w:val="en-AU"/>
              </w:rPr>
              <w:t>)</w:t>
            </w:r>
          </w:p>
        </w:tc>
      </w:tr>
    </w:tbl>
    <w:p w:rsidR="00D31BCC" w:rsidRPr="002302EF" w:rsidRDefault="00D31BCC" w:rsidP="00D31BCC">
      <w:pPr>
        <w:keepLines/>
        <w:autoSpaceDE w:val="0"/>
        <w:autoSpaceDN w:val="0"/>
        <w:adjustRightInd w:val="0"/>
        <w:rPr>
          <w:lang w:val="en-AU"/>
        </w:rPr>
      </w:pPr>
    </w:p>
    <w:p w:rsidR="001A4F9E" w:rsidRPr="002302EF" w:rsidRDefault="001A4F9E" w:rsidP="0029518F">
      <w:pPr>
        <w:rPr>
          <w:b/>
          <w:lang w:val="en-AU"/>
        </w:rPr>
      </w:pPr>
      <w:r w:rsidRPr="002302EF">
        <w:rPr>
          <w:b/>
          <w:lang w:val="en-AU"/>
        </w:rPr>
        <w:t>Online resources</w:t>
      </w:r>
    </w:p>
    <w:p w:rsidR="007D571A" w:rsidRDefault="007D571A" w:rsidP="00EE6723">
      <w:pPr>
        <w:rPr>
          <w:lang w:val="en-AU"/>
        </w:rPr>
      </w:pPr>
    </w:p>
    <w:p w:rsidR="00875E0A" w:rsidRPr="007136E8" w:rsidRDefault="00723C0A" w:rsidP="00875E0A">
      <w:pPr>
        <w:rPr>
          <w:i/>
          <w:lang w:val="en-AU"/>
        </w:rPr>
      </w:pPr>
      <w:r>
        <w:rPr>
          <w:i/>
          <w:lang w:val="en-AU"/>
        </w:rPr>
        <w:t>Clinical Communiqué</w:t>
      </w:r>
    </w:p>
    <w:p w:rsidR="00875E0A" w:rsidRPr="007136E8" w:rsidRDefault="00875E0A" w:rsidP="00875E0A">
      <w:pPr>
        <w:rPr>
          <w:lang w:val="en-AU"/>
        </w:rPr>
      </w:pPr>
      <w:r w:rsidRPr="007136E8">
        <w:rPr>
          <w:lang w:val="en-AU"/>
        </w:rPr>
        <w:t>Victorian Institute of Forensic Medicine</w:t>
      </w:r>
    </w:p>
    <w:p w:rsidR="00875E0A" w:rsidRPr="007136E8" w:rsidRDefault="00875E0A" w:rsidP="00875E0A">
      <w:pPr>
        <w:rPr>
          <w:lang w:val="en-AU"/>
        </w:rPr>
      </w:pPr>
      <w:r w:rsidRPr="007136E8">
        <w:rPr>
          <w:lang w:val="en-AU"/>
        </w:rPr>
        <w:t>Clinic</w:t>
      </w:r>
      <w:r>
        <w:rPr>
          <w:lang w:val="en-AU"/>
        </w:rPr>
        <w:t>al Communiqué, Volume 2, Issue 2</w:t>
      </w:r>
    </w:p>
    <w:p w:rsidR="00875E0A" w:rsidRPr="007136E8" w:rsidRDefault="00875E0A" w:rsidP="00875E0A">
      <w:pPr>
        <w:rPr>
          <w:lang w:val="en-AU"/>
        </w:rPr>
      </w:pPr>
      <w:r>
        <w:rPr>
          <w:lang w:val="en-AU"/>
        </w:rPr>
        <w:t>June</w:t>
      </w:r>
      <w:r w:rsidRPr="007136E8">
        <w:rPr>
          <w:lang w:val="en-AU"/>
        </w:rPr>
        <w:t xml:space="preserve"> 2015</w:t>
      </w:r>
    </w:p>
    <w:p w:rsidR="00875E0A" w:rsidRPr="00875E0A" w:rsidRDefault="007B06DA" w:rsidP="00875E0A">
      <w:pPr>
        <w:rPr>
          <w:lang w:val="en-AU"/>
        </w:rPr>
      </w:pPr>
      <w:hyperlink r:id="rId28" w:history="1">
        <w:r w:rsidR="00875E0A" w:rsidRPr="00875E0A">
          <w:rPr>
            <w:rStyle w:val="Hyperlink"/>
            <w:lang w:val="en-AU"/>
          </w:rPr>
          <w:t>http://www.vifmcommuniques.org/volume-2-issue-2-june-2015/</w:t>
        </w:r>
      </w:hyperlink>
      <w:r w:rsidR="00875E0A" w:rsidRPr="00875E0A">
        <w:rPr>
          <w:lang w:val="en-AU"/>
        </w:rPr>
        <w:t xml:space="preserve"> </w:t>
      </w:r>
    </w:p>
    <w:p w:rsidR="00875E0A" w:rsidRPr="007136E8" w:rsidRDefault="00875E0A" w:rsidP="00875E0A">
      <w:pPr>
        <w:rPr>
          <w:lang w:val="en-AU"/>
        </w:rPr>
      </w:pPr>
      <w:r w:rsidRPr="007136E8">
        <w:rPr>
          <w:i/>
          <w:lang w:val="en-AU"/>
        </w:rPr>
        <w:t>Clinical Communiqué</w:t>
      </w:r>
      <w:r w:rsidRPr="007136E8">
        <w:rPr>
          <w:lang w:val="en-AU"/>
        </w:rPr>
        <w:t xml:space="preserve"> is a newsletter written by clinicians, using a case-study approach to report on lessons learned from deaths investigated by the Coroners’ Court.</w:t>
      </w:r>
    </w:p>
    <w:p w:rsidR="00875E0A" w:rsidRDefault="00875E0A" w:rsidP="00875E0A">
      <w:pPr>
        <w:rPr>
          <w:lang w:val="en-AU"/>
        </w:rPr>
      </w:pPr>
      <w:r w:rsidRPr="007136E8">
        <w:rPr>
          <w:lang w:val="en-AU"/>
        </w:rPr>
        <w:t xml:space="preserve">This edition </w:t>
      </w:r>
      <w:r w:rsidRPr="00875E0A">
        <w:rPr>
          <w:lang w:val="en-AU"/>
        </w:rPr>
        <w:t>describes two cases of patient deterioration that resulted in the activation of a hospital Medical Emergency Team (MET).</w:t>
      </w:r>
      <w:r>
        <w:rPr>
          <w:lang w:val="en-AU"/>
        </w:rPr>
        <w:t xml:space="preserve"> Many</w:t>
      </w:r>
      <w:r w:rsidRPr="00875E0A">
        <w:t xml:space="preserve"> </w:t>
      </w:r>
      <w:r w:rsidRPr="00875E0A">
        <w:rPr>
          <w:lang w:val="en-AU"/>
        </w:rPr>
        <w:t>health services nationally and internationally have implemented their versions of the MET system, with their own sets of training guidelines, protocols and practices. Despite the ubiquity of MET systems, we are still learning, and as these cases highlight, we can still do better.</w:t>
      </w:r>
    </w:p>
    <w:p w:rsidR="00875E0A" w:rsidRDefault="00875E0A" w:rsidP="00875E0A">
      <w:pPr>
        <w:rPr>
          <w:lang w:val="en-AU"/>
        </w:rPr>
      </w:pPr>
    </w:p>
    <w:p w:rsidR="00875E0A" w:rsidRDefault="00875E0A" w:rsidP="00EE6723">
      <w:pPr>
        <w:rPr>
          <w:lang w:val="en-AU"/>
        </w:rPr>
      </w:pPr>
      <w:r w:rsidRPr="007136E8">
        <w:rPr>
          <w:lang w:val="en-AU"/>
        </w:rPr>
        <w:t>For information on the Commission’s work on</w:t>
      </w:r>
      <w:r>
        <w:rPr>
          <w:lang w:val="en-AU"/>
        </w:rPr>
        <w:t xml:space="preserve"> r</w:t>
      </w:r>
      <w:r w:rsidRPr="00875E0A">
        <w:rPr>
          <w:lang w:val="en-AU"/>
        </w:rPr>
        <w:t xml:space="preserve">ecognising and </w:t>
      </w:r>
      <w:r>
        <w:rPr>
          <w:lang w:val="en-AU"/>
        </w:rPr>
        <w:t>r</w:t>
      </w:r>
      <w:r w:rsidRPr="00875E0A">
        <w:rPr>
          <w:lang w:val="en-AU"/>
        </w:rPr>
        <w:t xml:space="preserve">esponding to </w:t>
      </w:r>
      <w:r>
        <w:rPr>
          <w:lang w:val="en-AU"/>
        </w:rPr>
        <w:t>c</w:t>
      </w:r>
      <w:r w:rsidRPr="00875E0A">
        <w:rPr>
          <w:lang w:val="en-AU"/>
        </w:rPr>
        <w:t xml:space="preserve">linical </w:t>
      </w:r>
      <w:r>
        <w:rPr>
          <w:lang w:val="en-AU"/>
        </w:rPr>
        <w:t>d</w:t>
      </w:r>
      <w:r w:rsidRPr="00875E0A">
        <w:rPr>
          <w:lang w:val="en-AU"/>
        </w:rPr>
        <w:t>eterioration</w:t>
      </w:r>
      <w:r>
        <w:rPr>
          <w:lang w:val="en-AU"/>
        </w:rPr>
        <w:t xml:space="preserve">, see </w:t>
      </w:r>
      <w:hyperlink r:id="rId29" w:history="1">
        <w:r w:rsidRPr="00C76C8B">
          <w:rPr>
            <w:rStyle w:val="Hyperlink"/>
            <w:lang w:val="en-AU"/>
          </w:rPr>
          <w:t>www.safetyandquality.gov.au/our-work/recognising-and-responding-to-clinical-deterioration/</w:t>
        </w:r>
      </w:hyperlink>
    </w:p>
    <w:p w:rsidR="00875E0A" w:rsidRPr="002302EF" w:rsidRDefault="00875E0A"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41D2F"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p>
    <w:sectPr w:rsidR="00E41D2F" w:rsidRPr="002302EF"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DA" w:rsidRDefault="007B06DA">
      <w:r>
        <w:separator/>
      </w:r>
    </w:p>
  </w:endnote>
  <w:endnote w:type="continuationSeparator" w:id="0">
    <w:p w:rsidR="007B06DA" w:rsidRDefault="007B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844F8">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06625">
      <w:t>2</w:t>
    </w:r>
    <w:r w:rsidR="0071328B">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4F8">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71328B">
      <w:t xml:space="preserve"> Issue 228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DA" w:rsidRDefault="007B06DA">
      <w:r>
        <w:separator/>
      </w:r>
    </w:p>
  </w:footnote>
  <w:footnote w:type="continuationSeparator" w:id="0">
    <w:p w:rsidR="007B06DA" w:rsidRDefault="007B0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4B37098"/>
    <w:multiLevelType w:val="hybridMultilevel"/>
    <w:tmpl w:val="9E44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424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FF0C51"/>
    <w:multiLevelType w:val="hybridMultilevel"/>
    <w:tmpl w:val="5A60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2"/>
  </w:num>
  <w:num w:numId="15">
    <w:abstractNumId w:val="33"/>
  </w:num>
  <w:num w:numId="16">
    <w:abstractNumId w:val="35"/>
  </w:num>
  <w:num w:numId="17">
    <w:abstractNumId w:val="13"/>
  </w:num>
  <w:num w:numId="18">
    <w:abstractNumId w:val="28"/>
  </w:num>
  <w:num w:numId="19">
    <w:abstractNumId w:val="19"/>
  </w:num>
  <w:num w:numId="20">
    <w:abstractNumId w:val="14"/>
  </w:num>
  <w:num w:numId="21">
    <w:abstractNumId w:val="24"/>
  </w:num>
  <w:num w:numId="22">
    <w:abstractNumId w:val="11"/>
  </w:num>
  <w:num w:numId="23">
    <w:abstractNumId w:val="23"/>
  </w:num>
  <w:num w:numId="24">
    <w:abstractNumId w:val="20"/>
  </w:num>
  <w:num w:numId="25">
    <w:abstractNumId w:val="30"/>
  </w:num>
  <w:num w:numId="26">
    <w:abstractNumId w:val="36"/>
  </w:num>
  <w:num w:numId="27">
    <w:abstractNumId w:val="10"/>
  </w:num>
  <w:num w:numId="28">
    <w:abstractNumId w:val="38"/>
  </w:num>
  <w:num w:numId="29">
    <w:abstractNumId w:val="37"/>
  </w:num>
  <w:num w:numId="30">
    <w:abstractNumId w:val="26"/>
  </w:num>
  <w:num w:numId="31">
    <w:abstractNumId w:val="34"/>
  </w:num>
  <w:num w:numId="32">
    <w:abstractNumId w:val="25"/>
  </w:num>
  <w:num w:numId="33">
    <w:abstractNumId w:val="15"/>
  </w:num>
  <w:num w:numId="34">
    <w:abstractNumId w:val="16"/>
  </w:num>
  <w:num w:numId="35">
    <w:abstractNumId w:val="27"/>
  </w:num>
  <w:num w:numId="36">
    <w:abstractNumId w:val="17"/>
  </w:num>
  <w:num w:numId="37">
    <w:abstractNumId w:val="39"/>
  </w:num>
  <w:num w:numId="38">
    <w:abstractNumId w:val="18"/>
  </w:num>
  <w:num w:numId="39">
    <w:abstractNumId w:val="31"/>
  </w:num>
  <w:num w:numId="4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B41"/>
    <w:rsid w:val="00032BD7"/>
    <w:rsid w:val="00032C75"/>
    <w:rsid w:val="0003319C"/>
    <w:rsid w:val="000331B2"/>
    <w:rsid w:val="0003320D"/>
    <w:rsid w:val="000333A7"/>
    <w:rsid w:val="00033628"/>
    <w:rsid w:val="0003371D"/>
    <w:rsid w:val="00033ABC"/>
    <w:rsid w:val="00033C76"/>
    <w:rsid w:val="0003405A"/>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B7D"/>
    <w:rsid w:val="002D4C6B"/>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D67"/>
    <w:rsid w:val="003B0336"/>
    <w:rsid w:val="003B03E4"/>
    <w:rsid w:val="003B0712"/>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9FF"/>
    <w:rsid w:val="009C2A51"/>
    <w:rsid w:val="009C2D2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22B"/>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4BB3"/>
    <w:rsid w:val="00B251B4"/>
    <w:rsid w:val="00B2532F"/>
    <w:rsid w:val="00B25663"/>
    <w:rsid w:val="00B259A6"/>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46"/>
    <w:rsid w:val="00B72479"/>
    <w:rsid w:val="00B72495"/>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36/bmjqs-2015-004431" TargetMode="External"/><Relationship Id="rId26" Type="http://schemas.openxmlformats.org/officeDocument/2006/relationships/hyperlink" Target="http://hsr.sagepub.com/content/20/3?etoc" TargetMode="External"/><Relationship Id="rId3" Type="http://schemas.openxmlformats.org/officeDocument/2006/relationships/styles" Target="styles.xml"/><Relationship Id="rId21" Type="http://schemas.openxmlformats.org/officeDocument/2006/relationships/hyperlink" Target="http://www.clevelandclinicmeded.com/online/journal/06_June-2015/0531375/"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136/bmjqs-2015-003957" TargetMode="External"/><Relationship Id="rId25" Type="http://schemas.openxmlformats.org/officeDocument/2006/relationships/hyperlink" Target="http://www.publish.csiro.au/nid/270/issue/7469.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plications.emro.who.int/dsaf/EMROPUB_2015_EN_1856.pdf" TargetMode="External"/><Relationship Id="rId20" Type="http://schemas.openxmlformats.org/officeDocument/2006/relationships/hyperlink" Target="http://www.safetyandquality.gov.au/our-work/medication-safety/" TargetMode="External"/><Relationship Id="rId29" Type="http://schemas.openxmlformats.org/officeDocument/2006/relationships/hyperlink" Target="http://www.safetyandquality.gov.au/our-work/recognising-and-responding-to-clinical-deterior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national-standards-and-accreditatio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71/AH14016" TargetMode="External"/><Relationship Id="rId28" Type="http://schemas.openxmlformats.org/officeDocument/2006/relationships/hyperlink" Target="http://www.vifmcommuniques.org/volume-2-issue-2-june-2015/"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77/0009922815586050"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clinical-communications/" TargetMode="External"/><Relationship Id="rId27" Type="http://schemas.openxmlformats.org/officeDocument/2006/relationships/hyperlink" Target="http://qualitysafety.bmj.com/content/early/recen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1FB5A-D168-43B9-BF6C-C46C2D20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15581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20</cp:revision>
  <cp:lastPrinted>2013-06-06T03:47:00Z</cp:lastPrinted>
  <dcterms:created xsi:type="dcterms:W3CDTF">2015-06-14T21:25:00Z</dcterms:created>
  <dcterms:modified xsi:type="dcterms:W3CDTF">2015-06-21T04:38:00Z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