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E3354F">
        <w:rPr>
          <w:color w:val="000000"/>
          <w:lang w:val="en-AU"/>
        </w:rPr>
        <w:t>34</w:t>
      </w:r>
    </w:p>
    <w:p w:rsidR="00755242" w:rsidRPr="002302EF" w:rsidRDefault="00E3354F" w:rsidP="00B160EF">
      <w:pPr>
        <w:rPr>
          <w:lang w:val="en-AU"/>
        </w:rPr>
      </w:pPr>
      <w:r>
        <w:rPr>
          <w:lang w:val="en-AU"/>
        </w:rPr>
        <w:t>3 August</w:t>
      </w:r>
      <w:r w:rsidR="000F1551">
        <w:rPr>
          <w:lang w:val="en-AU"/>
        </w:rPr>
        <w:t xml:space="preserve">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p>
    <w:p w:rsidR="0090716B" w:rsidRDefault="0090716B">
      <w:pPr>
        <w:rPr>
          <w:b/>
          <w:shd w:val="clear" w:color="auto" w:fill="FFFFFF"/>
          <w:lang w:val="en-AU"/>
        </w:rPr>
      </w:pPr>
    </w:p>
    <w:p w:rsidR="00104C1A" w:rsidRPr="0071328B" w:rsidRDefault="00104C1A" w:rsidP="00104C1A">
      <w:pPr>
        <w:rPr>
          <w:b/>
          <w:shd w:val="clear" w:color="auto" w:fill="FFFFFF"/>
          <w:lang w:val="en-AU"/>
        </w:rPr>
      </w:pPr>
      <w:r>
        <w:rPr>
          <w:b/>
          <w:shd w:val="clear" w:color="auto" w:fill="FFFFFF"/>
          <w:lang w:val="en-AU"/>
        </w:rPr>
        <w:t>Reports</w:t>
      </w:r>
    </w:p>
    <w:p w:rsidR="00121C47" w:rsidRDefault="00121C47" w:rsidP="00121C47">
      <w:pPr>
        <w:keepNext/>
        <w:keepLines/>
        <w:autoSpaceDE w:val="0"/>
        <w:autoSpaceDN w:val="0"/>
        <w:adjustRightInd w:val="0"/>
        <w:rPr>
          <w:lang w:val="en-AU"/>
        </w:rPr>
      </w:pPr>
      <w:r w:rsidRPr="00121C47">
        <w:rPr>
          <w:i/>
          <w:lang w:val="en-AU"/>
        </w:rPr>
        <w:t>Cultural competency in the delivery of health services for Indigenous people</w:t>
      </w:r>
      <w:r w:rsidRPr="00121C47">
        <w:rPr>
          <w:lang w:val="en-AU"/>
        </w:rPr>
        <w:t>. Issues paper no 13 Bainbridge R, McCalman J, Clifford A, Tsey K</w:t>
      </w:r>
    </w:p>
    <w:p w:rsidR="00121C47" w:rsidRDefault="00121C47" w:rsidP="00121C47">
      <w:pPr>
        <w:keepNext/>
        <w:keepLines/>
        <w:autoSpaceDE w:val="0"/>
        <w:autoSpaceDN w:val="0"/>
        <w:adjustRightInd w:val="0"/>
        <w:rPr>
          <w:lang w:val="en-AU"/>
        </w:rPr>
      </w:pPr>
      <w:r w:rsidRPr="00121C47">
        <w:rPr>
          <w:lang w:val="en-AU"/>
        </w:rPr>
        <w:t xml:space="preserve">Produced for the Closing the Gap Clearinghouse. </w:t>
      </w:r>
    </w:p>
    <w:p w:rsidR="00121C47" w:rsidRPr="002302EF" w:rsidRDefault="00121C47" w:rsidP="00121C47">
      <w:pPr>
        <w:keepNext/>
        <w:keepLines/>
        <w:autoSpaceDE w:val="0"/>
        <w:autoSpaceDN w:val="0"/>
        <w:adjustRightInd w:val="0"/>
        <w:rPr>
          <w:lang w:val="en-AU"/>
        </w:rPr>
      </w:pPr>
      <w:r w:rsidRPr="00121C47">
        <w:rPr>
          <w:lang w:val="en-AU"/>
        </w:rPr>
        <w:t>Canberra: Australian</w:t>
      </w:r>
      <w:r>
        <w:rPr>
          <w:lang w:val="en-AU"/>
        </w:rPr>
        <w:t xml:space="preserve"> </w:t>
      </w:r>
      <w:r w:rsidRPr="00121C47">
        <w:rPr>
          <w:lang w:val="en-AU"/>
        </w:rPr>
        <w:t xml:space="preserve">Institute of Health and Welfare &amp; Melbourne: Australian Institute of Family Studies; 2015. </w:t>
      </w:r>
      <w:proofErr w:type="gramStart"/>
      <w:r w:rsidRPr="00121C47">
        <w:rPr>
          <w:lang w:val="en-AU"/>
        </w:rPr>
        <w:t>p. 44.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21C47"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121C47" w:rsidRPr="002302EF" w:rsidRDefault="00121C47" w:rsidP="00AC0113">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21C47" w:rsidRPr="002302EF" w:rsidRDefault="0076650B" w:rsidP="00AC0113">
            <w:pPr>
              <w:rPr>
                <w:lang w:val="en-AU"/>
              </w:rPr>
            </w:pPr>
            <w:hyperlink r:id="rId16" w:history="1">
              <w:r w:rsidR="00121C47" w:rsidRPr="00BD13E1">
                <w:rPr>
                  <w:rStyle w:val="Hyperlink"/>
                  <w:lang w:val="en-AU"/>
                </w:rPr>
                <w:t>http://www.aihw.gov.au/closingthegap/</w:t>
              </w:r>
            </w:hyperlink>
            <w:r w:rsidR="00121C47">
              <w:rPr>
                <w:lang w:val="en-AU"/>
              </w:rPr>
              <w:t xml:space="preserve"> </w:t>
            </w:r>
          </w:p>
        </w:tc>
      </w:tr>
      <w:tr w:rsidR="00121C47"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121C47" w:rsidRPr="002302EF" w:rsidRDefault="00121C47" w:rsidP="00AC011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1C47" w:rsidRDefault="00121C47" w:rsidP="00121C47">
            <w:pPr>
              <w:rPr>
                <w:color w:val="333333"/>
                <w:shd w:val="clear" w:color="auto" w:fill="FFFFFF"/>
                <w:lang w:val="en-AU"/>
              </w:rPr>
            </w:pPr>
            <w:r>
              <w:rPr>
                <w:color w:val="333333"/>
                <w:shd w:val="clear" w:color="auto" w:fill="FFFFFF"/>
                <w:lang w:val="en-AU"/>
              </w:rPr>
              <w:t xml:space="preserve">The Australian Institute of Health and Welfare have released, on their Closing the Gap page, this issues paper. The paper In the </w:t>
            </w:r>
            <w:r w:rsidRPr="00121C47">
              <w:rPr>
                <w:color w:val="333333"/>
                <w:shd w:val="clear" w:color="auto" w:fill="FFFFFF"/>
                <w:lang w:val="en-AU"/>
              </w:rPr>
              <w:t xml:space="preserve">paper </w:t>
            </w:r>
            <w:r>
              <w:rPr>
                <w:color w:val="333333"/>
                <w:shd w:val="clear" w:color="auto" w:fill="FFFFFF"/>
                <w:lang w:val="en-AU"/>
              </w:rPr>
              <w:t>the authors examine</w:t>
            </w:r>
            <w:r w:rsidRPr="00121C47">
              <w:rPr>
                <w:color w:val="333333"/>
                <w:shd w:val="clear" w:color="auto" w:fill="FFFFFF"/>
                <w:lang w:val="en-AU"/>
              </w:rPr>
              <w:t xml:space="preserve"> the available evidence on cultural competence in international and local literature. </w:t>
            </w:r>
            <w:r>
              <w:rPr>
                <w:color w:val="333333"/>
                <w:shd w:val="clear" w:color="auto" w:fill="FFFFFF"/>
                <w:lang w:val="en-AU"/>
              </w:rPr>
              <w:t>They process to define cultural competency; report</w:t>
            </w:r>
            <w:r w:rsidRPr="00121C47">
              <w:rPr>
                <w:color w:val="333333"/>
                <w:shd w:val="clear" w:color="auto" w:fill="FFFFFF"/>
                <w:lang w:val="en-AU"/>
              </w:rPr>
              <w:t xml:space="preserve"> on available evidence; identif</w:t>
            </w:r>
            <w:r>
              <w:rPr>
                <w:color w:val="333333"/>
                <w:shd w:val="clear" w:color="auto" w:fill="FFFFFF"/>
                <w:lang w:val="en-AU"/>
              </w:rPr>
              <w:t>y</w:t>
            </w:r>
            <w:r w:rsidRPr="00121C47">
              <w:rPr>
                <w:color w:val="333333"/>
                <w:shd w:val="clear" w:color="auto" w:fill="FFFFFF"/>
                <w:lang w:val="en-AU"/>
              </w:rPr>
              <w:t xml:space="preserve"> approaches and strategies that are effective in improving cultural competency among health services staff, examine the relationship between cultural competency and health outcomes, and document an evidence-informed conceptual framework.</w:t>
            </w:r>
            <w:r>
              <w:rPr>
                <w:color w:val="333333"/>
                <w:shd w:val="clear" w:color="auto" w:fill="FFFFFF"/>
                <w:lang w:val="en-AU"/>
              </w:rPr>
              <w:t xml:space="preserve"> The report starts with the recognition that </w:t>
            </w:r>
          </w:p>
          <w:p w:rsidR="00121C47" w:rsidRPr="00121C47" w:rsidRDefault="00121C47" w:rsidP="00121C47">
            <w:pPr>
              <w:pStyle w:val="ListParagraph"/>
              <w:numPr>
                <w:ilvl w:val="0"/>
                <w:numId w:val="45"/>
              </w:numPr>
              <w:rPr>
                <w:color w:val="333333"/>
                <w:shd w:val="clear" w:color="auto" w:fill="FFFFFF"/>
                <w:lang w:val="en-AU"/>
              </w:rPr>
            </w:pPr>
            <w:r w:rsidRPr="003C3486">
              <w:rPr>
                <w:b/>
                <w:color w:val="333333"/>
                <w:shd w:val="clear" w:color="auto" w:fill="FFFFFF"/>
                <w:lang w:val="en-AU"/>
              </w:rPr>
              <w:t>Cultural competency</w:t>
            </w:r>
            <w:r w:rsidRPr="00121C47">
              <w:rPr>
                <w:color w:val="333333"/>
                <w:shd w:val="clear" w:color="auto" w:fill="FFFFFF"/>
                <w:lang w:val="en-AU"/>
              </w:rPr>
              <w:t xml:space="preserve"> is a </w:t>
            </w:r>
            <w:r w:rsidRPr="003C3486">
              <w:rPr>
                <w:b/>
                <w:color w:val="333333"/>
                <w:shd w:val="clear" w:color="auto" w:fill="FFFFFF"/>
                <w:lang w:val="en-AU"/>
              </w:rPr>
              <w:t>key</w:t>
            </w:r>
            <w:r w:rsidRPr="00121C47">
              <w:rPr>
                <w:color w:val="333333"/>
                <w:shd w:val="clear" w:color="auto" w:fill="FFFFFF"/>
                <w:lang w:val="en-AU"/>
              </w:rPr>
              <w:t xml:space="preserve"> strategy for </w:t>
            </w:r>
            <w:r w:rsidRPr="003C3486">
              <w:rPr>
                <w:b/>
                <w:color w:val="333333"/>
                <w:shd w:val="clear" w:color="auto" w:fill="FFFFFF"/>
                <w:lang w:val="en-AU"/>
              </w:rPr>
              <w:t>reducing inequalities in healthcare access and improving the quality and effectiveness of care for Indigenous people</w:t>
            </w:r>
            <w:r w:rsidRPr="00121C47">
              <w:rPr>
                <w:color w:val="333333"/>
                <w:shd w:val="clear" w:color="auto" w:fill="FFFFFF"/>
                <w:lang w:val="en-AU"/>
              </w:rPr>
              <w:t>.</w:t>
            </w:r>
          </w:p>
          <w:p w:rsidR="00121C47" w:rsidRPr="00121C47" w:rsidRDefault="00121C47" w:rsidP="00121C47">
            <w:pPr>
              <w:pStyle w:val="ListParagraph"/>
              <w:numPr>
                <w:ilvl w:val="0"/>
                <w:numId w:val="44"/>
              </w:numPr>
              <w:rPr>
                <w:color w:val="333333"/>
                <w:shd w:val="clear" w:color="auto" w:fill="FFFFFF"/>
                <w:lang w:val="en-AU"/>
              </w:rPr>
            </w:pPr>
            <w:r w:rsidRPr="00121C47">
              <w:rPr>
                <w:color w:val="333333"/>
                <w:shd w:val="clear" w:color="auto" w:fill="FFFFFF"/>
                <w:lang w:val="en-AU"/>
              </w:rPr>
              <w:t xml:space="preserve">Cultural competence is </w:t>
            </w:r>
            <w:r w:rsidRPr="003C3486">
              <w:rPr>
                <w:b/>
                <w:color w:val="333333"/>
                <w:shd w:val="clear" w:color="auto" w:fill="FFFFFF"/>
                <w:lang w:val="en-AU"/>
              </w:rPr>
              <w:t>more than cultural awareness</w:t>
            </w:r>
            <w:r w:rsidRPr="00121C47">
              <w:rPr>
                <w:color w:val="333333"/>
                <w:shd w:val="clear" w:color="auto" w:fill="FFFFFF"/>
                <w:lang w:val="en-AU"/>
              </w:rPr>
              <w:t>—it is the set of behaviours, attitudes, and policies that come together to enable a system, agency, or professionals to work effectively in cross-cultural situations.</w:t>
            </w:r>
          </w:p>
        </w:tc>
      </w:tr>
    </w:tbl>
    <w:p w:rsidR="00C42569" w:rsidRPr="00C42569" w:rsidRDefault="00C42569" w:rsidP="00C42569">
      <w:pPr>
        <w:keepNext/>
        <w:keepLines/>
        <w:autoSpaceDE w:val="0"/>
        <w:autoSpaceDN w:val="0"/>
        <w:adjustRightInd w:val="0"/>
        <w:rPr>
          <w:i/>
          <w:lang w:val="en-AU"/>
        </w:rPr>
      </w:pPr>
      <w:r w:rsidRPr="00C42569">
        <w:rPr>
          <w:i/>
          <w:lang w:val="en-AU"/>
        </w:rPr>
        <w:lastRenderedPageBreak/>
        <w:t>Learnings from serious failings in care</w:t>
      </w:r>
    </w:p>
    <w:p w:rsidR="00C42569" w:rsidRDefault="00C42569" w:rsidP="00C42569">
      <w:pPr>
        <w:keepNext/>
        <w:keepLines/>
        <w:autoSpaceDE w:val="0"/>
        <w:autoSpaceDN w:val="0"/>
        <w:adjustRightInd w:val="0"/>
        <w:rPr>
          <w:lang w:val="en-AU"/>
        </w:rPr>
      </w:pPr>
      <w:r w:rsidRPr="00C42569">
        <w:rPr>
          <w:lang w:val="en-AU"/>
        </w:rPr>
        <w:t>Academy of Medical Royal Colleges and Faculties in Scotland (Scottish Academy) Short-Life Working Group on Hospital Reports</w:t>
      </w:r>
    </w:p>
    <w:p w:rsidR="00C42569" w:rsidRPr="002302EF" w:rsidRDefault="00C42569" w:rsidP="00C42569">
      <w:pPr>
        <w:keepNext/>
        <w:keepLines/>
        <w:autoSpaceDE w:val="0"/>
        <w:autoSpaceDN w:val="0"/>
        <w:adjustRightInd w:val="0"/>
        <w:rPr>
          <w:lang w:val="en-AU"/>
        </w:rPr>
      </w:pPr>
      <w:r w:rsidRPr="00C42569">
        <w:rPr>
          <w:lang w:val="en-AU"/>
        </w:rPr>
        <w:t xml:space="preserve">Edinburgh2015. </w:t>
      </w:r>
      <w:proofErr w:type="gramStart"/>
      <w:r w:rsidRPr="00C42569">
        <w:rPr>
          <w:lang w:val="en-AU"/>
        </w:rPr>
        <w:t>p. 27.</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42569"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C42569" w:rsidRPr="002302EF" w:rsidRDefault="00C42569" w:rsidP="00AC0113">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42569" w:rsidRPr="002302EF" w:rsidRDefault="0076650B" w:rsidP="00AC0113">
            <w:pPr>
              <w:rPr>
                <w:lang w:val="en-AU"/>
              </w:rPr>
            </w:pPr>
            <w:hyperlink r:id="rId17" w:history="1">
              <w:r w:rsidR="00C42569" w:rsidRPr="00BD13E1">
                <w:rPr>
                  <w:rStyle w:val="Hyperlink"/>
                  <w:lang w:val="en-AU"/>
                </w:rPr>
                <w:t>http://www.scottishacademy.org.uk/</w:t>
              </w:r>
            </w:hyperlink>
            <w:r w:rsidR="00C42569">
              <w:rPr>
                <w:lang w:val="en-AU"/>
              </w:rPr>
              <w:t xml:space="preserve"> </w:t>
            </w:r>
          </w:p>
        </w:tc>
      </w:tr>
      <w:tr w:rsidR="00C42569"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C42569" w:rsidRPr="002302EF" w:rsidRDefault="00C42569" w:rsidP="00AC011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42569" w:rsidRPr="00C42569" w:rsidRDefault="00791F8F" w:rsidP="00AC0113">
            <w:pPr>
              <w:rPr>
                <w:lang w:val="en-AU"/>
              </w:rPr>
            </w:pPr>
            <w:r>
              <w:rPr>
                <w:lang w:val="en-AU"/>
              </w:rPr>
              <w:t>Possibly enacting the saying ‘</w:t>
            </w:r>
            <w:r w:rsidRPr="00791F8F">
              <w:rPr>
                <w:lang w:val="en-AU"/>
              </w:rPr>
              <w:t>Never let a good crisis go to waste</w:t>
            </w:r>
            <w:r>
              <w:rPr>
                <w:lang w:val="en-AU"/>
              </w:rPr>
              <w:t>’ t</w:t>
            </w:r>
            <w:r w:rsidR="00C42569">
              <w:rPr>
                <w:lang w:val="en-AU"/>
              </w:rPr>
              <w:t xml:space="preserve">he </w:t>
            </w:r>
            <w:r w:rsidR="00C42569" w:rsidRPr="00290B35">
              <w:rPr>
                <w:lang w:val="en-AU"/>
              </w:rPr>
              <w:t>Academy of Medical Royal Colleges and Faculties in Scotland</w:t>
            </w:r>
            <w:r w:rsidR="00C42569">
              <w:rPr>
                <w:lang w:val="en-AU"/>
              </w:rPr>
              <w:t xml:space="preserve"> have published this report containing </w:t>
            </w:r>
            <w:r w:rsidR="00C42569" w:rsidRPr="00C42569">
              <w:rPr>
                <w:lang w:val="en-AU"/>
              </w:rPr>
              <w:t>recommendations aimed at addressing systemic failings in NHS care in Scotland</w:t>
            </w:r>
            <w:r w:rsidR="00C42569">
              <w:rPr>
                <w:lang w:val="en-AU"/>
              </w:rPr>
              <w:t>. The failings were revealed in a series of reports in 2013–2014. The Working Group responsible for the report identified a number of k</w:t>
            </w:r>
            <w:r w:rsidR="00C42569" w:rsidRPr="00C42569">
              <w:rPr>
                <w:lang w:val="en-AU"/>
              </w:rPr>
              <w:t>ey issues which contributed to the serious failings in care</w:t>
            </w:r>
            <w:r w:rsidR="00C42569">
              <w:rPr>
                <w:lang w:val="en-AU"/>
              </w:rPr>
              <w:t>,</w:t>
            </w:r>
            <w:r w:rsidR="00C42569" w:rsidRPr="00C42569">
              <w:rPr>
                <w:lang w:val="en-AU"/>
              </w:rPr>
              <w:t xml:space="preserve"> includ</w:t>
            </w:r>
            <w:r w:rsidR="00C42569">
              <w:rPr>
                <w:lang w:val="en-AU"/>
              </w:rPr>
              <w:t>ing:</w:t>
            </w:r>
          </w:p>
          <w:p w:rsidR="00C42569" w:rsidRPr="00C42569" w:rsidRDefault="00C42569" w:rsidP="00AC0113">
            <w:pPr>
              <w:pStyle w:val="ListParagraph"/>
              <w:numPr>
                <w:ilvl w:val="0"/>
                <w:numId w:val="47"/>
              </w:numPr>
              <w:rPr>
                <w:lang w:val="en-AU"/>
              </w:rPr>
            </w:pPr>
            <w:r w:rsidRPr="00C42569">
              <w:rPr>
                <w:b/>
                <w:lang w:val="en-AU"/>
              </w:rPr>
              <w:t>poor leadership</w:t>
            </w:r>
            <w:r w:rsidRPr="00C42569">
              <w:rPr>
                <w:lang w:val="en-AU"/>
              </w:rPr>
              <w:t xml:space="preserve"> at all levels (including senior clinical staff and management) resulting in a </w:t>
            </w:r>
            <w:r w:rsidRPr="00C42569">
              <w:rPr>
                <w:b/>
                <w:lang w:val="en-AU"/>
              </w:rPr>
              <w:t>defective culture</w:t>
            </w:r>
            <w:r w:rsidRPr="00C42569">
              <w:rPr>
                <w:lang w:val="en-AU"/>
              </w:rPr>
              <w:t>, a disconnect between clinical staff and management, inappropriate targets and poor accountability mechanisms;</w:t>
            </w:r>
          </w:p>
          <w:p w:rsidR="00C42569" w:rsidRPr="00C42569" w:rsidRDefault="00C42569" w:rsidP="00AC0113">
            <w:pPr>
              <w:pStyle w:val="ListParagraph"/>
              <w:numPr>
                <w:ilvl w:val="0"/>
                <w:numId w:val="47"/>
              </w:numPr>
              <w:rPr>
                <w:lang w:val="en-AU"/>
              </w:rPr>
            </w:pPr>
            <w:r w:rsidRPr="00C42569">
              <w:rPr>
                <w:b/>
                <w:lang w:val="en-AU"/>
              </w:rPr>
              <w:t>staff shortages</w:t>
            </w:r>
            <w:r w:rsidRPr="00C42569">
              <w:rPr>
                <w:lang w:val="en-AU"/>
              </w:rPr>
              <w:t xml:space="preserve">, an </w:t>
            </w:r>
            <w:r w:rsidRPr="00C42569">
              <w:rPr>
                <w:b/>
                <w:lang w:val="en-AU"/>
              </w:rPr>
              <w:t>inappropriate skills</w:t>
            </w:r>
            <w:r w:rsidRPr="00C42569">
              <w:rPr>
                <w:lang w:val="en-AU"/>
              </w:rPr>
              <w:t xml:space="preserve"> mix on the team, inappropriate use of inexperienced staff or </w:t>
            </w:r>
            <w:r w:rsidRPr="00C42569">
              <w:rPr>
                <w:b/>
                <w:lang w:val="en-AU"/>
              </w:rPr>
              <w:t>failure to supervise</w:t>
            </w:r>
            <w:r w:rsidRPr="00C42569">
              <w:rPr>
                <w:lang w:val="en-AU"/>
              </w:rPr>
              <w:t>;</w:t>
            </w:r>
          </w:p>
          <w:p w:rsidR="00C42569" w:rsidRPr="00C42569" w:rsidRDefault="00C42569" w:rsidP="00AC0113">
            <w:pPr>
              <w:pStyle w:val="ListParagraph"/>
              <w:numPr>
                <w:ilvl w:val="0"/>
                <w:numId w:val="47"/>
              </w:numPr>
              <w:rPr>
                <w:lang w:val="en-AU"/>
              </w:rPr>
            </w:pPr>
            <w:r w:rsidRPr="00C42569">
              <w:rPr>
                <w:b/>
                <w:lang w:val="en-AU"/>
              </w:rPr>
              <w:t>poor staff morale and motivation</w:t>
            </w:r>
            <w:r w:rsidRPr="00C42569">
              <w:rPr>
                <w:lang w:val="en-AU"/>
              </w:rPr>
              <w:t>;</w:t>
            </w:r>
          </w:p>
          <w:p w:rsidR="00C42569" w:rsidRPr="00C42569" w:rsidRDefault="00C42569" w:rsidP="00AC0113">
            <w:pPr>
              <w:pStyle w:val="ListParagraph"/>
              <w:numPr>
                <w:ilvl w:val="0"/>
                <w:numId w:val="47"/>
              </w:numPr>
              <w:rPr>
                <w:lang w:val="en-AU"/>
              </w:rPr>
            </w:pPr>
            <w:r w:rsidRPr="00C42569">
              <w:rPr>
                <w:b/>
                <w:lang w:val="en-AU"/>
              </w:rPr>
              <w:t>poor dealings with patients</w:t>
            </w:r>
            <w:r w:rsidRPr="00C42569">
              <w:rPr>
                <w:lang w:val="en-AU"/>
              </w:rPr>
              <w:t xml:space="preserve"> (inadequate care and poor communication);</w:t>
            </w:r>
          </w:p>
          <w:p w:rsidR="00C42569" w:rsidRPr="00C42569" w:rsidRDefault="00C42569" w:rsidP="00AC0113">
            <w:pPr>
              <w:pStyle w:val="ListParagraph"/>
              <w:numPr>
                <w:ilvl w:val="0"/>
                <w:numId w:val="47"/>
              </w:numPr>
              <w:rPr>
                <w:lang w:val="en-AU"/>
              </w:rPr>
            </w:pPr>
            <w:r w:rsidRPr="00C42569">
              <w:rPr>
                <w:b/>
                <w:lang w:val="en-AU"/>
              </w:rPr>
              <w:t>inadequate complaints handling</w:t>
            </w:r>
            <w:r w:rsidRPr="00C42569">
              <w:rPr>
                <w:lang w:val="en-AU"/>
              </w:rPr>
              <w:t>; and</w:t>
            </w:r>
          </w:p>
          <w:p w:rsidR="00C42569" w:rsidRPr="00C42569" w:rsidRDefault="00C42569" w:rsidP="00AC0113">
            <w:pPr>
              <w:pStyle w:val="ListParagraph"/>
              <w:numPr>
                <w:ilvl w:val="0"/>
                <w:numId w:val="47"/>
              </w:numPr>
              <w:rPr>
                <w:lang w:val="en-AU"/>
              </w:rPr>
            </w:pPr>
            <w:proofErr w:type="gramStart"/>
            <w:r w:rsidRPr="00C42569">
              <w:rPr>
                <w:b/>
                <w:lang w:val="en-AU"/>
              </w:rPr>
              <w:t>limitations</w:t>
            </w:r>
            <w:proofErr w:type="gramEnd"/>
            <w:r w:rsidRPr="00C42569">
              <w:rPr>
                <w:b/>
                <w:lang w:val="en-AU"/>
              </w:rPr>
              <w:t xml:space="preserve"> of external assessments</w:t>
            </w:r>
            <w:r w:rsidRPr="00C42569">
              <w:rPr>
                <w:lang w:val="en-AU"/>
              </w:rPr>
              <w:t>.</w:t>
            </w:r>
          </w:p>
          <w:p w:rsidR="00791F8F" w:rsidRPr="002302EF" w:rsidRDefault="00C42569" w:rsidP="00791F8F">
            <w:pPr>
              <w:rPr>
                <w:lang w:val="en-AU"/>
              </w:rPr>
            </w:pPr>
            <w:r>
              <w:rPr>
                <w:lang w:val="en-AU"/>
              </w:rPr>
              <w:t>The Working Group’s recommendations focus on the “</w:t>
            </w:r>
            <w:r w:rsidRPr="00C42569">
              <w:rPr>
                <w:lang w:val="en-AU"/>
              </w:rPr>
              <w:t xml:space="preserve">urgent need to engender more </w:t>
            </w:r>
            <w:r w:rsidRPr="00C42569">
              <w:rPr>
                <w:b/>
                <w:lang w:val="en-AU"/>
              </w:rPr>
              <w:t>effective team working</w:t>
            </w:r>
            <w:r w:rsidRPr="00C42569">
              <w:rPr>
                <w:lang w:val="en-AU"/>
              </w:rPr>
              <w:t xml:space="preserve">, to </w:t>
            </w:r>
            <w:r w:rsidRPr="00C42569">
              <w:rPr>
                <w:b/>
                <w:lang w:val="en-AU"/>
              </w:rPr>
              <w:t>place quality of care ahead of targets</w:t>
            </w:r>
            <w:r w:rsidRPr="00C42569">
              <w:rPr>
                <w:lang w:val="en-AU"/>
              </w:rPr>
              <w:t xml:space="preserve">, to ensure </w:t>
            </w:r>
            <w:r w:rsidRPr="00C42569">
              <w:rPr>
                <w:b/>
                <w:lang w:val="en-AU"/>
              </w:rPr>
              <w:t>appropriate staffing</w:t>
            </w:r>
            <w:r w:rsidRPr="00C42569">
              <w:rPr>
                <w:lang w:val="en-AU"/>
              </w:rPr>
              <w:t xml:space="preserve"> levels and to end the </w:t>
            </w:r>
            <w:r w:rsidRPr="00C42569">
              <w:rPr>
                <w:b/>
                <w:lang w:val="en-AU"/>
              </w:rPr>
              <w:t>culture</w:t>
            </w:r>
            <w:r w:rsidRPr="00C42569">
              <w:rPr>
                <w:lang w:val="en-AU"/>
              </w:rPr>
              <w:t xml:space="preserve"> of “learned helplessness” experienced by staff when poor standards of patient care are condoned and perpetuated due to a combination of pressures</w:t>
            </w:r>
            <w:r>
              <w:rPr>
                <w:lang w:val="en-AU"/>
              </w:rPr>
              <w:t>”.</w:t>
            </w:r>
            <w:r w:rsidR="00791F8F">
              <w:rPr>
                <w:lang w:val="en-AU"/>
              </w:rPr>
              <w:t xml:space="preserve"> The 20 recommendations are grouped into</w:t>
            </w:r>
            <w:r w:rsidR="00791F8F" w:rsidRPr="00791F8F">
              <w:rPr>
                <w:lang w:val="en-AU"/>
              </w:rPr>
              <w:t xml:space="preserve"> the Leadership, Culture &amp; Professional Engagement, Inadequate Staffing, Quality of Care &amp; Patient Experience and External Review</w:t>
            </w:r>
            <w:r w:rsidR="00791F8F">
              <w:rPr>
                <w:lang w:val="en-AU"/>
              </w:rPr>
              <w:t>.</w:t>
            </w:r>
          </w:p>
        </w:tc>
      </w:tr>
    </w:tbl>
    <w:p w:rsidR="00C42569" w:rsidRDefault="00C42569" w:rsidP="00C42569">
      <w:pPr>
        <w:rPr>
          <w:i/>
          <w:lang w:val="en-AU"/>
        </w:rPr>
      </w:pPr>
    </w:p>
    <w:p w:rsidR="00651EFE" w:rsidRPr="00A51504" w:rsidRDefault="00651EFE" w:rsidP="00651EFE">
      <w:pPr>
        <w:keepNext/>
        <w:keepLines/>
        <w:autoSpaceDE w:val="0"/>
        <w:autoSpaceDN w:val="0"/>
        <w:adjustRightInd w:val="0"/>
        <w:rPr>
          <w:i/>
          <w:lang w:val="en-AU"/>
        </w:rPr>
      </w:pPr>
      <w:r w:rsidRPr="00A51504">
        <w:rPr>
          <w:i/>
          <w:lang w:val="en-AU"/>
        </w:rPr>
        <w:t>The NHS in 2030: A vision of a people-powered, knowledge-powered health system</w:t>
      </w:r>
    </w:p>
    <w:p w:rsidR="00A51504" w:rsidRDefault="00A51504" w:rsidP="00104C1A">
      <w:pPr>
        <w:keepNext/>
        <w:keepLines/>
        <w:autoSpaceDE w:val="0"/>
        <w:autoSpaceDN w:val="0"/>
        <w:adjustRightInd w:val="0"/>
        <w:rPr>
          <w:lang w:val="en-AU"/>
        </w:rPr>
      </w:pPr>
      <w:r w:rsidRPr="00A51504">
        <w:rPr>
          <w:lang w:val="en-AU"/>
        </w:rPr>
        <w:t>Bland J, Khan H, Loder J, Symons T, Westlake S</w:t>
      </w:r>
    </w:p>
    <w:p w:rsidR="00104C1A" w:rsidRPr="002302EF" w:rsidRDefault="00A51504" w:rsidP="00104C1A">
      <w:pPr>
        <w:keepNext/>
        <w:keepLines/>
        <w:autoSpaceDE w:val="0"/>
        <w:autoSpaceDN w:val="0"/>
        <w:adjustRightInd w:val="0"/>
        <w:rPr>
          <w:lang w:val="en-AU"/>
        </w:rPr>
      </w:pPr>
      <w:r w:rsidRPr="00A51504">
        <w:rPr>
          <w:lang w:val="en-AU"/>
        </w:rPr>
        <w:t xml:space="preserve">London: Nesta; 2015. </w:t>
      </w:r>
      <w:proofErr w:type="gramStart"/>
      <w:r w:rsidRPr="00A51504">
        <w:rPr>
          <w:lang w:val="en-AU"/>
        </w:rPr>
        <w:t>p. 48.</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04C1A" w:rsidRPr="002302EF" w:rsidTr="009726C9">
        <w:tc>
          <w:tcPr>
            <w:tcW w:w="1080" w:type="dxa"/>
            <w:tcBorders>
              <w:top w:val="single" w:sz="4" w:space="0" w:color="auto"/>
              <w:left w:val="single" w:sz="4" w:space="0" w:color="auto"/>
              <w:bottom w:val="single" w:sz="4" w:space="0" w:color="auto"/>
              <w:right w:val="single" w:sz="4" w:space="0" w:color="auto"/>
            </w:tcBorders>
            <w:vAlign w:val="center"/>
          </w:tcPr>
          <w:p w:rsidR="00104C1A" w:rsidRPr="002302EF" w:rsidRDefault="00104C1A" w:rsidP="009726C9">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4C1A" w:rsidRPr="002302EF" w:rsidRDefault="0076650B" w:rsidP="009726C9">
            <w:pPr>
              <w:rPr>
                <w:lang w:val="en-AU"/>
              </w:rPr>
            </w:pPr>
            <w:hyperlink r:id="rId18" w:history="1">
              <w:r w:rsidR="000379EE" w:rsidRPr="004F3B74">
                <w:rPr>
                  <w:rStyle w:val="Hyperlink"/>
                  <w:lang w:val="en-AU"/>
                </w:rPr>
                <w:t>http://www.nesta.org.uk/publications/nhs-2030-people-powered-and-knowledge-powered-health-system</w:t>
              </w:r>
            </w:hyperlink>
          </w:p>
        </w:tc>
      </w:tr>
      <w:tr w:rsidR="00104C1A" w:rsidRPr="002302EF" w:rsidTr="009726C9">
        <w:tc>
          <w:tcPr>
            <w:tcW w:w="1080" w:type="dxa"/>
            <w:tcBorders>
              <w:top w:val="single" w:sz="4" w:space="0" w:color="auto"/>
              <w:left w:val="single" w:sz="4" w:space="0" w:color="auto"/>
              <w:bottom w:val="single" w:sz="4" w:space="0" w:color="auto"/>
              <w:right w:val="single" w:sz="4" w:space="0" w:color="auto"/>
            </w:tcBorders>
            <w:vAlign w:val="center"/>
          </w:tcPr>
          <w:p w:rsidR="00104C1A" w:rsidRPr="002302EF" w:rsidRDefault="00104C1A" w:rsidP="009726C9">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4C1A" w:rsidRDefault="00A51504" w:rsidP="00A51504">
            <w:pPr>
              <w:rPr>
                <w:color w:val="333333"/>
                <w:shd w:val="clear" w:color="auto" w:fill="FFFFFF"/>
                <w:lang w:val="en-AU"/>
              </w:rPr>
            </w:pPr>
            <w:r>
              <w:rPr>
                <w:color w:val="333333"/>
                <w:shd w:val="clear" w:color="auto" w:fill="FFFFFF"/>
                <w:lang w:val="en-AU"/>
              </w:rPr>
              <w:t>NETSA is a UK charity that describes itself as “</w:t>
            </w:r>
            <w:r w:rsidRPr="00A51504">
              <w:rPr>
                <w:color w:val="333333"/>
                <w:shd w:val="clear" w:color="auto" w:fill="FFFFFF"/>
                <w:lang w:val="en-AU"/>
              </w:rPr>
              <w:t>an innovation charity that helps people and organisations bring great ideas to life</w:t>
            </w:r>
            <w:r>
              <w:rPr>
                <w:color w:val="333333"/>
                <w:shd w:val="clear" w:color="auto" w:fill="FFFFFF"/>
                <w:lang w:val="en-AU"/>
              </w:rPr>
              <w:t>”. Their latest report in the health and ageing area is “</w:t>
            </w:r>
            <w:r w:rsidRPr="00A51504">
              <w:rPr>
                <w:color w:val="333333"/>
                <w:shd w:val="clear" w:color="auto" w:fill="FFFFFF"/>
                <w:lang w:val="en-AU"/>
              </w:rPr>
              <w:t>an optimistic take on what a health system would look like in 2030 if new knowledge is used differently and more people play a role in managing health</w:t>
            </w:r>
            <w:r>
              <w:rPr>
                <w:color w:val="333333"/>
                <w:shd w:val="clear" w:color="auto" w:fill="FFFFFF"/>
                <w:lang w:val="en-AU"/>
              </w:rPr>
              <w:t>”.</w:t>
            </w:r>
          </w:p>
          <w:p w:rsidR="00A51504" w:rsidRDefault="00A51504" w:rsidP="00A51504">
            <w:pPr>
              <w:rPr>
                <w:color w:val="333333"/>
                <w:shd w:val="clear" w:color="auto" w:fill="FFFFFF"/>
                <w:lang w:val="en-AU"/>
              </w:rPr>
            </w:pPr>
            <w:r>
              <w:rPr>
                <w:color w:val="333333"/>
                <w:shd w:val="clear" w:color="auto" w:fill="FFFFFF"/>
                <w:lang w:val="en-AU"/>
              </w:rPr>
              <w:t>The report is based upon ‘four axes of change’:</w:t>
            </w:r>
          </w:p>
          <w:p w:rsidR="00A51504" w:rsidRPr="00A51504" w:rsidRDefault="00A51504" w:rsidP="00A51504">
            <w:pPr>
              <w:pStyle w:val="ListParagraph"/>
              <w:numPr>
                <w:ilvl w:val="0"/>
                <w:numId w:val="45"/>
              </w:numPr>
              <w:rPr>
                <w:color w:val="333333"/>
                <w:shd w:val="clear" w:color="auto" w:fill="FFFFFF"/>
                <w:lang w:val="en-AU"/>
              </w:rPr>
            </w:pPr>
            <w:r w:rsidRPr="00A51504">
              <w:rPr>
                <w:color w:val="333333"/>
                <w:shd w:val="clear" w:color="auto" w:fill="FFFFFF"/>
                <w:lang w:val="en-AU"/>
              </w:rPr>
              <w:t>the promise of precision medicine</w:t>
            </w:r>
          </w:p>
          <w:p w:rsidR="00A51504" w:rsidRPr="00A51504" w:rsidRDefault="00A51504" w:rsidP="00A51504">
            <w:pPr>
              <w:pStyle w:val="ListParagraph"/>
              <w:numPr>
                <w:ilvl w:val="0"/>
                <w:numId w:val="45"/>
              </w:numPr>
              <w:rPr>
                <w:color w:val="333333"/>
                <w:shd w:val="clear" w:color="auto" w:fill="FFFFFF"/>
                <w:lang w:val="en-AU"/>
              </w:rPr>
            </w:pPr>
            <w:r w:rsidRPr="00A51504">
              <w:rPr>
                <w:color w:val="333333"/>
                <w:shd w:val="clear" w:color="auto" w:fill="FFFFFF"/>
                <w:lang w:val="en-AU"/>
              </w:rPr>
              <w:t>a health knowledge commons stretching beyond traditional actors</w:t>
            </w:r>
          </w:p>
          <w:p w:rsidR="00A51504" w:rsidRPr="00A51504" w:rsidRDefault="00A51504" w:rsidP="00A51504">
            <w:pPr>
              <w:pStyle w:val="ListParagraph"/>
              <w:numPr>
                <w:ilvl w:val="0"/>
                <w:numId w:val="45"/>
              </w:numPr>
              <w:rPr>
                <w:color w:val="333333"/>
                <w:shd w:val="clear" w:color="auto" w:fill="FFFFFF"/>
                <w:lang w:val="en-AU"/>
              </w:rPr>
            </w:pPr>
            <w:r w:rsidRPr="00A51504">
              <w:rPr>
                <w:color w:val="333333"/>
                <w:shd w:val="clear" w:color="auto" w:fill="FFFFFF"/>
                <w:lang w:val="en-AU"/>
              </w:rPr>
              <w:t>a system powered by more people and new kinds of relationships, and</w:t>
            </w:r>
          </w:p>
          <w:p w:rsidR="00A51504" w:rsidRPr="00A51504" w:rsidRDefault="00A51504" w:rsidP="00A51504">
            <w:pPr>
              <w:pStyle w:val="ListParagraph"/>
              <w:numPr>
                <w:ilvl w:val="0"/>
                <w:numId w:val="45"/>
              </w:numPr>
              <w:rPr>
                <w:color w:val="333333"/>
                <w:shd w:val="clear" w:color="auto" w:fill="FFFFFF"/>
                <w:lang w:val="en-AU"/>
              </w:rPr>
            </w:pPr>
            <w:proofErr w:type="gramStart"/>
            <w:r w:rsidRPr="00A51504">
              <w:rPr>
                <w:color w:val="333333"/>
                <w:shd w:val="clear" w:color="auto" w:fill="FFFFFF"/>
                <w:lang w:val="en-AU"/>
              </w:rPr>
              <w:t>taking</w:t>
            </w:r>
            <w:proofErr w:type="gramEnd"/>
            <w:r w:rsidRPr="00A51504">
              <w:rPr>
                <w:color w:val="333333"/>
                <w:shd w:val="clear" w:color="auto" w:fill="FFFFFF"/>
                <w:lang w:val="en-AU"/>
              </w:rPr>
              <w:t xml:space="preserve"> advantage of contemporary behavioural insights.</w:t>
            </w:r>
          </w:p>
          <w:p w:rsidR="00A51504" w:rsidRPr="002302EF" w:rsidRDefault="00A51504" w:rsidP="00A51504">
            <w:pPr>
              <w:rPr>
                <w:color w:val="333333"/>
                <w:shd w:val="clear" w:color="auto" w:fill="FFFFFF"/>
                <w:lang w:val="en-AU"/>
              </w:rPr>
            </w:pPr>
            <w:r w:rsidRPr="00A51504">
              <w:rPr>
                <w:color w:val="333333"/>
                <w:shd w:val="clear" w:color="auto" w:fill="FFFFFF"/>
                <w:lang w:val="en-AU"/>
              </w:rPr>
              <w:t>The first two concentrate on how new kinds of knowledge could be used differently</w:t>
            </w:r>
            <w:r>
              <w:rPr>
                <w:color w:val="333333"/>
                <w:shd w:val="clear" w:color="auto" w:fill="FFFFFF"/>
                <w:lang w:val="en-AU"/>
              </w:rPr>
              <w:t xml:space="preserve"> while the </w:t>
            </w:r>
            <w:r w:rsidRPr="00A51504">
              <w:rPr>
                <w:color w:val="333333"/>
                <w:shd w:val="clear" w:color="auto" w:fill="FFFFFF"/>
                <w:lang w:val="en-AU"/>
              </w:rPr>
              <w:t>second two concentrate on how more people will</w:t>
            </w:r>
            <w:r>
              <w:rPr>
                <w:color w:val="333333"/>
                <w:shd w:val="clear" w:color="auto" w:fill="FFFFFF"/>
                <w:lang w:val="en-AU"/>
              </w:rPr>
              <w:t xml:space="preserve"> be involved in managing health.</w:t>
            </w:r>
          </w:p>
        </w:tc>
      </w:tr>
    </w:tbl>
    <w:p w:rsidR="00104C1A" w:rsidRDefault="00104C1A" w:rsidP="00104C1A">
      <w:pPr>
        <w:keepLines/>
        <w:autoSpaceDE w:val="0"/>
        <w:autoSpaceDN w:val="0"/>
        <w:adjustRightInd w:val="0"/>
        <w:rPr>
          <w:lang w:val="en-AU"/>
        </w:rPr>
      </w:pPr>
    </w:p>
    <w:p w:rsidR="00651EFE" w:rsidRPr="00F6732C" w:rsidRDefault="00651EFE" w:rsidP="00651EFE">
      <w:pPr>
        <w:keepNext/>
        <w:keepLines/>
        <w:autoSpaceDE w:val="0"/>
        <w:autoSpaceDN w:val="0"/>
        <w:adjustRightInd w:val="0"/>
        <w:rPr>
          <w:i/>
          <w:lang w:val="en-AU"/>
        </w:rPr>
      </w:pPr>
      <w:r w:rsidRPr="00F6732C">
        <w:rPr>
          <w:i/>
          <w:lang w:val="en-AU"/>
        </w:rPr>
        <w:lastRenderedPageBreak/>
        <w:t>New organisational models of primary care to meet the future needs of the NHS: A brief overview of recent reports</w:t>
      </w:r>
    </w:p>
    <w:p w:rsidR="00F6732C" w:rsidRDefault="00F6732C" w:rsidP="000379EE">
      <w:pPr>
        <w:keepNext/>
        <w:keepLines/>
        <w:autoSpaceDE w:val="0"/>
        <w:autoSpaceDN w:val="0"/>
        <w:adjustRightInd w:val="0"/>
        <w:rPr>
          <w:lang w:val="en-AU"/>
        </w:rPr>
      </w:pPr>
      <w:proofErr w:type="gramStart"/>
      <w:r w:rsidRPr="00F6732C">
        <w:rPr>
          <w:lang w:val="en-AU"/>
        </w:rPr>
        <w:t>Bienkowska-Gibbs T, King S, Saunders CL, Henham M-L.</w:t>
      </w:r>
      <w:proofErr w:type="gramEnd"/>
      <w:r w:rsidRPr="00F6732C">
        <w:rPr>
          <w:lang w:val="en-AU"/>
        </w:rPr>
        <w:t xml:space="preserve"> </w:t>
      </w:r>
    </w:p>
    <w:p w:rsidR="000379EE" w:rsidRPr="002302EF" w:rsidRDefault="00F6732C" w:rsidP="000379EE">
      <w:pPr>
        <w:keepNext/>
        <w:keepLines/>
        <w:autoSpaceDE w:val="0"/>
        <w:autoSpaceDN w:val="0"/>
        <w:adjustRightInd w:val="0"/>
        <w:rPr>
          <w:lang w:val="en-AU"/>
        </w:rPr>
      </w:pPr>
      <w:r w:rsidRPr="00F6732C">
        <w:rPr>
          <w:lang w:val="en-AU"/>
        </w:rPr>
        <w:t xml:space="preserve">Cambridge: RAND Europe; 2015. </w:t>
      </w:r>
      <w:proofErr w:type="gramStart"/>
      <w:r w:rsidRPr="00F6732C">
        <w:rPr>
          <w:lang w:val="en-AU"/>
        </w:rPr>
        <w:t>p. 59.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0379EE" w:rsidRPr="002302EF" w:rsidTr="00961DFA">
        <w:tc>
          <w:tcPr>
            <w:tcW w:w="1080" w:type="dxa"/>
            <w:tcBorders>
              <w:top w:val="single" w:sz="4" w:space="0" w:color="auto"/>
              <w:left w:val="single" w:sz="4" w:space="0" w:color="auto"/>
              <w:bottom w:val="single" w:sz="4" w:space="0" w:color="auto"/>
              <w:right w:val="single" w:sz="4" w:space="0" w:color="auto"/>
            </w:tcBorders>
            <w:vAlign w:val="center"/>
          </w:tcPr>
          <w:p w:rsidR="000379EE" w:rsidRPr="002302EF" w:rsidRDefault="000379EE" w:rsidP="00961DF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379EE" w:rsidRPr="002302EF" w:rsidRDefault="0076650B" w:rsidP="00961DFA">
            <w:pPr>
              <w:rPr>
                <w:lang w:val="en-AU"/>
              </w:rPr>
            </w:pPr>
            <w:hyperlink r:id="rId19" w:history="1">
              <w:r w:rsidR="000379EE" w:rsidRPr="004F3B74">
                <w:rPr>
                  <w:rStyle w:val="Hyperlink"/>
                  <w:lang w:val="en-AU"/>
                </w:rPr>
                <w:t>http://www.rand.org/pubs/research_reports/RR1181.html</w:t>
              </w:r>
            </w:hyperlink>
          </w:p>
        </w:tc>
      </w:tr>
      <w:tr w:rsidR="000379EE" w:rsidRPr="002302EF" w:rsidTr="00961DFA">
        <w:tc>
          <w:tcPr>
            <w:tcW w:w="1080" w:type="dxa"/>
            <w:tcBorders>
              <w:top w:val="single" w:sz="4" w:space="0" w:color="auto"/>
              <w:left w:val="single" w:sz="4" w:space="0" w:color="auto"/>
              <w:bottom w:val="single" w:sz="4" w:space="0" w:color="auto"/>
              <w:right w:val="single" w:sz="4" w:space="0" w:color="auto"/>
            </w:tcBorders>
            <w:vAlign w:val="center"/>
          </w:tcPr>
          <w:p w:rsidR="000379EE" w:rsidRPr="002302EF" w:rsidRDefault="000379EE" w:rsidP="00961DF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1504" w:rsidRPr="00A51504" w:rsidRDefault="00A51504" w:rsidP="00A51504">
            <w:pPr>
              <w:rPr>
                <w:color w:val="333333"/>
                <w:shd w:val="clear" w:color="auto" w:fill="FFFFFF"/>
                <w:lang w:val="en-AU"/>
              </w:rPr>
            </w:pPr>
            <w:r>
              <w:rPr>
                <w:color w:val="333333"/>
                <w:shd w:val="clear" w:color="auto" w:fill="FFFFFF"/>
                <w:lang w:val="en-AU"/>
              </w:rPr>
              <w:t xml:space="preserve">Also looking at possible futures for the British NHS is this report from RAND Europe that looks at how primary care could possibly be re-modelled to meet various challenges. Those challenges include </w:t>
            </w:r>
            <w:r w:rsidRPr="00A51504">
              <w:rPr>
                <w:color w:val="333333"/>
                <w:shd w:val="clear" w:color="auto" w:fill="FFFFFF"/>
                <w:lang w:val="en-AU"/>
              </w:rPr>
              <w:t>ageing population, increasing numbers of patients with multiple long-term conditions and a limited workforce.</w:t>
            </w:r>
            <w:r>
              <w:rPr>
                <w:color w:val="333333"/>
                <w:shd w:val="clear" w:color="auto" w:fill="FFFFFF"/>
                <w:lang w:val="en-AU"/>
              </w:rPr>
              <w:t xml:space="preserve"> </w:t>
            </w:r>
          </w:p>
          <w:p w:rsidR="00A51504" w:rsidRPr="00A51504" w:rsidRDefault="00A51504" w:rsidP="00A51504">
            <w:pPr>
              <w:pStyle w:val="ListParagraph"/>
              <w:numPr>
                <w:ilvl w:val="0"/>
                <w:numId w:val="46"/>
              </w:numPr>
              <w:rPr>
                <w:color w:val="333333"/>
                <w:shd w:val="clear" w:color="auto" w:fill="FFFFFF"/>
                <w:lang w:val="en-AU"/>
              </w:rPr>
            </w:pPr>
            <w:r w:rsidRPr="00A51504">
              <w:rPr>
                <w:color w:val="333333"/>
                <w:shd w:val="clear" w:color="auto" w:fill="FFFFFF"/>
                <w:lang w:val="en-AU"/>
              </w:rPr>
              <w:t xml:space="preserve">Models that introduce </w:t>
            </w:r>
            <w:r w:rsidRPr="00A51504">
              <w:rPr>
                <w:b/>
                <w:color w:val="333333"/>
                <w:shd w:val="clear" w:color="auto" w:fill="FFFFFF"/>
                <w:lang w:val="en-AU"/>
              </w:rPr>
              <w:t>new roles</w:t>
            </w:r>
            <w:r w:rsidRPr="00A51504">
              <w:rPr>
                <w:color w:val="333333"/>
                <w:shd w:val="clear" w:color="auto" w:fill="FFFFFF"/>
                <w:lang w:val="en-AU"/>
              </w:rPr>
              <w:t xml:space="preserve">, or </w:t>
            </w:r>
            <w:r w:rsidRPr="00A51504">
              <w:rPr>
                <w:b/>
                <w:color w:val="333333"/>
                <w:shd w:val="clear" w:color="auto" w:fill="FFFFFF"/>
                <w:lang w:val="en-AU"/>
              </w:rPr>
              <w:t>change existing roles</w:t>
            </w:r>
            <w:r w:rsidRPr="00A51504">
              <w:rPr>
                <w:color w:val="333333"/>
                <w:shd w:val="clear" w:color="auto" w:fill="FFFFFF"/>
                <w:lang w:val="en-AU"/>
              </w:rPr>
              <w:t>, in general practice (e.g. physician associates and pharmacists i</w:t>
            </w:r>
            <w:r>
              <w:rPr>
                <w:color w:val="333333"/>
                <w:shd w:val="clear" w:color="auto" w:fill="FFFFFF"/>
                <w:lang w:val="en-AU"/>
              </w:rPr>
              <w:t>n</w:t>
            </w:r>
            <w:r w:rsidRPr="00A51504">
              <w:rPr>
                <w:color w:val="333333"/>
                <w:shd w:val="clear" w:color="auto" w:fill="FFFFFF"/>
                <w:lang w:val="en-AU"/>
              </w:rPr>
              <w:t xml:space="preserve"> general practice, extending roles for allied health professionals and primary care nurses);</w:t>
            </w:r>
          </w:p>
          <w:p w:rsidR="00A51504" w:rsidRPr="00A51504" w:rsidRDefault="00A51504" w:rsidP="00A51504">
            <w:pPr>
              <w:pStyle w:val="ListParagraph"/>
              <w:numPr>
                <w:ilvl w:val="0"/>
                <w:numId w:val="46"/>
              </w:numPr>
              <w:rPr>
                <w:color w:val="333333"/>
                <w:shd w:val="clear" w:color="auto" w:fill="FFFFFF"/>
                <w:lang w:val="en-AU"/>
              </w:rPr>
            </w:pPr>
            <w:r w:rsidRPr="00A51504">
              <w:rPr>
                <w:color w:val="333333"/>
                <w:shd w:val="clear" w:color="auto" w:fill="FFFFFF"/>
                <w:lang w:val="en-AU"/>
              </w:rPr>
              <w:t xml:space="preserve">Models of </w:t>
            </w:r>
            <w:r w:rsidRPr="00A51504">
              <w:rPr>
                <w:b/>
                <w:color w:val="333333"/>
                <w:shd w:val="clear" w:color="auto" w:fill="FFFFFF"/>
                <w:lang w:val="en-AU"/>
              </w:rPr>
              <w:t>collaboration</w:t>
            </w:r>
            <w:r w:rsidRPr="00A51504">
              <w:rPr>
                <w:color w:val="333333"/>
                <w:shd w:val="clear" w:color="auto" w:fill="FFFFFF"/>
                <w:lang w:val="en-AU"/>
              </w:rPr>
              <w:t xml:space="preserve"> among professionals and among the primary care, secondary care and social care sectors (e.g. 'micro-teams', GPs and specialists working together and/or specialists working in the community, extended roles for community pharmacists); and</w:t>
            </w:r>
          </w:p>
          <w:p w:rsidR="00A51504" w:rsidRDefault="00A51504" w:rsidP="00A51504">
            <w:pPr>
              <w:pStyle w:val="ListParagraph"/>
              <w:numPr>
                <w:ilvl w:val="0"/>
                <w:numId w:val="46"/>
              </w:numPr>
              <w:rPr>
                <w:color w:val="333333"/>
                <w:shd w:val="clear" w:color="auto" w:fill="FFFFFF"/>
                <w:lang w:val="en-AU"/>
              </w:rPr>
            </w:pPr>
            <w:r w:rsidRPr="00A51504">
              <w:rPr>
                <w:color w:val="333333"/>
                <w:shd w:val="clear" w:color="auto" w:fill="FFFFFF"/>
                <w:lang w:val="en-AU"/>
              </w:rPr>
              <w:t xml:space="preserve">New </w:t>
            </w:r>
            <w:r w:rsidRPr="00A51504">
              <w:rPr>
                <w:b/>
                <w:color w:val="333333"/>
                <w:shd w:val="clear" w:color="auto" w:fill="FFFFFF"/>
                <w:lang w:val="en-AU"/>
              </w:rPr>
              <w:t>organisational forms</w:t>
            </w:r>
            <w:r w:rsidRPr="00A51504">
              <w:rPr>
                <w:color w:val="333333"/>
                <w:shd w:val="clear" w:color="auto" w:fill="FFFFFF"/>
                <w:lang w:val="en-AU"/>
              </w:rPr>
              <w:t xml:space="preserve"> for general practice (e.g. primary care federations or networks, super-practices, regional multi</w:t>
            </w:r>
            <w:r>
              <w:rPr>
                <w:color w:val="333333"/>
                <w:shd w:val="clear" w:color="auto" w:fill="FFFFFF"/>
                <w:lang w:val="en-AU"/>
              </w:rPr>
              <w:t>-</w:t>
            </w:r>
            <w:r w:rsidRPr="00A51504">
              <w:rPr>
                <w:color w:val="333333"/>
                <w:shd w:val="clear" w:color="auto" w:fill="FFFFFF"/>
                <w:lang w:val="en-AU"/>
              </w:rPr>
              <w:t>practice organisations, community health organisations, polyclinics and multispecialty community providers).</w:t>
            </w:r>
          </w:p>
          <w:p w:rsidR="00A51504" w:rsidRPr="00A51504" w:rsidRDefault="00A51504" w:rsidP="00F6732C">
            <w:pPr>
              <w:rPr>
                <w:color w:val="333333"/>
                <w:shd w:val="clear" w:color="auto" w:fill="FFFFFF"/>
                <w:lang w:val="en-AU"/>
              </w:rPr>
            </w:pPr>
            <w:r w:rsidRPr="00A51504">
              <w:rPr>
                <w:color w:val="333333"/>
                <w:shd w:val="clear" w:color="auto" w:fill="FFFFFF"/>
                <w:lang w:val="en-AU"/>
              </w:rPr>
              <w:t xml:space="preserve">The </w:t>
            </w:r>
            <w:r>
              <w:rPr>
                <w:color w:val="333333"/>
                <w:shd w:val="clear" w:color="auto" w:fill="FFFFFF"/>
                <w:lang w:val="en-AU"/>
              </w:rPr>
              <w:t xml:space="preserve">authors describe the models and offer </w:t>
            </w:r>
            <w:r w:rsidRPr="00A51504">
              <w:rPr>
                <w:color w:val="333333"/>
                <w:shd w:val="clear" w:color="auto" w:fill="FFFFFF"/>
                <w:lang w:val="en-AU"/>
              </w:rPr>
              <w:t xml:space="preserve">recommendations </w:t>
            </w:r>
            <w:r>
              <w:rPr>
                <w:color w:val="333333"/>
                <w:shd w:val="clear" w:color="auto" w:fill="FFFFFF"/>
                <w:lang w:val="en-AU"/>
              </w:rPr>
              <w:t xml:space="preserve">on </w:t>
            </w:r>
            <w:r w:rsidRPr="00A51504">
              <w:rPr>
                <w:color w:val="333333"/>
                <w:shd w:val="clear" w:color="auto" w:fill="FFFFFF"/>
                <w:lang w:val="en-AU"/>
              </w:rPr>
              <w:t xml:space="preserve">how models of care could be implemented. </w:t>
            </w:r>
            <w:r>
              <w:rPr>
                <w:color w:val="333333"/>
                <w:shd w:val="clear" w:color="auto" w:fill="FFFFFF"/>
                <w:lang w:val="en-AU"/>
              </w:rPr>
              <w:t xml:space="preserve">They make clear that </w:t>
            </w:r>
            <w:r w:rsidR="00F6732C">
              <w:rPr>
                <w:color w:val="333333"/>
                <w:shd w:val="clear" w:color="auto" w:fill="FFFFFF"/>
                <w:lang w:val="en-AU"/>
              </w:rPr>
              <w:t>“</w:t>
            </w:r>
            <w:r w:rsidRPr="00A51504">
              <w:rPr>
                <w:color w:val="333333"/>
                <w:shd w:val="clear" w:color="auto" w:fill="FFFFFF"/>
                <w:lang w:val="en-AU"/>
              </w:rPr>
              <w:t>there is no 'one size fits all' model for delivering primary care and that the way in which new models are implemented may be as important as the models themselves</w:t>
            </w:r>
            <w:r w:rsidR="00F6732C">
              <w:rPr>
                <w:color w:val="333333"/>
                <w:shd w:val="clear" w:color="auto" w:fill="FFFFFF"/>
                <w:lang w:val="en-AU"/>
              </w:rPr>
              <w:t>.”</w:t>
            </w:r>
          </w:p>
        </w:tc>
      </w:tr>
    </w:tbl>
    <w:p w:rsidR="000379EE" w:rsidRDefault="000379EE" w:rsidP="000379EE">
      <w:pPr>
        <w:keepLines/>
        <w:autoSpaceDE w:val="0"/>
        <w:autoSpaceDN w:val="0"/>
        <w:adjustRightInd w:val="0"/>
        <w:rPr>
          <w:lang w:val="en-AU"/>
        </w:rPr>
      </w:pPr>
    </w:p>
    <w:p w:rsidR="000379EE" w:rsidRDefault="000379EE" w:rsidP="00104C1A">
      <w:pPr>
        <w:keepLines/>
        <w:autoSpaceDE w:val="0"/>
        <w:autoSpaceDN w:val="0"/>
        <w:adjustRightInd w:val="0"/>
        <w:rPr>
          <w:lang w:val="en-AU"/>
        </w:rPr>
      </w:pPr>
    </w:p>
    <w:p w:rsidR="00BF1006" w:rsidRPr="002302EF" w:rsidRDefault="005F52C2" w:rsidP="00B673A5">
      <w:pPr>
        <w:keepNext/>
        <w:autoSpaceDE w:val="0"/>
        <w:autoSpaceDN w:val="0"/>
        <w:adjustRightInd w:val="0"/>
        <w:rPr>
          <w:b/>
          <w:lang w:val="en-AU"/>
        </w:rPr>
      </w:pPr>
      <w:r w:rsidRPr="002302EF">
        <w:rPr>
          <w:b/>
          <w:lang w:val="en-AU"/>
        </w:rPr>
        <w:t>Journal articles</w:t>
      </w:r>
    </w:p>
    <w:p w:rsidR="007C5C5C" w:rsidRDefault="007C5C5C" w:rsidP="007C5C5C">
      <w:pPr>
        <w:keepNext/>
        <w:keepLines/>
        <w:autoSpaceDE w:val="0"/>
        <w:autoSpaceDN w:val="0"/>
        <w:adjustRightInd w:val="0"/>
        <w:rPr>
          <w:i/>
          <w:lang w:val="en-AU"/>
        </w:rPr>
      </w:pPr>
    </w:p>
    <w:p w:rsidR="002D2934" w:rsidRPr="002D2934" w:rsidRDefault="002D2934" w:rsidP="002D2934">
      <w:pPr>
        <w:rPr>
          <w:i/>
          <w:lang w:val="en-AU"/>
        </w:rPr>
      </w:pPr>
      <w:r w:rsidRPr="002D2934">
        <w:rPr>
          <w:i/>
          <w:lang w:val="en-AU"/>
        </w:rPr>
        <w:t>Communication in healthcare: a narrative review of the literature and practical recommendations</w:t>
      </w:r>
    </w:p>
    <w:p w:rsidR="002D2934" w:rsidRDefault="002D2934" w:rsidP="002D2934">
      <w:pPr>
        <w:rPr>
          <w:lang w:val="en-AU"/>
        </w:rPr>
      </w:pPr>
      <w:r w:rsidRPr="002D2934">
        <w:rPr>
          <w:lang w:val="en-AU"/>
        </w:rPr>
        <w:t xml:space="preserve">Vermeir P, Vandijck D, Degroote S, Peleman R, Verhaeghe R, Mortier E, et al. </w:t>
      </w:r>
    </w:p>
    <w:p w:rsidR="002D2934" w:rsidRPr="002D2934" w:rsidRDefault="002D2934" w:rsidP="002D2934">
      <w:pPr>
        <w:rPr>
          <w:lang w:val="en-AU"/>
        </w:rPr>
      </w:pPr>
      <w:proofErr w:type="gramStart"/>
      <w:r w:rsidRPr="002D2934">
        <w:rPr>
          <w:lang w:val="en-AU"/>
        </w:rPr>
        <w:t>International Journal of Clinical Practice.</w:t>
      </w:r>
      <w:proofErr w:type="gramEnd"/>
      <w:r w:rsidRPr="002D2934">
        <w:rPr>
          <w:lang w:val="en-AU"/>
        </w:rPr>
        <w:t xml:space="preserve"> 2015.</w:t>
      </w:r>
    </w:p>
    <w:tbl>
      <w:tblPr>
        <w:tblStyle w:val="TableGrid"/>
        <w:tblW w:w="0" w:type="auto"/>
        <w:tblInd w:w="288" w:type="dxa"/>
        <w:tblLayout w:type="fixed"/>
        <w:tblLook w:val="01E0" w:firstRow="1" w:lastRow="1" w:firstColumn="1" w:lastColumn="1" w:noHBand="0" w:noVBand="0"/>
      </w:tblPr>
      <w:tblGrid>
        <w:gridCol w:w="1080"/>
        <w:gridCol w:w="8280"/>
      </w:tblGrid>
      <w:tr w:rsidR="002D2934"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2D2934" w:rsidRPr="002302EF" w:rsidRDefault="002D2934" w:rsidP="00AC0113">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2934" w:rsidRPr="002302EF" w:rsidRDefault="0076650B" w:rsidP="00AC0113">
            <w:pPr>
              <w:rPr>
                <w:lang w:val="en-AU"/>
              </w:rPr>
            </w:pPr>
            <w:hyperlink r:id="rId20" w:history="1">
              <w:r w:rsidR="002D2934" w:rsidRPr="004F3B74">
                <w:rPr>
                  <w:rStyle w:val="Hyperlink"/>
                  <w:lang w:val="en-AU"/>
                </w:rPr>
                <w:t>http://dx.doi.org/10.1111/ijcp.12686</w:t>
              </w:r>
            </w:hyperlink>
          </w:p>
        </w:tc>
      </w:tr>
      <w:tr w:rsidR="002D2934" w:rsidRPr="002302EF" w:rsidTr="00AC0113">
        <w:tc>
          <w:tcPr>
            <w:tcW w:w="1080" w:type="dxa"/>
            <w:tcBorders>
              <w:top w:val="single" w:sz="4" w:space="0" w:color="auto"/>
              <w:left w:val="single" w:sz="4" w:space="0" w:color="auto"/>
              <w:bottom w:val="single" w:sz="4" w:space="0" w:color="auto"/>
              <w:right w:val="single" w:sz="4" w:space="0" w:color="auto"/>
            </w:tcBorders>
            <w:vAlign w:val="center"/>
          </w:tcPr>
          <w:p w:rsidR="002D2934" w:rsidRPr="002302EF" w:rsidRDefault="002D2934" w:rsidP="00AC0113">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D2934" w:rsidRDefault="002D2934" w:rsidP="002D2934">
            <w:pPr>
              <w:rPr>
                <w:lang w:val="en-AU"/>
              </w:rPr>
            </w:pPr>
            <w:r>
              <w:rPr>
                <w:lang w:val="en-AU"/>
              </w:rPr>
              <w:t>Health care is essentially an information business and thus communication is central to its success (and failing) This paper offers a narrative review examining 69 studies in order to r</w:t>
            </w:r>
            <w:r w:rsidRPr="002D2934">
              <w:rPr>
                <w:lang w:val="en-AU"/>
              </w:rPr>
              <w:t>eviewing the literature on the quality of written communication, the impact of communication inefficiencies and recommendations to improve written communication in healthcare.</w:t>
            </w:r>
            <w:r>
              <w:rPr>
                <w:lang w:val="en-AU"/>
              </w:rPr>
              <w:t xml:space="preserve"> The focus is rather on clinician to clinician communication; expanding the scope to cover clinician-patient may have been too much to contemplate.</w:t>
            </w:r>
          </w:p>
          <w:p w:rsidR="002D2934" w:rsidRDefault="002D2934" w:rsidP="002D2934">
            <w:pPr>
              <w:rPr>
                <w:lang w:val="en-AU"/>
              </w:rPr>
            </w:pPr>
            <w:r>
              <w:rPr>
                <w:lang w:val="en-AU"/>
              </w:rPr>
              <w:t>The rather unsurprising finding is that “</w:t>
            </w:r>
            <w:r w:rsidRPr="002D2934">
              <w:rPr>
                <w:b/>
                <w:lang w:val="en-AU"/>
              </w:rPr>
              <w:t>poor communication</w:t>
            </w:r>
            <w:r w:rsidRPr="002D2934">
              <w:rPr>
                <w:lang w:val="en-AU"/>
              </w:rPr>
              <w:t xml:space="preserve"> can lead to various </w:t>
            </w:r>
            <w:r w:rsidRPr="002D2934">
              <w:rPr>
                <w:b/>
                <w:lang w:val="en-AU"/>
              </w:rPr>
              <w:t>negative outcomes</w:t>
            </w:r>
            <w:r w:rsidRPr="002D2934">
              <w:rPr>
                <w:lang w:val="en-AU"/>
              </w:rPr>
              <w:t>: discontinuity of care, compromise of patient safety, patient dissatisfaction and inefficient use of valuable resources, both in unnecessary investigations and physician worktime as well as economic consequences.</w:t>
            </w:r>
            <w:r>
              <w:rPr>
                <w:lang w:val="en-AU"/>
              </w:rPr>
              <w:t>”</w:t>
            </w:r>
          </w:p>
          <w:p w:rsidR="002D2934" w:rsidRPr="002302EF" w:rsidRDefault="002D2934" w:rsidP="002D2934">
            <w:pPr>
              <w:rPr>
                <w:lang w:val="en-AU"/>
              </w:rPr>
            </w:pPr>
            <w:r>
              <w:rPr>
                <w:lang w:val="en-AU"/>
              </w:rPr>
              <w:t xml:space="preserve">The authors suggest making ‘ownership’ or responsibility could help improve matters, along with </w:t>
            </w:r>
            <w:r w:rsidRPr="002D2934">
              <w:rPr>
                <w:lang w:val="en-AU"/>
              </w:rPr>
              <w:t xml:space="preserve">structured </w:t>
            </w:r>
            <w:r>
              <w:rPr>
                <w:lang w:val="en-AU"/>
              </w:rPr>
              <w:t xml:space="preserve">communication </w:t>
            </w:r>
            <w:r w:rsidRPr="002D2934">
              <w:rPr>
                <w:lang w:val="en-AU"/>
              </w:rPr>
              <w:t xml:space="preserve">to </w:t>
            </w:r>
            <w:r>
              <w:rPr>
                <w:lang w:val="en-AU"/>
              </w:rPr>
              <w:t xml:space="preserve">help specify and standardise </w:t>
            </w:r>
            <w:r w:rsidRPr="002D2934">
              <w:rPr>
                <w:lang w:val="en-AU"/>
              </w:rPr>
              <w:t>what content is covered and the quality of the communication.</w:t>
            </w:r>
            <w:r>
              <w:rPr>
                <w:lang w:val="en-AU"/>
              </w:rPr>
              <w:t xml:space="preserve"> </w:t>
            </w:r>
          </w:p>
        </w:tc>
      </w:tr>
    </w:tbl>
    <w:p w:rsidR="002D2934" w:rsidRDefault="002D2934" w:rsidP="002D2934">
      <w:pPr>
        <w:rPr>
          <w:i/>
          <w:lang w:val="en-AU"/>
        </w:rPr>
      </w:pPr>
    </w:p>
    <w:p w:rsidR="00C419A3" w:rsidRDefault="00C419A3" w:rsidP="00C419A3">
      <w:pPr>
        <w:keepNext/>
        <w:rPr>
          <w:lang w:val="en-AU"/>
        </w:rPr>
      </w:pPr>
      <w:r w:rsidRPr="008A4F3D">
        <w:rPr>
          <w:lang w:val="en-AU"/>
        </w:rPr>
        <w:t>For information on the Commission’s work on</w:t>
      </w:r>
      <w:r>
        <w:rPr>
          <w:lang w:val="en-AU"/>
        </w:rPr>
        <w:t xml:space="preserve"> clinical communications, see </w:t>
      </w:r>
      <w:hyperlink r:id="rId21" w:history="1">
        <w:r w:rsidRPr="00BD13E1">
          <w:rPr>
            <w:rStyle w:val="Hyperlink"/>
            <w:lang w:val="en-AU"/>
          </w:rPr>
          <w:t>http://www.safetyandquality.gov.au/our-work/clinical-communications/</w:t>
        </w:r>
      </w:hyperlink>
    </w:p>
    <w:p w:rsidR="00C419A3" w:rsidRDefault="00C419A3" w:rsidP="002D2934">
      <w:pPr>
        <w:rPr>
          <w:i/>
          <w:lang w:val="en-AU"/>
        </w:rPr>
      </w:pPr>
    </w:p>
    <w:p w:rsidR="00902133" w:rsidRPr="00902133" w:rsidRDefault="00902133" w:rsidP="00902133">
      <w:pPr>
        <w:keepNext/>
        <w:keepLines/>
        <w:autoSpaceDE w:val="0"/>
        <w:autoSpaceDN w:val="0"/>
        <w:adjustRightInd w:val="0"/>
        <w:rPr>
          <w:i/>
          <w:lang w:val="en-AU"/>
        </w:rPr>
      </w:pPr>
      <w:r w:rsidRPr="00902133">
        <w:rPr>
          <w:i/>
          <w:lang w:val="en-AU"/>
        </w:rPr>
        <w:lastRenderedPageBreak/>
        <w:t>Rapid response systems: a systematic review and meta-analysis</w:t>
      </w:r>
    </w:p>
    <w:p w:rsidR="00902133" w:rsidRDefault="00902133" w:rsidP="000F1551">
      <w:pPr>
        <w:keepNext/>
        <w:keepLines/>
        <w:autoSpaceDE w:val="0"/>
        <w:autoSpaceDN w:val="0"/>
        <w:adjustRightInd w:val="0"/>
        <w:rPr>
          <w:lang w:val="en-AU"/>
        </w:rPr>
      </w:pPr>
      <w:r w:rsidRPr="00902133">
        <w:rPr>
          <w:lang w:val="en-AU"/>
        </w:rPr>
        <w:t>Maharaj R, Raffaele I, Wendon J</w:t>
      </w:r>
    </w:p>
    <w:p w:rsidR="000F1551" w:rsidRPr="002302EF" w:rsidRDefault="00902133" w:rsidP="000F1551">
      <w:pPr>
        <w:keepNext/>
        <w:keepLines/>
        <w:autoSpaceDE w:val="0"/>
        <w:autoSpaceDN w:val="0"/>
        <w:adjustRightInd w:val="0"/>
        <w:rPr>
          <w:lang w:val="en-AU"/>
        </w:rPr>
      </w:pPr>
      <w:proofErr w:type="gramStart"/>
      <w:r w:rsidRPr="00902133">
        <w:rPr>
          <w:lang w:val="en-AU"/>
        </w:rPr>
        <w:t>Critical Care.</w:t>
      </w:r>
      <w:proofErr w:type="gramEnd"/>
      <w:r w:rsidRPr="00902133">
        <w:rPr>
          <w:lang w:val="en-AU"/>
        </w:rPr>
        <w:t xml:space="preserve"> 2015</w:t>
      </w:r>
      <w:proofErr w:type="gramStart"/>
      <w:r w:rsidRPr="00902133">
        <w:rPr>
          <w:lang w:val="en-AU"/>
        </w:rPr>
        <w:t>;19:254</w:t>
      </w:r>
      <w:proofErr w:type="gramEnd"/>
      <w:r w:rsidRPr="00902133">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76650B" w:rsidP="00CA5B00">
            <w:pPr>
              <w:rPr>
                <w:lang w:val="en-AU"/>
              </w:rPr>
            </w:pPr>
            <w:hyperlink r:id="rId22" w:history="1">
              <w:r w:rsidR="00F04889" w:rsidRPr="00BD13E1">
                <w:rPr>
                  <w:rStyle w:val="Hyperlink"/>
                  <w:lang w:val="en-AU"/>
                </w:rPr>
                <w:t>http://dx.doi.org/10.1186/s13054-015-0973-y</w:t>
              </w:r>
            </w:hyperlink>
            <w:r w:rsidR="00F04889">
              <w:rPr>
                <w:lang w:val="en-AU"/>
              </w:rPr>
              <w:t xml:space="preserve"> </w:t>
            </w:r>
          </w:p>
        </w:tc>
      </w:tr>
      <w:tr w:rsidR="000F1551"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0F1551" w:rsidRPr="002302EF" w:rsidRDefault="000F1551"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51" w:rsidRPr="002302EF" w:rsidRDefault="00902133" w:rsidP="00902133">
            <w:pPr>
              <w:rPr>
                <w:lang w:val="en-AU"/>
              </w:rPr>
            </w:pPr>
            <w:r>
              <w:rPr>
                <w:lang w:val="en-AU"/>
              </w:rPr>
              <w:t xml:space="preserve">Adding to the literature on </w:t>
            </w:r>
            <w:r w:rsidRPr="00902133">
              <w:rPr>
                <w:b/>
                <w:lang w:val="en-AU"/>
              </w:rPr>
              <w:t>rapid response systems</w:t>
            </w:r>
            <w:r>
              <w:rPr>
                <w:lang w:val="en-AU"/>
              </w:rPr>
              <w:t>, medical emergency teams, etc. is this systematic review and meta-analysis that sought to examine their impact on</w:t>
            </w:r>
            <w:r w:rsidRPr="00902133">
              <w:rPr>
                <w:lang w:val="en-AU"/>
              </w:rPr>
              <w:t xml:space="preserve"> hospital mortality and cardiopulmonary arrest.</w:t>
            </w:r>
            <w:r>
              <w:rPr>
                <w:lang w:val="en-AU"/>
              </w:rPr>
              <w:t xml:space="preserve"> The authors concluded that such systems – based on the 29 studies included –</w:t>
            </w:r>
            <w:r w:rsidRPr="00902133">
              <w:rPr>
                <w:lang w:val="en-AU"/>
              </w:rPr>
              <w:t>were a</w:t>
            </w:r>
            <w:r w:rsidRPr="00902133">
              <w:rPr>
                <w:b/>
                <w:lang w:val="en-AU"/>
              </w:rPr>
              <w:t>ssociated with a reduction in hospital mortality and cardiopulmonary arrest</w:t>
            </w:r>
            <w:r w:rsidRPr="00902133">
              <w:rPr>
                <w:lang w:val="en-AU"/>
              </w:rPr>
              <w:t>.</w:t>
            </w:r>
          </w:p>
        </w:tc>
      </w:tr>
    </w:tbl>
    <w:p w:rsidR="000F1551" w:rsidRDefault="000F1551" w:rsidP="000F1551">
      <w:pPr>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76650B" w:rsidP="00CA5B00">
            <w:pPr>
              <w:rPr>
                <w:lang w:val="en-AU"/>
              </w:rPr>
            </w:pPr>
            <w:hyperlink r:id="rId23"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0701B0" w:rsidRPr="000701B0" w:rsidRDefault="00651EFE" w:rsidP="000701B0">
            <w:pPr>
              <w:pStyle w:val="ListParagraph"/>
              <w:numPr>
                <w:ilvl w:val="0"/>
                <w:numId w:val="14"/>
              </w:numPr>
              <w:rPr>
                <w:lang w:val="en-AU"/>
              </w:rPr>
            </w:pPr>
            <w:r>
              <w:rPr>
                <w:lang w:val="en-AU"/>
              </w:rPr>
              <w:t>Editorial</w:t>
            </w:r>
            <w:r w:rsidR="000701B0" w:rsidRPr="000701B0">
              <w:rPr>
                <w:lang w:val="en-AU"/>
              </w:rPr>
              <w:t>:</w:t>
            </w:r>
            <w:r>
              <w:rPr>
                <w:lang w:val="en-AU"/>
              </w:rPr>
              <w:t xml:space="preserve"> </w:t>
            </w:r>
            <w:r w:rsidR="000701B0" w:rsidRPr="000701B0">
              <w:rPr>
                <w:b/>
                <w:lang w:val="en-AU"/>
              </w:rPr>
              <w:t>‘Speaking up’ climate</w:t>
            </w:r>
            <w:r w:rsidR="000701B0" w:rsidRPr="000701B0">
              <w:rPr>
                <w:lang w:val="en-AU"/>
              </w:rPr>
              <w:t>: a new domain of culture to measure and explore (</w:t>
            </w:r>
            <w:r w:rsidR="000701B0">
              <w:rPr>
                <w:lang w:val="en-AU"/>
              </w:rPr>
              <w:t>Liane Ginsburg)</w:t>
            </w:r>
          </w:p>
          <w:p w:rsidR="000701B0" w:rsidRPr="000701B0" w:rsidRDefault="000701B0" w:rsidP="000701B0">
            <w:pPr>
              <w:pStyle w:val="ListParagraph"/>
              <w:numPr>
                <w:ilvl w:val="0"/>
                <w:numId w:val="14"/>
              </w:numPr>
              <w:rPr>
                <w:lang w:val="en-AU"/>
              </w:rPr>
            </w:pPr>
            <w:r w:rsidRPr="000701B0">
              <w:rPr>
                <w:b/>
                <w:lang w:val="en-AU"/>
              </w:rPr>
              <w:t>Patient safety reporting</w:t>
            </w:r>
            <w:r w:rsidRPr="000701B0">
              <w:rPr>
                <w:lang w:val="en-AU"/>
              </w:rPr>
              <w:t>: a qualitative study of thoughts and perceptions of experts 15 years after ‘To Err is Human’ (Imogen Mitchell, Anne Schuster, Katherine Sm</w:t>
            </w:r>
            <w:r>
              <w:rPr>
                <w:lang w:val="en-AU"/>
              </w:rPr>
              <w:t>ith, Peter Pronovost, Albert Wu)</w:t>
            </w:r>
          </w:p>
          <w:p w:rsidR="0060766F" w:rsidRDefault="000701B0" w:rsidP="000701B0">
            <w:pPr>
              <w:pStyle w:val="ListParagraph"/>
              <w:numPr>
                <w:ilvl w:val="0"/>
                <w:numId w:val="14"/>
              </w:numPr>
              <w:rPr>
                <w:lang w:val="en-AU"/>
              </w:rPr>
            </w:pPr>
            <w:r w:rsidRPr="000701B0">
              <w:rPr>
                <w:lang w:val="en-AU"/>
              </w:rPr>
              <w:t xml:space="preserve">“Anybody on this list that you're more worried about?” Qualitative analysis exploring the functions of questions during </w:t>
            </w:r>
            <w:r w:rsidRPr="000701B0">
              <w:rPr>
                <w:b/>
                <w:lang w:val="en-AU"/>
              </w:rPr>
              <w:t>end of shift handoffs</w:t>
            </w:r>
            <w:r w:rsidRPr="000701B0">
              <w:rPr>
                <w:lang w:val="en-AU"/>
              </w:rPr>
              <w:t xml:space="preserve"> </w:t>
            </w:r>
            <w:r>
              <w:rPr>
                <w:lang w:val="en-AU"/>
              </w:rPr>
              <w:t>(</w:t>
            </w:r>
            <w:r w:rsidRPr="000701B0">
              <w:rPr>
                <w:lang w:val="en-AU"/>
              </w:rPr>
              <w:t>Colleen M O'Brien, Mindy E Flanagan, A A Bergman, P R Ebright, R M Frankel</w:t>
            </w:r>
            <w:r>
              <w:rPr>
                <w:lang w:val="en-AU"/>
              </w:rPr>
              <w:t>)</w:t>
            </w:r>
          </w:p>
          <w:p w:rsidR="00DF2537" w:rsidRDefault="00DF2537" w:rsidP="00DF2537">
            <w:pPr>
              <w:pStyle w:val="ListParagraph"/>
              <w:numPr>
                <w:ilvl w:val="0"/>
                <w:numId w:val="14"/>
              </w:numPr>
              <w:rPr>
                <w:lang w:val="en-AU"/>
              </w:rPr>
            </w:pPr>
            <w:r w:rsidRPr="00DF2537">
              <w:rPr>
                <w:lang w:val="en-AU"/>
              </w:rPr>
              <w:t xml:space="preserve">“Mr Smith's been our problem child today…”: anticipatory management communication (AMC) in VA </w:t>
            </w:r>
            <w:r w:rsidRPr="00DF2537">
              <w:rPr>
                <w:b/>
                <w:lang w:val="en-AU"/>
              </w:rPr>
              <w:t>end-of-shift medicine and nursing handoffs</w:t>
            </w:r>
            <w:r w:rsidRPr="00DF2537">
              <w:rPr>
                <w:lang w:val="en-AU"/>
              </w:rPr>
              <w:t xml:space="preserve"> </w:t>
            </w:r>
            <w:r>
              <w:rPr>
                <w:lang w:val="en-AU"/>
              </w:rPr>
              <w:t>(</w:t>
            </w:r>
            <w:r w:rsidRPr="00DF2537">
              <w:rPr>
                <w:lang w:val="en-AU"/>
              </w:rPr>
              <w:t>Alicia A Bergman, Mindy E Flanagan, Patricia R Ebright, Colleen M O'Brien, Richard M Frankel</w:t>
            </w:r>
            <w:r>
              <w:rPr>
                <w:lang w:val="en-AU"/>
              </w:rPr>
              <w:t>)</w:t>
            </w:r>
          </w:p>
          <w:p w:rsidR="00CD72DD" w:rsidRPr="002302EF" w:rsidRDefault="0088379C" w:rsidP="0088379C">
            <w:pPr>
              <w:pStyle w:val="ListParagraph"/>
              <w:numPr>
                <w:ilvl w:val="0"/>
                <w:numId w:val="14"/>
              </w:numPr>
              <w:rPr>
                <w:lang w:val="en-AU"/>
              </w:rPr>
            </w:pPr>
            <w:r w:rsidRPr="0088379C">
              <w:rPr>
                <w:lang w:val="en-AU"/>
              </w:rPr>
              <w:t xml:space="preserve">Environmental factors and their association with </w:t>
            </w:r>
            <w:r w:rsidRPr="0088379C">
              <w:rPr>
                <w:b/>
                <w:lang w:val="en-AU"/>
              </w:rPr>
              <w:t>emergency department hand hygiene</w:t>
            </w:r>
            <w:r w:rsidRPr="0088379C">
              <w:rPr>
                <w:lang w:val="en-AU"/>
              </w:rPr>
              <w:t xml:space="preserve"> compliance: an observational study </w:t>
            </w:r>
            <w:r>
              <w:rPr>
                <w:lang w:val="en-AU"/>
              </w:rPr>
              <w:t>(</w:t>
            </w:r>
            <w:r w:rsidRPr="0088379C">
              <w:rPr>
                <w:lang w:val="en-AU"/>
              </w:rPr>
              <w:t>Eileen J Carter, Peter Wyer, James Giglio, Haomiao Jia, G Nelson, V E Kauari, E L Larson</w:t>
            </w:r>
            <w:r>
              <w:rPr>
                <w:lang w:val="en-AU"/>
              </w:rPr>
              <w:t>)</w:t>
            </w:r>
          </w:p>
        </w:tc>
      </w:tr>
    </w:tbl>
    <w:p w:rsidR="00D31BCC" w:rsidRDefault="00D31BCC" w:rsidP="00D31BCC">
      <w:pPr>
        <w:keepLines/>
        <w:autoSpaceDE w:val="0"/>
        <w:autoSpaceDN w:val="0"/>
        <w:adjustRightInd w:val="0"/>
        <w:rPr>
          <w:lang w:val="en-AU"/>
        </w:rPr>
      </w:pPr>
    </w:p>
    <w:p w:rsidR="001A4F9E" w:rsidRPr="002302EF" w:rsidRDefault="001A4F9E" w:rsidP="0029518F">
      <w:pPr>
        <w:rPr>
          <w:b/>
          <w:lang w:val="en-AU"/>
        </w:rPr>
      </w:pPr>
      <w:r w:rsidRPr="002302EF">
        <w:rPr>
          <w:b/>
          <w:lang w:val="en-AU"/>
        </w:rPr>
        <w:t>Online resources</w:t>
      </w:r>
    </w:p>
    <w:p w:rsidR="007D571A" w:rsidRDefault="007D571A" w:rsidP="00EE6723">
      <w:pPr>
        <w:rPr>
          <w:lang w:val="en-AU"/>
        </w:rPr>
      </w:pPr>
    </w:p>
    <w:p w:rsidR="000345F6" w:rsidRPr="002302EF" w:rsidRDefault="000345F6" w:rsidP="000345F6">
      <w:pPr>
        <w:keepNext/>
        <w:rPr>
          <w:i/>
          <w:lang w:val="en-AU"/>
        </w:rPr>
      </w:pPr>
      <w:r w:rsidRPr="002302EF">
        <w:rPr>
          <w:i/>
          <w:lang w:val="en-AU"/>
        </w:rPr>
        <w:t>[USA] Patient Safety Primers</w:t>
      </w:r>
    </w:p>
    <w:p w:rsidR="000345F6" w:rsidRPr="002302EF" w:rsidRDefault="00D86788" w:rsidP="000345F6">
      <w:pPr>
        <w:keepNext/>
        <w:rPr>
          <w:lang w:val="en-AU"/>
        </w:rPr>
      </w:pPr>
      <w:hyperlink r:id="rId24" w:history="1">
        <w:r w:rsidR="000345F6" w:rsidRPr="002302EF">
          <w:rPr>
            <w:rStyle w:val="Hyperlink"/>
            <w:lang w:val="en-AU"/>
          </w:rPr>
          <w:t>http://psnet.ahrq.gov/primerHome.aspx</w:t>
        </w:r>
      </w:hyperlink>
    </w:p>
    <w:p w:rsidR="000345F6" w:rsidRDefault="000345F6" w:rsidP="000345F6">
      <w:pPr>
        <w:keepNext/>
        <w:rPr>
          <w:lang w:val="en-AU"/>
        </w:rPr>
      </w:pPr>
      <w:r w:rsidRPr="002302EF">
        <w:rPr>
          <w:lang w:val="en-AU"/>
        </w:rPr>
        <w:t>The Patient Safety Primers from the (US) Agency for Healthcare Research and Quality (AHRQ) discuss key concepts in patient safety. Each primer defines a topic, offers background information on its epidemiology and context, and provides links to relevant materials. AHRQ have released a new primer:</w:t>
      </w:r>
    </w:p>
    <w:p w:rsidR="000345F6" w:rsidRPr="000345F6" w:rsidRDefault="000345F6" w:rsidP="000345F6">
      <w:pPr>
        <w:pStyle w:val="ListParagraph"/>
        <w:keepNext/>
        <w:numPr>
          <w:ilvl w:val="0"/>
          <w:numId w:val="34"/>
        </w:numPr>
        <w:rPr>
          <w:lang w:val="en-AU"/>
        </w:rPr>
      </w:pPr>
      <w:r w:rsidRPr="000345F6">
        <w:rPr>
          <w:i/>
          <w:lang w:val="en-AU"/>
        </w:rPr>
        <w:t>Support for Clinicians Involved in Errors and Adverse Events (Second Victims)</w:t>
      </w:r>
      <w:r>
        <w:rPr>
          <w:lang w:val="en-AU"/>
        </w:rPr>
        <w:t xml:space="preserve"> – while the priority when an adverse event or error occurs in care should always be the harmed patient, the impact on the clinician may also be significant. </w:t>
      </w:r>
      <w:r w:rsidRPr="000345F6">
        <w:rPr>
          <w:lang w:val="en-AU"/>
        </w:rPr>
        <w:t>This primer addresses clinician responses to involvement in errors and adverse events, along with support that can be put in place to respond when such involvement occurs.</w:t>
      </w:r>
      <w:r>
        <w:rPr>
          <w:lang w:val="en-AU"/>
        </w:rPr>
        <w:t xml:space="preserve"> </w:t>
      </w:r>
      <w:hyperlink r:id="rId25" w:history="1">
        <w:r w:rsidRPr="00191B87">
          <w:rPr>
            <w:rStyle w:val="Hyperlink"/>
            <w:lang w:val="en-AU"/>
          </w:rPr>
          <w:t>http://psnet.ahrq.gov/primer.aspx?primerID=30</w:t>
        </w:r>
      </w:hyperlink>
    </w:p>
    <w:p w:rsidR="00B160EF" w:rsidRPr="002302EF" w:rsidRDefault="00B160EF" w:rsidP="00B160EF">
      <w:pPr>
        <w:keepNext/>
        <w:pBdr>
          <w:top w:val="single" w:sz="4" w:space="1" w:color="auto"/>
        </w:pBdr>
        <w:rPr>
          <w:b/>
          <w:lang w:val="en-AU"/>
        </w:rPr>
      </w:pPr>
      <w:r w:rsidRPr="002302EF">
        <w:rPr>
          <w:b/>
          <w:lang w:val="en-AU"/>
        </w:rPr>
        <w:t>Disclaimer</w:t>
      </w:r>
    </w:p>
    <w:p w:rsidR="00E41D2F"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41D2F" w:rsidRPr="002302EF" w:rsidSect="005C5ABC">
      <w:footerReference w:type="even" r:id="rId26"/>
      <w:footerReference w:type="default" r:id="rId2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0B" w:rsidRDefault="0076650B">
      <w:r>
        <w:separator/>
      </w:r>
    </w:p>
  </w:endnote>
  <w:endnote w:type="continuationSeparator" w:id="0">
    <w:p w:rsidR="0076650B" w:rsidRDefault="0076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8379C">
      <w:rPr>
        <w:rStyle w:val="PageNumber"/>
        <w:noProof/>
      </w:rPr>
      <w:t>4</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t xml:space="preserve"> Issue 23</w:t>
    </w:r>
    <w:r w:rsidR="00E3354F">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79C">
      <w:rPr>
        <w:rStyle w:val="PageNumber"/>
        <w:noProof/>
      </w:rPr>
      <w:t>3</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E3354F">
      <w:t xml:space="preserve"> Issue 234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0B" w:rsidRDefault="0076650B">
      <w:r>
        <w:separator/>
      </w:r>
    </w:p>
  </w:footnote>
  <w:footnote w:type="continuationSeparator" w:id="0">
    <w:p w:rsidR="0076650B" w:rsidRDefault="0076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35255"/>
    <w:multiLevelType w:val="hybridMultilevel"/>
    <w:tmpl w:val="A560E1A4"/>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18F050F"/>
    <w:multiLevelType w:val="hybridMultilevel"/>
    <w:tmpl w:val="803A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4B37098"/>
    <w:multiLevelType w:val="hybridMultilevel"/>
    <w:tmpl w:val="9E44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2B4E5D"/>
    <w:multiLevelType w:val="hybridMultilevel"/>
    <w:tmpl w:val="0C18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440090"/>
    <w:multiLevelType w:val="hybridMultilevel"/>
    <w:tmpl w:val="90881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990845"/>
    <w:multiLevelType w:val="hybridMultilevel"/>
    <w:tmpl w:val="C97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B35373"/>
    <w:multiLevelType w:val="hybridMultilevel"/>
    <w:tmpl w:val="6C2E9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804512"/>
    <w:multiLevelType w:val="hybridMultilevel"/>
    <w:tmpl w:val="19B0BA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C1B38A6"/>
    <w:multiLevelType w:val="hybridMultilevel"/>
    <w:tmpl w:val="130A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575EFB"/>
    <w:multiLevelType w:val="hybridMultilevel"/>
    <w:tmpl w:val="2DC2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EE2EF4"/>
    <w:multiLevelType w:val="hybridMultilevel"/>
    <w:tmpl w:val="E1842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DBD31D1"/>
    <w:multiLevelType w:val="hybridMultilevel"/>
    <w:tmpl w:val="A192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046C1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872CF8"/>
    <w:multiLevelType w:val="hybridMultilevel"/>
    <w:tmpl w:val="B6F69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23687E"/>
    <w:multiLevelType w:val="hybridMultilevel"/>
    <w:tmpl w:val="FDC4E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723690"/>
    <w:multiLevelType w:val="hybridMultilevel"/>
    <w:tmpl w:val="CCF2E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4E3195"/>
    <w:multiLevelType w:val="hybridMultilevel"/>
    <w:tmpl w:val="B3E6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C406BB"/>
    <w:multiLevelType w:val="hybridMultilevel"/>
    <w:tmpl w:val="C8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E60D8B"/>
    <w:multiLevelType w:val="hybridMultilevel"/>
    <w:tmpl w:val="8A30B566"/>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FF0C51"/>
    <w:multiLevelType w:val="hybridMultilevel"/>
    <w:tmpl w:val="5A608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210C0C"/>
    <w:multiLevelType w:val="hybridMultilevel"/>
    <w:tmpl w:val="750E042E"/>
    <w:lvl w:ilvl="0" w:tplc="8D8A889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762260"/>
    <w:multiLevelType w:val="hybridMultilevel"/>
    <w:tmpl w:val="C7FA4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9379D9"/>
    <w:multiLevelType w:val="hybridMultilevel"/>
    <w:tmpl w:val="730E6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5F0982"/>
    <w:multiLevelType w:val="hybridMultilevel"/>
    <w:tmpl w:val="D76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9E803BE"/>
    <w:multiLevelType w:val="hybridMultilevel"/>
    <w:tmpl w:val="A172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B617DE6"/>
    <w:multiLevelType w:val="hybridMultilevel"/>
    <w:tmpl w:val="5E3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F91AAB"/>
    <w:multiLevelType w:val="hybridMultilevel"/>
    <w:tmpl w:val="8072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7"/>
  </w:num>
  <w:num w:numId="15">
    <w:abstractNumId w:val="40"/>
  </w:num>
  <w:num w:numId="16">
    <w:abstractNumId w:val="42"/>
  </w:num>
  <w:num w:numId="17">
    <w:abstractNumId w:val="15"/>
  </w:num>
  <w:num w:numId="18">
    <w:abstractNumId w:val="33"/>
  </w:num>
  <w:num w:numId="19">
    <w:abstractNumId w:val="24"/>
  </w:num>
  <w:num w:numId="20">
    <w:abstractNumId w:val="16"/>
  </w:num>
  <w:num w:numId="21">
    <w:abstractNumId w:val="29"/>
  </w:num>
  <w:num w:numId="22">
    <w:abstractNumId w:val="12"/>
  </w:num>
  <w:num w:numId="23">
    <w:abstractNumId w:val="28"/>
  </w:num>
  <w:num w:numId="24">
    <w:abstractNumId w:val="25"/>
  </w:num>
  <w:num w:numId="25">
    <w:abstractNumId w:val="35"/>
  </w:num>
  <w:num w:numId="26">
    <w:abstractNumId w:val="43"/>
  </w:num>
  <w:num w:numId="27">
    <w:abstractNumId w:val="11"/>
  </w:num>
  <w:num w:numId="28">
    <w:abstractNumId w:val="45"/>
  </w:num>
  <w:num w:numId="29">
    <w:abstractNumId w:val="44"/>
  </w:num>
  <w:num w:numId="30">
    <w:abstractNumId w:val="31"/>
  </w:num>
  <w:num w:numId="31">
    <w:abstractNumId w:val="41"/>
  </w:num>
  <w:num w:numId="32">
    <w:abstractNumId w:val="30"/>
  </w:num>
  <w:num w:numId="33">
    <w:abstractNumId w:val="17"/>
  </w:num>
  <w:num w:numId="34">
    <w:abstractNumId w:val="18"/>
  </w:num>
  <w:num w:numId="35">
    <w:abstractNumId w:val="32"/>
  </w:num>
  <w:num w:numId="36">
    <w:abstractNumId w:val="19"/>
  </w:num>
  <w:num w:numId="37">
    <w:abstractNumId w:val="46"/>
  </w:num>
  <w:num w:numId="38">
    <w:abstractNumId w:val="23"/>
  </w:num>
  <w:num w:numId="39">
    <w:abstractNumId w:val="37"/>
  </w:num>
  <w:num w:numId="40">
    <w:abstractNumId w:val="13"/>
  </w:num>
  <w:num w:numId="41">
    <w:abstractNumId w:val="21"/>
  </w:num>
  <w:num w:numId="42">
    <w:abstractNumId w:val="14"/>
  </w:num>
  <w:num w:numId="43">
    <w:abstractNumId w:val="22"/>
  </w:num>
  <w:num w:numId="44">
    <w:abstractNumId w:val="20"/>
  </w:num>
  <w:num w:numId="45">
    <w:abstractNumId w:val="38"/>
  </w:num>
  <w:num w:numId="46">
    <w:abstractNumId w:val="36"/>
  </w:num>
  <w:num w:numId="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B53"/>
    <w:rsid w:val="000E6CE1"/>
    <w:rsid w:val="000E6CF8"/>
    <w:rsid w:val="000E6F10"/>
    <w:rsid w:val="000E70D8"/>
    <w:rsid w:val="000E7677"/>
    <w:rsid w:val="000E7C75"/>
    <w:rsid w:val="000E7F27"/>
    <w:rsid w:val="000F0767"/>
    <w:rsid w:val="000F0829"/>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05F"/>
    <w:rsid w:val="002B65E1"/>
    <w:rsid w:val="002B694F"/>
    <w:rsid w:val="002B6C14"/>
    <w:rsid w:val="002B6D21"/>
    <w:rsid w:val="002B713D"/>
    <w:rsid w:val="002B714E"/>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FB0"/>
    <w:rsid w:val="00315229"/>
    <w:rsid w:val="00315B49"/>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5EC9"/>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88E"/>
    <w:rsid w:val="00467A4E"/>
    <w:rsid w:val="00467BC8"/>
    <w:rsid w:val="00467CBD"/>
    <w:rsid w:val="00467F16"/>
    <w:rsid w:val="004701EF"/>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4FF"/>
    <w:rsid w:val="0047478C"/>
    <w:rsid w:val="00475124"/>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D45"/>
    <w:rsid w:val="00481EF3"/>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B65"/>
    <w:rsid w:val="004B3D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933"/>
    <w:rsid w:val="004C6A00"/>
    <w:rsid w:val="004C78CF"/>
    <w:rsid w:val="004C7A99"/>
    <w:rsid w:val="004D02FF"/>
    <w:rsid w:val="004D07A8"/>
    <w:rsid w:val="004D097D"/>
    <w:rsid w:val="004D102D"/>
    <w:rsid w:val="004D1103"/>
    <w:rsid w:val="004D1BFB"/>
    <w:rsid w:val="004D255A"/>
    <w:rsid w:val="004D267F"/>
    <w:rsid w:val="004D28FC"/>
    <w:rsid w:val="004D2CDD"/>
    <w:rsid w:val="004D2E7A"/>
    <w:rsid w:val="004D3B02"/>
    <w:rsid w:val="004D4096"/>
    <w:rsid w:val="004D414D"/>
    <w:rsid w:val="004D4CBF"/>
    <w:rsid w:val="004D508A"/>
    <w:rsid w:val="004D52F4"/>
    <w:rsid w:val="004D5676"/>
    <w:rsid w:val="004D6A08"/>
    <w:rsid w:val="004D6E39"/>
    <w:rsid w:val="004D6FA5"/>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F87"/>
    <w:rsid w:val="00552491"/>
    <w:rsid w:val="00552496"/>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36"/>
    <w:rsid w:val="00557CAA"/>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7B2C"/>
    <w:rsid w:val="00580314"/>
    <w:rsid w:val="00580378"/>
    <w:rsid w:val="00580B17"/>
    <w:rsid w:val="00580D09"/>
    <w:rsid w:val="00580E03"/>
    <w:rsid w:val="005814DF"/>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BC4"/>
    <w:rsid w:val="006D4C48"/>
    <w:rsid w:val="006D4E15"/>
    <w:rsid w:val="006D5220"/>
    <w:rsid w:val="006D59DF"/>
    <w:rsid w:val="006D5D72"/>
    <w:rsid w:val="006D5EDF"/>
    <w:rsid w:val="006D6333"/>
    <w:rsid w:val="006D6C20"/>
    <w:rsid w:val="006D6F8B"/>
    <w:rsid w:val="006D73BF"/>
    <w:rsid w:val="006D7506"/>
    <w:rsid w:val="006D76C8"/>
    <w:rsid w:val="006D7936"/>
    <w:rsid w:val="006E003C"/>
    <w:rsid w:val="006E00DD"/>
    <w:rsid w:val="006E014E"/>
    <w:rsid w:val="006E02F5"/>
    <w:rsid w:val="006E048D"/>
    <w:rsid w:val="006E09D3"/>
    <w:rsid w:val="006E0A92"/>
    <w:rsid w:val="006E0DF3"/>
    <w:rsid w:val="006E1678"/>
    <w:rsid w:val="006E18E9"/>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D09"/>
    <w:rsid w:val="007209DD"/>
    <w:rsid w:val="00720C2A"/>
    <w:rsid w:val="00720DCC"/>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4AD"/>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50B"/>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225"/>
    <w:rsid w:val="00796385"/>
    <w:rsid w:val="00796514"/>
    <w:rsid w:val="007970BD"/>
    <w:rsid w:val="00797EA8"/>
    <w:rsid w:val="007A0276"/>
    <w:rsid w:val="007A02FB"/>
    <w:rsid w:val="007A15BC"/>
    <w:rsid w:val="007A15FF"/>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2BB"/>
    <w:rsid w:val="007C45E3"/>
    <w:rsid w:val="007C4C9B"/>
    <w:rsid w:val="007C4EA4"/>
    <w:rsid w:val="007C4EFF"/>
    <w:rsid w:val="007C55D9"/>
    <w:rsid w:val="007C5A13"/>
    <w:rsid w:val="007C5C5C"/>
    <w:rsid w:val="007C5D5C"/>
    <w:rsid w:val="007C5E8C"/>
    <w:rsid w:val="007C6477"/>
    <w:rsid w:val="007C67DF"/>
    <w:rsid w:val="007C6BDD"/>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79C"/>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AF"/>
    <w:rsid w:val="008B0588"/>
    <w:rsid w:val="008B0C05"/>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6F1"/>
    <w:rsid w:val="008F6BE3"/>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997"/>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2C4"/>
    <w:rsid w:val="00A01490"/>
    <w:rsid w:val="00A014A9"/>
    <w:rsid w:val="00A014C8"/>
    <w:rsid w:val="00A0194E"/>
    <w:rsid w:val="00A01B66"/>
    <w:rsid w:val="00A020DD"/>
    <w:rsid w:val="00A022A0"/>
    <w:rsid w:val="00A0239A"/>
    <w:rsid w:val="00A027FD"/>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6F1"/>
    <w:rsid w:val="00A30AB4"/>
    <w:rsid w:val="00A30DF9"/>
    <w:rsid w:val="00A30FCE"/>
    <w:rsid w:val="00A31632"/>
    <w:rsid w:val="00A318EA"/>
    <w:rsid w:val="00A31D03"/>
    <w:rsid w:val="00A31F7B"/>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505D"/>
    <w:rsid w:val="00AC53EE"/>
    <w:rsid w:val="00AC5433"/>
    <w:rsid w:val="00AC597F"/>
    <w:rsid w:val="00AC6348"/>
    <w:rsid w:val="00AC63A2"/>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8A1"/>
    <w:rsid w:val="00B04961"/>
    <w:rsid w:val="00B04972"/>
    <w:rsid w:val="00B04FCD"/>
    <w:rsid w:val="00B057BD"/>
    <w:rsid w:val="00B057CA"/>
    <w:rsid w:val="00B05AEF"/>
    <w:rsid w:val="00B05E7A"/>
    <w:rsid w:val="00B05E91"/>
    <w:rsid w:val="00B0635F"/>
    <w:rsid w:val="00B066EF"/>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2B15"/>
    <w:rsid w:val="00B12BE0"/>
    <w:rsid w:val="00B12BE4"/>
    <w:rsid w:val="00B132CD"/>
    <w:rsid w:val="00B13687"/>
    <w:rsid w:val="00B13A10"/>
    <w:rsid w:val="00B13BFB"/>
    <w:rsid w:val="00B13D32"/>
    <w:rsid w:val="00B146EA"/>
    <w:rsid w:val="00B154F7"/>
    <w:rsid w:val="00B15600"/>
    <w:rsid w:val="00B15D05"/>
    <w:rsid w:val="00B1605D"/>
    <w:rsid w:val="00B160EF"/>
    <w:rsid w:val="00B1614E"/>
    <w:rsid w:val="00B16335"/>
    <w:rsid w:val="00B16579"/>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308"/>
    <w:rsid w:val="00B235B5"/>
    <w:rsid w:val="00B238B5"/>
    <w:rsid w:val="00B23C20"/>
    <w:rsid w:val="00B23E76"/>
    <w:rsid w:val="00B241F2"/>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FB8"/>
    <w:rsid w:val="00B3043A"/>
    <w:rsid w:val="00B307FA"/>
    <w:rsid w:val="00B30B2B"/>
    <w:rsid w:val="00B30D03"/>
    <w:rsid w:val="00B30D9E"/>
    <w:rsid w:val="00B31297"/>
    <w:rsid w:val="00B3141A"/>
    <w:rsid w:val="00B31573"/>
    <w:rsid w:val="00B31C8B"/>
    <w:rsid w:val="00B31F93"/>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4C1"/>
    <w:rsid w:val="00B567B2"/>
    <w:rsid w:val="00B56824"/>
    <w:rsid w:val="00B569EB"/>
    <w:rsid w:val="00B56A3E"/>
    <w:rsid w:val="00B56BE0"/>
    <w:rsid w:val="00B56D07"/>
    <w:rsid w:val="00B56D29"/>
    <w:rsid w:val="00B5745E"/>
    <w:rsid w:val="00B57511"/>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B2D"/>
    <w:rsid w:val="00BF1DCE"/>
    <w:rsid w:val="00BF22D3"/>
    <w:rsid w:val="00BF2541"/>
    <w:rsid w:val="00BF2938"/>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46E"/>
    <w:rsid w:val="00C65579"/>
    <w:rsid w:val="00C65C30"/>
    <w:rsid w:val="00C6604C"/>
    <w:rsid w:val="00C661FC"/>
    <w:rsid w:val="00C6640B"/>
    <w:rsid w:val="00C664E8"/>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2DD"/>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808"/>
    <w:rsid w:val="00DD09E1"/>
    <w:rsid w:val="00DD0EF7"/>
    <w:rsid w:val="00DD1012"/>
    <w:rsid w:val="00DD1259"/>
    <w:rsid w:val="00DD1CD2"/>
    <w:rsid w:val="00DD1D4B"/>
    <w:rsid w:val="00DD1E7E"/>
    <w:rsid w:val="00DD203C"/>
    <w:rsid w:val="00DD28C9"/>
    <w:rsid w:val="00DD2B51"/>
    <w:rsid w:val="00DD2D5E"/>
    <w:rsid w:val="00DD323D"/>
    <w:rsid w:val="00DD32E9"/>
    <w:rsid w:val="00DD3B0A"/>
    <w:rsid w:val="00DD3B34"/>
    <w:rsid w:val="00DD3E23"/>
    <w:rsid w:val="00DD41F0"/>
    <w:rsid w:val="00DD4609"/>
    <w:rsid w:val="00DD4DDE"/>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57C"/>
    <w:rsid w:val="00EA5AB6"/>
    <w:rsid w:val="00EA5BB6"/>
    <w:rsid w:val="00EA5E99"/>
    <w:rsid w:val="00EA613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nesta.org.uk/publications/nhs-2030-people-powered-and-knowledge-powered-health-syste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afetyandquality.gov.au/our-work/clinical-communications/"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cottishacademy.org.uk/" TargetMode="External"/><Relationship Id="rId25" Type="http://schemas.openxmlformats.org/officeDocument/2006/relationships/hyperlink" Target="http://psnet.ahrq.gov/primer.aspx?primerID=30" TargetMode="External"/><Relationship Id="rId2" Type="http://schemas.openxmlformats.org/officeDocument/2006/relationships/numbering" Target="numbering.xml"/><Relationship Id="rId16" Type="http://schemas.openxmlformats.org/officeDocument/2006/relationships/hyperlink" Target="http://www.aihw.gov.au/closingthegap/" TargetMode="External"/><Relationship Id="rId20" Type="http://schemas.openxmlformats.org/officeDocument/2006/relationships/hyperlink" Target="http://dx.doi.org/10.1111/ijcp.126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psnet.ahrq.gov/primerHome.aspx"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early/recent" TargetMode="External"/><Relationship Id="rId28" Type="http://schemas.openxmlformats.org/officeDocument/2006/relationships/fontTable" Target="fontTable.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rand.org/pubs/research_reports/RR1181.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dx.doi.org/10.1186/s13054-015-0973-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2D9F-3990-4F2D-AA5A-A1509DAC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4</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12488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12</cp:revision>
  <cp:lastPrinted>2013-06-06T03:47:00Z</cp:lastPrinted>
  <dcterms:created xsi:type="dcterms:W3CDTF">2015-07-27T00:30:00Z</dcterms:created>
  <dcterms:modified xsi:type="dcterms:W3CDTF">2015-08-02T07:23:00Z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