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7D72A3">
        <w:rPr>
          <w:color w:val="000000"/>
          <w:lang w:val="en-AU"/>
        </w:rPr>
        <w:t>35</w:t>
      </w:r>
    </w:p>
    <w:p w:rsidR="00755242" w:rsidRPr="002302EF" w:rsidRDefault="007D72A3" w:rsidP="00B160EF">
      <w:pPr>
        <w:rPr>
          <w:lang w:val="en-AU"/>
        </w:rPr>
      </w:pPr>
      <w:r>
        <w:rPr>
          <w:lang w:val="en-AU"/>
        </w:rPr>
        <w:t>10</w:t>
      </w:r>
      <w:r w:rsidR="00E3354F">
        <w:rPr>
          <w:lang w:val="en-AU"/>
        </w:rPr>
        <w:t xml:space="preserve"> August</w:t>
      </w:r>
      <w:r w:rsidR="000F1551">
        <w:rPr>
          <w:lang w:val="en-AU"/>
        </w:rPr>
        <w:t xml:space="preserve">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CF02EC">
        <w:rPr>
          <w:bCs/>
          <w:lang w:val="en-AU"/>
        </w:rPr>
        <w:t>, Bronwyn Smith</w:t>
      </w:r>
    </w:p>
    <w:p w:rsidR="00121C47" w:rsidRDefault="00121C47" w:rsidP="00121C47">
      <w:pPr>
        <w:keepNext/>
        <w:keepLines/>
        <w:autoSpaceDE w:val="0"/>
        <w:autoSpaceDN w:val="0"/>
        <w:adjustRightInd w:val="0"/>
        <w:rPr>
          <w:i/>
          <w:lang w:val="en-AU"/>
        </w:rPr>
      </w:pPr>
    </w:p>
    <w:p w:rsidR="00EF2D1B" w:rsidRDefault="00EF2D1B" w:rsidP="00EF2D1B">
      <w:pPr>
        <w:keepNext/>
        <w:keepLines/>
        <w:autoSpaceDE w:val="0"/>
        <w:autoSpaceDN w:val="0"/>
        <w:adjustRightInd w:val="0"/>
        <w:rPr>
          <w:i/>
          <w:lang w:val="en-AU"/>
        </w:rPr>
      </w:pPr>
      <w:r w:rsidRPr="00776A91">
        <w:rPr>
          <w:i/>
          <w:lang w:val="en-AU"/>
        </w:rPr>
        <w:t>Promoting excellence: Standards for medical education and training</w:t>
      </w:r>
    </w:p>
    <w:p w:rsidR="00EF2D1B" w:rsidRPr="00776A91" w:rsidRDefault="00EF2D1B" w:rsidP="00EF2D1B">
      <w:pPr>
        <w:keepNext/>
        <w:keepLines/>
        <w:autoSpaceDE w:val="0"/>
        <w:autoSpaceDN w:val="0"/>
        <w:adjustRightInd w:val="0"/>
        <w:rPr>
          <w:lang w:val="en-AU"/>
        </w:rPr>
      </w:pPr>
      <w:r w:rsidRPr="00776A91">
        <w:rPr>
          <w:lang w:val="en-AU"/>
        </w:rPr>
        <w:t>General Medical Council</w:t>
      </w:r>
    </w:p>
    <w:p w:rsidR="00EF2D1B" w:rsidRPr="00776A91" w:rsidRDefault="00EF2D1B" w:rsidP="00EF2D1B">
      <w:pPr>
        <w:keepNext/>
        <w:keepLines/>
        <w:autoSpaceDE w:val="0"/>
        <w:autoSpaceDN w:val="0"/>
        <w:adjustRightInd w:val="0"/>
        <w:rPr>
          <w:lang w:val="en-AU"/>
        </w:rPr>
      </w:pPr>
      <w:r w:rsidRPr="00776A91">
        <w:rPr>
          <w:lang w:val="en-AU"/>
        </w:rPr>
        <w:t xml:space="preserve">London: General Medical Council; 2015. </w:t>
      </w:r>
      <w:proofErr w:type="gramStart"/>
      <w:r w:rsidRPr="00776A91">
        <w:rPr>
          <w:lang w:val="en-AU"/>
        </w:rPr>
        <w:t>p. 51.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F2D1B" w:rsidRPr="002302EF" w:rsidTr="00FC6DFF">
        <w:tc>
          <w:tcPr>
            <w:tcW w:w="1080" w:type="dxa"/>
            <w:tcBorders>
              <w:top w:val="single" w:sz="4" w:space="0" w:color="auto"/>
              <w:left w:val="single" w:sz="4" w:space="0" w:color="auto"/>
              <w:bottom w:val="single" w:sz="4" w:space="0" w:color="auto"/>
              <w:right w:val="single" w:sz="4" w:space="0" w:color="auto"/>
            </w:tcBorders>
            <w:vAlign w:val="center"/>
          </w:tcPr>
          <w:p w:rsidR="00EF2D1B" w:rsidRPr="002302EF" w:rsidRDefault="00EF2D1B" w:rsidP="00FC6DFF">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2D1B" w:rsidRPr="002302EF" w:rsidRDefault="001E07AC" w:rsidP="00FC6DFF">
            <w:pPr>
              <w:rPr>
                <w:lang w:val="en-AU"/>
              </w:rPr>
            </w:pPr>
            <w:hyperlink r:id="rId16" w:history="1">
              <w:r w:rsidR="00EF2D1B" w:rsidRPr="005F733D">
                <w:rPr>
                  <w:rStyle w:val="Hyperlink"/>
                  <w:lang w:val="en-AU"/>
                </w:rPr>
                <w:t>http://www.gmc-uk.org/education/standards.asp</w:t>
              </w:r>
            </w:hyperlink>
            <w:r w:rsidR="00EF2D1B">
              <w:rPr>
                <w:lang w:val="en-AU"/>
              </w:rPr>
              <w:t xml:space="preserve"> </w:t>
            </w:r>
          </w:p>
        </w:tc>
      </w:tr>
      <w:tr w:rsidR="00EF2D1B" w:rsidRPr="002302EF" w:rsidTr="00FC6DFF">
        <w:tc>
          <w:tcPr>
            <w:tcW w:w="1080" w:type="dxa"/>
            <w:tcBorders>
              <w:top w:val="single" w:sz="4" w:space="0" w:color="auto"/>
              <w:left w:val="single" w:sz="4" w:space="0" w:color="auto"/>
              <w:bottom w:val="single" w:sz="4" w:space="0" w:color="auto"/>
              <w:right w:val="single" w:sz="4" w:space="0" w:color="auto"/>
            </w:tcBorders>
            <w:vAlign w:val="center"/>
          </w:tcPr>
          <w:p w:rsidR="00EF2D1B" w:rsidRPr="002302EF" w:rsidRDefault="00EF2D1B" w:rsidP="00FC6DF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2D1B" w:rsidRPr="007D72A3" w:rsidRDefault="00EF2D1B" w:rsidP="00FC6DFF">
            <w:pPr>
              <w:rPr>
                <w:color w:val="333333"/>
                <w:shd w:val="clear" w:color="auto" w:fill="FFFFFF"/>
                <w:lang w:val="en-AU"/>
              </w:rPr>
            </w:pPr>
            <w:r>
              <w:rPr>
                <w:color w:val="333333"/>
                <w:shd w:val="clear" w:color="auto" w:fill="FFFFFF"/>
                <w:lang w:val="en-AU"/>
              </w:rPr>
              <w:t xml:space="preserve">The UK’s General Medical Council has launched </w:t>
            </w:r>
            <w:r w:rsidRPr="00776A91">
              <w:rPr>
                <w:color w:val="333333"/>
                <w:shd w:val="clear" w:color="auto" w:fill="FFFFFF"/>
                <w:lang w:val="en-AU"/>
              </w:rPr>
              <w:t>new standards for medical education and training</w:t>
            </w:r>
            <w:r>
              <w:rPr>
                <w:color w:val="333333"/>
                <w:shd w:val="clear" w:color="auto" w:fill="FFFFFF"/>
                <w:lang w:val="en-AU"/>
              </w:rPr>
              <w:t xml:space="preserve">. Covering </w:t>
            </w:r>
            <w:r w:rsidRPr="00776A91">
              <w:rPr>
                <w:color w:val="333333"/>
                <w:shd w:val="clear" w:color="auto" w:fill="FFFFFF"/>
                <w:lang w:val="en-AU"/>
              </w:rPr>
              <w:t>undergraduate and postgraduate medical education</w:t>
            </w:r>
            <w:r>
              <w:rPr>
                <w:color w:val="333333"/>
                <w:shd w:val="clear" w:color="auto" w:fill="FFFFFF"/>
                <w:lang w:val="en-AU"/>
              </w:rPr>
              <w:t xml:space="preserve">, the standards are intended </w:t>
            </w:r>
            <w:r w:rsidRPr="00776A91">
              <w:rPr>
                <w:color w:val="333333"/>
                <w:shd w:val="clear" w:color="auto" w:fill="FFFFFF"/>
                <w:lang w:val="en-AU"/>
              </w:rPr>
              <w:t>to put patient safety, quality of care, and fairness at the heart of the training received by both medical students and doctors.</w:t>
            </w:r>
            <w:r>
              <w:rPr>
                <w:color w:val="333333"/>
                <w:shd w:val="clear" w:color="auto" w:fill="FFFFFF"/>
                <w:lang w:val="en-AU"/>
              </w:rPr>
              <w:t xml:space="preserve"> The standards delineate </w:t>
            </w:r>
            <w:r w:rsidRPr="00776A91">
              <w:rPr>
                <w:color w:val="333333"/>
                <w:shd w:val="clear" w:color="auto" w:fill="FFFFFF"/>
                <w:lang w:val="en-AU"/>
              </w:rPr>
              <w:t>the roles and responsibilities of organisations delivering medical education as well as the requirements for teaching, supervision and support.</w:t>
            </w:r>
            <w:r>
              <w:rPr>
                <w:color w:val="333333"/>
                <w:shd w:val="clear" w:color="auto" w:fill="FFFFFF"/>
                <w:lang w:val="en-AU"/>
              </w:rPr>
              <w:t xml:space="preserve"> </w:t>
            </w:r>
            <w:r w:rsidRPr="00776A91">
              <w:rPr>
                <w:color w:val="333333"/>
                <w:shd w:val="clear" w:color="auto" w:fill="FFFFFF"/>
                <w:lang w:val="en-AU"/>
              </w:rPr>
              <w:t>To meet the GMC’s standards, organisations will need to demonstrate they have a culture where concerns about patient safety and standards of care or training can be raised without fear of adverse consequences.</w:t>
            </w:r>
            <w:r>
              <w:rPr>
                <w:color w:val="333333"/>
                <w:shd w:val="clear" w:color="auto" w:fill="FFFFFF"/>
                <w:lang w:val="en-AU"/>
              </w:rPr>
              <w:t xml:space="preserve"> </w:t>
            </w:r>
            <w:r w:rsidRPr="00776A91">
              <w:rPr>
                <w:color w:val="333333"/>
                <w:shd w:val="clear" w:color="auto" w:fill="FFFFFF"/>
                <w:lang w:val="en-AU"/>
              </w:rPr>
              <w:t>The standards also highlight the importance of leadership and governance, ensuring those providing medical education are accountable for the quality of training they provide.</w:t>
            </w:r>
          </w:p>
        </w:tc>
      </w:tr>
    </w:tbl>
    <w:p w:rsidR="00EF2D1B" w:rsidRDefault="00EF2D1B" w:rsidP="00EF2D1B">
      <w:pPr>
        <w:keepNext/>
        <w:keepLines/>
        <w:autoSpaceDE w:val="0"/>
        <w:autoSpaceDN w:val="0"/>
        <w:adjustRightInd w:val="0"/>
        <w:rPr>
          <w:i/>
          <w:lang w:val="en-AU"/>
        </w:rPr>
      </w:pPr>
    </w:p>
    <w:p w:rsidR="00E46AC0" w:rsidRDefault="00E46AC0" w:rsidP="00E46AC0">
      <w:pPr>
        <w:keepNext/>
        <w:keepLines/>
        <w:autoSpaceDE w:val="0"/>
        <w:autoSpaceDN w:val="0"/>
        <w:adjustRightInd w:val="0"/>
        <w:rPr>
          <w:lang w:val="en-AU"/>
        </w:rPr>
      </w:pPr>
    </w:p>
    <w:p w:rsidR="00EF2D1B" w:rsidRDefault="00EF2D1B">
      <w:pPr>
        <w:rPr>
          <w:i/>
          <w:lang w:val="en-AU"/>
        </w:rPr>
      </w:pPr>
      <w:r>
        <w:rPr>
          <w:i/>
          <w:lang w:val="en-AU"/>
        </w:rPr>
        <w:br w:type="page"/>
      </w:r>
    </w:p>
    <w:p w:rsidR="00B166D3" w:rsidRPr="00B166D3" w:rsidRDefault="00B166D3" w:rsidP="00B166D3">
      <w:pPr>
        <w:keepNext/>
        <w:keepLines/>
        <w:autoSpaceDE w:val="0"/>
        <w:autoSpaceDN w:val="0"/>
        <w:adjustRightInd w:val="0"/>
        <w:rPr>
          <w:i/>
          <w:lang w:val="en-AU"/>
        </w:rPr>
      </w:pPr>
      <w:r w:rsidRPr="00B166D3">
        <w:rPr>
          <w:i/>
          <w:lang w:val="en-AU"/>
        </w:rPr>
        <w:lastRenderedPageBreak/>
        <w:t>The future of primary care: Creating teams for tomorrow</w:t>
      </w:r>
    </w:p>
    <w:p w:rsidR="00B166D3" w:rsidRDefault="00B166D3" w:rsidP="00B166D3">
      <w:pPr>
        <w:keepNext/>
        <w:keepLines/>
        <w:autoSpaceDE w:val="0"/>
        <w:autoSpaceDN w:val="0"/>
        <w:adjustRightInd w:val="0"/>
        <w:rPr>
          <w:lang w:val="en-AU"/>
        </w:rPr>
      </w:pPr>
      <w:r w:rsidRPr="00B166D3">
        <w:rPr>
          <w:lang w:val="en-AU"/>
        </w:rPr>
        <w:t>Primary Care Workforce Commission</w:t>
      </w:r>
    </w:p>
    <w:p w:rsidR="00B166D3" w:rsidRPr="002302EF" w:rsidRDefault="00B166D3" w:rsidP="00B166D3">
      <w:pPr>
        <w:keepNext/>
        <w:keepLines/>
        <w:autoSpaceDE w:val="0"/>
        <w:autoSpaceDN w:val="0"/>
        <w:adjustRightInd w:val="0"/>
        <w:rPr>
          <w:lang w:val="en-AU"/>
        </w:rPr>
      </w:pPr>
      <w:r w:rsidRPr="00B166D3">
        <w:rPr>
          <w:lang w:val="en-AU"/>
        </w:rPr>
        <w:t xml:space="preserve">London: Health Education England; 2015. </w:t>
      </w:r>
      <w:proofErr w:type="gramStart"/>
      <w:r w:rsidRPr="00B166D3">
        <w:rPr>
          <w:lang w:val="en-AU"/>
        </w:rPr>
        <w:t>p. 62.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166D3" w:rsidRPr="002302EF" w:rsidTr="00FC6DFF">
        <w:tc>
          <w:tcPr>
            <w:tcW w:w="1080" w:type="dxa"/>
            <w:tcBorders>
              <w:top w:val="single" w:sz="4" w:space="0" w:color="auto"/>
              <w:left w:val="single" w:sz="4" w:space="0" w:color="auto"/>
              <w:bottom w:val="single" w:sz="4" w:space="0" w:color="auto"/>
              <w:right w:val="single" w:sz="4" w:space="0" w:color="auto"/>
            </w:tcBorders>
            <w:vAlign w:val="center"/>
          </w:tcPr>
          <w:p w:rsidR="00B166D3" w:rsidRPr="002302EF" w:rsidRDefault="00B166D3" w:rsidP="00FC6DFF">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66D3" w:rsidRPr="002302EF" w:rsidRDefault="001E07AC" w:rsidP="00FC6DFF">
            <w:pPr>
              <w:rPr>
                <w:lang w:val="en-AU"/>
              </w:rPr>
            </w:pPr>
            <w:hyperlink r:id="rId17" w:history="1">
              <w:r w:rsidR="00B166D3" w:rsidRPr="005F733D">
                <w:rPr>
                  <w:rStyle w:val="Hyperlink"/>
                  <w:lang w:val="en-AU"/>
                </w:rPr>
                <w:t>http://hee.nhs.uk/work-programmes/primary-and-community-care-programme/primary-care-workforce-commission/</w:t>
              </w:r>
            </w:hyperlink>
            <w:r w:rsidR="00B166D3">
              <w:rPr>
                <w:lang w:val="en-AU"/>
              </w:rPr>
              <w:t xml:space="preserve"> </w:t>
            </w:r>
          </w:p>
        </w:tc>
      </w:tr>
      <w:tr w:rsidR="00B166D3" w:rsidRPr="002302EF" w:rsidTr="00FC6DFF">
        <w:tc>
          <w:tcPr>
            <w:tcW w:w="1080" w:type="dxa"/>
            <w:tcBorders>
              <w:top w:val="single" w:sz="4" w:space="0" w:color="auto"/>
              <w:left w:val="single" w:sz="4" w:space="0" w:color="auto"/>
              <w:bottom w:val="single" w:sz="4" w:space="0" w:color="auto"/>
              <w:right w:val="single" w:sz="4" w:space="0" w:color="auto"/>
            </w:tcBorders>
            <w:vAlign w:val="center"/>
          </w:tcPr>
          <w:p w:rsidR="00B166D3" w:rsidRPr="002302EF" w:rsidRDefault="00B166D3" w:rsidP="00FC6DF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66D3" w:rsidRPr="007D72A3" w:rsidRDefault="00B166D3" w:rsidP="00B166D3">
            <w:pPr>
              <w:rPr>
                <w:color w:val="333333"/>
                <w:shd w:val="clear" w:color="auto" w:fill="FFFFFF"/>
                <w:lang w:val="en-AU"/>
              </w:rPr>
            </w:pPr>
            <w:r w:rsidRPr="00B166D3">
              <w:rPr>
                <w:color w:val="333333"/>
                <w:shd w:val="clear" w:color="auto" w:fill="FFFFFF"/>
                <w:lang w:val="en-AU"/>
              </w:rPr>
              <w:t xml:space="preserve">Health Education England </w:t>
            </w:r>
            <w:r>
              <w:rPr>
                <w:color w:val="333333"/>
                <w:shd w:val="clear" w:color="auto" w:fill="FFFFFF"/>
                <w:lang w:val="en-AU"/>
              </w:rPr>
              <w:t xml:space="preserve">was compelled to </w:t>
            </w:r>
            <w:r w:rsidRPr="00B166D3">
              <w:rPr>
                <w:color w:val="333333"/>
                <w:shd w:val="clear" w:color="auto" w:fill="FFFFFF"/>
                <w:lang w:val="en-AU"/>
              </w:rPr>
              <w:t xml:space="preserve">establish the Independent Primary Care Workforce Commission. </w:t>
            </w:r>
            <w:r>
              <w:rPr>
                <w:color w:val="333333"/>
                <w:shd w:val="clear" w:color="auto" w:fill="FFFFFF"/>
                <w:lang w:val="en-AU"/>
              </w:rPr>
              <w:t>T</w:t>
            </w:r>
            <w:r w:rsidRPr="00B166D3">
              <w:rPr>
                <w:color w:val="333333"/>
                <w:shd w:val="clear" w:color="auto" w:fill="FFFFFF"/>
                <w:lang w:val="en-AU"/>
              </w:rPr>
              <w:t xml:space="preserve">he Commission </w:t>
            </w:r>
            <w:r>
              <w:rPr>
                <w:color w:val="333333"/>
                <w:shd w:val="clear" w:color="auto" w:fill="FFFFFF"/>
                <w:lang w:val="en-AU"/>
              </w:rPr>
              <w:t xml:space="preserve">has sought to </w:t>
            </w:r>
            <w:r w:rsidRPr="00B166D3">
              <w:rPr>
                <w:color w:val="333333"/>
                <w:shd w:val="clear" w:color="auto" w:fill="FFFFFF"/>
                <w:lang w:val="en-AU"/>
              </w:rPr>
              <w:t xml:space="preserve">identify and highlight innovative models of primary care that </w:t>
            </w:r>
            <w:r>
              <w:rPr>
                <w:color w:val="333333"/>
                <w:shd w:val="clear" w:color="auto" w:fill="FFFFFF"/>
                <w:lang w:val="en-AU"/>
              </w:rPr>
              <w:t>could</w:t>
            </w:r>
            <w:r w:rsidRPr="00B166D3">
              <w:rPr>
                <w:color w:val="333333"/>
                <w:shd w:val="clear" w:color="auto" w:fill="FFFFFF"/>
                <w:lang w:val="en-AU"/>
              </w:rPr>
              <w:t xml:space="preserve"> the future needs of patients and the NHS. </w:t>
            </w:r>
            <w:r>
              <w:rPr>
                <w:color w:val="333333"/>
                <w:shd w:val="clear" w:color="auto" w:fill="FFFFFF"/>
                <w:lang w:val="en-AU"/>
              </w:rPr>
              <w:t>T</w:t>
            </w:r>
            <w:r w:rsidRPr="00B166D3">
              <w:rPr>
                <w:color w:val="333333"/>
                <w:shd w:val="clear" w:color="auto" w:fill="FFFFFF"/>
                <w:lang w:val="en-AU"/>
              </w:rPr>
              <w:t xml:space="preserve">his review </w:t>
            </w:r>
            <w:r>
              <w:rPr>
                <w:color w:val="333333"/>
                <w:shd w:val="clear" w:color="auto" w:fill="FFFFFF"/>
                <w:lang w:val="en-AU"/>
              </w:rPr>
              <w:t xml:space="preserve">also </w:t>
            </w:r>
            <w:r w:rsidRPr="00B166D3">
              <w:rPr>
                <w:color w:val="333333"/>
                <w:shd w:val="clear" w:color="auto" w:fill="FFFFFF"/>
                <w:lang w:val="en-AU"/>
              </w:rPr>
              <w:t xml:space="preserve">presents some examples of communication/information technology used in primary care and </w:t>
            </w:r>
            <w:r>
              <w:rPr>
                <w:color w:val="333333"/>
                <w:shd w:val="clear" w:color="auto" w:fill="FFFFFF"/>
                <w:lang w:val="en-AU"/>
              </w:rPr>
              <w:t xml:space="preserve">examines </w:t>
            </w:r>
            <w:r w:rsidRPr="00B166D3">
              <w:rPr>
                <w:color w:val="333333"/>
                <w:shd w:val="clear" w:color="auto" w:fill="FFFFFF"/>
                <w:lang w:val="en-AU"/>
              </w:rPr>
              <w:t>recruitment and retention challenges facing health professionals in general practice.</w:t>
            </w:r>
          </w:p>
        </w:tc>
      </w:tr>
    </w:tbl>
    <w:p w:rsidR="00B166D3" w:rsidRDefault="00B166D3" w:rsidP="00B166D3">
      <w:pPr>
        <w:keepNext/>
        <w:keepLines/>
        <w:autoSpaceDE w:val="0"/>
        <w:autoSpaceDN w:val="0"/>
        <w:adjustRightInd w:val="0"/>
        <w:rPr>
          <w:i/>
          <w:lang w:val="en-AU"/>
        </w:rPr>
      </w:pPr>
    </w:p>
    <w:p w:rsidR="006B4228" w:rsidRPr="006B4228" w:rsidRDefault="006B4228" w:rsidP="006B4228">
      <w:pPr>
        <w:keepNext/>
        <w:keepLines/>
        <w:autoSpaceDE w:val="0"/>
        <w:autoSpaceDN w:val="0"/>
        <w:adjustRightInd w:val="0"/>
        <w:rPr>
          <w:i/>
          <w:lang w:val="en-AU"/>
        </w:rPr>
      </w:pPr>
      <w:r w:rsidRPr="006B4228">
        <w:rPr>
          <w:i/>
          <w:lang w:val="en-AU"/>
        </w:rPr>
        <w:t>Better Outcomes for People with Chronic and Complex Health Conditions through Primary Health Care</w:t>
      </w:r>
    </w:p>
    <w:p w:rsidR="006B4228" w:rsidRDefault="006B4228" w:rsidP="00B166D3">
      <w:pPr>
        <w:keepNext/>
        <w:keepLines/>
        <w:autoSpaceDE w:val="0"/>
        <w:autoSpaceDN w:val="0"/>
        <w:adjustRightInd w:val="0"/>
        <w:rPr>
          <w:lang w:val="en-AU"/>
        </w:rPr>
      </w:pPr>
      <w:r w:rsidRPr="006B4228">
        <w:rPr>
          <w:lang w:val="en-AU"/>
        </w:rPr>
        <w:t>Primary Health Care Advisory Group</w:t>
      </w:r>
    </w:p>
    <w:p w:rsidR="00B166D3" w:rsidRDefault="006B4228" w:rsidP="00B166D3">
      <w:pPr>
        <w:keepNext/>
        <w:keepLines/>
        <w:autoSpaceDE w:val="0"/>
        <w:autoSpaceDN w:val="0"/>
        <w:adjustRightInd w:val="0"/>
        <w:rPr>
          <w:lang w:val="en-AU"/>
        </w:rPr>
      </w:pPr>
      <w:r w:rsidRPr="006B4228">
        <w:rPr>
          <w:lang w:val="en-AU"/>
        </w:rPr>
        <w:t xml:space="preserve">Canberra: Department of Health; 2015. </w:t>
      </w:r>
      <w:proofErr w:type="gramStart"/>
      <w:r w:rsidRPr="006B4228">
        <w:rPr>
          <w:lang w:val="en-AU"/>
        </w:rPr>
        <w:t>p. 24.</w:t>
      </w:r>
      <w:proofErr w:type="gramEnd"/>
    </w:p>
    <w:p w:rsidR="006B4228" w:rsidRDefault="006B4228" w:rsidP="00B166D3">
      <w:pPr>
        <w:keepNext/>
        <w:keepLines/>
        <w:autoSpaceDE w:val="0"/>
        <w:autoSpaceDN w:val="0"/>
        <w:adjustRightInd w:val="0"/>
        <w:rPr>
          <w:lang w:val="en-AU"/>
        </w:rPr>
      </w:pPr>
    </w:p>
    <w:p w:rsidR="006B4228" w:rsidRPr="006B4228" w:rsidRDefault="006B4228" w:rsidP="006B4228">
      <w:pPr>
        <w:keepNext/>
        <w:keepLines/>
        <w:autoSpaceDE w:val="0"/>
        <w:autoSpaceDN w:val="0"/>
        <w:adjustRightInd w:val="0"/>
        <w:rPr>
          <w:i/>
          <w:lang w:val="en-AU"/>
        </w:rPr>
      </w:pPr>
      <w:r w:rsidRPr="006B4228">
        <w:rPr>
          <w:i/>
          <w:lang w:val="en-AU"/>
        </w:rPr>
        <w:t>How can Australia improve its primary health care system to better deal with chronic disease? Background paper</w:t>
      </w:r>
    </w:p>
    <w:p w:rsidR="006B4228" w:rsidRDefault="006B4228" w:rsidP="00B166D3">
      <w:pPr>
        <w:keepNext/>
        <w:keepLines/>
        <w:autoSpaceDE w:val="0"/>
        <w:autoSpaceDN w:val="0"/>
        <w:adjustRightInd w:val="0"/>
        <w:rPr>
          <w:lang w:val="en-AU"/>
        </w:rPr>
      </w:pPr>
      <w:r w:rsidRPr="006B4228">
        <w:rPr>
          <w:lang w:val="en-AU"/>
        </w:rPr>
        <w:t>McKinsey and Company</w:t>
      </w:r>
    </w:p>
    <w:p w:rsidR="006B4228" w:rsidRPr="002302EF" w:rsidRDefault="006B4228" w:rsidP="00B166D3">
      <w:pPr>
        <w:keepNext/>
        <w:keepLines/>
        <w:autoSpaceDE w:val="0"/>
        <w:autoSpaceDN w:val="0"/>
        <w:adjustRightInd w:val="0"/>
        <w:rPr>
          <w:lang w:val="en-AU"/>
        </w:rPr>
      </w:pPr>
      <w:r w:rsidRPr="006B4228">
        <w:rPr>
          <w:lang w:val="en-AU"/>
        </w:rPr>
        <w:t>2015. p. 124.</w:t>
      </w:r>
    </w:p>
    <w:tbl>
      <w:tblPr>
        <w:tblStyle w:val="TableGrid"/>
        <w:tblW w:w="0" w:type="auto"/>
        <w:tblInd w:w="288" w:type="dxa"/>
        <w:tblLayout w:type="fixed"/>
        <w:tblLook w:val="01E0" w:firstRow="1" w:lastRow="1" w:firstColumn="1" w:lastColumn="1" w:noHBand="0" w:noVBand="0"/>
      </w:tblPr>
      <w:tblGrid>
        <w:gridCol w:w="1080"/>
        <w:gridCol w:w="8280"/>
      </w:tblGrid>
      <w:tr w:rsidR="00B166D3" w:rsidRPr="002302EF" w:rsidTr="00FC6DFF">
        <w:tc>
          <w:tcPr>
            <w:tcW w:w="1080" w:type="dxa"/>
            <w:tcBorders>
              <w:top w:val="single" w:sz="4" w:space="0" w:color="auto"/>
              <w:left w:val="single" w:sz="4" w:space="0" w:color="auto"/>
              <w:bottom w:val="single" w:sz="4" w:space="0" w:color="auto"/>
              <w:right w:val="single" w:sz="4" w:space="0" w:color="auto"/>
            </w:tcBorders>
            <w:vAlign w:val="center"/>
          </w:tcPr>
          <w:p w:rsidR="00B166D3" w:rsidRPr="002302EF" w:rsidRDefault="00B166D3" w:rsidP="00FC6DFF">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66D3" w:rsidRPr="002302EF" w:rsidRDefault="001E07AC" w:rsidP="00FC6DFF">
            <w:pPr>
              <w:rPr>
                <w:lang w:val="en-AU"/>
              </w:rPr>
            </w:pPr>
            <w:hyperlink r:id="rId18" w:history="1">
              <w:r w:rsidR="00B166D3" w:rsidRPr="005F733D">
                <w:rPr>
                  <w:rStyle w:val="Hyperlink"/>
                  <w:lang w:val="en-AU"/>
                </w:rPr>
                <w:t>http://www.health.gov.au/internet/main/publishing.nsf/Content/PrimaryHealthCareAdvisoryGroup-1</w:t>
              </w:r>
            </w:hyperlink>
            <w:r w:rsidR="00B166D3">
              <w:rPr>
                <w:lang w:val="en-AU"/>
              </w:rPr>
              <w:t xml:space="preserve"> </w:t>
            </w:r>
          </w:p>
        </w:tc>
      </w:tr>
      <w:tr w:rsidR="00B166D3" w:rsidRPr="002302EF" w:rsidTr="00FC6DFF">
        <w:tc>
          <w:tcPr>
            <w:tcW w:w="1080" w:type="dxa"/>
            <w:tcBorders>
              <w:top w:val="single" w:sz="4" w:space="0" w:color="auto"/>
              <w:left w:val="single" w:sz="4" w:space="0" w:color="auto"/>
              <w:bottom w:val="single" w:sz="4" w:space="0" w:color="auto"/>
              <w:right w:val="single" w:sz="4" w:space="0" w:color="auto"/>
            </w:tcBorders>
            <w:vAlign w:val="center"/>
          </w:tcPr>
          <w:p w:rsidR="00B166D3" w:rsidRPr="002302EF" w:rsidRDefault="00B166D3" w:rsidP="00FC6DFF">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66D3" w:rsidRPr="007D72A3" w:rsidRDefault="00B166D3" w:rsidP="00B166D3">
            <w:pPr>
              <w:rPr>
                <w:color w:val="333333"/>
                <w:shd w:val="clear" w:color="auto" w:fill="FFFFFF"/>
                <w:lang w:val="en-AU"/>
              </w:rPr>
            </w:pPr>
            <w:r>
              <w:rPr>
                <w:color w:val="333333"/>
                <w:shd w:val="clear" w:color="auto" w:fill="FFFFFF"/>
                <w:lang w:val="en-AU"/>
              </w:rPr>
              <w:t xml:space="preserve">As in the UK, the role and future structure and function of primary care are topics of debate in Australia. The Australian government has established the </w:t>
            </w:r>
            <w:r w:rsidRPr="00B166D3">
              <w:rPr>
                <w:color w:val="333333"/>
                <w:shd w:val="clear" w:color="auto" w:fill="FFFFFF"/>
                <w:lang w:val="en-AU"/>
              </w:rPr>
              <w:t xml:space="preserve">Primary Health Care Advisory Group </w:t>
            </w:r>
            <w:r>
              <w:rPr>
                <w:color w:val="333333"/>
                <w:shd w:val="clear" w:color="auto" w:fill="FFFFFF"/>
                <w:lang w:val="en-AU"/>
              </w:rPr>
              <w:t xml:space="preserve">to </w:t>
            </w:r>
            <w:r w:rsidRPr="00B166D3">
              <w:rPr>
                <w:color w:val="333333"/>
                <w:shd w:val="clear" w:color="auto" w:fill="FFFFFF"/>
                <w:lang w:val="en-AU"/>
              </w:rPr>
              <w:t>investigate options into the reform of primary health care to support patients with complex and chronic illness, and the treatment of mental health conditions.</w:t>
            </w:r>
            <w:r>
              <w:rPr>
                <w:color w:val="333333"/>
                <w:shd w:val="clear" w:color="auto" w:fill="FFFFFF"/>
                <w:lang w:val="en-AU"/>
              </w:rPr>
              <w:t xml:space="preserve"> The Advisory Group have released a number of resources, including a brief Discussion Paper and a longer Background paper. </w:t>
            </w:r>
          </w:p>
        </w:tc>
      </w:tr>
    </w:tbl>
    <w:p w:rsidR="00776A91" w:rsidRDefault="00776A91" w:rsidP="00B166D3">
      <w:pPr>
        <w:keepNext/>
        <w:keepLines/>
        <w:autoSpaceDE w:val="0"/>
        <w:autoSpaceDN w:val="0"/>
        <w:adjustRightInd w:val="0"/>
        <w:rPr>
          <w:i/>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7C5C5C" w:rsidRDefault="007C5C5C" w:rsidP="007C5C5C">
      <w:pPr>
        <w:keepNext/>
        <w:keepLines/>
        <w:autoSpaceDE w:val="0"/>
        <w:autoSpaceDN w:val="0"/>
        <w:adjustRightInd w:val="0"/>
        <w:rPr>
          <w:i/>
          <w:lang w:val="en-AU"/>
        </w:rPr>
      </w:pPr>
    </w:p>
    <w:p w:rsidR="00B044BD" w:rsidRPr="00B044BD" w:rsidRDefault="00B044BD" w:rsidP="00B044BD">
      <w:pPr>
        <w:keepNext/>
        <w:keepLines/>
        <w:autoSpaceDE w:val="0"/>
        <w:autoSpaceDN w:val="0"/>
        <w:adjustRightInd w:val="0"/>
        <w:rPr>
          <w:i/>
          <w:lang w:val="en-AU"/>
        </w:rPr>
      </w:pPr>
      <w:r w:rsidRPr="00B044BD">
        <w:rPr>
          <w:i/>
          <w:lang w:val="en-AU"/>
        </w:rPr>
        <w:t>Partnering with consumers: national standards and lessons from other countries</w:t>
      </w:r>
    </w:p>
    <w:p w:rsidR="00B044BD" w:rsidRDefault="00B044BD" w:rsidP="000F1551">
      <w:pPr>
        <w:keepNext/>
        <w:keepLines/>
        <w:autoSpaceDE w:val="0"/>
        <w:autoSpaceDN w:val="0"/>
        <w:adjustRightInd w:val="0"/>
        <w:rPr>
          <w:lang w:val="en-AU"/>
        </w:rPr>
      </w:pPr>
      <w:r w:rsidRPr="00B044BD">
        <w:rPr>
          <w:lang w:val="en-AU"/>
        </w:rPr>
        <w:t>Gill SD, Gill M</w:t>
      </w:r>
    </w:p>
    <w:p w:rsidR="000F1551" w:rsidRPr="002302EF" w:rsidRDefault="00B044BD" w:rsidP="000F1551">
      <w:pPr>
        <w:keepNext/>
        <w:keepLines/>
        <w:autoSpaceDE w:val="0"/>
        <w:autoSpaceDN w:val="0"/>
        <w:adjustRightInd w:val="0"/>
        <w:rPr>
          <w:lang w:val="en-AU"/>
        </w:rPr>
      </w:pPr>
      <w:proofErr w:type="gramStart"/>
      <w:r w:rsidRPr="00B044BD">
        <w:rPr>
          <w:lang w:val="en-AU"/>
        </w:rPr>
        <w:t>Medical Journal of Australia.</w:t>
      </w:r>
      <w:proofErr w:type="gramEnd"/>
      <w:r w:rsidRPr="00B044BD">
        <w:rPr>
          <w:lang w:val="en-AU"/>
        </w:rPr>
        <w:t xml:space="preserve"> 2015</w:t>
      </w:r>
      <w:proofErr w:type="gramStart"/>
      <w:r w:rsidRPr="00B044BD">
        <w:rPr>
          <w:lang w:val="en-AU"/>
        </w:rPr>
        <w:t>;203</w:t>
      </w:r>
      <w:proofErr w:type="gramEnd"/>
      <w:r w:rsidRPr="00B044BD">
        <w:rPr>
          <w:lang w:val="en-AU"/>
        </w:rPr>
        <w:t>(3):134-6.</w:t>
      </w:r>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CA5B00">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1E07AC" w:rsidP="00B044BD">
            <w:pPr>
              <w:rPr>
                <w:lang w:val="en-AU"/>
              </w:rPr>
            </w:pPr>
            <w:hyperlink r:id="rId19" w:history="1">
              <w:r w:rsidR="00B044BD" w:rsidRPr="00C72E6A">
                <w:rPr>
                  <w:rStyle w:val="Hyperlink"/>
                  <w:lang w:val="en-AU"/>
                </w:rPr>
                <w:t>http://dx.doi.org/10.5694/mja14.01656</w:t>
              </w:r>
            </w:hyperlink>
          </w:p>
        </w:tc>
      </w:tr>
      <w:tr w:rsidR="000F1551"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CF02EC" w:rsidP="00CA5B00">
            <w:pPr>
              <w:rPr>
                <w:lang w:val="en-AU"/>
              </w:rPr>
            </w:pPr>
            <w:r w:rsidRPr="00CF02EC">
              <w:rPr>
                <w:lang w:val="en-AU"/>
              </w:rPr>
              <w:t>This Perspectives article highlights the importance of meaningful partnerships with consumers in the context of the National Safety and Quality Health Service Standards as well</w:t>
            </w:r>
            <w:r>
              <w:rPr>
                <w:lang w:val="en-AU"/>
              </w:rPr>
              <w:t xml:space="preserve"> as global health care reform. </w:t>
            </w:r>
            <w:r w:rsidRPr="00CF02EC">
              <w:rPr>
                <w:lang w:val="en-AU"/>
              </w:rPr>
              <w:t>Opportunities to learn from community participation examples from both Australia and overseas are discussed which suggest that ef</w:t>
            </w:r>
            <w:r>
              <w:rPr>
                <w:lang w:val="en-AU"/>
              </w:rPr>
              <w:t xml:space="preserve">fective consumer participation </w:t>
            </w:r>
            <w:r w:rsidRPr="00CF02EC">
              <w:rPr>
                <w:lang w:val="en-AU"/>
              </w:rPr>
              <w:t>requires both consumers and healthcare providers to redefine thei</w:t>
            </w:r>
            <w:r>
              <w:rPr>
                <w:lang w:val="en-AU"/>
              </w:rPr>
              <w:t>r roles and responsibilities. The authors</w:t>
            </w:r>
            <w:r w:rsidRPr="00CF02EC">
              <w:rPr>
                <w:lang w:val="en-AU"/>
              </w:rPr>
              <w:t xml:space="preserve"> suggest that broad community engagement as well as research and evaluation regarding the nature and outcomes of consumer participation </w:t>
            </w:r>
            <w:proofErr w:type="gramStart"/>
            <w:r w:rsidRPr="00CF02EC">
              <w:rPr>
                <w:lang w:val="en-AU"/>
              </w:rPr>
              <w:t>is</w:t>
            </w:r>
            <w:proofErr w:type="gramEnd"/>
            <w:r w:rsidRPr="00CF02EC">
              <w:rPr>
                <w:lang w:val="en-AU"/>
              </w:rPr>
              <w:t xml:space="preserve"> needed, to support high quality consumer participation.</w:t>
            </w:r>
          </w:p>
        </w:tc>
      </w:tr>
    </w:tbl>
    <w:p w:rsidR="000F1551" w:rsidRDefault="000F1551" w:rsidP="000F1551">
      <w:pPr>
        <w:rPr>
          <w:i/>
          <w:lang w:val="en-AU"/>
        </w:rPr>
      </w:pPr>
    </w:p>
    <w:p w:rsidR="000C3C0C" w:rsidRDefault="000C3C0C" w:rsidP="000C3C0C">
      <w:pPr>
        <w:rPr>
          <w:lang w:val="en-AU"/>
        </w:rPr>
      </w:pPr>
      <w:r w:rsidRPr="008A4F3D">
        <w:rPr>
          <w:lang w:val="en-AU"/>
        </w:rPr>
        <w:t>For information on the Commission’s work on</w:t>
      </w:r>
      <w:r>
        <w:rPr>
          <w:lang w:val="en-AU"/>
        </w:rPr>
        <w:t xml:space="preserve"> patient and consumer centred care, see </w:t>
      </w:r>
      <w:hyperlink r:id="rId20" w:history="1">
        <w:r w:rsidRPr="00D05FF9">
          <w:rPr>
            <w:rStyle w:val="Hyperlink"/>
            <w:lang w:val="en-AU"/>
          </w:rPr>
          <w:t>www.safetyandquality.gov.au/our-work/patient-and-consumer-centred-care/</w:t>
        </w:r>
      </w:hyperlink>
    </w:p>
    <w:p w:rsidR="000F1551" w:rsidRDefault="000C3C0C" w:rsidP="000F1551">
      <w:pPr>
        <w:keepNext/>
        <w:keepLines/>
        <w:autoSpaceDE w:val="0"/>
        <w:autoSpaceDN w:val="0"/>
        <w:adjustRightInd w:val="0"/>
        <w:rPr>
          <w:lang w:val="en-AU"/>
        </w:rPr>
      </w:pPr>
      <w:r>
        <w:rPr>
          <w:lang w:val="en-AU"/>
        </w:rPr>
        <w:lastRenderedPageBreak/>
        <w:t xml:space="preserve">For information on the </w:t>
      </w:r>
      <w:r w:rsidRPr="000C3C0C">
        <w:rPr>
          <w:lang w:val="en-AU"/>
        </w:rPr>
        <w:t>National Safety and Quality Health Service Standards</w:t>
      </w:r>
      <w:r>
        <w:rPr>
          <w:lang w:val="en-AU"/>
        </w:rPr>
        <w:t xml:space="preserve">, see </w:t>
      </w:r>
      <w:hyperlink r:id="rId21" w:history="1">
        <w:r w:rsidRPr="00C72E6A">
          <w:rPr>
            <w:rStyle w:val="Hyperlink"/>
            <w:lang w:val="en-AU"/>
          </w:rPr>
          <w:t>http://www.safetyandquality.gov.au/our-work/accreditation-and-the-nsqhs-standards/</w:t>
        </w:r>
      </w:hyperlink>
      <w:r>
        <w:rPr>
          <w:lang w:val="en-AU"/>
        </w:rPr>
        <w:t xml:space="preserve"> </w:t>
      </w:r>
    </w:p>
    <w:p w:rsidR="000C3C0C" w:rsidRDefault="000C3C0C" w:rsidP="000F1551">
      <w:pPr>
        <w:keepNext/>
        <w:keepLines/>
        <w:autoSpaceDE w:val="0"/>
        <w:autoSpaceDN w:val="0"/>
        <w:adjustRightInd w:val="0"/>
        <w:rPr>
          <w:lang w:val="en-AU"/>
        </w:rPr>
      </w:pPr>
    </w:p>
    <w:p w:rsidR="00CF02EC" w:rsidRPr="00CF02EC" w:rsidRDefault="00CF02EC" w:rsidP="00CF02EC">
      <w:pPr>
        <w:keepNext/>
        <w:keepLines/>
        <w:autoSpaceDE w:val="0"/>
        <w:autoSpaceDN w:val="0"/>
        <w:adjustRightInd w:val="0"/>
        <w:rPr>
          <w:i/>
          <w:lang w:val="en-AU"/>
        </w:rPr>
      </w:pPr>
      <w:r w:rsidRPr="00CF02EC">
        <w:rPr>
          <w:i/>
          <w:lang w:val="en-AU"/>
        </w:rPr>
        <w:t>Emotional harm from disrespect: the neglected preventable harm</w:t>
      </w:r>
    </w:p>
    <w:p w:rsidR="00CF02EC" w:rsidRDefault="00CF02EC" w:rsidP="000F1551">
      <w:pPr>
        <w:keepNext/>
        <w:keepLines/>
        <w:autoSpaceDE w:val="0"/>
        <w:autoSpaceDN w:val="0"/>
        <w:adjustRightInd w:val="0"/>
        <w:rPr>
          <w:lang w:val="en-AU"/>
        </w:rPr>
      </w:pPr>
      <w:r w:rsidRPr="00CF02EC">
        <w:rPr>
          <w:lang w:val="en-AU"/>
        </w:rPr>
        <w:t>Sokol-Hessn</w:t>
      </w:r>
      <w:r>
        <w:rPr>
          <w:lang w:val="en-AU"/>
        </w:rPr>
        <w:t>er L, Folcarelli PH, Sands KEF</w:t>
      </w:r>
    </w:p>
    <w:p w:rsidR="000C3C0C" w:rsidRPr="002302EF" w:rsidRDefault="00CF02EC" w:rsidP="000F1551">
      <w:pPr>
        <w:keepNext/>
        <w:keepLines/>
        <w:autoSpaceDE w:val="0"/>
        <w:autoSpaceDN w:val="0"/>
        <w:adjustRightInd w:val="0"/>
        <w:rPr>
          <w:lang w:val="en-AU"/>
        </w:rPr>
      </w:pPr>
      <w:proofErr w:type="gramStart"/>
      <w:r w:rsidRPr="00CF02EC">
        <w:rPr>
          <w:lang w:val="en-AU"/>
        </w:rPr>
        <w:t>BMJ Quality &amp; Safety.</w:t>
      </w:r>
      <w:proofErr w:type="gramEnd"/>
      <w:r w:rsidRPr="00CF02EC">
        <w:rPr>
          <w:lang w:val="en-AU"/>
        </w:rPr>
        <w:t xml:space="preserve"> 2015 June 17, 2015.</w:t>
      </w:r>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CA5B00">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1E07AC" w:rsidP="00CA5B00">
            <w:pPr>
              <w:rPr>
                <w:lang w:val="en-AU"/>
              </w:rPr>
            </w:pPr>
            <w:hyperlink r:id="rId22" w:history="1">
              <w:r w:rsidR="00CF02EC" w:rsidRPr="00C72E6A">
                <w:rPr>
                  <w:rStyle w:val="Hyperlink"/>
                  <w:lang w:val="en-AU"/>
                </w:rPr>
                <w:t>http://dx.doi.org/10.1136/bmjqs-2015-004034</w:t>
              </w:r>
            </w:hyperlink>
          </w:p>
        </w:tc>
      </w:tr>
      <w:tr w:rsidR="000F1551"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F02EC" w:rsidRPr="00CF02EC" w:rsidRDefault="00CF02EC" w:rsidP="00CF02EC">
            <w:pPr>
              <w:rPr>
                <w:lang w:val="en-AU"/>
              </w:rPr>
            </w:pPr>
            <w:r w:rsidRPr="00CF02EC">
              <w:rPr>
                <w:lang w:val="en-AU"/>
              </w:rPr>
              <w:t>Although the focus of the patient safety movement has primarily been on physical injury, definitions of harm in health care also comprise emotional harms. This paper highlights the importance of emotional harms which can be understood as “harms to a patient’s ‘dignity’, which can be caused by a failure to demonstrate adequa</w:t>
            </w:r>
            <w:r>
              <w:rPr>
                <w:lang w:val="en-AU"/>
              </w:rPr>
              <w:t xml:space="preserve">te ‘respect’ for the patient”. </w:t>
            </w:r>
            <w:r w:rsidRPr="00CF02EC">
              <w:rPr>
                <w:lang w:val="en-AU"/>
              </w:rPr>
              <w:t>Emotional harms may be severe and protracted, which can erode trust, leave patients feeling violated, damage patient-provider relationships and have advers</w:t>
            </w:r>
            <w:r>
              <w:rPr>
                <w:lang w:val="en-AU"/>
              </w:rPr>
              <w:t>e effects on physical health.</w:t>
            </w:r>
          </w:p>
          <w:p w:rsidR="000F1551" w:rsidRPr="002302EF" w:rsidRDefault="00CF02EC" w:rsidP="00CF02EC">
            <w:pPr>
              <w:rPr>
                <w:lang w:val="en-AU"/>
              </w:rPr>
            </w:pPr>
            <w:r w:rsidRPr="00CF02EC">
              <w:rPr>
                <w:lang w:val="en-AU"/>
              </w:rPr>
              <w:t>The authors suggest that what is lacking is a systematic approach to capture, categorise and assess the severity of emotional har</w:t>
            </w:r>
            <w:r>
              <w:rPr>
                <w:lang w:val="en-AU"/>
              </w:rPr>
              <w:t xml:space="preserve">ms. </w:t>
            </w:r>
            <w:r w:rsidRPr="00CF02EC">
              <w:rPr>
                <w:lang w:val="en-AU"/>
              </w:rPr>
              <w:t xml:space="preserve">This impedes an understanding of how and why emotional harms occur and </w:t>
            </w:r>
            <w:r>
              <w:rPr>
                <w:lang w:val="en-AU"/>
              </w:rPr>
              <w:t xml:space="preserve">the </w:t>
            </w:r>
            <w:r w:rsidRPr="00CF02EC">
              <w:rPr>
                <w:lang w:val="en-AU"/>
              </w:rPr>
              <w:t>ability to take corrective act</w:t>
            </w:r>
            <w:r>
              <w:rPr>
                <w:lang w:val="en-AU"/>
              </w:rPr>
              <w:t xml:space="preserve">ion and prevent future events. </w:t>
            </w:r>
            <w:r w:rsidRPr="00CF02EC">
              <w:rPr>
                <w:lang w:val="en-AU"/>
              </w:rPr>
              <w:t xml:space="preserve">The proposed response is the conceptualisation of emotional harms within the existing preventable harm framework which would allow for their investigation using existing </w:t>
            </w:r>
            <w:proofErr w:type="gramStart"/>
            <w:r w:rsidRPr="00CF02EC">
              <w:rPr>
                <w:lang w:val="en-AU"/>
              </w:rPr>
              <w:t>processes,</w:t>
            </w:r>
            <w:proofErr w:type="gramEnd"/>
            <w:r w:rsidRPr="00CF02EC">
              <w:rPr>
                <w:lang w:val="en-AU"/>
              </w:rPr>
              <w:t xml:space="preserve"> and for them to be addressed with the same rigo</w:t>
            </w:r>
            <w:r>
              <w:rPr>
                <w:lang w:val="en-AU"/>
              </w:rPr>
              <w:t>u</w:t>
            </w:r>
            <w:r w:rsidRPr="00CF02EC">
              <w:rPr>
                <w:lang w:val="en-AU"/>
              </w:rPr>
              <w:t>r and accountability that is applied to physical harm.</w:t>
            </w:r>
          </w:p>
        </w:tc>
      </w:tr>
    </w:tbl>
    <w:p w:rsidR="00C419A3" w:rsidRDefault="00C419A3" w:rsidP="0060766F">
      <w:pPr>
        <w:keepNext/>
        <w:rPr>
          <w:lang w:val="en-AU"/>
        </w:rPr>
      </w:pPr>
    </w:p>
    <w:p w:rsidR="00776A91" w:rsidRPr="00776A91" w:rsidRDefault="00776A91" w:rsidP="00776A91">
      <w:pPr>
        <w:keepNext/>
        <w:keepLines/>
        <w:autoSpaceDE w:val="0"/>
        <w:autoSpaceDN w:val="0"/>
        <w:adjustRightInd w:val="0"/>
        <w:rPr>
          <w:i/>
          <w:lang w:val="en-AU"/>
        </w:rPr>
      </w:pPr>
      <w:r w:rsidRPr="00776A91">
        <w:rPr>
          <w:i/>
          <w:lang w:val="en-AU"/>
        </w:rPr>
        <w:t>Care and communication between health professionals and patients affected by severe or chronic illness in community care settings: a qualitative study of care at the end of life</w:t>
      </w:r>
    </w:p>
    <w:p w:rsidR="00776A91" w:rsidRDefault="00776A91" w:rsidP="007D72A3">
      <w:pPr>
        <w:keepNext/>
        <w:keepLines/>
        <w:autoSpaceDE w:val="0"/>
        <w:autoSpaceDN w:val="0"/>
        <w:adjustRightInd w:val="0"/>
        <w:rPr>
          <w:lang w:val="en-AU"/>
        </w:rPr>
      </w:pPr>
      <w:r w:rsidRPr="00776A91">
        <w:rPr>
          <w:lang w:val="en-AU"/>
        </w:rPr>
        <w:t>Pollock K, Wilson E</w:t>
      </w:r>
    </w:p>
    <w:p w:rsidR="00E46AC0" w:rsidRPr="002302EF" w:rsidRDefault="00776A91" w:rsidP="007D72A3">
      <w:pPr>
        <w:keepNext/>
        <w:keepLines/>
        <w:autoSpaceDE w:val="0"/>
        <w:autoSpaceDN w:val="0"/>
        <w:adjustRightInd w:val="0"/>
        <w:rPr>
          <w:lang w:val="en-AU"/>
        </w:rPr>
      </w:pPr>
      <w:proofErr w:type="gramStart"/>
      <w:r w:rsidRPr="00776A91">
        <w:rPr>
          <w:lang w:val="en-AU"/>
        </w:rPr>
        <w:t>Health Services and Delivery Research.</w:t>
      </w:r>
      <w:proofErr w:type="gramEnd"/>
      <w:r w:rsidRPr="00776A91">
        <w:rPr>
          <w:lang w:val="en-AU"/>
        </w:rPr>
        <w:t xml:space="preserve"> 2015 2015/07/30</w:t>
      </w:r>
      <w:proofErr w:type="gramStart"/>
      <w:r w:rsidRPr="00776A91">
        <w:rPr>
          <w:lang w:val="en-AU"/>
        </w:rPr>
        <w:t>;3</w:t>
      </w:r>
      <w:proofErr w:type="gramEnd"/>
      <w:r w:rsidRPr="00776A91">
        <w:rPr>
          <w:lang w:val="en-AU"/>
        </w:rPr>
        <w:t>(31):172.</w:t>
      </w:r>
    </w:p>
    <w:tbl>
      <w:tblPr>
        <w:tblStyle w:val="TableGrid"/>
        <w:tblW w:w="0" w:type="auto"/>
        <w:tblInd w:w="288" w:type="dxa"/>
        <w:tblLayout w:type="fixed"/>
        <w:tblLook w:val="01E0" w:firstRow="1" w:lastRow="1" w:firstColumn="1" w:lastColumn="1" w:noHBand="0" w:noVBand="0"/>
      </w:tblPr>
      <w:tblGrid>
        <w:gridCol w:w="1080"/>
        <w:gridCol w:w="8280"/>
      </w:tblGrid>
      <w:tr w:rsidR="007D72A3" w:rsidRPr="002302EF" w:rsidTr="00CB7794">
        <w:tc>
          <w:tcPr>
            <w:tcW w:w="1080" w:type="dxa"/>
            <w:tcBorders>
              <w:top w:val="single" w:sz="4" w:space="0" w:color="auto"/>
              <w:left w:val="single" w:sz="4" w:space="0" w:color="auto"/>
              <w:bottom w:val="single" w:sz="4" w:space="0" w:color="auto"/>
              <w:right w:val="single" w:sz="4" w:space="0" w:color="auto"/>
            </w:tcBorders>
            <w:vAlign w:val="center"/>
          </w:tcPr>
          <w:p w:rsidR="007D72A3" w:rsidRPr="002302EF" w:rsidRDefault="007D72A3" w:rsidP="00CB7794">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72A3" w:rsidRPr="002302EF" w:rsidRDefault="001E07AC" w:rsidP="00776A91">
            <w:pPr>
              <w:rPr>
                <w:lang w:val="en-AU"/>
              </w:rPr>
            </w:pPr>
            <w:hyperlink r:id="rId23" w:history="1">
              <w:r w:rsidR="00776A91" w:rsidRPr="005F733D">
                <w:rPr>
                  <w:rStyle w:val="Hyperlink"/>
                  <w:lang w:val="en-AU"/>
                </w:rPr>
                <w:t>http://dx.doi.org/10.3310/hsdr03310</w:t>
              </w:r>
            </w:hyperlink>
          </w:p>
        </w:tc>
      </w:tr>
      <w:tr w:rsidR="007D72A3" w:rsidRPr="002302EF" w:rsidTr="00CB7794">
        <w:tc>
          <w:tcPr>
            <w:tcW w:w="1080" w:type="dxa"/>
            <w:tcBorders>
              <w:top w:val="single" w:sz="4" w:space="0" w:color="auto"/>
              <w:left w:val="single" w:sz="4" w:space="0" w:color="auto"/>
              <w:bottom w:val="single" w:sz="4" w:space="0" w:color="auto"/>
              <w:right w:val="single" w:sz="4" w:space="0" w:color="auto"/>
            </w:tcBorders>
            <w:vAlign w:val="center"/>
          </w:tcPr>
          <w:p w:rsidR="007D72A3" w:rsidRPr="002302EF" w:rsidRDefault="007D72A3" w:rsidP="00CB7794">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6A91" w:rsidRDefault="00776A91" w:rsidP="00B3208C">
            <w:pPr>
              <w:rPr>
                <w:lang w:val="en-AU"/>
              </w:rPr>
            </w:pPr>
            <w:r>
              <w:rPr>
                <w:lang w:val="en-AU"/>
              </w:rPr>
              <w:t>Paper reporting on a British qualitative study of</w:t>
            </w:r>
            <w:r w:rsidRPr="00776A91">
              <w:rPr>
                <w:lang w:val="en-AU"/>
              </w:rPr>
              <w:t xml:space="preserve"> when and how patients, family carers and health professionals communicate with each other about </w:t>
            </w:r>
            <w:r>
              <w:rPr>
                <w:lang w:val="en-AU"/>
              </w:rPr>
              <w:t>advanced care planning (</w:t>
            </w:r>
            <w:r w:rsidRPr="00776A91">
              <w:rPr>
                <w:lang w:val="en-AU"/>
              </w:rPr>
              <w:t>ACP</w:t>
            </w:r>
            <w:r>
              <w:rPr>
                <w:lang w:val="en-AU"/>
              </w:rPr>
              <w:t>)</w:t>
            </w:r>
            <w:r w:rsidRPr="00776A91">
              <w:rPr>
                <w:lang w:val="en-AU"/>
              </w:rPr>
              <w:t xml:space="preserve"> for patients who are seen to be approaching the end of their life</w:t>
            </w:r>
            <w:r>
              <w:rPr>
                <w:lang w:val="en-AU"/>
              </w:rPr>
              <w:t>.</w:t>
            </w:r>
            <w:r w:rsidR="00B3208C">
              <w:rPr>
                <w:lang w:val="en-AU"/>
              </w:rPr>
              <w:t xml:space="preserve"> </w:t>
            </w:r>
            <w:r>
              <w:rPr>
                <w:lang w:val="en-AU"/>
              </w:rPr>
              <w:t xml:space="preserve">The study involved </w:t>
            </w:r>
            <w:r w:rsidR="00B3208C">
              <w:rPr>
                <w:lang w:val="en-AU"/>
              </w:rPr>
              <w:t>including</w:t>
            </w:r>
            <w:r w:rsidRPr="00776A91">
              <w:rPr>
                <w:lang w:val="en-AU"/>
              </w:rPr>
              <w:t xml:space="preserve"> 37 health professionals</w:t>
            </w:r>
            <w:r w:rsidR="00B3208C">
              <w:rPr>
                <w:lang w:val="en-AU"/>
              </w:rPr>
              <w:t xml:space="preserve"> and </w:t>
            </w:r>
            <w:r w:rsidRPr="00776A91">
              <w:rPr>
                <w:lang w:val="en-AU"/>
              </w:rPr>
              <w:t xml:space="preserve">21 case study patients </w:t>
            </w:r>
            <w:r w:rsidR="00B3208C">
              <w:rPr>
                <w:lang w:val="en-AU"/>
              </w:rPr>
              <w:t xml:space="preserve">who </w:t>
            </w:r>
            <w:r w:rsidRPr="00776A91">
              <w:rPr>
                <w:lang w:val="en-AU"/>
              </w:rPr>
              <w:t>were interviewed several times during a period of approximately 6 months. Thirteen family carers and 14 health professionals were also involved in the case studies</w:t>
            </w:r>
            <w:r w:rsidR="00B3208C">
              <w:rPr>
                <w:lang w:val="en-AU"/>
              </w:rPr>
              <w:t>.</w:t>
            </w:r>
          </w:p>
          <w:p w:rsidR="00B3208C" w:rsidRPr="002302EF" w:rsidRDefault="00B3208C" w:rsidP="00B3208C">
            <w:pPr>
              <w:rPr>
                <w:lang w:val="en-AU"/>
              </w:rPr>
            </w:pPr>
            <w:r>
              <w:rPr>
                <w:lang w:val="en-AU"/>
              </w:rPr>
              <w:t xml:space="preserve">The authors report that just </w:t>
            </w:r>
            <w:r w:rsidRPr="00B3208C">
              <w:rPr>
                <w:lang w:val="en-AU"/>
              </w:rPr>
              <w:t>over half (12 of 21) of the patients in the study had been involved in ACP. The</w:t>
            </w:r>
            <w:r>
              <w:rPr>
                <w:lang w:val="en-AU"/>
              </w:rPr>
              <w:t>y also report that “</w:t>
            </w:r>
            <w:r w:rsidRPr="00B3208C">
              <w:rPr>
                <w:lang w:val="en-AU"/>
              </w:rPr>
              <w:t>considerable uncertainty of prognosis made timing of ACP discussions difficult. Professionals often faced difficulties in raising the topic and recognising when patients were ready to talk about the future. Discussion was usually limited to decisions about specific issues, including where the patient wished to die, or if resuscitation should be attempted. The difficulty and complexity of decision-making about preferences for future care, combined with the volatility of illness, frequently prompted a change of plan. Those who wished to consider ACP often preferred to leave discussion until they had become severely ill, rather than create plans in advance of a time when they might become unable to make decisions for themselves. The study findings highlight the complexity of decisions about end of life care, and the diversity of patient and family responses. In particular, they challenge the basic assumptions underlying current formulations of ACP: that patients do (or should) wish for open awareness of death, that home is always the best and preferred place to die and that place of death is a matter of over-riding importance for the majority of patients.</w:t>
            </w:r>
            <w:r>
              <w:rPr>
                <w:lang w:val="en-AU"/>
              </w:rPr>
              <w:t>”</w:t>
            </w:r>
          </w:p>
        </w:tc>
      </w:tr>
    </w:tbl>
    <w:p w:rsidR="000C3C0C" w:rsidRPr="00D33A54" w:rsidRDefault="000C3C0C" w:rsidP="000C3C0C">
      <w:pPr>
        <w:rPr>
          <w:i/>
          <w:lang w:val="en-AU"/>
        </w:rPr>
      </w:pPr>
      <w:r w:rsidRPr="00D33A54">
        <w:rPr>
          <w:i/>
          <w:lang w:val="en-AU"/>
        </w:rPr>
        <w:lastRenderedPageBreak/>
        <w:t>International Journal for Quality in Health Care</w:t>
      </w:r>
    </w:p>
    <w:p w:rsidR="000C3C0C" w:rsidRPr="00D33A54" w:rsidRDefault="000C3C0C" w:rsidP="000C3C0C">
      <w:pPr>
        <w:keepNext/>
        <w:autoSpaceDE w:val="0"/>
        <w:autoSpaceDN w:val="0"/>
        <w:adjustRightInd w:val="0"/>
        <w:rPr>
          <w:lang w:val="en-AU"/>
        </w:rPr>
      </w:pPr>
      <w:r>
        <w:rPr>
          <w:lang w:val="en-AU"/>
        </w:rPr>
        <w:t>Vol. 27, No. 4</w:t>
      </w:r>
      <w:r w:rsidRPr="00D33A54">
        <w:rPr>
          <w:lang w:val="en-AU"/>
        </w:rPr>
        <w:t xml:space="preserve">, </w:t>
      </w:r>
      <w:r>
        <w:rPr>
          <w:lang w:val="en-AU"/>
        </w:rPr>
        <w:t>August</w:t>
      </w:r>
      <w:r w:rsidRPr="00D33A54">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0C3C0C" w:rsidRPr="00D33A54" w:rsidTr="00CB7794">
        <w:tc>
          <w:tcPr>
            <w:tcW w:w="1080" w:type="dxa"/>
            <w:tcBorders>
              <w:top w:val="single" w:sz="4" w:space="0" w:color="auto"/>
              <w:left w:val="single" w:sz="4" w:space="0" w:color="auto"/>
              <w:bottom w:val="single" w:sz="4" w:space="0" w:color="auto"/>
              <w:right w:val="single" w:sz="4" w:space="0" w:color="auto"/>
            </w:tcBorders>
            <w:vAlign w:val="center"/>
          </w:tcPr>
          <w:p w:rsidR="000C3C0C" w:rsidRPr="00D33A54" w:rsidRDefault="000C3C0C" w:rsidP="00CB7794">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3C0C" w:rsidRPr="00D33A54" w:rsidRDefault="001E07AC" w:rsidP="000C3C0C">
            <w:pPr>
              <w:rPr>
                <w:lang w:val="en-AU"/>
              </w:rPr>
            </w:pPr>
            <w:hyperlink r:id="rId24" w:history="1">
              <w:r w:rsidR="000C3C0C" w:rsidRPr="00C72E6A">
                <w:rPr>
                  <w:rStyle w:val="Hyperlink"/>
                  <w:lang w:val="en-AU"/>
                </w:rPr>
                <w:t>http://intqhc.oxfordjournals.org/content/27/4?etoc</w:t>
              </w:r>
            </w:hyperlink>
          </w:p>
        </w:tc>
      </w:tr>
      <w:tr w:rsidR="000C3C0C" w:rsidRPr="00D33A54" w:rsidTr="00CB7794">
        <w:tc>
          <w:tcPr>
            <w:tcW w:w="1080" w:type="dxa"/>
            <w:tcBorders>
              <w:top w:val="single" w:sz="4" w:space="0" w:color="auto"/>
              <w:left w:val="single" w:sz="4" w:space="0" w:color="auto"/>
              <w:bottom w:val="single" w:sz="4" w:space="0" w:color="auto"/>
              <w:right w:val="single" w:sz="4" w:space="0" w:color="auto"/>
            </w:tcBorders>
            <w:vAlign w:val="center"/>
          </w:tcPr>
          <w:p w:rsidR="000C3C0C" w:rsidRPr="00D33A54" w:rsidRDefault="000C3C0C" w:rsidP="00CB7794">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3C0C" w:rsidRPr="00D33A54" w:rsidRDefault="000C3C0C" w:rsidP="00CB7794">
            <w:pPr>
              <w:rPr>
                <w:lang w:val="en-AU"/>
              </w:rPr>
            </w:pPr>
            <w:r w:rsidRPr="00D33A54">
              <w:rPr>
                <w:lang w:val="en-AU"/>
              </w:rPr>
              <w:t xml:space="preserve">A new issue of the </w:t>
            </w:r>
            <w:r w:rsidRPr="00D33A54">
              <w:rPr>
                <w:i/>
                <w:lang w:val="en-AU"/>
              </w:rPr>
              <w:t xml:space="preserve">International Journal for Quality in Health Care </w:t>
            </w:r>
            <w:r w:rsidRPr="00D33A54">
              <w:rPr>
                <w:lang w:val="en-AU"/>
              </w:rPr>
              <w:t>has</w:t>
            </w:r>
            <w:r w:rsidRPr="00D33A54">
              <w:rPr>
                <w:i/>
                <w:lang w:val="en-AU"/>
              </w:rPr>
              <w:t xml:space="preserve"> </w:t>
            </w:r>
            <w:r w:rsidRPr="00D33A54">
              <w:rPr>
                <w:lang w:val="en-AU"/>
              </w:rPr>
              <w:t xml:space="preserve">been published. Many of the papers in this issue have been referred to in previous editions of </w:t>
            </w:r>
            <w:r w:rsidRPr="00D33A54">
              <w:rPr>
                <w:i/>
                <w:lang w:val="en-AU"/>
              </w:rPr>
              <w:t>On the Radar</w:t>
            </w:r>
            <w:r w:rsidRPr="00D33A54">
              <w:rPr>
                <w:lang w:val="en-AU"/>
              </w:rPr>
              <w:t xml:space="preserve"> (when they released online). Articles in this issue of the </w:t>
            </w:r>
            <w:r w:rsidRPr="00D33A54">
              <w:rPr>
                <w:i/>
                <w:lang w:val="en-AU"/>
              </w:rPr>
              <w:t>International Journal for Quality in Health Care</w:t>
            </w:r>
            <w:r w:rsidRPr="00D33A54">
              <w:rPr>
                <w:lang w:val="en-AU"/>
              </w:rPr>
              <w:t xml:space="preserve"> include:</w:t>
            </w:r>
          </w:p>
          <w:p w:rsidR="000C3C0C" w:rsidRPr="000C3C0C" w:rsidRDefault="000C3C0C" w:rsidP="000C3C0C">
            <w:pPr>
              <w:pStyle w:val="ListParagraph"/>
              <w:numPr>
                <w:ilvl w:val="0"/>
                <w:numId w:val="27"/>
              </w:numPr>
              <w:rPr>
                <w:lang w:val="en-AU"/>
              </w:rPr>
            </w:pPr>
            <w:r w:rsidRPr="000C3C0C">
              <w:rPr>
                <w:lang w:val="en-AU"/>
              </w:rPr>
              <w:t xml:space="preserve">Editorial: </w:t>
            </w:r>
            <w:r w:rsidRPr="000C3C0C">
              <w:rPr>
                <w:b/>
                <w:lang w:val="en-AU"/>
              </w:rPr>
              <w:t>Healthcare quality and safety in developing countries</w:t>
            </w:r>
            <w:r w:rsidRPr="000C3C0C">
              <w:rPr>
                <w:lang w:val="en-AU"/>
              </w:rPr>
              <w:t xml:space="preserve"> (Shabbir Syed-Abdul, Usman Iqbal, and Yu-Chuan (Jack) Li</w:t>
            </w:r>
            <w:r>
              <w:rPr>
                <w:lang w:val="en-AU"/>
              </w:rPr>
              <w:t>)</w:t>
            </w:r>
          </w:p>
          <w:p w:rsidR="000C3C0C" w:rsidRPr="000C3C0C" w:rsidRDefault="000C3C0C" w:rsidP="000C3C0C">
            <w:pPr>
              <w:pStyle w:val="ListParagraph"/>
              <w:numPr>
                <w:ilvl w:val="0"/>
                <w:numId w:val="27"/>
              </w:numPr>
              <w:rPr>
                <w:lang w:val="en-AU"/>
              </w:rPr>
            </w:pPr>
            <w:r w:rsidRPr="000C3C0C">
              <w:rPr>
                <w:b/>
                <w:lang w:val="en-AU"/>
              </w:rPr>
              <w:t>Patient safety and quality of care in developing countries</w:t>
            </w:r>
            <w:r w:rsidRPr="000C3C0C">
              <w:rPr>
                <w:lang w:val="en-AU"/>
              </w:rPr>
              <w:t xml:space="preserve"> in Southeast Asia: a systematic literature review (Reema Harrison, Adrienne Wai Seung COHEN, and Merrilyn Walton</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Editor's choice: Towards </w:t>
            </w:r>
            <w:r w:rsidRPr="000C3C0C">
              <w:rPr>
                <w:b/>
                <w:lang w:val="en-AU"/>
              </w:rPr>
              <w:t>excellence in cardiac surgery</w:t>
            </w:r>
            <w:r w:rsidRPr="000C3C0C">
              <w:rPr>
                <w:lang w:val="en-AU"/>
              </w:rPr>
              <w:t>: experience from a developing country (Aamir Saifuddin, Syed Shahabuddin, Shazia Perveen, Shumaila Furnaz, and Hasanat Sharif</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Processes and outcomes of </w:t>
            </w:r>
            <w:r w:rsidRPr="000C3C0C">
              <w:rPr>
                <w:b/>
                <w:lang w:val="en-AU"/>
              </w:rPr>
              <w:t>ischemic stroke care</w:t>
            </w:r>
            <w:r w:rsidRPr="000C3C0C">
              <w:rPr>
                <w:lang w:val="en-AU"/>
              </w:rPr>
              <w:t>: the influence of hospital level of care (Yu-Chi Tung, Jiann-Shing Jeng, Guann-Ming Chang, and Kuo-Piao Chung</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Validity of the clinical and administrative databases in detecting </w:t>
            </w:r>
            <w:r w:rsidRPr="000C3C0C">
              <w:rPr>
                <w:b/>
                <w:lang w:val="en-AU"/>
              </w:rPr>
              <w:t>post-operative adverse events</w:t>
            </w:r>
            <w:r w:rsidRPr="000C3C0C">
              <w:rPr>
                <w:lang w:val="en-AU"/>
              </w:rPr>
              <w:t xml:space="preserve"> (Isabel Rodrigo-Rincon, Marta P. Martin-Vizcaino, Belen Tirapu-Leon, Pedro Zabalza-Lopez, Francisco J. Abad-Vicente, and Asuncion Merino-Peralta</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Perceptions regarding </w:t>
            </w:r>
            <w:r w:rsidRPr="000C3C0C">
              <w:rPr>
                <w:b/>
                <w:lang w:val="en-AU"/>
              </w:rPr>
              <w:t>medication administration errors</w:t>
            </w:r>
            <w:r w:rsidRPr="000C3C0C">
              <w:rPr>
                <w:lang w:val="en-AU"/>
              </w:rPr>
              <w:t xml:space="preserve"> among hospital staff nurses of South Korea (Mi-Ae You, Mi-Hyeon Choe, Geun-Ok Park, Sang-Hee Kim, and Youn-Jung Son</w:t>
            </w:r>
            <w:r>
              <w:rPr>
                <w:lang w:val="en-AU"/>
              </w:rPr>
              <w:t>)</w:t>
            </w:r>
          </w:p>
          <w:p w:rsidR="000C3C0C" w:rsidRPr="000C3C0C" w:rsidRDefault="000C3C0C" w:rsidP="000C3C0C">
            <w:pPr>
              <w:pStyle w:val="ListParagraph"/>
              <w:numPr>
                <w:ilvl w:val="0"/>
                <w:numId w:val="27"/>
              </w:numPr>
              <w:rPr>
                <w:lang w:val="en-AU"/>
              </w:rPr>
            </w:pPr>
            <w:r w:rsidRPr="000C3C0C">
              <w:rPr>
                <w:b/>
                <w:lang w:val="en-AU"/>
              </w:rPr>
              <w:t>SEQUenCE</w:t>
            </w:r>
            <w:r w:rsidRPr="000C3C0C">
              <w:rPr>
                <w:lang w:val="en-AU"/>
              </w:rPr>
              <w:t xml:space="preserve">: a service </w:t>
            </w:r>
            <w:r w:rsidRPr="000C3C0C">
              <w:rPr>
                <w:b/>
                <w:lang w:val="en-AU"/>
              </w:rPr>
              <w:t>user-centred quality of care instrument</w:t>
            </w:r>
            <w:r w:rsidRPr="000C3C0C">
              <w:rPr>
                <w:lang w:val="en-AU"/>
              </w:rPr>
              <w:t xml:space="preserve"> for mental health services (Lorraine Hester, Lorna Jane O’ Doherty, Rebecca Schnittger, Niamh Skelly, Muireann O’ Donnell, Lisa Butterly, Robert Browne, Charlotte Frorath, Craig Morgan, D M McLoughlin, and P Fearon</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Developing a set of quality indicators for </w:t>
            </w:r>
            <w:r w:rsidRPr="000C3C0C">
              <w:rPr>
                <w:b/>
                <w:lang w:val="en-AU"/>
              </w:rPr>
              <w:t>breast cancer care</w:t>
            </w:r>
            <w:r w:rsidRPr="000C3C0C">
              <w:rPr>
                <w:lang w:val="en-AU"/>
              </w:rPr>
              <w:t xml:space="preserve"> in China (Han Bao, Fengjuan Yang, Xinyu Wang, Shaofei Su, Dan Liu, Rong Fu, Huimin Zhang, and Meina Liu</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Examining the attitudes of </w:t>
            </w:r>
            <w:r w:rsidRPr="000C3C0C">
              <w:rPr>
                <w:b/>
                <w:lang w:val="en-AU"/>
              </w:rPr>
              <w:t>hospital pharmacists</w:t>
            </w:r>
            <w:r w:rsidRPr="000C3C0C">
              <w:rPr>
                <w:lang w:val="en-AU"/>
              </w:rPr>
              <w:t xml:space="preserve"> to </w:t>
            </w:r>
            <w:r w:rsidRPr="000C3C0C">
              <w:rPr>
                <w:b/>
                <w:lang w:val="en-AU"/>
              </w:rPr>
              <w:t>reporting medication safety incidents</w:t>
            </w:r>
            <w:r w:rsidRPr="000C3C0C">
              <w:rPr>
                <w:lang w:val="en-AU"/>
              </w:rPr>
              <w:t xml:space="preserve"> using the theory of planned behaviour</w:t>
            </w:r>
            <w:r w:rsidR="004B506E">
              <w:rPr>
                <w:lang w:val="en-AU"/>
              </w:rPr>
              <w:t xml:space="preserve"> </w:t>
            </w:r>
            <w:r w:rsidRPr="000C3C0C">
              <w:rPr>
                <w:lang w:val="en-AU"/>
              </w:rPr>
              <w:t>(Steven David Williams, Denham L Phipps, and Darren Ashcroft</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Are </w:t>
            </w:r>
            <w:r w:rsidRPr="000C3C0C">
              <w:rPr>
                <w:b/>
                <w:lang w:val="en-AU"/>
              </w:rPr>
              <w:t>administrative data</w:t>
            </w:r>
            <w:r w:rsidRPr="000C3C0C">
              <w:rPr>
                <w:lang w:val="en-AU"/>
              </w:rPr>
              <w:t xml:space="preserve"> valid when </w:t>
            </w:r>
            <w:r w:rsidRPr="000C3C0C">
              <w:rPr>
                <w:b/>
                <w:lang w:val="en-AU"/>
              </w:rPr>
              <w:t>measuring patient safety</w:t>
            </w:r>
            <w:r w:rsidRPr="000C3C0C">
              <w:rPr>
                <w:lang w:val="en-AU"/>
              </w:rPr>
              <w:t xml:space="preserve"> in hospitals? A comparison of data collection methods using a chart review and administrative data (Christina Maass, Silke Kuske, Constanze Lessing, and Matthias Schrappe</w:t>
            </w:r>
            <w:r>
              <w:rPr>
                <w:lang w:val="en-AU"/>
              </w:rPr>
              <w:t>)</w:t>
            </w:r>
          </w:p>
          <w:p w:rsidR="000C3C0C" w:rsidRPr="000C3C0C" w:rsidRDefault="000C3C0C" w:rsidP="000C3C0C">
            <w:pPr>
              <w:pStyle w:val="ListParagraph"/>
              <w:numPr>
                <w:ilvl w:val="0"/>
                <w:numId w:val="27"/>
              </w:numPr>
              <w:rPr>
                <w:lang w:val="en-AU"/>
              </w:rPr>
            </w:pPr>
            <w:r w:rsidRPr="000C3C0C">
              <w:rPr>
                <w:b/>
                <w:lang w:val="en-AU"/>
              </w:rPr>
              <w:t xml:space="preserve">Electronic medication reconciliation </w:t>
            </w:r>
            <w:r w:rsidRPr="000C3C0C">
              <w:rPr>
                <w:lang w:val="en-AU"/>
              </w:rPr>
              <w:t>and</w:t>
            </w:r>
            <w:r w:rsidRPr="000C3C0C">
              <w:rPr>
                <w:b/>
                <w:lang w:val="en-AU"/>
              </w:rPr>
              <w:t xml:space="preserve"> medication errors</w:t>
            </w:r>
            <w:r w:rsidRPr="000C3C0C">
              <w:rPr>
                <w:lang w:val="en-AU"/>
              </w:rPr>
              <w:t xml:space="preserve"> (Jonathan D. Hron, Shannon Manzi, Roger Dionne, Vincent W. Chiang, Marcie Brostoff, Stephanie A. Altavilla, AL Patterson, and marvin B. Harper</w:t>
            </w:r>
            <w:r>
              <w:rPr>
                <w:lang w:val="en-AU"/>
              </w:rPr>
              <w:t>)</w:t>
            </w:r>
          </w:p>
          <w:p w:rsidR="000C3C0C" w:rsidRPr="000C3C0C" w:rsidRDefault="000C3C0C" w:rsidP="000C3C0C">
            <w:pPr>
              <w:pStyle w:val="ListParagraph"/>
              <w:numPr>
                <w:ilvl w:val="0"/>
                <w:numId w:val="27"/>
              </w:numPr>
              <w:rPr>
                <w:lang w:val="en-AU"/>
              </w:rPr>
            </w:pPr>
            <w:r w:rsidRPr="000C3C0C">
              <w:rPr>
                <w:lang w:val="en-AU"/>
              </w:rPr>
              <w:t xml:space="preserve">Editor's choice: </w:t>
            </w:r>
            <w:r w:rsidRPr="000C3C0C">
              <w:rPr>
                <w:b/>
                <w:lang w:val="en-AU"/>
              </w:rPr>
              <w:t>Engaging staff to improve quality and safety</w:t>
            </w:r>
            <w:r w:rsidRPr="000C3C0C">
              <w:rPr>
                <w:lang w:val="en-AU"/>
              </w:rPr>
              <w:t xml:space="preserve"> in an austere medical environment: a case–control study in two Sierra Leonean hospitals</w:t>
            </w:r>
            <w:r>
              <w:rPr>
                <w:lang w:val="en-AU"/>
              </w:rPr>
              <w:t xml:space="preserve"> (</w:t>
            </w:r>
            <w:r w:rsidRPr="000C3C0C">
              <w:rPr>
                <w:lang w:val="en-AU"/>
              </w:rPr>
              <w:t>Michael A Rosen, Adaora M Chima, John B Sampson, Eric V Jackson, Jr, R Koka, M K Marx, T B Kamara, O U Ogbuagu, and B H Lee</w:t>
            </w:r>
            <w:r>
              <w:rPr>
                <w:lang w:val="en-AU"/>
              </w:rPr>
              <w:t>)</w:t>
            </w:r>
          </w:p>
          <w:p w:rsidR="000C3C0C" w:rsidRPr="00D33A54" w:rsidRDefault="000C3C0C" w:rsidP="00560260">
            <w:pPr>
              <w:pStyle w:val="ListParagraph"/>
              <w:numPr>
                <w:ilvl w:val="0"/>
                <w:numId w:val="27"/>
              </w:numPr>
              <w:rPr>
                <w:lang w:val="en-AU"/>
              </w:rPr>
            </w:pPr>
            <w:r w:rsidRPr="000C3C0C">
              <w:rPr>
                <w:lang w:val="en-AU"/>
              </w:rPr>
              <w:t xml:space="preserve">Capturing </w:t>
            </w:r>
            <w:r w:rsidRPr="000C3C0C">
              <w:rPr>
                <w:b/>
                <w:lang w:val="en-AU"/>
              </w:rPr>
              <w:t>diagnosis-timing in ICD-coded hospital data</w:t>
            </w:r>
            <w:r w:rsidRPr="000C3C0C">
              <w:rPr>
                <w:lang w:val="en-AU"/>
              </w:rPr>
              <w:t xml:space="preserve">: recommendations from the WHO ICD-11 topic advisory group on quality and safety (V Sundararajan, P S Romano, H Quan, B </w:t>
            </w:r>
            <w:proofErr w:type="spellStart"/>
            <w:r w:rsidRPr="000C3C0C">
              <w:rPr>
                <w:lang w:val="en-AU"/>
              </w:rPr>
              <w:t>Burnand</w:t>
            </w:r>
            <w:proofErr w:type="spellEnd"/>
            <w:r w:rsidRPr="000C3C0C">
              <w:rPr>
                <w:lang w:val="en-AU"/>
              </w:rPr>
              <w:t xml:space="preserve">, S E </w:t>
            </w:r>
            <w:proofErr w:type="spellStart"/>
            <w:r w:rsidRPr="000C3C0C">
              <w:rPr>
                <w:lang w:val="en-AU"/>
              </w:rPr>
              <w:t>Drösler</w:t>
            </w:r>
            <w:proofErr w:type="spellEnd"/>
            <w:r w:rsidRPr="000C3C0C">
              <w:rPr>
                <w:lang w:val="en-AU"/>
              </w:rPr>
              <w:t>, S Brien, H</w:t>
            </w:r>
            <w:r>
              <w:rPr>
                <w:lang w:val="en-AU"/>
              </w:rPr>
              <w:t xml:space="preserve"> </w:t>
            </w:r>
            <w:r w:rsidRPr="000C3C0C">
              <w:rPr>
                <w:lang w:val="en-AU"/>
              </w:rPr>
              <w:t>A Pincus, and W</w:t>
            </w:r>
            <w:r>
              <w:rPr>
                <w:lang w:val="en-AU"/>
              </w:rPr>
              <w:t xml:space="preserve"> </w:t>
            </w:r>
            <w:r w:rsidRPr="000C3C0C">
              <w:rPr>
                <w:lang w:val="en-AU"/>
              </w:rPr>
              <w:t>A</w:t>
            </w:r>
            <w:r>
              <w:rPr>
                <w:lang w:val="en-AU"/>
              </w:rPr>
              <w:t xml:space="preserve"> </w:t>
            </w:r>
            <w:r w:rsidRPr="000C3C0C">
              <w:rPr>
                <w:lang w:val="en-AU"/>
              </w:rPr>
              <w:t>Ghali</w:t>
            </w:r>
            <w:r>
              <w:rPr>
                <w:lang w:val="en-AU"/>
              </w:rPr>
              <w:t>)</w:t>
            </w:r>
          </w:p>
        </w:tc>
      </w:tr>
    </w:tbl>
    <w:p w:rsidR="005833F4" w:rsidRPr="002302EF" w:rsidRDefault="005833F4" w:rsidP="005833F4">
      <w:pPr>
        <w:keepNext/>
        <w:rPr>
          <w:lang w:val="en-AU"/>
        </w:rPr>
      </w:pPr>
      <w:r w:rsidRPr="002302EF">
        <w:rPr>
          <w:i/>
          <w:lang w:val="en-AU"/>
        </w:rPr>
        <w:lastRenderedPageBreak/>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1E07AC" w:rsidP="00CA5B00">
            <w:pPr>
              <w:rPr>
                <w:lang w:val="en-AU"/>
              </w:rPr>
            </w:pPr>
            <w:hyperlink r:id="rId25"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DF2537" w:rsidRDefault="00D755FC" w:rsidP="00D755FC">
            <w:pPr>
              <w:pStyle w:val="ListParagraph"/>
              <w:numPr>
                <w:ilvl w:val="0"/>
                <w:numId w:val="14"/>
              </w:numPr>
              <w:rPr>
                <w:lang w:val="en-AU"/>
              </w:rPr>
            </w:pPr>
            <w:r w:rsidRPr="00D755FC">
              <w:rPr>
                <w:b/>
                <w:lang w:val="en-AU"/>
              </w:rPr>
              <w:t>Test result communication in primary care</w:t>
            </w:r>
            <w:r w:rsidRPr="00D755FC">
              <w:rPr>
                <w:lang w:val="en-AU"/>
              </w:rPr>
              <w:t>: a survey of current practice (Ian Litchfield, Louise Bentham, Richard Lilford, Richard J McMan</w:t>
            </w:r>
            <w:r>
              <w:rPr>
                <w:lang w:val="en-AU"/>
              </w:rPr>
              <w:t>us, Ann Hill, Sheila Greenfield)</w:t>
            </w:r>
          </w:p>
          <w:p w:rsidR="003808CD" w:rsidRDefault="003808CD" w:rsidP="003808CD">
            <w:pPr>
              <w:pStyle w:val="ListParagraph"/>
              <w:numPr>
                <w:ilvl w:val="0"/>
                <w:numId w:val="14"/>
              </w:numPr>
              <w:rPr>
                <w:lang w:val="en-AU"/>
              </w:rPr>
            </w:pPr>
            <w:r w:rsidRPr="003808CD">
              <w:rPr>
                <w:b/>
                <w:lang w:val="en-AU"/>
              </w:rPr>
              <w:t>Venous thromboembolism</w:t>
            </w:r>
            <w:r w:rsidRPr="003808CD">
              <w:rPr>
                <w:lang w:val="en-AU"/>
              </w:rPr>
              <w:t xml:space="preserve"> prophylaxis: a path toward more appropriate use </w:t>
            </w:r>
            <w:r>
              <w:rPr>
                <w:lang w:val="en-AU"/>
              </w:rPr>
              <w:t>(</w:t>
            </w:r>
            <w:r w:rsidRPr="003808CD">
              <w:rPr>
                <w:lang w:val="en-AU"/>
              </w:rPr>
              <w:t>Paul J Grant, Scott A Flanders</w:t>
            </w:r>
            <w:r>
              <w:rPr>
                <w:lang w:val="en-AU"/>
              </w:rPr>
              <w:t>)</w:t>
            </w:r>
          </w:p>
          <w:p w:rsidR="007442C9" w:rsidRPr="007442C9" w:rsidRDefault="007442C9" w:rsidP="007442C9">
            <w:pPr>
              <w:pStyle w:val="ListParagraph"/>
              <w:numPr>
                <w:ilvl w:val="0"/>
                <w:numId w:val="14"/>
              </w:numPr>
              <w:rPr>
                <w:lang w:val="en-AU"/>
              </w:rPr>
            </w:pPr>
            <w:r w:rsidRPr="007442C9">
              <w:rPr>
                <w:lang w:val="en-AU"/>
              </w:rPr>
              <w:t xml:space="preserve">Routine failures in the process for </w:t>
            </w:r>
            <w:r w:rsidRPr="007442C9">
              <w:rPr>
                <w:b/>
                <w:lang w:val="en-AU"/>
              </w:rPr>
              <w:t>blood testing</w:t>
            </w:r>
            <w:r w:rsidRPr="007442C9">
              <w:rPr>
                <w:lang w:val="en-AU"/>
              </w:rPr>
              <w:t xml:space="preserve"> and the </w:t>
            </w:r>
            <w:r w:rsidRPr="007442C9">
              <w:rPr>
                <w:b/>
                <w:lang w:val="en-AU"/>
              </w:rPr>
              <w:t>communication of results</w:t>
            </w:r>
            <w:r w:rsidRPr="007442C9">
              <w:rPr>
                <w:lang w:val="en-AU"/>
              </w:rPr>
              <w:t xml:space="preserve"> to patients in primary care in the UK: a qualitative exploration of patient and provider perspectives (Ian Litchfield, Louise Bentham, Ann Hill, Richard J McManus, Ric</w:t>
            </w:r>
            <w:r>
              <w:rPr>
                <w:lang w:val="en-AU"/>
              </w:rPr>
              <w:t>hard Lilford, Sheila Greenfield)</w:t>
            </w:r>
          </w:p>
          <w:p w:rsidR="007442C9" w:rsidRDefault="007442C9" w:rsidP="007442C9">
            <w:pPr>
              <w:pStyle w:val="ListParagraph"/>
              <w:numPr>
                <w:ilvl w:val="0"/>
                <w:numId w:val="14"/>
              </w:numPr>
              <w:rPr>
                <w:lang w:val="en-AU"/>
              </w:rPr>
            </w:pPr>
            <w:r w:rsidRPr="007442C9">
              <w:rPr>
                <w:lang w:val="en-AU"/>
              </w:rPr>
              <w:t xml:space="preserve">A quality improvement project to improve early </w:t>
            </w:r>
            <w:r w:rsidRPr="007442C9">
              <w:rPr>
                <w:b/>
                <w:lang w:val="en-AU"/>
              </w:rPr>
              <w:t xml:space="preserve">sepsis care </w:t>
            </w:r>
            <w:r w:rsidRPr="007442C9">
              <w:rPr>
                <w:lang w:val="en-AU"/>
              </w:rPr>
              <w:t>in the</w:t>
            </w:r>
            <w:r w:rsidRPr="007442C9">
              <w:rPr>
                <w:b/>
                <w:lang w:val="en-AU"/>
              </w:rPr>
              <w:t xml:space="preserve"> emergency department</w:t>
            </w:r>
            <w:r w:rsidRPr="007442C9">
              <w:rPr>
                <w:lang w:val="en-AU"/>
              </w:rPr>
              <w:t xml:space="preserve"> </w:t>
            </w:r>
            <w:r>
              <w:rPr>
                <w:lang w:val="en-AU"/>
              </w:rPr>
              <w:t>(</w:t>
            </w:r>
            <w:r w:rsidRPr="007442C9">
              <w:rPr>
                <w:lang w:val="en-AU"/>
              </w:rPr>
              <w:t>Medley O'Keefe Gatewood, Matthew Wemple, Sheryl Greco, Patricia A Kritek, Raghu Durvasula</w:t>
            </w:r>
            <w:r>
              <w:rPr>
                <w:lang w:val="en-AU"/>
              </w:rPr>
              <w:t>)</w:t>
            </w:r>
          </w:p>
          <w:p w:rsidR="00276CAE" w:rsidRPr="00D755FC" w:rsidRDefault="00276CAE" w:rsidP="00276CAE">
            <w:pPr>
              <w:pStyle w:val="ListParagraph"/>
              <w:numPr>
                <w:ilvl w:val="0"/>
                <w:numId w:val="14"/>
              </w:numPr>
              <w:rPr>
                <w:lang w:val="en-AU"/>
              </w:rPr>
            </w:pPr>
            <w:r w:rsidRPr="00276CAE">
              <w:rPr>
                <w:lang w:val="en-AU"/>
              </w:rPr>
              <w:t xml:space="preserve">Physician and other healthcare personnel responses to </w:t>
            </w:r>
            <w:r w:rsidRPr="00276CAE">
              <w:rPr>
                <w:b/>
                <w:lang w:val="en-AU"/>
              </w:rPr>
              <w:t>hospital stroke quality of care performance feedback</w:t>
            </w:r>
            <w:r w:rsidRPr="00276CAE">
              <w:rPr>
                <w:lang w:val="en-AU"/>
              </w:rPr>
              <w:t xml:space="preserve">: a qualitative study </w:t>
            </w:r>
            <w:r>
              <w:rPr>
                <w:lang w:val="en-AU"/>
              </w:rPr>
              <w:t>(</w:t>
            </w:r>
            <w:r w:rsidRPr="00276CAE">
              <w:rPr>
                <w:lang w:val="en-AU"/>
              </w:rPr>
              <w:t>Joseph S Ross, Linda Williams, Teresa M Damush, Marianne Matthias</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1E07AC" w:rsidP="00CA5B00">
            <w:pPr>
              <w:rPr>
                <w:lang w:val="en-AU"/>
              </w:rPr>
            </w:pPr>
            <w:hyperlink r:id="rId26"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AF6568" w:rsidRPr="002302EF" w:rsidRDefault="000C3C0C" w:rsidP="000C3C0C">
            <w:pPr>
              <w:pStyle w:val="ListParagraph"/>
              <w:numPr>
                <w:ilvl w:val="0"/>
                <w:numId w:val="14"/>
              </w:numPr>
              <w:rPr>
                <w:lang w:val="en-AU"/>
              </w:rPr>
            </w:pPr>
            <w:r w:rsidRPr="000C3C0C">
              <w:rPr>
                <w:lang w:val="en-AU"/>
              </w:rPr>
              <w:t>Evaluation of ultraviolet irradiation efficacy in an automated system for</w:t>
            </w:r>
            <w:r>
              <w:rPr>
                <w:lang w:val="en-AU"/>
              </w:rPr>
              <w:t xml:space="preserve"> </w:t>
            </w:r>
            <w:r w:rsidRPr="000C3C0C">
              <w:rPr>
                <w:lang w:val="en-AU"/>
              </w:rPr>
              <w:t xml:space="preserve">the </w:t>
            </w:r>
            <w:r w:rsidRPr="000C3C0C">
              <w:rPr>
                <w:b/>
                <w:lang w:val="en-AU"/>
              </w:rPr>
              <w:t>aseptic compounding</w:t>
            </w:r>
            <w:r w:rsidRPr="000C3C0C">
              <w:rPr>
                <w:lang w:val="en-AU"/>
              </w:rPr>
              <w:t xml:space="preserve"> using challenge test</w:t>
            </w:r>
            <w:r>
              <w:rPr>
                <w:lang w:val="en-AU"/>
              </w:rPr>
              <w:t xml:space="preserve"> (</w:t>
            </w:r>
            <w:r w:rsidRPr="000C3C0C">
              <w:rPr>
                <w:lang w:val="en-AU"/>
              </w:rPr>
              <w:t>Francesca Bruscolini, Demis Paolucci, Valeria Rosini, Luigia Sabatini, Elisa Andreozzi, and A Pianetti</w:t>
            </w:r>
            <w:r>
              <w:rPr>
                <w:lang w:val="en-AU"/>
              </w:rPr>
              <w:t>)</w:t>
            </w:r>
          </w:p>
        </w:tc>
      </w:tr>
    </w:tbl>
    <w:p w:rsidR="00AF6568" w:rsidRPr="002302EF" w:rsidRDefault="00AF6568" w:rsidP="00AF6568">
      <w:pPr>
        <w:rPr>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513465" w:rsidRPr="00EF2D1B" w:rsidRDefault="00EF2D1B" w:rsidP="00470630">
      <w:pPr>
        <w:tabs>
          <w:tab w:val="left" w:pos="6440"/>
        </w:tabs>
        <w:rPr>
          <w:i/>
          <w:lang w:val="en-AU"/>
        </w:rPr>
      </w:pPr>
      <w:r w:rsidRPr="00EF2D1B">
        <w:rPr>
          <w:i/>
          <w:lang w:val="en-AU"/>
        </w:rPr>
        <w:t>[USA] Vital</w:t>
      </w:r>
      <w:r>
        <w:rPr>
          <w:i/>
          <w:lang w:val="en-AU"/>
        </w:rPr>
        <w:t xml:space="preserve"> </w:t>
      </w:r>
      <w:r w:rsidRPr="00EF2D1B">
        <w:rPr>
          <w:i/>
          <w:lang w:val="en-AU"/>
        </w:rPr>
        <w:t>Signs</w:t>
      </w:r>
    </w:p>
    <w:p w:rsidR="00EF2D1B" w:rsidRDefault="001E07AC" w:rsidP="00EE6723">
      <w:pPr>
        <w:rPr>
          <w:lang w:val="en-AU"/>
        </w:rPr>
      </w:pPr>
      <w:hyperlink r:id="rId27" w:history="1">
        <w:r w:rsidR="00EF2D1B" w:rsidRPr="007D7321">
          <w:rPr>
            <w:rStyle w:val="Hyperlink"/>
            <w:lang w:val="en-AU"/>
          </w:rPr>
          <w:t>http://www.cdc.gov/vitalsigns/</w:t>
        </w:r>
      </w:hyperlink>
    </w:p>
    <w:p w:rsidR="00EF2D1B" w:rsidRDefault="00EF2D1B" w:rsidP="00EE6723">
      <w:pPr>
        <w:rPr>
          <w:lang w:val="en-AU"/>
        </w:rPr>
      </w:pPr>
      <w:r>
        <w:rPr>
          <w:color w:val="333333"/>
          <w:shd w:val="clear" w:color="auto" w:fill="FFFFFF"/>
          <w:lang w:val="en-AU"/>
        </w:rPr>
        <w:t xml:space="preserve">The latest editions of </w:t>
      </w:r>
      <w:r w:rsidRPr="008A7F82">
        <w:rPr>
          <w:i/>
          <w:color w:val="333333"/>
          <w:shd w:val="clear" w:color="auto" w:fill="FFFFFF"/>
          <w:lang w:val="en-AU"/>
        </w:rPr>
        <w:t>Vital Signs</w:t>
      </w:r>
      <w:r>
        <w:rPr>
          <w:color w:val="333333"/>
          <w:shd w:val="clear" w:color="auto" w:fill="FFFFFF"/>
          <w:lang w:val="en-AU"/>
        </w:rPr>
        <w:t xml:space="preserve"> from the USA’s CDC (Centers for Disease Control and Prevention) reports on </w:t>
      </w:r>
      <w:r w:rsidRPr="008A7F82">
        <w:rPr>
          <w:color w:val="333333"/>
          <w:shd w:val="clear" w:color="auto" w:fill="FFFFFF"/>
          <w:lang w:val="en-AU"/>
        </w:rPr>
        <w:t>mathematical mode</w:t>
      </w:r>
      <w:r w:rsidR="009A6340">
        <w:rPr>
          <w:color w:val="333333"/>
          <w:shd w:val="clear" w:color="auto" w:fill="FFFFFF"/>
          <w:lang w:val="en-AU"/>
        </w:rPr>
        <w:t>l</w:t>
      </w:r>
      <w:r w:rsidRPr="008A7F82">
        <w:rPr>
          <w:color w:val="333333"/>
          <w:shd w:val="clear" w:color="auto" w:fill="FFFFFF"/>
          <w:lang w:val="en-AU"/>
        </w:rPr>
        <w:t xml:space="preserve">ling that projects increases in drug-resistant infections and </w:t>
      </w:r>
      <w:r w:rsidRPr="008A7F82">
        <w:rPr>
          <w:i/>
          <w:color w:val="333333"/>
          <w:shd w:val="clear" w:color="auto" w:fill="FFFFFF"/>
          <w:lang w:val="en-AU"/>
        </w:rPr>
        <w:t>Clostridium difficile</w:t>
      </w:r>
      <w:r w:rsidRPr="008A7F82">
        <w:rPr>
          <w:color w:val="333333"/>
          <w:shd w:val="clear" w:color="auto" w:fill="FFFFFF"/>
          <w:lang w:val="en-AU"/>
        </w:rPr>
        <w:t xml:space="preserve"> (</w:t>
      </w:r>
      <w:r w:rsidRPr="008A7F82">
        <w:rPr>
          <w:i/>
          <w:color w:val="333333"/>
          <w:shd w:val="clear" w:color="auto" w:fill="FFFFFF"/>
          <w:lang w:val="en-AU"/>
        </w:rPr>
        <w:t>C. difficile</w:t>
      </w:r>
      <w:r w:rsidRPr="008A7F82">
        <w:rPr>
          <w:color w:val="333333"/>
          <w:shd w:val="clear" w:color="auto" w:fill="FFFFFF"/>
          <w:lang w:val="en-AU"/>
        </w:rPr>
        <w:t>) without immediate</w:t>
      </w:r>
      <w:r>
        <w:rPr>
          <w:color w:val="333333"/>
          <w:shd w:val="clear" w:color="auto" w:fill="FFFFFF"/>
          <w:lang w:val="en-AU"/>
        </w:rPr>
        <w:t xml:space="preserve"> </w:t>
      </w:r>
      <w:r w:rsidRPr="008A7F82">
        <w:rPr>
          <w:color w:val="333333"/>
          <w:shd w:val="clear" w:color="auto" w:fill="FFFFFF"/>
          <w:lang w:val="en-AU"/>
        </w:rPr>
        <w:t xml:space="preserve"> improvements in infection control and antibiotic prescribing.</w:t>
      </w:r>
      <w:r>
        <w:rPr>
          <w:color w:val="333333"/>
          <w:shd w:val="clear" w:color="auto" w:fill="FFFFFF"/>
          <w:lang w:val="en-AU"/>
        </w:rPr>
        <w:t xml:space="preserve"> According to the CDC, </w:t>
      </w:r>
      <w:r w:rsidRPr="008A7F82">
        <w:rPr>
          <w:b/>
          <w:color w:val="333333"/>
          <w:shd w:val="clear" w:color="auto" w:fill="FFFFFF"/>
          <w:lang w:val="en-AU"/>
        </w:rPr>
        <w:t>antibiotic-resistant organisms cause</w:t>
      </w:r>
      <w:r w:rsidRPr="008A7F82">
        <w:rPr>
          <w:color w:val="333333"/>
          <w:shd w:val="clear" w:color="auto" w:fill="FFFFFF"/>
          <w:lang w:val="en-AU"/>
        </w:rPr>
        <w:t xml:space="preserve"> more than </w:t>
      </w:r>
      <w:r w:rsidRPr="008A7F82">
        <w:rPr>
          <w:b/>
          <w:color w:val="333333"/>
          <w:shd w:val="clear" w:color="auto" w:fill="FFFFFF"/>
          <w:lang w:val="en-AU"/>
        </w:rPr>
        <w:t>2 million illnesses</w:t>
      </w:r>
      <w:r w:rsidRPr="008A7F82">
        <w:rPr>
          <w:color w:val="333333"/>
          <w:shd w:val="clear" w:color="auto" w:fill="FFFFFF"/>
          <w:lang w:val="en-AU"/>
        </w:rPr>
        <w:t xml:space="preserve"> and at least </w:t>
      </w:r>
      <w:r w:rsidRPr="008A7F82">
        <w:rPr>
          <w:b/>
          <w:color w:val="333333"/>
          <w:shd w:val="clear" w:color="auto" w:fill="FFFFFF"/>
          <w:lang w:val="en-AU"/>
        </w:rPr>
        <w:t>23,000 deaths</w:t>
      </w:r>
      <w:r w:rsidRPr="008A7F82">
        <w:rPr>
          <w:color w:val="333333"/>
          <w:shd w:val="clear" w:color="auto" w:fill="FFFFFF"/>
          <w:lang w:val="en-AU"/>
        </w:rPr>
        <w:t xml:space="preserve"> each year in the United States. </w:t>
      </w:r>
      <w:r>
        <w:rPr>
          <w:color w:val="333333"/>
          <w:shd w:val="clear" w:color="auto" w:fill="FFFFFF"/>
          <w:lang w:val="en-AU"/>
        </w:rPr>
        <w:t xml:space="preserve">In the USA, </w:t>
      </w:r>
      <w:r w:rsidRPr="008A7F82">
        <w:rPr>
          <w:i/>
          <w:color w:val="333333"/>
          <w:shd w:val="clear" w:color="auto" w:fill="FFFFFF"/>
          <w:lang w:val="en-AU"/>
        </w:rPr>
        <w:t>C. difficile</w:t>
      </w:r>
      <w:r w:rsidRPr="008A7F82">
        <w:rPr>
          <w:color w:val="333333"/>
          <w:shd w:val="clear" w:color="auto" w:fill="FFFFFF"/>
          <w:lang w:val="en-AU"/>
        </w:rPr>
        <w:t xml:space="preserve"> </w:t>
      </w:r>
      <w:r>
        <w:rPr>
          <w:color w:val="333333"/>
          <w:shd w:val="clear" w:color="auto" w:fill="FFFFFF"/>
          <w:lang w:val="en-AU"/>
        </w:rPr>
        <w:t xml:space="preserve">alone </w:t>
      </w:r>
      <w:r w:rsidRPr="008A7F82">
        <w:rPr>
          <w:color w:val="333333"/>
          <w:shd w:val="clear" w:color="auto" w:fill="FFFFFF"/>
          <w:lang w:val="en-AU"/>
        </w:rPr>
        <w:t xml:space="preserve">caused </w:t>
      </w:r>
      <w:r>
        <w:rPr>
          <w:color w:val="333333"/>
          <w:shd w:val="clear" w:color="auto" w:fill="FFFFFF"/>
          <w:lang w:val="en-AU"/>
        </w:rPr>
        <w:t xml:space="preserve">nearly </w:t>
      </w:r>
      <w:r w:rsidRPr="008A7F82">
        <w:rPr>
          <w:color w:val="333333"/>
          <w:shd w:val="clear" w:color="auto" w:fill="FFFFFF"/>
          <w:lang w:val="en-AU"/>
        </w:rPr>
        <w:t xml:space="preserve">half a million illnesses </w:t>
      </w:r>
      <w:r>
        <w:rPr>
          <w:color w:val="333333"/>
          <w:shd w:val="clear" w:color="auto" w:fill="FFFFFF"/>
          <w:lang w:val="en-AU"/>
        </w:rPr>
        <w:t xml:space="preserve">in </w:t>
      </w:r>
      <w:r w:rsidRPr="008A7F82">
        <w:rPr>
          <w:color w:val="333333"/>
          <w:shd w:val="clear" w:color="auto" w:fill="FFFFFF"/>
          <w:lang w:val="en-AU"/>
        </w:rPr>
        <w:t xml:space="preserve">2011, and an estimated 15,000 deaths a year are directly attributable to </w:t>
      </w:r>
      <w:r w:rsidRPr="008A7F82">
        <w:rPr>
          <w:i/>
          <w:color w:val="333333"/>
          <w:shd w:val="clear" w:color="auto" w:fill="FFFFFF"/>
          <w:lang w:val="en-AU"/>
        </w:rPr>
        <w:t>C. difficile</w:t>
      </w:r>
      <w:r w:rsidRPr="008A7F82">
        <w:rPr>
          <w:color w:val="333333"/>
          <w:shd w:val="clear" w:color="auto" w:fill="FFFFFF"/>
          <w:lang w:val="en-AU"/>
        </w:rPr>
        <w:t xml:space="preserve"> infections</w:t>
      </w:r>
    </w:p>
    <w:p w:rsidR="00EF2D1B" w:rsidRDefault="00EF2D1B" w:rsidP="00EE6723">
      <w:pPr>
        <w:rPr>
          <w:lang w:val="en-AU"/>
        </w:rPr>
      </w:pPr>
    </w:p>
    <w:p w:rsidR="00EF2D1B" w:rsidRDefault="00EF2D1B" w:rsidP="00EF2D1B">
      <w:pPr>
        <w:keepNext/>
        <w:keepLines/>
        <w:autoSpaceDE w:val="0"/>
        <w:autoSpaceDN w:val="0"/>
        <w:adjustRightInd w:val="0"/>
        <w:rPr>
          <w:lang w:val="en-AU"/>
        </w:rPr>
      </w:pPr>
      <w:r>
        <w:rPr>
          <w:lang w:val="en-AU"/>
        </w:rPr>
        <w:t xml:space="preserve">For information on the Commission’s </w:t>
      </w:r>
      <w:r w:rsidRPr="008A7F82">
        <w:rPr>
          <w:lang w:val="en-AU"/>
        </w:rPr>
        <w:t xml:space="preserve">Antimicrobial Use and Resistance in Australia Project </w:t>
      </w:r>
      <w:hyperlink r:id="rId28" w:history="1">
        <w:r w:rsidRPr="005F733D">
          <w:rPr>
            <w:rStyle w:val="Hyperlink"/>
            <w:lang w:val="en-AU"/>
          </w:rPr>
          <w:t>http://www.safetyandquality.gov.au/national-priorities/amr-and-au-surveillance-project/</w:t>
        </w:r>
      </w:hyperlink>
      <w:r>
        <w:rPr>
          <w:lang w:val="en-AU"/>
        </w:rPr>
        <w:t xml:space="preserve"> </w:t>
      </w:r>
    </w:p>
    <w:p w:rsidR="00EF2D1B" w:rsidRDefault="00EF2D1B" w:rsidP="00EF2D1B">
      <w:pPr>
        <w:keepNext/>
        <w:keepLines/>
        <w:autoSpaceDE w:val="0"/>
        <w:autoSpaceDN w:val="0"/>
        <w:adjustRightInd w:val="0"/>
        <w:rPr>
          <w:lang w:val="en-AU"/>
        </w:rPr>
      </w:pPr>
      <w:r w:rsidRPr="008A4F3D">
        <w:rPr>
          <w:lang w:val="en-AU"/>
        </w:rPr>
        <w:t>For information on the Commission’s work on</w:t>
      </w:r>
      <w:r>
        <w:rPr>
          <w:lang w:val="en-AU"/>
        </w:rPr>
        <w:t xml:space="preserve"> healthcare associated infections, see </w:t>
      </w:r>
      <w:hyperlink r:id="rId29" w:history="1">
        <w:r w:rsidRPr="005F733D">
          <w:rPr>
            <w:rStyle w:val="Hyperlink"/>
            <w:lang w:val="en-AU"/>
          </w:rPr>
          <w:t>http://www.safetyandquality.gov.au/our-work/healthcare-associated-infection/</w:t>
        </w:r>
      </w:hyperlink>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AC" w:rsidRDefault="001E07AC">
      <w:r>
        <w:separator/>
      </w:r>
    </w:p>
  </w:endnote>
  <w:endnote w:type="continuationSeparator" w:id="0">
    <w:p w:rsidR="001E07AC" w:rsidRDefault="001E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60260">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w:t>
    </w:r>
    <w:r w:rsidR="007D72A3">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260">
      <w:rPr>
        <w:rStyle w:val="PageNumber"/>
        <w:noProof/>
      </w:rPr>
      <w:t>1</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7D72A3">
      <w:t xml:space="preserve"> Issue 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AC" w:rsidRDefault="001E07AC">
      <w:r>
        <w:separator/>
      </w:r>
    </w:p>
  </w:footnote>
  <w:footnote w:type="continuationSeparator" w:id="0">
    <w:p w:rsidR="001E07AC" w:rsidRDefault="001E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35255"/>
    <w:multiLevelType w:val="hybridMultilevel"/>
    <w:tmpl w:val="A560E1A4"/>
    <w:lvl w:ilvl="0" w:tplc="8D8A88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2B4E5D"/>
    <w:multiLevelType w:val="hybridMultilevel"/>
    <w:tmpl w:val="0C18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B35373"/>
    <w:multiLevelType w:val="hybridMultilevel"/>
    <w:tmpl w:val="6C2E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C1B38A6"/>
    <w:multiLevelType w:val="hybridMultilevel"/>
    <w:tmpl w:val="130A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E60D8B"/>
    <w:multiLevelType w:val="hybridMultilevel"/>
    <w:tmpl w:val="8A30B566"/>
    <w:lvl w:ilvl="0" w:tplc="8D8A88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210C0C"/>
    <w:multiLevelType w:val="hybridMultilevel"/>
    <w:tmpl w:val="750E042E"/>
    <w:lvl w:ilvl="0" w:tplc="8D8A88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7"/>
  </w:num>
  <w:num w:numId="15">
    <w:abstractNumId w:val="40"/>
  </w:num>
  <w:num w:numId="16">
    <w:abstractNumId w:val="42"/>
  </w:num>
  <w:num w:numId="17">
    <w:abstractNumId w:val="15"/>
  </w:num>
  <w:num w:numId="18">
    <w:abstractNumId w:val="33"/>
  </w:num>
  <w:num w:numId="19">
    <w:abstractNumId w:val="24"/>
  </w:num>
  <w:num w:numId="20">
    <w:abstractNumId w:val="16"/>
  </w:num>
  <w:num w:numId="21">
    <w:abstractNumId w:val="29"/>
  </w:num>
  <w:num w:numId="22">
    <w:abstractNumId w:val="12"/>
  </w:num>
  <w:num w:numId="23">
    <w:abstractNumId w:val="28"/>
  </w:num>
  <w:num w:numId="24">
    <w:abstractNumId w:val="25"/>
  </w:num>
  <w:num w:numId="25">
    <w:abstractNumId w:val="35"/>
  </w:num>
  <w:num w:numId="26">
    <w:abstractNumId w:val="43"/>
  </w:num>
  <w:num w:numId="27">
    <w:abstractNumId w:val="11"/>
  </w:num>
  <w:num w:numId="28">
    <w:abstractNumId w:val="45"/>
  </w:num>
  <w:num w:numId="29">
    <w:abstractNumId w:val="44"/>
  </w:num>
  <w:num w:numId="30">
    <w:abstractNumId w:val="31"/>
  </w:num>
  <w:num w:numId="31">
    <w:abstractNumId w:val="41"/>
  </w:num>
  <w:num w:numId="32">
    <w:abstractNumId w:val="30"/>
  </w:num>
  <w:num w:numId="33">
    <w:abstractNumId w:val="17"/>
  </w:num>
  <w:num w:numId="34">
    <w:abstractNumId w:val="18"/>
  </w:num>
  <w:num w:numId="35">
    <w:abstractNumId w:val="32"/>
  </w:num>
  <w:num w:numId="36">
    <w:abstractNumId w:val="19"/>
  </w:num>
  <w:num w:numId="37">
    <w:abstractNumId w:val="46"/>
  </w:num>
  <w:num w:numId="38">
    <w:abstractNumId w:val="23"/>
  </w:num>
  <w:num w:numId="39">
    <w:abstractNumId w:val="37"/>
  </w:num>
  <w:num w:numId="40">
    <w:abstractNumId w:val="13"/>
  </w:num>
  <w:num w:numId="41">
    <w:abstractNumId w:val="21"/>
  </w:num>
  <w:num w:numId="42">
    <w:abstractNumId w:val="14"/>
  </w:num>
  <w:num w:numId="43">
    <w:abstractNumId w:val="22"/>
  </w:num>
  <w:num w:numId="44">
    <w:abstractNumId w:val="20"/>
  </w:num>
  <w:num w:numId="45">
    <w:abstractNumId w:val="38"/>
  </w:num>
  <w:num w:numId="46">
    <w:abstractNumId w:val="36"/>
  </w:num>
  <w:num w:numId="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378"/>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64"/>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9DF"/>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C5C"/>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gov.au/internet/main/publishing.nsf/Content/PrimaryHealthCareAdvisoryGroup-1" TargetMode="External"/><Relationship Id="rId26" Type="http://schemas.openxmlformats.org/officeDocument/2006/relationships/hyperlink" Target="http://intqhc.oxfordjournals.org/content/early/recent?papetoc" TargetMode="External"/><Relationship Id="rId3" Type="http://schemas.openxmlformats.org/officeDocument/2006/relationships/styles" Target="styles.xml"/><Relationship Id="rId21" Type="http://schemas.openxmlformats.org/officeDocument/2006/relationships/hyperlink" Target="http://www.safetyandquality.gov.au/our-work/accreditation-and-the-nsqhs-standard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hee.nhs.uk/work-programmes/primary-and-community-care-programme/primary-care-workforce-commission/" TargetMode="External"/><Relationship Id="rId25" Type="http://schemas.openxmlformats.org/officeDocument/2006/relationships/hyperlink" Target="http://qualitysafety.bmj.com/content/early/rec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mc-uk.org/education/standards.asp" TargetMode="External"/><Relationship Id="rId20" Type="http://schemas.openxmlformats.org/officeDocument/2006/relationships/hyperlink" Target="http://www.safetyandquality.gov.au/our-work/patient-and-consumer-centred-care/" TargetMode="External"/><Relationship Id="rId29" Type="http://schemas.openxmlformats.org/officeDocument/2006/relationships/hyperlink" Target="http://www.safetyandquality.gov.au/our-work/healthcare-associated-inf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intqhc.oxfordjournals.org/content/27/4?et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3310/hsdr03310" TargetMode="External"/><Relationship Id="rId28" Type="http://schemas.openxmlformats.org/officeDocument/2006/relationships/hyperlink" Target="http://www.safetyandquality.gov.au/national-priorities/amr-and-au-surveillance-project/"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4.01656"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qs-2015-004034" TargetMode="External"/><Relationship Id="rId27" Type="http://schemas.openxmlformats.org/officeDocument/2006/relationships/hyperlink" Target="http://www.cdc.gov/vitalsign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3556-4B6C-42DD-B354-0FAF7C6B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5</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16191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2015-08-02T21:43:00Z</dcterms:created>
  <dcterms:modified xsi:type="dcterms:W3CDTF">2015-08-09T04:44:00Z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