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01BA8">
        <w:rPr>
          <w:color w:val="000000"/>
          <w:lang w:val="en-AU"/>
        </w:rPr>
        <w:t>36</w:t>
      </w:r>
    </w:p>
    <w:p w:rsidR="00755242" w:rsidRPr="002302EF" w:rsidRDefault="007D72A3" w:rsidP="00B160EF">
      <w:pPr>
        <w:rPr>
          <w:lang w:val="en-AU"/>
        </w:rPr>
      </w:pPr>
      <w:r>
        <w:rPr>
          <w:lang w:val="en-AU"/>
        </w:rPr>
        <w:t>1</w:t>
      </w:r>
      <w:r w:rsidR="00101BA8">
        <w:rPr>
          <w:lang w:val="en-AU"/>
        </w:rPr>
        <w:t>7</w:t>
      </w:r>
      <w:r w:rsidR="00E3354F">
        <w:rPr>
          <w:lang w:val="en-AU"/>
        </w:rPr>
        <w:t xml:space="preserve"> August</w:t>
      </w:r>
      <w:r w:rsidR="000F1551">
        <w:rPr>
          <w:lang w:val="en-AU"/>
        </w:rPr>
        <w:t xml:space="preserve">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121C47" w:rsidRDefault="00121C47" w:rsidP="00121C47">
      <w:pPr>
        <w:keepNext/>
        <w:keepLines/>
        <w:autoSpaceDE w:val="0"/>
        <w:autoSpaceDN w:val="0"/>
        <w:adjustRightInd w:val="0"/>
        <w:rPr>
          <w:i/>
          <w:lang w:val="en-AU"/>
        </w:rPr>
      </w:pPr>
    </w:p>
    <w:p w:rsidR="00101BA8" w:rsidRPr="002302EF" w:rsidRDefault="00101BA8" w:rsidP="00101BA8">
      <w:pPr>
        <w:keepNext/>
        <w:autoSpaceDE w:val="0"/>
        <w:autoSpaceDN w:val="0"/>
        <w:adjustRightInd w:val="0"/>
        <w:rPr>
          <w:b/>
          <w:lang w:val="en-AU"/>
        </w:rPr>
      </w:pPr>
      <w:r>
        <w:rPr>
          <w:b/>
          <w:lang w:val="en-AU"/>
        </w:rPr>
        <w:t>Report</w:t>
      </w:r>
      <w:r w:rsidR="001A63FD">
        <w:rPr>
          <w:b/>
          <w:lang w:val="en-AU"/>
        </w:rPr>
        <w:t>s</w:t>
      </w:r>
    </w:p>
    <w:p w:rsidR="00BE0F6A" w:rsidRDefault="00BE0F6A" w:rsidP="00BE0F6A">
      <w:pPr>
        <w:keepNext/>
        <w:keepLines/>
        <w:autoSpaceDE w:val="0"/>
        <w:autoSpaceDN w:val="0"/>
        <w:adjustRightInd w:val="0"/>
        <w:rPr>
          <w:i/>
          <w:lang w:val="en-AU"/>
        </w:rPr>
      </w:pPr>
    </w:p>
    <w:p w:rsidR="00CB0759" w:rsidRPr="006E1BB1" w:rsidRDefault="00CB0759" w:rsidP="00CB0759">
      <w:pPr>
        <w:keepNext/>
        <w:keepLines/>
        <w:autoSpaceDE w:val="0"/>
        <w:autoSpaceDN w:val="0"/>
        <w:adjustRightInd w:val="0"/>
        <w:rPr>
          <w:i/>
          <w:lang w:val="en-AU"/>
        </w:rPr>
      </w:pPr>
      <w:r w:rsidRPr="006E1BB1">
        <w:rPr>
          <w:i/>
          <w:lang w:val="en-AU"/>
        </w:rPr>
        <w:t>Health Literacy: Past, Present, and Future: Workshop Summary</w:t>
      </w:r>
    </w:p>
    <w:p w:rsidR="00CB0759" w:rsidRDefault="00CB0759" w:rsidP="00CB0759">
      <w:pPr>
        <w:keepNext/>
        <w:keepLines/>
        <w:autoSpaceDE w:val="0"/>
        <w:autoSpaceDN w:val="0"/>
        <w:adjustRightInd w:val="0"/>
        <w:rPr>
          <w:lang w:val="en-AU"/>
        </w:rPr>
      </w:pPr>
      <w:r w:rsidRPr="006E1BB1">
        <w:rPr>
          <w:lang w:val="en-AU"/>
        </w:rPr>
        <w:t>The National Academies of Sciences E</w:t>
      </w:r>
      <w:r>
        <w:rPr>
          <w:lang w:val="en-AU"/>
        </w:rPr>
        <w:t>ngineering</w:t>
      </w:r>
      <w:r w:rsidRPr="006E1BB1">
        <w:rPr>
          <w:lang w:val="en-AU"/>
        </w:rPr>
        <w:t>, and Medicine</w:t>
      </w:r>
    </w:p>
    <w:p w:rsidR="00CB0759" w:rsidRPr="00776A91" w:rsidRDefault="00CB0759" w:rsidP="00CB0759">
      <w:pPr>
        <w:keepNext/>
        <w:keepLines/>
        <w:autoSpaceDE w:val="0"/>
        <w:autoSpaceDN w:val="0"/>
        <w:adjustRightInd w:val="0"/>
        <w:rPr>
          <w:lang w:val="en-AU"/>
        </w:rPr>
      </w:pPr>
      <w:r w:rsidRPr="006E1BB1">
        <w:rPr>
          <w:lang w:val="en-AU"/>
        </w:rPr>
        <w:t xml:space="preserve">Washington DC: The National Academies Press; 2015. </w:t>
      </w:r>
      <w:proofErr w:type="gramStart"/>
      <w:r w:rsidRPr="006E1BB1">
        <w:rPr>
          <w:lang w:val="en-AU"/>
        </w:rPr>
        <w:t>130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2302EF" w:rsidRDefault="009E737E" w:rsidP="00F540C3">
            <w:pPr>
              <w:rPr>
                <w:lang w:val="en-AU"/>
              </w:rPr>
            </w:pPr>
            <w:hyperlink r:id="rId16" w:history="1">
              <w:r w:rsidR="00CB0759" w:rsidRPr="00002C07">
                <w:rPr>
                  <w:rStyle w:val="Hyperlink"/>
                  <w:lang w:val="en-AU"/>
                </w:rPr>
                <w:t>http://iom.nationalacademies.org/Reports/2015/Health-Literacy-Past-Present-Future.aspx</w:t>
              </w:r>
            </w:hyperlink>
          </w:p>
        </w:tc>
      </w:tr>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7D72A3" w:rsidRDefault="00CB0759" w:rsidP="00F540C3">
            <w:pPr>
              <w:rPr>
                <w:color w:val="333333"/>
                <w:shd w:val="clear" w:color="auto" w:fill="FFFFFF"/>
                <w:lang w:val="en-AU"/>
              </w:rPr>
            </w:pPr>
            <w:r>
              <w:rPr>
                <w:color w:val="333333"/>
                <w:shd w:val="clear" w:color="auto" w:fill="FFFFFF"/>
                <w:lang w:val="en-AU"/>
              </w:rPr>
              <w:t xml:space="preserve">The (US) Institute of Medicine </w:t>
            </w:r>
            <w:proofErr w:type="gramStart"/>
            <w:r>
              <w:rPr>
                <w:color w:val="333333"/>
                <w:shd w:val="clear" w:color="auto" w:fill="FFFFFF"/>
                <w:lang w:val="en-AU"/>
              </w:rPr>
              <w:t>have</w:t>
            </w:r>
            <w:proofErr w:type="gramEnd"/>
            <w:r>
              <w:rPr>
                <w:color w:val="333333"/>
                <w:shd w:val="clear" w:color="auto" w:fill="FFFFFF"/>
                <w:lang w:val="en-AU"/>
              </w:rPr>
              <w:t xml:space="preserve"> released this summary of workshop that examined the state of health literacy, particularly as it has changed over the last decade. The view is that a decade ago, “</w:t>
            </w:r>
            <w:r w:rsidRPr="006C33C8">
              <w:rPr>
                <w:color w:val="333333"/>
                <w:shd w:val="clear" w:color="auto" w:fill="FFFFFF"/>
                <w:lang w:val="en-AU"/>
              </w:rPr>
              <w:t xml:space="preserve">there was a lack of recognition of </w:t>
            </w:r>
            <w:r w:rsidRPr="006C33C8">
              <w:rPr>
                <w:b/>
                <w:color w:val="333333"/>
                <w:shd w:val="clear" w:color="auto" w:fill="FFFFFF"/>
                <w:lang w:val="en-AU"/>
              </w:rPr>
              <w:t>health literacy</w:t>
            </w:r>
            <w:r w:rsidRPr="006C33C8">
              <w:rPr>
                <w:color w:val="333333"/>
                <w:shd w:val="clear" w:color="auto" w:fill="FFFFFF"/>
                <w:lang w:val="en-AU"/>
              </w:rPr>
              <w:t xml:space="preserve"> as a </w:t>
            </w:r>
            <w:r w:rsidRPr="006C33C8">
              <w:rPr>
                <w:b/>
                <w:color w:val="333333"/>
                <w:shd w:val="clear" w:color="auto" w:fill="FFFFFF"/>
                <w:lang w:val="en-AU"/>
              </w:rPr>
              <w:t>foundational element for high-quality, patient-</w:t>
            </w:r>
            <w:proofErr w:type="spellStart"/>
            <w:r w:rsidRPr="006C33C8">
              <w:rPr>
                <w:b/>
                <w:color w:val="333333"/>
                <w:shd w:val="clear" w:color="auto" w:fill="FFFFFF"/>
                <w:lang w:val="en-AU"/>
              </w:rPr>
              <w:t>centered</w:t>
            </w:r>
            <w:proofErr w:type="spellEnd"/>
            <w:r w:rsidRPr="006C33C8">
              <w:rPr>
                <w:b/>
                <w:color w:val="333333"/>
                <w:shd w:val="clear" w:color="auto" w:fill="FFFFFF"/>
                <w:lang w:val="en-AU"/>
              </w:rPr>
              <w:t xml:space="preserve"> care</w:t>
            </w:r>
            <w:r>
              <w:rPr>
                <w:color w:val="333333"/>
                <w:shd w:val="clear" w:color="auto" w:fill="FFFFFF"/>
                <w:lang w:val="en-AU"/>
              </w:rPr>
              <w:t>…</w:t>
            </w:r>
            <w:r w:rsidRPr="006C33C8">
              <w:rPr>
                <w:color w:val="333333"/>
                <w:shd w:val="clear" w:color="auto" w:fill="FFFFFF"/>
                <w:lang w:val="en-AU"/>
              </w:rPr>
              <w:t xml:space="preserve"> understanding has evolved to the point where we now understand that </w:t>
            </w:r>
            <w:r w:rsidRPr="006C33C8">
              <w:rPr>
                <w:b/>
                <w:color w:val="333333"/>
                <w:shd w:val="clear" w:color="auto" w:fill="FFFFFF"/>
                <w:lang w:val="en-AU"/>
              </w:rPr>
              <w:t>health literacy</w:t>
            </w:r>
            <w:r w:rsidRPr="006C33C8">
              <w:rPr>
                <w:color w:val="333333"/>
                <w:shd w:val="clear" w:color="auto" w:fill="FFFFFF"/>
                <w:lang w:val="en-AU"/>
              </w:rPr>
              <w:t xml:space="preserve"> is </w:t>
            </w:r>
            <w:r w:rsidRPr="006C33C8">
              <w:rPr>
                <w:b/>
                <w:color w:val="333333"/>
                <w:shd w:val="clear" w:color="auto" w:fill="FFFFFF"/>
                <w:lang w:val="en-AU"/>
              </w:rPr>
              <w:t>not just a function of individual skills and abilities</w:t>
            </w:r>
            <w:r w:rsidRPr="006C33C8">
              <w:rPr>
                <w:color w:val="333333"/>
                <w:shd w:val="clear" w:color="auto" w:fill="FFFFFF"/>
                <w:lang w:val="en-AU"/>
              </w:rPr>
              <w:t>, it also includes the demands and complexities of the systems with which individuals interact.</w:t>
            </w:r>
            <w:r>
              <w:rPr>
                <w:color w:val="333333"/>
                <w:shd w:val="clear" w:color="auto" w:fill="FFFFFF"/>
                <w:lang w:val="en-AU"/>
              </w:rPr>
              <w:t xml:space="preserve">” This workshop summary includes </w:t>
            </w:r>
            <w:r w:rsidRPr="006C33C8">
              <w:rPr>
                <w:color w:val="333333"/>
                <w:shd w:val="clear" w:color="auto" w:fill="FFFFFF"/>
                <w:lang w:val="en-AU"/>
              </w:rPr>
              <w:t xml:space="preserve">presentations and </w:t>
            </w:r>
            <w:proofErr w:type="gramStart"/>
            <w:r w:rsidRPr="006C33C8">
              <w:rPr>
                <w:color w:val="333333"/>
                <w:shd w:val="clear" w:color="auto" w:fill="FFFFFF"/>
                <w:lang w:val="en-AU"/>
              </w:rPr>
              <w:t>discussions of the progress made in the field of health literacy since that time, explores</w:t>
            </w:r>
            <w:proofErr w:type="gramEnd"/>
            <w:r w:rsidRPr="006C33C8">
              <w:rPr>
                <w:color w:val="333333"/>
                <w:shd w:val="clear" w:color="auto" w:fill="FFFFFF"/>
                <w:lang w:val="en-AU"/>
              </w:rPr>
              <w:t xml:space="preserve"> the current state of the field, and discusses possible directions for future health literacy efforts.</w:t>
            </w:r>
          </w:p>
        </w:tc>
      </w:tr>
    </w:tbl>
    <w:p w:rsidR="00CB0759" w:rsidRDefault="00CB0759" w:rsidP="00CB0759">
      <w:pPr>
        <w:keepNext/>
        <w:keepLines/>
        <w:autoSpaceDE w:val="0"/>
        <w:autoSpaceDN w:val="0"/>
        <w:adjustRightInd w:val="0"/>
        <w:rPr>
          <w:i/>
          <w:lang w:val="en-AU"/>
        </w:rPr>
      </w:pPr>
    </w:p>
    <w:p w:rsidR="00CB0759" w:rsidRPr="006E1BB1" w:rsidRDefault="00CB0759" w:rsidP="00CB0759">
      <w:pPr>
        <w:keepNext/>
        <w:keepLines/>
        <w:autoSpaceDE w:val="0"/>
        <w:autoSpaceDN w:val="0"/>
        <w:adjustRightInd w:val="0"/>
        <w:rPr>
          <w:lang w:val="en-AU"/>
        </w:rPr>
      </w:pPr>
      <w:r w:rsidRPr="008A4F3D">
        <w:rPr>
          <w:lang w:val="en-AU"/>
        </w:rPr>
        <w:t>For information on the Commission’s work on</w:t>
      </w:r>
      <w:r>
        <w:rPr>
          <w:lang w:val="en-AU"/>
        </w:rPr>
        <w:t xml:space="preserve"> health literacy, including the </w:t>
      </w:r>
      <w:r w:rsidRPr="006E1BB1">
        <w:rPr>
          <w:i/>
          <w:lang w:val="en-AU"/>
        </w:rPr>
        <w:t>National Statement on Health Literacy</w:t>
      </w:r>
      <w:r>
        <w:rPr>
          <w:lang w:val="en-AU"/>
        </w:rPr>
        <w:t xml:space="preserve">, </w:t>
      </w:r>
      <w:proofErr w:type="gramStart"/>
      <w:r>
        <w:rPr>
          <w:lang w:val="en-AU"/>
        </w:rPr>
        <w:t>see</w:t>
      </w:r>
      <w:proofErr w:type="gramEnd"/>
      <w:r>
        <w:rPr>
          <w:lang w:val="en-AU"/>
        </w:rPr>
        <w:t xml:space="preserve"> </w:t>
      </w:r>
      <w:hyperlink r:id="rId17" w:history="1">
        <w:r w:rsidRPr="00002C07">
          <w:rPr>
            <w:rStyle w:val="Hyperlink"/>
            <w:lang w:val="en-AU"/>
          </w:rPr>
          <w:t>http://www.safetyandquality.gov.au/our-work/patient-and-consumer-centred-care/health-literacy/</w:t>
        </w:r>
      </w:hyperlink>
    </w:p>
    <w:p w:rsidR="00CB0759" w:rsidRDefault="00CB0759" w:rsidP="00BE0F6A">
      <w:pPr>
        <w:keepNext/>
        <w:keepLines/>
        <w:autoSpaceDE w:val="0"/>
        <w:autoSpaceDN w:val="0"/>
        <w:adjustRightInd w:val="0"/>
        <w:rPr>
          <w:i/>
          <w:lang w:val="en-AU"/>
        </w:rPr>
      </w:pPr>
    </w:p>
    <w:p w:rsidR="00CB0759" w:rsidRPr="00C205E9" w:rsidRDefault="00CB0759" w:rsidP="00CB0759">
      <w:pPr>
        <w:keepNext/>
        <w:keepLines/>
        <w:autoSpaceDE w:val="0"/>
        <w:autoSpaceDN w:val="0"/>
        <w:adjustRightInd w:val="0"/>
        <w:rPr>
          <w:i/>
          <w:lang w:val="en-AU"/>
        </w:rPr>
      </w:pPr>
      <w:r w:rsidRPr="00C205E9">
        <w:rPr>
          <w:i/>
          <w:lang w:val="en-AU"/>
        </w:rPr>
        <w:t>From Safety-I to Safety-II: A White Paper</w:t>
      </w:r>
    </w:p>
    <w:p w:rsidR="00CB0759" w:rsidRDefault="00CB0759" w:rsidP="00CB0759">
      <w:pPr>
        <w:keepNext/>
        <w:keepLines/>
        <w:autoSpaceDE w:val="0"/>
        <w:autoSpaceDN w:val="0"/>
        <w:adjustRightInd w:val="0"/>
        <w:rPr>
          <w:lang w:val="en-AU"/>
        </w:rPr>
      </w:pPr>
      <w:proofErr w:type="spellStart"/>
      <w:r w:rsidRPr="00C205E9">
        <w:rPr>
          <w:lang w:val="en-AU"/>
        </w:rPr>
        <w:t>Hollnagel</w:t>
      </w:r>
      <w:proofErr w:type="spellEnd"/>
      <w:r w:rsidRPr="00C205E9">
        <w:rPr>
          <w:lang w:val="en-AU"/>
        </w:rPr>
        <w:t xml:space="preserve"> E, Wears RL, Braithwaite J</w:t>
      </w:r>
    </w:p>
    <w:p w:rsidR="00CB0759" w:rsidRPr="002302EF" w:rsidRDefault="00CB0759" w:rsidP="00CB0759">
      <w:pPr>
        <w:keepNext/>
        <w:keepLines/>
        <w:autoSpaceDE w:val="0"/>
        <w:autoSpaceDN w:val="0"/>
        <w:adjustRightInd w:val="0"/>
        <w:rPr>
          <w:lang w:val="en-AU"/>
        </w:rPr>
      </w:pPr>
      <w:proofErr w:type="spellStart"/>
      <w:r w:rsidRPr="00C205E9">
        <w:rPr>
          <w:lang w:val="en-AU"/>
        </w:rPr>
        <w:t>Middelfart</w:t>
      </w:r>
      <w:proofErr w:type="spellEnd"/>
      <w:r w:rsidRPr="00C205E9">
        <w:rPr>
          <w:lang w:val="en-AU"/>
        </w:rPr>
        <w:t xml:space="preserve">, Denmark: Resilient Health Care Net; 2015. </w:t>
      </w:r>
      <w:proofErr w:type="gramStart"/>
      <w:r w:rsidRPr="00C205E9">
        <w:rPr>
          <w:lang w:val="en-AU"/>
        </w:rPr>
        <w:t>p. 43.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DD5DFA" w:rsidP="00F540C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2302EF" w:rsidRDefault="009E737E" w:rsidP="00F540C3">
            <w:pPr>
              <w:rPr>
                <w:lang w:val="en-AU"/>
              </w:rPr>
            </w:pPr>
            <w:hyperlink r:id="rId18" w:history="1">
              <w:r w:rsidR="00CB0759" w:rsidRPr="00002C07">
                <w:rPr>
                  <w:rStyle w:val="Hyperlink"/>
                  <w:lang w:val="en-AU"/>
                </w:rPr>
                <w:t>http://resilienthealthcare.net/onewebmedia/WhitePaperFinal.pdf</w:t>
              </w:r>
            </w:hyperlink>
            <w:r w:rsidR="00CB0759">
              <w:rPr>
                <w:lang w:val="en-AU"/>
              </w:rPr>
              <w:t xml:space="preserve"> </w:t>
            </w:r>
          </w:p>
        </w:tc>
      </w:tr>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Default="00CB0759" w:rsidP="00F540C3">
            <w:pPr>
              <w:rPr>
                <w:lang w:val="en-AU"/>
              </w:rPr>
            </w:pPr>
            <w:r>
              <w:rPr>
                <w:lang w:val="en-AU"/>
              </w:rPr>
              <w:t xml:space="preserve">In recent years one of the themes to emerge in discussion about how we improve health services is that of resilience. Resilient health care should mean a health service/system that can cope with surges, errors, etc. and ‘bend but not break’. This white paper has been produced by the </w:t>
            </w:r>
            <w:r w:rsidRPr="00C205E9">
              <w:rPr>
                <w:lang w:val="en-AU"/>
              </w:rPr>
              <w:t>Resilient Health Care Net (RHCN)</w:t>
            </w:r>
            <w:r>
              <w:rPr>
                <w:lang w:val="en-AU"/>
              </w:rPr>
              <w:t>. The RHCN characterise themselves as “</w:t>
            </w:r>
            <w:r w:rsidRPr="00C205E9">
              <w:rPr>
                <w:lang w:val="en-AU"/>
              </w:rPr>
              <w:t>a non-commercial collaboration of an international group of researchers and practitioners with the aim to apply Resilience Engineering principles in health care</w:t>
            </w:r>
            <w:r>
              <w:rPr>
                <w:lang w:val="en-AU"/>
              </w:rPr>
              <w:t>”.</w:t>
            </w:r>
          </w:p>
          <w:p w:rsidR="00CB0759" w:rsidRDefault="00CB0759" w:rsidP="00F540C3">
            <w:pPr>
              <w:rPr>
                <w:lang w:val="en-AU"/>
              </w:rPr>
            </w:pPr>
            <w:r>
              <w:rPr>
                <w:lang w:val="en-AU"/>
              </w:rPr>
              <w:t>In this report, ‘</w:t>
            </w:r>
            <w:r w:rsidRPr="00CB0759">
              <w:rPr>
                <w:b/>
                <w:lang w:val="en-AU"/>
              </w:rPr>
              <w:t>Safety I</w:t>
            </w:r>
            <w:r>
              <w:rPr>
                <w:lang w:val="en-AU"/>
              </w:rPr>
              <w:t>’ is defined as “</w:t>
            </w:r>
            <w:r w:rsidRPr="00CB0759">
              <w:rPr>
                <w:lang w:val="en-AU"/>
              </w:rPr>
              <w:t>a</w:t>
            </w:r>
            <w:r>
              <w:rPr>
                <w:lang w:val="en-AU"/>
              </w:rPr>
              <w:t xml:space="preserve"> </w:t>
            </w:r>
            <w:r w:rsidRPr="00CB0759">
              <w:rPr>
                <w:lang w:val="en-AU"/>
              </w:rPr>
              <w:t xml:space="preserve">state where </w:t>
            </w:r>
            <w:r w:rsidRPr="00DD5DFA">
              <w:rPr>
                <w:b/>
                <w:lang w:val="en-AU"/>
              </w:rPr>
              <w:t>as</w:t>
            </w:r>
            <w:r w:rsidRPr="00CB0759">
              <w:rPr>
                <w:lang w:val="en-AU"/>
              </w:rPr>
              <w:t xml:space="preserve"> </w:t>
            </w:r>
            <w:r w:rsidRPr="00CB0759">
              <w:rPr>
                <w:b/>
                <w:lang w:val="en-AU"/>
              </w:rPr>
              <w:t>few things as possible go wrong</w:t>
            </w:r>
            <w:r w:rsidRPr="00CB0759">
              <w:rPr>
                <w:lang w:val="en-AU"/>
              </w:rPr>
              <w:t>. A Safety-I approach presumes that things</w:t>
            </w:r>
            <w:r>
              <w:rPr>
                <w:lang w:val="en-AU"/>
              </w:rPr>
              <w:t xml:space="preserve"> </w:t>
            </w:r>
            <w:r w:rsidRPr="00CB0759">
              <w:rPr>
                <w:lang w:val="en-AU"/>
              </w:rPr>
              <w:t>go wrong because of identifiable failures or malfunctions of specific components:</w:t>
            </w:r>
            <w:r>
              <w:rPr>
                <w:lang w:val="en-AU"/>
              </w:rPr>
              <w:t xml:space="preserve"> </w:t>
            </w:r>
            <w:r w:rsidRPr="00CB0759">
              <w:rPr>
                <w:lang w:val="en-AU"/>
              </w:rPr>
              <w:t>technology, procedures, the human workers and the organisations in which they are</w:t>
            </w:r>
            <w:r>
              <w:rPr>
                <w:lang w:val="en-AU"/>
              </w:rPr>
              <w:t xml:space="preserve"> </w:t>
            </w:r>
            <w:r w:rsidRPr="00CB0759">
              <w:rPr>
                <w:lang w:val="en-AU"/>
              </w:rPr>
              <w:t>embedded.</w:t>
            </w:r>
            <w:r>
              <w:rPr>
                <w:lang w:val="en-AU"/>
              </w:rPr>
              <w:t>”</w:t>
            </w:r>
          </w:p>
          <w:p w:rsidR="00CB0759" w:rsidRDefault="00CB0759" w:rsidP="00F540C3">
            <w:pPr>
              <w:rPr>
                <w:lang w:val="en-AU"/>
              </w:rPr>
            </w:pPr>
            <w:r>
              <w:rPr>
                <w:lang w:val="en-AU"/>
              </w:rPr>
              <w:t>This is then juxtaposed with ‘</w:t>
            </w:r>
            <w:r w:rsidRPr="00CB0759">
              <w:rPr>
                <w:b/>
                <w:lang w:val="en-AU"/>
              </w:rPr>
              <w:t>Safety II</w:t>
            </w:r>
            <w:r>
              <w:rPr>
                <w:lang w:val="en-AU"/>
              </w:rPr>
              <w:t>’ in which “</w:t>
            </w:r>
            <w:r w:rsidRPr="00CB0759">
              <w:rPr>
                <w:lang w:val="en-AU"/>
              </w:rPr>
              <w:t>Safety management should therefore move from ensuring that ‘as few things as</w:t>
            </w:r>
            <w:r>
              <w:rPr>
                <w:lang w:val="en-AU"/>
              </w:rPr>
              <w:t xml:space="preserve"> </w:t>
            </w:r>
            <w:r w:rsidRPr="00CB0759">
              <w:rPr>
                <w:lang w:val="en-AU"/>
              </w:rPr>
              <w:t xml:space="preserve">possible go wrong’ to </w:t>
            </w:r>
            <w:r w:rsidRPr="00DD5DFA">
              <w:rPr>
                <w:lang w:val="en-AU"/>
              </w:rPr>
              <w:t>ensuring that ‘</w:t>
            </w:r>
            <w:r w:rsidRPr="00CB0759">
              <w:rPr>
                <w:b/>
                <w:lang w:val="en-AU"/>
              </w:rPr>
              <w:t>as many things as possible go right</w:t>
            </w:r>
            <w:r w:rsidRPr="00CB0759">
              <w:rPr>
                <w:lang w:val="en-AU"/>
              </w:rPr>
              <w:t>’. We call this</w:t>
            </w:r>
            <w:r>
              <w:rPr>
                <w:lang w:val="en-AU"/>
              </w:rPr>
              <w:t xml:space="preserve"> </w:t>
            </w:r>
            <w:r w:rsidRPr="00CB0759">
              <w:rPr>
                <w:lang w:val="en-AU"/>
              </w:rPr>
              <w:t>perspective Safety-II; it relates to the system’s ability to succeed under varying conditions</w:t>
            </w:r>
            <w:r>
              <w:rPr>
                <w:lang w:val="en-AU"/>
              </w:rPr>
              <w:t>”. In this setting, “</w:t>
            </w:r>
            <w:r w:rsidRPr="00CB0759">
              <w:rPr>
                <w:lang w:val="en-AU"/>
              </w:rPr>
              <w:t>the purpose of investigations changes to become an understanding</w:t>
            </w:r>
            <w:r>
              <w:rPr>
                <w:lang w:val="en-AU"/>
              </w:rPr>
              <w:t xml:space="preserve"> </w:t>
            </w:r>
            <w:r w:rsidRPr="00CB0759">
              <w:rPr>
                <w:lang w:val="en-AU"/>
              </w:rPr>
              <w:t>of how things usually go right, since that is the basis for explaining how things occasionally</w:t>
            </w:r>
            <w:r>
              <w:rPr>
                <w:lang w:val="en-AU"/>
              </w:rPr>
              <w:t xml:space="preserve"> </w:t>
            </w:r>
            <w:r w:rsidRPr="00CB0759">
              <w:rPr>
                <w:lang w:val="en-AU"/>
              </w:rPr>
              <w:t>go wrong.</w:t>
            </w:r>
            <w:r>
              <w:rPr>
                <w:lang w:val="en-AU"/>
              </w:rPr>
              <w:t>”</w:t>
            </w:r>
          </w:p>
          <w:p w:rsidR="00CB0759" w:rsidRPr="002302EF" w:rsidRDefault="00CB0759" w:rsidP="00F540C3">
            <w:pPr>
              <w:rPr>
                <w:lang w:val="en-AU"/>
              </w:rPr>
            </w:pPr>
            <w:r>
              <w:rPr>
                <w:lang w:val="en-AU"/>
              </w:rPr>
              <w:t>This is not a call for Safety II to displace the Safety I, but rather “</w:t>
            </w:r>
            <w:r w:rsidRPr="00CB0759">
              <w:rPr>
                <w:lang w:val="en-AU"/>
              </w:rPr>
              <w:t>The way forward therefore lies in combining the</w:t>
            </w:r>
            <w:r>
              <w:rPr>
                <w:lang w:val="en-AU"/>
              </w:rPr>
              <w:t xml:space="preserve"> </w:t>
            </w:r>
            <w:r w:rsidRPr="00CB0759">
              <w:rPr>
                <w:lang w:val="en-AU"/>
              </w:rPr>
              <w:t>two ways of thinking. While many of the existing</w:t>
            </w:r>
            <w:r>
              <w:rPr>
                <w:lang w:val="en-AU"/>
              </w:rPr>
              <w:t xml:space="preserve"> </w:t>
            </w:r>
            <w:r w:rsidRPr="00CB0759">
              <w:rPr>
                <w:lang w:val="en-AU"/>
              </w:rPr>
              <w:t>methods and techniques can continue to be used, the</w:t>
            </w:r>
            <w:r>
              <w:rPr>
                <w:lang w:val="en-AU"/>
              </w:rPr>
              <w:t xml:space="preserve"> </w:t>
            </w:r>
            <w:r w:rsidRPr="00CB0759">
              <w:rPr>
                <w:lang w:val="en-AU"/>
              </w:rPr>
              <w:t>assimilation of a Safety-II view will also require new</w:t>
            </w:r>
            <w:r>
              <w:rPr>
                <w:lang w:val="en-AU"/>
              </w:rPr>
              <w:t xml:space="preserve"> </w:t>
            </w:r>
            <w:r w:rsidRPr="00CB0759">
              <w:rPr>
                <w:lang w:val="en-AU"/>
              </w:rPr>
              <w:t>practices to look for what goes right</w:t>
            </w:r>
            <w:r>
              <w:rPr>
                <w:lang w:val="en-AU"/>
              </w:rPr>
              <w:t>”.</w:t>
            </w:r>
          </w:p>
        </w:tc>
      </w:tr>
    </w:tbl>
    <w:p w:rsidR="00CB0759" w:rsidRDefault="00CB0759" w:rsidP="00CB0759">
      <w:pPr>
        <w:rPr>
          <w:i/>
          <w:lang w:val="en-AU"/>
        </w:rPr>
      </w:pPr>
    </w:p>
    <w:p w:rsidR="00733AEA" w:rsidRPr="00733AEA" w:rsidRDefault="00733AEA" w:rsidP="00733AEA">
      <w:pPr>
        <w:keepNext/>
        <w:keepLines/>
        <w:autoSpaceDE w:val="0"/>
        <w:autoSpaceDN w:val="0"/>
        <w:adjustRightInd w:val="0"/>
        <w:rPr>
          <w:i/>
          <w:lang w:val="en-AU"/>
        </w:rPr>
      </w:pPr>
      <w:r w:rsidRPr="00733AEA">
        <w:rPr>
          <w:i/>
          <w:lang w:val="en-AU"/>
        </w:rPr>
        <w:t>Environmental Cleaning for the Prevention of Healthcare-Associated Infections (HAI)</w:t>
      </w:r>
    </w:p>
    <w:p w:rsidR="003A306D" w:rsidRDefault="00733AEA" w:rsidP="00733AEA">
      <w:pPr>
        <w:keepNext/>
        <w:keepLines/>
        <w:autoSpaceDE w:val="0"/>
        <w:autoSpaceDN w:val="0"/>
        <w:adjustRightInd w:val="0"/>
        <w:rPr>
          <w:lang w:val="en-AU"/>
        </w:rPr>
      </w:pPr>
      <w:proofErr w:type="gramStart"/>
      <w:r w:rsidRPr="00733AEA">
        <w:rPr>
          <w:lang w:val="en-AU"/>
        </w:rPr>
        <w:t xml:space="preserve">Technical Brief No 22 (Prepared by the ECRI Institute – Penn Medicine Evidence-based Practice </w:t>
      </w:r>
      <w:proofErr w:type="spellStart"/>
      <w:r w:rsidRPr="00733AEA">
        <w:rPr>
          <w:lang w:val="en-AU"/>
        </w:rPr>
        <w:t>Center</w:t>
      </w:r>
      <w:proofErr w:type="spellEnd"/>
      <w:r w:rsidRPr="00733AEA">
        <w:rPr>
          <w:lang w:val="en-AU"/>
        </w:rPr>
        <w:t xml:space="preserve"> under Contract No 290-2012-00011-I) AHRQ Publication No 15-EHC020-EF.</w:t>
      </w:r>
      <w:proofErr w:type="gramEnd"/>
      <w:r w:rsidRPr="00733AEA">
        <w:rPr>
          <w:lang w:val="en-AU"/>
        </w:rPr>
        <w:t xml:space="preserve"> </w:t>
      </w:r>
    </w:p>
    <w:p w:rsidR="003A306D" w:rsidRDefault="003A306D" w:rsidP="003A306D">
      <w:pPr>
        <w:keepNext/>
        <w:keepLines/>
        <w:autoSpaceDE w:val="0"/>
        <w:autoSpaceDN w:val="0"/>
        <w:adjustRightInd w:val="0"/>
        <w:rPr>
          <w:lang w:val="en-AU"/>
        </w:rPr>
      </w:pPr>
      <w:r w:rsidRPr="00733AEA">
        <w:rPr>
          <w:lang w:val="en-AU"/>
        </w:rPr>
        <w:t xml:space="preserve">Leas BF, Sullivan N, Han JH, Pegues DA, </w:t>
      </w:r>
      <w:proofErr w:type="spellStart"/>
      <w:r w:rsidRPr="00733AEA">
        <w:rPr>
          <w:lang w:val="en-AU"/>
        </w:rPr>
        <w:t>Kaczmarek</w:t>
      </w:r>
      <w:proofErr w:type="spellEnd"/>
      <w:r w:rsidRPr="00733AEA">
        <w:rPr>
          <w:lang w:val="en-AU"/>
        </w:rPr>
        <w:t xml:space="preserve"> JL, </w:t>
      </w:r>
      <w:proofErr w:type="spellStart"/>
      <w:r w:rsidRPr="00733AEA">
        <w:rPr>
          <w:lang w:val="en-AU"/>
        </w:rPr>
        <w:t>Umscheid</w:t>
      </w:r>
      <w:proofErr w:type="spellEnd"/>
      <w:r w:rsidRPr="00733AEA">
        <w:rPr>
          <w:lang w:val="en-AU"/>
        </w:rPr>
        <w:t xml:space="preserve"> CA</w:t>
      </w:r>
    </w:p>
    <w:p w:rsidR="00733AEA" w:rsidRPr="00776A91" w:rsidRDefault="00733AEA" w:rsidP="00733AEA">
      <w:pPr>
        <w:keepNext/>
        <w:keepLines/>
        <w:autoSpaceDE w:val="0"/>
        <w:autoSpaceDN w:val="0"/>
        <w:adjustRightInd w:val="0"/>
        <w:rPr>
          <w:lang w:val="en-AU"/>
        </w:rPr>
      </w:pPr>
      <w:r w:rsidRPr="00733AEA">
        <w:rPr>
          <w:lang w:val="en-AU"/>
        </w:rPr>
        <w:t xml:space="preserve">Rockville, MD: Agency for Healthcare Research and Quality; 2015. </w:t>
      </w:r>
      <w:proofErr w:type="gramStart"/>
      <w:r w:rsidRPr="00733AEA">
        <w:rPr>
          <w:lang w:val="en-AU"/>
        </w:rPr>
        <w:t>p. 121.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33AEA" w:rsidRPr="002302EF" w:rsidTr="00982566">
        <w:tc>
          <w:tcPr>
            <w:tcW w:w="1080" w:type="dxa"/>
            <w:tcBorders>
              <w:top w:val="single" w:sz="4" w:space="0" w:color="auto"/>
              <w:left w:val="single" w:sz="4" w:space="0" w:color="auto"/>
              <w:bottom w:val="single" w:sz="4" w:space="0" w:color="auto"/>
              <w:right w:val="single" w:sz="4" w:space="0" w:color="auto"/>
            </w:tcBorders>
            <w:vAlign w:val="center"/>
          </w:tcPr>
          <w:p w:rsidR="00733AEA" w:rsidRPr="002302EF" w:rsidRDefault="00733AEA" w:rsidP="0098256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AEA" w:rsidRDefault="009E737E" w:rsidP="00982566">
            <w:pPr>
              <w:rPr>
                <w:lang w:val="en-AU"/>
              </w:rPr>
            </w:pPr>
            <w:hyperlink r:id="rId19" w:history="1">
              <w:r w:rsidR="003A306D" w:rsidRPr="00002C07">
                <w:rPr>
                  <w:rStyle w:val="Hyperlink"/>
                  <w:lang w:val="en-AU"/>
                </w:rPr>
                <w:t>www.effectivehealthcare.ahrq.gov/reports/final/cfm</w:t>
              </w:r>
            </w:hyperlink>
          </w:p>
          <w:p w:rsidR="00D6347F" w:rsidRPr="002302EF" w:rsidRDefault="009E737E" w:rsidP="00982566">
            <w:pPr>
              <w:rPr>
                <w:lang w:val="en-AU"/>
              </w:rPr>
            </w:pPr>
            <w:hyperlink r:id="rId20" w:history="1">
              <w:r w:rsidR="00D6347F" w:rsidRPr="00002C07">
                <w:rPr>
                  <w:rStyle w:val="Hyperlink"/>
                  <w:lang w:val="en-AU"/>
                </w:rPr>
                <w:t>http://www.effectivehealthcare.ahrq.gov/search-for-guides-reviews-and-reports/?pageaction=displayproduct&amp;productid=2103</w:t>
              </w:r>
            </w:hyperlink>
          </w:p>
        </w:tc>
      </w:tr>
      <w:tr w:rsidR="00733AEA" w:rsidRPr="002302EF" w:rsidTr="00982566">
        <w:tc>
          <w:tcPr>
            <w:tcW w:w="1080" w:type="dxa"/>
            <w:tcBorders>
              <w:top w:val="single" w:sz="4" w:space="0" w:color="auto"/>
              <w:left w:val="single" w:sz="4" w:space="0" w:color="auto"/>
              <w:bottom w:val="single" w:sz="4" w:space="0" w:color="auto"/>
              <w:right w:val="single" w:sz="4" w:space="0" w:color="auto"/>
            </w:tcBorders>
            <w:vAlign w:val="center"/>
          </w:tcPr>
          <w:p w:rsidR="00733AEA" w:rsidRPr="002302EF" w:rsidRDefault="00733AEA" w:rsidP="00982566">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306D" w:rsidRPr="003A306D" w:rsidRDefault="003A306D" w:rsidP="003A306D">
            <w:pPr>
              <w:rPr>
                <w:color w:val="333333"/>
                <w:shd w:val="clear" w:color="auto" w:fill="FFFFFF"/>
                <w:lang w:val="en-AU"/>
              </w:rPr>
            </w:pPr>
            <w:r>
              <w:rPr>
                <w:color w:val="333333"/>
                <w:shd w:val="clear" w:color="auto" w:fill="FFFFFF"/>
                <w:lang w:val="en-AU"/>
              </w:rPr>
              <w:t xml:space="preserve">The US Agency for Healthcare Research and Quality (AHRQ) have published this report into how cleaning in hospitals can aid in preventing and reducing healthcare associated infections (HAIs). The report includes </w:t>
            </w:r>
            <w:r w:rsidRPr="003A306D">
              <w:rPr>
                <w:color w:val="333333"/>
                <w:shd w:val="clear" w:color="auto" w:fill="FFFFFF"/>
                <w:lang w:val="en-AU"/>
              </w:rPr>
              <w:t xml:space="preserve">a review of 80 clinical studies </w:t>
            </w:r>
            <w:r>
              <w:rPr>
                <w:color w:val="333333"/>
                <w:shd w:val="clear" w:color="auto" w:fill="FFFFFF"/>
                <w:lang w:val="en-AU"/>
              </w:rPr>
              <w:t xml:space="preserve">examining </w:t>
            </w:r>
            <w:r w:rsidRPr="003A306D">
              <w:rPr>
                <w:color w:val="333333"/>
                <w:shd w:val="clear" w:color="auto" w:fill="FFFFFF"/>
                <w:lang w:val="en-AU"/>
              </w:rPr>
              <w:t>environmental cleaning of high-touch surfaces in hospital rooms</w:t>
            </w:r>
            <w:r>
              <w:rPr>
                <w:color w:val="333333"/>
                <w:shd w:val="clear" w:color="auto" w:fill="FFFFFF"/>
                <w:lang w:val="en-AU"/>
              </w:rPr>
              <w:t>.</w:t>
            </w:r>
          </w:p>
          <w:p w:rsidR="00733AEA" w:rsidRPr="007D72A3" w:rsidRDefault="003A306D" w:rsidP="003A306D">
            <w:pPr>
              <w:rPr>
                <w:color w:val="333333"/>
                <w:shd w:val="clear" w:color="auto" w:fill="FFFFFF"/>
                <w:lang w:val="en-AU"/>
              </w:rPr>
            </w:pPr>
            <w:r w:rsidRPr="003A306D">
              <w:rPr>
                <w:color w:val="333333"/>
                <w:shd w:val="clear" w:color="auto" w:fill="FFFFFF"/>
                <w:lang w:val="en-AU"/>
              </w:rPr>
              <w:t xml:space="preserve">The </w:t>
            </w:r>
            <w:r>
              <w:rPr>
                <w:color w:val="333333"/>
                <w:shd w:val="clear" w:color="auto" w:fill="FFFFFF"/>
                <w:lang w:val="en-AU"/>
              </w:rPr>
              <w:t xml:space="preserve">report shows that the </w:t>
            </w:r>
            <w:r w:rsidRPr="003A306D">
              <w:rPr>
                <w:color w:val="333333"/>
                <w:shd w:val="clear" w:color="auto" w:fill="FFFFFF"/>
                <w:lang w:val="en-AU"/>
              </w:rPr>
              <w:t xml:space="preserve">researchers found limited studies that directly compare disinfection methods, monitoring strategies or implementation efforts. </w:t>
            </w:r>
            <w:r>
              <w:rPr>
                <w:color w:val="333333"/>
                <w:shd w:val="clear" w:color="auto" w:fill="FFFFFF"/>
                <w:lang w:val="en-AU"/>
              </w:rPr>
              <w:t>R</w:t>
            </w:r>
            <w:r w:rsidRPr="003A306D">
              <w:rPr>
                <w:color w:val="333333"/>
                <w:shd w:val="clear" w:color="auto" w:fill="FFFFFF"/>
                <w:lang w:val="en-AU"/>
              </w:rPr>
              <w:t>ecommendations for future areas of study include: the examination and comparison of emerging strategies; the inclusion of patient coloni</w:t>
            </w:r>
            <w:r>
              <w:rPr>
                <w:color w:val="333333"/>
                <w:shd w:val="clear" w:color="auto" w:fill="FFFFFF"/>
                <w:lang w:val="en-AU"/>
              </w:rPr>
              <w:t>s</w:t>
            </w:r>
            <w:r w:rsidRPr="003A306D">
              <w:rPr>
                <w:color w:val="333333"/>
                <w:shd w:val="clear" w:color="auto" w:fill="FFFFFF"/>
                <w:lang w:val="en-AU"/>
              </w:rPr>
              <w:t>ation and infection rates as outcomes; and the identification of surfaces posing the greatest risk of pathogen transmission.</w:t>
            </w:r>
          </w:p>
        </w:tc>
      </w:tr>
    </w:tbl>
    <w:p w:rsidR="00733AEA" w:rsidRDefault="00733AEA" w:rsidP="00733AEA">
      <w:pPr>
        <w:keepNext/>
        <w:keepLines/>
        <w:autoSpaceDE w:val="0"/>
        <w:autoSpaceDN w:val="0"/>
        <w:adjustRightInd w:val="0"/>
        <w:rPr>
          <w:i/>
          <w:lang w:val="en-AU"/>
        </w:rPr>
      </w:pPr>
    </w:p>
    <w:p w:rsidR="00733AEA" w:rsidRDefault="00733AEA" w:rsidP="00733AEA">
      <w:pPr>
        <w:keepNext/>
        <w:keepLines/>
        <w:autoSpaceDE w:val="0"/>
        <w:autoSpaceDN w:val="0"/>
        <w:adjustRightInd w:val="0"/>
        <w:rPr>
          <w:rStyle w:val="Hyperlink"/>
          <w:lang w:val="en-AU"/>
        </w:rPr>
      </w:pPr>
      <w:r w:rsidRPr="008A4F3D">
        <w:rPr>
          <w:lang w:val="en-AU"/>
        </w:rPr>
        <w:t>For information on the Commission’s work on</w:t>
      </w:r>
      <w:r>
        <w:rPr>
          <w:lang w:val="en-AU"/>
        </w:rPr>
        <w:t xml:space="preserve"> healthcare associated infections, see </w:t>
      </w:r>
      <w:hyperlink r:id="rId21" w:history="1">
        <w:r w:rsidRPr="005F733D">
          <w:rPr>
            <w:rStyle w:val="Hyperlink"/>
            <w:lang w:val="en-AU"/>
          </w:rPr>
          <w:t>http://www.safetyandquality.gov.au/our-work/healthcare-associated-infection/</w:t>
        </w:r>
      </w:hyperlink>
    </w:p>
    <w:p w:rsidR="006E1BB1" w:rsidRDefault="006E1BB1" w:rsidP="00E46AC0">
      <w:pPr>
        <w:keepNext/>
        <w:keepLines/>
        <w:autoSpaceDE w:val="0"/>
        <w:autoSpaceDN w:val="0"/>
        <w:adjustRightInd w:val="0"/>
        <w:rPr>
          <w:lang w:val="en-AU"/>
        </w:rPr>
      </w:pPr>
    </w:p>
    <w:p w:rsidR="00CB0759" w:rsidRPr="006D5FE7" w:rsidRDefault="00CB0759" w:rsidP="00CB0759">
      <w:pPr>
        <w:keepNext/>
        <w:keepLines/>
        <w:autoSpaceDE w:val="0"/>
        <w:autoSpaceDN w:val="0"/>
        <w:adjustRightInd w:val="0"/>
        <w:rPr>
          <w:i/>
          <w:lang w:val="en-AU"/>
        </w:rPr>
      </w:pPr>
      <w:r w:rsidRPr="006D5FE7">
        <w:rPr>
          <w:i/>
          <w:lang w:val="en-AU"/>
        </w:rPr>
        <w:t>Evaluation of complex health and care interventions using retrospective matched control methods</w:t>
      </w:r>
    </w:p>
    <w:p w:rsidR="00CB0759" w:rsidRDefault="00CB0759" w:rsidP="00CB0759">
      <w:pPr>
        <w:keepNext/>
        <w:keepLines/>
        <w:autoSpaceDE w:val="0"/>
        <w:autoSpaceDN w:val="0"/>
        <w:adjustRightInd w:val="0"/>
        <w:rPr>
          <w:lang w:val="en-AU"/>
        </w:rPr>
      </w:pPr>
      <w:r w:rsidRPr="006D5FE7">
        <w:rPr>
          <w:lang w:val="en-AU"/>
        </w:rPr>
        <w:t xml:space="preserve">Davies A, </w:t>
      </w:r>
      <w:proofErr w:type="spellStart"/>
      <w:r w:rsidRPr="006D5FE7">
        <w:rPr>
          <w:lang w:val="en-AU"/>
        </w:rPr>
        <w:t>Ariti</w:t>
      </w:r>
      <w:proofErr w:type="spellEnd"/>
      <w:r w:rsidRPr="006D5FE7">
        <w:rPr>
          <w:lang w:val="en-AU"/>
        </w:rPr>
        <w:t xml:space="preserve"> C, </w:t>
      </w:r>
      <w:proofErr w:type="spellStart"/>
      <w:r w:rsidRPr="006D5FE7">
        <w:rPr>
          <w:lang w:val="en-AU"/>
        </w:rPr>
        <w:t>Georghiou</w:t>
      </w:r>
      <w:proofErr w:type="spellEnd"/>
      <w:r w:rsidRPr="006D5FE7">
        <w:rPr>
          <w:lang w:val="en-AU"/>
        </w:rPr>
        <w:t xml:space="preserve"> T, </w:t>
      </w:r>
      <w:proofErr w:type="spellStart"/>
      <w:r w:rsidRPr="006D5FE7">
        <w:rPr>
          <w:lang w:val="en-AU"/>
        </w:rPr>
        <w:t>Bardsley</w:t>
      </w:r>
      <w:proofErr w:type="spellEnd"/>
      <w:r w:rsidRPr="006D5FE7">
        <w:rPr>
          <w:lang w:val="en-AU"/>
        </w:rPr>
        <w:t xml:space="preserve"> M</w:t>
      </w:r>
    </w:p>
    <w:p w:rsidR="00CB0759" w:rsidRPr="00776A91" w:rsidRDefault="00CB0759" w:rsidP="00CB0759">
      <w:pPr>
        <w:keepNext/>
        <w:keepLines/>
        <w:autoSpaceDE w:val="0"/>
        <w:autoSpaceDN w:val="0"/>
        <w:adjustRightInd w:val="0"/>
        <w:rPr>
          <w:lang w:val="en-AU"/>
        </w:rPr>
      </w:pPr>
      <w:r w:rsidRPr="006D5FE7">
        <w:rPr>
          <w:lang w:val="en-AU"/>
        </w:rPr>
        <w:t xml:space="preserve">London: Nuffield Trust; 2015. </w:t>
      </w:r>
      <w:proofErr w:type="gramStart"/>
      <w:r w:rsidRPr="006D5FE7">
        <w:rPr>
          <w:lang w:val="en-AU"/>
        </w:rPr>
        <w:t>p. 28.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2302EF" w:rsidRDefault="009E737E" w:rsidP="00F540C3">
            <w:pPr>
              <w:rPr>
                <w:lang w:val="en-AU"/>
              </w:rPr>
            </w:pPr>
            <w:hyperlink r:id="rId22" w:history="1">
              <w:r w:rsidR="00CB0759" w:rsidRPr="00CF54A9">
                <w:rPr>
                  <w:rStyle w:val="Hyperlink"/>
                  <w:lang w:val="en-AU"/>
                </w:rPr>
                <w:t>http://www.nuffieldtrust.org.uk/publications/evaluation-complex-health-care-interventions-using-retrospective-matched-control-analysis</w:t>
              </w:r>
            </w:hyperlink>
          </w:p>
        </w:tc>
      </w:tr>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Default="00CB0759" w:rsidP="00F540C3">
            <w:pPr>
              <w:rPr>
                <w:color w:val="333333"/>
                <w:shd w:val="clear" w:color="auto" w:fill="FFFFFF"/>
                <w:lang w:val="en-AU"/>
              </w:rPr>
            </w:pPr>
            <w:r>
              <w:rPr>
                <w:color w:val="333333"/>
                <w:shd w:val="clear" w:color="auto" w:fill="FFFFFF"/>
                <w:lang w:val="en-AU"/>
              </w:rPr>
              <w:t>The UK’s Nuffield Trust has published this ‘guide for evaluators’. As the website notes, “</w:t>
            </w:r>
            <w:r w:rsidRPr="00B440F1">
              <w:rPr>
                <w:color w:val="333333"/>
                <w:shd w:val="clear" w:color="auto" w:fill="FFFFFF"/>
                <w:lang w:val="en-AU"/>
              </w:rPr>
              <w:t>One of the recurrent problems when evaluating the impact of new care models on outcomes is how to know ‘what would have happened anyway’. One approach that can be used is retrospective matched control analysis, whereby the impact of an intervention can be measured in terms of differences in the outcome relative to a matched control group.</w:t>
            </w:r>
            <w:r>
              <w:rPr>
                <w:color w:val="333333"/>
                <w:shd w:val="clear" w:color="auto" w:fill="FFFFFF"/>
                <w:lang w:val="en-AU"/>
              </w:rPr>
              <w:t xml:space="preserve">” This brief (28-page) guide outlines </w:t>
            </w:r>
            <w:r w:rsidRPr="00B440F1">
              <w:rPr>
                <w:color w:val="333333"/>
                <w:shd w:val="clear" w:color="auto" w:fill="FFFFFF"/>
                <w:lang w:val="en-AU"/>
              </w:rPr>
              <w:t>ten steps towards retrospective matching to evaluate new health and care service models</w:t>
            </w:r>
            <w:r>
              <w:rPr>
                <w:color w:val="333333"/>
                <w:shd w:val="clear" w:color="auto" w:fill="FFFFFF"/>
                <w:lang w:val="en-AU"/>
              </w:rPr>
              <w:t>.</w:t>
            </w:r>
          </w:p>
          <w:p w:rsidR="00CB0759" w:rsidRPr="00B440F1" w:rsidRDefault="00CB0759" w:rsidP="00F540C3">
            <w:pPr>
              <w:rPr>
                <w:color w:val="333333"/>
                <w:shd w:val="clear" w:color="auto" w:fill="FFFFFF"/>
                <w:lang w:val="en-AU"/>
              </w:rPr>
            </w:pPr>
            <w:r>
              <w:rPr>
                <w:color w:val="333333"/>
                <w:shd w:val="clear" w:color="auto" w:fill="FFFFFF"/>
                <w:lang w:val="en-AU"/>
              </w:rPr>
              <w:t xml:space="preserve">The ten steps </w:t>
            </w:r>
            <w:r w:rsidRPr="00B440F1">
              <w:rPr>
                <w:color w:val="333333"/>
                <w:shd w:val="clear" w:color="auto" w:fill="FFFFFF"/>
                <w:lang w:val="en-AU"/>
              </w:rPr>
              <w:t>to retrospective matched control analysis</w:t>
            </w:r>
            <w:r>
              <w:rPr>
                <w:color w:val="333333"/>
                <w:shd w:val="clear" w:color="auto" w:fill="FFFFFF"/>
                <w:lang w:val="en-AU"/>
              </w:rPr>
              <w:t xml:space="preserve"> are</w:t>
            </w:r>
            <w:r w:rsidRPr="00B440F1">
              <w:rPr>
                <w:color w:val="333333"/>
                <w:shd w:val="clear" w:color="auto" w:fill="FFFFFF"/>
                <w:lang w:val="en-AU"/>
              </w:rPr>
              <w:t>:</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Clarify the aims of the service and the evaluation</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Decide on the number of people needed to demonstrate an effect</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Ensure permission is granted to access person-level datasets</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Ensure there are data on who received the new services, and some information about the service received</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Identify the potential control population</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Create longitudinal patient-level histories of service use</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Identify matched controls</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Monitor outcome variables for those receiving the new service and matched controls</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Undertake summative analysis</w:t>
            </w:r>
          </w:p>
          <w:p w:rsidR="00CB0759" w:rsidRPr="00B440F1" w:rsidRDefault="00CB0759" w:rsidP="00F540C3">
            <w:pPr>
              <w:pStyle w:val="ListParagraph"/>
              <w:numPr>
                <w:ilvl w:val="0"/>
                <w:numId w:val="15"/>
              </w:numPr>
              <w:rPr>
                <w:color w:val="333333"/>
                <w:shd w:val="clear" w:color="auto" w:fill="FFFFFF"/>
                <w:lang w:val="en-AU"/>
              </w:rPr>
            </w:pPr>
            <w:r w:rsidRPr="00B440F1">
              <w:rPr>
                <w:color w:val="333333"/>
                <w:shd w:val="clear" w:color="auto" w:fill="FFFFFF"/>
                <w:lang w:val="en-AU"/>
              </w:rPr>
              <w:t>Continuously monitor</w:t>
            </w:r>
            <w:r w:rsidR="00DD5DFA">
              <w:rPr>
                <w:color w:val="333333"/>
                <w:shd w:val="clear" w:color="auto" w:fill="FFFFFF"/>
                <w:lang w:val="en-AU"/>
              </w:rPr>
              <w:t>.</w:t>
            </w:r>
          </w:p>
        </w:tc>
      </w:tr>
    </w:tbl>
    <w:p w:rsidR="00CB0759" w:rsidRDefault="00CB0759" w:rsidP="00CB0759">
      <w:pPr>
        <w:keepNext/>
        <w:keepLines/>
        <w:autoSpaceDE w:val="0"/>
        <w:autoSpaceDN w:val="0"/>
        <w:adjustRightInd w:val="0"/>
        <w:rPr>
          <w:i/>
          <w:lang w:val="en-AU"/>
        </w:rPr>
      </w:pPr>
    </w:p>
    <w:p w:rsidR="00474ABC" w:rsidRPr="00474ABC" w:rsidRDefault="00474ABC" w:rsidP="00474ABC">
      <w:pPr>
        <w:keepNext/>
        <w:keepLines/>
        <w:autoSpaceDE w:val="0"/>
        <w:autoSpaceDN w:val="0"/>
        <w:adjustRightInd w:val="0"/>
        <w:rPr>
          <w:i/>
          <w:lang w:val="en-AU"/>
        </w:rPr>
      </w:pPr>
      <w:r w:rsidRPr="00474ABC">
        <w:rPr>
          <w:i/>
          <w:lang w:val="en-AU"/>
        </w:rPr>
        <w:t>State of Patient Experience 2015: A Global Perspective on the Patient Experience Movement</w:t>
      </w:r>
    </w:p>
    <w:p w:rsidR="00474ABC" w:rsidRDefault="00474ABC" w:rsidP="00474ABC">
      <w:pPr>
        <w:keepNext/>
        <w:keepLines/>
        <w:autoSpaceDE w:val="0"/>
        <w:autoSpaceDN w:val="0"/>
        <w:adjustRightInd w:val="0"/>
        <w:rPr>
          <w:lang w:val="en-AU"/>
        </w:rPr>
      </w:pPr>
      <w:r w:rsidRPr="00474ABC">
        <w:rPr>
          <w:lang w:val="en-AU"/>
        </w:rPr>
        <w:t>A Report on the Beryl Institute Benchmarking Study</w:t>
      </w:r>
    </w:p>
    <w:p w:rsidR="00474ABC" w:rsidRDefault="00474ABC" w:rsidP="00E46AC0">
      <w:pPr>
        <w:keepNext/>
        <w:keepLines/>
        <w:autoSpaceDE w:val="0"/>
        <w:autoSpaceDN w:val="0"/>
        <w:adjustRightInd w:val="0"/>
        <w:rPr>
          <w:lang w:val="en-AU"/>
        </w:rPr>
      </w:pPr>
      <w:r w:rsidRPr="00474ABC">
        <w:rPr>
          <w:lang w:val="en-AU"/>
        </w:rPr>
        <w:t>Wolf JA</w:t>
      </w:r>
    </w:p>
    <w:p w:rsidR="00474ABC" w:rsidRDefault="00474ABC" w:rsidP="00E46AC0">
      <w:pPr>
        <w:keepNext/>
        <w:keepLines/>
        <w:autoSpaceDE w:val="0"/>
        <w:autoSpaceDN w:val="0"/>
        <w:adjustRightInd w:val="0"/>
        <w:rPr>
          <w:lang w:val="en-AU"/>
        </w:rPr>
      </w:pPr>
      <w:r w:rsidRPr="00474ABC">
        <w:rPr>
          <w:lang w:val="en-AU"/>
        </w:rPr>
        <w:t xml:space="preserve">Dallas/Fort Worth: The Beryl Institute; 2015. </w:t>
      </w:r>
      <w:proofErr w:type="gramStart"/>
      <w:r w:rsidRPr="00474ABC">
        <w:rPr>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74ABC"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474ABC" w:rsidRPr="002302EF" w:rsidRDefault="00474ABC" w:rsidP="00F540C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74ABC" w:rsidRPr="002302EF" w:rsidRDefault="009E737E" w:rsidP="00F540C3">
            <w:pPr>
              <w:rPr>
                <w:lang w:val="en-AU"/>
              </w:rPr>
            </w:pPr>
            <w:hyperlink r:id="rId23" w:history="1">
              <w:r w:rsidR="00474ABC" w:rsidRPr="002D41B1">
                <w:rPr>
                  <w:rStyle w:val="Hyperlink"/>
                  <w:lang w:val="en-AU"/>
                </w:rPr>
                <w:t>http://www.theberylinstitute.org/?page=PXBenchmarking2015</w:t>
              </w:r>
            </w:hyperlink>
          </w:p>
        </w:tc>
      </w:tr>
      <w:tr w:rsidR="00474ABC"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474ABC" w:rsidRPr="002302EF" w:rsidRDefault="00474ABC" w:rsidP="00F540C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4ABC" w:rsidRPr="007D72A3" w:rsidRDefault="00474ABC" w:rsidP="00474ABC">
            <w:pPr>
              <w:rPr>
                <w:color w:val="333333"/>
                <w:shd w:val="clear" w:color="auto" w:fill="FFFFFF"/>
                <w:lang w:val="en-AU"/>
              </w:rPr>
            </w:pPr>
            <w:r>
              <w:rPr>
                <w:color w:val="333333"/>
                <w:shd w:val="clear" w:color="auto" w:fill="FFFFFF"/>
                <w:lang w:val="en-AU"/>
              </w:rPr>
              <w:t>The USA-based Beryl Institute focuses on patient experience. They have just published this brief (24-page) report on their ‘benchmarking study’ offering a “g</w:t>
            </w:r>
            <w:r w:rsidRPr="00474ABC">
              <w:rPr>
                <w:color w:val="333333"/>
                <w:shd w:val="clear" w:color="auto" w:fill="FFFFFF"/>
                <w:lang w:val="en-AU"/>
              </w:rPr>
              <w:t xml:space="preserve">lobal </w:t>
            </w:r>
            <w:r>
              <w:rPr>
                <w:color w:val="333333"/>
                <w:shd w:val="clear" w:color="auto" w:fill="FFFFFF"/>
                <w:lang w:val="en-AU"/>
              </w:rPr>
              <w:t>p</w:t>
            </w:r>
            <w:r w:rsidRPr="00474ABC">
              <w:rPr>
                <w:color w:val="333333"/>
                <w:shd w:val="clear" w:color="auto" w:fill="FFFFFF"/>
                <w:lang w:val="en-AU"/>
              </w:rPr>
              <w:t xml:space="preserve">erspective on the </w:t>
            </w:r>
            <w:r>
              <w:rPr>
                <w:color w:val="333333"/>
                <w:shd w:val="clear" w:color="auto" w:fill="FFFFFF"/>
                <w:lang w:val="en-AU"/>
              </w:rPr>
              <w:t>p</w:t>
            </w:r>
            <w:r w:rsidRPr="00474ABC">
              <w:rPr>
                <w:color w:val="333333"/>
                <w:shd w:val="clear" w:color="auto" w:fill="FFFFFF"/>
                <w:lang w:val="en-AU"/>
              </w:rPr>
              <w:t xml:space="preserve">atient </w:t>
            </w:r>
            <w:r>
              <w:rPr>
                <w:color w:val="333333"/>
                <w:shd w:val="clear" w:color="auto" w:fill="FFFFFF"/>
                <w:lang w:val="en-AU"/>
              </w:rPr>
              <w:t>e</w:t>
            </w:r>
            <w:r w:rsidRPr="00474ABC">
              <w:rPr>
                <w:color w:val="333333"/>
                <w:shd w:val="clear" w:color="auto" w:fill="FFFFFF"/>
                <w:lang w:val="en-AU"/>
              </w:rPr>
              <w:t xml:space="preserve">xperience </w:t>
            </w:r>
            <w:r>
              <w:rPr>
                <w:color w:val="333333"/>
                <w:shd w:val="clear" w:color="auto" w:fill="FFFFFF"/>
                <w:lang w:val="en-AU"/>
              </w:rPr>
              <w:t>m</w:t>
            </w:r>
            <w:r w:rsidRPr="00474ABC">
              <w:rPr>
                <w:color w:val="333333"/>
                <w:shd w:val="clear" w:color="auto" w:fill="FFFFFF"/>
                <w:lang w:val="en-AU"/>
              </w:rPr>
              <w:t>ovement</w:t>
            </w:r>
            <w:r>
              <w:rPr>
                <w:color w:val="333333"/>
                <w:shd w:val="clear" w:color="auto" w:fill="FFFFFF"/>
                <w:lang w:val="en-AU"/>
              </w:rPr>
              <w:t>”.</w:t>
            </w:r>
          </w:p>
        </w:tc>
      </w:tr>
    </w:tbl>
    <w:p w:rsidR="00474ABC" w:rsidRDefault="00474ABC" w:rsidP="00474ABC">
      <w:pPr>
        <w:keepNext/>
        <w:keepLines/>
        <w:autoSpaceDE w:val="0"/>
        <w:autoSpaceDN w:val="0"/>
        <w:adjustRightInd w:val="0"/>
        <w:rPr>
          <w:i/>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7C5C5C" w:rsidRDefault="007C5C5C" w:rsidP="007C5C5C">
      <w:pPr>
        <w:keepNext/>
        <w:keepLines/>
        <w:autoSpaceDE w:val="0"/>
        <w:autoSpaceDN w:val="0"/>
        <w:adjustRightInd w:val="0"/>
        <w:rPr>
          <w:i/>
          <w:lang w:val="en-AU"/>
        </w:rPr>
      </w:pPr>
    </w:p>
    <w:p w:rsidR="006E1BB1" w:rsidRPr="006E1BB1" w:rsidRDefault="006E1BB1" w:rsidP="006E1BB1">
      <w:pPr>
        <w:keepNext/>
        <w:keepLines/>
        <w:autoSpaceDE w:val="0"/>
        <w:autoSpaceDN w:val="0"/>
        <w:adjustRightInd w:val="0"/>
        <w:rPr>
          <w:i/>
          <w:lang w:val="en-AU"/>
        </w:rPr>
      </w:pPr>
      <w:r w:rsidRPr="006E1BB1">
        <w:rPr>
          <w:i/>
          <w:lang w:val="en-AU"/>
        </w:rPr>
        <w:t>The arc of health literacy</w:t>
      </w:r>
    </w:p>
    <w:p w:rsidR="006E1BB1" w:rsidRDefault="006E1BB1" w:rsidP="006E1BB1">
      <w:pPr>
        <w:keepNext/>
        <w:keepLines/>
        <w:autoSpaceDE w:val="0"/>
        <w:autoSpaceDN w:val="0"/>
        <w:adjustRightInd w:val="0"/>
        <w:rPr>
          <w:lang w:val="en-AU"/>
        </w:rPr>
      </w:pPr>
      <w:proofErr w:type="spellStart"/>
      <w:r w:rsidRPr="006E1BB1">
        <w:rPr>
          <w:lang w:val="en-AU"/>
        </w:rPr>
        <w:t>Koh</w:t>
      </w:r>
      <w:proofErr w:type="spellEnd"/>
      <w:r w:rsidRPr="006E1BB1">
        <w:rPr>
          <w:lang w:val="en-AU"/>
        </w:rPr>
        <w:t xml:space="preserve"> HK, Rudd RE</w:t>
      </w:r>
    </w:p>
    <w:p w:rsidR="006E1BB1" w:rsidRPr="002302EF" w:rsidRDefault="006E1BB1" w:rsidP="006E1BB1">
      <w:pPr>
        <w:keepNext/>
        <w:keepLines/>
        <w:autoSpaceDE w:val="0"/>
        <w:autoSpaceDN w:val="0"/>
        <w:adjustRightInd w:val="0"/>
        <w:rPr>
          <w:lang w:val="en-AU"/>
        </w:rPr>
      </w:pPr>
      <w:proofErr w:type="gramStart"/>
      <w:r w:rsidRPr="006E1BB1">
        <w:rPr>
          <w:lang w:val="en-AU"/>
        </w:rPr>
        <w:t>Journal of the American Medical Association.</w:t>
      </w:r>
      <w:proofErr w:type="gramEnd"/>
      <w:r w:rsidRPr="006E1BB1">
        <w:rPr>
          <w:lang w:val="en-AU"/>
        </w:rPr>
        <w:t xml:space="preserve"> </w:t>
      </w:r>
      <w:proofErr w:type="gramStart"/>
      <w:r w:rsidRPr="006E1BB1">
        <w:rPr>
          <w:lang w:val="en-AU"/>
        </w:rPr>
        <w:t>2015</w:t>
      </w:r>
      <w:r>
        <w:rPr>
          <w:lang w:val="en-AU"/>
        </w:rPr>
        <w:t xml:space="preserve"> [epub]</w:t>
      </w:r>
      <w:r w:rsidRPr="006E1BB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E1BB1" w:rsidRPr="002302EF" w:rsidTr="00982566">
        <w:tc>
          <w:tcPr>
            <w:tcW w:w="1080" w:type="dxa"/>
            <w:tcBorders>
              <w:top w:val="single" w:sz="4" w:space="0" w:color="auto"/>
              <w:left w:val="single" w:sz="4" w:space="0" w:color="auto"/>
              <w:bottom w:val="single" w:sz="4" w:space="0" w:color="auto"/>
              <w:right w:val="single" w:sz="4" w:space="0" w:color="auto"/>
            </w:tcBorders>
            <w:vAlign w:val="center"/>
          </w:tcPr>
          <w:p w:rsidR="006E1BB1" w:rsidRPr="002302EF" w:rsidRDefault="006E1BB1" w:rsidP="00982566">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E1BB1" w:rsidRPr="002302EF" w:rsidRDefault="009E737E" w:rsidP="00982566">
            <w:pPr>
              <w:rPr>
                <w:lang w:val="en-AU"/>
              </w:rPr>
            </w:pPr>
            <w:hyperlink r:id="rId24" w:history="1">
              <w:r w:rsidR="006E1BB1" w:rsidRPr="00002C07">
                <w:rPr>
                  <w:rStyle w:val="Hyperlink"/>
                  <w:lang w:val="en-AU"/>
                </w:rPr>
                <w:t>http://dx.doi.org/10.1001/jama.2015.9978</w:t>
              </w:r>
            </w:hyperlink>
          </w:p>
        </w:tc>
      </w:tr>
      <w:tr w:rsidR="006E1BB1" w:rsidRPr="002302EF" w:rsidTr="00982566">
        <w:tc>
          <w:tcPr>
            <w:tcW w:w="1080" w:type="dxa"/>
            <w:tcBorders>
              <w:top w:val="single" w:sz="4" w:space="0" w:color="auto"/>
              <w:left w:val="single" w:sz="4" w:space="0" w:color="auto"/>
              <w:bottom w:val="single" w:sz="4" w:space="0" w:color="auto"/>
              <w:right w:val="single" w:sz="4" w:space="0" w:color="auto"/>
            </w:tcBorders>
            <w:vAlign w:val="center"/>
          </w:tcPr>
          <w:p w:rsidR="006E1BB1" w:rsidRPr="002302EF" w:rsidRDefault="006E1BB1" w:rsidP="00982566">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1BB1" w:rsidRPr="002302EF" w:rsidRDefault="004D7363" w:rsidP="004D7363">
            <w:pPr>
              <w:rPr>
                <w:lang w:val="en-AU"/>
              </w:rPr>
            </w:pPr>
            <w:r>
              <w:rPr>
                <w:lang w:val="en-AU"/>
              </w:rPr>
              <w:t>This short commentary piece on health literacy recognises the barrier to better care that poor health literacy poses. While lamenting that health literacy is still palpably too limited, the piece sets out how thinking on health literacy has changed. The role of the clinician, institution and system (as well as the patient) in improving health literacy are discussed.</w:t>
            </w:r>
          </w:p>
        </w:tc>
      </w:tr>
    </w:tbl>
    <w:p w:rsidR="00D27FB7" w:rsidRPr="00D27FB7" w:rsidRDefault="00D27FB7" w:rsidP="00D27FB7">
      <w:pPr>
        <w:keepNext/>
        <w:keepLines/>
        <w:autoSpaceDE w:val="0"/>
        <w:autoSpaceDN w:val="0"/>
        <w:adjustRightInd w:val="0"/>
        <w:rPr>
          <w:i/>
          <w:lang w:val="en-AU"/>
        </w:rPr>
      </w:pPr>
      <w:r w:rsidRPr="00D27FB7">
        <w:rPr>
          <w:i/>
          <w:lang w:val="en-AU"/>
        </w:rPr>
        <w:lastRenderedPageBreak/>
        <w:t>Association between frailty and 30-day outcomes after discharge from hospital</w:t>
      </w:r>
    </w:p>
    <w:p w:rsidR="00D27FB7" w:rsidRDefault="00D27FB7" w:rsidP="00101BA8">
      <w:pPr>
        <w:keepNext/>
        <w:keepLines/>
        <w:autoSpaceDE w:val="0"/>
        <w:autoSpaceDN w:val="0"/>
        <w:adjustRightInd w:val="0"/>
        <w:rPr>
          <w:lang w:val="en-AU"/>
        </w:rPr>
      </w:pPr>
      <w:proofErr w:type="spellStart"/>
      <w:r w:rsidRPr="00D27FB7">
        <w:rPr>
          <w:lang w:val="en-AU"/>
        </w:rPr>
        <w:t>Kahlon</w:t>
      </w:r>
      <w:proofErr w:type="spellEnd"/>
      <w:r w:rsidRPr="00D27FB7">
        <w:rPr>
          <w:lang w:val="en-AU"/>
        </w:rPr>
        <w:t xml:space="preserve"> S, Pederson J, </w:t>
      </w:r>
      <w:proofErr w:type="spellStart"/>
      <w:r w:rsidRPr="00D27FB7">
        <w:rPr>
          <w:lang w:val="en-AU"/>
        </w:rPr>
        <w:t>Majumdar</w:t>
      </w:r>
      <w:proofErr w:type="spellEnd"/>
      <w:r w:rsidRPr="00D27FB7">
        <w:rPr>
          <w:lang w:val="en-AU"/>
        </w:rPr>
        <w:t xml:space="preserve"> SR, </w:t>
      </w:r>
      <w:proofErr w:type="spellStart"/>
      <w:r w:rsidRPr="00D27FB7">
        <w:rPr>
          <w:lang w:val="en-AU"/>
        </w:rPr>
        <w:t>Bel</w:t>
      </w:r>
      <w:r w:rsidR="00DD5DFA">
        <w:rPr>
          <w:lang w:val="en-AU"/>
        </w:rPr>
        <w:t>ga</w:t>
      </w:r>
      <w:proofErr w:type="spellEnd"/>
      <w:r w:rsidR="00DD5DFA">
        <w:rPr>
          <w:lang w:val="en-AU"/>
        </w:rPr>
        <w:t xml:space="preserve"> S, Lau D, </w:t>
      </w:r>
      <w:proofErr w:type="spellStart"/>
      <w:r w:rsidR="00DD5DFA">
        <w:rPr>
          <w:lang w:val="en-AU"/>
        </w:rPr>
        <w:t>Fradette</w:t>
      </w:r>
      <w:proofErr w:type="spellEnd"/>
      <w:r w:rsidR="00DD5DFA">
        <w:rPr>
          <w:lang w:val="en-AU"/>
        </w:rPr>
        <w:t xml:space="preserve"> M, et al.</w:t>
      </w:r>
    </w:p>
    <w:p w:rsidR="00101BA8" w:rsidRDefault="00D27FB7" w:rsidP="00101BA8">
      <w:pPr>
        <w:keepNext/>
        <w:keepLines/>
        <w:autoSpaceDE w:val="0"/>
        <w:autoSpaceDN w:val="0"/>
        <w:adjustRightInd w:val="0"/>
        <w:rPr>
          <w:lang w:val="en-AU"/>
        </w:rPr>
      </w:pPr>
      <w:proofErr w:type="gramStart"/>
      <w:r w:rsidRPr="00D27FB7">
        <w:rPr>
          <w:lang w:val="en-AU"/>
        </w:rPr>
        <w:t>Canadian Medical Association Journal.</w:t>
      </w:r>
      <w:proofErr w:type="gramEnd"/>
      <w:r w:rsidRPr="00D27FB7">
        <w:rPr>
          <w:lang w:val="en-AU"/>
        </w:rPr>
        <w:t xml:space="preserve"> 2015</w:t>
      </w:r>
      <w:proofErr w:type="gramStart"/>
      <w:r w:rsidRPr="00D27FB7">
        <w:rPr>
          <w:lang w:val="en-AU"/>
        </w:rPr>
        <w:t>;187</w:t>
      </w:r>
      <w:proofErr w:type="gramEnd"/>
      <w:r w:rsidRPr="00D27FB7">
        <w:rPr>
          <w:lang w:val="en-AU"/>
        </w:rPr>
        <w:t>(11):799-804.</w:t>
      </w:r>
    </w:p>
    <w:p w:rsidR="00D27FB7" w:rsidRDefault="00D27FB7" w:rsidP="00101BA8">
      <w:pPr>
        <w:keepNext/>
        <w:keepLines/>
        <w:autoSpaceDE w:val="0"/>
        <w:autoSpaceDN w:val="0"/>
        <w:adjustRightInd w:val="0"/>
        <w:rPr>
          <w:lang w:val="en-AU"/>
        </w:rPr>
      </w:pPr>
    </w:p>
    <w:p w:rsidR="00D27FB7" w:rsidRPr="00D27FB7" w:rsidRDefault="00D27FB7" w:rsidP="00D27FB7">
      <w:pPr>
        <w:keepNext/>
        <w:keepLines/>
        <w:autoSpaceDE w:val="0"/>
        <w:autoSpaceDN w:val="0"/>
        <w:adjustRightInd w:val="0"/>
        <w:rPr>
          <w:i/>
          <w:lang w:val="en-AU"/>
        </w:rPr>
      </w:pPr>
      <w:r w:rsidRPr="00D27FB7">
        <w:rPr>
          <w:i/>
          <w:lang w:val="en-AU"/>
        </w:rPr>
        <w:t xml:space="preserve">Understanding variation in 30-day surgical readmission in the era of </w:t>
      </w:r>
      <w:proofErr w:type="gramStart"/>
      <w:r w:rsidRPr="00D27FB7">
        <w:rPr>
          <w:i/>
          <w:lang w:val="en-AU"/>
        </w:rPr>
        <w:t>accountable</w:t>
      </w:r>
      <w:proofErr w:type="gramEnd"/>
      <w:r w:rsidRPr="00D27FB7">
        <w:rPr>
          <w:i/>
          <w:lang w:val="en-AU"/>
        </w:rPr>
        <w:t xml:space="preserve"> care: Effect of the patient, surgeon, and surgical subspecialties</w:t>
      </w:r>
    </w:p>
    <w:p w:rsidR="00D27FB7" w:rsidRDefault="00D27FB7" w:rsidP="00101BA8">
      <w:pPr>
        <w:keepNext/>
        <w:keepLines/>
        <w:autoSpaceDE w:val="0"/>
        <w:autoSpaceDN w:val="0"/>
        <w:adjustRightInd w:val="0"/>
        <w:rPr>
          <w:lang w:val="en-AU"/>
        </w:rPr>
      </w:pPr>
      <w:proofErr w:type="spellStart"/>
      <w:r w:rsidRPr="00D27FB7">
        <w:rPr>
          <w:lang w:val="en-AU"/>
        </w:rPr>
        <w:t>Gani</w:t>
      </w:r>
      <w:proofErr w:type="spellEnd"/>
      <w:r w:rsidRPr="00D27FB7">
        <w:rPr>
          <w:lang w:val="en-AU"/>
        </w:rPr>
        <w:t xml:space="preserve"> F, Lucas DJ, Kim Y, Schneider EB, </w:t>
      </w:r>
      <w:proofErr w:type="spellStart"/>
      <w:r w:rsidRPr="00D27FB7">
        <w:rPr>
          <w:lang w:val="en-AU"/>
        </w:rPr>
        <w:t>Pawlik</w:t>
      </w:r>
      <w:proofErr w:type="spellEnd"/>
      <w:r w:rsidRPr="00D27FB7">
        <w:rPr>
          <w:lang w:val="en-AU"/>
        </w:rPr>
        <w:t xml:space="preserve"> TM</w:t>
      </w:r>
    </w:p>
    <w:p w:rsidR="00D27FB7" w:rsidRPr="002302EF" w:rsidRDefault="00D27FB7" w:rsidP="00101BA8">
      <w:pPr>
        <w:keepNext/>
        <w:keepLines/>
        <w:autoSpaceDE w:val="0"/>
        <w:autoSpaceDN w:val="0"/>
        <w:adjustRightInd w:val="0"/>
        <w:rPr>
          <w:lang w:val="en-AU"/>
        </w:rPr>
      </w:pPr>
      <w:proofErr w:type="gramStart"/>
      <w:r w:rsidRPr="00D27FB7">
        <w:rPr>
          <w:lang w:val="en-AU"/>
        </w:rPr>
        <w:t>JAMA Surgery.</w:t>
      </w:r>
      <w:proofErr w:type="gramEnd"/>
      <w:r w:rsidRPr="00D27FB7">
        <w:rPr>
          <w:lang w:val="en-AU"/>
        </w:rPr>
        <w:t xml:space="preserve"> </w:t>
      </w:r>
      <w:proofErr w:type="gramStart"/>
      <w:r w:rsidRPr="00D27FB7">
        <w:rPr>
          <w:lang w:val="en-AU"/>
        </w:rPr>
        <w:t>2015</w:t>
      </w:r>
      <w:r>
        <w:rPr>
          <w:lang w:val="en-AU"/>
        </w:rPr>
        <w:t xml:space="preserve"> [epub]</w:t>
      </w:r>
      <w:r w:rsidRPr="00D27FB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Default="00D27FB7" w:rsidP="00D27FB7">
            <w:pPr>
              <w:rPr>
                <w:lang w:val="en-AU"/>
              </w:rPr>
            </w:pPr>
            <w:proofErr w:type="spellStart"/>
            <w:r>
              <w:rPr>
                <w:lang w:val="en-AU"/>
              </w:rPr>
              <w:t>Kahlon</w:t>
            </w:r>
            <w:proofErr w:type="spellEnd"/>
            <w:r>
              <w:rPr>
                <w:lang w:val="en-AU"/>
              </w:rPr>
              <w:t xml:space="preserve"> et al </w:t>
            </w:r>
            <w:hyperlink r:id="rId25" w:history="1">
              <w:r w:rsidRPr="00CF54A9">
                <w:rPr>
                  <w:rStyle w:val="Hyperlink"/>
                  <w:lang w:val="en-AU"/>
                </w:rPr>
                <w:t>http://dx.doi.org/10.1503/cmaj.150100</w:t>
              </w:r>
            </w:hyperlink>
          </w:p>
          <w:p w:rsidR="00D27FB7" w:rsidRPr="002302EF" w:rsidRDefault="00D27FB7" w:rsidP="00D27FB7">
            <w:pPr>
              <w:rPr>
                <w:lang w:val="en-AU"/>
              </w:rPr>
            </w:pPr>
            <w:proofErr w:type="spellStart"/>
            <w:r>
              <w:rPr>
                <w:lang w:val="en-AU"/>
              </w:rPr>
              <w:t>Gani</w:t>
            </w:r>
            <w:proofErr w:type="spellEnd"/>
            <w:r>
              <w:rPr>
                <w:lang w:val="en-AU"/>
              </w:rPr>
              <w:t xml:space="preserve"> et al </w:t>
            </w:r>
            <w:hyperlink r:id="rId26" w:history="1">
              <w:r w:rsidRPr="00CF54A9">
                <w:rPr>
                  <w:rStyle w:val="Hyperlink"/>
                  <w:lang w:val="en-AU"/>
                </w:rPr>
                <w:t>http://dx.doi.org/10.1001/jamasurg.2015.2215</w:t>
              </w:r>
            </w:hyperlink>
          </w:p>
        </w:tc>
      </w:tr>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Default="004C2EF7" w:rsidP="00A4566F">
            <w:pPr>
              <w:rPr>
                <w:lang w:val="en-AU"/>
              </w:rPr>
            </w:pPr>
            <w:r>
              <w:rPr>
                <w:lang w:val="en-AU"/>
              </w:rPr>
              <w:t>A pair of items on 30-day readmission</w:t>
            </w:r>
            <w:r w:rsidR="00D27FB7">
              <w:rPr>
                <w:lang w:val="en-AU"/>
              </w:rPr>
              <w:t xml:space="preserve"> (and other outcomes), one looking at 30-day outcomes after hospital discharge among 495 general internal medicine patients in 2 Canadian hospitals and that other on re-admission in the 30 days after surgery among 22,559 surgical patients at a US hospital.</w:t>
            </w:r>
          </w:p>
          <w:p w:rsidR="004C2EF7" w:rsidRDefault="00D27FB7" w:rsidP="00A4566F">
            <w:pPr>
              <w:rPr>
                <w:lang w:val="en-AU"/>
              </w:rPr>
            </w:pPr>
            <w:r>
              <w:rPr>
                <w:lang w:val="en-AU"/>
              </w:rPr>
              <w:t>The first</w:t>
            </w:r>
            <w:r w:rsidR="004C2EF7">
              <w:rPr>
                <w:lang w:val="en-AU"/>
              </w:rPr>
              <w:t xml:space="preserve">, </w:t>
            </w:r>
            <w:proofErr w:type="spellStart"/>
            <w:r w:rsidR="004C2EF7">
              <w:rPr>
                <w:lang w:val="en-AU"/>
              </w:rPr>
              <w:t>Kahlon</w:t>
            </w:r>
            <w:proofErr w:type="spellEnd"/>
            <w:r w:rsidR="004C2EF7">
              <w:rPr>
                <w:lang w:val="en-AU"/>
              </w:rPr>
              <w:t xml:space="preserve"> et al, found that frailty is a predictor of re-</w:t>
            </w:r>
            <w:proofErr w:type="gramStart"/>
            <w:r w:rsidR="004C2EF7">
              <w:rPr>
                <w:lang w:val="en-AU"/>
              </w:rPr>
              <w:t>admission</w:t>
            </w:r>
            <w:r>
              <w:rPr>
                <w:lang w:val="en-AU"/>
              </w:rPr>
              <w:t>,</w:t>
            </w:r>
            <w:proofErr w:type="gramEnd"/>
            <w:r>
              <w:rPr>
                <w:lang w:val="en-AU"/>
              </w:rPr>
              <w:t xml:space="preserve"> “</w:t>
            </w:r>
            <w:r w:rsidRPr="00D27FB7">
              <w:rPr>
                <w:lang w:val="en-AU"/>
              </w:rPr>
              <w:t>was common and associated with a substantially increased risk of early readmission or death after discharge from medical wards</w:t>
            </w:r>
            <w:r>
              <w:rPr>
                <w:lang w:val="en-AU"/>
              </w:rPr>
              <w:t>”</w:t>
            </w:r>
            <w:r w:rsidR="004C2EF7">
              <w:rPr>
                <w:lang w:val="en-AU"/>
              </w:rPr>
              <w:t xml:space="preserve"> and suggest that using frailty scoring may assist in identifying patients at greatest risk of re-admission</w:t>
            </w:r>
            <w:r>
              <w:rPr>
                <w:lang w:val="en-AU"/>
              </w:rPr>
              <w:t>.</w:t>
            </w:r>
            <w:r w:rsidR="00AC4FC8">
              <w:rPr>
                <w:lang w:val="en-AU"/>
              </w:rPr>
              <w:t xml:space="preserve"> </w:t>
            </w:r>
            <w:r w:rsidR="00AC4FC8" w:rsidRPr="00AC4FC8">
              <w:rPr>
                <w:lang w:val="en-AU"/>
              </w:rPr>
              <w:t xml:space="preserve">The </w:t>
            </w:r>
            <w:r w:rsidR="00AC4FC8">
              <w:rPr>
                <w:lang w:val="en-AU"/>
              </w:rPr>
              <w:t>authors report that the “</w:t>
            </w:r>
            <w:r w:rsidR="00AC4FC8" w:rsidRPr="00AC4FC8">
              <w:rPr>
                <w:lang w:val="en-AU"/>
              </w:rPr>
              <w:t xml:space="preserve">composite of </w:t>
            </w:r>
            <w:r w:rsidR="00AC4FC8" w:rsidRPr="00AC4FC8">
              <w:rPr>
                <w:b/>
                <w:lang w:val="en-AU"/>
              </w:rPr>
              <w:t>30-day readmission or death</w:t>
            </w:r>
            <w:r w:rsidR="00AC4FC8" w:rsidRPr="00AC4FC8">
              <w:rPr>
                <w:lang w:val="en-AU"/>
              </w:rPr>
              <w:t xml:space="preserve"> was </w:t>
            </w:r>
            <w:r w:rsidR="00AC4FC8" w:rsidRPr="00AC4FC8">
              <w:rPr>
                <w:b/>
                <w:lang w:val="en-AU"/>
              </w:rPr>
              <w:t>higher among frail</w:t>
            </w:r>
            <w:r w:rsidR="00AC4FC8" w:rsidRPr="00AC4FC8">
              <w:rPr>
                <w:lang w:val="en-AU"/>
              </w:rPr>
              <w:t xml:space="preserve"> than among </w:t>
            </w:r>
            <w:proofErr w:type="spellStart"/>
            <w:r w:rsidR="00AC4FC8" w:rsidRPr="00AC4FC8">
              <w:rPr>
                <w:lang w:val="en-AU"/>
              </w:rPr>
              <w:t>nonfrail</w:t>
            </w:r>
            <w:proofErr w:type="spellEnd"/>
            <w:r w:rsidR="00AC4FC8" w:rsidRPr="00AC4FC8">
              <w:rPr>
                <w:lang w:val="en-AU"/>
              </w:rPr>
              <w:t xml:space="preserve"> patients (39 [</w:t>
            </w:r>
            <w:r w:rsidR="00AC4FC8" w:rsidRPr="00AC4FC8">
              <w:rPr>
                <w:b/>
                <w:lang w:val="en-AU"/>
              </w:rPr>
              <w:t>24.1%]</w:t>
            </w:r>
            <w:r w:rsidR="00AC4FC8" w:rsidRPr="00AC4FC8">
              <w:rPr>
                <w:lang w:val="en-AU"/>
              </w:rPr>
              <w:t xml:space="preserve"> v. 46 [13.8%])</w:t>
            </w:r>
            <w:r w:rsidR="00AC4FC8">
              <w:rPr>
                <w:lang w:val="en-AU"/>
              </w:rPr>
              <w:t>”.</w:t>
            </w:r>
          </w:p>
          <w:p w:rsidR="004C2EF7" w:rsidRPr="002302EF" w:rsidRDefault="004C2EF7" w:rsidP="006D5FE7">
            <w:pPr>
              <w:rPr>
                <w:lang w:val="en-AU"/>
              </w:rPr>
            </w:pPr>
            <w:r>
              <w:rPr>
                <w:lang w:val="en-AU"/>
              </w:rPr>
              <w:t xml:space="preserve">The other paper, </w:t>
            </w:r>
            <w:proofErr w:type="spellStart"/>
            <w:r>
              <w:rPr>
                <w:lang w:val="en-AU"/>
              </w:rPr>
              <w:t>Gani</w:t>
            </w:r>
            <w:proofErr w:type="spellEnd"/>
            <w:r>
              <w:rPr>
                <w:lang w:val="en-AU"/>
              </w:rPr>
              <w:t xml:space="preserve"> et al, suggest that ‘patient-level </w:t>
            </w:r>
            <w:proofErr w:type="gramStart"/>
            <w:r>
              <w:rPr>
                <w:lang w:val="en-AU"/>
              </w:rPr>
              <w:t>factors’(</w:t>
            </w:r>
            <w:proofErr w:type="gramEnd"/>
            <w:r>
              <w:rPr>
                <w:lang w:val="en-AU"/>
              </w:rPr>
              <w:t>which may include frailty) account for the bulk of variation in re-admission “</w:t>
            </w:r>
            <w:r w:rsidRPr="004C2EF7">
              <w:rPr>
                <w:lang w:val="en-AU"/>
              </w:rPr>
              <w:t>while only a minority of the variation was attributable to factors at the surgical subspecialty and individual surgeon level</w:t>
            </w:r>
            <w:r>
              <w:rPr>
                <w:lang w:val="en-AU"/>
              </w:rPr>
              <w:t>”</w:t>
            </w:r>
            <w:r w:rsidR="00D27FB7">
              <w:rPr>
                <w:lang w:val="en-AU"/>
              </w:rPr>
              <w:t>.</w:t>
            </w:r>
            <w:r w:rsidR="006D5FE7">
              <w:rPr>
                <w:lang w:val="en-AU"/>
              </w:rPr>
              <w:t xml:space="preserve"> The </w:t>
            </w:r>
            <w:r w:rsidR="006D5FE7" w:rsidRPr="006D5FE7">
              <w:rPr>
                <w:lang w:val="en-AU"/>
              </w:rPr>
              <w:t>factors associated with greater odds of 30-day readmission included</w:t>
            </w:r>
            <w:r w:rsidR="006D5FE7">
              <w:rPr>
                <w:lang w:val="en-AU"/>
              </w:rPr>
              <w:t xml:space="preserve"> </w:t>
            </w:r>
            <w:r w:rsidR="006D5FE7" w:rsidRPr="006D5FE7">
              <w:rPr>
                <w:lang w:val="en-AU"/>
              </w:rPr>
              <w:t xml:space="preserve">ethnicity, increasing comorbidity, postoperative complications </w:t>
            </w:r>
            <w:proofErr w:type="gramStart"/>
            <w:r w:rsidR="006D5FE7" w:rsidRPr="006D5FE7">
              <w:rPr>
                <w:lang w:val="en-AU"/>
              </w:rPr>
              <w:t>and  extended</w:t>
            </w:r>
            <w:proofErr w:type="gramEnd"/>
            <w:r w:rsidR="006D5FE7" w:rsidRPr="006D5FE7">
              <w:rPr>
                <w:lang w:val="en-AU"/>
              </w:rPr>
              <w:t xml:space="preserve"> length of stay</w:t>
            </w:r>
            <w:r w:rsidR="006D5FE7">
              <w:rPr>
                <w:lang w:val="en-AU"/>
              </w:rPr>
              <w:t>.</w:t>
            </w:r>
            <w:r w:rsidR="00D27FB7">
              <w:rPr>
                <w:lang w:val="en-AU"/>
              </w:rPr>
              <w:t xml:space="preserve"> The </w:t>
            </w:r>
            <w:r w:rsidR="00D27FB7" w:rsidRPr="00AC4FC8">
              <w:rPr>
                <w:b/>
                <w:lang w:val="en-AU"/>
              </w:rPr>
              <w:t>overall 30-day readmission was 13.2%</w:t>
            </w:r>
            <w:r w:rsidR="00D27FB7">
              <w:rPr>
                <w:lang w:val="en-AU"/>
              </w:rPr>
              <w:t xml:space="preserve"> </w:t>
            </w:r>
            <w:r w:rsidR="00AC4FC8">
              <w:rPr>
                <w:lang w:val="en-AU"/>
              </w:rPr>
              <w:t xml:space="preserve">(n=2975) </w:t>
            </w:r>
            <w:r w:rsidR="00D27FB7">
              <w:rPr>
                <w:lang w:val="en-AU"/>
              </w:rPr>
              <w:t xml:space="preserve">but </w:t>
            </w:r>
            <w:r w:rsidR="00D27FB7" w:rsidRPr="00D27FB7">
              <w:rPr>
                <w:lang w:val="en-AU"/>
              </w:rPr>
              <w:t>varied across the 8 different surgical subspecialties</w:t>
            </w:r>
            <w:r w:rsidR="00D27FB7">
              <w:rPr>
                <w:lang w:val="en-AU"/>
              </w:rPr>
              <w:t xml:space="preserve"> examined</w:t>
            </w:r>
            <w:r w:rsidR="00D27FB7" w:rsidRPr="00D27FB7">
              <w:rPr>
                <w:lang w:val="en-AU"/>
              </w:rPr>
              <w:t>, ranging from 24.8% following transplant surgery (n = 557) to 2.1% following breast, melanoma, or endocrine surgery (n = 32).</w:t>
            </w:r>
          </w:p>
        </w:tc>
      </w:tr>
    </w:tbl>
    <w:p w:rsidR="00101BA8" w:rsidRDefault="00101BA8" w:rsidP="00101BA8">
      <w:pPr>
        <w:rPr>
          <w:i/>
          <w:lang w:val="en-AU"/>
        </w:rPr>
      </w:pPr>
    </w:p>
    <w:p w:rsidR="006D5FE7" w:rsidRPr="006D5FE7" w:rsidRDefault="006D5FE7" w:rsidP="006D5FE7">
      <w:pPr>
        <w:keepNext/>
        <w:keepLines/>
        <w:autoSpaceDE w:val="0"/>
        <w:autoSpaceDN w:val="0"/>
        <w:adjustRightInd w:val="0"/>
        <w:rPr>
          <w:i/>
          <w:lang w:val="en-AU"/>
        </w:rPr>
      </w:pPr>
      <w:r w:rsidRPr="006D5FE7">
        <w:rPr>
          <w:i/>
          <w:lang w:val="en-AU"/>
        </w:rPr>
        <w:t>Music and communication in the operating theatre</w:t>
      </w:r>
    </w:p>
    <w:p w:rsidR="006D5FE7" w:rsidRDefault="006D5FE7" w:rsidP="00101BA8">
      <w:pPr>
        <w:keepNext/>
        <w:keepLines/>
        <w:autoSpaceDE w:val="0"/>
        <w:autoSpaceDN w:val="0"/>
        <w:adjustRightInd w:val="0"/>
        <w:rPr>
          <w:lang w:val="en-AU"/>
        </w:rPr>
      </w:pPr>
      <w:r w:rsidRPr="006D5FE7">
        <w:rPr>
          <w:lang w:val="en-AU"/>
        </w:rPr>
        <w:t xml:space="preserve">Weldon S-M, </w:t>
      </w:r>
      <w:proofErr w:type="spellStart"/>
      <w:r w:rsidRPr="006D5FE7">
        <w:rPr>
          <w:lang w:val="en-AU"/>
        </w:rPr>
        <w:t>Korkiakangas</w:t>
      </w:r>
      <w:proofErr w:type="spellEnd"/>
      <w:r w:rsidRPr="006D5FE7">
        <w:rPr>
          <w:lang w:val="en-AU"/>
        </w:rPr>
        <w:t xml:space="preserve"> T, </w:t>
      </w:r>
      <w:proofErr w:type="spellStart"/>
      <w:r w:rsidRPr="006D5FE7">
        <w:rPr>
          <w:lang w:val="en-AU"/>
        </w:rPr>
        <w:t>Bezemer</w:t>
      </w:r>
      <w:proofErr w:type="spellEnd"/>
      <w:r w:rsidRPr="006D5FE7">
        <w:rPr>
          <w:lang w:val="en-AU"/>
        </w:rPr>
        <w:t xml:space="preserve"> J, Kneebone R</w:t>
      </w:r>
    </w:p>
    <w:p w:rsidR="006D5FE7" w:rsidRPr="002302EF" w:rsidRDefault="006D5FE7" w:rsidP="00101BA8">
      <w:pPr>
        <w:keepNext/>
        <w:keepLines/>
        <w:autoSpaceDE w:val="0"/>
        <w:autoSpaceDN w:val="0"/>
        <w:adjustRightInd w:val="0"/>
        <w:rPr>
          <w:lang w:val="en-AU"/>
        </w:rPr>
      </w:pPr>
      <w:proofErr w:type="gramStart"/>
      <w:r w:rsidRPr="006D5FE7">
        <w:rPr>
          <w:lang w:val="en-AU"/>
        </w:rPr>
        <w:t>Journal of Advanced Nursing.</w:t>
      </w:r>
      <w:proofErr w:type="gramEnd"/>
      <w:r w:rsidRPr="006D5FE7">
        <w:rPr>
          <w:lang w:val="en-AU"/>
        </w:rPr>
        <w:t xml:space="preserve"> </w:t>
      </w:r>
      <w:proofErr w:type="gramStart"/>
      <w:r w:rsidRPr="006D5FE7">
        <w:rPr>
          <w:lang w:val="en-AU"/>
        </w:rPr>
        <w:t>2015</w:t>
      </w:r>
      <w:r>
        <w:rPr>
          <w:lang w:val="en-AU"/>
        </w:rPr>
        <w:t xml:space="preserve"> [epub]</w:t>
      </w:r>
      <w:r w:rsidRPr="006D5FE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9E737E" w:rsidP="006D5FE7">
            <w:pPr>
              <w:rPr>
                <w:lang w:val="en-AU"/>
              </w:rPr>
            </w:pPr>
            <w:hyperlink r:id="rId27" w:history="1">
              <w:r w:rsidR="006D5FE7" w:rsidRPr="00CF54A9">
                <w:rPr>
                  <w:rStyle w:val="Hyperlink"/>
                  <w:lang w:val="en-AU"/>
                </w:rPr>
                <w:t>http://dx.doi.org/10.1111/jan.12744</w:t>
              </w:r>
            </w:hyperlink>
          </w:p>
        </w:tc>
      </w:tr>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062FE3" w:rsidP="006D5FE7">
            <w:pPr>
              <w:rPr>
                <w:lang w:val="en-AU"/>
              </w:rPr>
            </w:pPr>
            <w:r>
              <w:rPr>
                <w:lang w:val="en-AU"/>
              </w:rPr>
              <w:t xml:space="preserve">The role of interruption or distraction to lapses in care has been examined in various settings, for example medication </w:t>
            </w:r>
            <w:r w:rsidR="006D5FE7">
              <w:rPr>
                <w:lang w:val="en-AU"/>
              </w:rPr>
              <w:t xml:space="preserve">delivery. This paper looks at the disruptive potential of something that it often seen as making the working environment, music, more pleasant and its impact on communication in the operating theatre. Apparently music is commonplace in operating theatres – the authors cite studies stating that </w:t>
            </w:r>
            <w:r w:rsidR="006D5FE7" w:rsidRPr="006D5FE7">
              <w:rPr>
                <w:lang w:val="en-AU"/>
              </w:rPr>
              <w:t>music is played in 53-72% of surgical operations</w:t>
            </w:r>
            <w:r w:rsidR="006D5FE7">
              <w:rPr>
                <w:lang w:val="en-AU"/>
              </w:rPr>
              <w:t xml:space="preserve">. This study was an </w:t>
            </w:r>
            <w:r w:rsidR="006D5FE7" w:rsidRPr="006D5FE7">
              <w:rPr>
                <w:lang w:val="en-AU"/>
              </w:rPr>
              <w:t>ethnographic observational study of teamwork in operating theatres through video recordings</w:t>
            </w:r>
            <w:r w:rsidR="006D5FE7">
              <w:rPr>
                <w:lang w:val="en-AU"/>
              </w:rPr>
              <w:t xml:space="preserve"> of 20 operations in 2 operating theatres over a 6 month period in which more than 5000 ‘request/response’ interactions were observed. The authors report that “</w:t>
            </w:r>
            <w:r w:rsidR="006D5FE7" w:rsidRPr="006D5FE7">
              <w:rPr>
                <w:lang w:val="en-AU"/>
              </w:rPr>
              <w:t>repeated requests were five times more likely to occur in cases that played music than those that did not. A repeated request can add 4-68 seconds each to operation time and increased tensions due to frustration at ineffective communication.</w:t>
            </w:r>
            <w:r w:rsidR="006D5FE7">
              <w:rPr>
                <w:lang w:val="en-AU"/>
              </w:rPr>
              <w:t>”</w:t>
            </w:r>
          </w:p>
        </w:tc>
      </w:tr>
    </w:tbl>
    <w:p w:rsidR="00101BA8" w:rsidRDefault="00101BA8" w:rsidP="00101BA8">
      <w:pPr>
        <w:rPr>
          <w:i/>
          <w:lang w:val="en-AU"/>
        </w:rPr>
      </w:pPr>
    </w:p>
    <w:p w:rsidR="004617E1" w:rsidRPr="004617E1" w:rsidRDefault="004617E1" w:rsidP="004617E1">
      <w:pPr>
        <w:keepNext/>
        <w:keepLines/>
        <w:autoSpaceDE w:val="0"/>
        <w:autoSpaceDN w:val="0"/>
        <w:adjustRightInd w:val="0"/>
        <w:rPr>
          <w:i/>
          <w:lang w:val="en-AU"/>
        </w:rPr>
      </w:pPr>
      <w:r w:rsidRPr="004617E1">
        <w:rPr>
          <w:i/>
          <w:lang w:val="en-AU"/>
        </w:rPr>
        <w:lastRenderedPageBreak/>
        <w:t>Evaluation of a continuous monitoring and feedback initiative to improve quality of anaesthetic care: a mixed-methods quasi-experimental study</w:t>
      </w:r>
    </w:p>
    <w:p w:rsidR="004617E1" w:rsidRDefault="004617E1" w:rsidP="00101BA8">
      <w:pPr>
        <w:keepNext/>
        <w:keepLines/>
        <w:autoSpaceDE w:val="0"/>
        <w:autoSpaceDN w:val="0"/>
        <w:adjustRightInd w:val="0"/>
        <w:rPr>
          <w:lang w:val="en-AU"/>
        </w:rPr>
      </w:pPr>
      <w:r w:rsidRPr="004617E1">
        <w:rPr>
          <w:lang w:val="en-AU"/>
        </w:rPr>
        <w:t xml:space="preserve">Benn J, Arnold G, </w:t>
      </w:r>
      <w:proofErr w:type="spellStart"/>
      <w:r w:rsidRPr="004617E1">
        <w:rPr>
          <w:lang w:val="en-AU"/>
        </w:rPr>
        <w:t>D'Lima</w:t>
      </w:r>
      <w:proofErr w:type="spellEnd"/>
      <w:r w:rsidRPr="004617E1">
        <w:rPr>
          <w:lang w:val="en-AU"/>
        </w:rPr>
        <w:t xml:space="preserve"> D, </w:t>
      </w:r>
      <w:r>
        <w:rPr>
          <w:lang w:val="en-AU"/>
        </w:rPr>
        <w:t xml:space="preserve">Wei I, Moore J, </w:t>
      </w:r>
      <w:proofErr w:type="spellStart"/>
      <w:r>
        <w:rPr>
          <w:lang w:val="en-AU"/>
        </w:rPr>
        <w:t>Aleva</w:t>
      </w:r>
      <w:proofErr w:type="spellEnd"/>
      <w:r>
        <w:rPr>
          <w:lang w:val="en-AU"/>
        </w:rPr>
        <w:t xml:space="preserve"> F, et al</w:t>
      </w:r>
    </w:p>
    <w:p w:rsidR="00101BA8" w:rsidRPr="002302EF" w:rsidRDefault="004617E1" w:rsidP="00101BA8">
      <w:pPr>
        <w:keepNext/>
        <w:keepLines/>
        <w:autoSpaceDE w:val="0"/>
        <w:autoSpaceDN w:val="0"/>
        <w:adjustRightInd w:val="0"/>
        <w:rPr>
          <w:lang w:val="en-AU"/>
        </w:rPr>
      </w:pPr>
      <w:proofErr w:type="gramStart"/>
      <w:r w:rsidRPr="004617E1">
        <w:rPr>
          <w:lang w:val="en-AU"/>
        </w:rPr>
        <w:t>Health Services and Delivery Research.</w:t>
      </w:r>
      <w:proofErr w:type="gramEnd"/>
      <w:r w:rsidRPr="004617E1">
        <w:rPr>
          <w:lang w:val="en-AU"/>
        </w:rPr>
        <w:t xml:space="preserve"> 2015 2015/08/03</w:t>
      </w:r>
      <w:proofErr w:type="gramStart"/>
      <w:r w:rsidRPr="004617E1">
        <w:rPr>
          <w:lang w:val="en-AU"/>
        </w:rPr>
        <w:t>;3</w:t>
      </w:r>
      <w:proofErr w:type="gramEnd"/>
      <w:r w:rsidRPr="004617E1">
        <w:rPr>
          <w:lang w:val="en-AU"/>
        </w:rPr>
        <w:t>(32).</w:t>
      </w:r>
    </w:p>
    <w:tbl>
      <w:tblPr>
        <w:tblStyle w:val="TableGrid"/>
        <w:tblW w:w="0" w:type="auto"/>
        <w:tblInd w:w="288" w:type="dxa"/>
        <w:tblLayout w:type="fixed"/>
        <w:tblLook w:val="01E0" w:firstRow="1" w:lastRow="1" w:firstColumn="1" w:lastColumn="1" w:noHBand="0" w:noVBand="0"/>
      </w:tblPr>
      <w:tblGrid>
        <w:gridCol w:w="1080"/>
        <w:gridCol w:w="8280"/>
      </w:tblGrid>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9E737E" w:rsidP="00A4566F">
            <w:pPr>
              <w:rPr>
                <w:lang w:val="en-AU"/>
              </w:rPr>
            </w:pPr>
            <w:hyperlink r:id="rId28" w:history="1">
              <w:r w:rsidR="004617E1" w:rsidRPr="00002C07">
                <w:rPr>
                  <w:rStyle w:val="Hyperlink"/>
                  <w:lang w:val="en-AU"/>
                </w:rPr>
                <w:t>http://dx.doi.org/10.3310/hsdr03320</w:t>
              </w:r>
            </w:hyperlink>
          </w:p>
        </w:tc>
      </w:tr>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17E1" w:rsidRDefault="004617E1" w:rsidP="004617E1">
            <w:pPr>
              <w:rPr>
                <w:lang w:val="en-AU"/>
              </w:rPr>
            </w:pPr>
            <w:r>
              <w:rPr>
                <w:lang w:val="en-AU"/>
              </w:rPr>
              <w:t xml:space="preserve">Modern anaesthesia is regarded as safe and adverse events in anaesthesia are relatively uncommon. However, that is not to say that quality assurance and improvement are unnecessary or of little value. This </w:t>
            </w:r>
            <w:r w:rsidR="00DC259D">
              <w:rPr>
                <w:lang w:val="en-AU"/>
              </w:rPr>
              <w:t xml:space="preserve">extensive (282 page) </w:t>
            </w:r>
            <w:r>
              <w:rPr>
                <w:lang w:val="en-AU"/>
              </w:rPr>
              <w:t xml:space="preserve">report describes a three-year project that </w:t>
            </w:r>
            <w:r w:rsidRPr="004617E1">
              <w:rPr>
                <w:lang w:val="en-AU"/>
              </w:rPr>
              <w:t>provide</w:t>
            </w:r>
            <w:r>
              <w:rPr>
                <w:lang w:val="en-AU"/>
              </w:rPr>
              <w:t xml:space="preserve">d </w:t>
            </w:r>
            <w:r w:rsidRPr="004617E1">
              <w:rPr>
                <w:lang w:val="en-AU"/>
              </w:rPr>
              <w:t xml:space="preserve">44 anaesthetists with basic and subsequently enhanced personalised feedback. </w:t>
            </w:r>
            <w:r>
              <w:rPr>
                <w:lang w:val="en-AU"/>
              </w:rPr>
              <w:t xml:space="preserve">The authors sought to determine </w:t>
            </w:r>
            <w:r w:rsidRPr="004617E1">
              <w:rPr>
                <w:lang w:val="en-AU"/>
              </w:rPr>
              <w:t>whether or not this initiative improved anaesthetic quality measures over time</w:t>
            </w:r>
            <w:r>
              <w:rPr>
                <w:lang w:val="en-AU"/>
              </w:rPr>
              <w:t xml:space="preserve"> and </w:t>
            </w:r>
            <w:r w:rsidRPr="004617E1">
              <w:rPr>
                <w:lang w:val="en-AU"/>
              </w:rPr>
              <w:t>whether or not anaesthetists would engage with the feedback and view it as</w:t>
            </w:r>
            <w:r>
              <w:rPr>
                <w:lang w:val="en-AU"/>
              </w:rPr>
              <w:t xml:space="preserve"> </w:t>
            </w:r>
            <w:r w:rsidRPr="004617E1">
              <w:rPr>
                <w:lang w:val="en-AU"/>
              </w:rPr>
              <w:t>useful, through conducting surveys and interviews.</w:t>
            </w:r>
          </w:p>
          <w:p w:rsidR="00101BA8" w:rsidRPr="002302EF" w:rsidRDefault="004617E1" w:rsidP="004617E1">
            <w:pPr>
              <w:rPr>
                <w:lang w:val="en-AU"/>
              </w:rPr>
            </w:pPr>
            <w:r>
              <w:rPr>
                <w:lang w:val="en-AU"/>
              </w:rPr>
              <w:t xml:space="preserve">The authors report that </w:t>
            </w:r>
            <w:r w:rsidRPr="004617E1">
              <w:rPr>
                <w:lang w:val="en-AU"/>
              </w:rPr>
              <w:t xml:space="preserve">providing </w:t>
            </w:r>
            <w:r w:rsidRPr="004617E1">
              <w:rPr>
                <w:b/>
                <w:lang w:val="en-AU"/>
              </w:rPr>
              <w:t>comprehensive personalised feedback</w:t>
            </w:r>
            <w:r w:rsidRPr="004617E1">
              <w:rPr>
                <w:lang w:val="en-AU"/>
              </w:rPr>
              <w:t xml:space="preserve"> to anaesthetists as part of a long-term programme, which they had co</w:t>
            </w:r>
            <w:r>
              <w:rPr>
                <w:lang w:val="en-AU"/>
              </w:rPr>
              <w:t>-</w:t>
            </w:r>
            <w:r w:rsidRPr="004617E1">
              <w:rPr>
                <w:lang w:val="en-AU"/>
              </w:rPr>
              <w:t xml:space="preserve">designed, was </w:t>
            </w:r>
            <w:r w:rsidRPr="004617E1">
              <w:rPr>
                <w:b/>
                <w:lang w:val="en-AU"/>
              </w:rPr>
              <w:t>effective</w:t>
            </w:r>
            <w:r w:rsidRPr="004617E1">
              <w:rPr>
                <w:lang w:val="en-AU"/>
              </w:rPr>
              <w:t xml:space="preserve"> in</w:t>
            </w:r>
            <w:r>
              <w:rPr>
                <w:lang w:val="en-AU"/>
              </w:rPr>
              <w:t xml:space="preserve"> </w:t>
            </w:r>
            <w:r w:rsidRPr="004617E1">
              <w:rPr>
                <w:lang w:val="en-AU"/>
              </w:rPr>
              <w:t xml:space="preserve">improving measures of </w:t>
            </w:r>
            <w:r w:rsidRPr="004617E1">
              <w:rPr>
                <w:b/>
                <w:lang w:val="en-AU"/>
              </w:rPr>
              <w:t>postoperative pain</w:t>
            </w:r>
            <w:r w:rsidRPr="004617E1">
              <w:rPr>
                <w:lang w:val="en-AU"/>
              </w:rPr>
              <w:t xml:space="preserve">, </w:t>
            </w:r>
            <w:r w:rsidRPr="004617E1">
              <w:rPr>
                <w:b/>
                <w:lang w:val="en-AU"/>
              </w:rPr>
              <w:t>nausea</w:t>
            </w:r>
            <w:r w:rsidRPr="004617E1">
              <w:rPr>
                <w:lang w:val="en-AU"/>
              </w:rPr>
              <w:t xml:space="preserve"> and </w:t>
            </w:r>
            <w:r w:rsidRPr="004617E1">
              <w:rPr>
                <w:b/>
                <w:lang w:val="en-AU"/>
              </w:rPr>
              <w:t>quality of recovery</w:t>
            </w:r>
            <w:r w:rsidRPr="004617E1">
              <w:rPr>
                <w:lang w:val="en-AU"/>
              </w:rPr>
              <w:t xml:space="preserve"> from surgery, as well as</w:t>
            </w:r>
            <w:r>
              <w:rPr>
                <w:lang w:val="en-AU"/>
              </w:rPr>
              <w:t xml:space="preserve"> </w:t>
            </w:r>
            <w:r w:rsidRPr="004617E1">
              <w:rPr>
                <w:lang w:val="en-AU"/>
              </w:rPr>
              <w:t xml:space="preserve">engaging the local professional group. </w:t>
            </w:r>
            <w:r>
              <w:rPr>
                <w:lang w:val="en-AU"/>
              </w:rPr>
              <w:t xml:space="preserve">They argue </w:t>
            </w:r>
            <w:r w:rsidRPr="004617E1">
              <w:rPr>
                <w:lang w:val="en-AU"/>
              </w:rPr>
              <w:t xml:space="preserve">that </w:t>
            </w:r>
            <w:r>
              <w:rPr>
                <w:lang w:val="en-AU"/>
              </w:rPr>
              <w:t xml:space="preserve">such a </w:t>
            </w:r>
            <w:r w:rsidRPr="004617E1">
              <w:rPr>
                <w:lang w:val="en-AU"/>
              </w:rPr>
              <w:t>feedback initiative could be of broader</w:t>
            </w:r>
            <w:r>
              <w:rPr>
                <w:lang w:val="en-AU"/>
              </w:rPr>
              <w:t xml:space="preserve"> </w:t>
            </w:r>
            <w:r w:rsidRPr="004617E1">
              <w:rPr>
                <w:lang w:val="en-AU"/>
              </w:rPr>
              <w:t>benefit to health-care professionals and patients if implemented elsewhere.</w:t>
            </w:r>
          </w:p>
        </w:tc>
      </w:tr>
    </w:tbl>
    <w:p w:rsidR="00101BA8" w:rsidRDefault="00101BA8" w:rsidP="00101BA8">
      <w:pPr>
        <w:rPr>
          <w:i/>
          <w:lang w:val="en-AU"/>
        </w:rPr>
      </w:pPr>
    </w:p>
    <w:p w:rsidR="00BE0F6A" w:rsidRPr="00BE0F6A" w:rsidRDefault="00BE0F6A" w:rsidP="00BE0F6A">
      <w:pPr>
        <w:keepNext/>
        <w:keepLines/>
        <w:autoSpaceDE w:val="0"/>
        <w:autoSpaceDN w:val="0"/>
        <w:adjustRightInd w:val="0"/>
        <w:rPr>
          <w:i/>
          <w:lang w:val="en-AU"/>
        </w:rPr>
      </w:pPr>
      <w:r w:rsidRPr="00BE0F6A">
        <w:rPr>
          <w:i/>
          <w:lang w:val="en-AU"/>
        </w:rPr>
        <w:t>Advancing Medication Safety: Establishing a National Action Plan for Adverse Drug Event Prevention</w:t>
      </w:r>
    </w:p>
    <w:p w:rsidR="00BE0F6A" w:rsidRDefault="00BE0F6A" w:rsidP="00101BA8">
      <w:pPr>
        <w:keepNext/>
        <w:keepLines/>
        <w:autoSpaceDE w:val="0"/>
        <w:autoSpaceDN w:val="0"/>
        <w:adjustRightInd w:val="0"/>
        <w:rPr>
          <w:lang w:val="en-AU"/>
        </w:rPr>
      </w:pPr>
      <w:r w:rsidRPr="00BE0F6A">
        <w:rPr>
          <w:lang w:val="en-AU"/>
        </w:rPr>
        <w:t>Harris Y, Hu DJ, Lee C, Mistry M, York A, Johnson TK</w:t>
      </w:r>
    </w:p>
    <w:p w:rsidR="00101BA8" w:rsidRPr="002302EF" w:rsidRDefault="00BE0F6A" w:rsidP="00101BA8">
      <w:pPr>
        <w:keepNext/>
        <w:keepLines/>
        <w:autoSpaceDE w:val="0"/>
        <w:autoSpaceDN w:val="0"/>
        <w:adjustRightInd w:val="0"/>
        <w:rPr>
          <w:lang w:val="en-AU"/>
        </w:rPr>
      </w:pPr>
      <w:proofErr w:type="gramStart"/>
      <w:r w:rsidRPr="00BE0F6A">
        <w:rPr>
          <w:lang w:val="en-AU"/>
        </w:rPr>
        <w:t>Joint Commission Journal on Quality and Patient Safety.</w:t>
      </w:r>
      <w:proofErr w:type="gramEnd"/>
      <w:r w:rsidRPr="00BE0F6A">
        <w:rPr>
          <w:lang w:val="en-AU"/>
        </w:rPr>
        <w:t xml:space="preserve"> 2015</w:t>
      </w:r>
      <w:proofErr w:type="gramStart"/>
      <w:r w:rsidRPr="00BE0F6A">
        <w:rPr>
          <w:lang w:val="en-AU"/>
        </w:rPr>
        <w:t>;41</w:t>
      </w:r>
      <w:proofErr w:type="gramEnd"/>
      <w:r w:rsidRPr="00BE0F6A">
        <w:rPr>
          <w:lang w:val="en-AU"/>
        </w:rPr>
        <w:t>(8):351-60.</w:t>
      </w:r>
    </w:p>
    <w:tbl>
      <w:tblPr>
        <w:tblStyle w:val="TableGrid"/>
        <w:tblW w:w="0" w:type="auto"/>
        <w:tblInd w:w="288" w:type="dxa"/>
        <w:tblLayout w:type="fixed"/>
        <w:tblLook w:val="01E0" w:firstRow="1" w:lastRow="1" w:firstColumn="1" w:lastColumn="1" w:noHBand="0" w:noVBand="0"/>
      </w:tblPr>
      <w:tblGrid>
        <w:gridCol w:w="1080"/>
        <w:gridCol w:w="8280"/>
      </w:tblGrid>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BE0F6A" w:rsidP="00A4566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9E737E" w:rsidP="00BE0F6A">
            <w:pPr>
              <w:rPr>
                <w:lang w:val="en-AU"/>
              </w:rPr>
            </w:pPr>
            <w:hyperlink r:id="rId29" w:history="1">
              <w:r w:rsidR="00BE0F6A" w:rsidRPr="00002C07">
                <w:rPr>
                  <w:rStyle w:val="Hyperlink"/>
                  <w:lang w:val="en-AU"/>
                </w:rPr>
                <w:t>http://www.ingentaconnect.com/content/jcaho/jcjqs/2015/00000041/00000008/art00003</w:t>
              </w:r>
            </w:hyperlink>
          </w:p>
        </w:tc>
      </w:tr>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8D4FC6" w:rsidP="008D4FC6">
            <w:pPr>
              <w:rPr>
                <w:lang w:val="en-AU"/>
              </w:rPr>
            </w:pPr>
            <w:r>
              <w:rPr>
                <w:lang w:val="en-AU"/>
              </w:rPr>
              <w:t xml:space="preserve">Paper describing the development and implementation of a US </w:t>
            </w:r>
            <w:r w:rsidRPr="008D4FC6">
              <w:rPr>
                <w:lang w:val="en-AU"/>
              </w:rPr>
              <w:t xml:space="preserve">National Action Plan to focus on </w:t>
            </w:r>
            <w:r w:rsidRPr="008D4FC6">
              <w:rPr>
                <w:b/>
                <w:lang w:val="en-AU"/>
              </w:rPr>
              <w:t>Adverse Drug Event</w:t>
            </w:r>
            <w:r w:rsidRPr="008D4FC6">
              <w:rPr>
                <w:lang w:val="en-AU"/>
              </w:rPr>
              <w:t xml:space="preserve"> prevention</w:t>
            </w:r>
            <w:r>
              <w:rPr>
                <w:lang w:val="en-AU"/>
              </w:rPr>
              <w:t xml:space="preserve">. The </w:t>
            </w:r>
            <w:r w:rsidRPr="008D4FC6">
              <w:rPr>
                <w:b/>
                <w:lang w:val="en-AU"/>
              </w:rPr>
              <w:t>Action Plan</w:t>
            </w:r>
            <w:r>
              <w:rPr>
                <w:lang w:val="en-AU"/>
              </w:rPr>
              <w:t xml:space="preserve"> on ADEs</w:t>
            </w:r>
            <w:r w:rsidRPr="008D4FC6">
              <w:rPr>
                <w:lang w:val="en-AU"/>
              </w:rPr>
              <w:t xml:space="preserve"> </w:t>
            </w:r>
            <w:r w:rsidRPr="008D4FC6">
              <w:rPr>
                <w:b/>
                <w:lang w:val="en-AU"/>
              </w:rPr>
              <w:t>focuses</w:t>
            </w:r>
            <w:r>
              <w:rPr>
                <w:lang w:val="en-AU"/>
              </w:rPr>
              <w:t xml:space="preserve"> </w:t>
            </w:r>
            <w:r w:rsidRPr="008D4FC6">
              <w:rPr>
                <w:lang w:val="en-AU"/>
              </w:rPr>
              <w:t xml:space="preserve">on ADEs that are </w:t>
            </w:r>
            <w:r w:rsidRPr="008D4FC6">
              <w:rPr>
                <w:b/>
                <w:lang w:val="en-AU"/>
              </w:rPr>
              <w:t>clinically significant</w:t>
            </w:r>
            <w:r w:rsidRPr="008D4FC6">
              <w:rPr>
                <w:lang w:val="en-AU"/>
              </w:rPr>
              <w:t xml:space="preserve">, account for the </w:t>
            </w:r>
            <w:r w:rsidRPr="008D4FC6">
              <w:rPr>
                <w:b/>
                <w:lang w:val="en-AU"/>
              </w:rPr>
              <w:t>greatest number of measurable harms</w:t>
            </w:r>
            <w:r w:rsidRPr="008D4FC6">
              <w:rPr>
                <w:lang w:val="en-AU"/>
              </w:rPr>
              <w:t xml:space="preserve">, and are </w:t>
            </w:r>
            <w:r w:rsidRPr="008D4FC6">
              <w:rPr>
                <w:b/>
                <w:lang w:val="en-AU"/>
              </w:rPr>
              <w:t>largely preventable</w:t>
            </w:r>
            <w:r w:rsidRPr="008D4FC6">
              <w:rPr>
                <w:lang w:val="en-AU"/>
              </w:rPr>
              <w:t xml:space="preserve">. </w:t>
            </w:r>
            <w:r>
              <w:rPr>
                <w:lang w:val="en-AU"/>
              </w:rPr>
              <w:t xml:space="preserve">It was thus determined </w:t>
            </w:r>
            <w:r w:rsidRPr="008D4FC6">
              <w:rPr>
                <w:lang w:val="en-AU"/>
              </w:rPr>
              <w:t xml:space="preserve">to target three medication classes: </w:t>
            </w:r>
            <w:r w:rsidRPr="008D4FC6">
              <w:rPr>
                <w:b/>
                <w:lang w:val="en-AU"/>
              </w:rPr>
              <w:t>anticoagulants</w:t>
            </w:r>
            <w:r w:rsidRPr="008D4FC6">
              <w:rPr>
                <w:lang w:val="en-AU"/>
              </w:rPr>
              <w:t xml:space="preserve">, </w:t>
            </w:r>
            <w:r w:rsidRPr="008D4FC6">
              <w:rPr>
                <w:b/>
                <w:lang w:val="en-AU"/>
              </w:rPr>
              <w:t>diabetes agents</w:t>
            </w:r>
            <w:r w:rsidRPr="008D4FC6">
              <w:rPr>
                <w:lang w:val="en-AU"/>
              </w:rPr>
              <w:t xml:space="preserve"> (insulin and oral </w:t>
            </w:r>
            <w:proofErr w:type="spellStart"/>
            <w:r w:rsidRPr="008D4FC6">
              <w:rPr>
                <w:lang w:val="en-AU"/>
              </w:rPr>
              <w:t>hypoglycemic</w:t>
            </w:r>
            <w:proofErr w:type="spellEnd"/>
            <w:r w:rsidRPr="008D4FC6">
              <w:rPr>
                <w:lang w:val="en-AU"/>
              </w:rPr>
              <w:t xml:space="preserve"> agents), and </w:t>
            </w:r>
            <w:r w:rsidRPr="008D4FC6">
              <w:rPr>
                <w:b/>
                <w:lang w:val="en-AU"/>
              </w:rPr>
              <w:t>opioids</w:t>
            </w:r>
            <w:r>
              <w:rPr>
                <w:lang w:val="en-AU"/>
              </w:rPr>
              <w:t>. The Action Plan is organis</w:t>
            </w:r>
            <w:r w:rsidRPr="008D4FC6">
              <w:rPr>
                <w:lang w:val="en-AU"/>
              </w:rPr>
              <w:t>ed around four key areas: surveillance; evidence-based prevention; payment, policy incentives, and oversight; and research opportunities to advance medication safety.</w:t>
            </w:r>
          </w:p>
        </w:tc>
      </w:tr>
    </w:tbl>
    <w:p w:rsidR="00101BA8" w:rsidRDefault="00101BA8" w:rsidP="00101BA8">
      <w:pPr>
        <w:rPr>
          <w:i/>
          <w:lang w:val="en-AU"/>
        </w:rPr>
      </w:pPr>
    </w:p>
    <w:p w:rsidR="00BE0F6A" w:rsidRDefault="00BE0F6A" w:rsidP="00BE0F6A">
      <w:pPr>
        <w:rPr>
          <w:rStyle w:val="Hyperlink"/>
          <w:lang w:val="en-AU"/>
        </w:rPr>
      </w:pPr>
      <w:r w:rsidRPr="008A4F3D">
        <w:rPr>
          <w:lang w:val="en-AU"/>
        </w:rPr>
        <w:t>For information on the Commission’s work on</w:t>
      </w:r>
      <w:r>
        <w:rPr>
          <w:lang w:val="en-AU"/>
        </w:rPr>
        <w:t xml:space="preserve"> medication safety, see </w:t>
      </w:r>
      <w:hyperlink r:id="rId30" w:history="1">
        <w:r w:rsidRPr="00002C07">
          <w:rPr>
            <w:rStyle w:val="Hyperlink"/>
            <w:lang w:val="en-AU"/>
          </w:rPr>
          <w:t>http://www.safetyandquality.gov.au/our-work/medication-safety/</w:t>
        </w:r>
      </w:hyperlink>
      <w:r>
        <w:rPr>
          <w:lang w:val="en-AU"/>
        </w:rPr>
        <w:t xml:space="preserve"> </w:t>
      </w:r>
    </w:p>
    <w:p w:rsidR="00BE0F6A" w:rsidRDefault="00BE0F6A" w:rsidP="00101BA8">
      <w:pPr>
        <w:rPr>
          <w:i/>
          <w:lang w:val="en-AU"/>
        </w:rPr>
      </w:pPr>
    </w:p>
    <w:p w:rsidR="00CB0759" w:rsidRPr="00BE0F6A" w:rsidRDefault="00CB0759" w:rsidP="00CB0759">
      <w:pPr>
        <w:keepNext/>
        <w:keepLines/>
        <w:autoSpaceDE w:val="0"/>
        <w:autoSpaceDN w:val="0"/>
        <w:adjustRightInd w:val="0"/>
        <w:rPr>
          <w:i/>
          <w:lang w:val="en-AU"/>
        </w:rPr>
      </w:pPr>
      <w:r w:rsidRPr="00BE0F6A">
        <w:rPr>
          <w:i/>
          <w:lang w:val="en-AU"/>
        </w:rPr>
        <w:t>Connecting Patients and Clinicians: The Anticipated Effects of Open Notes on Patient Safety and Quality of Care</w:t>
      </w:r>
    </w:p>
    <w:p w:rsidR="00CB0759" w:rsidRDefault="00CB0759" w:rsidP="00CB0759">
      <w:pPr>
        <w:keepNext/>
        <w:keepLines/>
        <w:autoSpaceDE w:val="0"/>
        <w:autoSpaceDN w:val="0"/>
        <w:adjustRightInd w:val="0"/>
        <w:rPr>
          <w:lang w:val="en-AU"/>
        </w:rPr>
      </w:pPr>
      <w:r w:rsidRPr="00BE0F6A">
        <w:rPr>
          <w:lang w:val="en-AU"/>
        </w:rPr>
        <w:t xml:space="preserve">Bell SK, </w:t>
      </w:r>
      <w:proofErr w:type="spellStart"/>
      <w:r w:rsidRPr="00BE0F6A">
        <w:rPr>
          <w:lang w:val="en-AU"/>
        </w:rPr>
        <w:t>Folcarelli</w:t>
      </w:r>
      <w:proofErr w:type="spellEnd"/>
      <w:r w:rsidRPr="00BE0F6A">
        <w:rPr>
          <w:lang w:val="en-AU"/>
        </w:rPr>
        <w:t xml:space="preserve"> PH, </w:t>
      </w:r>
      <w:proofErr w:type="spellStart"/>
      <w:r w:rsidRPr="00BE0F6A">
        <w:rPr>
          <w:lang w:val="en-AU"/>
        </w:rPr>
        <w:t>Anselmo</w:t>
      </w:r>
      <w:proofErr w:type="spellEnd"/>
      <w:r w:rsidRPr="00BE0F6A">
        <w:rPr>
          <w:lang w:val="en-AU"/>
        </w:rPr>
        <w:t xml:space="preserve"> MK, Crotty BH, Flier LA, Walker J</w:t>
      </w:r>
    </w:p>
    <w:p w:rsidR="00CB0759" w:rsidRPr="002302EF" w:rsidRDefault="00CB0759" w:rsidP="00CB0759">
      <w:pPr>
        <w:keepNext/>
        <w:keepLines/>
        <w:autoSpaceDE w:val="0"/>
        <w:autoSpaceDN w:val="0"/>
        <w:adjustRightInd w:val="0"/>
        <w:rPr>
          <w:lang w:val="en-AU"/>
        </w:rPr>
      </w:pPr>
      <w:proofErr w:type="gramStart"/>
      <w:r w:rsidRPr="00BE0F6A">
        <w:rPr>
          <w:lang w:val="en-AU"/>
        </w:rPr>
        <w:t>Joint Commission Journal on Quality and Patient Safety.</w:t>
      </w:r>
      <w:proofErr w:type="gramEnd"/>
      <w:r w:rsidRPr="00BE0F6A">
        <w:rPr>
          <w:lang w:val="en-AU"/>
        </w:rPr>
        <w:t xml:space="preserve"> 2015</w:t>
      </w:r>
      <w:proofErr w:type="gramStart"/>
      <w:r w:rsidRPr="00BE0F6A">
        <w:rPr>
          <w:lang w:val="en-AU"/>
        </w:rPr>
        <w:t>;41</w:t>
      </w:r>
      <w:proofErr w:type="gramEnd"/>
      <w:r w:rsidRPr="00BE0F6A">
        <w:rPr>
          <w:lang w:val="en-AU"/>
        </w:rPr>
        <w:t>(8):378-84.</w:t>
      </w:r>
    </w:p>
    <w:tbl>
      <w:tblPr>
        <w:tblStyle w:val="TableGrid"/>
        <w:tblW w:w="0" w:type="auto"/>
        <w:tblInd w:w="288" w:type="dxa"/>
        <w:tblLayout w:type="fixed"/>
        <w:tblLook w:val="01E0" w:firstRow="1" w:lastRow="1" w:firstColumn="1" w:lastColumn="1" w:noHBand="0" w:noVBand="0"/>
      </w:tblPr>
      <w:tblGrid>
        <w:gridCol w:w="1080"/>
        <w:gridCol w:w="8280"/>
      </w:tblGrid>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2302EF" w:rsidRDefault="009E737E" w:rsidP="00F540C3">
            <w:pPr>
              <w:rPr>
                <w:lang w:val="en-AU"/>
              </w:rPr>
            </w:pPr>
            <w:hyperlink r:id="rId31" w:history="1">
              <w:r w:rsidR="00CB0759" w:rsidRPr="00002C07">
                <w:rPr>
                  <w:rStyle w:val="Hyperlink"/>
                  <w:lang w:val="en-AU"/>
                </w:rPr>
                <w:t>http://www.ingentaconnect.com/content/jcaho/jcjqs/2015/00000041/00000008/art00006</w:t>
              </w:r>
            </w:hyperlink>
          </w:p>
        </w:tc>
      </w:tr>
      <w:tr w:rsidR="00CB0759" w:rsidRPr="002302EF" w:rsidTr="00F540C3">
        <w:tc>
          <w:tcPr>
            <w:tcW w:w="10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0759" w:rsidRPr="002302EF" w:rsidRDefault="00CB0759" w:rsidP="00F540C3">
            <w:pPr>
              <w:rPr>
                <w:lang w:val="en-AU"/>
              </w:rPr>
            </w:pPr>
            <w:r>
              <w:rPr>
                <w:lang w:val="en-AU"/>
              </w:rPr>
              <w:t xml:space="preserve">How much to share with patients, how transparent to be in terms of risks, uncertainty and sharing decisions are generally seen as positives. But the further step of opening up clinicians’ notes to their patients is more contested. One side of the debate is the Open Notes movement </w:t>
            </w:r>
            <w:proofErr w:type="gramStart"/>
            <w:r>
              <w:rPr>
                <w:lang w:val="en-AU"/>
              </w:rPr>
              <w:t>promoting  This</w:t>
            </w:r>
            <w:proofErr w:type="gramEnd"/>
            <w:r>
              <w:rPr>
                <w:lang w:val="en-AU"/>
              </w:rPr>
              <w:t xml:space="preserve"> commentary piece looks at some of the pros and cons and speculates over </w:t>
            </w:r>
            <w:r w:rsidRPr="002C1D81">
              <w:rPr>
                <w:lang w:val="en-AU"/>
              </w:rPr>
              <w:t xml:space="preserve">how access </w:t>
            </w:r>
            <w:r>
              <w:rPr>
                <w:lang w:val="en-AU"/>
              </w:rPr>
              <w:t xml:space="preserve">may influence </w:t>
            </w:r>
            <w:r w:rsidRPr="002C1D81">
              <w:rPr>
                <w:lang w:val="en-AU"/>
              </w:rPr>
              <w:t>patient safety and care quality</w:t>
            </w:r>
            <w:r>
              <w:rPr>
                <w:lang w:val="en-AU"/>
              </w:rPr>
              <w:t>.</w:t>
            </w:r>
          </w:p>
        </w:tc>
      </w:tr>
    </w:tbl>
    <w:p w:rsidR="00CB0759" w:rsidRDefault="00CB0759" w:rsidP="00CB0759">
      <w:pPr>
        <w:rPr>
          <w:rStyle w:val="Hyperlink"/>
          <w:lang w:val="en-AU"/>
        </w:rPr>
      </w:pPr>
      <w:r w:rsidRPr="008A4F3D">
        <w:rPr>
          <w:lang w:val="en-AU"/>
        </w:rPr>
        <w:lastRenderedPageBreak/>
        <w:t>For information on the Commission’s work on</w:t>
      </w:r>
      <w:r>
        <w:rPr>
          <w:lang w:val="en-AU"/>
        </w:rPr>
        <w:t xml:space="preserve"> patient and consumer centred care, see </w:t>
      </w:r>
      <w:hyperlink r:id="rId32" w:history="1">
        <w:r w:rsidRPr="00D05FF9">
          <w:rPr>
            <w:rStyle w:val="Hyperlink"/>
            <w:lang w:val="en-AU"/>
          </w:rPr>
          <w:t>www.safetyandquality.gov.au/our-work/patient-and-consumer-centred-care/</w:t>
        </w:r>
      </w:hyperlink>
    </w:p>
    <w:p w:rsidR="00CB0759" w:rsidRDefault="00CB0759" w:rsidP="00CB0759">
      <w:pPr>
        <w:rPr>
          <w:i/>
          <w:lang w:val="en-AU"/>
        </w:rPr>
      </w:pPr>
    </w:p>
    <w:p w:rsidR="00BE0F6A" w:rsidRPr="00BE0F6A" w:rsidRDefault="00BE0F6A" w:rsidP="00BE0F6A">
      <w:pPr>
        <w:keepNext/>
        <w:keepLines/>
        <w:autoSpaceDE w:val="0"/>
        <w:autoSpaceDN w:val="0"/>
        <w:adjustRightInd w:val="0"/>
        <w:rPr>
          <w:i/>
          <w:lang w:val="en-AU"/>
        </w:rPr>
      </w:pPr>
      <w:r w:rsidRPr="00BE0F6A">
        <w:rPr>
          <w:i/>
          <w:lang w:val="en-AU"/>
        </w:rPr>
        <w:t>Barriers and facilitators related to the implementation of surgical safety checklists: a systematic review of the qualitative evidence</w:t>
      </w:r>
    </w:p>
    <w:p w:rsidR="00BE0F6A" w:rsidRDefault="00BE0F6A" w:rsidP="00101BA8">
      <w:pPr>
        <w:keepNext/>
        <w:keepLines/>
        <w:autoSpaceDE w:val="0"/>
        <w:autoSpaceDN w:val="0"/>
        <w:adjustRightInd w:val="0"/>
        <w:rPr>
          <w:lang w:val="en-AU"/>
        </w:rPr>
      </w:pPr>
      <w:r w:rsidRPr="00BE0F6A">
        <w:rPr>
          <w:lang w:val="en-AU"/>
        </w:rPr>
        <w:t xml:space="preserve">Bergs J, </w:t>
      </w:r>
      <w:proofErr w:type="spellStart"/>
      <w:r w:rsidRPr="00BE0F6A">
        <w:rPr>
          <w:lang w:val="en-AU"/>
        </w:rPr>
        <w:t>Lambrechts</w:t>
      </w:r>
      <w:proofErr w:type="spellEnd"/>
      <w:r w:rsidRPr="00BE0F6A">
        <w:rPr>
          <w:lang w:val="en-AU"/>
        </w:rPr>
        <w:t xml:space="preserve"> F, Simons P, </w:t>
      </w:r>
      <w:proofErr w:type="spellStart"/>
      <w:r w:rsidRPr="00BE0F6A">
        <w:rPr>
          <w:lang w:val="en-AU"/>
        </w:rPr>
        <w:t>Vlayen</w:t>
      </w:r>
      <w:proofErr w:type="spellEnd"/>
      <w:r w:rsidRPr="00BE0F6A">
        <w:rPr>
          <w:lang w:val="en-AU"/>
        </w:rPr>
        <w:t xml:space="preserve"> A, </w:t>
      </w:r>
      <w:proofErr w:type="spellStart"/>
      <w:r w:rsidRPr="00BE0F6A">
        <w:rPr>
          <w:lang w:val="en-AU"/>
        </w:rPr>
        <w:t>Marneffe</w:t>
      </w:r>
      <w:proofErr w:type="spellEnd"/>
      <w:r w:rsidRPr="00BE0F6A">
        <w:rPr>
          <w:lang w:val="en-AU"/>
        </w:rPr>
        <w:t xml:space="preserve"> W, </w:t>
      </w:r>
      <w:proofErr w:type="spellStart"/>
      <w:r w:rsidRPr="00BE0F6A">
        <w:rPr>
          <w:lang w:val="en-AU"/>
        </w:rPr>
        <w:t>Hellings</w:t>
      </w:r>
      <w:proofErr w:type="spellEnd"/>
      <w:r w:rsidRPr="00BE0F6A">
        <w:rPr>
          <w:lang w:val="en-AU"/>
        </w:rPr>
        <w:t xml:space="preserve"> J, et al</w:t>
      </w:r>
    </w:p>
    <w:p w:rsidR="00101BA8" w:rsidRPr="002302EF" w:rsidRDefault="00BE0F6A" w:rsidP="00101BA8">
      <w:pPr>
        <w:keepNext/>
        <w:keepLines/>
        <w:autoSpaceDE w:val="0"/>
        <w:autoSpaceDN w:val="0"/>
        <w:adjustRightInd w:val="0"/>
        <w:rPr>
          <w:lang w:val="en-AU"/>
        </w:rPr>
      </w:pPr>
      <w:proofErr w:type="gramStart"/>
      <w:r w:rsidRPr="00BE0F6A">
        <w:rPr>
          <w:lang w:val="en-AU"/>
        </w:rPr>
        <w:t>BMJ Quality &amp; Safety.</w:t>
      </w:r>
      <w:proofErr w:type="gramEnd"/>
      <w:r w:rsidRPr="00BE0F6A">
        <w:rPr>
          <w:lang w:val="en-AU"/>
        </w:rPr>
        <w:t xml:space="preserve"> </w:t>
      </w:r>
      <w:proofErr w:type="gramStart"/>
      <w:r w:rsidRPr="00BE0F6A">
        <w:rPr>
          <w:lang w:val="en-AU"/>
        </w:rPr>
        <w:t xml:space="preserve">2015 </w:t>
      </w:r>
      <w:r>
        <w:rPr>
          <w:lang w:val="en-AU"/>
        </w:rPr>
        <w:t>[epub]</w:t>
      </w:r>
      <w:r w:rsidRPr="00BE0F6A">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9E737E" w:rsidP="00A4566F">
            <w:pPr>
              <w:rPr>
                <w:lang w:val="en-AU"/>
              </w:rPr>
            </w:pPr>
            <w:hyperlink r:id="rId33" w:history="1">
              <w:r w:rsidR="00BE0F6A" w:rsidRPr="00002C07">
                <w:rPr>
                  <w:rStyle w:val="Hyperlink"/>
                  <w:lang w:val="en-AU"/>
                </w:rPr>
                <w:t>http://dx.doi.org/10.1136/bmjqs-2015-004021</w:t>
              </w:r>
            </w:hyperlink>
          </w:p>
        </w:tc>
      </w:tr>
      <w:tr w:rsidR="00101BA8" w:rsidRPr="002302EF" w:rsidTr="00A4566F">
        <w:tc>
          <w:tcPr>
            <w:tcW w:w="1080" w:type="dxa"/>
            <w:tcBorders>
              <w:top w:val="single" w:sz="4" w:space="0" w:color="auto"/>
              <w:left w:val="single" w:sz="4" w:space="0" w:color="auto"/>
              <w:bottom w:val="single" w:sz="4" w:space="0" w:color="auto"/>
              <w:right w:val="single" w:sz="4" w:space="0" w:color="auto"/>
            </w:tcBorders>
            <w:vAlign w:val="center"/>
          </w:tcPr>
          <w:p w:rsidR="00101BA8" w:rsidRPr="002302EF" w:rsidRDefault="00101BA8" w:rsidP="00A4566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1BA8" w:rsidRPr="002302EF" w:rsidRDefault="008D4FC6" w:rsidP="008D4FC6">
            <w:pPr>
              <w:rPr>
                <w:lang w:val="en-AU"/>
              </w:rPr>
            </w:pPr>
            <w:r>
              <w:rPr>
                <w:lang w:val="en-AU"/>
              </w:rPr>
              <w:t>Checklists, particularly those for surgical safety, have been widely implemented in recent years. This review, focusing on the qualitative evidence (18 studies), looked at the implementation aspects. The analysis reveals that implementation of something that may appear simple is not always so, particularly given the complexity of the health care setting. The authors note that “</w:t>
            </w:r>
            <w:r w:rsidRPr="008D4FC6">
              <w:rPr>
                <w:lang w:val="en-AU"/>
              </w:rPr>
              <w:t>implementation requires change in the workflow of healthcare professionals as well as in their perception of the checklist and the perception of patient safety in general.</w:t>
            </w:r>
            <w:r>
              <w:rPr>
                <w:lang w:val="en-AU"/>
              </w:rPr>
              <w:t>” From this they conclude that “</w:t>
            </w:r>
            <w:r w:rsidRPr="008D4FC6">
              <w:rPr>
                <w:lang w:val="en-AU"/>
              </w:rPr>
              <w:t>The complex reality in which the checklist needs to be implemented requires an approach that includes more than eliminating barriers and supporting facilitating factors. Implementation leaders must facilitate team learning to foster the mutual understanding of perspectives and motivations, and the realignment of routines.</w:t>
            </w:r>
            <w:r>
              <w:rPr>
                <w:lang w:val="en-AU"/>
              </w:rPr>
              <w:t>”</w:t>
            </w:r>
          </w:p>
        </w:tc>
      </w:tr>
    </w:tbl>
    <w:p w:rsidR="00101BA8" w:rsidRDefault="00101BA8" w:rsidP="00101BA8">
      <w:pPr>
        <w:rPr>
          <w:i/>
          <w:lang w:val="en-AU"/>
        </w:rPr>
      </w:pPr>
    </w:p>
    <w:p w:rsidR="006E7C97" w:rsidRDefault="006E7C97" w:rsidP="00101BA8">
      <w:pPr>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9E737E" w:rsidP="00CA5B00">
            <w:pPr>
              <w:rPr>
                <w:lang w:val="en-AU"/>
              </w:rPr>
            </w:pPr>
            <w:hyperlink r:id="rId34"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276CAE" w:rsidRDefault="00720986" w:rsidP="00720986">
            <w:pPr>
              <w:pStyle w:val="ListParagraph"/>
              <w:numPr>
                <w:ilvl w:val="0"/>
                <w:numId w:val="14"/>
              </w:numPr>
              <w:rPr>
                <w:lang w:val="en-AU"/>
              </w:rPr>
            </w:pPr>
            <w:r w:rsidRPr="00720986">
              <w:rPr>
                <w:lang w:val="en-AU"/>
              </w:rPr>
              <w:t xml:space="preserve">Findings from a novel approach to publication </w:t>
            </w:r>
            <w:r w:rsidRPr="00720986">
              <w:rPr>
                <w:b/>
                <w:lang w:val="en-AU"/>
              </w:rPr>
              <w:t>guideline revision</w:t>
            </w:r>
            <w:r w:rsidRPr="00720986">
              <w:rPr>
                <w:lang w:val="en-AU"/>
              </w:rPr>
              <w:t>: user road testing of</w:t>
            </w:r>
            <w:r>
              <w:rPr>
                <w:lang w:val="en-AU"/>
              </w:rPr>
              <w:t xml:space="preserve"> a draft version of </w:t>
            </w:r>
            <w:r w:rsidRPr="00720986">
              <w:rPr>
                <w:b/>
                <w:lang w:val="en-AU"/>
              </w:rPr>
              <w:t xml:space="preserve">SQUIRE </w:t>
            </w:r>
            <w:r w:rsidRPr="00CB0759">
              <w:rPr>
                <w:b/>
                <w:lang w:val="en-AU"/>
              </w:rPr>
              <w:t>2.0</w:t>
            </w:r>
            <w:r>
              <w:rPr>
                <w:lang w:val="en-AU"/>
              </w:rPr>
              <w:t xml:space="preserve"> (</w:t>
            </w:r>
            <w:r w:rsidRPr="00720986">
              <w:rPr>
                <w:lang w:val="en-AU"/>
              </w:rPr>
              <w:t xml:space="preserve">Louise Davies, Kyla Z Donnelly, Daisy J Goodman, Greg </w:t>
            </w:r>
            <w:proofErr w:type="spellStart"/>
            <w:r w:rsidRPr="00720986">
              <w:rPr>
                <w:lang w:val="en-AU"/>
              </w:rPr>
              <w:t>Ogrinc</w:t>
            </w:r>
            <w:proofErr w:type="spellEnd"/>
            <w:r>
              <w:rPr>
                <w:lang w:val="en-AU"/>
              </w:rPr>
              <w:t>)</w:t>
            </w:r>
          </w:p>
          <w:p w:rsidR="009C2FC1" w:rsidRDefault="009C2FC1" w:rsidP="009C2FC1">
            <w:pPr>
              <w:pStyle w:val="ListParagraph"/>
              <w:numPr>
                <w:ilvl w:val="0"/>
                <w:numId w:val="14"/>
              </w:numPr>
              <w:rPr>
                <w:lang w:val="en-AU"/>
              </w:rPr>
            </w:pPr>
            <w:r w:rsidRPr="009C2FC1">
              <w:rPr>
                <w:b/>
                <w:lang w:val="en-AU"/>
              </w:rPr>
              <w:t>Patient safety incident reporting</w:t>
            </w:r>
            <w:r w:rsidRPr="009C2FC1">
              <w:rPr>
                <w:lang w:val="en-AU"/>
              </w:rPr>
              <w:t xml:space="preserve">: a qualitative study of thoughts and perceptions of experts 15 years after ‘To Err is Human’ </w:t>
            </w:r>
            <w:r>
              <w:rPr>
                <w:lang w:val="en-AU"/>
              </w:rPr>
              <w:t>(</w:t>
            </w:r>
            <w:r w:rsidRPr="009C2FC1">
              <w:rPr>
                <w:lang w:val="en-AU"/>
              </w:rPr>
              <w:t>Imogen Mitchell, Anne Schuster, Katherine Smith, Peter Pronovost, Albert Wu</w:t>
            </w:r>
            <w:r>
              <w:rPr>
                <w:lang w:val="en-AU"/>
              </w:rPr>
              <w:t>)</w:t>
            </w:r>
          </w:p>
          <w:p w:rsidR="006D4443" w:rsidRPr="006D4443" w:rsidRDefault="006D4443" w:rsidP="006D4443">
            <w:pPr>
              <w:pStyle w:val="ListParagraph"/>
              <w:numPr>
                <w:ilvl w:val="0"/>
                <w:numId w:val="14"/>
              </w:numPr>
              <w:rPr>
                <w:lang w:val="en-AU"/>
              </w:rPr>
            </w:pPr>
            <w:r w:rsidRPr="006D4443">
              <w:rPr>
                <w:lang w:val="en-AU"/>
              </w:rPr>
              <w:t xml:space="preserve">Are reductions in </w:t>
            </w:r>
            <w:r w:rsidRPr="006D4443">
              <w:rPr>
                <w:b/>
                <w:lang w:val="en-AU"/>
              </w:rPr>
              <w:t>emergency department length of stay</w:t>
            </w:r>
            <w:r w:rsidRPr="006D4443">
              <w:rPr>
                <w:lang w:val="en-AU"/>
              </w:rPr>
              <w:t xml:space="preserve"> associated with improvements in quality of care? A difference-in-differences analysis (Marian J </w:t>
            </w:r>
            <w:proofErr w:type="spellStart"/>
            <w:r w:rsidRPr="006D4443">
              <w:rPr>
                <w:lang w:val="en-AU"/>
              </w:rPr>
              <w:t>Vermeulen</w:t>
            </w:r>
            <w:proofErr w:type="spellEnd"/>
            <w:r w:rsidRPr="006D4443">
              <w:rPr>
                <w:lang w:val="en-AU"/>
              </w:rPr>
              <w:t xml:space="preserve">, Astrid Guttmann, Therese A </w:t>
            </w:r>
            <w:proofErr w:type="spellStart"/>
            <w:r w:rsidRPr="006D4443">
              <w:rPr>
                <w:lang w:val="en-AU"/>
              </w:rPr>
              <w:t>Stukel</w:t>
            </w:r>
            <w:proofErr w:type="spellEnd"/>
            <w:r w:rsidRPr="006D4443">
              <w:rPr>
                <w:lang w:val="en-AU"/>
              </w:rPr>
              <w:t xml:space="preserve">, </w:t>
            </w:r>
            <w:proofErr w:type="spellStart"/>
            <w:r w:rsidRPr="006D4443">
              <w:rPr>
                <w:lang w:val="en-AU"/>
              </w:rPr>
              <w:t>Ashif</w:t>
            </w:r>
            <w:proofErr w:type="spellEnd"/>
            <w:r w:rsidRPr="006D4443">
              <w:rPr>
                <w:lang w:val="en-AU"/>
              </w:rPr>
              <w:t xml:space="preserve"> </w:t>
            </w:r>
            <w:proofErr w:type="spellStart"/>
            <w:r w:rsidRPr="006D4443">
              <w:rPr>
                <w:lang w:val="en-AU"/>
              </w:rPr>
              <w:t>Kachra</w:t>
            </w:r>
            <w:proofErr w:type="spellEnd"/>
            <w:r w:rsidRPr="006D4443">
              <w:rPr>
                <w:lang w:val="en-AU"/>
              </w:rPr>
              <w:t xml:space="preserve">, Marco L A </w:t>
            </w:r>
            <w:proofErr w:type="spellStart"/>
            <w:r w:rsidRPr="006D4443">
              <w:rPr>
                <w:lang w:val="en-AU"/>
              </w:rPr>
              <w:t>Sivilotti</w:t>
            </w:r>
            <w:proofErr w:type="spellEnd"/>
            <w:r w:rsidRPr="006D4443">
              <w:rPr>
                <w:lang w:val="en-AU"/>
              </w:rPr>
              <w:t>, Brian H Rowe, Jonathan Drey</w:t>
            </w:r>
            <w:r>
              <w:rPr>
                <w:lang w:val="en-AU"/>
              </w:rPr>
              <w:t xml:space="preserve">er, R Bell, M </w:t>
            </w:r>
            <w:proofErr w:type="spellStart"/>
            <w:r>
              <w:rPr>
                <w:lang w:val="en-AU"/>
              </w:rPr>
              <w:t>Schull</w:t>
            </w:r>
            <w:proofErr w:type="spellEnd"/>
            <w:r>
              <w:rPr>
                <w:lang w:val="en-AU"/>
              </w:rPr>
              <w:t>)</w:t>
            </w:r>
          </w:p>
          <w:p w:rsidR="006D4443" w:rsidRPr="00D755FC" w:rsidRDefault="006D4443" w:rsidP="006D4443">
            <w:pPr>
              <w:pStyle w:val="ListParagraph"/>
              <w:numPr>
                <w:ilvl w:val="0"/>
                <w:numId w:val="14"/>
              </w:numPr>
              <w:rPr>
                <w:lang w:val="en-AU"/>
              </w:rPr>
            </w:pPr>
            <w:r w:rsidRPr="006D4443">
              <w:rPr>
                <w:lang w:val="en-AU"/>
              </w:rPr>
              <w:t xml:space="preserve">What happens when </w:t>
            </w:r>
            <w:r w:rsidRPr="006D4443">
              <w:rPr>
                <w:b/>
                <w:lang w:val="en-AU"/>
              </w:rPr>
              <w:t>healthcare innovations collide</w:t>
            </w:r>
            <w:r w:rsidRPr="006D4443">
              <w:rPr>
                <w:lang w:val="en-AU"/>
              </w:rPr>
              <w:t xml:space="preserve">? </w:t>
            </w:r>
            <w:r>
              <w:rPr>
                <w:lang w:val="en-AU"/>
              </w:rPr>
              <w:t>(</w:t>
            </w:r>
            <w:r w:rsidRPr="006D4443">
              <w:rPr>
                <w:lang w:val="en-AU"/>
              </w:rPr>
              <w:t xml:space="preserve">Sachin R </w:t>
            </w:r>
            <w:proofErr w:type="spellStart"/>
            <w:r w:rsidRPr="006D4443">
              <w:rPr>
                <w:lang w:val="en-AU"/>
              </w:rPr>
              <w:t>Pendharkar</w:t>
            </w:r>
            <w:proofErr w:type="spellEnd"/>
            <w:r w:rsidRPr="006D4443">
              <w:rPr>
                <w:lang w:val="en-AU"/>
              </w:rPr>
              <w:t xml:space="preserve">, </w:t>
            </w:r>
            <w:proofErr w:type="spellStart"/>
            <w:r w:rsidRPr="006D4443">
              <w:rPr>
                <w:lang w:val="en-AU"/>
              </w:rPr>
              <w:t>Jaana</w:t>
            </w:r>
            <w:proofErr w:type="spellEnd"/>
            <w:r w:rsidRPr="006D4443">
              <w:rPr>
                <w:lang w:val="en-AU"/>
              </w:rPr>
              <w:t xml:space="preserve"> </w:t>
            </w:r>
            <w:proofErr w:type="spellStart"/>
            <w:r w:rsidRPr="006D4443">
              <w:rPr>
                <w:lang w:val="en-AU"/>
              </w:rPr>
              <w:t>Woiceshyn</w:t>
            </w:r>
            <w:proofErr w:type="spellEnd"/>
            <w:r w:rsidRPr="006D4443">
              <w:rPr>
                <w:lang w:val="en-AU"/>
              </w:rPr>
              <w:t xml:space="preserve">, Giovani J C da </w:t>
            </w:r>
            <w:proofErr w:type="spellStart"/>
            <w:r w:rsidRPr="006D4443">
              <w:rPr>
                <w:lang w:val="en-AU"/>
              </w:rPr>
              <w:t>Silveira</w:t>
            </w:r>
            <w:proofErr w:type="spellEnd"/>
            <w:r w:rsidRPr="006D4443">
              <w:rPr>
                <w:lang w:val="en-AU"/>
              </w:rPr>
              <w:t xml:space="preserve">, Diane </w:t>
            </w:r>
            <w:proofErr w:type="spellStart"/>
            <w:r w:rsidRPr="006D4443">
              <w:rPr>
                <w:lang w:val="en-AU"/>
              </w:rPr>
              <w:t>Bischak</w:t>
            </w:r>
            <w:proofErr w:type="spellEnd"/>
            <w:r w:rsidRPr="006D4443">
              <w:rPr>
                <w:lang w:val="en-AU"/>
              </w:rPr>
              <w:t xml:space="preserve">, Ward </w:t>
            </w:r>
            <w:proofErr w:type="spellStart"/>
            <w:r w:rsidRPr="006D4443">
              <w:rPr>
                <w:lang w:val="en-AU"/>
              </w:rPr>
              <w:t>Flemons</w:t>
            </w:r>
            <w:proofErr w:type="spellEnd"/>
            <w:r w:rsidRPr="006D4443">
              <w:rPr>
                <w:lang w:val="en-AU"/>
              </w:rPr>
              <w:t xml:space="preserve">, Finlay McAlister, William A </w:t>
            </w:r>
            <w:proofErr w:type="spellStart"/>
            <w:r w:rsidRPr="006D4443">
              <w:rPr>
                <w:lang w:val="en-AU"/>
              </w:rPr>
              <w:t>Ghali</w:t>
            </w:r>
            <w:proofErr w:type="spellEnd"/>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9E737E" w:rsidP="00CA5B00">
            <w:pPr>
              <w:rPr>
                <w:lang w:val="en-AU"/>
              </w:rPr>
            </w:pPr>
            <w:hyperlink r:id="rId35"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3A306D" w:rsidRPr="003A306D" w:rsidRDefault="003A306D" w:rsidP="003A306D">
            <w:pPr>
              <w:pStyle w:val="ListParagraph"/>
              <w:numPr>
                <w:ilvl w:val="0"/>
                <w:numId w:val="14"/>
              </w:numPr>
              <w:rPr>
                <w:lang w:val="en-AU"/>
              </w:rPr>
            </w:pPr>
            <w:r w:rsidRPr="003A306D">
              <w:rPr>
                <w:b/>
                <w:lang w:val="en-AU"/>
              </w:rPr>
              <w:t>Cancer patients’ preferences of care</w:t>
            </w:r>
            <w:r w:rsidRPr="003A306D">
              <w:rPr>
                <w:lang w:val="en-AU"/>
              </w:rPr>
              <w:t xml:space="preserve"> within hospitals: a systematic literature review (</w:t>
            </w:r>
            <w:proofErr w:type="spellStart"/>
            <w:r w:rsidRPr="003A306D">
              <w:rPr>
                <w:lang w:val="en-AU"/>
              </w:rPr>
              <w:t>Gitte</w:t>
            </w:r>
            <w:proofErr w:type="spellEnd"/>
            <w:r w:rsidRPr="003A306D">
              <w:rPr>
                <w:lang w:val="en-AU"/>
              </w:rPr>
              <w:t xml:space="preserve"> </w:t>
            </w:r>
            <w:proofErr w:type="spellStart"/>
            <w:r w:rsidRPr="003A306D">
              <w:rPr>
                <w:lang w:val="en-AU"/>
              </w:rPr>
              <w:t>Stentebjerg</w:t>
            </w:r>
            <w:proofErr w:type="spellEnd"/>
            <w:r w:rsidRPr="003A306D">
              <w:rPr>
                <w:lang w:val="en-AU"/>
              </w:rPr>
              <w:t xml:space="preserve"> Petersen, J L Knudsen, and M </w:t>
            </w:r>
            <w:proofErr w:type="spellStart"/>
            <w:r w:rsidRPr="003A306D">
              <w:rPr>
                <w:lang w:val="en-AU"/>
              </w:rPr>
              <w:t>M</w:t>
            </w:r>
            <w:proofErr w:type="spellEnd"/>
            <w:r w:rsidRPr="003A306D">
              <w:rPr>
                <w:lang w:val="en-AU"/>
              </w:rPr>
              <w:t xml:space="preserve"> </w:t>
            </w:r>
            <w:proofErr w:type="spellStart"/>
            <w:r w:rsidRPr="003A306D">
              <w:rPr>
                <w:lang w:val="en-AU"/>
              </w:rPr>
              <w:t>Vinter</w:t>
            </w:r>
            <w:proofErr w:type="spellEnd"/>
            <w:r>
              <w:rPr>
                <w:lang w:val="en-AU"/>
              </w:rPr>
              <w:t>)</w:t>
            </w:r>
          </w:p>
          <w:p w:rsidR="003A306D" w:rsidRPr="003A306D" w:rsidRDefault="003A306D" w:rsidP="003A306D">
            <w:pPr>
              <w:pStyle w:val="ListParagraph"/>
              <w:numPr>
                <w:ilvl w:val="0"/>
                <w:numId w:val="14"/>
              </w:numPr>
              <w:rPr>
                <w:lang w:val="en-AU"/>
              </w:rPr>
            </w:pPr>
            <w:r w:rsidRPr="003A306D">
              <w:rPr>
                <w:b/>
                <w:lang w:val="en-AU"/>
              </w:rPr>
              <w:t>Task shifting of mental health care services</w:t>
            </w:r>
            <w:r w:rsidRPr="003A306D">
              <w:rPr>
                <w:lang w:val="en-AU"/>
              </w:rPr>
              <w:t xml:space="preserve"> in Ghana: ease of referral, perception and concerns of stakeholders about quality of care (Vincent I</w:t>
            </w:r>
            <w:r>
              <w:rPr>
                <w:lang w:val="en-AU"/>
              </w:rPr>
              <w:t xml:space="preserve"> </w:t>
            </w:r>
            <w:r w:rsidRPr="003A306D">
              <w:rPr>
                <w:lang w:val="en-AU"/>
              </w:rPr>
              <w:t>O</w:t>
            </w:r>
            <w:r>
              <w:rPr>
                <w:lang w:val="en-AU"/>
              </w:rPr>
              <w:t>,</w:t>
            </w:r>
            <w:r w:rsidRPr="003A306D">
              <w:rPr>
                <w:lang w:val="en-AU"/>
              </w:rPr>
              <w:t xml:space="preserve"> </w:t>
            </w:r>
            <w:proofErr w:type="spellStart"/>
            <w:r w:rsidRPr="003A306D">
              <w:rPr>
                <w:lang w:val="en-AU"/>
              </w:rPr>
              <w:t>Agyapong</w:t>
            </w:r>
            <w:proofErr w:type="spellEnd"/>
            <w:r w:rsidRPr="003A306D">
              <w:rPr>
                <w:lang w:val="en-AU"/>
              </w:rPr>
              <w:t xml:space="preserve">, </w:t>
            </w:r>
            <w:proofErr w:type="spellStart"/>
            <w:r w:rsidRPr="003A306D">
              <w:rPr>
                <w:lang w:val="en-AU"/>
              </w:rPr>
              <w:t>Akwasi</w:t>
            </w:r>
            <w:proofErr w:type="spellEnd"/>
            <w:r w:rsidRPr="003A306D">
              <w:rPr>
                <w:lang w:val="en-AU"/>
              </w:rPr>
              <w:t xml:space="preserve"> </w:t>
            </w:r>
            <w:proofErr w:type="spellStart"/>
            <w:r w:rsidRPr="003A306D">
              <w:rPr>
                <w:lang w:val="en-AU"/>
              </w:rPr>
              <w:t>Osei</w:t>
            </w:r>
            <w:proofErr w:type="spellEnd"/>
            <w:r w:rsidRPr="003A306D">
              <w:rPr>
                <w:lang w:val="en-AU"/>
              </w:rPr>
              <w:t xml:space="preserve">, </w:t>
            </w:r>
            <w:proofErr w:type="spellStart"/>
            <w:r w:rsidRPr="003A306D">
              <w:rPr>
                <w:lang w:val="en-AU"/>
              </w:rPr>
              <w:t>Conor</w:t>
            </w:r>
            <w:proofErr w:type="spellEnd"/>
            <w:r w:rsidRPr="003A306D">
              <w:rPr>
                <w:lang w:val="en-AU"/>
              </w:rPr>
              <w:t xml:space="preserve"> K </w:t>
            </w:r>
            <w:proofErr w:type="spellStart"/>
            <w:r w:rsidRPr="003A306D">
              <w:rPr>
                <w:lang w:val="en-AU"/>
              </w:rPr>
              <w:t>Farren</w:t>
            </w:r>
            <w:proofErr w:type="spellEnd"/>
            <w:r w:rsidRPr="003A306D">
              <w:rPr>
                <w:lang w:val="en-AU"/>
              </w:rPr>
              <w:t xml:space="preserve">, and </w:t>
            </w:r>
            <w:proofErr w:type="spellStart"/>
            <w:r w:rsidRPr="003A306D">
              <w:rPr>
                <w:lang w:val="en-AU"/>
              </w:rPr>
              <w:t>Eilish</w:t>
            </w:r>
            <w:proofErr w:type="spellEnd"/>
            <w:r w:rsidRPr="003A306D">
              <w:rPr>
                <w:lang w:val="en-AU"/>
              </w:rPr>
              <w:t xml:space="preserve"> McAuliffe</w:t>
            </w:r>
            <w:r>
              <w:rPr>
                <w:lang w:val="en-AU"/>
              </w:rPr>
              <w:t>)</w:t>
            </w:r>
          </w:p>
          <w:p w:rsidR="003A306D" w:rsidRPr="003A306D" w:rsidRDefault="003A306D" w:rsidP="003A306D">
            <w:pPr>
              <w:pStyle w:val="ListParagraph"/>
              <w:numPr>
                <w:ilvl w:val="0"/>
                <w:numId w:val="14"/>
              </w:numPr>
              <w:rPr>
                <w:lang w:val="en-AU"/>
              </w:rPr>
            </w:pPr>
            <w:r w:rsidRPr="003A306D">
              <w:rPr>
                <w:lang w:val="en-AU"/>
              </w:rPr>
              <w:t xml:space="preserve">The role of stable housing as a determinant of </w:t>
            </w:r>
            <w:r w:rsidRPr="003A306D">
              <w:rPr>
                <w:b/>
                <w:lang w:val="en-AU"/>
              </w:rPr>
              <w:t>poverty-related quality of life</w:t>
            </w:r>
            <w:r w:rsidRPr="003A306D">
              <w:rPr>
                <w:lang w:val="en-AU"/>
              </w:rPr>
              <w:t xml:space="preserve"> in vulnerable individuals ( </w:t>
            </w:r>
            <w:proofErr w:type="spellStart"/>
            <w:r w:rsidRPr="003A306D">
              <w:rPr>
                <w:lang w:val="en-AU"/>
              </w:rPr>
              <w:t>Karine</w:t>
            </w:r>
            <w:proofErr w:type="spellEnd"/>
            <w:r w:rsidRPr="003A306D">
              <w:rPr>
                <w:lang w:val="en-AU"/>
              </w:rPr>
              <w:t xml:space="preserve"> </w:t>
            </w:r>
            <w:proofErr w:type="spellStart"/>
            <w:r w:rsidRPr="003A306D">
              <w:rPr>
                <w:lang w:val="en-AU"/>
              </w:rPr>
              <w:t>Baumstarck</w:t>
            </w:r>
            <w:proofErr w:type="spellEnd"/>
            <w:r w:rsidRPr="003A306D">
              <w:rPr>
                <w:lang w:val="en-AU"/>
              </w:rPr>
              <w:t xml:space="preserve">, L Boyer, and P </w:t>
            </w:r>
            <w:proofErr w:type="spellStart"/>
            <w:r w:rsidRPr="003A306D">
              <w:rPr>
                <w:lang w:val="en-AU"/>
              </w:rPr>
              <w:t>Auquier</w:t>
            </w:r>
            <w:proofErr w:type="spellEnd"/>
            <w:r>
              <w:rPr>
                <w:lang w:val="en-AU"/>
              </w:rPr>
              <w:t>)</w:t>
            </w:r>
          </w:p>
          <w:p w:rsidR="003A306D" w:rsidRPr="003A306D" w:rsidRDefault="003A306D" w:rsidP="003A306D">
            <w:pPr>
              <w:pStyle w:val="ListParagraph"/>
              <w:numPr>
                <w:ilvl w:val="0"/>
                <w:numId w:val="14"/>
              </w:numPr>
              <w:rPr>
                <w:lang w:val="en-AU"/>
              </w:rPr>
            </w:pPr>
            <w:r w:rsidRPr="003A306D">
              <w:rPr>
                <w:b/>
                <w:lang w:val="en-AU"/>
              </w:rPr>
              <w:lastRenderedPageBreak/>
              <w:t>Accreditation and improvement in process quality of care</w:t>
            </w:r>
            <w:r w:rsidRPr="003A306D">
              <w:rPr>
                <w:lang w:val="en-AU"/>
              </w:rPr>
              <w:t>: a nationwide study (</w:t>
            </w:r>
            <w:proofErr w:type="spellStart"/>
            <w:r w:rsidRPr="003A306D">
              <w:rPr>
                <w:lang w:val="en-AU"/>
              </w:rPr>
              <w:t>Søren</w:t>
            </w:r>
            <w:proofErr w:type="spellEnd"/>
            <w:r w:rsidRPr="003A306D">
              <w:rPr>
                <w:lang w:val="en-AU"/>
              </w:rPr>
              <w:t xml:space="preserve"> </w:t>
            </w:r>
            <w:proofErr w:type="spellStart"/>
            <w:r w:rsidRPr="003A306D">
              <w:rPr>
                <w:lang w:val="en-AU"/>
              </w:rPr>
              <w:t>Bie</w:t>
            </w:r>
            <w:proofErr w:type="spellEnd"/>
            <w:r w:rsidRPr="003A306D">
              <w:rPr>
                <w:lang w:val="en-AU"/>
              </w:rPr>
              <w:t xml:space="preserve"> </w:t>
            </w:r>
            <w:proofErr w:type="spellStart"/>
            <w:r w:rsidRPr="003A306D">
              <w:rPr>
                <w:lang w:val="en-AU"/>
              </w:rPr>
              <w:t>Bogh</w:t>
            </w:r>
            <w:proofErr w:type="spellEnd"/>
            <w:r w:rsidRPr="003A306D">
              <w:rPr>
                <w:lang w:val="en-AU"/>
              </w:rPr>
              <w:t xml:space="preserve">, Anne </w:t>
            </w:r>
            <w:proofErr w:type="spellStart"/>
            <w:r w:rsidRPr="003A306D">
              <w:rPr>
                <w:lang w:val="en-AU"/>
              </w:rPr>
              <w:t>Mette</w:t>
            </w:r>
            <w:proofErr w:type="spellEnd"/>
            <w:r w:rsidRPr="003A306D">
              <w:rPr>
                <w:lang w:val="en-AU"/>
              </w:rPr>
              <w:t xml:space="preserve"> </w:t>
            </w:r>
            <w:proofErr w:type="spellStart"/>
            <w:r w:rsidRPr="003A306D">
              <w:rPr>
                <w:lang w:val="en-AU"/>
              </w:rPr>
              <w:t>Falstie</w:t>
            </w:r>
            <w:proofErr w:type="spellEnd"/>
            <w:r w:rsidRPr="003A306D">
              <w:rPr>
                <w:lang w:val="en-AU"/>
              </w:rPr>
              <w:t xml:space="preserve">-Jensen, Paul Bartels, Erik </w:t>
            </w:r>
            <w:proofErr w:type="spellStart"/>
            <w:r w:rsidRPr="003A306D">
              <w:rPr>
                <w:lang w:val="en-AU"/>
              </w:rPr>
              <w:t>Hollnagel</w:t>
            </w:r>
            <w:proofErr w:type="spellEnd"/>
            <w:r w:rsidRPr="003A306D">
              <w:rPr>
                <w:lang w:val="en-AU"/>
              </w:rPr>
              <w:t xml:space="preserve">, and </w:t>
            </w:r>
            <w:proofErr w:type="spellStart"/>
            <w:r w:rsidRPr="003A306D">
              <w:rPr>
                <w:lang w:val="en-AU"/>
              </w:rPr>
              <w:t>Søren</w:t>
            </w:r>
            <w:proofErr w:type="spellEnd"/>
            <w:r w:rsidRPr="003A306D">
              <w:rPr>
                <w:lang w:val="en-AU"/>
              </w:rPr>
              <w:t xml:space="preserve"> </w:t>
            </w:r>
            <w:proofErr w:type="spellStart"/>
            <w:r w:rsidRPr="003A306D">
              <w:rPr>
                <w:lang w:val="en-AU"/>
              </w:rPr>
              <w:t>Paaske</w:t>
            </w:r>
            <w:proofErr w:type="spellEnd"/>
            <w:r w:rsidRPr="003A306D">
              <w:rPr>
                <w:lang w:val="en-AU"/>
              </w:rPr>
              <w:t xml:space="preserve"> </w:t>
            </w:r>
            <w:proofErr w:type="spellStart"/>
            <w:r w:rsidRPr="003A306D">
              <w:rPr>
                <w:lang w:val="en-AU"/>
              </w:rPr>
              <w:t>Johnsen</w:t>
            </w:r>
            <w:proofErr w:type="spellEnd"/>
            <w:r>
              <w:rPr>
                <w:lang w:val="en-AU"/>
              </w:rPr>
              <w:t>)</w:t>
            </w:r>
          </w:p>
          <w:p w:rsidR="00AF6568" w:rsidRDefault="003A306D" w:rsidP="003A306D">
            <w:pPr>
              <w:pStyle w:val="ListParagraph"/>
              <w:numPr>
                <w:ilvl w:val="0"/>
                <w:numId w:val="14"/>
              </w:numPr>
              <w:rPr>
                <w:lang w:val="en-AU"/>
              </w:rPr>
            </w:pPr>
            <w:r w:rsidRPr="003A306D">
              <w:rPr>
                <w:b/>
                <w:lang w:val="en-AU"/>
              </w:rPr>
              <w:t>Quality of primary care</w:t>
            </w:r>
            <w:r w:rsidRPr="003A306D">
              <w:rPr>
                <w:lang w:val="en-AU"/>
              </w:rPr>
              <w:t xml:space="preserve"> by </w:t>
            </w:r>
            <w:r w:rsidRPr="003A306D">
              <w:rPr>
                <w:b/>
                <w:lang w:val="en-AU"/>
              </w:rPr>
              <w:t>advanced practice nurses</w:t>
            </w:r>
            <w:r w:rsidRPr="003A306D">
              <w:rPr>
                <w:lang w:val="en-AU"/>
              </w:rPr>
              <w:t>: a systematic review</w:t>
            </w:r>
            <w:r>
              <w:rPr>
                <w:lang w:val="en-AU"/>
              </w:rPr>
              <w:t xml:space="preserve"> (</w:t>
            </w:r>
            <w:r w:rsidRPr="003A306D">
              <w:rPr>
                <w:lang w:val="en-AU"/>
              </w:rPr>
              <w:t xml:space="preserve">Melanie Swan, S Ferguson, A Chang, E Larson, and A </w:t>
            </w:r>
            <w:proofErr w:type="spellStart"/>
            <w:r w:rsidRPr="003A306D">
              <w:rPr>
                <w:lang w:val="en-AU"/>
              </w:rPr>
              <w:t>Smaldone</w:t>
            </w:r>
            <w:proofErr w:type="spellEnd"/>
            <w:r>
              <w:rPr>
                <w:lang w:val="en-AU"/>
              </w:rPr>
              <w:t>)</w:t>
            </w:r>
          </w:p>
          <w:p w:rsidR="00650F20" w:rsidRPr="002302EF" w:rsidRDefault="00650F20" w:rsidP="00650F20">
            <w:pPr>
              <w:pStyle w:val="ListParagraph"/>
              <w:numPr>
                <w:ilvl w:val="0"/>
                <w:numId w:val="14"/>
              </w:numPr>
              <w:rPr>
                <w:lang w:val="en-AU"/>
              </w:rPr>
            </w:pPr>
            <w:r w:rsidRPr="00650F20">
              <w:rPr>
                <w:lang w:val="en-AU"/>
              </w:rPr>
              <w:t xml:space="preserve">Why do </w:t>
            </w:r>
            <w:r w:rsidRPr="00650F20">
              <w:rPr>
                <w:b/>
                <w:lang w:val="en-AU"/>
              </w:rPr>
              <w:t>outcomes of CABG</w:t>
            </w:r>
            <w:r w:rsidRPr="00650F20">
              <w:rPr>
                <w:lang w:val="en-AU"/>
              </w:rPr>
              <w:t xml:space="preserve"> care vary between urban and rural areas in Taiwan? A perspective from quality of care</w:t>
            </w:r>
            <w:r>
              <w:rPr>
                <w:lang w:val="en-AU"/>
              </w:rPr>
              <w:t xml:space="preserve"> (</w:t>
            </w:r>
            <w:proofErr w:type="spellStart"/>
            <w:r w:rsidRPr="00650F20">
              <w:rPr>
                <w:lang w:val="en-AU"/>
              </w:rPr>
              <w:t>Tsung-Hsien</w:t>
            </w:r>
            <w:proofErr w:type="spellEnd"/>
            <w:r w:rsidRPr="00650F20">
              <w:rPr>
                <w:lang w:val="en-AU"/>
              </w:rPr>
              <w:t xml:space="preserve"> Yu, Yu-Chang </w:t>
            </w:r>
            <w:proofErr w:type="spellStart"/>
            <w:r w:rsidRPr="00650F20">
              <w:rPr>
                <w:lang w:val="en-AU"/>
              </w:rPr>
              <w:t>Hou</w:t>
            </w:r>
            <w:proofErr w:type="spellEnd"/>
            <w:r w:rsidRPr="00650F20">
              <w:rPr>
                <w:lang w:val="en-AU"/>
              </w:rPr>
              <w:t xml:space="preserve">, Yu-Chi Tung, and </w:t>
            </w:r>
            <w:proofErr w:type="spellStart"/>
            <w:r w:rsidRPr="00650F20">
              <w:rPr>
                <w:lang w:val="en-AU"/>
              </w:rPr>
              <w:t>Kuo-Piao</w:t>
            </w:r>
            <w:proofErr w:type="spellEnd"/>
            <w:r w:rsidRPr="00650F20">
              <w:rPr>
                <w:lang w:val="en-AU"/>
              </w:rPr>
              <w:t xml:space="preserve"> Chung</w:t>
            </w:r>
            <w:r>
              <w:rPr>
                <w:lang w:val="en-AU"/>
              </w:rPr>
              <w:t>)</w:t>
            </w:r>
          </w:p>
        </w:tc>
      </w:tr>
    </w:tbl>
    <w:p w:rsidR="00AF6568" w:rsidRDefault="00AF6568" w:rsidP="00AF6568">
      <w:pPr>
        <w:rPr>
          <w:lang w:val="en-AU"/>
        </w:rPr>
      </w:pPr>
    </w:p>
    <w:p w:rsidR="003324A6" w:rsidRPr="002302EF" w:rsidRDefault="003324A6" w:rsidP="00AF6568">
      <w:pPr>
        <w:rPr>
          <w:lang w:val="en-AU"/>
        </w:rPr>
      </w:pPr>
    </w:p>
    <w:p w:rsidR="00EF2D1B" w:rsidRDefault="00EF2D1B" w:rsidP="00EF2D1B">
      <w:pPr>
        <w:keepNext/>
        <w:keepLines/>
        <w:autoSpaceDE w:val="0"/>
        <w:autoSpaceDN w:val="0"/>
        <w:adjustRightInd w:val="0"/>
        <w:rPr>
          <w:lang w:val="en-AU"/>
        </w:rPr>
      </w:pPr>
      <w:bookmarkStart w:id="1" w:name="_GoBack"/>
      <w:bookmarkEnd w:id="1"/>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7E" w:rsidRDefault="009E737E">
      <w:r>
        <w:separator/>
      </w:r>
    </w:p>
  </w:endnote>
  <w:endnote w:type="continuationSeparator" w:id="0">
    <w:p w:rsidR="009E737E" w:rsidRDefault="009E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E7C97">
      <w:rPr>
        <w:rStyle w:val="PageNumber"/>
        <w:noProof/>
      </w:rPr>
      <w:t>6</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101BA8">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C97">
      <w:rPr>
        <w:rStyle w:val="PageNumber"/>
        <w:noProof/>
      </w:rPr>
      <w:t>7</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101BA8">
      <w:t xml:space="preserve"> Issue 236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7E" w:rsidRDefault="009E737E">
      <w:r>
        <w:separator/>
      </w:r>
    </w:p>
  </w:footnote>
  <w:footnote w:type="continuationSeparator" w:id="0">
    <w:p w:rsidR="009E737E" w:rsidRDefault="009E7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0"/>
  </w:num>
  <w:num w:numId="16">
    <w:abstractNumId w:val="1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1F4"/>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3FD"/>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8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E7C97"/>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86"/>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37E"/>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D46"/>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resilienthealthcare.net/onewebmedia/WhitePaperFinal.pdf" TargetMode="External"/><Relationship Id="rId26" Type="http://schemas.openxmlformats.org/officeDocument/2006/relationships/hyperlink" Target="http://dx.doi.org/10.1001/jamasurg.2015.22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34"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patient-and-consumer-centred-care/health-literacy/" TargetMode="External"/><Relationship Id="rId25" Type="http://schemas.openxmlformats.org/officeDocument/2006/relationships/hyperlink" Target="http://dx.doi.org/10.1503/cmaj.150100" TargetMode="External"/><Relationship Id="rId33" Type="http://schemas.openxmlformats.org/officeDocument/2006/relationships/hyperlink" Target="http://dx.doi.org/10.1136/bmjqs-2015-00402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om.nationalacademies.org/Reports/2015/Health-Literacy-Past-Present-Future.aspx" TargetMode="External"/><Relationship Id="rId20" Type="http://schemas.openxmlformats.org/officeDocument/2006/relationships/hyperlink" Target="http://www.effectivehealthcare.ahrq.gov/search-for-guides-reviews-and-reports/?pageaction=displayproduct&amp;productid=2103" TargetMode="External"/><Relationship Id="rId29" Type="http://schemas.openxmlformats.org/officeDocument/2006/relationships/hyperlink" Target="http://www.ingentaconnect.com/content/jcaho/jcjqs/2015/00000041/00000008/art00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01/jama.2015.9978" TargetMode="External"/><Relationship Id="rId32" Type="http://schemas.openxmlformats.org/officeDocument/2006/relationships/hyperlink" Target="http://www.safetyandquality.gov.au/our-work/patient-and-consumer-centred-care/"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theberylinstitute.org/?page=PXBenchmarking2015" TargetMode="External"/><Relationship Id="rId28" Type="http://schemas.openxmlformats.org/officeDocument/2006/relationships/hyperlink" Target="http://dx.doi.org/10.3310/hsdr03320" TargetMode="External"/><Relationship Id="rId36"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effectivehealthcare.ahrq.gov/reports/final/cfm" TargetMode="External"/><Relationship Id="rId31" Type="http://schemas.openxmlformats.org/officeDocument/2006/relationships/hyperlink" Target="http://www.ingentaconnect.com/content/jcaho/jcjqs/2015/00000041/00000008/art0000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nuffieldtrust.org.uk/publications/evaluation-complex-health-care-interventions-using-retrospective-matched-control-analysis" TargetMode="External"/><Relationship Id="rId27" Type="http://schemas.openxmlformats.org/officeDocument/2006/relationships/hyperlink" Target="http://dx.doi.org/10.1111/jan.12744" TargetMode="External"/><Relationship Id="rId30" Type="http://schemas.openxmlformats.org/officeDocument/2006/relationships/hyperlink" Target="http://www.safetyandquality.gov.au/our-work/medication-safety/" TargetMode="External"/><Relationship Id="rId35" Type="http://schemas.openxmlformats.org/officeDocument/2006/relationships/hyperlink" Target="http://intqhc.oxfordjournals.org/content/early/recent?pap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A77-E0B7-42A5-B879-E6EC2667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7</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20895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28</cp:revision>
  <cp:lastPrinted>2013-06-06T03:47:00Z</cp:lastPrinted>
  <dcterms:created xsi:type="dcterms:W3CDTF">2015-08-09T21:13:00Z</dcterms:created>
  <dcterms:modified xsi:type="dcterms:W3CDTF">2015-08-16T05:12:00Z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