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2A3F69">
        <w:rPr>
          <w:color w:val="000000"/>
          <w:lang w:val="en-AU"/>
        </w:rPr>
        <w:t>44</w:t>
      </w:r>
    </w:p>
    <w:p w:rsidR="00755242" w:rsidRPr="002302EF" w:rsidRDefault="002A3F69" w:rsidP="00B160EF">
      <w:pPr>
        <w:rPr>
          <w:lang w:val="en-AU"/>
        </w:rPr>
      </w:pPr>
      <w:r>
        <w:rPr>
          <w:lang w:val="en-AU"/>
        </w:rPr>
        <w:t>12</w:t>
      </w:r>
      <w:r w:rsidR="00F14682">
        <w:rPr>
          <w:lang w:val="en-AU"/>
        </w:rPr>
        <w:t xml:space="preserve"> Octo</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6B1495">
        <w:rPr>
          <w:bCs/>
          <w:lang w:val="en-AU"/>
        </w:rPr>
        <w:t>, Naomi Poole</w:t>
      </w:r>
    </w:p>
    <w:p w:rsidR="004329D9" w:rsidRDefault="004329D9" w:rsidP="00DA2466">
      <w:pPr>
        <w:keepNext/>
        <w:autoSpaceDE w:val="0"/>
        <w:autoSpaceDN w:val="0"/>
        <w:adjustRightInd w:val="0"/>
        <w:rPr>
          <w:b/>
          <w:lang w:val="en-AU"/>
        </w:rPr>
      </w:pPr>
    </w:p>
    <w:p w:rsidR="002F3A60" w:rsidRDefault="002F3A60" w:rsidP="00DA2466">
      <w:pPr>
        <w:keepNext/>
        <w:autoSpaceDE w:val="0"/>
        <w:autoSpaceDN w:val="0"/>
        <w:adjustRightInd w:val="0"/>
        <w:rPr>
          <w:b/>
          <w:lang w:val="en-AU"/>
        </w:rPr>
      </w:pPr>
      <w:r>
        <w:rPr>
          <w:b/>
          <w:lang w:val="en-AU"/>
        </w:rPr>
        <w:t xml:space="preserve">Consultation: </w:t>
      </w:r>
      <w:r w:rsidRPr="002F3A60">
        <w:rPr>
          <w:b/>
          <w:lang w:val="en-AU"/>
        </w:rPr>
        <w:t>Patient centred care and consumer engagement</w:t>
      </w:r>
    </w:p>
    <w:p w:rsidR="002F3A60" w:rsidRPr="002F3A60" w:rsidRDefault="002F3A60" w:rsidP="002F3A60">
      <w:pPr>
        <w:keepNext/>
        <w:autoSpaceDE w:val="0"/>
        <w:autoSpaceDN w:val="0"/>
        <w:adjustRightInd w:val="0"/>
        <w:rPr>
          <w:lang w:val="en-AU"/>
        </w:rPr>
      </w:pPr>
      <w:r w:rsidRPr="002F3A60">
        <w:rPr>
          <w:lang w:val="en-AU"/>
        </w:rPr>
        <w:t>The Royal Australasian College of Physicians, in collaboration with Health Issues Centre, is developing a patient centred care and consumer engagement framework to improve the way the College engages with health care consumers.</w:t>
      </w:r>
      <w:r>
        <w:rPr>
          <w:lang w:val="en-AU"/>
        </w:rPr>
        <w:t xml:space="preserve"> A</w:t>
      </w:r>
      <w:r w:rsidRPr="002F3A60">
        <w:rPr>
          <w:lang w:val="en-AU"/>
        </w:rPr>
        <w:t xml:space="preserve"> series of consultation workshops </w:t>
      </w:r>
      <w:r>
        <w:rPr>
          <w:lang w:val="en-AU"/>
        </w:rPr>
        <w:t xml:space="preserve">are </w:t>
      </w:r>
      <w:r w:rsidRPr="002F3A60">
        <w:rPr>
          <w:lang w:val="en-AU"/>
        </w:rPr>
        <w:t>be</w:t>
      </w:r>
      <w:r>
        <w:rPr>
          <w:lang w:val="en-AU"/>
        </w:rPr>
        <w:t>ing</w:t>
      </w:r>
      <w:r w:rsidRPr="002F3A60">
        <w:rPr>
          <w:lang w:val="en-AU"/>
        </w:rPr>
        <w:t xml:space="preserve"> held</w:t>
      </w:r>
      <w:r>
        <w:rPr>
          <w:lang w:val="en-AU"/>
        </w:rPr>
        <w:t>. The remaining workshops are to be held in:</w:t>
      </w:r>
    </w:p>
    <w:p w:rsidR="002F3A60" w:rsidRPr="002F3A60" w:rsidRDefault="002F3A60" w:rsidP="002F3A60">
      <w:pPr>
        <w:keepNext/>
        <w:autoSpaceDE w:val="0"/>
        <w:autoSpaceDN w:val="0"/>
        <w:adjustRightInd w:val="0"/>
        <w:rPr>
          <w:lang w:val="en-AU"/>
        </w:rPr>
      </w:pPr>
      <w:r w:rsidRPr="002F3A60">
        <w:rPr>
          <w:lang w:val="en-AU"/>
        </w:rPr>
        <w:t>Sydney, Thurs 15 October 2015</w:t>
      </w:r>
    </w:p>
    <w:p w:rsidR="002F3A60" w:rsidRPr="002F3A60" w:rsidRDefault="002F3A60" w:rsidP="002F3A60">
      <w:pPr>
        <w:keepNext/>
        <w:autoSpaceDE w:val="0"/>
        <w:autoSpaceDN w:val="0"/>
        <w:adjustRightInd w:val="0"/>
        <w:rPr>
          <w:lang w:val="en-AU"/>
        </w:rPr>
      </w:pPr>
      <w:r w:rsidRPr="002F3A60">
        <w:rPr>
          <w:lang w:val="en-AU"/>
        </w:rPr>
        <w:t>Gold Coast, Wed 21 October 2015</w:t>
      </w:r>
    </w:p>
    <w:p w:rsidR="002F3A60" w:rsidRPr="002F3A60" w:rsidRDefault="002F3A60" w:rsidP="002F3A60">
      <w:pPr>
        <w:keepNext/>
        <w:autoSpaceDE w:val="0"/>
        <w:autoSpaceDN w:val="0"/>
        <w:adjustRightInd w:val="0"/>
        <w:rPr>
          <w:lang w:val="en-AU"/>
        </w:rPr>
      </w:pPr>
      <w:r w:rsidRPr="002F3A60">
        <w:rPr>
          <w:lang w:val="en-AU"/>
        </w:rPr>
        <w:t>Adelaide, Thurs 22 October 2015</w:t>
      </w:r>
    </w:p>
    <w:p w:rsidR="002F3A60" w:rsidRDefault="002F3A60" w:rsidP="002F3A60">
      <w:pPr>
        <w:keepNext/>
        <w:autoSpaceDE w:val="0"/>
        <w:autoSpaceDN w:val="0"/>
        <w:adjustRightInd w:val="0"/>
        <w:rPr>
          <w:lang w:val="en-AU"/>
        </w:rPr>
      </w:pPr>
      <w:r w:rsidRPr="002F3A60">
        <w:rPr>
          <w:lang w:val="en-AU"/>
        </w:rPr>
        <w:t xml:space="preserve">You can register your interest by emailing </w:t>
      </w:r>
      <w:hyperlink r:id="rId16" w:history="1">
        <w:r w:rsidRPr="009D023B">
          <w:rPr>
            <w:rStyle w:val="Hyperlink"/>
            <w:lang w:val="en-AU"/>
          </w:rPr>
          <w:t>evaluation@racp.edu.au</w:t>
        </w:r>
      </w:hyperlink>
    </w:p>
    <w:p w:rsidR="002F3A60" w:rsidRPr="002F3A60" w:rsidRDefault="002F3A60" w:rsidP="002F3A60">
      <w:pPr>
        <w:keepNext/>
        <w:autoSpaceDE w:val="0"/>
        <w:autoSpaceDN w:val="0"/>
        <w:adjustRightInd w:val="0"/>
        <w:rPr>
          <w:lang w:val="en-AU"/>
        </w:rPr>
      </w:pPr>
    </w:p>
    <w:p w:rsidR="00DA2466" w:rsidRDefault="00DA2466" w:rsidP="00DA2466">
      <w:pPr>
        <w:keepNext/>
        <w:autoSpaceDE w:val="0"/>
        <w:autoSpaceDN w:val="0"/>
        <w:adjustRightInd w:val="0"/>
        <w:rPr>
          <w:b/>
          <w:lang w:val="en-AU"/>
        </w:rPr>
      </w:pPr>
      <w:r>
        <w:rPr>
          <w:b/>
          <w:lang w:val="en-AU"/>
        </w:rPr>
        <w:t>Reports</w:t>
      </w:r>
    </w:p>
    <w:p w:rsidR="00DA2466" w:rsidRDefault="00DA2466" w:rsidP="00A0107C">
      <w:pPr>
        <w:keepNext/>
        <w:keepLines/>
        <w:autoSpaceDE w:val="0"/>
        <w:autoSpaceDN w:val="0"/>
        <w:adjustRightInd w:val="0"/>
        <w:rPr>
          <w:lang w:val="en-AU"/>
        </w:rPr>
      </w:pPr>
    </w:p>
    <w:p w:rsidR="003C70D0" w:rsidRPr="00A252F6" w:rsidRDefault="00A252F6" w:rsidP="003C70D0">
      <w:pPr>
        <w:keepLines/>
        <w:autoSpaceDE w:val="0"/>
        <w:autoSpaceDN w:val="0"/>
        <w:adjustRightInd w:val="0"/>
        <w:rPr>
          <w:i/>
          <w:lang w:val="en-AU"/>
        </w:rPr>
      </w:pPr>
      <w:r w:rsidRPr="00A252F6">
        <w:rPr>
          <w:i/>
          <w:lang w:val="en-AU"/>
        </w:rPr>
        <w:t>How should we think about value in health and care?</w:t>
      </w:r>
    </w:p>
    <w:p w:rsidR="00A252F6" w:rsidRDefault="00D6652A" w:rsidP="003C70D0">
      <w:pPr>
        <w:keepLines/>
        <w:autoSpaceDE w:val="0"/>
        <w:autoSpaceDN w:val="0"/>
        <w:adjustRightInd w:val="0"/>
        <w:rPr>
          <w:lang w:val="en-AU"/>
        </w:rPr>
      </w:pPr>
      <w:proofErr w:type="gramStart"/>
      <w:r w:rsidRPr="00D6652A">
        <w:rPr>
          <w:lang w:val="en-AU"/>
        </w:rPr>
        <w:t>Realising the Value.</w:t>
      </w:r>
      <w:proofErr w:type="gramEnd"/>
      <w:r w:rsidRPr="00D6652A">
        <w:rPr>
          <w:lang w:val="en-AU"/>
        </w:rPr>
        <w:t xml:space="preserve"> 2015. p. 24.</w:t>
      </w:r>
    </w:p>
    <w:tbl>
      <w:tblPr>
        <w:tblStyle w:val="TableGrid"/>
        <w:tblW w:w="0" w:type="auto"/>
        <w:tblInd w:w="288" w:type="dxa"/>
        <w:tblLayout w:type="fixed"/>
        <w:tblLook w:val="01E0" w:firstRow="1" w:lastRow="1" w:firstColumn="1" w:lastColumn="1" w:noHBand="0" w:noVBand="0"/>
      </w:tblPr>
      <w:tblGrid>
        <w:gridCol w:w="1080"/>
        <w:gridCol w:w="8280"/>
      </w:tblGrid>
      <w:tr w:rsidR="003C70D0" w:rsidRPr="00255EF8" w:rsidTr="00EC60A9">
        <w:tc>
          <w:tcPr>
            <w:tcW w:w="1080" w:type="dxa"/>
            <w:tcBorders>
              <w:top w:val="single" w:sz="4" w:space="0" w:color="auto"/>
              <w:left w:val="single" w:sz="4" w:space="0" w:color="auto"/>
              <w:bottom w:val="single" w:sz="4" w:space="0" w:color="auto"/>
              <w:right w:val="single" w:sz="4" w:space="0" w:color="auto"/>
            </w:tcBorders>
            <w:vAlign w:val="center"/>
          </w:tcPr>
          <w:p w:rsidR="003C70D0" w:rsidRPr="00255EF8" w:rsidRDefault="003C70D0" w:rsidP="00EC60A9">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252F6" w:rsidRPr="00255EF8" w:rsidRDefault="00AD35C7" w:rsidP="00A252F6">
            <w:pPr>
              <w:rPr>
                <w:lang w:val="en-AU"/>
              </w:rPr>
            </w:pPr>
            <w:hyperlink r:id="rId17" w:history="1">
              <w:r w:rsidR="00D6652A" w:rsidRPr="009D023B">
                <w:rPr>
                  <w:rStyle w:val="Hyperlink"/>
                  <w:lang w:val="en-AU"/>
                </w:rPr>
                <w:t>http://www.nesta.org.uk/publications/how-should-we-think-about-value-health-and-care</w:t>
              </w:r>
            </w:hyperlink>
          </w:p>
        </w:tc>
      </w:tr>
      <w:tr w:rsidR="003C70D0" w:rsidRPr="00255EF8" w:rsidTr="00EC60A9">
        <w:tc>
          <w:tcPr>
            <w:tcW w:w="1080" w:type="dxa"/>
            <w:tcBorders>
              <w:top w:val="single" w:sz="4" w:space="0" w:color="auto"/>
              <w:left w:val="single" w:sz="4" w:space="0" w:color="auto"/>
              <w:bottom w:val="single" w:sz="4" w:space="0" w:color="auto"/>
              <w:right w:val="single" w:sz="4" w:space="0" w:color="auto"/>
            </w:tcBorders>
            <w:vAlign w:val="center"/>
          </w:tcPr>
          <w:p w:rsidR="003C70D0" w:rsidRPr="00255EF8" w:rsidRDefault="003C70D0" w:rsidP="00EC60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652A" w:rsidRPr="00D6652A" w:rsidRDefault="00A252F6" w:rsidP="00D6652A">
            <w:pPr>
              <w:rPr>
                <w:lang w:val="en-AU" w:eastAsia="en-AU"/>
              </w:rPr>
            </w:pPr>
            <w:r>
              <w:rPr>
                <w:lang w:val="en-AU" w:eastAsia="en-AU"/>
              </w:rPr>
              <w:t xml:space="preserve">One of the debates that </w:t>
            </w:r>
            <w:proofErr w:type="gramStart"/>
            <w:r>
              <w:rPr>
                <w:lang w:val="en-AU" w:eastAsia="en-AU"/>
              </w:rPr>
              <w:t>has</w:t>
            </w:r>
            <w:proofErr w:type="gramEnd"/>
            <w:r>
              <w:rPr>
                <w:lang w:val="en-AU" w:eastAsia="en-AU"/>
              </w:rPr>
              <w:t xml:space="preserve"> emerged from discussions of variation, waste and appropriateness is that of value(s). For example </w:t>
            </w:r>
            <w:r w:rsidRPr="00A252F6">
              <w:rPr>
                <w:i/>
                <w:lang w:val="en-AU" w:eastAsia="en-AU"/>
              </w:rPr>
              <w:t>The Commissioning Review</w:t>
            </w:r>
            <w:r>
              <w:rPr>
                <w:lang w:val="en-AU" w:eastAsia="en-AU"/>
              </w:rPr>
              <w:t xml:space="preserve"> has an item on ‘The right values’</w:t>
            </w:r>
            <w:r w:rsidR="00D6652A">
              <w:rPr>
                <w:lang w:val="en-AU" w:eastAsia="en-AU"/>
              </w:rPr>
              <w:t xml:space="preserve"> written by the co-founders of NHS Right Care</w:t>
            </w:r>
            <w:r w:rsidR="00D6652A" w:rsidRPr="00D6652A">
              <w:rPr>
                <w:lang w:val="en-AU" w:eastAsia="en-AU"/>
              </w:rPr>
              <w:t xml:space="preserve"> </w:t>
            </w:r>
            <w:r w:rsidR="00D6652A">
              <w:rPr>
                <w:lang w:val="en-AU" w:eastAsia="en-AU"/>
              </w:rPr>
              <w:t>(</w:t>
            </w:r>
            <w:r>
              <w:rPr>
                <w:lang w:val="en-AU" w:eastAsia="en-AU"/>
              </w:rPr>
              <w:t xml:space="preserve">available at </w:t>
            </w:r>
            <w:hyperlink r:id="rId18" w:history="1">
              <w:r w:rsidRPr="009D023B">
                <w:rPr>
                  <w:rStyle w:val="Hyperlink"/>
                  <w:lang w:val="en-AU" w:eastAsia="en-AU"/>
                </w:rPr>
                <w:t>http://www.thecommissioningreview.com/article/right-values</w:t>
              </w:r>
            </w:hyperlink>
            <w:r>
              <w:rPr>
                <w:lang w:val="en-AU" w:eastAsia="en-AU"/>
              </w:rPr>
              <w:t>)</w:t>
            </w:r>
            <w:r w:rsidR="00D6652A">
              <w:rPr>
                <w:lang w:val="en-AU" w:eastAsia="en-AU"/>
              </w:rPr>
              <w:t xml:space="preserve">. NHS Right Care </w:t>
            </w:r>
            <w:r w:rsidR="00D6652A" w:rsidRPr="00D6652A">
              <w:rPr>
                <w:lang w:val="en-AU" w:eastAsia="en-AU"/>
              </w:rPr>
              <w:t>identifies three types of value:</w:t>
            </w:r>
          </w:p>
          <w:p w:rsidR="00D6652A" w:rsidRPr="00D6652A" w:rsidRDefault="00D6652A" w:rsidP="00D6652A">
            <w:pPr>
              <w:pStyle w:val="ListParagraph"/>
              <w:numPr>
                <w:ilvl w:val="0"/>
                <w:numId w:val="38"/>
              </w:numPr>
              <w:rPr>
                <w:lang w:val="en-AU" w:eastAsia="en-AU"/>
              </w:rPr>
            </w:pPr>
            <w:r>
              <w:rPr>
                <w:lang w:val="en-AU" w:eastAsia="en-AU"/>
              </w:rPr>
              <w:lastRenderedPageBreak/>
              <w:t>Allocative value</w:t>
            </w:r>
          </w:p>
          <w:p w:rsidR="00D6652A" w:rsidRPr="00D6652A" w:rsidRDefault="00D6652A" w:rsidP="00D6652A">
            <w:pPr>
              <w:pStyle w:val="ListParagraph"/>
              <w:numPr>
                <w:ilvl w:val="0"/>
                <w:numId w:val="38"/>
              </w:numPr>
              <w:rPr>
                <w:lang w:val="en-AU" w:eastAsia="en-AU"/>
              </w:rPr>
            </w:pPr>
            <w:r w:rsidRPr="00D6652A">
              <w:rPr>
                <w:lang w:val="en-AU" w:eastAsia="en-AU"/>
              </w:rPr>
              <w:t>Technical value, (similar to efficiency)</w:t>
            </w:r>
          </w:p>
          <w:p w:rsidR="00A252F6" w:rsidRPr="00D6652A" w:rsidRDefault="00D6652A" w:rsidP="00D6652A">
            <w:pPr>
              <w:pStyle w:val="ListParagraph"/>
              <w:numPr>
                <w:ilvl w:val="0"/>
                <w:numId w:val="38"/>
              </w:numPr>
              <w:rPr>
                <w:lang w:val="en-AU" w:eastAsia="en-AU"/>
              </w:rPr>
            </w:pPr>
            <w:r w:rsidRPr="00D6652A">
              <w:rPr>
                <w:lang w:val="en-AU" w:eastAsia="en-AU"/>
              </w:rPr>
              <w:t>Personalised value.</w:t>
            </w:r>
          </w:p>
          <w:p w:rsidR="000C2463" w:rsidRPr="00F0255D" w:rsidRDefault="00A252F6" w:rsidP="00D6652A">
            <w:pPr>
              <w:rPr>
                <w:lang w:val="en-AU" w:eastAsia="en-AU"/>
              </w:rPr>
            </w:pPr>
            <w:r>
              <w:rPr>
                <w:lang w:val="en-AU" w:eastAsia="en-AU"/>
              </w:rPr>
              <w:t xml:space="preserve">The UK’s Realising the Value consortium have released this brief Discussion Paper </w:t>
            </w:r>
            <w:r w:rsidR="00D6652A">
              <w:rPr>
                <w:lang w:val="en-AU" w:eastAsia="en-AU"/>
              </w:rPr>
              <w:t xml:space="preserve">as  </w:t>
            </w:r>
            <w:r w:rsidR="00D6652A" w:rsidRPr="00D6652A">
              <w:rPr>
                <w:lang w:val="en-AU" w:eastAsia="en-AU"/>
              </w:rPr>
              <w:t>is a step towards creating a new articulation of value</w:t>
            </w:r>
            <w:r w:rsidR="00D6652A">
              <w:rPr>
                <w:lang w:val="en-AU" w:eastAsia="en-AU"/>
              </w:rPr>
              <w:t>” as part of “</w:t>
            </w:r>
            <w:r w:rsidR="00D6652A" w:rsidRPr="00D6652A">
              <w:rPr>
                <w:lang w:val="en-AU" w:eastAsia="en-AU"/>
              </w:rPr>
              <w:t>demonstrating the value</w:t>
            </w:r>
            <w:r w:rsidR="00D6652A">
              <w:rPr>
                <w:lang w:val="en-AU" w:eastAsia="en-AU"/>
              </w:rPr>
              <w:t xml:space="preserve"> </w:t>
            </w:r>
            <w:r w:rsidR="00D6652A" w:rsidRPr="00D6652A">
              <w:rPr>
                <w:lang w:val="en-AU" w:eastAsia="en-AU"/>
              </w:rPr>
              <w:t>of people and communities in their own health and care.</w:t>
            </w:r>
            <w:r w:rsidR="00D6652A">
              <w:rPr>
                <w:lang w:val="en-AU" w:eastAsia="en-AU"/>
              </w:rPr>
              <w:t>” The paper is intended to provoke consideration – and discussion – of the issues of value in health care and readers are invited to offer their feedback and perspectives.</w:t>
            </w:r>
          </w:p>
        </w:tc>
      </w:tr>
    </w:tbl>
    <w:p w:rsidR="003C70D0" w:rsidRDefault="003C70D0" w:rsidP="003C70D0">
      <w:pPr>
        <w:rPr>
          <w:i/>
          <w:lang w:val="en-AU"/>
        </w:rPr>
      </w:pPr>
    </w:p>
    <w:p w:rsidR="00434B5C" w:rsidRDefault="00434B5C" w:rsidP="003C70D0">
      <w:pPr>
        <w:rPr>
          <w:i/>
          <w:lang w:val="en-AU"/>
        </w:rPr>
      </w:pPr>
    </w:p>
    <w:p w:rsidR="00BF1006" w:rsidRPr="002302EF" w:rsidRDefault="005F52C2" w:rsidP="006A22AE">
      <w:pPr>
        <w:keepNext/>
        <w:keepLines/>
        <w:autoSpaceDE w:val="0"/>
        <w:autoSpaceDN w:val="0"/>
        <w:adjustRightInd w:val="0"/>
        <w:rPr>
          <w:b/>
          <w:lang w:val="en-AU"/>
        </w:rPr>
      </w:pPr>
      <w:r w:rsidRPr="002302EF">
        <w:rPr>
          <w:b/>
          <w:lang w:val="en-AU"/>
        </w:rPr>
        <w:t>Journal articles</w:t>
      </w:r>
    </w:p>
    <w:p w:rsidR="00B232DF" w:rsidRDefault="00B232DF" w:rsidP="006A22AE">
      <w:pPr>
        <w:keepNext/>
        <w:keepLines/>
        <w:autoSpaceDE w:val="0"/>
        <w:autoSpaceDN w:val="0"/>
        <w:adjustRightInd w:val="0"/>
        <w:rPr>
          <w:i/>
          <w:lang w:val="en-AU"/>
        </w:rPr>
      </w:pPr>
    </w:p>
    <w:p w:rsidR="005F63CD" w:rsidRPr="005F63CD" w:rsidRDefault="005F63CD" w:rsidP="005F63CD">
      <w:pPr>
        <w:keepLines/>
        <w:autoSpaceDE w:val="0"/>
        <w:autoSpaceDN w:val="0"/>
        <w:adjustRightInd w:val="0"/>
        <w:rPr>
          <w:i/>
          <w:lang w:val="en-AU"/>
        </w:rPr>
      </w:pPr>
      <w:r w:rsidRPr="005F63CD">
        <w:rPr>
          <w:i/>
          <w:lang w:val="en-AU"/>
        </w:rPr>
        <w:t>Who is less likely to die in association with improved National Emergency Access Target (NEAT) compliance for emergency admissions in a tertiary referral hospital?</w:t>
      </w:r>
    </w:p>
    <w:p w:rsidR="005F63CD" w:rsidRDefault="005F63CD" w:rsidP="005F63CD">
      <w:pPr>
        <w:keepLines/>
        <w:autoSpaceDE w:val="0"/>
        <w:autoSpaceDN w:val="0"/>
        <w:adjustRightInd w:val="0"/>
        <w:rPr>
          <w:lang w:val="en-AU"/>
        </w:rPr>
      </w:pPr>
      <w:r w:rsidRPr="005F63CD">
        <w:rPr>
          <w:lang w:val="en-AU"/>
        </w:rPr>
        <w:t>Sullivan C, Staib A, Eley R, Griffin B, Cattell R, Flores J, et al</w:t>
      </w:r>
    </w:p>
    <w:p w:rsidR="005F63CD" w:rsidRDefault="005F63CD" w:rsidP="005F63CD">
      <w:pPr>
        <w:keepLines/>
        <w:autoSpaceDE w:val="0"/>
        <w:autoSpaceDN w:val="0"/>
        <w:adjustRightInd w:val="0"/>
        <w:rPr>
          <w:lang w:val="en-AU"/>
        </w:rPr>
      </w:pPr>
      <w:proofErr w:type="gramStart"/>
      <w:r w:rsidRPr="005F63CD">
        <w:rPr>
          <w:lang w:val="en-AU"/>
        </w:rPr>
        <w:t>Australian Health Review.</w:t>
      </w:r>
      <w:proofErr w:type="gramEnd"/>
      <w:r w:rsidRPr="005F63CD">
        <w:rPr>
          <w:lang w:val="en-AU"/>
        </w:rPr>
        <w:t xml:space="preserve"> </w:t>
      </w:r>
      <w:proofErr w:type="gramStart"/>
      <w:r w:rsidRPr="005F63CD">
        <w:rPr>
          <w:lang w:val="en-AU"/>
        </w:rPr>
        <w:t>2015</w:t>
      </w:r>
      <w:r>
        <w:rPr>
          <w:lang w:val="en-AU"/>
        </w:rPr>
        <w:t xml:space="preserve"> [epub]</w:t>
      </w:r>
      <w:r w:rsidRPr="005F63C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F63CD" w:rsidRPr="00255EF8" w:rsidTr="00BF7BAD">
        <w:tc>
          <w:tcPr>
            <w:tcW w:w="1080" w:type="dxa"/>
            <w:tcBorders>
              <w:top w:val="single" w:sz="4" w:space="0" w:color="auto"/>
              <w:left w:val="single" w:sz="4" w:space="0" w:color="auto"/>
              <w:bottom w:val="single" w:sz="4" w:space="0" w:color="auto"/>
              <w:right w:val="single" w:sz="4" w:space="0" w:color="auto"/>
            </w:tcBorders>
            <w:vAlign w:val="center"/>
          </w:tcPr>
          <w:p w:rsidR="005F63CD" w:rsidRPr="00255EF8" w:rsidRDefault="005F63CD" w:rsidP="00BF7BA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F63CD" w:rsidRPr="00255EF8" w:rsidRDefault="00AD35C7" w:rsidP="00BF7BAD">
            <w:pPr>
              <w:rPr>
                <w:lang w:val="en-AU"/>
              </w:rPr>
            </w:pPr>
            <w:hyperlink r:id="rId19" w:history="1">
              <w:r w:rsidR="005F63CD" w:rsidRPr="009D023B">
                <w:rPr>
                  <w:rStyle w:val="Hyperlink"/>
                  <w:lang w:val="en-AU"/>
                </w:rPr>
                <w:t>http://dx.doi.org/10.1071/AH14242</w:t>
              </w:r>
            </w:hyperlink>
          </w:p>
        </w:tc>
      </w:tr>
      <w:tr w:rsidR="005F63CD" w:rsidRPr="00255EF8" w:rsidTr="00BF7BAD">
        <w:tc>
          <w:tcPr>
            <w:tcW w:w="1080" w:type="dxa"/>
            <w:tcBorders>
              <w:top w:val="single" w:sz="4" w:space="0" w:color="auto"/>
              <w:left w:val="single" w:sz="4" w:space="0" w:color="auto"/>
              <w:bottom w:val="single" w:sz="4" w:space="0" w:color="auto"/>
              <w:right w:val="single" w:sz="4" w:space="0" w:color="auto"/>
            </w:tcBorders>
            <w:vAlign w:val="center"/>
          </w:tcPr>
          <w:p w:rsidR="005F63CD" w:rsidRPr="00255EF8" w:rsidRDefault="005F63CD" w:rsidP="00BF7BA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63CD" w:rsidRPr="00D75D63" w:rsidRDefault="005F63CD" w:rsidP="00BF7BAD">
            <w:pPr>
              <w:rPr>
                <w:lang w:val="en-AU" w:eastAsia="en-AU"/>
              </w:rPr>
            </w:pPr>
            <w:r>
              <w:rPr>
                <w:lang w:val="en-AU" w:eastAsia="en-AU"/>
              </w:rPr>
              <w:t>Paper reporting on the examination of the changes in patient mortality in a Queensland hospital that had reported “</w:t>
            </w:r>
            <w:r w:rsidRPr="005F63CD">
              <w:rPr>
                <w:lang w:val="en-AU" w:eastAsia="en-AU"/>
              </w:rPr>
              <w:t>a near halving in mortality in association with a doubling in National Emergency Access Target (NEAT) compliance over a 2-year period from 2012 to 2014</w:t>
            </w:r>
            <w:r>
              <w:rPr>
                <w:lang w:val="en-AU" w:eastAsia="en-AU"/>
              </w:rPr>
              <w:t>.” The retrospective analysis revealed that “</w:t>
            </w:r>
            <w:r w:rsidRPr="005F63CD">
              <w:rPr>
                <w:lang w:val="en-AU" w:eastAsia="en-AU"/>
              </w:rPr>
              <w:t xml:space="preserve">Improved NEAT compliance as a result of clinical redesign is associated with </w:t>
            </w:r>
            <w:r w:rsidRPr="005F63CD">
              <w:rPr>
                <w:b/>
                <w:lang w:val="en-AU" w:eastAsia="en-AU"/>
              </w:rPr>
              <w:t>improved in-patient mortality</w:t>
            </w:r>
            <w:r w:rsidRPr="005F63CD">
              <w:rPr>
                <w:lang w:val="en-AU" w:eastAsia="en-AU"/>
              </w:rPr>
              <w:t xml:space="preserve"> among particular subgroups of emergency admissions, namely </w:t>
            </w:r>
            <w:r w:rsidRPr="005F63CD">
              <w:rPr>
                <w:b/>
                <w:lang w:val="en-AU" w:eastAsia="en-AU"/>
              </w:rPr>
              <w:t>older patients with complex medical conditions</w:t>
            </w:r>
            <w:r w:rsidRPr="005F63CD">
              <w:rPr>
                <w:lang w:val="en-AU" w:eastAsia="en-AU"/>
              </w:rPr>
              <w:t xml:space="preserve">, </w:t>
            </w:r>
            <w:r w:rsidRPr="005F63CD">
              <w:rPr>
                <w:b/>
                <w:lang w:val="en-AU" w:eastAsia="en-AU"/>
              </w:rPr>
              <w:t>those presenting after hours</w:t>
            </w:r>
            <w:r w:rsidRPr="005F63CD">
              <w:rPr>
                <w:lang w:val="en-AU" w:eastAsia="en-AU"/>
              </w:rPr>
              <w:t xml:space="preserve"> and on weekends and those presenting with time-sensitive </w:t>
            </w:r>
            <w:r w:rsidRPr="005F63CD">
              <w:rPr>
                <w:b/>
                <w:lang w:val="en-AU" w:eastAsia="en-AU"/>
              </w:rPr>
              <w:t>acute cardiorespiratory conditions</w:t>
            </w:r>
            <w:r w:rsidRPr="005F63CD">
              <w:rPr>
                <w:lang w:val="en-AU" w:eastAsia="en-AU"/>
              </w:rPr>
              <w:t>.</w:t>
            </w:r>
            <w:r>
              <w:rPr>
                <w:lang w:val="en-AU" w:eastAsia="en-AU"/>
              </w:rPr>
              <w:t>”</w:t>
            </w:r>
          </w:p>
        </w:tc>
      </w:tr>
    </w:tbl>
    <w:p w:rsidR="005F63CD" w:rsidRDefault="005F63CD" w:rsidP="005F63CD">
      <w:pPr>
        <w:keepLines/>
        <w:autoSpaceDE w:val="0"/>
        <w:autoSpaceDN w:val="0"/>
        <w:adjustRightInd w:val="0"/>
        <w:rPr>
          <w:i/>
          <w:lang w:val="en-AU"/>
        </w:rPr>
      </w:pPr>
    </w:p>
    <w:p w:rsidR="00053A16" w:rsidRPr="00053A16" w:rsidRDefault="00053A16" w:rsidP="00053A16">
      <w:pPr>
        <w:keepLines/>
        <w:autoSpaceDE w:val="0"/>
        <w:autoSpaceDN w:val="0"/>
        <w:adjustRightInd w:val="0"/>
        <w:rPr>
          <w:i/>
          <w:lang w:val="en-AU"/>
        </w:rPr>
      </w:pPr>
      <w:r w:rsidRPr="00053A16">
        <w:rPr>
          <w:i/>
          <w:lang w:val="en-AU"/>
        </w:rPr>
        <w:t>Avoidability of hospital deaths and association with hospital-wide mortality ratios: retrospective case record review and regression analysis</w:t>
      </w:r>
    </w:p>
    <w:p w:rsidR="00053A16" w:rsidRDefault="00053A16" w:rsidP="00DA2466">
      <w:pPr>
        <w:keepLines/>
        <w:autoSpaceDE w:val="0"/>
        <w:autoSpaceDN w:val="0"/>
        <w:adjustRightInd w:val="0"/>
        <w:rPr>
          <w:lang w:val="en-AU"/>
        </w:rPr>
      </w:pPr>
      <w:r w:rsidRPr="00053A16">
        <w:rPr>
          <w:lang w:val="en-AU"/>
        </w:rPr>
        <w:t>Hogan H, Zipfel R, Neuburger J, Hutchings A, Darzi A, Black N</w:t>
      </w:r>
    </w:p>
    <w:p w:rsidR="00DA2466" w:rsidRDefault="00053A16" w:rsidP="00DA2466">
      <w:pPr>
        <w:keepLines/>
        <w:autoSpaceDE w:val="0"/>
        <w:autoSpaceDN w:val="0"/>
        <w:adjustRightInd w:val="0"/>
        <w:rPr>
          <w:lang w:val="en-AU"/>
        </w:rPr>
      </w:pPr>
      <w:proofErr w:type="gramStart"/>
      <w:r w:rsidRPr="00053A16">
        <w:rPr>
          <w:lang w:val="en-AU"/>
        </w:rPr>
        <w:t>BMJ.</w:t>
      </w:r>
      <w:proofErr w:type="gramEnd"/>
      <w:r w:rsidRPr="00053A16">
        <w:rPr>
          <w:lang w:val="en-AU"/>
        </w:rPr>
        <w:t xml:space="preserve"> 2015 2015-07-14 22:01:15</w:t>
      </w:r>
      <w:proofErr w:type="gramStart"/>
      <w:r w:rsidRPr="00053A16">
        <w:rPr>
          <w:lang w:val="en-AU"/>
        </w:rPr>
        <w:t>;351</w:t>
      </w:r>
      <w:proofErr w:type="gramEnd"/>
      <w:r w:rsidRPr="00053A16">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Pr="00255EF8" w:rsidRDefault="00AD35C7" w:rsidP="009E2652">
            <w:pPr>
              <w:rPr>
                <w:lang w:val="en-AU"/>
              </w:rPr>
            </w:pPr>
            <w:hyperlink r:id="rId20" w:history="1">
              <w:r w:rsidR="00053A16" w:rsidRPr="009D023B">
                <w:rPr>
                  <w:rStyle w:val="Hyperlink"/>
                  <w:lang w:val="en-AU"/>
                </w:rPr>
                <w:t>http://dx.doi.org/10.1136/bmj.h3239</w:t>
              </w:r>
            </w:hyperlink>
          </w:p>
        </w:tc>
      </w:tr>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34B5C" w:rsidRPr="00D75D63" w:rsidRDefault="00053A16" w:rsidP="00FF146E">
            <w:pPr>
              <w:rPr>
                <w:lang w:val="en-AU" w:eastAsia="en-AU"/>
              </w:rPr>
            </w:pPr>
            <w:r>
              <w:rPr>
                <w:lang w:val="en-AU" w:eastAsia="en-AU"/>
              </w:rPr>
              <w:t>This UK study was based on r</w:t>
            </w:r>
            <w:r w:rsidRPr="00053A16">
              <w:rPr>
                <w:lang w:val="en-AU" w:eastAsia="en-AU"/>
              </w:rPr>
              <w:t>etrospecti</w:t>
            </w:r>
            <w:r>
              <w:rPr>
                <w:lang w:val="en-AU" w:eastAsia="en-AU"/>
              </w:rPr>
              <w:t xml:space="preserve">ve case record review of </w:t>
            </w:r>
            <w:r w:rsidR="00FF146E" w:rsidRPr="00FF146E">
              <w:rPr>
                <w:lang w:val="en-AU" w:eastAsia="en-AU"/>
              </w:rPr>
              <w:t>100 randomly selected hospital deaths from each trust</w:t>
            </w:r>
            <w:r w:rsidR="00FF146E">
              <w:rPr>
                <w:lang w:val="en-AU" w:eastAsia="en-AU"/>
              </w:rPr>
              <w:t xml:space="preserve"> </w:t>
            </w:r>
            <w:r>
              <w:rPr>
                <w:lang w:val="en-AU" w:eastAsia="en-AU"/>
              </w:rPr>
              <w:t xml:space="preserve">in </w:t>
            </w:r>
            <w:r w:rsidRPr="00053A16">
              <w:rPr>
                <w:lang w:val="en-AU" w:eastAsia="en-AU"/>
              </w:rPr>
              <w:t xml:space="preserve">34 English acute hospital trusts (10 in 2009 and 24 in 2012/13) </w:t>
            </w:r>
            <w:r>
              <w:rPr>
                <w:lang w:val="en-AU" w:eastAsia="en-AU"/>
              </w:rPr>
              <w:t xml:space="preserve">that were </w:t>
            </w:r>
            <w:r w:rsidRPr="00053A16">
              <w:rPr>
                <w:lang w:val="en-AU" w:eastAsia="en-AU"/>
              </w:rPr>
              <w:t xml:space="preserve">randomly selected from across the spectrum of hospital standardised mortality ratio </w:t>
            </w:r>
            <w:r>
              <w:rPr>
                <w:lang w:val="en-AU" w:eastAsia="en-AU"/>
              </w:rPr>
              <w:t xml:space="preserve">results. </w:t>
            </w:r>
            <w:r w:rsidR="00FF146E">
              <w:rPr>
                <w:lang w:val="en-AU" w:eastAsia="en-AU"/>
              </w:rPr>
              <w:t xml:space="preserve">The authors report that in their sample, the </w:t>
            </w:r>
            <w:r w:rsidR="00FF146E" w:rsidRPr="00FF146E">
              <w:rPr>
                <w:b/>
                <w:lang w:val="en-AU" w:eastAsia="en-AU"/>
              </w:rPr>
              <w:t>proportion of avoidable deaths was 3.6%</w:t>
            </w:r>
            <w:r w:rsidR="00FF146E" w:rsidRPr="00FF146E">
              <w:rPr>
                <w:lang w:val="en-AU" w:eastAsia="en-AU"/>
              </w:rPr>
              <w:t xml:space="preserve"> (95% confidence interval 3.0% to 4.3%).</w:t>
            </w:r>
            <w:r w:rsidR="00FF146E">
              <w:rPr>
                <w:lang w:val="en-AU" w:eastAsia="en-AU"/>
              </w:rPr>
              <w:t xml:space="preserve"> The authors fall on one side of the debate on HSMRs and asset that “</w:t>
            </w:r>
            <w:r w:rsidR="00FF146E" w:rsidRPr="00FF146E">
              <w:rPr>
                <w:lang w:val="en-AU" w:eastAsia="en-AU"/>
              </w:rPr>
              <w:t>reviews of individual deaths should focus on identifying ways of improving the quality of care, whereas the use of standardised mortality ratios should be restricted to assessing the quality of care for conditions with high case fatality for which good quality clinical data exist.</w:t>
            </w:r>
            <w:r w:rsidR="00FF146E">
              <w:rPr>
                <w:lang w:val="en-AU" w:eastAsia="en-AU"/>
              </w:rPr>
              <w:t>”</w:t>
            </w:r>
          </w:p>
        </w:tc>
      </w:tr>
    </w:tbl>
    <w:p w:rsidR="00DA2466" w:rsidRDefault="00DA2466" w:rsidP="00DA2466">
      <w:pPr>
        <w:keepLines/>
        <w:autoSpaceDE w:val="0"/>
        <w:autoSpaceDN w:val="0"/>
        <w:adjustRightInd w:val="0"/>
        <w:rPr>
          <w:i/>
          <w:lang w:val="en-AU"/>
        </w:rPr>
      </w:pPr>
    </w:p>
    <w:p w:rsidR="00C667E4" w:rsidRDefault="00C667E4">
      <w:pPr>
        <w:rPr>
          <w:i/>
          <w:lang w:val="en-AU"/>
        </w:rPr>
      </w:pPr>
      <w:r>
        <w:rPr>
          <w:i/>
          <w:lang w:val="en-AU"/>
        </w:rPr>
        <w:br w:type="page"/>
      </w:r>
    </w:p>
    <w:p w:rsidR="00D01D47" w:rsidRPr="00D01D47" w:rsidRDefault="00D01D47" w:rsidP="00D01D47">
      <w:pPr>
        <w:keepLines/>
        <w:autoSpaceDE w:val="0"/>
        <w:autoSpaceDN w:val="0"/>
        <w:adjustRightInd w:val="0"/>
        <w:rPr>
          <w:i/>
          <w:lang w:val="en-AU"/>
        </w:rPr>
      </w:pPr>
      <w:r w:rsidRPr="00D01D47">
        <w:rPr>
          <w:i/>
          <w:lang w:val="en-AU"/>
        </w:rPr>
        <w:lastRenderedPageBreak/>
        <w:t>Increased mortality associated with weekend hospital admission: a case for expanded seven day services?</w:t>
      </w:r>
    </w:p>
    <w:p w:rsidR="00D01D47" w:rsidRDefault="00D01D47" w:rsidP="002A3F69">
      <w:pPr>
        <w:keepLines/>
        <w:autoSpaceDE w:val="0"/>
        <w:autoSpaceDN w:val="0"/>
        <w:adjustRightInd w:val="0"/>
        <w:rPr>
          <w:lang w:val="en-AU"/>
        </w:rPr>
      </w:pPr>
      <w:r w:rsidRPr="00D01D47">
        <w:rPr>
          <w:lang w:val="en-AU"/>
        </w:rPr>
        <w:t xml:space="preserve">Freemantle N, Ray D, McNulty D, Rosser D, Bennett S, Keogh BE, et al. </w:t>
      </w:r>
    </w:p>
    <w:p w:rsidR="002A3F69" w:rsidRDefault="00D01D47" w:rsidP="002A3F69">
      <w:pPr>
        <w:keepLines/>
        <w:autoSpaceDE w:val="0"/>
        <w:autoSpaceDN w:val="0"/>
        <w:adjustRightInd w:val="0"/>
        <w:rPr>
          <w:lang w:val="en-AU"/>
        </w:rPr>
      </w:pPr>
      <w:proofErr w:type="gramStart"/>
      <w:r w:rsidRPr="00D01D47">
        <w:rPr>
          <w:lang w:val="en-AU"/>
        </w:rPr>
        <w:t>BMJ.</w:t>
      </w:r>
      <w:proofErr w:type="gramEnd"/>
      <w:r w:rsidRPr="00D01D47">
        <w:rPr>
          <w:lang w:val="en-AU"/>
        </w:rPr>
        <w:t xml:space="preserve"> 2015 2015-09-05 22:15:46</w:t>
      </w:r>
      <w:proofErr w:type="gramStart"/>
      <w:r w:rsidRPr="00D01D47">
        <w:rPr>
          <w:lang w:val="en-AU"/>
        </w:rPr>
        <w:t>;351</w:t>
      </w:r>
      <w:proofErr w:type="gramEnd"/>
      <w:r w:rsidRPr="00D01D4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A3F69" w:rsidRPr="00255EF8" w:rsidRDefault="00AD35C7" w:rsidP="000D2215">
            <w:pPr>
              <w:rPr>
                <w:lang w:val="en-AU"/>
              </w:rPr>
            </w:pPr>
            <w:hyperlink r:id="rId21" w:history="1">
              <w:r w:rsidR="00D01D47" w:rsidRPr="009D023B">
                <w:rPr>
                  <w:rStyle w:val="Hyperlink"/>
                  <w:lang w:val="en-AU"/>
                </w:rPr>
                <w:t>http://dx.doi.org/10.1136/bmj.h4596</w:t>
              </w:r>
            </w:hyperlink>
            <w:r w:rsidR="00D01D47">
              <w:rPr>
                <w:lang w:val="en-AU"/>
              </w:rPr>
              <w:t xml:space="preserve"> </w:t>
            </w:r>
          </w:p>
        </w:tc>
      </w:tr>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01D47" w:rsidRDefault="00B7670E" w:rsidP="00D01D47">
            <w:pPr>
              <w:rPr>
                <w:lang w:val="en-AU" w:eastAsia="en-AU"/>
              </w:rPr>
            </w:pPr>
            <w:r>
              <w:rPr>
                <w:lang w:val="en-AU" w:eastAsia="en-AU"/>
              </w:rPr>
              <w:t xml:space="preserve">Another contentious topic in the UK (as the use of HSMRs is) is that of the weekend effect and seven day operation of acute hospitals. This paper reports on a study </w:t>
            </w:r>
            <w:r w:rsidR="00D01D47">
              <w:rPr>
                <w:lang w:val="en-AU" w:eastAsia="en-AU"/>
              </w:rPr>
              <w:t>updating an earlier analysis that had shown that “</w:t>
            </w:r>
            <w:r w:rsidRPr="00B7670E">
              <w:rPr>
                <w:lang w:val="en-AU" w:eastAsia="en-AU"/>
              </w:rPr>
              <w:t>admission at the weekend (Saturday and Sunday) was associated with a significantly increased risk of in-hospital death compared with midweek admission, but being in hospital at the weekend was associated with reduced risk of death.</w:t>
            </w:r>
            <w:r w:rsidR="00D01D47">
              <w:rPr>
                <w:lang w:val="en-AU" w:eastAsia="en-AU"/>
              </w:rPr>
              <w:t>”</w:t>
            </w:r>
          </w:p>
          <w:p w:rsidR="00D01D47" w:rsidRDefault="00D01D47" w:rsidP="00D01D47">
            <w:pPr>
              <w:rPr>
                <w:lang w:val="en-AU" w:eastAsia="en-AU"/>
              </w:rPr>
            </w:pPr>
            <w:r>
              <w:rPr>
                <w:lang w:val="en-AU" w:eastAsia="en-AU"/>
              </w:rPr>
              <w:t xml:space="preserve">This study had </w:t>
            </w:r>
            <w:r w:rsidRPr="00D01D47">
              <w:rPr>
                <w:lang w:val="en-AU" w:eastAsia="en-AU"/>
              </w:rPr>
              <w:t>three main objectives</w:t>
            </w:r>
            <w:r>
              <w:rPr>
                <w:lang w:val="en-AU" w:eastAsia="en-AU"/>
              </w:rPr>
              <w:t>:</w:t>
            </w:r>
          </w:p>
          <w:p w:rsidR="00D01D47" w:rsidRPr="00D01D47" w:rsidRDefault="00D01D47" w:rsidP="00D01D47">
            <w:pPr>
              <w:pStyle w:val="ListParagraph"/>
              <w:numPr>
                <w:ilvl w:val="0"/>
                <w:numId w:val="36"/>
              </w:numPr>
              <w:rPr>
                <w:lang w:val="en-AU" w:eastAsia="en-AU"/>
              </w:rPr>
            </w:pPr>
            <w:r w:rsidRPr="00D01D47">
              <w:rPr>
                <w:lang w:val="en-AU" w:eastAsia="en-AU"/>
              </w:rPr>
              <w:t>characterise the patient population admitted at weekend</w:t>
            </w:r>
          </w:p>
          <w:p w:rsidR="00D01D47" w:rsidRPr="00D01D47" w:rsidRDefault="00D01D47" w:rsidP="00D01D47">
            <w:pPr>
              <w:pStyle w:val="ListParagraph"/>
              <w:numPr>
                <w:ilvl w:val="0"/>
                <w:numId w:val="36"/>
              </w:numPr>
              <w:rPr>
                <w:lang w:val="en-AU" w:eastAsia="en-AU"/>
              </w:rPr>
            </w:pPr>
            <w:r w:rsidRPr="00D01D47">
              <w:rPr>
                <w:lang w:val="en-AU" w:eastAsia="en-AU"/>
              </w:rPr>
              <w:t>examine whether, after robust adjustment for case mix, weekend admission carries an increased 30 day mortality risk compared with midweek admission</w:t>
            </w:r>
          </w:p>
          <w:p w:rsidR="00D01D47" w:rsidRPr="00D01D47" w:rsidRDefault="00D01D47" w:rsidP="00D01D47">
            <w:pPr>
              <w:pStyle w:val="ListParagraph"/>
              <w:numPr>
                <w:ilvl w:val="0"/>
                <w:numId w:val="36"/>
              </w:numPr>
              <w:rPr>
                <w:lang w:val="en-AU" w:eastAsia="en-AU"/>
              </w:rPr>
            </w:pPr>
            <w:proofErr w:type="gramStart"/>
            <w:r w:rsidRPr="00D01D47">
              <w:rPr>
                <w:lang w:val="en-AU" w:eastAsia="en-AU"/>
              </w:rPr>
              <w:t>estimate</w:t>
            </w:r>
            <w:proofErr w:type="gramEnd"/>
            <w:r w:rsidRPr="00D01D47">
              <w:rPr>
                <w:lang w:val="en-AU" w:eastAsia="en-AU"/>
              </w:rPr>
              <w:t xml:space="preserve"> whether mortality risk differs between hospital stay at weekends and during the week.</w:t>
            </w:r>
          </w:p>
          <w:p w:rsidR="00B7670E" w:rsidRDefault="00D01D47" w:rsidP="00D01D47">
            <w:pPr>
              <w:rPr>
                <w:lang w:val="en-AU" w:eastAsia="en-AU"/>
              </w:rPr>
            </w:pPr>
            <w:r>
              <w:rPr>
                <w:lang w:val="en-AU" w:eastAsia="en-AU"/>
              </w:rPr>
              <w:t>The key findings from the study are summarised as:</w:t>
            </w:r>
          </w:p>
          <w:p w:rsidR="00D01D47" w:rsidRPr="00D01D47" w:rsidRDefault="00D01D47" w:rsidP="00D01D47">
            <w:pPr>
              <w:pStyle w:val="ListParagraph"/>
              <w:numPr>
                <w:ilvl w:val="0"/>
                <w:numId w:val="37"/>
              </w:numPr>
              <w:rPr>
                <w:lang w:val="en-AU" w:eastAsia="en-AU"/>
              </w:rPr>
            </w:pPr>
            <w:r w:rsidRPr="00E010BC">
              <w:rPr>
                <w:b/>
                <w:lang w:val="en-AU" w:eastAsia="en-AU"/>
              </w:rPr>
              <w:t>Patients admitted at the weekend</w:t>
            </w:r>
            <w:r w:rsidRPr="00D01D47">
              <w:rPr>
                <w:lang w:val="en-AU" w:eastAsia="en-AU"/>
              </w:rPr>
              <w:t xml:space="preserve"> are more likely to be in the </w:t>
            </w:r>
            <w:r w:rsidRPr="00E010BC">
              <w:rPr>
                <w:b/>
                <w:lang w:val="en-AU" w:eastAsia="en-AU"/>
              </w:rPr>
              <w:t>highest category of risk of death</w:t>
            </w:r>
          </w:p>
          <w:p w:rsidR="00D01D47" w:rsidRPr="00D01D47" w:rsidRDefault="00D01D47" w:rsidP="00D01D47">
            <w:pPr>
              <w:pStyle w:val="ListParagraph"/>
              <w:numPr>
                <w:ilvl w:val="0"/>
                <w:numId w:val="37"/>
              </w:numPr>
              <w:rPr>
                <w:lang w:val="en-AU" w:eastAsia="en-AU"/>
              </w:rPr>
            </w:pPr>
            <w:r w:rsidRPr="00E010BC">
              <w:rPr>
                <w:b/>
                <w:lang w:val="en-AU" w:eastAsia="en-AU"/>
              </w:rPr>
              <w:t>Patients admitted on Saturday or Sunday</w:t>
            </w:r>
            <w:r w:rsidRPr="00D01D47">
              <w:rPr>
                <w:lang w:val="en-AU" w:eastAsia="en-AU"/>
              </w:rPr>
              <w:t xml:space="preserve"> face an </w:t>
            </w:r>
            <w:r w:rsidRPr="00E010BC">
              <w:rPr>
                <w:b/>
                <w:lang w:val="en-AU" w:eastAsia="en-AU"/>
              </w:rPr>
              <w:t>increased likelihood of death</w:t>
            </w:r>
            <w:r w:rsidRPr="00D01D47">
              <w:rPr>
                <w:lang w:val="en-AU" w:eastAsia="en-AU"/>
              </w:rPr>
              <w:t xml:space="preserve"> even when severity of illness is accounted for</w:t>
            </w:r>
          </w:p>
          <w:p w:rsidR="00D01D47" w:rsidRPr="00D01D47" w:rsidRDefault="00D01D47" w:rsidP="00D01D47">
            <w:pPr>
              <w:pStyle w:val="ListParagraph"/>
              <w:numPr>
                <w:ilvl w:val="0"/>
                <w:numId w:val="37"/>
              </w:numPr>
              <w:rPr>
                <w:lang w:val="en-AU" w:eastAsia="en-AU"/>
              </w:rPr>
            </w:pPr>
            <w:r w:rsidRPr="00D01D47">
              <w:rPr>
                <w:lang w:val="en-AU" w:eastAsia="en-AU"/>
              </w:rPr>
              <w:t xml:space="preserve">An </w:t>
            </w:r>
            <w:r w:rsidRPr="00E010BC">
              <w:rPr>
                <w:b/>
                <w:lang w:val="en-AU" w:eastAsia="en-AU"/>
              </w:rPr>
              <w:t>additional risk of death exists for admission on Monday and Friday</w:t>
            </w:r>
            <w:r w:rsidRPr="00D01D47">
              <w:rPr>
                <w:lang w:val="en-AU" w:eastAsia="en-AU"/>
              </w:rPr>
              <w:t xml:space="preserve"> extending the weekend effect to these two days</w:t>
            </w:r>
          </w:p>
          <w:p w:rsidR="00D01D47" w:rsidRPr="00D01D47" w:rsidRDefault="00E010BC" w:rsidP="00E010BC">
            <w:pPr>
              <w:pStyle w:val="ListParagraph"/>
              <w:numPr>
                <w:ilvl w:val="0"/>
                <w:numId w:val="37"/>
              </w:numPr>
              <w:rPr>
                <w:lang w:val="en-AU" w:eastAsia="en-AU"/>
              </w:rPr>
            </w:pPr>
            <w:r>
              <w:rPr>
                <w:lang w:val="en-AU" w:eastAsia="en-AU"/>
              </w:rPr>
              <w:t xml:space="preserve">[In England] </w:t>
            </w:r>
            <w:r w:rsidR="00D01D47" w:rsidRPr="00D01D47">
              <w:rPr>
                <w:lang w:val="en-AU" w:eastAsia="en-AU"/>
              </w:rPr>
              <w:t>Around 11 000 more patients die each year within 30 days from admission occurring between Friday and Monday compared with admission on the remaining days of the wee</w:t>
            </w:r>
            <w:r w:rsidR="00D01D47">
              <w:rPr>
                <w:lang w:val="en-AU" w:eastAsia="en-AU"/>
              </w:rPr>
              <w:t>k.</w:t>
            </w:r>
          </w:p>
        </w:tc>
      </w:tr>
    </w:tbl>
    <w:p w:rsidR="002A3F69" w:rsidRDefault="002A3F69" w:rsidP="002A3F69">
      <w:pPr>
        <w:keepLines/>
        <w:autoSpaceDE w:val="0"/>
        <w:autoSpaceDN w:val="0"/>
        <w:adjustRightInd w:val="0"/>
        <w:rPr>
          <w:i/>
          <w:lang w:val="en-AU"/>
        </w:rPr>
      </w:pPr>
    </w:p>
    <w:p w:rsidR="0040316C" w:rsidRPr="0040316C" w:rsidRDefault="0040316C" w:rsidP="0040316C">
      <w:pPr>
        <w:keepLines/>
        <w:autoSpaceDE w:val="0"/>
        <w:autoSpaceDN w:val="0"/>
        <w:adjustRightInd w:val="0"/>
        <w:rPr>
          <w:i/>
          <w:lang w:val="en-AU"/>
        </w:rPr>
      </w:pPr>
      <w:r w:rsidRPr="0040316C">
        <w:rPr>
          <w:i/>
          <w:lang w:val="en-AU"/>
        </w:rPr>
        <w:t>High risk of adverse events in hospitalised hip fracture patients of 65 years and older: results of a retrospective record review study</w:t>
      </w:r>
    </w:p>
    <w:p w:rsidR="0040316C" w:rsidRDefault="0040316C" w:rsidP="002A3F69">
      <w:pPr>
        <w:keepLines/>
        <w:autoSpaceDE w:val="0"/>
        <w:autoSpaceDN w:val="0"/>
        <w:adjustRightInd w:val="0"/>
        <w:rPr>
          <w:lang w:val="en-AU"/>
        </w:rPr>
      </w:pPr>
      <w:r w:rsidRPr="0040316C">
        <w:rPr>
          <w:lang w:val="en-AU"/>
        </w:rPr>
        <w:t xml:space="preserve">Merten H, Johannesma PC, Lubberding S, Zegers M, Langelaan M, Jukema GN, et al. </w:t>
      </w:r>
    </w:p>
    <w:p w:rsidR="002A3F69" w:rsidRDefault="0040316C" w:rsidP="002A3F69">
      <w:pPr>
        <w:keepLines/>
        <w:autoSpaceDE w:val="0"/>
        <w:autoSpaceDN w:val="0"/>
        <w:adjustRightInd w:val="0"/>
        <w:rPr>
          <w:lang w:val="en-AU"/>
        </w:rPr>
      </w:pPr>
      <w:proofErr w:type="gramStart"/>
      <w:r w:rsidRPr="0040316C">
        <w:rPr>
          <w:lang w:val="en-AU"/>
        </w:rPr>
        <w:t>BMJ Open.</w:t>
      </w:r>
      <w:proofErr w:type="gramEnd"/>
      <w:r w:rsidRPr="0040316C">
        <w:rPr>
          <w:lang w:val="en-AU"/>
        </w:rPr>
        <w:t xml:space="preserve"> 2015 September 1, 2015</w:t>
      </w:r>
      <w:proofErr w:type="gramStart"/>
      <w:r w:rsidRPr="0040316C">
        <w:rPr>
          <w:lang w:val="en-AU"/>
        </w:rPr>
        <w:t>;5</w:t>
      </w:r>
      <w:proofErr w:type="gramEnd"/>
      <w:r w:rsidRPr="0040316C">
        <w:rPr>
          <w:lang w:val="en-AU"/>
        </w:rPr>
        <w:t>(9).</w:t>
      </w:r>
    </w:p>
    <w:tbl>
      <w:tblPr>
        <w:tblStyle w:val="TableGrid"/>
        <w:tblW w:w="0" w:type="auto"/>
        <w:tblInd w:w="288" w:type="dxa"/>
        <w:tblLayout w:type="fixed"/>
        <w:tblLook w:val="01E0" w:firstRow="1" w:lastRow="1" w:firstColumn="1" w:lastColumn="1" w:noHBand="0" w:noVBand="0"/>
      </w:tblPr>
      <w:tblGrid>
        <w:gridCol w:w="1080"/>
        <w:gridCol w:w="8280"/>
      </w:tblGrid>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A3F69" w:rsidRPr="00255EF8" w:rsidRDefault="00AD35C7" w:rsidP="000D2215">
            <w:pPr>
              <w:rPr>
                <w:lang w:val="en-AU"/>
              </w:rPr>
            </w:pPr>
            <w:hyperlink r:id="rId22" w:history="1">
              <w:r w:rsidR="00E010BC" w:rsidRPr="009D023B">
                <w:rPr>
                  <w:rStyle w:val="Hyperlink"/>
                  <w:lang w:val="en-AU"/>
                </w:rPr>
                <w:t>http://dx.doi.org/10.1136/bmjopen-2014-006663</w:t>
              </w:r>
            </w:hyperlink>
          </w:p>
        </w:tc>
      </w:tr>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3F69" w:rsidRDefault="00E010BC" w:rsidP="00E010BC">
            <w:pPr>
              <w:rPr>
                <w:lang w:val="en-AU" w:eastAsia="en-AU"/>
              </w:rPr>
            </w:pPr>
            <w:r>
              <w:rPr>
                <w:lang w:val="en-AU" w:eastAsia="en-AU"/>
              </w:rPr>
              <w:t xml:space="preserve">Paper reporting on a </w:t>
            </w:r>
            <w:r w:rsidRPr="00E010BC">
              <w:rPr>
                <w:lang w:val="en-AU" w:eastAsia="en-AU"/>
              </w:rPr>
              <w:t>retrospective record review study 616 hip fracture patients admitted to surgical or orthopaedic departments in four Dutch hospitals in 2007</w:t>
            </w:r>
            <w:r>
              <w:rPr>
                <w:lang w:val="en-AU" w:eastAsia="en-AU"/>
              </w:rPr>
              <w:t xml:space="preserve"> that sought to examine the </w:t>
            </w:r>
            <w:r w:rsidRPr="00E010BC">
              <w:rPr>
                <w:lang w:val="en-AU" w:eastAsia="en-AU"/>
              </w:rPr>
              <w:t xml:space="preserve">scale, preventability, causes and prevention strategies of adverse events in </w:t>
            </w:r>
            <w:r>
              <w:rPr>
                <w:lang w:val="en-AU" w:eastAsia="en-AU"/>
              </w:rPr>
              <w:t>this patient group.</w:t>
            </w:r>
          </w:p>
          <w:p w:rsidR="00E010BC" w:rsidRDefault="00E010BC" w:rsidP="00E010BC">
            <w:pPr>
              <w:rPr>
                <w:lang w:val="en-AU" w:eastAsia="en-AU"/>
              </w:rPr>
            </w:pPr>
            <w:r>
              <w:rPr>
                <w:lang w:val="en-AU" w:eastAsia="en-AU"/>
              </w:rPr>
              <w:t>The review found a high rate of adverse events: “</w:t>
            </w:r>
            <w:r w:rsidRPr="00E010BC">
              <w:rPr>
                <w:lang w:val="en-AU" w:eastAsia="en-AU"/>
              </w:rPr>
              <w:t>114 (</w:t>
            </w:r>
            <w:r w:rsidRPr="00E010BC">
              <w:rPr>
                <w:b/>
                <w:lang w:val="en-AU" w:eastAsia="en-AU"/>
              </w:rPr>
              <w:t>19%</w:t>
            </w:r>
            <w:r w:rsidRPr="00E010BC">
              <w:rPr>
                <w:lang w:val="en-AU" w:eastAsia="en-AU"/>
              </w:rPr>
              <w:t xml:space="preserve">) of the 616 patients in the study </w:t>
            </w:r>
            <w:r w:rsidRPr="00E010BC">
              <w:rPr>
                <w:b/>
                <w:lang w:val="en-AU" w:eastAsia="en-AU"/>
              </w:rPr>
              <w:t>experienced one or more adverse events</w:t>
            </w:r>
            <w:r w:rsidRPr="00E010BC">
              <w:rPr>
                <w:lang w:val="en-AU" w:eastAsia="en-AU"/>
              </w:rPr>
              <w:t xml:space="preserve">; 49 of these were preventable. The majority of the adverse events (70%) </w:t>
            </w:r>
            <w:proofErr w:type="gramStart"/>
            <w:r w:rsidRPr="00E010BC">
              <w:rPr>
                <w:lang w:val="en-AU" w:eastAsia="en-AU"/>
              </w:rPr>
              <w:t>was</w:t>
            </w:r>
            <w:proofErr w:type="gramEnd"/>
            <w:r w:rsidRPr="00E010BC">
              <w:rPr>
                <w:lang w:val="en-AU" w:eastAsia="en-AU"/>
              </w:rPr>
              <w:t xml:space="preserve"> related to the </w:t>
            </w:r>
            <w:r w:rsidRPr="00E010BC">
              <w:rPr>
                <w:b/>
                <w:lang w:val="en-AU" w:eastAsia="en-AU"/>
              </w:rPr>
              <w:t>surgical procedure</w:t>
            </w:r>
            <w:r w:rsidRPr="00E010BC">
              <w:rPr>
                <w:lang w:val="en-AU" w:eastAsia="en-AU"/>
              </w:rPr>
              <w:t xml:space="preserve"> and many resulted in an intervention or additional treatment (67%). Human causes contributed to 53% of the adverse events, followed by patient-related factors (39%).</w:t>
            </w:r>
            <w:r>
              <w:rPr>
                <w:lang w:val="en-AU" w:eastAsia="en-AU"/>
              </w:rPr>
              <w:t>”</w:t>
            </w:r>
          </w:p>
          <w:p w:rsidR="00E010BC" w:rsidRPr="00D75D63" w:rsidRDefault="00E010BC" w:rsidP="00E010BC">
            <w:pPr>
              <w:rPr>
                <w:lang w:val="en-AU" w:eastAsia="en-AU"/>
              </w:rPr>
            </w:pPr>
            <w:r>
              <w:rPr>
                <w:lang w:val="en-AU" w:eastAsia="en-AU"/>
              </w:rPr>
              <w:t>The authors conclude that “</w:t>
            </w:r>
            <w:r w:rsidRPr="00E010BC">
              <w:rPr>
                <w:lang w:val="en-AU" w:eastAsia="en-AU"/>
              </w:rPr>
              <w:t>The high percentage of preventable adverse events found in this study shows that care for older hospitalised hip fracture patients should be improved. More training and quality assurance is required to provide safer care and to reduce the number of preventable adverse events in this vulnerable patient group.</w:t>
            </w:r>
            <w:r>
              <w:rPr>
                <w:lang w:val="en-AU" w:eastAsia="en-AU"/>
              </w:rPr>
              <w:t>”</w:t>
            </w:r>
          </w:p>
        </w:tc>
      </w:tr>
    </w:tbl>
    <w:p w:rsidR="002A3F69" w:rsidRDefault="002A3F69" w:rsidP="002A3F69">
      <w:pPr>
        <w:keepLines/>
        <w:autoSpaceDE w:val="0"/>
        <w:autoSpaceDN w:val="0"/>
        <w:adjustRightInd w:val="0"/>
        <w:rPr>
          <w:i/>
          <w:lang w:val="en-AU"/>
        </w:rPr>
      </w:pPr>
    </w:p>
    <w:p w:rsidR="00CF50D1" w:rsidRPr="00D33A54" w:rsidRDefault="00CF50D1" w:rsidP="00CF50D1">
      <w:pPr>
        <w:rPr>
          <w:i/>
          <w:lang w:val="en-AU"/>
        </w:rPr>
      </w:pPr>
      <w:r>
        <w:rPr>
          <w:i/>
          <w:lang w:val="en-AU"/>
        </w:rPr>
        <w:lastRenderedPageBreak/>
        <w:t>Health Affairs</w:t>
      </w:r>
    </w:p>
    <w:p w:rsidR="00CF50D1" w:rsidRPr="00D33A54" w:rsidRDefault="00CF50D1" w:rsidP="00CF50D1">
      <w:pPr>
        <w:keepNext/>
        <w:autoSpaceDE w:val="0"/>
        <w:autoSpaceDN w:val="0"/>
        <w:adjustRightInd w:val="0"/>
        <w:rPr>
          <w:lang w:val="en-AU"/>
        </w:rPr>
      </w:pPr>
      <w:r>
        <w:rPr>
          <w:lang w:val="en-AU"/>
        </w:rPr>
        <w:t>Vol. 34, No. 10</w:t>
      </w:r>
      <w:r w:rsidRPr="00D33A54">
        <w:rPr>
          <w:lang w:val="en-AU"/>
        </w:rPr>
        <w:t xml:space="preserve">, </w:t>
      </w:r>
      <w:r>
        <w:rPr>
          <w:lang w:val="en-AU"/>
        </w:rPr>
        <w:t>October</w:t>
      </w:r>
      <w:r w:rsidRPr="00D33A54">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CF50D1" w:rsidRPr="00D33A54" w:rsidTr="000D2215">
        <w:tc>
          <w:tcPr>
            <w:tcW w:w="1080" w:type="dxa"/>
            <w:tcBorders>
              <w:top w:val="single" w:sz="4" w:space="0" w:color="auto"/>
              <w:left w:val="single" w:sz="4" w:space="0" w:color="auto"/>
              <w:bottom w:val="single" w:sz="4" w:space="0" w:color="auto"/>
              <w:right w:val="single" w:sz="4" w:space="0" w:color="auto"/>
            </w:tcBorders>
            <w:vAlign w:val="center"/>
          </w:tcPr>
          <w:p w:rsidR="00CF50D1" w:rsidRPr="00D33A54" w:rsidRDefault="00CF50D1" w:rsidP="000D2215">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F50D1" w:rsidRPr="00D33A54" w:rsidRDefault="00AD35C7" w:rsidP="000D2215">
            <w:pPr>
              <w:rPr>
                <w:lang w:val="en-AU"/>
              </w:rPr>
            </w:pPr>
            <w:hyperlink r:id="rId23" w:history="1">
              <w:r w:rsidR="00CF50D1" w:rsidRPr="00D81676">
                <w:rPr>
                  <w:rStyle w:val="Hyperlink"/>
                  <w:lang w:val="en-AU"/>
                </w:rPr>
                <w:t>http://content.healthaffairs.org/content/34/10.toc</w:t>
              </w:r>
            </w:hyperlink>
          </w:p>
        </w:tc>
      </w:tr>
      <w:tr w:rsidR="00CF50D1" w:rsidRPr="00D33A54" w:rsidTr="000D2215">
        <w:tc>
          <w:tcPr>
            <w:tcW w:w="1080" w:type="dxa"/>
            <w:tcBorders>
              <w:top w:val="single" w:sz="4" w:space="0" w:color="auto"/>
              <w:left w:val="single" w:sz="4" w:space="0" w:color="auto"/>
              <w:bottom w:val="single" w:sz="4" w:space="0" w:color="auto"/>
              <w:right w:val="single" w:sz="4" w:space="0" w:color="auto"/>
            </w:tcBorders>
            <w:vAlign w:val="center"/>
          </w:tcPr>
          <w:p w:rsidR="00CF50D1" w:rsidRPr="00D33A54" w:rsidRDefault="00CF50D1" w:rsidP="000D2215">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F50D1" w:rsidRPr="00D33A54" w:rsidRDefault="00CF50D1" w:rsidP="000D2215">
            <w:pPr>
              <w:rPr>
                <w:lang w:val="en-AU"/>
              </w:rPr>
            </w:pPr>
            <w:r w:rsidRPr="00D33A54">
              <w:rPr>
                <w:lang w:val="en-AU"/>
              </w:rPr>
              <w:t xml:space="preserve">A new issue of </w:t>
            </w:r>
            <w:r w:rsidRPr="00D33A54">
              <w:rPr>
                <w:i/>
                <w:lang w:val="en-AU"/>
              </w:rPr>
              <w:t xml:space="preserve">Health </w:t>
            </w:r>
            <w:r>
              <w:rPr>
                <w:i/>
                <w:lang w:val="en-AU"/>
              </w:rPr>
              <w:t xml:space="preserve">Affairs </w:t>
            </w:r>
            <w:r w:rsidRPr="00D33A54">
              <w:rPr>
                <w:lang w:val="en-AU"/>
              </w:rPr>
              <w:t>has</w:t>
            </w:r>
            <w:r w:rsidRPr="00D33A54">
              <w:rPr>
                <w:i/>
                <w:lang w:val="en-AU"/>
              </w:rPr>
              <w:t xml:space="preserve"> </w:t>
            </w:r>
            <w:r w:rsidRPr="00D33A54">
              <w:rPr>
                <w:lang w:val="en-AU"/>
              </w:rPr>
              <w:t xml:space="preserve">been published. Articles in this issue of the </w:t>
            </w:r>
            <w:r w:rsidRPr="00D33A54">
              <w:rPr>
                <w:i/>
                <w:lang w:val="en-AU"/>
              </w:rPr>
              <w:t xml:space="preserve">Health </w:t>
            </w:r>
            <w:r>
              <w:rPr>
                <w:i/>
                <w:lang w:val="en-AU"/>
              </w:rPr>
              <w:t xml:space="preserve">Affairs </w:t>
            </w:r>
            <w:r w:rsidRPr="00D33A54">
              <w:rPr>
                <w:lang w:val="en-AU"/>
              </w:rPr>
              <w:t>include:</w:t>
            </w:r>
          </w:p>
          <w:p w:rsidR="00CF50D1" w:rsidRPr="00CF50D1" w:rsidRDefault="00CF50D1" w:rsidP="00CF50D1">
            <w:pPr>
              <w:pStyle w:val="ListParagraph"/>
              <w:numPr>
                <w:ilvl w:val="0"/>
                <w:numId w:val="30"/>
              </w:numPr>
              <w:rPr>
                <w:lang w:val="en-AU"/>
              </w:rPr>
            </w:pPr>
            <w:r w:rsidRPr="00CF50D1">
              <w:rPr>
                <w:lang w:val="en-AU"/>
              </w:rPr>
              <w:t xml:space="preserve">The </w:t>
            </w:r>
            <w:r w:rsidRPr="00CF50D1">
              <w:rPr>
                <w:b/>
                <w:lang w:val="en-AU"/>
              </w:rPr>
              <w:t>Interplay Between Health And Social Supports</w:t>
            </w:r>
            <w:r w:rsidRPr="00CF50D1">
              <w:rPr>
                <w:lang w:val="en-AU"/>
              </w:rPr>
              <w:t xml:space="preserve"> (Alan R. Weil</w:t>
            </w:r>
            <w:r>
              <w:rPr>
                <w:lang w:val="en-AU"/>
              </w:rPr>
              <w:t>)</w:t>
            </w:r>
          </w:p>
          <w:p w:rsidR="00CF50D1" w:rsidRPr="00CF50D1" w:rsidRDefault="00CF50D1" w:rsidP="00CF50D1">
            <w:pPr>
              <w:pStyle w:val="ListParagraph"/>
              <w:numPr>
                <w:ilvl w:val="0"/>
                <w:numId w:val="30"/>
              </w:numPr>
              <w:rPr>
                <w:lang w:val="en-AU"/>
              </w:rPr>
            </w:pPr>
            <w:r w:rsidRPr="00CF50D1">
              <w:rPr>
                <w:lang w:val="en-AU"/>
              </w:rPr>
              <w:t xml:space="preserve">An </w:t>
            </w:r>
            <w:r w:rsidRPr="00CF50D1">
              <w:rPr>
                <w:b/>
                <w:lang w:val="en-AU"/>
              </w:rPr>
              <w:t>Overdose Antidote</w:t>
            </w:r>
            <w:r w:rsidRPr="00CF50D1">
              <w:rPr>
                <w:lang w:val="en-AU"/>
              </w:rPr>
              <w:t xml:space="preserve"> Goes Mainstream (Keith Humphreys</w:t>
            </w:r>
            <w:r>
              <w:rPr>
                <w:lang w:val="en-AU"/>
              </w:rPr>
              <w:t>)</w:t>
            </w:r>
          </w:p>
          <w:p w:rsidR="00CF50D1" w:rsidRPr="00CF50D1" w:rsidRDefault="00CF50D1" w:rsidP="00CF50D1">
            <w:pPr>
              <w:pStyle w:val="ListParagraph"/>
              <w:numPr>
                <w:ilvl w:val="0"/>
                <w:numId w:val="30"/>
              </w:numPr>
              <w:rPr>
                <w:lang w:val="en-AU"/>
              </w:rPr>
            </w:pPr>
            <w:r w:rsidRPr="00CF50D1">
              <w:rPr>
                <w:lang w:val="en-AU"/>
              </w:rPr>
              <w:t xml:space="preserve">Connecticut’s ‘Money Follows The Person’ Yields Positive Results For </w:t>
            </w:r>
            <w:r w:rsidRPr="00CF50D1">
              <w:rPr>
                <w:b/>
                <w:lang w:val="en-AU"/>
              </w:rPr>
              <w:t>Transitioning People Out Of Institutions</w:t>
            </w:r>
            <w:r w:rsidRPr="00CF50D1">
              <w:rPr>
                <w:lang w:val="en-AU"/>
              </w:rPr>
              <w:t xml:space="preserve"> (Julie Robison, Martha Porter, Noreen Shugrue, Alison Kleppinger,</w:t>
            </w:r>
            <w:r>
              <w:rPr>
                <w:lang w:val="en-AU"/>
              </w:rPr>
              <w:t xml:space="preserve"> </w:t>
            </w:r>
            <w:r w:rsidRPr="00CF50D1">
              <w:rPr>
                <w:lang w:val="en-AU"/>
              </w:rPr>
              <w:t>and Dawn Lambert</w:t>
            </w:r>
            <w:r>
              <w:rPr>
                <w:lang w:val="en-AU"/>
              </w:rPr>
              <w:t>)</w:t>
            </w:r>
          </w:p>
          <w:p w:rsidR="00CF50D1" w:rsidRPr="00CF50D1" w:rsidRDefault="00CF50D1" w:rsidP="00CF50D1">
            <w:pPr>
              <w:pStyle w:val="ListParagraph"/>
              <w:numPr>
                <w:ilvl w:val="0"/>
                <w:numId w:val="30"/>
              </w:numPr>
              <w:rPr>
                <w:lang w:val="en-AU"/>
              </w:rPr>
            </w:pPr>
            <w:r w:rsidRPr="00CF50D1">
              <w:rPr>
                <w:lang w:val="en-AU"/>
              </w:rPr>
              <w:t xml:space="preserve">US Prevalence And Predictors Of </w:t>
            </w:r>
            <w:r w:rsidRPr="00CF50D1">
              <w:rPr>
                <w:b/>
                <w:lang w:val="en-AU"/>
              </w:rPr>
              <w:t>Informal Caregiving For Dementia</w:t>
            </w:r>
            <w:r w:rsidRPr="00CF50D1">
              <w:rPr>
                <w:lang w:val="en-AU"/>
              </w:rPr>
              <w:t xml:space="preserve"> (Esther M. Friedman, Regina A. Shih, Kenneth M. Langa,</w:t>
            </w:r>
            <w:r>
              <w:rPr>
                <w:lang w:val="en-AU"/>
              </w:rPr>
              <w:t xml:space="preserve"> and M D</w:t>
            </w:r>
            <w:r w:rsidRPr="00CF50D1">
              <w:rPr>
                <w:lang w:val="en-AU"/>
              </w:rPr>
              <w:t xml:space="preserve"> Hurd</w:t>
            </w:r>
            <w:r>
              <w:rPr>
                <w:lang w:val="en-AU"/>
              </w:rPr>
              <w:t>)</w:t>
            </w:r>
          </w:p>
          <w:p w:rsidR="00CF50D1" w:rsidRPr="00CF50D1" w:rsidRDefault="00CF50D1" w:rsidP="00CF50D1">
            <w:pPr>
              <w:pStyle w:val="ListParagraph"/>
              <w:numPr>
                <w:ilvl w:val="0"/>
                <w:numId w:val="30"/>
              </w:numPr>
              <w:rPr>
                <w:lang w:val="en-AU"/>
              </w:rPr>
            </w:pPr>
            <w:r w:rsidRPr="00CF50D1">
              <w:rPr>
                <w:lang w:val="en-AU"/>
              </w:rPr>
              <w:t xml:space="preserve">The Disproportionate </w:t>
            </w:r>
            <w:r w:rsidRPr="00CF50D1">
              <w:rPr>
                <w:b/>
                <w:lang w:val="en-AU"/>
              </w:rPr>
              <w:t>Impact Of Dementia On Family And Unpaid Caregiving</w:t>
            </w:r>
            <w:r w:rsidRPr="00CF50D1">
              <w:rPr>
                <w:lang w:val="en-AU"/>
              </w:rPr>
              <w:t xml:space="preserve"> To Older Adults (Judith D Kasper, Vicki A Freedman, Brenda C Spillman,</w:t>
            </w:r>
            <w:r>
              <w:rPr>
                <w:lang w:val="en-AU"/>
              </w:rPr>
              <w:t xml:space="preserve"> </w:t>
            </w:r>
            <w:r w:rsidRPr="00CF50D1">
              <w:rPr>
                <w:lang w:val="en-AU"/>
              </w:rPr>
              <w:t>and Jennifer L Wolff</w:t>
            </w:r>
            <w:r>
              <w:rPr>
                <w:lang w:val="en-AU"/>
              </w:rPr>
              <w:t>)</w:t>
            </w:r>
          </w:p>
          <w:p w:rsidR="00CF50D1" w:rsidRPr="00CF50D1" w:rsidRDefault="00CF50D1" w:rsidP="00CF50D1">
            <w:pPr>
              <w:pStyle w:val="ListParagraph"/>
              <w:numPr>
                <w:ilvl w:val="0"/>
                <w:numId w:val="30"/>
              </w:numPr>
              <w:rPr>
                <w:lang w:val="en-AU"/>
              </w:rPr>
            </w:pPr>
            <w:r w:rsidRPr="00CF50D1">
              <w:rPr>
                <w:b/>
                <w:lang w:val="en-AU"/>
              </w:rPr>
              <w:t>Integrated Payment And Delivery Models</w:t>
            </w:r>
            <w:r w:rsidRPr="00CF50D1">
              <w:rPr>
                <w:lang w:val="en-AU"/>
              </w:rPr>
              <w:t xml:space="preserve"> Offer Opportunities And Challenges For Residential Care Facilities (David C Grabowski, Daryl J Caudry, Katie M Dean, and David G Stevenson</w:t>
            </w:r>
            <w:r>
              <w:rPr>
                <w:lang w:val="en-AU"/>
              </w:rPr>
              <w:t>)</w:t>
            </w:r>
          </w:p>
          <w:p w:rsidR="00CF50D1" w:rsidRPr="00CF50D1" w:rsidRDefault="00CF50D1" w:rsidP="00CF50D1">
            <w:pPr>
              <w:pStyle w:val="ListParagraph"/>
              <w:numPr>
                <w:ilvl w:val="0"/>
                <w:numId w:val="30"/>
              </w:numPr>
              <w:rPr>
                <w:lang w:val="en-AU"/>
              </w:rPr>
            </w:pPr>
            <w:r w:rsidRPr="00CF50D1">
              <w:rPr>
                <w:lang w:val="en-AU"/>
              </w:rPr>
              <w:t xml:space="preserve">Broad </w:t>
            </w:r>
            <w:r w:rsidRPr="00CF50D1">
              <w:rPr>
                <w:b/>
                <w:lang w:val="en-AU"/>
              </w:rPr>
              <w:t>Hepatitis C Treatment</w:t>
            </w:r>
            <w:r w:rsidRPr="00CF50D1">
              <w:rPr>
                <w:lang w:val="en-AU"/>
              </w:rPr>
              <w:t xml:space="preserve"> Scenarios Return Substantial Health Gains, But Capacity Is A Concern (Karen Van Nuys, Ronald Brookmeyer, Jacquelyn W Chou, David Dreyfus, Douglas Dieterich, and D P Goldman</w:t>
            </w:r>
            <w:r>
              <w:rPr>
                <w:lang w:val="en-AU"/>
              </w:rPr>
              <w:t>)</w:t>
            </w:r>
          </w:p>
          <w:p w:rsidR="00CF50D1" w:rsidRPr="00D33A54" w:rsidRDefault="00CF50D1" w:rsidP="00CF50D1">
            <w:pPr>
              <w:pStyle w:val="ListParagraph"/>
              <w:numPr>
                <w:ilvl w:val="0"/>
                <w:numId w:val="30"/>
              </w:numPr>
              <w:rPr>
                <w:lang w:val="en-AU"/>
              </w:rPr>
            </w:pPr>
            <w:r w:rsidRPr="00CF50D1">
              <w:rPr>
                <w:b/>
                <w:lang w:val="en-AU"/>
              </w:rPr>
              <w:t>Risk Selection Threatens Quality Of Care</w:t>
            </w:r>
            <w:r w:rsidRPr="00CF50D1">
              <w:rPr>
                <w:lang w:val="en-AU"/>
              </w:rPr>
              <w:t xml:space="preserve"> For Certain Patients: Lessons From Europe’s Health Insurance Exchanges (Wynand P M M van de Ven, Richard C van Kleef,</w:t>
            </w:r>
            <w:r>
              <w:rPr>
                <w:lang w:val="en-AU"/>
              </w:rPr>
              <w:t xml:space="preserve"> </w:t>
            </w:r>
            <w:r w:rsidRPr="00CF50D1">
              <w:rPr>
                <w:lang w:val="en-AU"/>
              </w:rPr>
              <w:t>and Rene C J A van Vliet</w:t>
            </w:r>
            <w:r>
              <w:rPr>
                <w:lang w:val="en-AU"/>
              </w:rPr>
              <w:t>)</w:t>
            </w:r>
          </w:p>
        </w:tc>
      </w:tr>
    </w:tbl>
    <w:p w:rsidR="00CF50D1" w:rsidRDefault="00CF50D1" w:rsidP="00CF50D1">
      <w:pPr>
        <w:keepLines/>
        <w:autoSpaceDE w:val="0"/>
        <w:autoSpaceDN w:val="0"/>
        <w:adjustRightInd w:val="0"/>
        <w:rPr>
          <w:i/>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AD35C7" w:rsidP="00CA5B00">
            <w:pPr>
              <w:rPr>
                <w:lang w:val="en-AU"/>
              </w:rPr>
            </w:pPr>
            <w:hyperlink r:id="rId24"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00245B" w:rsidRDefault="00874A39" w:rsidP="006E00A2">
            <w:pPr>
              <w:pStyle w:val="ListParagraph"/>
              <w:numPr>
                <w:ilvl w:val="0"/>
                <w:numId w:val="14"/>
              </w:numPr>
              <w:rPr>
                <w:lang w:val="en-AU"/>
              </w:rPr>
            </w:pPr>
            <w:r w:rsidRPr="00874A39">
              <w:rPr>
                <w:lang w:val="en-AU"/>
              </w:rPr>
              <w:t xml:space="preserve">Role of emotional competence in </w:t>
            </w:r>
            <w:r w:rsidRPr="006E00A2">
              <w:rPr>
                <w:b/>
                <w:lang w:val="en-AU"/>
              </w:rPr>
              <w:t>residents’ simulated emergency care</w:t>
            </w:r>
            <w:r w:rsidRPr="00874A39">
              <w:rPr>
                <w:lang w:val="en-AU"/>
              </w:rPr>
              <w:t xml:space="preserve"> performance: a mixed-methods study </w:t>
            </w:r>
            <w:r w:rsidR="006E00A2">
              <w:rPr>
                <w:lang w:val="en-AU"/>
              </w:rPr>
              <w:t>(</w:t>
            </w:r>
            <w:r w:rsidRPr="00874A39">
              <w:rPr>
                <w:lang w:val="en-AU"/>
              </w:rPr>
              <w:t>Leonore Bourgeon, Mourad Bensalah, Anthony Vacher, Jean-Claude Ardouin, Bruno Debien</w:t>
            </w:r>
            <w:r w:rsidR="006E00A2">
              <w:rPr>
                <w:lang w:val="en-AU"/>
              </w:rPr>
              <w:t>)</w:t>
            </w:r>
          </w:p>
          <w:p w:rsidR="00C16664" w:rsidRPr="00C16664" w:rsidRDefault="00C16664" w:rsidP="00C16664">
            <w:pPr>
              <w:pStyle w:val="ListParagraph"/>
              <w:numPr>
                <w:ilvl w:val="0"/>
                <w:numId w:val="14"/>
              </w:numPr>
              <w:rPr>
                <w:lang w:val="en-AU"/>
              </w:rPr>
            </w:pPr>
            <w:r w:rsidRPr="00C16664">
              <w:rPr>
                <w:lang w:val="en-AU"/>
              </w:rPr>
              <w:t xml:space="preserve">Secular trends and evaluation of </w:t>
            </w:r>
            <w:r w:rsidRPr="00C16664">
              <w:rPr>
                <w:b/>
                <w:lang w:val="en-AU"/>
              </w:rPr>
              <w:t>complex interventions</w:t>
            </w:r>
            <w:r w:rsidRPr="00C16664">
              <w:rPr>
                <w:lang w:val="en-AU"/>
              </w:rPr>
              <w:t>: the rising tide phenomenon (Yen-Fu Chen, Karla Hemming, A J Stevens, R J Lilford</w:t>
            </w:r>
            <w:r>
              <w:rPr>
                <w:lang w:val="en-AU"/>
              </w:rPr>
              <w:t>)</w:t>
            </w:r>
          </w:p>
          <w:p w:rsidR="00261330" w:rsidRPr="00D755FC" w:rsidRDefault="00261330" w:rsidP="00261330">
            <w:pPr>
              <w:pStyle w:val="ListParagraph"/>
              <w:numPr>
                <w:ilvl w:val="0"/>
                <w:numId w:val="14"/>
              </w:numPr>
              <w:rPr>
                <w:lang w:val="en-AU"/>
              </w:rPr>
            </w:pPr>
            <w:r w:rsidRPr="00261330">
              <w:rPr>
                <w:lang w:val="en-AU"/>
              </w:rPr>
              <w:t xml:space="preserve">Why evaluate ‘common sense’ </w:t>
            </w:r>
            <w:r w:rsidRPr="00261330">
              <w:rPr>
                <w:b/>
                <w:lang w:val="en-AU"/>
              </w:rPr>
              <w:t>quality and safety interventions</w:t>
            </w:r>
            <w:r w:rsidRPr="00261330">
              <w:rPr>
                <w:lang w:val="en-AU"/>
              </w:rPr>
              <w:t xml:space="preserve">? </w:t>
            </w:r>
            <w:r>
              <w:rPr>
                <w:lang w:val="en-AU"/>
              </w:rPr>
              <w:t>(</w:t>
            </w:r>
            <w:r w:rsidRPr="00261330">
              <w:rPr>
                <w:lang w:val="en-AU"/>
              </w:rPr>
              <w:t>Angus IG Ramsay, Naomi J Fulop</w:t>
            </w:r>
            <w:r>
              <w:rPr>
                <w:lang w:val="en-AU"/>
              </w:rPr>
              <w:t>)</w:t>
            </w:r>
          </w:p>
        </w:tc>
      </w:tr>
    </w:tbl>
    <w:p w:rsidR="00D31BCC" w:rsidRDefault="00D31BCC" w:rsidP="00D31BCC">
      <w:pPr>
        <w:keepLines/>
        <w:autoSpaceDE w:val="0"/>
        <w:autoSpaceDN w:val="0"/>
        <w:adjustRightInd w:val="0"/>
        <w:rPr>
          <w:lang w:val="en-AU"/>
        </w:rPr>
      </w:pPr>
    </w:p>
    <w:p w:rsidR="00C667E4" w:rsidRDefault="00C667E4" w:rsidP="00D31BCC">
      <w:pPr>
        <w:keepLines/>
        <w:autoSpaceDE w:val="0"/>
        <w:autoSpaceDN w:val="0"/>
        <w:adjustRightInd w:val="0"/>
        <w:rPr>
          <w:lang w:val="en-AU"/>
        </w:rPr>
      </w:pPr>
    </w:p>
    <w:p w:rsidR="001A4F9E" w:rsidRPr="002302EF" w:rsidRDefault="001A4F9E" w:rsidP="00992EDD">
      <w:pPr>
        <w:keepNext/>
        <w:keepLines/>
        <w:rPr>
          <w:b/>
          <w:lang w:val="en-AU"/>
        </w:rPr>
      </w:pPr>
      <w:r w:rsidRPr="002302EF">
        <w:rPr>
          <w:b/>
          <w:lang w:val="en-AU"/>
        </w:rPr>
        <w:t>Online resources</w:t>
      </w:r>
    </w:p>
    <w:p w:rsidR="007D571A" w:rsidRDefault="007D571A" w:rsidP="00992EDD">
      <w:pPr>
        <w:keepNext/>
        <w:keepLines/>
        <w:rPr>
          <w:lang w:val="en-AU"/>
        </w:rPr>
      </w:pPr>
    </w:p>
    <w:p w:rsidR="00C667E4" w:rsidRPr="00053A16" w:rsidRDefault="00C667E4" w:rsidP="00C667E4">
      <w:pPr>
        <w:rPr>
          <w:i/>
          <w:lang w:val="en-AU"/>
        </w:rPr>
      </w:pPr>
      <w:r w:rsidRPr="00053A16">
        <w:rPr>
          <w:i/>
          <w:lang w:val="en-AU"/>
        </w:rPr>
        <w:t xml:space="preserve">[USA] </w:t>
      </w:r>
      <w:proofErr w:type="spellStart"/>
      <w:r w:rsidRPr="00053A16">
        <w:rPr>
          <w:i/>
          <w:lang w:val="en-AU"/>
        </w:rPr>
        <w:t>RightCare</w:t>
      </w:r>
      <w:proofErr w:type="spellEnd"/>
      <w:r w:rsidRPr="00053A16">
        <w:rPr>
          <w:i/>
          <w:lang w:val="en-AU"/>
        </w:rPr>
        <w:t xml:space="preserve"> Action Week</w:t>
      </w:r>
    </w:p>
    <w:p w:rsidR="00C667E4" w:rsidRDefault="00C667E4" w:rsidP="00C667E4">
      <w:pPr>
        <w:rPr>
          <w:lang w:val="en-AU"/>
        </w:rPr>
      </w:pPr>
      <w:hyperlink r:id="rId25" w:history="1">
        <w:r w:rsidRPr="009D023B">
          <w:rPr>
            <w:rStyle w:val="Hyperlink"/>
            <w:lang w:val="en-AU"/>
          </w:rPr>
          <w:t>http://rightcareactionweek.org/</w:t>
        </w:r>
      </w:hyperlink>
    </w:p>
    <w:p w:rsidR="00C667E4" w:rsidRDefault="00C667E4" w:rsidP="00C667E4">
      <w:pPr>
        <w:rPr>
          <w:lang w:val="en-AU"/>
        </w:rPr>
      </w:pPr>
      <w:r>
        <w:rPr>
          <w:lang w:val="en-AU"/>
        </w:rPr>
        <w:t xml:space="preserve">Stemming from concerns about waste, over-utilisation, inappropriateness of care and the potential for harm from these, this </w:t>
      </w:r>
      <w:proofErr w:type="spellStart"/>
      <w:r w:rsidRPr="00053A16">
        <w:rPr>
          <w:lang w:val="en-AU"/>
        </w:rPr>
        <w:t>RightCare</w:t>
      </w:r>
      <w:proofErr w:type="spellEnd"/>
      <w:r w:rsidRPr="00053A16">
        <w:rPr>
          <w:lang w:val="en-AU"/>
        </w:rPr>
        <w:t xml:space="preserve"> Alliance network, </w:t>
      </w:r>
      <w:r>
        <w:rPr>
          <w:lang w:val="en-AU"/>
        </w:rPr>
        <w:t xml:space="preserve">with </w:t>
      </w:r>
      <w:r w:rsidRPr="00053A16">
        <w:rPr>
          <w:lang w:val="en-AU"/>
        </w:rPr>
        <w:t xml:space="preserve">the </w:t>
      </w:r>
      <w:proofErr w:type="spellStart"/>
      <w:r w:rsidRPr="00053A16">
        <w:rPr>
          <w:lang w:val="en-AU"/>
        </w:rPr>
        <w:t>Lown</w:t>
      </w:r>
      <w:proofErr w:type="spellEnd"/>
      <w:r w:rsidRPr="00053A16">
        <w:rPr>
          <w:lang w:val="en-AU"/>
        </w:rPr>
        <w:t xml:space="preserve"> Institute will launch </w:t>
      </w:r>
      <w:proofErr w:type="spellStart"/>
      <w:r w:rsidRPr="00053A16">
        <w:rPr>
          <w:lang w:val="en-AU"/>
        </w:rPr>
        <w:t>RightCare</w:t>
      </w:r>
      <w:proofErr w:type="spellEnd"/>
      <w:r w:rsidRPr="00053A16">
        <w:rPr>
          <w:lang w:val="en-AU"/>
        </w:rPr>
        <w:t xml:space="preserve"> Action Week (</w:t>
      </w:r>
      <w:r>
        <w:rPr>
          <w:lang w:val="en-AU"/>
        </w:rPr>
        <w:t xml:space="preserve">18–24 </w:t>
      </w:r>
      <w:r w:rsidRPr="00053A16">
        <w:rPr>
          <w:lang w:val="en-AU"/>
        </w:rPr>
        <w:t xml:space="preserve">October) — </w:t>
      </w:r>
      <w:r>
        <w:rPr>
          <w:lang w:val="en-AU"/>
        </w:rPr>
        <w:t xml:space="preserve">calling for </w:t>
      </w:r>
      <w:r w:rsidRPr="00053A16">
        <w:rPr>
          <w:lang w:val="en-AU"/>
        </w:rPr>
        <w:t>clinicians all over the US</w:t>
      </w:r>
      <w:r>
        <w:rPr>
          <w:lang w:val="en-AU"/>
        </w:rPr>
        <w:t xml:space="preserve">A to </w:t>
      </w:r>
      <w:r w:rsidRPr="00053A16">
        <w:rPr>
          <w:lang w:val="en-AU"/>
        </w:rPr>
        <w:t>take action to highlight a specific dysfunction in health care and demonstrate to their colleagues and the public how it can be changed for the better.</w:t>
      </w:r>
    </w:p>
    <w:p w:rsidR="00C667E4" w:rsidRDefault="00C667E4" w:rsidP="00992EDD">
      <w:pPr>
        <w:keepNext/>
        <w:keepLines/>
        <w:rPr>
          <w:lang w:val="en-AU"/>
        </w:rPr>
      </w:pPr>
    </w:p>
    <w:p w:rsidR="001F056A" w:rsidRDefault="001F056A" w:rsidP="00C667E4">
      <w:pPr>
        <w:keepNext/>
        <w:rPr>
          <w:i/>
          <w:lang w:val="en-AU"/>
        </w:rPr>
      </w:pPr>
      <w:r>
        <w:rPr>
          <w:i/>
          <w:lang w:val="en-AU"/>
        </w:rPr>
        <w:t xml:space="preserve">[USA] </w:t>
      </w:r>
      <w:r w:rsidRPr="001F056A">
        <w:rPr>
          <w:i/>
          <w:lang w:val="en-AU"/>
        </w:rPr>
        <w:t xml:space="preserve">The ‘Must Do’ List: Certain Patient Safety Rules Should Not Be Elective </w:t>
      </w:r>
    </w:p>
    <w:p w:rsidR="001F056A" w:rsidRDefault="00AD35C7" w:rsidP="00C667E4">
      <w:pPr>
        <w:keepNext/>
        <w:rPr>
          <w:lang w:val="en-AU"/>
        </w:rPr>
      </w:pPr>
      <w:hyperlink r:id="rId26" w:history="1">
        <w:r w:rsidR="001F056A" w:rsidRPr="009D023B">
          <w:rPr>
            <w:rStyle w:val="Hyperlink"/>
            <w:lang w:val="en-AU"/>
          </w:rPr>
          <w:t>http://healthaffairs.org/blog/2015/08/20/the-must-do-list-certain-patient-safety-rules-should-not-be-elective/</w:t>
        </w:r>
      </w:hyperlink>
    </w:p>
    <w:p w:rsidR="001F056A" w:rsidRDefault="001F056A" w:rsidP="00DA3EEC">
      <w:pPr>
        <w:rPr>
          <w:lang w:val="en-AU"/>
        </w:rPr>
      </w:pPr>
      <w:r>
        <w:rPr>
          <w:lang w:val="en-AU"/>
        </w:rPr>
        <w:t xml:space="preserve">This blog post at the </w:t>
      </w:r>
      <w:r w:rsidRPr="001F056A">
        <w:rPr>
          <w:i/>
          <w:lang w:val="en-AU"/>
        </w:rPr>
        <w:t>Health Affairs</w:t>
      </w:r>
      <w:r>
        <w:rPr>
          <w:lang w:val="en-AU"/>
        </w:rPr>
        <w:t xml:space="preserve"> site, written by </w:t>
      </w:r>
      <w:r w:rsidRPr="001F056A">
        <w:rPr>
          <w:lang w:val="en-AU"/>
        </w:rPr>
        <w:t>Robert Wachter</w:t>
      </w:r>
      <w:r>
        <w:rPr>
          <w:lang w:val="en-AU"/>
        </w:rPr>
        <w:t xml:space="preserve">, </w:t>
      </w:r>
      <w:r w:rsidR="00C74389">
        <w:rPr>
          <w:lang w:val="en-AU"/>
        </w:rPr>
        <w:t>sets out his belief that “</w:t>
      </w:r>
      <w:r w:rsidR="00C74389" w:rsidRPr="00C74389">
        <w:rPr>
          <w:lang w:val="en-AU"/>
        </w:rPr>
        <w:t xml:space="preserve">the time has come to articulate criteria for </w:t>
      </w:r>
      <w:r w:rsidR="00C74389" w:rsidRPr="00C74389">
        <w:rPr>
          <w:b/>
          <w:lang w:val="en-AU"/>
        </w:rPr>
        <w:t>“must do” safety practices</w:t>
      </w:r>
      <w:r w:rsidR="00C74389" w:rsidRPr="00C74389">
        <w:rPr>
          <w:lang w:val="en-AU"/>
        </w:rPr>
        <w:t>: practices that have sufficiently compelling supportive evidence that clinicians should not have the right of individual veto.</w:t>
      </w:r>
      <w:r w:rsidR="00C74389">
        <w:rPr>
          <w:lang w:val="en-AU"/>
        </w:rPr>
        <w:t>” He goes on to describe the “pr</w:t>
      </w:r>
      <w:r w:rsidR="00C74389" w:rsidRPr="00C74389">
        <w:rPr>
          <w:lang w:val="en-AU"/>
        </w:rPr>
        <w:t>oposed criteria for “must do” practices and argue that two practices—</w:t>
      </w:r>
      <w:r w:rsidR="00C74389" w:rsidRPr="00C74389">
        <w:rPr>
          <w:b/>
          <w:lang w:val="en-AU"/>
        </w:rPr>
        <w:t>hand hygiene</w:t>
      </w:r>
      <w:r w:rsidR="00C74389" w:rsidRPr="00C74389">
        <w:rPr>
          <w:lang w:val="en-AU"/>
        </w:rPr>
        <w:t xml:space="preserve"> and </w:t>
      </w:r>
      <w:r w:rsidR="00C74389" w:rsidRPr="00C74389">
        <w:rPr>
          <w:b/>
          <w:lang w:val="en-AU"/>
        </w:rPr>
        <w:t>influenza vaccination</w:t>
      </w:r>
      <w:r w:rsidR="00C74389" w:rsidRPr="00C74389">
        <w:rPr>
          <w:lang w:val="en-AU"/>
        </w:rPr>
        <w:t xml:space="preserve"> for health care workers—should currently qualify.</w:t>
      </w:r>
      <w:r w:rsidR="00C74389">
        <w:rPr>
          <w:lang w:val="en-AU"/>
        </w:rPr>
        <w:t xml:space="preserve">” </w:t>
      </w:r>
    </w:p>
    <w:p w:rsidR="00C74389" w:rsidRDefault="00C74389" w:rsidP="00DA3EEC">
      <w:pPr>
        <w:rPr>
          <w:lang w:val="en-AU"/>
        </w:rPr>
      </w:pPr>
      <w:r>
        <w:rPr>
          <w:noProof/>
          <w:lang w:val="en-AU" w:eastAsia="en-AU"/>
        </w:rPr>
        <w:drawing>
          <wp:inline distT="0" distB="0" distL="0" distR="0">
            <wp:extent cx="6120130" cy="4201473"/>
            <wp:effectExtent l="0" t="0" r="0" b="8890"/>
            <wp:docPr id="1" name="Picture 1" descr="Wachter-Exhib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hter-Exhibit-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4201473"/>
                    </a:xfrm>
                    <a:prstGeom prst="rect">
                      <a:avLst/>
                    </a:prstGeom>
                    <a:noFill/>
                    <a:ln>
                      <a:noFill/>
                    </a:ln>
                  </pic:spPr>
                </pic:pic>
              </a:graphicData>
            </a:graphic>
          </wp:inline>
        </w:drawing>
      </w:r>
    </w:p>
    <w:p w:rsidR="001F056A" w:rsidRPr="001F056A" w:rsidRDefault="001F056A" w:rsidP="00DA3EEC">
      <w:pPr>
        <w:rPr>
          <w:lang w:val="en-AU"/>
        </w:rPr>
      </w:pPr>
    </w:p>
    <w:p w:rsidR="002F3A60" w:rsidRDefault="002F3A60" w:rsidP="00DA3EEC">
      <w:pPr>
        <w:rPr>
          <w:lang w:val="en-AU"/>
        </w:rPr>
      </w:pPr>
    </w:p>
    <w:p w:rsidR="00D067CC" w:rsidRDefault="00D067CC"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28"/>
      <w:footerReference w:type="default" r:id="rId2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C7" w:rsidRDefault="00AD35C7">
      <w:r>
        <w:separator/>
      </w:r>
    </w:p>
  </w:endnote>
  <w:endnote w:type="continuationSeparator" w:id="0">
    <w:p w:rsidR="00AD35C7" w:rsidRDefault="00AD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667E4">
      <w:rPr>
        <w:rStyle w:val="PageNumber"/>
        <w:noProof/>
      </w:rPr>
      <w:t>2</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67E4">
      <w:rPr>
        <w:rStyle w:val="PageNumber"/>
        <w:noProof/>
      </w:rPr>
      <w:t>1</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2A3F69">
      <w:t xml:space="preserve"> Issue 244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C7" w:rsidRDefault="00AD35C7">
      <w:r>
        <w:separator/>
      </w:r>
    </w:p>
  </w:footnote>
  <w:footnote w:type="continuationSeparator" w:id="0">
    <w:p w:rsidR="00AD35C7" w:rsidRDefault="00AD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F13CA8"/>
    <w:multiLevelType w:val="hybridMultilevel"/>
    <w:tmpl w:val="7BE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2A44F2"/>
    <w:multiLevelType w:val="hybridMultilevel"/>
    <w:tmpl w:val="5774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E50145"/>
    <w:multiLevelType w:val="hybridMultilevel"/>
    <w:tmpl w:val="E5FC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D069BF"/>
    <w:multiLevelType w:val="hybridMultilevel"/>
    <w:tmpl w:val="3D60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E9C6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427347"/>
    <w:multiLevelType w:val="hybridMultilevel"/>
    <w:tmpl w:val="9424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F24363"/>
    <w:multiLevelType w:val="hybridMultilevel"/>
    <w:tmpl w:val="CA5EE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48B02D0"/>
    <w:multiLevelType w:val="hybridMultilevel"/>
    <w:tmpl w:val="4BE0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ED5921"/>
    <w:multiLevelType w:val="hybridMultilevel"/>
    <w:tmpl w:val="1F9E4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840B5B"/>
    <w:multiLevelType w:val="hybridMultilevel"/>
    <w:tmpl w:val="A92EFCA4"/>
    <w:lvl w:ilvl="0" w:tplc="B0B486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8F128B1"/>
    <w:multiLevelType w:val="hybridMultilevel"/>
    <w:tmpl w:val="75D4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F76864"/>
    <w:multiLevelType w:val="hybridMultilevel"/>
    <w:tmpl w:val="3FBC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9B7295"/>
    <w:multiLevelType w:val="hybridMultilevel"/>
    <w:tmpl w:val="376A3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4236B8"/>
    <w:multiLevelType w:val="hybridMultilevel"/>
    <w:tmpl w:val="DC6494C0"/>
    <w:lvl w:ilvl="0" w:tplc="0C09000F">
      <w:start w:val="1"/>
      <w:numFmt w:val="decimal"/>
      <w:lvlText w:val="%1."/>
      <w:lvlJc w:val="left"/>
      <w:pPr>
        <w:ind w:left="720" w:hanging="360"/>
      </w:pPr>
    </w:lvl>
    <w:lvl w:ilvl="1" w:tplc="FD4ABEAE">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2"/>
  </w:num>
  <w:num w:numId="15">
    <w:abstractNumId w:val="13"/>
  </w:num>
  <w:num w:numId="16">
    <w:abstractNumId w:val="23"/>
  </w:num>
  <w:num w:numId="17">
    <w:abstractNumId w:val="17"/>
  </w:num>
  <w:num w:numId="18">
    <w:abstractNumId w:val="26"/>
  </w:num>
  <w:num w:numId="19">
    <w:abstractNumId w:val="18"/>
  </w:num>
  <w:num w:numId="20">
    <w:abstractNumId w:val="37"/>
  </w:num>
  <w:num w:numId="21">
    <w:abstractNumId w:val="12"/>
  </w:num>
  <w:num w:numId="22">
    <w:abstractNumId w:val="24"/>
  </w:num>
  <w:num w:numId="23">
    <w:abstractNumId w:val="14"/>
  </w:num>
  <w:num w:numId="24">
    <w:abstractNumId w:val="15"/>
  </w:num>
  <w:num w:numId="25">
    <w:abstractNumId w:val="29"/>
  </w:num>
  <w:num w:numId="26">
    <w:abstractNumId w:val="11"/>
  </w:num>
  <w:num w:numId="27">
    <w:abstractNumId w:val="35"/>
  </w:num>
  <w:num w:numId="28">
    <w:abstractNumId w:val="16"/>
  </w:num>
  <w:num w:numId="29">
    <w:abstractNumId w:val="36"/>
  </w:num>
  <w:num w:numId="30">
    <w:abstractNumId w:val="10"/>
  </w:num>
  <w:num w:numId="31">
    <w:abstractNumId w:val="32"/>
  </w:num>
  <w:num w:numId="32">
    <w:abstractNumId w:val="34"/>
  </w:num>
  <w:num w:numId="33">
    <w:abstractNumId w:val="19"/>
  </w:num>
  <w:num w:numId="34">
    <w:abstractNumId w:val="28"/>
  </w:num>
  <w:num w:numId="35">
    <w:abstractNumId w:val="31"/>
  </w:num>
  <w:num w:numId="36">
    <w:abstractNumId w:val="30"/>
  </w:num>
  <w:num w:numId="37">
    <w:abstractNumId w:val="20"/>
  </w:num>
  <w:num w:numId="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13"/>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0D0"/>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3C58"/>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784"/>
    <w:rsid w:val="00637814"/>
    <w:rsid w:val="0063796C"/>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7"/>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6A30"/>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7E4"/>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54"/>
    <w:rsid w:val="00E72489"/>
    <w:rsid w:val="00E724CB"/>
    <w:rsid w:val="00E7256F"/>
    <w:rsid w:val="00E7267D"/>
    <w:rsid w:val="00E72C7C"/>
    <w:rsid w:val="00E72E8B"/>
    <w:rsid w:val="00E7308D"/>
    <w:rsid w:val="00E73196"/>
    <w:rsid w:val="00E73468"/>
    <w:rsid w:val="00E73643"/>
    <w:rsid w:val="00E74405"/>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B78"/>
    <w:rsid w:val="00F46F65"/>
    <w:rsid w:val="00F474C5"/>
    <w:rsid w:val="00F47BD0"/>
    <w:rsid w:val="00F47C7E"/>
    <w:rsid w:val="00F47F00"/>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46E"/>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thecommissioningreview.com/article/right-values" TargetMode="External"/><Relationship Id="rId26" Type="http://schemas.openxmlformats.org/officeDocument/2006/relationships/hyperlink" Target="http://healthaffairs.org/blog/2015/08/20/the-must-do-list-certain-patient-safety-rules-should-not-be-elective/" TargetMode="External"/><Relationship Id="rId3" Type="http://schemas.openxmlformats.org/officeDocument/2006/relationships/styles" Target="styles.xml"/><Relationship Id="rId21" Type="http://schemas.openxmlformats.org/officeDocument/2006/relationships/hyperlink" Target="http://dx.doi.org/10.1136/bmj.h4596"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esta.org.uk/publications/how-should-we-think-about-value-health-and-care" TargetMode="External"/><Relationship Id="rId25" Type="http://schemas.openxmlformats.org/officeDocument/2006/relationships/hyperlink" Target="http://rightcareactionweek.org/" TargetMode="External"/><Relationship Id="rId2" Type="http://schemas.openxmlformats.org/officeDocument/2006/relationships/numbering" Target="numbering.xml"/><Relationship Id="rId16" Type="http://schemas.openxmlformats.org/officeDocument/2006/relationships/hyperlink" Target="mailto:evaluation@racp.edu.au" TargetMode="External"/><Relationship Id="rId20" Type="http://schemas.openxmlformats.org/officeDocument/2006/relationships/hyperlink" Target="http://dx.doi.org/10.1136/bmj.h323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early/recent"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content.healthaffairs.org/content/34/10.toc" TargetMode="External"/><Relationship Id="rId28"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71/AH1424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open-2014-006663"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811-0F6E-495D-BDD6-F715B5DD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12618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2013-06-06T03:47:00Z</cp:lastPrinted>
  <dcterms:created xsi:type="dcterms:W3CDTF">2015-10-05T20:40:00Z</dcterms:created>
  <dcterms:modified xsi:type="dcterms:W3CDTF">2015-10-11T05:42:00Z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