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64FB8">
      <w:pPr>
        <w:pStyle w:val="Heading1"/>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6A51FB">
        <w:rPr>
          <w:color w:val="000000"/>
          <w:lang w:val="en-AU"/>
        </w:rPr>
        <w:t>56</w:t>
      </w:r>
    </w:p>
    <w:p w:rsidR="00755242" w:rsidRPr="002302EF" w:rsidRDefault="00AA7F1C" w:rsidP="00B160EF">
      <w:pPr>
        <w:rPr>
          <w:lang w:val="en-AU"/>
        </w:rPr>
      </w:pPr>
      <w:r>
        <w:rPr>
          <w:lang w:val="en-AU"/>
        </w:rPr>
        <w:t>1</w:t>
      </w:r>
      <w:r w:rsidR="006A51FB">
        <w:rPr>
          <w:lang w:val="en-AU"/>
        </w:rPr>
        <w:t>8</w:t>
      </w:r>
      <w:r w:rsidR="00E679F5">
        <w:rPr>
          <w:lang w:val="en-AU"/>
        </w:rPr>
        <w:t xml:space="preserve"> </w:t>
      </w:r>
      <w:r>
        <w:rPr>
          <w:lang w:val="en-AU"/>
        </w:rPr>
        <w:t>January 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9E3266">
        <w:rPr>
          <w:bCs/>
          <w:lang w:val="en-AU"/>
        </w:rPr>
        <w:t>, Shaun Larkin</w:t>
      </w:r>
    </w:p>
    <w:p w:rsidR="003C70D0" w:rsidRDefault="003C70D0" w:rsidP="00DA2466">
      <w:pPr>
        <w:keepNext/>
        <w:autoSpaceDE w:val="0"/>
        <w:autoSpaceDN w:val="0"/>
        <w:adjustRightInd w:val="0"/>
        <w:rPr>
          <w:b/>
          <w:lang w:val="en-AU"/>
        </w:rPr>
      </w:pPr>
    </w:p>
    <w:p w:rsidR="00DA7FC8" w:rsidRDefault="00DA7FC8">
      <w:pPr>
        <w:rPr>
          <w:b/>
          <w:lang w:val="en-AU"/>
        </w:rPr>
      </w:pPr>
      <w:r w:rsidRPr="00DA7FC8">
        <w:rPr>
          <w:b/>
          <w:lang w:val="en-AU"/>
        </w:rPr>
        <w:t>Reports</w:t>
      </w:r>
    </w:p>
    <w:p w:rsidR="00C22AD0" w:rsidRDefault="00C22AD0" w:rsidP="00AB1A89">
      <w:pPr>
        <w:keepLines/>
        <w:autoSpaceDE w:val="0"/>
        <w:autoSpaceDN w:val="0"/>
        <w:adjustRightInd w:val="0"/>
        <w:rPr>
          <w:lang w:val="en-AU"/>
        </w:rPr>
      </w:pPr>
    </w:p>
    <w:p w:rsidR="00612111" w:rsidRPr="00612111" w:rsidRDefault="00612111" w:rsidP="00612111">
      <w:pPr>
        <w:keepLines/>
        <w:autoSpaceDE w:val="0"/>
        <w:autoSpaceDN w:val="0"/>
        <w:adjustRightInd w:val="0"/>
        <w:rPr>
          <w:i/>
          <w:lang w:val="en-AU"/>
        </w:rPr>
      </w:pPr>
      <w:r w:rsidRPr="00612111">
        <w:rPr>
          <w:i/>
          <w:lang w:val="en-AU"/>
        </w:rPr>
        <w:t>How High-Need Patients Experience the Health Care System in Nine Countries</w:t>
      </w:r>
    </w:p>
    <w:p w:rsidR="00612111" w:rsidRDefault="00612111" w:rsidP="00AB1A89">
      <w:pPr>
        <w:keepLines/>
        <w:autoSpaceDE w:val="0"/>
        <w:autoSpaceDN w:val="0"/>
        <w:adjustRightInd w:val="0"/>
        <w:rPr>
          <w:lang w:val="en-AU"/>
        </w:rPr>
      </w:pPr>
      <w:r w:rsidRPr="00612111">
        <w:rPr>
          <w:lang w:val="en-AU"/>
        </w:rPr>
        <w:t>Sarnak DO, Ryan J</w:t>
      </w:r>
    </w:p>
    <w:p w:rsidR="006D73A3" w:rsidRDefault="00612111" w:rsidP="00AB1A89">
      <w:pPr>
        <w:keepLines/>
        <w:autoSpaceDE w:val="0"/>
        <w:autoSpaceDN w:val="0"/>
        <w:adjustRightInd w:val="0"/>
        <w:rPr>
          <w:lang w:val="en-AU"/>
        </w:rPr>
      </w:pPr>
      <w:r w:rsidRPr="00612111">
        <w:rPr>
          <w:lang w:val="en-AU"/>
        </w:rPr>
        <w:t xml:space="preserve">New York: The Commonwealth Fund; 2016. </w:t>
      </w:r>
      <w:proofErr w:type="gramStart"/>
      <w:r w:rsidRPr="00612111">
        <w:rPr>
          <w:lang w:val="en-AU"/>
        </w:rPr>
        <w:t>p. 16.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B1A89"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B1A89" w:rsidRPr="00255EF8" w:rsidRDefault="00AB1A89" w:rsidP="00AD5026">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7092" w:rsidRPr="00255EF8" w:rsidRDefault="008B1313" w:rsidP="00DB7092">
            <w:pPr>
              <w:rPr>
                <w:lang w:val="en-AU"/>
              </w:rPr>
            </w:pPr>
            <w:hyperlink r:id="rId16" w:history="1">
              <w:r w:rsidR="00612111" w:rsidRPr="00245752">
                <w:rPr>
                  <w:rStyle w:val="Hyperlink"/>
                  <w:lang w:val="en-AU"/>
                </w:rPr>
                <w:t>http://www.commonwealthfund.org/publications/issue-briefs/2016/jan/high-need-patients-nine-countries</w:t>
              </w:r>
            </w:hyperlink>
          </w:p>
        </w:tc>
      </w:tr>
      <w:tr w:rsidR="00AB1A89"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B1A89" w:rsidRPr="00255EF8" w:rsidRDefault="00AB1A89" w:rsidP="00AD502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4146C" w:rsidRDefault="00D4146C" w:rsidP="00D4146C">
            <w:pPr>
              <w:rPr>
                <w:lang w:val="en-AU" w:eastAsia="en-AU"/>
              </w:rPr>
            </w:pPr>
            <w:r>
              <w:rPr>
                <w:lang w:val="en-AU" w:eastAsia="en-AU"/>
              </w:rPr>
              <w:t xml:space="preserve">This Issues brief from the (US) Commonwealth Fund examines the experience and impact of ‘high need’ patients in a number of countries, including Australia. Based on date from one of the Commonwealth Fund’s regular international surveys the brief </w:t>
            </w:r>
            <w:r w:rsidRPr="00D4146C">
              <w:rPr>
                <w:lang w:val="en-AU" w:eastAsia="en-AU"/>
              </w:rPr>
              <w:t>investigate</w:t>
            </w:r>
            <w:r>
              <w:rPr>
                <w:lang w:val="en-AU" w:eastAsia="en-AU"/>
              </w:rPr>
              <w:t>s</w:t>
            </w:r>
            <w:r w:rsidRPr="00D4146C">
              <w:rPr>
                <w:lang w:val="en-AU" w:eastAsia="en-AU"/>
              </w:rPr>
              <w:t xml:space="preserve"> health care use, quality, and experiences among high-need</w:t>
            </w:r>
            <w:r>
              <w:rPr>
                <w:lang w:val="en-AU" w:eastAsia="en-AU"/>
              </w:rPr>
              <w:t xml:space="preserve"> </w:t>
            </w:r>
            <w:r w:rsidRPr="00D4146C">
              <w:rPr>
                <w:lang w:val="en-AU" w:eastAsia="en-AU"/>
              </w:rPr>
              <w:t>patients in nine countries compared with other older adults.</w:t>
            </w:r>
            <w:r>
              <w:rPr>
                <w:lang w:val="en-AU" w:eastAsia="en-AU"/>
              </w:rPr>
              <w:t xml:space="preserve"> Here </w:t>
            </w:r>
            <w:r w:rsidRPr="00D4146C">
              <w:rPr>
                <w:lang w:val="en-AU" w:eastAsia="en-AU"/>
              </w:rPr>
              <w:t xml:space="preserve">high-need patients are defined as </w:t>
            </w:r>
            <w:proofErr w:type="gramStart"/>
            <w:r w:rsidRPr="00D4146C">
              <w:rPr>
                <w:lang w:val="en-AU" w:eastAsia="en-AU"/>
              </w:rPr>
              <w:t>those age</w:t>
            </w:r>
            <w:proofErr w:type="gramEnd"/>
            <w:r w:rsidRPr="00D4146C">
              <w:rPr>
                <w:lang w:val="en-AU" w:eastAsia="en-AU"/>
              </w:rPr>
              <w:t xml:space="preserve"> 65 and older with at least three chronic conditions or a functional limitation in activities of daily living, like dressing or bathing</w:t>
            </w:r>
            <w:r>
              <w:rPr>
                <w:lang w:val="en-AU" w:eastAsia="en-AU"/>
              </w:rPr>
              <w:t xml:space="preserve">. </w:t>
            </w:r>
            <w:r w:rsidRPr="00D4146C">
              <w:rPr>
                <w:lang w:val="en-AU" w:eastAsia="en-AU"/>
              </w:rPr>
              <w:t>High-need patients</w:t>
            </w:r>
            <w:r>
              <w:rPr>
                <w:lang w:val="en-AU" w:eastAsia="en-AU"/>
              </w:rPr>
              <w:t xml:space="preserve"> </w:t>
            </w:r>
            <w:r w:rsidRPr="00D4146C">
              <w:rPr>
                <w:lang w:val="en-AU" w:eastAsia="en-AU"/>
              </w:rPr>
              <w:t>use a greater amount of health care services and also experience more coordination</w:t>
            </w:r>
            <w:r>
              <w:rPr>
                <w:lang w:val="en-AU" w:eastAsia="en-AU"/>
              </w:rPr>
              <w:t xml:space="preserve"> </w:t>
            </w:r>
            <w:r w:rsidRPr="00D4146C">
              <w:rPr>
                <w:lang w:val="en-AU" w:eastAsia="en-AU"/>
              </w:rPr>
              <w:t>problems and financial barriers to care compared with other older adults</w:t>
            </w:r>
            <w:r>
              <w:rPr>
                <w:lang w:val="en-AU" w:eastAsia="en-AU"/>
              </w:rPr>
              <w:t>. In the USA, f</w:t>
            </w:r>
            <w:r w:rsidRPr="00D4146C">
              <w:rPr>
                <w:lang w:val="en-AU" w:eastAsia="en-AU"/>
              </w:rPr>
              <w:t>ive percent of the adult population accounts</w:t>
            </w:r>
            <w:r>
              <w:rPr>
                <w:lang w:val="en-AU" w:eastAsia="en-AU"/>
              </w:rPr>
              <w:t xml:space="preserve"> </w:t>
            </w:r>
            <w:r w:rsidRPr="00D4146C">
              <w:rPr>
                <w:lang w:val="en-AU" w:eastAsia="en-AU"/>
              </w:rPr>
              <w:t>for 50 percent of the nation’s health care costs and 10 percent accounts for</w:t>
            </w:r>
            <w:r>
              <w:rPr>
                <w:lang w:val="en-AU" w:eastAsia="en-AU"/>
              </w:rPr>
              <w:t xml:space="preserve"> </w:t>
            </w:r>
            <w:r w:rsidRPr="00D4146C">
              <w:rPr>
                <w:lang w:val="en-AU" w:eastAsia="en-AU"/>
              </w:rPr>
              <w:t>65 percent of total costs</w:t>
            </w:r>
            <w:r>
              <w:rPr>
                <w:lang w:val="en-AU" w:eastAsia="en-AU"/>
              </w:rPr>
              <w:t>.</w:t>
            </w:r>
          </w:p>
          <w:p w:rsidR="003F1242" w:rsidRDefault="0066672C" w:rsidP="00051B20">
            <w:pPr>
              <w:rPr>
                <w:lang w:val="en-AU" w:eastAsia="en-AU"/>
              </w:rPr>
            </w:pPr>
            <w:r>
              <w:rPr>
                <w:lang w:val="en-AU" w:eastAsia="en-AU"/>
              </w:rPr>
              <w:t xml:space="preserve">From the survey results, Australia has a smaller population of these older high needs patient than the USA, but a similar level to the other seven nations surveyed (Canada, France, Germany, Netherlands, Norway, Sweden and Switzerland). </w:t>
            </w:r>
          </w:p>
          <w:p w:rsidR="00D4146C" w:rsidRPr="00F47F8A" w:rsidRDefault="0066672C" w:rsidP="00051B20">
            <w:pPr>
              <w:rPr>
                <w:lang w:val="en-AU" w:eastAsia="en-AU"/>
              </w:rPr>
            </w:pPr>
            <w:r>
              <w:rPr>
                <w:lang w:val="en-AU" w:eastAsia="en-AU"/>
              </w:rPr>
              <w:lastRenderedPageBreak/>
              <w:t xml:space="preserve">The Australian patients display a lower level of functional limitations but higher rates of ‘avoidable’ hospital department visits, cost-related access problems (which may help account for the higher hospital visits), </w:t>
            </w:r>
            <w:r w:rsidR="00051B20">
              <w:rPr>
                <w:lang w:val="en-AU" w:eastAsia="en-AU"/>
              </w:rPr>
              <w:t>poorer co-ordination of care, and reported less confidence in their care (and thought mistakes had occurred more often). More positively, they reported a higher level of contact from health care providers between visits and higher rates of treatment plans being in place.</w:t>
            </w:r>
          </w:p>
        </w:tc>
      </w:tr>
    </w:tbl>
    <w:p w:rsidR="004F47AC" w:rsidRDefault="004F47AC" w:rsidP="004F47AC">
      <w:pPr>
        <w:keepLines/>
        <w:autoSpaceDE w:val="0"/>
        <w:autoSpaceDN w:val="0"/>
        <w:adjustRightInd w:val="0"/>
        <w:rPr>
          <w:b/>
          <w:lang w:val="en-AU"/>
        </w:rPr>
      </w:pPr>
    </w:p>
    <w:p w:rsidR="006A51FB" w:rsidRDefault="006A51FB" w:rsidP="004F47AC">
      <w:pPr>
        <w:keepLines/>
        <w:autoSpaceDE w:val="0"/>
        <w:autoSpaceDN w:val="0"/>
        <w:adjustRightInd w:val="0"/>
        <w:rPr>
          <w:b/>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2D76ED" w:rsidRDefault="002D76ED" w:rsidP="004F47AC">
      <w:pPr>
        <w:keepNext/>
        <w:keepLines/>
        <w:autoSpaceDE w:val="0"/>
        <w:autoSpaceDN w:val="0"/>
        <w:adjustRightInd w:val="0"/>
        <w:rPr>
          <w:lang w:val="en-AU"/>
        </w:rPr>
      </w:pPr>
    </w:p>
    <w:p w:rsidR="00AD5026" w:rsidRPr="005B465D" w:rsidRDefault="00AD5026" w:rsidP="00AD5026">
      <w:pPr>
        <w:keepLines/>
        <w:autoSpaceDE w:val="0"/>
        <w:autoSpaceDN w:val="0"/>
        <w:adjustRightInd w:val="0"/>
        <w:rPr>
          <w:i/>
          <w:lang w:val="en-AU"/>
        </w:rPr>
      </w:pPr>
      <w:r w:rsidRPr="005B465D">
        <w:rPr>
          <w:i/>
          <w:lang w:val="en-AU"/>
        </w:rPr>
        <w:t>Developing clinical decision tools to implement chronic disease prevention and screening in primary care: the BETTER 2 program (building on existing tools to improve chronic disease prevention and screening in primary care)</w:t>
      </w:r>
    </w:p>
    <w:p w:rsidR="00D266FC" w:rsidRDefault="00D266FC" w:rsidP="00AD5026">
      <w:pPr>
        <w:keepLines/>
        <w:autoSpaceDE w:val="0"/>
        <w:autoSpaceDN w:val="0"/>
        <w:adjustRightInd w:val="0"/>
        <w:rPr>
          <w:lang w:val="en-AU"/>
        </w:rPr>
      </w:pPr>
      <w:r w:rsidRPr="00D266FC">
        <w:rPr>
          <w:lang w:val="en-AU"/>
        </w:rPr>
        <w:t xml:space="preserve">Manca DP, Campbell-Scherer D, Aubrey-Bassler K, Kandola K, Aguilar C, Baxter J, et al. </w:t>
      </w:r>
    </w:p>
    <w:p w:rsidR="00AD5026" w:rsidRDefault="00D266FC" w:rsidP="00AD5026">
      <w:pPr>
        <w:keepLines/>
        <w:autoSpaceDE w:val="0"/>
        <w:autoSpaceDN w:val="0"/>
        <w:adjustRightInd w:val="0"/>
        <w:rPr>
          <w:lang w:val="en-AU"/>
        </w:rPr>
      </w:pPr>
      <w:proofErr w:type="gramStart"/>
      <w:r w:rsidRPr="00D266FC">
        <w:rPr>
          <w:lang w:val="en-AU"/>
        </w:rPr>
        <w:t>Implementation Science.</w:t>
      </w:r>
      <w:proofErr w:type="gramEnd"/>
      <w:r w:rsidRPr="00D266FC">
        <w:rPr>
          <w:lang w:val="en-AU"/>
        </w:rPr>
        <w:t xml:space="preserve"> 2015</w:t>
      </w:r>
      <w:proofErr w:type="gramStart"/>
      <w:r w:rsidRPr="00D266FC">
        <w:rPr>
          <w:lang w:val="en-AU"/>
        </w:rPr>
        <w:t>;10</w:t>
      </w:r>
      <w:proofErr w:type="gramEnd"/>
      <w:r w:rsidRPr="00D266FC">
        <w:rPr>
          <w:lang w:val="en-AU"/>
        </w:rPr>
        <w:t>(1):1-10.</w:t>
      </w:r>
    </w:p>
    <w:tbl>
      <w:tblPr>
        <w:tblStyle w:val="TableGrid"/>
        <w:tblW w:w="0" w:type="auto"/>
        <w:tblInd w:w="288" w:type="dxa"/>
        <w:tblLayout w:type="fixed"/>
        <w:tblLook w:val="01E0" w:firstRow="1" w:lastRow="1" w:firstColumn="1" w:lastColumn="1" w:noHBand="0" w:noVBand="0"/>
      </w:tblPr>
      <w:tblGrid>
        <w:gridCol w:w="1080"/>
        <w:gridCol w:w="8280"/>
      </w:tblGrid>
      <w:tr w:rsidR="00AD5026"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D5026" w:rsidRPr="00255EF8" w:rsidRDefault="00015538" w:rsidP="00AD5026">
            <w:pPr>
              <w:rPr>
                <w:lang w:val="en-AU"/>
              </w:rPr>
            </w:pPr>
            <w:r>
              <w:rPr>
                <w:lang w:val="en-AU"/>
              </w:rPr>
              <w:t xml:space="preserve">DOI / </w:t>
            </w:r>
            <w:r w:rsidR="00AD5026">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15538" w:rsidRDefault="008B1313" w:rsidP="00AD5026">
            <w:pPr>
              <w:rPr>
                <w:lang w:val="en-AU"/>
              </w:rPr>
            </w:pPr>
            <w:hyperlink r:id="rId17" w:history="1">
              <w:r w:rsidR="00015538" w:rsidRPr="00F8476D">
                <w:rPr>
                  <w:rStyle w:val="Hyperlink"/>
                  <w:lang w:val="en-AU"/>
                </w:rPr>
                <w:t>http://dx.doi.org/10.1186/s13012-015-0299-9</w:t>
              </w:r>
            </w:hyperlink>
          </w:p>
          <w:p w:rsidR="00AD5026" w:rsidRPr="00255EF8" w:rsidRDefault="008B1313" w:rsidP="00AD5026">
            <w:pPr>
              <w:rPr>
                <w:lang w:val="en-AU"/>
              </w:rPr>
            </w:pPr>
            <w:hyperlink r:id="rId18" w:history="1">
              <w:r w:rsidR="00AD5026" w:rsidRPr="00F8476D">
                <w:rPr>
                  <w:rStyle w:val="Hyperlink"/>
                  <w:lang w:val="en-AU"/>
                </w:rPr>
                <w:t>http://www.implementationscience.com/content/10/1/107</w:t>
              </w:r>
            </w:hyperlink>
          </w:p>
        </w:tc>
      </w:tr>
      <w:tr w:rsidR="00AD5026"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D5026" w:rsidRPr="00255EF8" w:rsidRDefault="00AD5026" w:rsidP="00AD502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66FC" w:rsidRDefault="00D266FC" w:rsidP="00D266FC">
            <w:pPr>
              <w:rPr>
                <w:lang w:val="en-AU" w:eastAsia="en-AU"/>
              </w:rPr>
            </w:pPr>
            <w:r>
              <w:rPr>
                <w:lang w:val="en-AU" w:eastAsia="en-AU"/>
              </w:rPr>
              <w:t>This Canadian paper provides an update on the BETTER trial (</w:t>
            </w:r>
            <w:r w:rsidRPr="00D266FC">
              <w:rPr>
                <w:lang w:val="en-AU" w:eastAsia="en-AU"/>
              </w:rPr>
              <w:t>Building on Existing Tools to Improve Chronic Disease Prevention and Screening in Family Practice</w:t>
            </w:r>
            <w:r>
              <w:rPr>
                <w:lang w:val="en-AU" w:eastAsia="en-AU"/>
              </w:rPr>
              <w:t xml:space="preserve">). The BETTER trial had </w:t>
            </w:r>
            <w:r w:rsidRPr="00D266FC">
              <w:rPr>
                <w:lang w:val="en-AU" w:eastAsia="en-AU"/>
              </w:rPr>
              <w:t>demonstrated the effectiveness of an approach to chronic disease prevention and screening (CDPS) through a new skilled role of a ‘prevention practitioner’</w:t>
            </w:r>
            <w:r w:rsidR="00CC4351">
              <w:rPr>
                <w:lang w:val="en-AU" w:eastAsia="en-AU"/>
              </w:rPr>
              <w:t xml:space="preserve"> </w:t>
            </w:r>
            <w:r w:rsidRPr="00D266FC">
              <w:rPr>
                <w:lang w:val="en-AU" w:eastAsia="en-AU"/>
              </w:rPr>
              <w:t>(PP)</w:t>
            </w:r>
            <w:r>
              <w:rPr>
                <w:lang w:val="en-AU" w:eastAsia="en-AU"/>
              </w:rPr>
              <w:t xml:space="preserve">. The BETTER 2 program has </w:t>
            </w:r>
            <w:r w:rsidRPr="00D266FC">
              <w:rPr>
                <w:lang w:val="en-AU" w:eastAsia="en-AU"/>
              </w:rPr>
              <w:t>update</w:t>
            </w:r>
            <w:r>
              <w:rPr>
                <w:lang w:val="en-AU" w:eastAsia="en-AU"/>
              </w:rPr>
              <w:t>d</w:t>
            </w:r>
            <w:r w:rsidRPr="00D266FC">
              <w:rPr>
                <w:lang w:val="en-AU" w:eastAsia="en-AU"/>
              </w:rPr>
              <w:t>, revise</w:t>
            </w:r>
            <w:r>
              <w:rPr>
                <w:lang w:val="en-AU" w:eastAsia="en-AU"/>
              </w:rPr>
              <w:t>d</w:t>
            </w:r>
            <w:r w:rsidRPr="00D266FC">
              <w:rPr>
                <w:lang w:val="en-AU" w:eastAsia="en-AU"/>
              </w:rPr>
              <w:t xml:space="preserve"> and adapt</w:t>
            </w:r>
            <w:r>
              <w:rPr>
                <w:lang w:val="en-AU" w:eastAsia="en-AU"/>
              </w:rPr>
              <w:t xml:space="preserve">ed </w:t>
            </w:r>
            <w:r w:rsidRPr="00D266FC">
              <w:rPr>
                <w:lang w:val="en-AU" w:eastAsia="en-AU"/>
              </w:rPr>
              <w:t>the integrated evidence algorithms and tool kits</w:t>
            </w:r>
            <w:r>
              <w:rPr>
                <w:lang w:val="en-AU" w:eastAsia="en-AU"/>
              </w:rPr>
              <w:t xml:space="preserve"> of the earlier work. The authors hope that the </w:t>
            </w:r>
            <w:r w:rsidRPr="00D266FC">
              <w:rPr>
                <w:lang w:val="en-AU" w:eastAsia="en-AU"/>
              </w:rPr>
              <w:t xml:space="preserve">integrated clinical decision-making tools of BETTER 2 </w:t>
            </w:r>
            <w:r>
              <w:rPr>
                <w:lang w:val="en-AU" w:eastAsia="en-AU"/>
              </w:rPr>
              <w:t>“</w:t>
            </w:r>
            <w:r w:rsidRPr="00D266FC">
              <w:rPr>
                <w:lang w:val="en-AU" w:eastAsia="en-AU"/>
              </w:rPr>
              <w:t>provide resources for clinicians and policymakers that address patients’ complex care needs beyond single disease approaches and can be adapted to facilitate CDPS in the urban, rural and remote clinical setting</w:t>
            </w:r>
            <w:r>
              <w:rPr>
                <w:lang w:val="en-AU" w:eastAsia="en-AU"/>
              </w:rPr>
              <w:t>”</w:t>
            </w:r>
            <w:r w:rsidRPr="00D266FC">
              <w:rPr>
                <w:lang w:val="en-AU" w:eastAsia="en-AU"/>
              </w:rPr>
              <w:t>.</w:t>
            </w:r>
          </w:p>
          <w:p w:rsidR="00D266FC" w:rsidRDefault="00D266FC" w:rsidP="00D266FC">
            <w:pPr>
              <w:rPr>
                <w:lang w:val="en-AU" w:eastAsia="en-AU"/>
              </w:rPr>
            </w:pPr>
            <w:r>
              <w:rPr>
                <w:noProof/>
                <w:lang w:val="en-AU" w:eastAsia="en-AU"/>
              </w:rPr>
              <w:drawing>
                <wp:inline distT="0" distB="0" distL="0" distR="0">
                  <wp:extent cx="5120640" cy="30276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12_2015_299_Fig1_HTML.gif"/>
                          <pic:cNvPicPr/>
                        </pic:nvPicPr>
                        <pic:blipFill>
                          <a:blip r:embed="rId19">
                            <a:extLst>
                              <a:ext uri="{28A0092B-C50C-407E-A947-70E740481C1C}">
                                <a14:useLocalDpi xmlns:a14="http://schemas.microsoft.com/office/drawing/2010/main" val="0"/>
                              </a:ext>
                            </a:extLst>
                          </a:blip>
                          <a:stretch>
                            <a:fillRect/>
                          </a:stretch>
                        </pic:blipFill>
                        <pic:spPr>
                          <a:xfrm>
                            <a:off x="0" y="0"/>
                            <a:ext cx="5120640" cy="3027680"/>
                          </a:xfrm>
                          <a:prstGeom prst="rect">
                            <a:avLst/>
                          </a:prstGeom>
                        </pic:spPr>
                      </pic:pic>
                    </a:graphicData>
                  </a:graphic>
                </wp:inline>
              </w:drawing>
            </w:r>
          </w:p>
          <w:p w:rsidR="00F94241" w:rsidRPr="00AA7F1C" w:rsidRDefault="00F94241" w:rsidP="00D266FC">
            <w:pPr>
              <w:rPr>
                <w:lang w:val="en-AU" w:eastAsia="en-AU"/>
              </w:rPr>
            </w:pPr>
            <w:r>
              <w:rPr>
                <w:lang w:val="en-AU" w:eastAsia="en-AU"/>
              </w:rPr>
              <w:t xml:space="preserve">Figure: </w:t>
            </w:r>
            <w:r w:rsidRPr="00F94241">
              <w:rPr>
                <w:lang w:val="en-AU" w:eastAsia="en-AU"/>
              </w:rPr>
              <w:t>The BETTER 2 chronic disease prevention and screening prevention practitioner intervention</w:t>
            </w:r>
          </w:p>
        </w:tc>
      </w:tr>
    </w:tbl>
    <w:p w:rsidR="00AD5026" w:rsidRDefault="00AD5026" w:rsidP="00AD5026">
      <w:pPr>
        <w:keepLines/>
        <w:autoSpaceDE w:val="0"/>
        <w:autoSpaceDN w:val="0"/>
        <w:adjustRightInd w:val="0"/>
        <w:rPr>
          <w:i/>
          <w:lang w:val="en-AU"/>
        </w:rPr>
      </w:pPr>
    </w:p>
    <w:p w:rsidR="005A6462" w:rsidRPr="00612111" w:rsidRDefault="005A6462" w:rsidP="005A6462">
      <w:pPr>
        <w:keepNext/>
        <w:keepLines/>
        <w:autoSpaceDE w:val="0"/>
        <w:autoSpaceDN w:val="0"/>
        <w:adjustRightInd w:val="0"/>
        <w:rPr>
          <w:i/>
          <w:lang w:val="en-AU"/>
        </w:rPr>
      </w:pPr>
      <w:r w:rsidRPr="00612111">
        <w:rPr>
          <w:i/>
          <w:lang w:val="en-AU"/>
        </w:rPr>
        <w:lastRenderedPageBreak/>
        <w:t>The role of emotion in patient safety: Are we brave enough to scratch beneath the surface?</w:t>
      </w:r>
    </w:p>
    <w:p w:rsidR="005A6462" w:rsidRDefault="005A6462" w:rsidP="005A6462">
      <w:pPr>
        <w:keepNext/>
        <w:keepLines/>
        <w:autoSpaceDE w:val="0"/>
        <w:autoSpaceDN w:val="0"/>
        <w:adjustRightInd w:val="0"/>
        <w:rPr>
          <w:lang w:val="en-AU"/>
        </w:rPr>
      </w:pPr>
      <w:r w:rsidRPr="00612111">
        <w:rPr>
          <w:lang w:val="en-AU"/>
        </w:rPr>
        <w:t>Heyhoe J, Birks Y, Harrison R, O’Hara JK, Cracknell A, Lawton R</w:t>
      </w:r>
    </w:p>
    <w:p w:rsidR="005A6462" w:rsidRDefault="005A6462" w:rsidP="005A6462">
      <w:pPr>
        <w:keepNext/>
        <w:keepLines/>
        <w:autoSpaceDE w:val="0"/>
        <w:autoSpaceDN w:val="0"/>
        <w:adjustRightInd w:val="0"/>
        <w:rPr>
          <w:lang w:val="en-AU"/>
        </w:rPr>
      </w:pPr>
      <w:proofErr w:type="gramStart"/>
      <w:r w:rsidRPr="00612111">
        <w:rPr>
          <w:lang w:val="en-AU"/>
        </w:rPr>
        <w:t>Journal of the Royal Society of Medicine.</w:t>
      </w:r>
      <w:proofErr w:type="gramEnd"/>
      <w:r w:rsidRPr="00612111">
        <w:rPr>
          <w:lang w:val="en-AU"/>
        </w:rPr>
        <w:t xml:space="preserve"> </w:t>
      </w:r>
      <w:proofErr w:type="gramStart"/>
      <w:r w:rsidRPr="00612111">
        <w:rPr>
          <w:lang w:val="en-AU"/>
        </w:rPr>
        <w:t>2015</w:t>
      </w:r>
      <w:r>
        <w:rPr>
          <w:lang w:val="en-AU"/>
        </w:rPr>
        <w:t xml:space="preserve"> [epub]</w:t>
      </w:r>
      <w:r w:rsidRPr="00612111">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A6462" w:rsidRPr="00255EF8" w:rsidTr="00D9374B">
        <w:tc>
          <w:tcPr>
            <w:tcW w:w="1080" w:type="dxa"/>
            <w:tcBorders>
              <w:top w:val="single" w:sz="4" w:space="0" w:color="auto"/>
              <w:left w:val="single" w:sz="4" w:space="0" w:color="auto"/>
              <w:bottom w:val="single" w:sz="4" w:space="0" w:color="auto"/>
              <w:right w:val="single" w:sz="4" w:space="0" w:color="auto"/>
            </w:tcBorders>
            <w:vAlign w:val="center"/>
          </w:tcPr>
          <w:p w:rsidR="005A6462" w:rsidRPr="00255EF8" w:rsidRDefault="005A6462" w:rsidP="00D9374B">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A6462" w:rsidRPr="00255EF8" w:rsidRDefault="008B1313" w:rsidP="00D9374B">
            <w:pPr>
              <w:rPr>
                <w:lang w:val="en-AU"/>
              </w:rPr>
            </w:pPr>
            <w:hyperlink r:id="rId20" w:history="1">
              <w:r w:rsidR="005A6462" w:rsidRPr="00245752">
                <w:rPr>
                  <w:rStyle w:val="Hyperlink"/>
                  <w:lang w:val="en-AU"/>
                </w:rPr>
                <w:t>http://dx.doi.org/10.1177/0141076815620614</w:t>
              </w:r>
            </w:hyperlink>
          </w:p>
        </w:tc>
      </w:tr>
      <w:tr w:rsidR="005A6462" w:rsidRPr="00255EF8" w:rsidTr="00D9374B">
        <w:tc>
          <w:tcPr>
            <w:tcW w:w="1080" w:type="dxa"/>
            <w:tcBorders>
              <w:top w:val="single" w:sz="4" w:space="0" w:color="auto"/>
              <w:left w:val="single" w:sz="4" w:space="0" w:color="auto"/>
              <w:bottom w:val="single" w:sz="4" w:space="0" w:color="auto"/>
              <w:right w:val="single" w:sz="4" w:space="0" w:color="auto"/>
            </w:tcBorders>
            <w:vAlign w:val="center"/>
          </w:tcPr>
          <w:p w:rsidR="005A6462" w:rsidRPr="00255EF8" w:rsidRDefault="005A6462" w:rsidP="00D9374B">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6462" w:rsidRDefault="005A6462" w:rsidP="00D9374B">
            <w:pPr>
              <w:rPr>
                <w:lang w:val="en-AU" w:eastAsia="en-AU"/>
              </w:rPr>
            </w:pPr>
            <w:r>
              <w:rPr>
                <w:lang w:val="en-AU" w:eastAsia="en-AU"/>
              </w:rPr>
              <w:t xml:space="preserve">Health care is a human activity and one that engender strong emotions. Those emotions are often left unexplored. This piece explores emotion in relation patient safety, including </w:t>
            </w:r>
          </w:p>
          <w:p w:rsidR="005A6462" w:rsidRPr="005A6462" w:rsidRDefault="005A6462" w:rsidP="00D9374B">
            <w:pPr>
              <w:pStyle w:val="ListParagraph"/>
              <w:numPr>
                <w:ilvl w:val="0"/>
                <w:numId w:val="37"/>
              </w:numPr>
              <w:rPr>
                <w:lang w:val="en-AU" w:eastAsia="en-AU"/>
              </w:rPr>
            </w:pPr>
            <w:proofErr w:type="gramStart"/>
            <w:r w:rsidRPr="005A6462">
              <w:rPr>
                <w:lang w:val="en-AU" w:eastAsia="en-AU"/>
              </w:rPr>
              <w:t>the</w:t>
            </w:r>
            <w:proofErr w:type="gramEnd"/>
            <w:r w:rsidRPr="005A6462">
              <w:rPr>
                <w:lang w:val="en-AU" w:eastAsia="en-AU"/>
              </w:rPr>
              <w:t xml:space="preserve"> emotions that health professionals experience in relation to making a medical error and describe the impact on healthcare professionals and on their professional and patient relationships.</w:t>
            </w:r>
          </w:p>
          <w:p w:rsidR="005A6462" w:rsidRPr="005A6462" w:rsidRDefault="005A6462" w:rsidP="00D9374B">
            <w:pPr>
              <w:pStyle w:val="ListParagraph"/>
              <w:numPr>
                <w:ilvl w:val="0"/>
                <w:numId w:val="37"/>
              </w:numPr>
              <w:rPr>
                <w:lang w:val="en-AU" w:eastAsia="en-AU"/>
              </w:rPr>
            </w:pPr>
            <w:r w:rsidRPr="005A6462">
              <w:rPr>
                <w:lang w:val="en-AU" w:eastAsia="en-AU"/>
              </w:rPr>
              <w:t>how positive and negative emotions can contribute to clinical decision making and affect responses to clinical situations</w:t>
            </w:r>
          </w:p>
          <w:p w:rsidR="005A6462" w:rsidRPr="005A6462" w:rsidRDefault="005A6462" w:rsidP="00D9374B">
            <w:pPr>
              <w:pStyle w:val="ListParagraph"/>
              <w:numPr>
                <w:ilvl w:val="0"/>
                <w:numId w:val="37"/>
              </w:numPr>
              <w:rPr>
                <w:lang w:val="en-AU" w:eastAsia="en-AU"/>
              </w:rPr>
            </w:pPr>
            <w:r w:rsidRPr="005A6462">
              <w:rPr>
                <w:lang w:val="en-AU" w:eastAsia="en-AU"/>
              </w:rPr>
              <w:t>the implications for training, practice and research</w:t>
            </w:r>
          </w:p>
          <w:p w:rsidR="005A6462" w:rsidRPr="005A6462" w:rsidRDefault="005A6462" w:rsidP="00D9374B">
            <w:pPr>
              <w:pStyle w:val="ListParagraph"/>
              <w:numPr>
                <w:ilvl w:val="0"/>
                <w:numId w:val="37"/>
              </w:numPr>
              <w:rPr>
                <w:lang w:val="en-AU" w:eastAsia="en-AU"/>
              </w:rPr>
            </w:pPr>
            <w:proofErr w:type="gramStart"/>
            <w:r w:rsidRPr="005A6462">
              <w:rPr>
                <w:lang w:val="en-AU" w:eastAsia="en-AU"/>
              </w:rPr>
              <w:t>strategies</w:t>
            </w:r>
            <w:proofErr w:type="gramEnd"/>
            <w:r w:rsidRPr="005A6462">
              <w:rPr>
                <w:lang w:val="en-AU" w:eastAsia="en-AU"/>
              </w:rPr>
              <w:t xml:space="preserve"> for understanding and responding to the influence of emotion in clinical practice.</w:t>
            </w:r>
          </w:p>
        </w:tc>
      </w:tr>
    </w:tbl>
    <w:p w:rsidR="005A6462" w:rsidRDefault="005A6462" w:rsidP="005A6462">
      <w:pPr>
        <w:keepLines/>
        <w:autoSpaceDE w:val="0"/>
        <w:autoSpaceDN w:val="0"/>
        <w:adjustRightInd w:val="0"/>
        <w:rPr>
          <w:b/>
          <w:lang w:val="en-AU"/>
        </w:rPr>
      </w:pPr>
    </w:p>
    <w:p w:rsidR="00051B20" w:rsidRDefault="00051B20" w:rsidP="00051B20">
      <w:pPr>
        <w:keepNext/>
        <w:keepLines/>
        <w:autoSpaceDE w:val="0"/>
        <w:autoSpaceDN w:val="0"/>
        <w:adjustRightInd w:val="0"/>
        <w:rPr>
          <w:i/>
          <w:lang w:val="en-AU"/>
        </w:rPr>
      </w:pPr>
      <w:r w:rsidRPr="00A61637">
        <w:rPr>
          <w:i/>
          <w:lang w:val="en-AU"/>
        </w:rPr>
        <w:t>Can patient safety incident reports be used to compare hospital safety? Results from a quantitative analysis of the English National Reporting and Learning System data</w:t>
      </w:r>
    </w:p>
    <w:p w:rsidR="00F6512F" w:rsidRDefault="00051B20" w:rsidP="00051B20">
      <w:pPr>
        <w:keepNext/>
        <w:keepLines/>
        <w:autoSpaceDE w:val="0"/>
        <w:autoSpaceDN w:val="0"/>
        <w:adjustRightInd w:val="0"/>
        <w:rPr>
          <w:lang w:val="en-AU"/>
        </w:rPr>
      </w:pPr>
      <w:r w:rsidRPr="00124310">
        <w:rPr>
          <w:lang w:val="en-AU"/>
        </w:rPr>
        <w:t>Howell A-M, Burns EM, Bouras G, Donaldson LJ, Athanasiou T, Darzi</w:t>
      </w:r>
    </w:p>
    <w:p w:rsidR="00051B20" w:rsidRDefault="00051B20" w:rsidP="00051B20">
      <w:pPr>
        <w:keepNext/>
        <w:keepLines/>
        <w:autoSpaceDE w:val="0"/>
        <w:autoSpaceDN w:val="0"/>
        <w:adjustRightInd w:val="0"/>
        <w:rPr>
          <w:lang w:val="en-AU"/>
        </w:rPr>
      </w:pPr>
      <w:proofErr w:type="gramStart"/>
      <w:r w:rsidRPr="00124310">
        <w:rPr>
          <w:lang w:val="en-AU"/>
        </w:rPr>
        <w:t>PLoS ONE.</w:t>
      </w:r>
      <w:proofErr w:type="gramEnd"/>
      <w:r w:rsidRPr="00124310">
        <w:rPr>
          <w:lang w:val="en-AU"/>
        </w:rPr>
        <w:t xml:space="preserve"> 2015</w:t>
      </w:r>
      <w:proofErr w:type="gramStart"/>
      <w:r w:rsidRPr="00124310">
        <w:rPr>
          <w:lang w:val="en-AU"/>
        </w:rPr>
        <w:t>;10</w:t>
      </w:r>
      <w:proofErr w:type="gramEnd"/>
      <w:r w:rsidRPr="00124310">
        <w:rPr>
          <w:lang w:val="en-AU"/>
        </w:rPr>
        <w:t>(12):e0144107.</w:t>
      </w:r>
    </w:p>
    <w:tbl>
      <w:tblPr>
        <w:tblStyle w:val="TableGrid"/>
        <w:tblW w:w="0" w:type="auto"/>
        <w:tblInd w:w="288" w:type="dxa"/>
        <w:tblLayout w:type="fixed"/>
        <w:tblLook w:val="01E0" w:firstRow="1" w:lastRow="1" w:firstColumn="1" w:lastColumn="1" w:noHBand="0" w:noVBand="0"/>
      </w:tblPr>
      <w:tblGrid>
        <w:gridCol w:w="1080"/>
        <w:gridCol w:w="8280"/>
      </w:tblGrid>
      <w:tr w:rsidR="00051B20" w:rsidRPr="00255EF8" w:rsidTr="00D9374B">
        <w:tc>
          <w:tcPr>
            <w:tcW w:w="1080" w:type="dxa"/>
            <w:tcBorders>
              <w:top w:val="single" w:sz="4" w:space="0" w:color="auto"/>
              <w:left w:val="single" w:sz="4" w:space="0" w:color="auto"/>
              <w:bottom w:val="single" w:sz="4" w:space="0" w:color="auto"/>
              <w:right w:val="single" w:sz="4" w:space="0" w:color="auto"/>
            </w:tcBorders>
            <w:vAlign w:val="center"/>
          </w:tcPr>
          <w:p w:rsidR="00051B20" w:rsidRPr="00255EF8" w:rsidRDefault="00051B20" w:rsidP="00D9374B">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51B20" w:rsidRPr="00255EF8" w:rsidRDefault="008B1313" w:rsidP="00D9374B">
            <w:pPr>
              <w:keepNext/>
              <w:keepLines/>
              <w:rPr>
                <w:lang w:val="en-AU"/>
              </w:rPr>
            </w:pPr>
            <w:hyperlink r:id="rId21" w:history="1">
              <w:r w:rsidR="00051B20" w:rsidRPr="00F8476D">
                <w:rPr>
                  <w:rStyle w:val="Hyperlink"/>
                  <w:lang w:val="en-AU"/>
                </w:rPr>
                <w:t>http://dx.doi.org/10.1371/journal.pone.0144107</w:t>
              </w:r>
            </w:hyperlink>
          </w:p>
        </w:tc>
      </w:tr>
      <w:tr w:rsidR="00051B20" w:rsidRPr="00255EF8" w:rsidTr="00D9374B">
        <w:tc>
          <w:tcPr>
            <w:tcW w:w="1080" w:type="dxa"/>
            <w:tcBorders>
              <w:top w:val="single" w:sz="4" w:space="0" w:color="auto"/>
              <w:left w:val="single" w:sz="4" w:space="0" w:color="auto"/>
              <w:bottom w:val="single" w:sz="4" w:space="0" w:color="auto"/>
              <w:right w:val="single" w:sz="4" w:space="0" w:color="auto"/>
            </w:tcBorders>
            <w:vAlign w:val="center"/>
          </w:tcPr>
          <w:p w:rsidR="00051B20" w:rsidRPr="00255EF8" w:rsidRDefault="00051B20" w:rsidP="00D9374B">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51B20" w:rsidRDefault="00051B20" w:rsidP="00D9374B">
            <w:pPr>
              <w:rPr>
                <w:lang w:val="en-AU" w:eastAsia="en-AU"/>
              </w:rPr>
            </w:pPr>
            <w:r>
              <w:rPr>
                <w:lang w:val="en-AU" w:eastAsia="en-AU"/>
              </w:rPr>
              <w:t xml:space="preserve">Paper reporting on an analysis of nearly 6 million incident reports in the English </w:t>
            </w:r>
            <w:r w:rsidRPr="00124310">
              <w:rPr>
                <w:lang w:val="en-AU" w:eastAsia="en-AU"/>
              </w:rPr>
              <w:t>National Reporting and Learning System (NRLS</w:t>
            </w:r>
            <w:r>
              <w:rPr>
                <w:lang w:val="en-AU" w:eastAsia="en-AU"/>
              </w:rPr>
              <w:t xml:space="preserve">). The study sought to examine the utility of such reporting systems in various ways, including </w:t>
            </w:r>
            <w:r w:rsidRPr="00124310">
              <w:rPr>
                <w:lang w:val="en-AU" w:eastAsia="en-AU"/>
              </w:rPr>
              <w:t>whether annual hospital incident reporting rates can be used as a surrogate indicator of individual hospital safety</w:t>
            </w:r>
            <w:r>
              <w:rPr>
                <w:lang w:val="en-AU" w:eastAsia="en-AU"/>
              </w:rPr>
              <w:t xml:space="preserve">, </w:t>
            </w:r>
            <w:r w:rsidRPr="00124310">
              <w:rPr>
                <w:lang w:val="en-AU" w:eastAsia="en-AU"/>
              </w:rPr>
              <w:t>which hospital characteristics are correlated with high incident reporting rates</w:t>
            </w:r>
            <w:r>
              <w:rPr>
                <w:lang w:val="en-AU" w:eastAsia="en-AU"/>
              </w:rPr>
              <w:t>,</w:t>
            </w:r>
            <w:r w:rsidRPr="00124310">
              <w:rPr>
                <w:lang w:val="en-AU" w:eastAsia="en-AU"/>
              </w:rPr>
              <w:t xml:space="preserve"> whether a high reporting hospital is safer than those lower reporting hospitals</w:t>
            </w:r>
            <w:r>
              <w:rPr>
                <w:lang w:val="en-AU" w:eastAsia="en-AU"/>
              </w:rPr>
              <w:t xml:space="preserve"> and to determine </w:t>
            </w:r>
            <w:r w:rsidRPr="00124310">
              <w:rPr>
                <w:lang w:val="en-AU" w:eastAsia="en-AU"/>
              </w:rPr>
              <w:t>which health-care professionals report more incidents of patient harm, which report more near miss incidents and what hospital factors encourage reporting.</w:t>
            </w:r>
          </w:p>
          <w:p w:rsidR="00051B20" w:rsidRDefault="00051B20" w:rsidP="00D9374B">
            <w:pPr>
              <w:rPr>
                <w:lang w:val="en-AU" w:eastAsia="en-AU"/>
              </w:rPr>
            </w:pPr>
            <w:r>
              <w:rPr>
                <w:lang w:val="en-AU" w:eastAsia="en-AU"/>
              </w:rPr>
              <w:t>The authors report:</w:t>
            </w:r>
          </w:p>
          <w:p w:rsidR="00051B20" w:rsidRPr="00124310" w:rsidRDefault="00051B20" w:rsidP="00D9374B">
            <w:pPr>
              <w:pStyle w:val="ListParagraph"/>
              <w:numPr>
                <w:ilvl w:val="0"/>
                <w:numId w:val="35"/>
              </w:numPr>
              <w:rPr>
                <w:lang w:val="en-AU" w:eastAsia="en-AU"/>
              </w:rPr>
            </w:pPr>
            <w:r w:rsidRPr="00124310">
              <w:rPr>
                <w:lang w:val="en-AU" w:eastAsia="en-AU"/>
              </w:rPr>
              <w:t>not finding many hospital characteristics that significantly influence overall reporting rate</w:t>
            </w:r>
          </w:p>
          <w:p w:rsidR="00051B20" w:rsidRPr="00124310" w:rsidRDefault="00051B20" w:rsidP="00D9374B">
            <w:pPr>
              <w:pStyle w:val="ListParagraph"/>
              <w:numPr>
                <w:ilvl w:val="0"/>
                <w:numId w:val="35"/>
              </w:numPr>
              <w:rPr>
                <w:lang w:val="en-AU" w:eastAsia="en-AU"/>
              </w:rPr>
            </w:pPr>
            <w:proofErr w:type="gramStart"/>
            <w:r w:rsidRPr="00124310">
              <w:rPr>
                <w:lang w:val="en-AU" w:eastAsia="en-AU"/>
              </w:rPr>
              <w:t>no</w:t>
            </w:r>
            <w:proofErr w:type="gramEnd"/>
            <w:r w:rsidRPr="00124310">
              <w:rPr>
                <w:lang w:val="en-AU" w:eastAsia="en-AU"/>
              </w:rPr>
              <w:t xml:space="preserve"> association between size of hospital, number of staff, mortality outcomes or patient satisfaction outcomes and incident reporting rate. </w:t>
            </w:r>
          </w:p>
          <w:p w:rsidR="00051B20" w:rsidRPr="00124310" w:rsidRDefault="00051B20" w:rsidP="00D9374B">
            <w:pPr>
              <w:pStyle w:val="ListParagraph"/>
              <w:numPr>
                <w:ilvl w:val="0"/>
                <w:numId w:val="35"/>
              </w:numPr>
              <w:rPr>
                <w:lang w:val="en-AU" w:eastAsia="en-AU"/>
              </w:rPr>
            </w:pPr>
            <w:r w:rsidRPr="00124310">
              <w:rPr>
                <w:lang w:val="en-AU" w:eastAsia="en-AU"/>
              </w:rPr>
              <w:t>hospitals where staff reported more incidents had reduced litigation claims</w:t>
            </w:r>
          </w:p>
          <w:p w:rsidR="00051B20" w:rsidRPr="00124310" w:rsidRDefault="00051B20" w:rsidP="00D9374B">
            <w:pPr>
              <w:pStyle w:val="ListParagraph"/>
              <w:numPr>
                <w:ilvl w:val="0"/>
                <w:numId w:val="35"/>
              </w:numPr>
              <w:rPr>
                <w:lang w:val="en-AU" w:eastAsia="en-AU"/>
              </w:rPr>
            </w:pPr>
            <w:r w:rsidRPr="00124310">
              <w:rPr>
                <w:lang w:val="en-AU" w:eastAsia="en-AU"/>
              </w:rPr>
              <w:t>when clinician staffing is increased fewer incidents reporting patient harm are reported, whilst near misses remain the same</w:t>
            </w:r>
          </w:p>
          <w:p w:rsidR="00051B20" w:rsidRPr="00124310" w:rsidRDefault="00051B20" w:rsidP="00D9374B">
            <w:pPr>
              <w:pStyle w:val="ListParagraph"/>
              <w:numPr>
                <w:ilvl w:val="0"/>
                <w:numId w:val="35"/>
              </w:numPr>
              <w:rPr>
                <w:lang w:val="en-AU" w:eastAsia="en-AU"/>
              </w:rPr>
            </w:pPr>
            <w:r>
              <w:rPr>
                <w:lang w:val="en-AU" w:eastAsia="en-AU"/>
              </w:rPr>
              <w:t>c</w:t>
            </w:r>
            <w:r w:rsidRPr="00124310">
              <w:rPr>
                <w:lang w:val="en-AU" w:eastAsia="en-AU"/>
              </w:rPr>
              <w:t>ertain specialties report more near misses than others, and doctors report more harm incidents than near misses</w:t>
            </w:r>
          </w:p>
          <w:p w:rsidR="00051B20" w:rsidRPr="00124310" w:rsidRDefault="00051B20" w:rsidP="00D9374B">
            <w:pPr>
              <w:pStyle w:val="ListParagraph"/>
              <w:numPr>
                <w:ilvl w:val="0"/>
                <w:numId w:val="35"/>
              </w:numPr>
              <w:rPr>
                <w:lang w:val="en-AU" w:eastAsia="en-AU"/>
              </w:rPr>
            </w:pPr>
            <w:proofErr w:type="gramStart"/>
            <w:r>
              <w:rPr>
                <w:lang w:val="en-AU" w:eastAsia="en-AU"/>
              </w:rPr>
              <w:t>s</w:t>
            </w:r>
            <w:r w:rsidRPr="00124310">
              <w:rPr>
                <w:lang w:val="en-AU" w:eastAsia="en-AU"/>
              </w:rPr>
              <w:t>taff</w:t>
            </w:r>
            <w:proofErr w:type="gramEnd"/>
            <w:r w:rsidRPr="00124310">
              <w:rPr>
                <w:lang w:val="en-AU" w:eastAsia="en-AU"/>
              </w:rPr>
              <w:t xml:space="preserve"> survey results showed that open environments and reduced fear of punitive respons</w:t>
            </w:r>
            <w:r>
              <w:rPr>
                <w:lang w:val="en-AU" w:eastAsia="en-AU"/>
              </w:rPr>
              <w:t>e increases incident reporting.</w:t>
            </w:r>
          </w:p>
          <w:p w:rsidR="00051B20" w:rsidRPr="00AA7F1C" w:rsidRDefault="00051B20" w:rsidP="00D9374B">
            <w:pPr>
              <w:rPr>
                <w:lang w:val="en-AU" w:eastAsia="en-AU"/>
              </w:rPr>
            </w:pPr>
            <w:r>
              <w:rPr>
                <w:lang w:val="en-AU" w:eastAsia="en-AU"/>
              </w:rPr>
              <w:t xml:space="preserve">They conclude </w:t>
            </w:r>
            <w:r w:rsidRPr="00124310">
              <w:rPr>
                <w:lang w:val="en-AU" w:eastAsia="en-AU"/>
              </w:rPr>
              <w:t xml:space="preserve">that </w:t>
            </w:r>
            <w:r w:rsidRPr="003D7274">
              <w:rPr>
                <w:b/>
                <w:lang w:val="en-AU" w:eastAsia="en-AU"/>
              </w:rPr>
              <w:t>reporting rates should not be used to assess hospital safety</w:t>
            </w:r>
            <w:r>
              <w:rPr>
                <w:lang w:val="en-AU" w:eastAsia="en-AU"/>
              </w:rPr>
              <w:t xml:space="preserve"> and note that “</w:t>
            </w:r>
            <w:r w:rsidRPr="00124310">
              <w:rPr>
                <w:lang w:val="en-AU" w:eastAsia="en-AU"/>
              </w:rPr>
              <w:t>Different healthcare professionals focus on different types of safety incidents and focusing on these areas whilst creating a responsive, confidential learning environment will increase staff engagement with error disclosure.</w:t>
            </w:r>
            <w:r>
              <w:rPr>
                <w:lang w:val="en-AU" w:eastAsia="en-AU"/>
              </w:rPr>
              <w:t>”</w:t>
            </w:r>
          </w:p>
        </w:tc>
      </w:tr>
    </w:tbl>
    <w:p w:rsidR="00051B20" w:rsidRDefault="00051B20" w:rsidP="00051B20">
      <w:pPr>
        <w:keepLines/>
        <w:autoSpaceDE w:val="0"/>
        <w:autoSpaceDN w:val="0"/>
        <w:adjustRightInd w:val="0"/>
        <w:rPr>
          <w:i/>
          <w:lang w:val="en-AU"/>
        </w:rPr>
      </w:pPr>
    </w:p>
    <w:p w:rsidR="00530883" w:rsidRPr="005B465D" w:rsidRDefault="00530883" w:rsidP="005A6462">
      <w:pPr>
        <w:keepNext/>
        <w:keepLines/>
        <w:autoSpaceDE w:val="0"/>
        <w:autoSpaceDN w:val="0"/>
        <w:adjustRightInd w:val="0"/>
        <w:rPr>
          <w:i/>
          <w:lang w:val="en-AU"/>
        </w:rPr>
      </w:pPr>
      <w:r w:rsidRPr="005B465D">
        <w:rPr>
          <w:i/>
          <w:lang w:val="en-AU"/>
        </w:rPr>
        <w:lastRenderedPageBreak/>
        <w:t>Association between day of delivery and obstetric outcomes: observational study</w:t>
      </w:r>
    </w:p>
    <w:p w:rsidR="00530883" w:rsidRDefault="00530883" w:rsidP="005A6462">
      <w:pPr>
        <w:keepNext/>
        <w:keepLines/>
        <w:autoSpaceDE w:val="0"/>
        <w:autoSpaceDN w:val="0"/>
        <w:adjustRightInd w:val="0"/>
        <w:rPr>
          <w:lang w:val="en-AU"/>
        </w:rPr>
      </w:pPr>
      <w:r w:rsidRPr="002030FF">
        <w:rPr>
          <w:lang w:val="en-AU"/>
        </w:rPr>
        <w:t xml:space="preserve">Palmer WL, Bottle </w:t>
      </w:r>
      <w:proofErr w:type="gramStart"/>
      <w:r w:rsidRPr="002030FF">
        <w:rPr>
          <w:lang w:val="en-AU"/>
        </w:rPr>
        <w:t>A</w:t>
      </w:r>
      <w:proofErr w:type="gramEnd"/>
      <w:r w:rsidRPr="002030FF">
        <w:rPr>
          <w:lang w:val="en-AU"/>
        </w:rPr>
        <w:t>, Aylin P</w:t>
      </w:r>
    </w:p>
    <w:p w:rsidR="00530883" w:rsidRDefault="00530883" w:rsidP="005A6462">
      <w:pPr>
        <w:keepNext/>
        <w:keepLines/>
        <w:autoSpaceDE w:val="0"/>
        <w:autoSpaceDN w:val="0"/>
        <w:adjustRightInd w:val="0"/>
        <w:rPr>
          <w:lang w:val="en-AU"/>
        </w:rPr>
      </w:pPr>
      <w:proofErr w:type="gramStart"/>
      <w:r w:rsidRPr="002030FF">
        <w:rPr>
          <w:lang w:val="en-AU"/>
        </w:rPr>
        <w:t>BMJ.</w:t>
      </w:r>
      <w:proofErr w:type="gramEnd"/>
      <w:r w:rsidRPr="002030FF">
        <w:rPr>
          <w:lang w:val="en-AU"/>
        </w:rPr>
        <w:t xml:space="preserve"> 2015 2015-11-24 23:30:42</w:t>
      </w:r>
      <w:proofErr w:type="gramStart"/>
      <w:r w:rsidRPr="002030FF">
        <w:rPr>
          <w:lang w:val="en-AU"/>
        </w:rPr>
        <w:t>;351</w:t>
      </w:r>
      <w:proofErr w:type="gramEnd"/>
      <w:r w:rsidRPr="002030F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530883" w:rsidRPr="00255EF8" w:rsidTr="00673784">
        <w:tc>
          <w:tcPr>
            <w:tcW w:w="1080" w:type="dxa"/>
            <w:tcBorders>
              <w:top w:val="single" w:sz="4" w:space="0" w:color="auto"/>
              <w:left w:val="single" w:sz="4" w:space="0" w:color="auto"/>
              <w:bottom w:val="single" w:sz="4" w:space="0" w:color="auto"/>
              <w:right w:val="single" w:sz="4" w:space="0" w:color="auto"/>
            </w:tcBorders>
            <w:vAlign w:val="center"/>
          </w:tcPr>
          <w:p w:rsidR="00530883" w:rsidRPr="00255EF8" w:rsidRDefault="00530883" w:rsidP="00673784">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30883" w:rsidRPr="00255EF8" w:rsidRDefault="008B1313" w:rsidP="00673784">
            <w:pPr>
              <w:rPr>
                <w:lang w:val="en-AU"/>
              </w:rPr>
            </w:pPr>
            <w:hyperlink r:id="rId22" w:history="1">
              <w:r w:rsidR="00530883" w:rsidRPr="00F8476D">
                <w:rPr>
                  <w:rStyle w:val="Hyperlink"/>
                  <w:lang w:val="en-AU"/>
                </w:rPr>
                <w:t>http://dx.doi.org/10.1136/bmj.h5774</w:t>
              </w:r>
            </w:hyperlink>
          </w:p>
        </w:tc>
      </w:tr>
      <w:tr w:rsidR="00530883" w:rsidRPr="00255EF8" w:rsidTr="00673784">
        <w:tc>
          <w:tcPr>
            <w:tcW w:w="1080" w:type="dxa"/>
            <w:tcBorders>
              <w:top w:val="single" w:sz="4" w:space="0" w:color="auto"/>
              <w:left w:val="single" w:sz="4" w:space="0" w:color="auto"/>
              <w:bottom w:val="single" w:sz="4" w:space="0" w:color="auto"/>
              <w:right w:val="single" w:sz="4" w:space="0" w:color="auto"/>
            </w:tcBorders>
            <w:vAlign w:val="center"/>
          </w:tcPr>
          <w:p w:rsidR="00530883" w:rsidRPr="00255EF8" w:rsidRDefault="00530883" w:rsidP="0067378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30883" w:rsidRDefault="00530883" w:rsidP="00673784">
            <w:pPr>
              <w:rPr>
                <w:lang w:val="en-AU" w:eastAsia="en-AU"/>
              </w:rPr>
            </w:pPr>
            <w:r>
              <w:rPr>
                <w:lang w:val="en-AU" w:eastAsia="en-AU"/>
              </w:rPr>
              <w:t xml:space="preserve">The ‘weekend effect’ of poorer outcomes in after hours or weekend treatment has been documented previously. This English </w:t>
            </w:r>
            <w:r w:rsidRPr="002030FF">
              <w:rPr>
                <w:lang w:val="en-AU" w:eastAsia="en-AU"/>
              </w:rPr>
              <w:t xml:space="preserve">retrospective observational </w:t>
            </w:r>
            <w:r>
              <w:rPr>
                <w:lang w:val="en-AU" w:eastAsia="en-AU"/>
              </w:rPr>
              <w:t xml:space="preserve">study (examining </w:t>
            </w:r>
            <w:r w:rsidRPr="002030FF">
              <w:rPr>
                <w:lang w:val="en-AU" w:eastAsia="en-AU"/>
              </w:rPr>
              <w:t>1 332 835 deliveries and 1 349 599 births between 1 April 2010 and 31 March 2012</w:t>
            </w:r>
            <w:r>
              <w:rPr>
                <w:lang w:val="en-AU" w:eastAsia="en-AU"/>
              </w:rPr>
              <w:t xml:space="preserve">) sought to determine if there was a relationship between day of delivery and outcomes. The outcomes studied were </w:t>
            </w:r>
            <w:r w:rsidRPr="002030FF">
              <w:rPr>
                <w:lang w:val="en-AU" w:eastAsia="en-AU"/>
              </w:rPr>
              <w:t>perinatal mortality and—for both neonate and mother—infections, emergency readmissions, and injuries.</w:t>
            </w:r>
          </w:p>
          <w:p w:rsidR="00530883" w:rsidRDefault="00530883" w:rsidP="00673784">
            <w:pPr>
              <w:rPr>
                <w:lang w:val="en-AU" w:eastAsia="en-AU"/>
              </w:rPr>
            </w:pPr>
            <w:r>
              <w:rPr>
                <w:lang w:val="en-AU" w:eastAsia="en-AU"/>
              </w:rPr>
              <w:t>The authors report that “</w:t>
            </w:r>
            <w:r w:rsidRPr="002030FF">
              <w:rPr>
                <w:b/>
                <w:lang w:val="en-AU" w:eastAsia="en-AU"/>
              </w:rPr>
              <w:t>Performance</w:t>
            </w:r>
            <w:r w:rsidRPr="002030FF">
              <w:rPr>
                <w:lang w:val="en-AU" w:eastAsia="en-AU"/>
              </w:rPr>
              <w:t xml:space="preserve"> across </w:t>
            </w:r>
            <w:r w:rsidRPr="002030FF">
              <w:rPr>
                <w:b/>
                <w:lang w:val="en-AU" w:eastAsia="en-AU"/>
              </w:rPr>
              <w:t>four</w:t>
            </w:r>
            <w:r w:rsidRPr="002030FF">
              <w:rPr>
                <w:lang w:val="en-AU" w:eastAsia="en-AU"/>
              </w:rPr>
              <w:t xml:space="preserve"> of the seven </w:t>
            </w:r>
            <w:r w:rsidRPr="002030FF">
              <w:rPr>
                <w:b/>
                <w:lang w:val="en-AU" w:eastAsia="en-AU"/>
              </w:rPr>
              <w:t>measures</w:t>
            </w:r>
            <w:r w:rsidRPr="002030FF">
              <w:rPr>
                <w:lang w:val="en-AU" w:eastAsia="en-AU"/>
              </w:rPr>
              <w:t xml:space="preserve"> was </w:t>
            </w:r>
            <w:r w:rsidRPr="002030FF">
              <w:rPr>
                <w:b/>
                <w:lang w:val="en-AU" w:eastAsia="en-AU"/>
              </w:rPr>
              <w:t>significantly worse for women admitted, and babies born, at weekends</w:t>
            </w:r>
            <w:r w:rsidRPr="002030FF">
              <w:rPr>
                <w:lang w:val="en-AU" w:eastAsia="en-AU"/>
              </w:rPr>
              <w:t>. In particular, the perinatal mortality rate was 7.3 per 1000 babies delivered at weekends, 0.9 per 1000 higher than for weekdays</w:t>
            </w:r>
            <w:r>
              <w:rPr>
                <w:lang w:val="en-AU" w:eastAsia="en-AU"/>
              </w:rPr>
              <w:t>”.</w:t>
            </w:r>
          </w:p>
          <w:p w:rsidR="00530883" w:rsidRDefault="00530883" w:rsidP="00673784">
            <w:pPr>
              <w:rPr>
                <w:lang w:val="en-AU" w:eastAsia="en-AU"/>
              </w:rPr>
            </w:pPr>
            <w:r>
              <w:rPr>
                <w:lang w:val="en-AU" w:eastAsia="en-AU"/>
              </w:rPr>
              <w:t>The do also note that they found “</w:t>
            </w:r>
            <w:r w:rsidRPr="002030FF">
              <w:rPr>
                <w:lang w:val="en-AU" w:eastAsia="en-AU"/>
              </w:rPr>
              <w:t>No consistent association between outcomes and staffing</w:t>
            </w:r>
            <w:r>
              <w:rPr>
                <w:lang w:val="en-AU" w:eastAsia="en-AU"/>
              </w:rPr>
              <w:t>”.</w:t>
            </w:r>
          </w:p>
          <w:p w:rsidR="00530883" w:rsidRPr="00AA7F1C" w:rsidRDefault="00530883" w:rsidP="00673784">
            <w:pPr>
              <w:rPr>
                <w:lang w:val="en-AU" w:eastAsia="en-AU"/>
              </w:rPr>
            </w:pPr>
            <w:r>
              <w:rPr>
                <w:lang w:val="en-AU" w:eastAsia="en-AU"/>
              </w:rPr>
              <w:t>But, as they also conclude, “</w:t>
            </w:r>
            <w:r w:rsidRPr="002030FF">
              <w:rPr>
                <w:lang w:val="en-AU" w:eastAsia="en-AU"/>
              </w:rPr>
              <w:t xml:space="preserve">This study provides an evaluation of the “weekend effect” in obstetric care, covering a range of outcomes. The results would suggest </w:t>
            </w:r>
            <w:r w:rsidRPr="002030FF">
              <w:rPr>
                <w:b/>
                <w:lang w:val="en-AU" w:eastAsia="en-AU"/>
              </w:rPr>
              <w:t>approximately 770 perinatal deaths and 470 maternal infections per year above what might be expected</w:t>
            </w:r>
            <w:r w:rsidRPr="002030FF">
              <w:rPr>
                <w:lang w:val="en-AU" w:eastAsia="en-AU"/>
              </w:rPr>
              <w:t xml:space="preserve"> </w:t>
            </w:r>
            <w:r>
              <w:rPr>
                <w:lang w:val="en-AU" w:eastAsia="en-AU"/>
              </w:rPr>
              <w:t xml:space="preserve">[in England] </w:t>
            </w:r>
            <w:r w:rsidRPr="002030FF">
              <w:rPr>
                <w:lang w:val="en-AU" w:eastAsia="en-AU"/>
              </w:rPr>
              <w:t>if performance was consistent across women admitted, and babies born, on different days of the week.</w:t>
            </w:r>
            <w:r>
              <w:rPr>
                <w:lang w:val="en-AU" w:eastAsia="en-AU"/>
              </w:rPr>
              <w:t>”</w:t>
            </w:r>
          </w:p>
        </w:tc>
      </w:tr>
    </w:tbl>
    <w:p w:rsidR="00530883" w:rsidRDefault="00530883" w:rsidP="00530883">
      <w:pPr>
        <w:keepLines/>
        <w:autoSpaceDE w:val="0"/>
        <w:autoSpaceDN w:val="0"/>
        <w:adjustRightInd w:val="0"/>
        <w:rPr>
          <w:i/>
          <w:lang w:val="en-AU"/>
        </w:rPr>
      </w:pPr>
    </w:p>
    <w:p w:rsidR="00530883" w:rsidRDefault="00530883" w:rsidP="00530883">
      <w:pPr>
        <w:keepLines/>
        <w:autoSpaceDE w:val="0"/>
        <w:autoSpaceDN w:val="0"/>
        <w:adjustRightInd w:val="0"/>
        <w:rPr>
          <w:i/>
          <w:lang w:val="en-AU"/>
        </w:rPr>
      </w:pPr>
      <w:r w:rsidRPr="00A61637">
        <w:rPr>
          <w:i/>
          <w:lang w:val="en-AU"/>
        </w:rPr>
        <w:t>Team training for safer birth</w:t>
      </w:r>
    </w:p>
    <w:p w:rsidR="00530883" w:rsidRDefault="00530883" w:rsidP="00530883">
      <w:pPr>
        <w:keepLines/>
        <w:autoSpaceDE w:val="0"/>
        <w:autoSpaceDN w:val="0"/>
        <w:adjustRightInd w:val="0"/>
        <w:rPr>
          <w:lang w:val="en-AU"/>
        </w:rPr>
      </w:pPr>
      <w:r w:rsidRPr="002030FF">
        <w:rPr>
          <w:lang w:val="en-AU"/>
        </w:rPr>
        <w:t>Cornthwaite K, Alvarez M, Siassakos D</w:t>
      </w:r>
    </w:p>
    <w:p w:rsidR="00530883" w:rsidRDefault="00530883" w:rsidP="00530883">
      <w:pPr>
        <w:keepLines/>
        <w:autoSpaceDE w:val="0"/>
        <w:autoSpaceDN w:val="0"/>
        <w:adjustRightInd w:val="0"/>
        <w:rPr>
          <w:lang w:val="en-AU"/>
        </w:rPr>
      </w:pPr>
      <w:r w:rsidRPr="002030FF">
        <w:rPr>
          <w:lang w:val="en-AU"/>
        </w:rPr>
        <w:t>Best Practice &amp; Research Clinical Obstetrics &amp; Gynaecology. 2015</w:t>
      </w:r>
      <w:proofErr w:type="gramStart"/>
      <w:r w:rsidRPr="002030FF">
        <w:rPr>
          <w:lang w:val="en-AU"/>
        </w:rPr>
        <w:t>;29</w:t>
      </w:r>
      <w:proofErr w:type="gramEnd"/>
      <w:r w:rsidRPr="002030FF">
        <w:rPr>
          <w:lang w:val="en-AU"/>
        </w:rPr>
        <w:t>(8):1044-57.</w:t>
      </w:r>
    </w:p>
    <w:tbl>
      <w:tblPr>
        <w:tblStyle w:val="TableGrid"/>
        <w:tblW w:w="0" w:type="auto"/>
        <w:tblInd w:w="288" w:type="dxa"/>
        <w:tblLayout w:type="fixed"/>
        <w:tblLook w:val="01E0" w:firstRow="1" w:lastRow="1" w:firstColumn="1" w:lastColumn="1" w:noHBand="0" w:noVBand="0"/>
      </w:tblPr>
      <w:tblGrid>
        <w:gridCol w:w="1080"/>
        <w:gridCol w:w="8280"/>
      </w:tblGrid>
      <w:tr w:rsidR="00530883" w:rsidRPr="00255EF8" w:rsidTr="00673784">
        <w:tc>
          <w:tcPr>
            <w:tcW w:w="1080" w:type="dxa"/>
            <w:tcBorders>
              <w:top w:val="single" w:sz="4" w:space="0" w:color="auto"/>
              <w:left w:val="single" w:sz="4" w:space="0" w:color="auto"/>
              <w:bottom w:val="single" w:sz="4" w:space="0" w:color="auto"/>
              <w:right w:val="single" w:sz="4" w:space="0" w:color="auto"/>
            </w:tcBorders>
            <w:vAlign w:val="center"/>
          </w:tcPr>
          <w:p w:rsidR="00530883" w:rsidRPr="00255EF8" w:rsidRDefault="00530883" w:rsidP="00673784">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30883" w:rsidRPr="00255EF8" w:rsidRDefault="008B1313" w:rsidP="00673784">
            <w:pPr>
              <w:rPr>
                <w:lang w:val="en-AU"/>
              </w:rPr>
            </w:pPr>
            <w:hyperlink r:id="rId23" w:history="1">
              <w:r w:rsidR="00530883" w:rsidRPr="00F8476D">
                <w:rPr>
                  <w:rStyle w:val="Hyperlink"/>
                  <w:lang w:val="en-AU"/>
                </w:rPr>
                <w:t>http://dx.doi.org/10.1016/j.bpobgyn.2015.03.020</w:t>
              </w:r>
            </w:hyperlink>
          </w:p>
        </w:tc>
      </w:tr>
      <w:tr w:rsidR="00530883" w:rsidRPr="00255EF8" w:rsidTr="00673784">
        <w:tc>
          <w:tcPr>
            <w:tcW w:w="1080" w:type="dxa"/>
            <w:tcBorders>
              <w:top w:val="single" w:sz="4" w:space="0" w:color="auto"/>
              <w:left w:val="single" w:sz="4" w:space="0" w:color="auto"/>
              <w:bottom w:val="single" w:sz="4" w:space="0" w:color="auto"/>
              <w:right w:val="single" w:sz="4" w:space="0" w:color="auto"/>
            </w:tcBorders>
            <w:vAlign w:val="center"/>
          </w:tcPr>
          <w:p w:rsidR="00530883" w:rsidRPr="00255EF8" w:rsidRDefault="00530883" w:rsidP="0067378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30883" w:rsidRPr="00AA7F1C" w:rsidRDefault="00530883" w:rsidP="00673784">
            <w:pPr>
              <w:rPr>
                <w:lang w:val="en-AU" w:eastAsia="en-AU"/>
              </w:rPr>
            </w:pPr>
            <w:r>
              <w:rPr>
                <w:lang w:val="en-AU" w:eastAsia="en-AU"/>
              </w:rPr>
              <w:t xml:space="preserve">This review piece discusses some of the strategies that can help make childbirth safer, particularly when there is an obstetric emergency, including the importance of </w:t>
            </w:r>
            <w:r w:rsidRPr="0083542D">
              <w:rPr>
                <w:lang w:val="en-AU" w:eastAsia="en-AU"/>
              </w:rPr>
              <w:t xml:space="preserve">team training, </w:t>
            </w:r>
            <w:r>
              <w:rPr>
                <w:lang w:val="en-AU" w:eastAsia="en-AU"/>
              </w:rPr>
              <w:t xml:space="preserve">leadership, </w:t>
            </w:r>
            <w:r w:rsidRPr="0083542D">
              <w:rPr>
                <w:lang w:val="en-AU" w:eastAsia="en-AU"/>
              </w:rPr>
              <w:t>communication</w:t>
            </w:r>
            <w:r>
              <w:rPr>
                <w:lang w:val="en-AU" w:eastAsia="en-AU"/>
              </w:rPr>
              <w:t>s</w:t>
            </w:r>
            <w:r w:rsidRPr="0083542D">
              <w:rPr>
                <w:lang w:val="en-AU" w:eastAsia="en-AU"/>
              </w:rPr>
              <w:t>, and situational awareness.</w:t>
            </w:r>
            <w:r>
              <w:rPr>
                <w:lang w:val="en-AU" w:eastAsia="en-AU"/>
              </w:rPr>
              <w:t xml:space="preserve"> The authors also examine how teamwork training can be incorporated into training and contribute to training being a positive and enjoyable experience that contributes to </w:t>
            </w:r>
            <w:r w:rsidRPr="0083542D">
              <w:rPr>
                <w:lang w:val="en-AU" w:eastAsia="en-AU"/>
              </w:rPr>
              <w:t>improved clinical outcomes and better birth experience for women</w:t>
            </w:r>
            <w:r>
              <w:rPr>
                <w:lang w:val="en-AU" w:eastAsia="en-AU"/>
              </w:rPr>
              <w:t xml:space="preserve"> (and clinicians).</w:t>
            </w:r>
          </w:p>
        </w:tc>
      </w:tr>
    </w:tbl>
    <w:p w:rsidR="00530883" w:rsidRDefault="00530883" w:rsidP="00530883">
      <w:pPr>
        <w:keepLines/>
        <w:autoSpaceDE w:val="0"/>
        <w:autoSpaceDN w:val="0"/>
        <w:adjustRightInd w:val="0"/>
        <w:rPr>
          <w:i/>
          <w:lang w:val="en-AU"/>
        </w:rPr>
      </w:pPr>
    </w:p>
    <w:p w:rsidR="005B465D" w:rsidRPr="005B465D" w:rsidRDefault="005B465D" w:rsidP="005B465D">
      <w:pPr>
        <w:keepLines/>
        <w:autoSpaceDE w:val="0"/>
        <w:autoSpaceDN w:val="0"/>
        <w:adjustRightInd w:val="0"/>
        <w:rPr>
          <w:i/>
          <w:lang w:val="en-AU"/>
        </w:rPr>
      </w:pPr>
      <w:r w:rsidRPr="005B465D">
        <w:rPr>
          <w:i/>
          <w:lang w:val="en-AU"/>
        </w:rPr>
        <w:t>The effect of contact precautions on frequency of hospital adverse events</w:t>
      </w:r>
    </w:p>
    <w:p w:rsidR="00F5759E" w:rsidRDefault="00F5759E" w:rsidP="005B465D">
      <w:pPr>
        <w:keepLines/>
        <w:autoSpaceDE w:val="0"/>
        <w:autoSpaceDN w:val="0"/>
        <w:adjustRightInd w:val="0"/>
        <w:rPr>
          <w:lang w:val="en-AU"/>
        </w:rPr>
      </w:pPr>
      <w:r w:rsidRPr="00F5759E">
        <w:rPr>
          <w:lang w:val="en-AU"/>
        </w:rPr>
        <w:t>Croft LD, Liquori M, Ladd J, Day H, Pineles L, Lamos E, et al.</w:t>
      </w:r>
    </w:p>
    <w:p w:rsidR="005B465D" w:rsidRDefault="00F5759E" w:rsidP="005B465D">
      <w:pPr>
        <w:keepLines/>
        <w:autoSpaceDE w:val="0"/>
        <w:autoSpaceDN w:val="0"/>
        <w:adjustRightInd w:val="0"/>
        <w:rPr>
          <w:lang w:val="en-AU"/>
        </w:rPr>
      </w:pPr>
      <w:proofErr w:type="gramStart"/>
      <w:r w:rsidRPr="00F5759E">
        <w:rPr>
          <w:lang w:val="en-AU"/>
        </w:rPr>
        <w:t>Infection Control &amp; Hospital Epidemiology.</w:t>
      </w:r>
      <w:proofErr w:type="gramEnd"/>
      <w:r w:rsidRPr="00F5759E">
        <w:rPr>
          <w:lang w:val="en-AU"/>
        </w:rPr>
        <w:t xml:space="preserve"> 2015</w:t>
      </w:r>
      <w:proofErr w:type="gramStart"/>
      <w:r w:rsidRPr="00F5759E">
        <w:rPr>
          <w:lang w:val="en-AU"/>
        </w:rPr>
        <w:t>;36</w:t>
      </w:r>
      <w:proofErr w:type="gramEnd"/>
      <w:r w:rsidRPr="00F5759E">
        <w:rPr>
          <w:lang w:val="en-AU"/>
        </w:rPr>
        <w:t>(11):1268-74.</w:t>
      </w:r>
    </w:p>
    <w:tbl>
      <w:tblPr>
        <w:tblStyle w:val="TableGrid"/>
        <w:tblW w:w="0" w:type="auto"/>
        <w:tblInd w:w="288" w:type="dxa"/>
        <w:tblLayout w:type="fixed"/>
        <w:tblLook w:val="01E0" w:firstRow="1" w:lastRow="1" w:firstColumn="1" w:lastColumn="1" w:noHBand="0" w:noVBand="0"/>
      </w:tblPr>
      <w:tblGrid>
        <w:gridCol w:w="1080"/>
        <w:gridCol w:w="8280"/>
      </w:tblGrid>
      <w:tr w:rsidR="005B465D"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5B465D" w:rsidRPr="00255EF8" w:rsidRDefault="005B465D" w:rsidP="00AD5026">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B465D" w:rsidRPr="00255EF8" w:rsidRDefault="008B1313" w:rsidP="00AD5026">
            <w:pPr>
              <w:rPr>
                <w:lang w:val="en-AU"/>
              </w:rPr>
            </w:pPr>
            <w:hyperlink r:id="rId24" w:history="1">
              <w:r w:rsidR="005B465D" w:rsidRPr="00F8476D">
                <w:rPr>
                  <w:rStyle w:val="Hyperlink"/>
                  <w:lang w:val="en-AU"/>
                </w:rPr>
                <w:t>http://dx.doi.org/10.1017/ice.2015.192</w:t>
              </w:r>
            </w:hyperlink>
          </w:p>
        </w:tc>
      </w:tr>
      <w:tr w:rsidR="005B465D"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5B465D" w:rsidRPr="00255EF8" w:rsidRDefault="005B465D" w:rsidP="00AD502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5759E" w:rsidRDefault="00F5759E" w:rsidP="00F5759E">
            <w:pPr>
              <w:rPr>
                <w:lang w:val="en-AU" w:eastAsia="en-AU"/>
              </w:rPr>
            </w:pPr>
            <w:r>
              <w:rPr>
                <w:lang w:val="en-AU" w:eastAsia="en-AU"/>
              </w:rPr>
              <w:t>Patients for whom contact precautions have been implemented (usually to help stop the spread of health</w:t>
            </w:r>
            <w:r w:rsidRPr="00F5759E">
              <w:rPr>
                <w:lang w:val="en-AU" w:eastAsia="en-AU"/>
              </w:rPr>
              <w:t>care</w:t>
            </w:r>
            <w:r>
              <w:rPr>
                <w:lang w:val="en-AU" w:eastAsia="en-AU"/>
              </w:rPr>
              <w:t xml:space="preserve"> </w:t>
            </w:r>
            <w:r w:rsidRPr="00F5759E">
              <w:rPr>
                <w:lang w:val="en-AU" w:eastAsia="en-AU"/>
              </w:rPr>
              <w:t>associated infections</w:t>
            </w:r>
            <w:r>
              <w:rPr>
                <w:lang w:val="en-AU" w:eastAsia="en-AU"/>
              </w:rPr>
              <w:t>) are visited by clinicians less often. This case control study (conducted in an American tertiary hospital using two cohorts of 148 patients each) sought to determine if this leads to these patients being at greater risk of adverse events.</w:t>
            </w:r>
          </w:p>
          <w:p w:rsidR="00F5759E" w:rsidRPr="00AA7F1C" w:rsidRDefault="00F5759E" w:rsidP="00F5759E">
            <w:pPr>
              <w:rPr>
                <w:lang w:val="en-AU" w:eastAsia="en-AU"/>
              </w:rPr>
            </w:pPr>
            <w:r w:rsidRPr="00F5759E">
              <w:rPr>
                <w:lang w:val="en-AU" w:eastAsia="en-AU"/>
              </w:rPr>
              <w:t xml:space="preserve">104 (35.1%) </w:t>
            </w:r>
            <w:r>
              <w:rPr>
                <w:lang w:val="en-AU" w:eastAsia="en-AU"/>
              </w:rPr>
              <w:t xml:space="preserve">patients </w:t>
            </w:r>
            <w:r w:rsidRPr="00F5759E">
              <w:rPr>
                <w:lang w:val="en-AU" w:eastAsia="en-AU"/>
              </w:rPr>
              <w:t xml:space="preserve">experienced at least </w:t>
            </w:r>
            <w:r>
              <w:rPr>
                <w:lang w:val="en-AU" w:eastAsia="en-AU"/>
              </w:rPr>
              <w:t>one</w:t>
            </w:r>
            <w:r w:rsidRPr="00F5759E">
              <w:rPr>
                <w:lang w:val="en-AU" w:eastAsia="en-AU"/>
              </w:rPr>
              <w:t xml:space="preserve"> adverse event during their hospital stay. </w:t>
            </w:r>
            <w:r w:rsidRPr="00F5759E">
              <w:rPr>
                <w:b/>
                <w:lang w:val="en-AU" w:eastAsia="en-AU"/>
              </w:rPr>
              <w:t>Contact precautions</w:t>
            </w:r>
            <w:r w:rsidRPr="00F5759E">
              <w:rPr>
                <w:lang w:val="en-AU" w:eastAsia="en-AU"/>
              </w:rPr>
              <w:t xml:space="preserve"> were </w:t>
            </w:r>
            <w:r w:rsidRPr="00360CAC">
              <w:rPr>
                <w:b/>
                <w:lang w:val="en-AU" w:eastAsia="en-AU"/>
              </w:rPr>
              <w:t>associated</w:t>
            </w:r>
            <w:r w:rsidRPr="00F5759E">
              <w:rPr>
                <w:lang w:val="en-AU" w:eastAsia="en-AU"/>
              </w:rPr>
              <w:t xml:space="preserve"> with </w:t>
            </w:r>
            <w:r w:rsidRPr="00F5759E">
              <w:rPr>
                <w:b/>
                <w:lang w:val="en-AU" w:eastAsia="en-AU"/>
              </w:rPr>
              <w:t>fewer non-infectious adverse events</w:t>
            </w:r>
            <w:r w:rsidRPr="00F5759E">
              <w:rPr>
                <w:lang w:val="en-AU" w:eastAsia="en-AU"/>
              </w:rPr>
              <w:t xml:space="preserve"> and although not statistically significant, with </w:t>
            </w:r>
            <w:r w:rsidRPr="00360CAC">
              <w:rPr>
                <w:b/>
                <w:lang w:val="en-AU" w:eastAsia="en-AU"/>
              </w:rPr>
              <w:t>fewer severe adverse events</w:t>
            </w:r>
            <w:r w:rsidRPr="00F5759E">
              <w:rPr>
                <w:lang w:val="en-AU" w:eastAsia="en-AU"/>
              </w:rPr>
              <w:t>. Preventable adverse events did not significantly differ between patients on contact precautions and pat</w:t>
            </w:r>
            <w:r>
              <w:rPr>
                <w:lang w:val="en-AU" w:eastAsia="en-AU"/>
              </w:rPr>
              <w:t>ients not on contact precautions</w:t>
            </w:r>
            <w:r w:rsidRPr="00F5759E">
              <w:rPr>
                <w:lang w:val="en-AU" w:eastAsia="en-AU"/>
              </w:rPr>
              <w:t>.</w:t>
            </w:r>
          </w:p>
        </w:tc>
      </w:tr>
    </w:tbl>
    <w:p w:rsidR="005B465D" w:rsidRDefault="005B465D" w:rsidP="005B465D">
      <w:pPr>
        <w:keepLines/>
        <w:autoSpaceDE w:val="0"/>
        <w:autoSpaceDN w:val="0"/>
        <w:adjustRightInd w:val="0"/>
        <w:rPr>
          <w:i/>
          <w:lang w:val="en-AU"/>
        </w:rPr>
      </w:pPr>
    </w:p>
    <w:p w:rsidR="003D7274" w:rsidRDefault="003D7274" w:rsidP="005B465D">
      <w:pPr>
        <w:keepLines/>
        <w:autoSpaceDE w:val="0"/>
        <w:autoSpaceDN w:val="0"/>
        <w:adjustRightInd w:val="0"/>
        <w:rPr>
          <w:lang w:val="en-AU"/>
        </w:rPr>
      </w:pPr>
      <w:r w:rsidRPr="00EA6F18">
        <w:rPr>
          <w:lang w:val="en-AU"/>
        </w:rPr>
        <w:t>For information on the Commission’s work on</w:t>
      </w:r>
      <w:r>
        <w:rPr>
          <w:lang w:val="en-AU"/>
        </w:rPr>
        <w:t xml:space="preserve"> healthcare associated infection, see </w:t>
      </w:r>
      <w:hyperlink r:id="rId25" w:history="1">
        <w:r w:rsidRPr="00F8476D">
          <w:rPr>
            <w:rStyle w:val="Hyperlink"/>
            <w:lang w:val="en-AU"/>
          </w:rPr>
          <w:t>http://www.safetyandquality.gov.au/our-work/healthcare-associated-infection/</w:t>
        </w:r>
      </w:hyperlink>
    </w:p>
    <w:p w:rsidR="005B465D" w:rsidRPr="005B465D" w:rsidRDefault="005B465D" w:rsidP="005B465D">
      <w:pPr>
        <w:keepLines/>
        <w:autoSpaceDE w:val="0"/>
        <w:autoSpaceDN w:val="0"/>
        <w:adjustRightInd w:val="0"/>
        <w:rPr>
          <w:i/>
          <w:lang w:val="en-AU"/>
        </w:rPr>
      </w:pPr>
      <w:r w:rsidRPr="005B465D">
        <w:rPr>
          <w:i/>
          <w:lang w:val="en-AU"/>
        </w:rPr>
        <w:lastRenderedPageBreak/>
        <w:t>A prospective controlled trial of an electronic hand hygiene reminder system</w:t>
      </w:r>
    </w:p>
    <w:p w:rsidR="009A6CBB" w:rsidRDefault="009A6CBB" w:rsidP="005B465D">
      <w:pPr>
        <w:keepLines/>
        <w:autoSpaceDE w:val="0"/>
        <w:autoSpaceDN w:val="0"/>
        <w:adjustRightInd w:val="0"/>
        <w:rPr>
          <w:lang w:val="en-AU"/>
        </w:rPr>
      </w:pPr>
      <w:r w:rsidRPr="009A6CBB">
        <w:rPr>
          <w:lang w:val="en-AU"/>
        </w:rPr>
        <w:t>Ellison RT, Barysauskas CM, Rundensteiner EA, Wang D, Barton B</w:t>
      </w:r>
    </w:p>
    <w:p w:rsidR="005B465D" w:rsidRDefault="009A6CBB" w:rsidP="005B465D">
      <w:pPr>
        <w:keepLines/>
        <w:autoSpaceDE w:val="0"/>
        <w:autoSpaceDN w:val="0"/>
        <w:adjustRightInd w:val="0"/>
        <w:rPr>
          <w:lang w:val="en-AU"/>
        </w:rPr>
      </w:pPr>
      <w:r w:rsidRPr="009A6CBB">
        <w:rPr>
          <w:lang w:val="en-AU"/>
        </w:rPr>
        <w:t>Open Forum Infectious Diseases. 2015 December 1, 2015</w:t>
      </w:r>
      <w:proofErr w:type="gramStart"/>
      <w:r w:rsidRPr="009A6CBB">
        <w:rPr>
          <w:lang w:val="en-AU"/>
        </w:rPr>
        <w:t>;2</w:t>
      </w:r>
      <w:proofErr w:type="gramEnd"/>
      <w:r w:rsidRPr="009A6CBB">
        <w:rPr>
          <w:lang w:val="en-AU"/>
        </w:rPr>
        <w:t>(4).</w:t>
      </w:r>
    </w:p>
    <w:tbl>
      <w:tblPr>
        <w:tblStyle w:val="TableGrid"/>
        <w:tblW w:w="0" w:type="auto"/>
        <w:tblInd w:w="288" w:type="dxa"/>
        <w:tblLayout w:type="fixed"/>
        <w:tblLook w:val="01E0" w:firstRow="1" w:lastRow="1" w:firstColumn="1" w:lastColumn="1" w:noHBand="0" w:noVBand="0"/>
      </w:tblPr>
      <w:tblGrid>
        <w:gridCol w:w="1080"/>
        <w:gridCol w:w="8280"/>
      </w:tblGrid>
      <w:tr w:rsidR="005B465D"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5B465D" w:rsidRPr="00255EF8" w:rsidRDefault="005B465D" w:rsidP="00AD5026">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B465D" w:rsidRPr="00255EF8" w:rsidRDefault="008B1313" w:rsidP="00AD5026">
            <w:pPr>
              <w:rPr>
                <w:lang w:val="en-AU"/>
              </w:rPr>
            </w:pPr>
            <w:hyperlink r:id="rId26" w:history="1">
              <w:r w:rsidR="005B465D" w:rsidRPr="00F8476D">
                <w:rPr>
                  <w:rStyle w:val="Hyperlink"/>
                  <w:lang w:val="en-AU"/>
                </w:rPr>
                <w:t>http://dx.doi.org/10.1093/ofid/ofv121</w:t>
              </w:r>
            </w:hyperlink>
          </w:p>
        </w:tc>
      </w:tr>
      <w:tr w:rsidR="005B465D"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5B465D" w:rsidRPr="00255EF8" w:rsidRDefault="005B465D" w:rsidP="00AD502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6CBB" w:rsidRDefault="009A6CBB" w:rsidP="009A6CBB">
            <w:pPr>
              <w:rPr>
                <w:lang w:val="en-AU" w:eastAsia="en-AU"/>
              </w:rPr>
            </w:pPr>
            <w:r>
              <w:rPr>
                <w:lang w:val="en-AU" w:eastAsia="en-AU"/>
              </w:rPr>
              <w:t xml:space="preserve">Hand hygiene is something that we expect clinicians to perform routinely; up to dozens of times a day. It is know that this is somewhat problematic and compliance rates vary. This paper discusses </w:t>
            </w:r>
            <w:r w:rsidR="00F6512F">
              <w:rPr>
                <w:lang w:val="en-AU" w:eastAsia="en-AU"/>
              </w:rPr>
              <w:t>an</w:t>
            </w:r>
            <w:r>
              <w:rPr>
                <w:lang w:val="en-AU" w:eastAsia="en-AU"/>
              </w:rPr>
              <w:t xml:space="preserve"> electronic method for prompting hand hygiene. This </w:t>
            </w:r>
            <w:r w:rsidRPr="009A6CBB">
              <w:rPr>
                <w:lang w:val="en-AU" w:eastAsia="en-AU"/>
              </w:rPr>
              <w:t xml:space="preserve">prospective controlled trial </w:t>
            </w:r>
            <w:r>
              <w:rPr>
                <w:lang w:val="en-AU" w:eastAsia="en-AU"/>
              </w:rPr>
              <w:t xml:space="preserve">was conducted in </w:t>
            </w:r>
            <w:r w:rsidRPr="009A6CBB">
              <w:rPr>
                <w:lang w:val="en-AU" w:eastAsia="en-AU"/>
              </w:rPr>
              <w:t>two intensive care units (ICUs)</w:t>
            </w:r>
            <w:r>
              <w:rPr>
                <w:lang w:val="en-AU" w:eastAsia="en-AU"/>
              </w:rPr>
              <w:t>. In one a</w:t>
            </w:r>
            <w:r w:rsidRPr="009A6CBB">
              <w:rPr>
                <w:lang w:val="en-AU" w:eastAsia="en-AU"/>
              </w:rPr>
              <w:t xml:space="preserve">n audible chime </w:t>
            </w:r>
            <w:r>
              <w:rPr>
                <w:lang w:val="en-AU" w:eastAsia="en-AU"/>
              </w:rPr>
              <w:t xml:space="preserve">sounded each time a room was entered or exited. This led to </w:t>
            </w:r>
            <w:r w:rsidRPr="009A6CBB">
              <w:rPr>
                <w:lang w:val="en-AU" w:eastAsia="en-AU"/>
              </w:rPr>
              <w:t>increased handwashing events in the test ICU</w:t>
            </w:r>
            <w:r>
              <w:rPr>
                <w:lang w:val="en-AU" w:eastAsia="en-AU"/>
              </w:rPr>
              <w:t xml:space="preserve"> initially. However, the </w:t>
            </w:r>
            <w:r w:rsidRPr="009A6CBB">
              <w:rPr>
                <w:lang w:val="en-AU" w:eastAsia="en-AU"/>
              </w:rPr>
              <w:t>effect quickly declined</w:t>
            </w:r>
            <w:r>
              <w:rPr>
                <w:lang w:val="en-AU" w:eastAsia="en-AU"/>
              </w:rPr>
              <w:t>.</w:t>
            </w:r>
          </w:p>
          <w:p w:rsidR="009A6CBB" w:rsidRPr="00AA7F1C" w:rsidRDefault="009A6CBB" w:rsidP="009A6CBB">
            <w:pPr>
              <w:rPr>
                <w:lang w:val="en-AU" w:eastAsia="en-AU"/>
              </w:rPr>
            </w:pPr>
            <w:r>
              <w:rPr>
                <w:lang w:val="en-AU" w:eastAsia="en-AU"/>
              </w:rPr>
              <w:t>A</w:t>
            </w:r>
            <w:r w:rsidRPr="009A6CBB">
              <w:rPr>
                <w:lang w:val="en-AU" w:eastAsia="en-AU"/>
              </w:rPr>
              <w:t xml:space="preserve"> combination of a chime and real-time computer monitor feedback of current hygiene compliance rates </w:t>
            </w:r>
            <w:r>
              <w:rPr>
                <w:lang w:val="en-AU" w:eastAsia="en-AU"/>
              </w:rPr>
              <w:t>produced a</w:t>
            </w:r>
            <w:r w:rsidRPr="009A6CBB">
              <w:rPr>
                <w:lang w:val="en-AU" w:eastAsia="en-AU"/>
              </w:rPr>
              <w:t xml:space="preserve">n increase </w:t>
            </w:r>
            <w:r>
              <w:rPr>
                <w:lang w:val="en-AU" w:eastAsia="en-AU"/>
              </w:rPr>
              <w:t xml:space="preserve">in compliance </w:t>
            </w:r>
            <w:r w:rsidRPr="009A6CBB">
              <w:rPr>
                <w:lang w:val="en-AU" w:eastAsia="en-AU"/>
              </w:rPr>
              <w:t xml:space="preserve">that </w:t>
            </w:r>
            <w:r>
              <w:rPr>
                <w:lang w:val="en-AU" w:eastAsia="en-AU"/>
              </w:rPr>
              <w:t>was sustained</w:t>
            </w:r>
            <w:r w:rsidRPr="009A6CBB">
              <w:rPr>
                <w:lang w:val="en-AU" w:eastAsia="en-AU"/>
              </w:rPr>
              <w:t xml:space="preserve">. </w:t>
            </w:r>
          </w:p>
        </w:tc>
      </w:tr>
    </w:tbl>
    <w:p w:rsidR="005B465D" w:rsidRDefault="005B465D" w:rsidP="005B465D">
      <w:pPr>
        <w:keepLines/>
        <w:autoSpaceDE w:val="0"/>
        <w:autoSpaceDN w:val="0"/>
        <w:adjustRightInd w:val="0"/>
        <w:rPr>
          <w:i/>
          <w:lang w:val="en-AU"/>
        </w:rPr>
      </w:pPr>
    </w:p>
    <w:p w:rsidR="00A61637" w:rsidRDefault="00A61637" w:rsidP="00051B20">
      <w:pPr>
        <w:keepNext/>
        <w:keepLines/>
        <w:autoSpaceDE w:val="0"/>
        <w:autoSpaceDN w:val="0"/>
        <w:adjustRightInd w:val="0"/>
        <w:rPr>
          <w:i/>
          <w:lang w:val="en-AU"/>
        </w:rPr>
      </w:pPr>
      <w:r w:rsidRPr="00A61637">
        <w:rPr>
          <w:i/>
          <w:lang w:val="en-AU"/>
        </w:rPr>
        <w:t>Empowering patients in the hospital as a new approach to reducing the burden of health care–associated infections: the attitudes of hospital health care workers</w:t>
      </w:r>
    </w:p>
    <w:p w:rsidR="00E67EE7" w:rsidRDefault="00E67EE7" w:rsidP="00051B20">
      <w:pPr>
        <w:keepNext/>
        <w:keepLines/>
        <w:autoSpaceDE w:val="0"/>
        <w:autoSpaceDN w:val="0"/>
        <w:adjustRightInd w:val="0"/>
        <w:rPr>
          <w:lang w:val="en-AU"/>
        </w:rPr>
      </w:pPr>
      <w:r w:rsidRPr="00E67EE7">
        <w:rPr>
          <w:lang w:val="en-AU"/>
        </w:rPr>
        <w:t>Seale H, Chughtai AA, Kaur R, Phillipson L, Novytska Y, Travaglia J</w:t>
      </w:r>
    </w:p>
    <w:p w:rsidR="00A61637" w:rsidRDefault="00E67EE7" w:rsidP="00051B20">
      <w:pPr>
        <w:keepNext/>
        <w:keepLines/>
        <w:autoSpaceDE w:val="0"/>
        <w:autoSpaceDN w:val="0"/>
        <w:adjustRightInd w:val="0"/>
        <w:rPr>
          <w:lang w:val="en-AU"/>
        </w:rPr>
      </w:pPr>
      <w:r w:rsidRPr="00E67EE7">
        <w:rPr>
          <w:lang w:val="en-AU"/>
        </w:rPr>
        <w:t>American Journal of Infection Control</w:t>
      </w:r>
      <w:r>
        <w:rPr>
          <w:lang w:val="en-AU"/>
        </w:rPr>
        <w:t xml:space="preserve"> [epub]</w:t>
      </w:r>
      <w:r w:rsidRPr="00E67EE7">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61637"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61637" w:rsidRPr="00255EF8" w:rsidRDefault="00A61637" w:rsidP="00AD5026">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D7274" w:rsidRPr="00255EF8" w:rsidRDefault="008B1313" w:rsidP="003D7274">
            <w:pPr>
              <w:rPr>
                <w:lang w:val="en-AU"/>
              </w:rPr>
            </w:pPr>
            <w:hyperlink r:id="rId27" w:history="1">
              <w:r w:rsidR="00A61637" w:rsidRPr="00F8476D">
                <w:rPr>
                  <w:rStyle w:val="Hyperlink"/>
                  <w:lang w:val="en-AU"/>
                </w:rPr>
                <w:t>http://dx.doi.org/10.1016/j.ajic.2015.10.003</w:t>
              </w:r>
            </w:hyperlink>
          </w:p>
        </w:tc>
      </w:tr>
      <w:tr w:rsidR="00A61637"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61637" w:rsidRPr="00255EF8" w:rsidRDefault="00A61637" w:rsidP="00AD502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1637" w:rsidRPr="00AA7F1C" w:rsidRDefault="009A6CBB" w:rsidP="00E67EE7">
            <w:pPr>
              <w:rPr>
                <w:lang w:val="en-AU" w:eastAsia="en-AU"/>
              </w:rPr>
            </w:pPr>
            <w:r>
              <w:rPr>
                <w:lang w:val="en-AU" w:eastAsia="en-AU"/>
              </w:rPr>
              <w:t>Another form of prompting or reminding healthcare workers about hand hygiene is getting patients, families and/or carers to ask. This papers reports on a</w:t>
            </w:r>
            <w:r w:rsidR="00E67EE7">
              <w:rPr>
                <w:lang w:val="en-AU" w:eastAsia="en-AU"/>
              </w:rPr>
              <w:t xml:space="preserve"> small</w:t>
            </w:r>
            <w:r>
              <w:rPr>
                <w:lang w:val="en-AU" w:eastAsia="en-AU"/>
              </w:rPr>
              <w:t xml:space="preserve"> </w:t>
            </w:r>
            <w:r w:rsidRPr="009A6CBB">
              <w:rPr>
                <w:lang w:val="en-AU" w:eastAsia="en-AU"/>
              </w:rPr>
              <w:t xml:space="preserve">interview study of </w:t>
            </w:r>
            <w:r w:rsidR="00E67EE7">
              <w:rPr>
                <w:lang w:val="en-AU" w:eastAsia="en-AU"/>
              </w:rPr>
              <w:t xml:space="preserve">(Australian) </w:t>
            </w:r>
            <w:r w:rsidRPr="009A6CBB">
              <w:rPr>
                <w:lang w:val="en-AU" w:eastAsia="en-AU"/>
              </w:rPr>
              <w:t xml:space="preserve">hospital staff </w:t>
            </w:r>
            <w:r w:rsidR="00E67EE7">
              <w:rPr>
                <w:lang w:val="en-AU" w:eastAsia="en-AU"/>
              </w:rPr>
              <w:t xml:space="preserve">asking about the idea of patient empowerment. Respondents </w:t>
            </w:r>
            <w:r w:rsidRPr="009A6CBB">
              <w:rPr>
                <w:lang w:val="en-AU" w:eastAsia="en-AU"/>
              </w:rPr>
              <w:t xml:space="preserve">were unfamiliar with the concept of patient empowerment </w:t>
            </w:r>
            <w:r w:rsidR="00E67EE7">
              <w:rPr>
                <w:lang w:val="en-AU" w:eastAsia="en-AU"/>
              </w:rPr>
              <w:t xml:space="preserve">in relation </w:t>
            </w:r>
            <w:r w:rsidRPr="009A6CBB">
              <w:rPr>
                <w:lang w:val="en-AU" w:eastAsia="en-AU"/>
              </w:rPr>
              <w:t>to hand</w:t>
            </w:r>
            <w:r w:rsidR="00E67EE7">
              <w:rPr>
                <w:lang w:val="en-AU" w:eastAsia="en-AU"/>
              </w:rPr>
              <w:t xml:space="preserve"> hygiene </w:t>
            </w:r>
            <w:r w:rsidRPr="009A6CBB">
              <w:rPr>
                <w:lang w:val="en-AU" w:eastAsia="en-AU"/>
              </w:rPr>
              <w:t xml:space="preserve">but were </w:t>
            </w:r>
            <w:r w:rsidR="00E67EE7">
              <w:rPr>
                <w:lang w:val="en-AU" w:eastAsia="en-AU"/>
              </w:rPr>
              <w:t xml:space="preserve">reportedly </w:t>
            </w:r>
            <w:r w:rsidRPr="009A6CBB">
              <w:rPr>
                <w:lang w:val="en-AU" w:eastAsia="en-AU"/>
              </w:rPr>
              <w:t>receptive</w:t>
            </w:r>
            <w:r w:rsidR="00E67EE7">
              <w:rPr>
                <w:lang w:val="en-AU" w:eastAsia="en-AU"/>
              </w:rPr>
              <w:t xml:space="preserve"> and “</w:t>
            </w:r>
            <w:r w:rsidR="00E67EE7" w:rsidRPr="00E67EE7">
              <w:rPr>
                <w:lang w:val="en-AU" w:eastAsia="en-AU"/>
              </w:rPr>
              <w:t>were surprised that hospitals had not yet adopted the concept. However, they felt that a lack of support, busy workloads, and negative attitudes would be key barriers to the implementation of any empowerment programs.</w:t>
            </w:r>
            <w:proofErr w:type="gramStart"/>
            <w:r w:rsidR="00E67EE7">
              <w:rPr>
                <w:lang w:val="en-AU" w:eastAsia="en-AU"/>
              </w:rPr>
              <w:t>”</w:t>
            </w:r>
            <w:r w:rsidRPr="009A6CBB">
              <w:rPr>
                <w:lang w:val="en-AU" w:eastAsia="en-AU"/>
              </w:rPr>
              <w:t>.</w:t>
            </w:r>
            <w:proofErr w:type="gramEnd"/>
          </w:p>
        </w:tc>
      </w:tr>
    </w:tbl>
    <w:p w:rsidR="00A61637" w:rsidRDefault="00A61637" w:rsidP="00A61637">
      <w:pPr>
        <w:keepLines/>
        <w:autoSpaceDE w:val="0"/>
        <w:autoSpaceDN w:val="0"/>
        <w:adjustRightInd w:val="0"/>
        <w:rPr>
          <w:i/>
          <w:lang w:val="en-AU"/>
        </w:rPr>
      </w:pPr>
    </w:p>
    <w:p w:rsidR="00882169" w:rsidRPr="005B465D" w:rsidRDefault="005B465D" w:rsidP="00E67EE7">
      <w:pPr>
        <w:keepNext/>
        <w:keepLines/>
        <w:autoSpaceDE w:val="0"/>
        <w:autoSpaceDN w:val="0"/>
        <w:adjustRightInd w:val="0"/>
        <w:rPr>
          <w:i/>
          <w:lang w:val="en-AU"/>
        </w:rPr>
      </w:pPr>
      <w:r w:rsidRPr="005B465D">
        <w:rPr>
          <w:i/>
          <w:lang w:val="en-AU"/>
        </w:rPr>
        <w:t>Surgical site infection reduction by the Solutions for Patient Safety Hospital Engagement Network</w:t>
      </w:r>
    </w:p>
    <w:p w:rsidR="003D7274" w:rsidRDefault="003D7274" w:rsidP="00E67EE7">
      <w:pPr>
        <w:keepNext/>
        <w:keepLines/>
        <w:autoSpaceDE w:val="0"/>
        <w:autoSpaceDN w:val="0"/>
        <w:adjustRightInd w:val="0"/>
        <w:rPr>
          <w:lang w:val="en-AU"/>
        </w:rPr>
      </w:pPr>
      <w:r w:rsidRPr="003D7274">
        <w:rPr>
          <w:lang w:val="en-AU"/>
        </w:rPr>
        <w:t>Schaffzin JK, Harte L, Marquette S, Zieker K, Wooton S, Walsh K, et al</w:t>
      </w:r>
    </w:p>
    <w:p w:rsidR="005B465D" w:rsidRDefault="003D7274" w:rsidP="00E67EE7">
      <w:pPr>
        <w:keepNext/>
        <w:keepLines/>
        <w:autoSpaceDE w:val="0"/>
        <w:autoSpaceDN w:val="0"/>
        <w:adjustRightInd w:val="0"/>
        <w:rPr>
          <w:lang w:val="en-AU"/>
        </w:rPr>
      </w:pPr>
      <w:proofErr w:type="gramStart"/>
      <w:r w:rsidRPr="003D7274">
        <w:rPr>
          <w:lang w:val="en-AU"/>
        </w:rPr>
        <w:t>Pediatrics.</w:t>
      </w:r>
      <w:proofErr w:type="gramEnd"/>
      <w:r w:rsidRPr="003D7274">
        <w:rPr>
          <w:lang w:val="en-AU"/>
        </w:rPr>
        <w:t xml:space="preserve"> 2015 Nov</w:t>
      </w:r>
      <w:proofErr w:type="gramStart"/>
      <w:r w:rsidRPr="003D7274">
        <w:rPr>
          <w:lang w:val="en-AU"/>
        </w:rPr>
        <w:t>;136</w:t>
      </w:r>
      <w:proofErr w:type="gramEnd"/>
      <w:r w:rsidRPr="003D7274">
        <w:rPr>
          <w:lang w:val="en-AU"/>
        </w:rPr>
        <w:t>(5):e1353-60.</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AD5026">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862DC" w:rsidRPr="00255EF8" w:rsidRDefault="008B1313" w:rsidP="001862DC">
            <w:pPr>
              <w:rPr>
                <w:lang w:val="en-AU"/>
              </w:rPr>
            </w:pPr>
            <w:hyperlink r:id="rId28" w:history="1">
              <w:r w:rsidR="003D7274" w:rsidRPr="00F8476D">
                <w:rPr>
                  <w:rStyle w:val="Hyperlink"/>
                  <w:lang w:val="en-AU"/>
                </w:rPr>
                <w:t>http://dx.doi.org/10.1542/peds.2015-0580</w:t>
              </w:r>
            </w:hyperlink>
          </w:p>
        </w:tc>
      </w:tr>
      <w:tr w:rsidR="00882169"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882169" w:rsidRPr="00255EF8" w:rsidRDefault="00882169" w:rsidP="00AD502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465D" w:rsidRPr="00AA7F1C" w:rsidRDefault="003D7274" w:rsidP="003D7274">
            <w:pPr>
              <w:rPr>
                <w:lang w:val="en-AU" w:eastAsia="en-AU"/>
              </w:rPr>
            </w:pPr>
            <w:r>
              <w:rPr>
                <w:lang w:val="en-AU" w:eastAsia="en-AU"/>
              </w:rPr>
              <w:t xml:space="preserve">Paper reporting on the development and implementation of </w:t>
            </w:r>
            <w:r w:rsidRPr="003D7274">
              <w:rPr>
                <w:lang w:val="en-AU" w:eastAsia="en-AU"/>
              </w:rPr>
              <w:t xml:space="preserve">a care bundle to reduce surgical site infections amongst children. </w:t>
            </w:r>
            <w:r>
              <w:rPr>
                <w:lang w:val="en-AU" w:eastAsia="en-AU"/>
              </w:rPr>
              <w:t xml:space="preserve">The authors report a </w:t>
            </w:r>
            <w:r w:rsidRPr="003D7274">
              <w:rPr>
                <w:b/>
                <w:lang w:val="en-AU" w:eastAsia="en-AU"/>
              </w:rPr>
              <w:t>21% reduction in surgical site infection rates</w:t>
            </w:r>
            <w:r w:rsidRPr="003D7274">
              <w:rPr>
                <w:lang w:val="en-AU" w:eastAsia="en-AU"/>
              </w:rPr>
              <w:t>, from an average of 2.5 per 100 procedures to 1.8 per 100 procedures</w:t>
            </w:r>
            <w:r>
              <w:rPr>
                <w:lang w:val="en-AU" w:eastAsia="en-AU"/>
              </w:rPr>
              <w:t xml:space="preserve">, with the </w:t>
            </w:r>
            <w:r w:rsidRPr="003D7274">
              <w:rPr>
                <w:lang w:val="en-AU" w:eastAsia="en-AU"/>
              </w:rPr>
              <w:t>reduction sustained over the 15 month follow-up period.</w:t>
            </w:r>
            <w:r w:rsidRPr="00AA7F1C">
              <w:rPr>
                <w:lang w:val="en-AU" w:eastAsia="en-AU"/>
              </w:rPr>
              <w:t xml:space="preserve"> </w:t>
            </w:r>
          </w:p>
        </w:tc>
      </w:tr>
    </w:tbl>
    <w:p w:rsidR="00882169" w:rsidRDefault="00882169" w:rsidP="00882169">
      <w:pPr>
        <w:keepLines/>
        <w:autoSpaceDE w:val="0"/>
        <w:autoSpaceDN w:val="0"/>
        <w:adjustRightInd w:val="0"/>
        <w:rPr>
          <w:i/>
          <w:lang w:val="en-AU"/>
        </w:rPr>
      </w:pPr>
    </w:p>
    <w:p w:rsidR="005A6462" w:rsidRPr="005B465D" w:rsidRDefault="005A6462" w:rsidP="005A6462">
      <w:pPr>
        <w:keepLines/>
        <w:autoSpaceDE w:val="0"/>
        <w:autoSpaceDN w:val="0"/>
        <w:adjustRightInd w:val="0"/>
        <w:rPr>
          <w:i/>
          <w:lang w:val="en-AU"/>
        </w:rPr>
      </w:pPr>
      <w:r w:rsidRPr="005B465D">
        <w:rPr>
          <w:i/>
          <w:lang w:val="en-AU"/>
        </w:rPr>
        <w:t>Smarter clinical checklists: how to minimize checklist fatigue and maximize clinician performance</w:t>
      </w:r>
    </w:p>
    <w:p w:rsidR="005A6462" w:rsidRDefault="005A6462" w:rsidP="005A6462">
      <w:pPr>
        <w:keepLines/>
        <w:autoSpaceDE w:val="0"/>
        <w:autoSpaceDN w:val="0"/>
        <w:adjustRightInd w:val="0"/>
        <w:rPr>
          <w:lang w:val="en-AU"/>
        </w:rPr>
      </w:pPr>
      <w:r w:rsidRPr="00D026C7">
        <w:rPr>
          <w:lang w:val="en-AU"/>
        </w:rPr>
        <w:t>Grigg E</w:t>
      </w:r>
    </w:p>
    <w:p w:rsidR="005A6462" w:rsidRDefault="005A6462" w:rsidP="005A6462">
      <w:pPr>
        <w:keepLines/>
        <w:autoSpaceDE w:val="0"/>
        <w:autoSpaceDN w:val="0"/>
        <w:adjustRightInd w:val="0"/>
        <w:rPr>
          <w:lang w:val="en-AU"/>
        </w:rPr>
      </w:pPr>
      <w:r w:rsidRPr="00D026C7">
        <w:rPr>
          <w:lang w:val="en-AU"/>
        </w:rPr>
        <w:t>Anesth Analg. 2015 Aug</w:t>
      </w:r>
      <w:proofErr w:type="gramStart"/>
      <w:r w:rsidRPr="00D026C7">
        <w:rPr>
          <w:lang w:val="en-AU"/>
        </w:rPr>
        <w:t>;121</w:t>
      </w:r>
      <w:proofErr w:type="gramEnd"/>
      <w:r w:rsidRPr="00D026C7">
        <w:rPr>
          <w:lang w:val="en-AU"/>
        </w:rPr>
        <w:t>(2):570-3.</w:t>
      </w:r>
    </w:p>
    <w:tbl>
      <w:tblPr>
        <w:tblStyle w:val="TableGrid"/>
        <w:tblW w:w="0" w:type="auto"/>
        <w:tblInd w:w="288" w:type="dxa"/>
        <w:tblLayout w:type="fixed"/>
        <w:tblLook w:val="01E0" w:firstRow="1" w:lastRow="1" w:firstColumn="1" w:lastColumn="1" w:noHBand="0" w:noVBand="0"/>
      </w:tblPr>
      <w:tblGrid>
        <w:gridCol w:w="1080"/>
        <w:gridCol w:w="8280"/>
      </w:tblGrid>
      <w:tr w:rsidR="005A6462" w:rsidRPr="00255EF8" w:rsidTr="00D9374B">
        <w:tc>
          <w:tcPr>
            <w:tcW w:w="1080" w:type="dxa"/>
            <w:tcBorders>
              <w:top w:val="single" w:sz="4" w:space="0" w:color="auto"/>
              <w:left w:val="single" w:sz="4" w:space="0" w:color="auto"/>
              <w:bottom w:val="single" w:sz="4" w:space="0" w:color="auto"/>
              <w:right w:val="single" w:sz="4" w:space="0" w:color="auto"/>
            </w:tcBorders>
            <w:vAlign w:val="center"/>
          </w:tcPr>
          <w:p w:rsidR="005A6462" w:rsidRPr="00255EF8" w:rsidRDefault="005A6462" w:rsidP="00D9374B">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A6462" w:rsidRPr="00255EF8" w:rsidRDefault="008B1313" w:rsidP="00D9374B">
            <w:pPr>
              <w:rPr>
                <w:lang w:val="en-AU"/>
              </w:rPr>
            </w:pPr>
            <w:hyperlink r:id="rId29" w:history="1">
              <w:r w:rsidR="005A6462" w:rsidRPr="00F8476D">
                <w:rPr>
                  <w:rStyle w:val="Hyperlink"/>
                  <w:lang w:val="en-AU"/>
                </w:rPr>
                <w:t>http://dx.doi.org/10.1213/ANE.0000000000000352</w:t>
              </w:r>
            </w:hyperlink>
          </w:p>
        </w:tc>
      </w:tr>
      <w:tr w:rsidR="005A6462" w:rsidRPr="00255EF8" w:rsidTr="00D9374B">
        <w:tc>
          <w:tcPr>
            <w:tcW w:w="1080" w:type="dxa"/>
            <w:tcBorders>
              <w:top w:val="single" w:sz="4" w:space="0" w:color="auto"/>
              <w:left w:val="single" w:sz="4" w:space="0" w:color="auto"/>
              <w:bottom w:val="single" w:sz="4" w:space="0" w:color="auto"/>
              <w:right w:val="single" w:sz="4" w:space="0" w:color="auto"/>
            </w:tcBorders>
            <w:vAlign w:val="center"/>
          </w:tcPr>
          <w:p w:rsidR="005A6462" w:rsidRPr="00255EF8" w:rsidRDefault="005A6462" w:rsidP="00D9374B">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6462" w:rsidRPr="00AA7F1C" w:rsidRDefault="005A6462" w:rsidP="00D9374B">
            <w:pPr>
              <w:rPr>
                <w:lang w:val="en-AU" w:eastAsia="en-AU"/>
              </w:rPr>
            </w:pPr>
            <w:r>
              <w:rPr>
                <w:lang w:val="en-AU" w:eastAsia="en-AU"/>
              </w:rPr>
              <w:t xml:space="preserve">Checklists have become quite commonplace in various domains, with the WHO Surgical Safety Checklist perhaps the best known. This article examines a number of strategies for ensuring their efficacy and minimising the burden on clinicians. The strategies discussed include enhancing </w:t>
            </w:r>
            <w:r w:rsidRPr="00D026C7">
              <w:rPr>
                <w:lang w:val="en-AU" w:eastAsia="en-AU"/>
              </w:rPr>
              <w:t>device and software operability and develop</w:t>
            </w:r>
            <w:r>
              <w:rPr>
                <w:lang w:val="en-AU" w:eastAsia="en-AU"/>
              </w:rPr>
              <w:t>ing</w:t>
            </w:r>
            <w:r w:rsidRPr="00D026C7">
              <w:rPr>
                <w:lang w:val="en-AU" w:eastAsia="en-AU"/>
              </w:rPr>
              <w:t xml:space="preserve"> algorithms to </w:t>
            </w:r>
            <w:r>
              <w:rPr>
                <w:lang w:val="en-AU" w:eastAsia="en-AU"/>
              </w:rPr>
              <w:t>incorporate</w:t>
            </w:r>
            <w:r w:rsidRPr="00D026C7">
              <w:rPr>
                <w:lang w:val="en-AU" w:eastAsia="en-AU"/>
              </w:rPr>
              <w:t xml:space="preserve"> </w:t>
            </w:r>
            <w:r>
              <w:rPr>
                <w:lang w:val="en-AU" w:eastAsia="en-AU"/>
              </w:rPr>
              <w:t xml:space="preserve">and analyse </w:t>
            </w:r>
            <w:r w:rsidRPr="00D026C7">
              <w:rPr>
                <w:lang w:val="en-AU" w:eastAsia="en-AU"/>
              </w:rPr>
              <w:t>incoming data</w:t>
            </w:r>
            <w:r>
              <w:rPr>
                <w:lang w:val="en-AU" w:eastAsia="en-AU"/>
              </w:rPr>
              <w:t>.</w:t>
            </w:r>
          </w:p>
        </w:tc>
      </w:tr>
    </w:tbl>
    <w:p w:rsidR="005A6462" w:rsidRDefault="005A6462" w:rsidP="005A6462">
      <w:pPr>
        <w:keepLines/>
        <w:autoSpaceDE w:val="0"/>
        <w:autoSpaceDN w:val="0"/>
        <w:adjustRightInd w:val="0"/>
        <w:rPr>
          <w:i/>
          <w:lang w:val="en-AU"/>
        </w:rPr>
      </w:pPr>
    </w:p>
    <w:p w:rsidR="006A51FB" w:rsidRPr="005B465D" w:rsidRDefault="005B465D" w:rsidP="003F1242">
      <w:pPr>
        <w:keepNext/>
        <w:keepLines/>
        <w:autoSpaceDE w:val="0"/>
        <w:autoSpaceDN w:val="0"/>
        <w:adjustRightInd w:val="0"/>
        <w:rPr>
          <w:i/>
          <w:lang w:val="en-AU"/>
        </w:rPr>
      </w:pPr>
      <w:r w:rsidRPr="005B465D">
        <w:rPr>
          <w:i/>
          <w:lang w:val="en-AU"/>
        </w:rPr>
        <w:lastRenderedPageBreak/>
        <w:t>Identifying the Optimal Role for Pharmacists in Care Transitions: A Systematic Review</w:t>
      </w:r>
    </w:p>
    <w:p w:rsidR="00AA0586" w:rsidRDefault="00AA0586" w:rsidP="003F1242">
      <w:pPr>
        <w:keepNext/>
        <w:keepLines/>
        <w:autoSpaceDE w:val="0"/>
        <w:autoSpaceDN w:val="0"/>
        <w:adjustRightInd w:val="0"/>
        <w:rPr>
          <w:lang w:val="en-AU"/>
        </w:rPr>
      </w:pPr>
      <w:r w:rsidRPr="00AA0586">
        <w:rPr>
          <w:lang w:val="en-AU"/>
        </w:rPr>
        <w:t>Ensing HT, Stuijt CCM, Bemt BJFvd, Dooren AAv, Karapinar-Çarkit F, Koster ES, et al</w:t>
      </w:r>
    </w:p>
    <w:p w:rsidR="005B465D" w:rsidRDefault="00AA0586" w:rsidP="003F1242">
      <w:pPr>
        <w:keepNext/>
        <w:keepLines/>
        <w:autoSpaceDE w:val="0"/>
        <w:autoSpaceDN w:val="0"/>
        <w:adjustRightInd w:val="0"/>
        <w:rPr>
          <w:lang w:val="en-AU"/>
        </w:rPr>
      </w:pPr>
      <w:proofErr w:type="gramStart"/>
      <w:r w:rsidRPr="00AA0586">
        <w:rPr>
          <w:lang w:val="en-AU"/>
        </w:rPr>
        <w:t>Journal of Managed Care &amp; Specialty Pharmacy.</w:t>
      </w:r>
      <w:proofErr w:type="gramEnd"/>
      <w:r w:rsidRPr="00AA0586">
        <w:rPr>
          <w:lang w:val="en-AU"/>
        </w:rPr>
        <w:t xml:space="preserve"> 2015</w:t>
      </w:r>
      <w:proofErr w:type="gramStart"/>
      <w:r w:rsidRPr="00AA0586">
        <w:rPr>
          <w:lang w:val="en-AU"/>
        </w:rPr>
        <w:t>;21</w:t>
      </w:r>
      <w:proofErr w:type="gramEnd"/>
      <w:r w:rsidRPr="00AA0586">
        <w:rPr>
          <w:lang w:val="en-AU"/>
        </w:rPr>
        <w:t>(8):614-36.</w:t>
      </w:r>
    </w:p>
    <w:tbl>
      <w:tblPr>
        <w:tblStyle w:val="TableGrid"/>
        <w:tblW w:w="0" w:type="auto"/>
        <w:tblInd w:w="288" w:type="dxa"/>
        <w:tblLayout w:type="fixed"/>
        <w:tblLook w:val="01E0" w:firstRow="1" w:lastRow="1" w:firstColumn="1" w:lastColumn="1" w:noHBand="0" w:noVBand="0"/>
      </w:tblPr>
      <w:tblGrid>
        <w:gridCol w:w="1080"/>
        <w:gridCol w:w="8280"/>
      </w:tblGrid>
      <w:tr w:rsidR="004B60A9" w:rsidRPr="004B60A9" w:rsidTr="00AD5026">
        <w:tc>
          <w:tcPr>
            <w:tcW w:w="1080" w:type="dxa"/>
            <w:tcBorders>
              <w:top w:val="single" w:sz="4" w:space="0" w:color="auto"/>
              <w:left w:val="single" w:sz="4" w:space="0" w:color="auto"/>
              <w:bottom w:val="single" w:sz="4" w:space="0" w:color="auto"/>
              <w:right w:val="single" w:sz="4" w:space="0" w:color="auto"/>
            </w:tcBorders>
            <w:vAlign w:val="center"/>
          </w:tcPr>
          <w:p w:rsidR="006A51FB" w:rsidRPr="004B60A9" w:rsidRDefault="00B847EC" w:rsidP="00AD5026">
            <w:pPr>
              <w:rPr>
                <w:color w:val="000000" w:themeColor="text1"/>
                <w:lang w:val="en-AU"/>
              </w:rPr>
            </w:pPr>
            <w:r>
              <w:rPr>
                <w:color w:val="000000" w:themeColor="text1"/>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A51FB" w:rsidRPr="004B60A9" w:rsidRDefault="00B847EC" w:rsidP="004B60A9">
            <w:pPr>
              <w:rPr>
                <w:color w:val="000000" w:themeColor="text1"/>
                <w:lang w:val="en-AU"/>
              </w:rPr>
            </w:pPr>
            <w:hyperlink r:id="rId30" w:history="1">
              <w:r w:rsidRPr="0034138F">
                <w:rPr>
                  <w:rStyle w:val="Hyperlink"/>
                  <w:lang w:val="en-AU"/>
                </w:rPr>
                <w:t>http://www.jmcp.org/doi/abs/10.18553/jmcp.2015.21.8.614</w:t>
              </w:r>
            </w:hyperlink>
          </w:p>
        </w:tc>
      </w:tr>
      <w:tr w:rsidR="004B60A9" w:rsidRPr="004B60A9" w:rsidTr="00AD5026">
        <w:tc>
          <w:tcPr>
            <w:tcW w:w="1080" w:type="dxa"/>
            <w:tcBorders>
              <w:top w:val="single" w:sz="4" w:space="0" w:color="auto"/>
              <w:left w:val="single" w:sz="4" w:space="0" w:color="auto"/>
              <w:bottom w:val="single" w:sz="4" w:space="0" w:color="auto"/>
              <w:right w:val="single" w:sz="4" w:space="0" w:color="auto"/>
            </w:tcBorders>
            <w:vAlign w:val="center"/>
          </w:tcPr>
          <w:p w:rsidR="006A51FB" w:rsidRPr="004B60A9" w:rsidRDefault="006A51FB" w:rsidP="00AD5026">
            <w:pPr>
              <w:rPr>
                <w:color w:val="000000" w:themeColor="text1"/>
                <w:lang w:val="en-AU"/>
              </w:rPr>
            </w:pPr>
            <w:r w:rsidRPr="004B60A9">
              <w:rPr>
                <w:color w:val="000000" w:themeColor="text1"/>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60A9" w:rsidRDefault="004B60A9" w:rsidP="004B60A9">
            <w:pPr>
              <w:rPr>
                <w:color w:val="000000" w:themeColor="text1"/>
                <w:lang w:val="en-AU" w:eastAsia="en-AU"/>
              </w:rPr>
            </w:pPr>
            <w:r w:rsidRPr="004B60A9">
              <w:rPr>
                <w:color w:val="000000" w:themeColor="text1"/>
                <w:lang w:val="en-AU" w:eastAsia="en-AU"/>
              </w:rPr>
              <w:t xml:space="preserve">Paper </w:t>
            </w:r>
            <w:r>
              <w:rPr>
                <w:color w:val="000000" w:themeColor="text1"/>
                <w:lang w:val="en-AU" w:eastAsia="en-AU"/>
              </w:rPr>
              <w:t xml:space="preserve">reporting on a review looking at how pharmacists can contribute to the safe transition between care settings. The review sought to </w:t>
            </w:r>
            <w:r w:rsidRPr="004B60A9">
              <w:rPr>
                <w:color w:val="000000" w:themeColor="text1"/>
                <w:lang w:val="en-AU" w:eastAsia="en-AU"/>
              </w:rPr>
              <w:t>identify the components of pharmacist intervention that improve clinical outcomes during care transitions.</w:t>
            </w:r>
            <w:r>
              <w:rPr>
                <w:color w:val="000000" w:themeColor="text1"/>
                <w:lang w:val="en-AU" w:eastAsia="en-AU"/>
              </w:rPr>
              <w:t xml:space="preserve"> </w:t>
            </w:r>
          </w:p>
          <w:p w:rsidR="004B60A9" w:rsidRDefault="004B60A9" w:rsidP="004B60A9">
            <w:pPr>
              <w:rPr>
                <w:color w:val="000000" w:themeColor="text1"/>
                <w:lang w:val="en-AU" w:eastAsia="en-AU"/>
              </w:rPr>
            </w:pPr>
            <w:r w:rsidRPr="004B60A9">
              <w:rPr>
                <w:color w:val="000000" w:themeColor="text1"/>
                <w:lang w:val="en-AU" w:eastAsia="en-AU"/>
              </w:rPr>
              <w:t>30 studies met the inclusion criteria</w:t>
            </w:r>
            <w:r>
              <w:rPr>
                <w:color w:val="000000" w:themeColor="text1"/>
                <w:lang w:val="en-AU" w:eastAsia="en-AU"/>
              </w:rPr>
              <w:t>. The authors report:</w:t>
            </w:r>
          </w:p>
          <w:p w:rsidR="004B60A9" w:rsidRPr="004B60A9" w:rsidRDefault="004B60A9" w:rsidP="004B60A9">
            <w:pPr>
              <w:pStyle w:val="ListParagraph"/>
              <w:numPr>
                <w:ilvl w:val="0"/>
                <w:numId w:val="36"/>
              </w:numPr>
              <w:rPr>
                <w:color w:val="000000" w:themeColor="text1"/>
                <w:lang w:val="en-AU" w:eastAsia="en-AU"/>
              </w:rPr>
            </w:pPr>
            <w:r w:rsidRPr="004B60A9">
              <w:rPr>
                <w:color w:val="000000" w:themeColor="text1"/>
                <w:lang w:val="en-AU" w:eastAsia="en-AU"/>
              </w:rPr>
              <w:t>In isolated post-discharge intervention programs, evidence tends towards collaborating with nurses and tailori</w:t>
            </w:r>
            <w:r w:rsidR="001817D1">
              <w:rPr>
                <w:color w:val="000000" w:themeColor="text1"/>
                <w:lang w:val="en-AU" w:eastAsia="en-AU"/>
              </w:rPr>
              <w:t>ng to individual patient needs.</w:t>
            </w:r>
          </w:p>
          <w:p w:rsidR="004B60A9" w:rsidRPr="004B60A9" w:rsidRDefault="004B60A9" w:rsidP="004B60A9">
            <w:pPr>
              <w:pStyle w:val="ListParagraph"/>
              <w:numPr>
                <w:ilvl w:val="0"/>
                <w:numId w:val="36"/>
              </w:numPr>
              <w:rPr>
                <w:color w:val="000000" w:themeColor="text1"/>
                <w:lang w:val="en-AU" w:eastAsia="en-AU"/>
              </w:rPr>
            </w:pPr>
            <w:r w:rsidRPr="004B60A9">
              <w:rPr>
                <w:color w:val="000000" w:themeColor="text1"/>
                <w:lang w:val="en-AU" w:eastAsia="en-AU"/>
              </w:rPr>
              <w:t>In multifaceted intervention programs, performing medication reconciliation alone is insufficient in reducing post-discharge clinical outcomes and should be combined with active patient counselling an</w:t>
            </w:r>
            <w:r w:rsidR="001817D1">
              <w:rPr>
                <w:color w:val="000000" w:themeColor="text1"/>
                <w:lang w:val="en-AU" w:eastAsia="en-AU"/>
              </w:rPr>
              <w:t>d a clinical medication review.</w:t>
            </w:r>
          </w:p>
          <w:p w:rsidR="004B60A9" w:rsidRPr="004B60A9" w:rsidRDefault="004B60A9" w:rsidP="004B60A9">
            <w:pPr>
              <w:pStyle w:val="ListParagraph"/>
              <w:numPr>
                <w:ilvl w:val="0"/>
                <w:numId w:val="36"/>
              </w:numPr>
              <w:rPr>
                <w:color w:val="000000" w:themeColor="text1"/>
                <w:lang w:val="en-AU" w:eastAsia="en-AU"/>
              </w:rPr>
            </w:pPr>
            <w:r w:rsidRPr="004B60A9">
              <w:rPr>
                <w:color w:val="000000" w:themeColor="text1"/>
                <w:lang w:val="en-AU" w:eastAsia="en-AU"/>
              </w:rPr>
              <w:t>Close collaboration between pharmacists and physicians is beneficial.</w:t>
            </w:r>
          </w:p>
          <w:p w:rsidR="004B60A9" w:rsidRPr="004B60A9" w:rsidRDefault="004B60A9" w:rsidP="004B60A9">
            <w:pPr>
              <w:pStyle w:val="ListParagraph"/>
              <w:numPr>
                <w:ilvl w:val="0"/>
                <w:numId w:val="36"/>
              </w:numPr>
              <w:rPr>
                <w:color w:val="000000" w:themeColor="text1"/>
                <w:lang w:val="en-AU" w:eastAsia="en-AU"/>
              </w:rPr>
            </w:pPr>
            <w:r w:rsidRPr="004B60A9">
              <w:rPr>
                <w:color w:val="000000" w:themeColor="text1"/>
                <w:lang w:val="en-AU" w:eastAsia="en-AU"/>
              </w:rPr>
              <w:t>It is important to secure continuity of care by integrating pharmacists in these multifaceted programs across health care settings.</w:t>
            </w:r>
          </w:p>
        </w:tc>
      </w:tr>
    </w:tbl>
    <w:p w:rsidR="00A61637" w:rsidRDefault="00A61637" w:rsidP="00A61637">
      <w:pPr>
        <w:keepLines/>
        <w:autoSpaceDE w:val="0"/>
        <w:autoSpaceDN w:val="0"/>
        <w:adjustRightInd w:val="0"/>
        <w:rPr>
          <w:i/>
          <w:lang w:val="en-AU"/>
        </w:rPr>
      </w:pPr>
    </w:p>
    <w:p w:rsidR="009375AE" w:rsidRPr="00A61637" w:rsidRDefault="009375AE" w:rsidP="009375AE">
      <w:pPr>
        <w:keepLines/>
        <w:autoSpaceDE w:val="0"/>
        <w:autoSpaceDN w:val="0"/>
        <w:adjustRightInd w:val="0"/>
        <w:rPr>
          <w:i/>
          <w:lang w:val="en-AU"/>
        </w:rPr>
      </w:pPr>
      <w:r w:rsidRPr="00A61637">
        <w:rPr>
          <w:i/>
          <w:lang w:val="en-AU"/>
        </w:rPr>
        <w:t>"SWARMing" to improve patient care: a novel approach to root cause analysis</w:t>
      </w:r>
    </w:p>
    <w:p w:rsidR="009375AE" w:rsidRDefault="009375AE" w:rsidP="009375AE">
      <w:pPr>
        <w:keepLines/>
        <w:autoSpaceDE w:val="0"/>
        <w:autoSpaceDN w:val="0"/>
        <w:adjustRightInd w:val="0"/>
        <w:rPr>
          <w:lang w:val="en-AU"/>
        </w:rPr>
      </w:pPr>
      <w:r w:rsidRPr="004811D4">
        <w:rPr>
          <w:lang w:val="en-AU"/>
        </w:rPr>
        <w:t xml:space="preserve">Li J, Boulanger B, Norton J, Yates A, Swartz CH, Smith A, et al. </w:t>
      </w:r>
    </w:p>
    <w:p w:rsidR="009375AE" w:rsidRDefault="009375AE" w:rsidP="009375AE">
      <w:pPr>
        <w:keepLines/>
        <w:autoSpaceDE w:val="0"/>
        <w:autoSpaceDN w:val="0"/>
        <w:adjustRightInd w:val="0"/>
        <w:rPr>
          <w:lang w:val="en-AU"/>
        </w:rPr>
      </w:pPr>
      <w:proofErr w:type="gramStart"/>
      <w:r w:rsidRPr="004811D4">
        <w:rPr>
          <w:lang w:val="en-AU"/>
        </w:rPr>
        <w:t>Joint Commission Journal on Quality and Patient Safety.</w:t>
      </w:r>
      <w:proofErr w:type="gramEnd"/>
      <w:r w:rsidRPr="004811D4">
        <w:rPr>
          <w:lang w:val="en-AU"/>
        </w:rPr>
        <w:t xml:space="preserve"> 2015</w:t>
      </w:r>
      <w:proofErr w:type="gramStart"/>
      <w:r w:rsidRPr="004811D4">
        <w:rPr>
          <w:lang w:val="en-AU"/>
        </w:rPr>
        <w:t>;41</w:t>
      </w:r>
      <w:proofErr w:type="gramEnd"/>
      <w:r w:rsidRPr="004811D4">
        <w:rPr>
          <w:lang w:val="en-AU"/>
        </w:rPr>
        <w:t>(11)</w:t>
      </w:r>
      <w:r>
        <w:rPr>
          <w:lang w:val="en-AU"/>
        </w:rPr>
        <w:t>:494-501</w:t>
      </w:r>
      <w:r w:rsidRPr="004811D4">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375AE" w:rsidRPr="00255EF8" w:rsidTr="00D9374B">
        <w:tc>
          <w:tcPr>
            <w:tcW w:w="1080" w:type="dxa"/>
            <w:tcBorders>
              <w:top w:val="single" w:sz="4" w:space="0" w:color="auto"/>
              <w:left w:val="single" w:sz="4" w:space="0" w:color="auto"/>
              <w:bottom w:val="single" w:sz="4" w:space="0" w:color="auto"/>
              <w:right w:val="single" w:sz="4" w:space="0" w:color="auto"/>
            </w:tcBorders>
            <w:vAlign w:val="center"/>
          </w:tcPr>
          <w:p w:rsidR="009375AE" w:rsidRPr="00255EF8" w:rsidRDefault="00360CAC" w:rsidP="00D9374B">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375AE" w:rsidRPr="00255EF8" w:rsidRDefault="008B1313" w:rsidP="00D9374B">
            <w:pPr>
              <w:rPr>
                <w:lang w:val="en-AU"/>
              </w:rPr>
            </w:pPr>
            <w:hyperlink r:id="rId31" w:history="1">
              <w:r w:rsidR="009375AE" w:rsidRPr="00F8476D">
                <w:rPr>
                  <w:rStyle w:val="Hyperlink"/>
                  <w:lang w:val="en-AU"/>
                </w:rPr>
                <w:t>http://www.ingentaconnect.com/content/jcaho/jcjqs/2015/00000041/00000011/art00003</w:t>
              </w:r>
            </w:hyperlink>
          </w:p>
        </w:tc>
      </w:tr>
      <w:tr w:rsidR="009375AE" w:rsidRPr="00255EF8" w:rsidTr="00D9374B">
        <w:tc>
          <w:tcPr>
            <w:tcW w:w="1080" w:type="dxa"/>
            <w:tcBorders>
              <w:top w:val="single" w:sz="4" w:space="0" w:color="auto"/>
              <w:left w:val="single" w:sz="4" w:space="0" w:color="auto"/>
              <w:bottom w:val="single" w:sz="4" w:space="0" w:color="auto"/>
              <w:right w:val="single" w:sz="4" w:space="0" w:color="auto"/>
            </w:tcBorders>
            <w:vAlign w:val="center"/>
          </w:tcPr>
          <w:p w:rsidR="009375AE" w:rsidRPr="00255EF8" w:rsidRDefault="009375AE" w:rsidP="00D9374B">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75AE" w:rsidRDefault="009375AE" w:rsidP="00D9374B">
            <w:pPr>
              <w:rPr>
                <w:lang w:val="en-AU" w:eastAsia="en-AU"/>
              </w:rPr>
            </w:pPr>
            <w:r>
              <w:rPr>
                <w:lang w:val="en-AU" w:eastAsia="en-AU"/>
              </w:rPr>
              <w:t>This paper discusses an</w:t>
            </w:r>
            <w:r w:rsidRPr="00A12FE9">
              <w:rPr>
                <w:lang w:val="en-AU" w:eastAsia="en-AU"/>
              </w:rPr>
              <w:t xml:space="preserve"> to </w:t>
            </w:r>
            <w:r>
              <w:rPr>
                <w:lang w:val="en-AU" w:eastAsia="en-AU"/>
              </w:rPr>
              <w:t>root cause analyses (</w:t>
            </w:r>
            <w:r w:rsidRPr="00A12FE9">
              <w:rPr>
                <w:lang w:val="en-AU" w:eastAsia="en-AU"/>
              </w:rPr>
              <w:t>RCAs</w:t>
            </w:r>
            <w:r>
              <w:rPr>
                <w:lang w:val="en-AU" w:eastAsia="en-AU"/>
              </w:rPr>
              <w:t xml:space="preserve">) termed </w:t>
            </w:r>
            <w:r w:rsidRPr="00A12FE9">
              <w:rPr>
                <w:lang w:val="en-AU" w:eastAsia="en-AU"/>
              </w:rPr>
              <w:t>“SWARMing”</w:t>
            </w:r>
            <w:r>
              <w:rPr>
                <w:lang w:val="en-AU" w:eastAsia="en-AU"/>
              </w:rPr>
              <w:t xml:space="preserve"> that seeks to</w:t>
            </w:r>
            <w:r w:rsidRPr="00A12FE9">
              <w:rPr>
                <w:lang w:val="en-AU" w:eastAsia="en-AU"/>
              </w:rPr>
              <w:t xml:space="preserve"> establish a consistent approach to </w:t>
            </w:r>
            <w:r>
              <w:rPr>
                <w:lang w:val="en-AU" w:eastAsia="en-AU"/>
              </w:rPr>
              <w:t>rapidly investigating</w:t>
            </w:r>
            <w:r w:rsidRPr="00A12FE9">
              <w:rPr>
                <w:lang w:val="en-AU" w:eastAsia="en-AU"/>
              </w:rPr>
              <w:t xml:space="preserve"> adverse or other undesirable events.</w:t>
            </w:r>
            <w:r>
              <w:rPr>
                <w:lang w:val="en-AU" w:eastAsia="en-AU"/>
              </w:rPr>
              <w:t xml:space="preserve"> The authors describe </w:t>
            </w:r>
            <w:r w:rsidRPr="009375AE">
              <w:rPr>
                <w:lang w:val="en-AU" w:eastAsia="en-AU"/>
              </w:rPr>
              <w:t>SWARMs</w:t>
            </w:r>
            <w:r>
              <w:rPr>
                <w:lang w:val="en-AU" w:eastAsia="en-AU"/>
              </w:rPr>
              <w:t xml:space="preserve">” </w:t>
            </w:r>
            <w:r w:rsidRPr="009375AE">
              <w:rPr>
                <w:lang w:val="en-AU" w:eastAsia="en-AU"/>
              </w:rPr>
              <w:t xml:space="preserve">which are conducted without unnecessary delay after an event, an interdisciplinary team undertakes thoughtful analysis of events reported by frontline staff. </w:t>
            </w:r>
          </w:p>
          <w:p w:rsidR="009375AE" w:rsidRDefault="009375AE" w:rsidP="00D9374B">
            <w:pPr>
              <w:rPr>
                <w:lang w:val="en-AU" w:eastAsia="en-AU"/>
              </w:rPr>
            </w:pPr>
            <w:r w:rsidRPr="009375AE">
              <w:rPr>
                <w:lang w:val="en-AU" w:eastAsia="en-AU"/>
              </w:rPr>
              <w:t xml:space="preserve">The SWARM process </w:t>
            </w:r>
            <w:r>
              <w:rPr>
                <w:lang w:val="en-AU" w:eastAsia="en-AU"/>
              </w:rPr>
              <w:t xml:space="preserve">has </w:t>
            </w:r>
            <w:r w:rsidRPr="009375AE">
              <w:rPr>
                <w:lang w:val="en-AU" w:eastAsia="en-AU"/>
              </w:rPr>
              <w:t>five key steps:</w:t>
            </w:r>
          </w:p>
          <w:p w:rsidR="009375AE" w:rsidRPr="009375AE" w:rsidRDefault="009375AE" w:rsidP="00D9374B">
            <w:pPr>
              <w:pStyle w:val="ListParagraph"/>
              <w:numPr>
                <w:ilvl w:val="0"/>
                <w:numId w:val="38"/>
              </w:numPr>
              <w:rPr>
                <w:lang w:val="en-AU" w:eastAsia="en-AU"/>
              </w:rPr>
            </w:pPr>
            <w:r w:rsidRPr="009375AE">
              <w:rPr>
                <w:lang w:val="en-AU" w:eastAsia="en-AU"/>
              </w:rPr>
              <w:t>introductory explanation of the process</w:t>
            </w:r>
          </w:p>
          <w:p w:rsidR="009375AE" w:rsidRPr="009375AE" w:rsidRDefault="009375AE" w:rsidP="00D9374B">
            <w:pPr>
              <w:pStyle w:val="ListParagraph"/>
              <w:numPr>
                <w:ilvl w:val="0"/>
                <w:numId w:val="38"/>
              </w:numPr>
              <w:rPr>
                <w:lang w:val="en-AU" w:eastAsia="en-AU"/>
              </w:rPr>
            </w:pPr>
            <w:r w:rsidRPr="009375AE">
              <w:rPr>
                <w:lang w:val="en-AU" w:eastAsia="en-AU"/>
              </w:rPr>
              <w:t>introduction of everyone in the room</w:t>
            </w:r>
          </w:p>
          <w:p w:rsidR="009375AE" w:rsidRPr="009375AE" w:rsidRDefault="009375AE" w:rsidP="00D9374B">
            <w:pPr>
              <w:pStyle w:val="ListParagraph"/>
              <w:numPr>
                <w:ilvl w:val="0"/>
                <w:numId w:val="38"/>
              </w:numPr>
              <w:rPr>
                <w:lang w:val="en-AU" w:eastAsia="en-AU"/>
              </w:rPr>
            </w:pPr>
            <w:r w:rsidRPr="009375AE">
              <w:rPr>
                <w:lang w:val="en-AU" w:eastAsia="en-AU"/>
              </w:rPr>
              <w:t>review of the facts that prompted the SWARM</w:t>
            </w:r>
          </w:p>
          <w:p w:rsidR="009375AE" w:rsidRPr="009375AE" w:rsidRDefault="009375AE" w:rsidP="00D9374B">
            <w:pPr>
              <w:pStyle w:val="ListParagraph"/>
              <w:numPr>
                <w:ilvl w:val="0"/>
                <w:numId w:val="38"/>
              </w:numPr>
              <w:rPr>
                <w:lang w:val="en-AU" w:eastAsia="en-AU"/>
              </w:rPr>
            </w:pPr>
            <w:r w:rsidRPr="009375AE">
              <w:rPr>
                <w:lang w:val="en-AU" w:eastAsia="en-AU"/>
              </w:rPr>
              <w:t xml:space="preserve">discussion of what happened, with investigation of the underlying systems factors; and </w:t>
            </w:r>
          </w:p>
          <w:p w:rsidR="009375AE" w:rsidRPr="009375AE" w:rsidRDefault="009375AE" w:rsidP="00D9374B">
            <w:pPr>
              <w:pStyle w:val="ListParagraph"/>
              <w:numPr>
                <w:ilvl w:val="0"/>
                <w:numId w:val="38"/>
              </w:numPr>
              <w:rPr>
                <w:lang w:val="en-AU" w:eastAsia="en-AU"/>
              </w:rPr>
            </w:pPr>
            <w:proofErr w:type="gramStart"/>
            <w:r w:rsidRPr="009375AE">
              <w:rPr>
                <w:lang w:val="en-AU" w:eastAsia="en-AU"/>
              </w:rPr>
              <w:t>conclusion</w:t>
            </w:r>
            <w:proofErr w:type="gramEnd"/>
            <w:r w:rsidRPr="009375AE">
              <w:rPr>
                <w:lang w:val="en-AU" w:eastAsia="en-AU"/>
              </w:rPr>
              <w:t>, with proposed focus areas for action and assignment of task leaders with specific deliverables and completion dates</w:t>
            </w:r>
            <w:r>
              <w:rPr>
                <w:lang w:val="en-AU" w:eastAsia="en-AU"/>
              </w:rPr>
              <w:t>.</w:t>
            </w:r>
          </w:p>
        </w:tc>
      </w:tr>
    </w:tbl>
    <w:p w:rsidR="009375AE" w:rsidRDefault="009375AE" w:rsidP="006A51FB">
      <w:pPr>
        <w:keepLines/>
        <w:autoSpaceDE w:val="0"/>
        <w:autoSpaceDN w:val="0"/>
        <w:adjustRightInd w:val="0"/>
        <w:rPr>
          <w:i/>
          <w:lang w:val="en-AU"/>
        </w:rPr>
      </w:pPr>
    </w:p>
    <w:p w:rsidR="005B465D" w:rsidRPr="005B465D" w:rsidRDefault="005B465D" w:rsidP="00A1696D">
      <w:pPr>
        <w:keepNext/>
        <w:keepLines/>
        <w:autoSpaceDE w:val="0"/>
        <w:autoSpaceDN w:val="0"/>
        <w:adjustRightInd w:val="0"/>
        <w:rPr>
          <w:i/>
          <w:lang w:val="en-AU"/>
        </w:rPr>
      </w:pPr>
      <w:r w:rsidRPr="005B465D">
        <w:rPr>
          <w:i/>
          <w:lang w:val="en-AU"/>
        </w:rPr>
        <w:t>Intervention to improve the quality of antimicrobial prescribing for urinary tract infection: a cluster randomized trial</w:t>
      </w:r>
    </w:p>
    <w:p w:rsidR="00A1696D" w:rsidRDefault="00A1696D" w:rsidP="00A1696D">
      <w:pPr>
        <w:keepNext/>
        <w:keepLines/>
        <w:autoSpaceDE w:val="0"/>
        <w:autoSpaceDN w:val="0"/>
        <w:adjustRightInd w:val="0"/>
        <w:rPr>
          <w:lang w:val="en-AU"/>
        </w:rPr>
      </w:pPr>
      <w:r w:rsidRPr="00A1696D">
        <w:rPr>
          <w:lang w:val="en-AU"/>
        </w:rPr>
        <w:t>Vellinga A, Galvin S, Duane S, Callan A, Bennett K, Cormican M, et al</w:t>
      </w:r>
    </w:p>
    <w:p w:rsidR="005B465D" w:rsidRDefault="00A1696D" w:rsidP="00A1696D">
      <w:pPr>
        <w:keepNext/>
        <w:keepLines/>
        <w:autoSpaceDE w:val="0"/>
        <w:autoSpaceDN w:val="0"/>
        <w:adjustRightInd w:val="0"/>
        <w:rPr>
          <w:lang w:val="en-AU"/>
        </w:rPr>
      </w:pPr>
      <w:proofErr w:type="gramStart"/>
      <w:r w:rsidRPr="00A1696D">
        <w:rPr>
          <w:lang w:val="en-AU"/>
        </w:rPr>
        <w:t>Canadian Medical Association Journal.</w:t>
      </w:r>
      <w:proofErr w:type="gramEnd"/>
      <w:r w:rsidRPr="00A1696D">
        <w:rPr>
          <w:lang w:val="en-AU"/>
        </w:rPr>
        <w:t xml:space="preserve"> </w:t>
      </w:r>
      <w:proofErr w:type="gramStart"/>
      <w:r w:rsidRPr="00A1696D">
        <w:rPr>
          <w:lang w:val="en-AU"/>
        </w:rPr>
        <w:t>2015</w:t>
      </w:r>
      <w:r>
        <w:rPr>
          <w:lang w:val="en-AU"/>
        </w:rPr>
        <w:t xml:space="preserve"> [epub]</w:t>
      </w:r>
      <w:r w:rsidRPr="00A1696D">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B465D"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5B465D" w:rsidRPr="00255EF8" w:rsidRDefault="005B465D" w:rsidP="00AD5026">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B465D" w:rsidRPr="00255EF8" w:rsidRDefault="008B1313" w:rsidP="00AD5026">
            <w:pPr>
              <w:rPr>
                <w:lang w:val="en-AU"/>
              </w:rPr>
            </w:pPr>
            <w:hyperlink r:id="rId32" w:history="1">
              <w:r w:rsidR="005B465D" w:rsidRPr="00F8476D">
                <w:rPr>
                  <w:rStyle w:val="Hyperlink"/>
                  <w:lang w:val="en-AU"/>
                </w:rPr>
                <w:t>http://dx.doi.org/10.1503/cmaj.150601</w:t>
              </w:r>
            </w:hyperlink>
          </w:p>
        </w:tc>
      </w:tr>
      <w:tr w:rsidR="005B465D"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5B465D" w:rsidRPr="00255EF8" w:rsidRDefault="005B465D" w:rsidP="00AD502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44E94" w:rsidRPr="00AA7F1C" w:rsidRDefault="00644E94" w:rsidP="00644E94">
            <w:pPr>
              <w:rPr>
                <w:lang w:val="en-AU" w:eastAsia="en-AU"/>
              </w:rPr>
            </w:pPr>
            <w:r>
              <w:rPr>
                <w:lang w:val="en-AU" w:eastAsia="en-AU"/>
              </w:rPr>
              <w:t xml:space="preserve">Paper describing an Irish intervention </w:t>
            </w:r>
            <w:r w:rsidRPr="00644E94">
              <w:rPr>
                <w:lang w:val="en-AU" w:eastAsia="en-AU"/>
              </w:rPr>
              <w:t>antimicrobial prescribing for urinary tract infection in</w:t>
            </w:r>
            <w:r>
              <w:rPr>
                <w:lang w:val="en-AU" w:eastAsia="en-AU"/>
              </w:rPr>
              <w:t xml:space="preserve"> general practice. The study involved providing training and information to general practices on antimicrobial prescribing, including information on guidelines and delayed prescribing, including within patient management software. Monthly audit reports were also provided. The authors report that the p</w:t>
            </w:r>
            <w:r w:rsidRPr="00644E94">
              <w:rPr>
                <w:lang w:val="en-AU" w:eastAsia="en-AU"/>
              </w:rPr>
              <w:t>roportion of antimicrobial prescribing according to guidelines for urinary tract infection</w:t>
            </w:r>
            <w:r>
              <w:rPr>
                <w:lang w:val="en-AU" w:eastAsia="en-AU"/>
              </w:rPr>
              <w:t xml:space="preserve"> increased and was sustained.</w:t>
            </w:r>
          </w:p>
        </w:tc>
      </w:tr>
    </w:tbl>
    <w:p w:rsidR="005B465D" w:rsidRDefault="005B465D" w:rsidP="005B465D">
      <w:pPr>
        <w:keepLines/>
        <w:autoSpaceDE w:val="0"/>
        <w:autoSpaceDN w:val="0"/>
        <w:adjustRightInd w:val="0"/>
        <w:rPr>
          <w:i/>
          <w:lang w:val="en-AU"/>
        </w:rPr>
      </w:pPr>
    </w:p>
    <w:p w:rsidR="003F1242" w:rsidRPr="00A61637" w:rsidRDefault="003F1242" w:rsidP="003F1242">
      <w:pPr>
        <w:keepLines/>
        <w:autoSpaceDE w:val="0"/>
        <w:autoSpaceDN w:val="0"/>
        <w:adjustRightInd w:val="0"/>
        <w:rPr>
          <w:i/>
          <w:lang w:val="en-AU"/>
        </w:rPr>
      </w:pPr>
      <w:r w:rsidRPr="00A61637">
        <w:rPr>
          <w:i/>
          <w:lang w:val="en-AU"/>
        </w:rPr>
        <w:lastRenderedPageBreak/>
        <w:t>Antibiotic prescribing and patient satisfaction in primary care in England: cross-sectional analysis of national patient survey data and prescribing data</w:t>
      </w:r>
    </w:p>
    <w:p w:rsidR="003F1242" w:rsidRDefault="003F1242" w:rsidP="003F1242">
      <w:pPr>
        <w:keepLines/>
        <w:autoSpaceDE w:val="0"/>
        <w:autoSpaceDN w:val="0"/>
        <w:adjustRightInd w:val="0"/>
        <w:rPr>
          <w:lang w:val="en-AU"/>
        </w:rPr>
      </w:pPr>
      <w:r w:rsidRPr="00A64FB8">
        <w:rPr>
          <w:lang w:val="en-AU"/>
        </w:rPr>
        <w:t>Ashworth M, White P, Jongsma H, Schofield P, Armstrong D</w:t>
      </w:r>
    </w:p>
    <w:p w:rsidR="003F1242" w:rsidRDefault="003F1242" w:rsidP="003F1242">
      <w:pPr>
        <w:keepLines/>
        <w:autoSpaceDE w:val="0"/>
        <w:autoSpaceDN w:val="0"/>
        <w:adjustRightInd w:val="0"/>
        <w:rPr>
          <w:lang w:val="en-AU"/>
        </w:rPr>
      </w:pPr>
      <w:proofErr w:type="gramStart"/>
      <w:r w:rsidRPr="00A64FB8">
        <w:rPr>
          <w:lang w:val="en-AU"/>
        </w:rPr>
        <w:t>British Journal of General Practice.</w:t>
      </w:r>
      <w:proofErr w:type="gramEnd"/>
      <w:r w:rsidRPr="00A64FB8">
        <w:rPr>
          <w:lang w:val="en-AU"/>
        </w:rPr>
        <w:t xml:space="preserve"> 2016</w:t>
      </w:r>
      <w:proofErr w:type="gramStart"/>
      <w:r w:rsidRPr="00A64FB8">
        <w:rPr>
          <w:lang w:val="en-AU"/>
        </w:rPr>
        <w:t>;66</w:t>
      </w:r>
      <w:proofErr w:type="gramEnd"/>
      <w:r w:rsidRPr="00A64FB8">
        <w:rPr>
          <w:lang w:val="en-AU"/>
        </w:rPr>
        <w:t>(642):e40-6.</w:t>
      </w:r>
    </w:p>
    <w:tbl>
      <w:tblPr>
        <w:tblStyle w:val="TableGrid"/>
        <w:tblW w:w="0" w:type="auto"/>
        <w:tblInd w:w="288" w:type="dxa"/>
        <w:tblLayout w:type="fixed"/>
        <w:tblLook w:val="01E0" w:firstRow="1" w:lastRow="1" w:firstColumn="1" w:lastColumn="1" w:noHBand="0" w:noVBand="0"/>
      </w:tblPr>
      <w:tblGrid>
        <w:gridCol w:w="1080"/>
        <w:gridCol w:w="8280"/>
      </w:tblGrid>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hyperlink r:id="rId33" w:history="1">
              <w:r w:rsidRPr="00F8476D">
                <w:rPr>
                  <w:rStyle w:val="Hyperlink"/>
                  <w:lang w:val="en-AU"/>
                </w:rPr>
                <w:t>http://dx.doi.org/10.3399/bjgp15X688105</w:t>
              </w:r>
            </w:hyperlink>
          </w:p>
        </w:tc>
      </w:tr>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AA7F1C" w:rsidRDefault="003F1242" w:rsidP="00F6512F">
            <w:pPr>
              <w:rPr>
                <w:lang w:val="en-AU" w:eastAsia="en-AU"/>
              </w:rPr>
            </w:pPr>
            <w:r>
              <w:rPr>
                <w:lang w:val="en-AU" w:eastAsia="en-AU"/>
              </w:rPr>
              <w:t xml:space="preserve">One of the issues </w:t>
            </w:r>
            <w:proofErr w:type="gramStart"/>
            <w:r>
              <w:rPr>
                <w:lang w:val="en-AU" w:eastAsia="en-AU"/>
              </w:rPr>
              <w:t>raised</w:t>
            </w:r>
            <w:proofErr w:type="gramEnd"/>
            <w:r>
              <w:rPr>
                <w:lang w:val="en-AU" w:eastAsia="en-AU"/>
              </w:rPr>
              <w:t xml:space="preserve"> when discussing antibiotic prescribing is that of patient expectation and how that may influence prescribing. This</w:t>
            </w:r>
            <w:r>
              <w:t xml:space="preserve"> </w:t>
            </w:r>
            <w:r w:rsidR="00F6512F" w:rsidRPr="00644E94">
              <w:rPr>
                <w:lang w:val="en-AU" w:eastAsia="en-AU"/>
              </w:rPr>
              <w:t>retrospective</w:t>
            </w:r>
            <w:r w:rsidRPr="00644E94">
              <w:rPr>
                <w:lang w:val="en-AU" w:eastAsia="en-AU"/>
              </w:rPr>
              <w:t xml:space="preserve"> cross-sectional study of general practices in England</w:t>
            </w:r>
            <w:r>
              <w:rPr>
                <w:lang w:val="en-AU" w:eastAsia="en-AU"/>
              </w:rPr>
              <w:t xml:space="preserve"> sought to </w:t>
            </w:r>
            <w:r w:rsidRPr="00644E94">
              <w:rPr>
                <w:lang w:val="en-AU" w:eastAsia="en-AU"/>
              </w:rPr>
              <w:t>determine the relationship between antibiotic prescribing in general practice and reported patient satisfaction</w:t>
            </w:r>
            <w:r>
              <w:rPr>
                <w:lang w:val="en-AU" w:eastAsia="en-AU"/>
              </w:rPr>
              <w:t xml:space="preserve"> by using a </w:t>
            </w:r>
            <w:r w:rsidRPr="00644E94">
              <w:rPr>
                <w:lang w:val="en-AU" w:eastAsia="en-AU"/>
              </w:rPr>
              <w:t xml:space="preserve">dataset </w:t>
            </w:r>
            <w:r>
              <w:rPr>
                <w:lang w:val="en-AU" w:eastAsia="en-AU"/>
              </w:rPr>
              <w:t xml:space="preserve">covering </w:t>
            </w:r>
            <w:r w:rsidRPr="00644E94">
              <w:rPr>
                <w:lang w:val="en-AU" w:eastAsia="en-AU"/>
              </w:rPr>
              <w:t>7800 (95.5%) practices</w:t>
            </w:r>
            <w:r>
              <w:rPr>
                <w:lang w:val="en-AU" w:eastAsia="en-AU"/>
              </w:rPr>
              <w:t xml:space="preserve"> and </w:t>
            </w:r>
            <w:r w:rsidRPr="00644E94">
              <w:rPr>
                <w:lang w:val="en-AU" w:eastAsia="en-AU"/>
              </w:rPr>
              <w:t>33.7 million antibiotic prescriptions issued to a registered population of 53.8 million patients.</w:t>
            </w:r>
            <w:r>
              <w:rPr>
                <w:lang w:val="en-AU" w:eastAsia="en-AU"/>
              </w:rPr>
              <w:t xml:space="preserve"> The authors report that a</w:t>
            </w:r>
            <w:r w:rsidRPr="00644E94">
              <w:rPr>
                <w:lang w:val="en-AU" w:eastAsia="en-AU"/>
              </w:rPr>
              <w:t>ntibiotic prescribing volume was a significant positive predictor of all ‘doctor satisfaction’ and ‘practice satisfaction’ scores in the GPPS, and was the strongest predictor of overall satisfaction out of 13 prescribing variables</w:t>
            </w:r>
            <w:r>
              <w:rPr>
                <w:lang w:val="en-AU" w:eastAsia="en-AU"/>
              </w:rPr>
              <w:t>. They conclude that “</w:t>
            </w:r>
            <w:r w:rsidRPr="00644E94">
              <w:rPr>
                <w:lang w:val="en-AU" w:eastAsia="en-AU"/>
              </w:rPr>
              <w:t>Patients were less satisfied in practices with frugal antibiotic prescribing. A cautious approach to antibiotic prescribing may require a trade-off in terms of patient satisfaction</w:t>
            </w:r>
            <w:r>
              <w:rPr>
                <w:lang w:val="en-AU" w:eastAsia="en-AU"/>
              </w:rPr>
              <w:t>.”</w:t>
            </w:r>
          </w:p>
        </w:tc>
      </w:tr>
    </w:tbl>
    <w:p w:rsidR="003F1242" w:rsidRDefault="003F1242" w:rsidP="003F1242">
      <w:pPr>
        <w:keepLines/>
        <w:autoSpaceDE w:val="0"/>
        <w:autoSpaceDN w:val="0"/>
        <w:adjustRightInd w:val="0"/>
        <w:rPr>
          <w:b/>
          <w:lang w:val="en-AU"/>
        </w:rPr>
      </w:pPr>
    </w:p>
    <w:p w:rsidR="003F1242" w:rsidRDefault="003F1242" w:rsidP="003F1242">
      <w:pPr>
        <w:keepLines/>
        <w:autoSpaceDE w:val="0"/>
        <w:autoSpaceDN w:val="0"/>
        <w:adjustRightInd w:val="0"/>
        <w:rPr>
          <w:lang w:val="en-AU"/>
        </w:rPr>
      </w:pPr>
      <w:r w:rsidRPr="00EA6F18">
        <w:rPr>
          <w:lang w:val="en-AU"/>
        </w:rPr>
        <w:t>For information on the Commission’s work on</w:t>
      </w:r>
      <w:r>
        <w:rPr>
          <w:lang w:val="en-AU"/>
        </w:rPr>
        <w:t xml:space="preserve"> </w:t>
      </w:r>
      <w:r>
        <w:rPr>
          <w:lang w:val="en-AU"/>
        </w:rPr>
        <w:t>a</w:t>
      </w:r>
      <w:r w:rsidRPr="003F1242">
        <w:rPr>
          <w:lang w:val="en-AU"/>
        </w:rPr>
        <w:t xml:space="preserve">ntimicrobial </w:t>
      </w:r>
      <w:r>
        <w:rPr>
          <w:lang w:val="en-AU"/>
        </w:rPr>
        <w:t>u</w:t>
      </w:r>
      <w:r w:rsidRPr="003F1242">
        <w:rPr>
          <w:lang w:val="en-AU"/>
        </w:rPr>
        <w:t xml:space="preserve">se and </w:t>
      </w:r>
      <w:r>
        <w:rPr>
          <w:lang w:val="en-AU"/>
        </w:rPr>
        <w:t>r</w:t>
      </w:r>
      <w:r w:rsidRPr="003F1242">
        <w:rPr>
          <w:lang w:val="en-AU"/>
        </w:rPr>
        <w:t>esistance</w:t>
      </w:r>
      <w:r>
        <w:rPr>
          <w:lang w:val="en-AU"/>
        </w:rPr>
        <w:t>, see</w:t>
      </w:r>
      <w:r>
        <w:rPr>
          <w:lang w:val="en-AU"/>
        </w:rPr>
        <w:t xml:space="preserve"> </w:t>
      </w:r>
      <w:hyperlink r:id="rId34" w:history="1">
        <w:r w:rsidRPr="0034138F">
          <w:rPr>
            <w:rStyle w:val="Hyperlink"/>
            <w:lang w:val="en-AU"/>
          </w:rPr>
          <w:t>http://www.safetyandquality.gov.au/national-priorities/amr-and-au-surveillance-project/</w:t>
        </w:r>
      </w:hyperlink>
    </w:p>
    <w:p w:rsidR="003F1242" w:rsidRDefault="003F1242" w:rsidP="003F1242">
      <w:pPr>
        <w:keepLines/>
        <w:autoSpaceDE w:val="0"/>
        <w:autoSpaceDN w:val="0"/>
        <w:adjustRightInd w:val="0"/>
        <w:rPr>
          <w:b/>
          <w:lang w:val="en-AU"/>
        </w:rPr>
      </w:pPr>
    </w:p>
    <w:p w:rsidR="003F1242" w:rsidRDefault="003F1242" w:rsidP="003F1242">
      <w:pPr>
        <w:keepLines/>
        <w:autoSpaceDE w:val="0"/>
        <w:autoSpaceDN w:val="0"/>
        <w:adjustRightInd w:val="0"/>
        <w:rPr>
          <w:i/>
          <w:lang w:val="en-AU"/>
        </w:rPr>
      </w:pPr>
      <w:r w:rsidRPr="005B465D">
        <w:rPr>
          <w:i/>
          <w:lang w:val="en-AU"/>
        </w:rPr>
        <w:t>Interactive telemedicine: Effects on professional practice and health care outcomes</w:t>
      </w:r>
    </w:p>
    <w:p w:rsidR="003F1242" w:rsidRDefault="003F1242" w:rsidP="003F1242">
      <w:pPr>
        <w:keepLines/>
        <w:autoSpaceDE w:val="0"/>
        <w:autoSpaceDN w:val="0"/>
        <w:adjustRightInd w:val="0"/>
        <w:rPr>
          <w:lang w:val="en-AU"/>
        </w:rPr>
      </w:pPr>
      <w:r w:rsidRPr="004811D4">
        <w:rPr>
          <w:lang w:val="en-AU"/>
        </w:rPr>
        <w:t>Flodgren G, Rachas A, Farmer AJ, M I, Shepperd S</w:t>
      </w:r>
    </w:p>
    <w:p w:rsidR="003F1242" w:rsidRDefault="003F1242" w:rsidP="003F1242">
      <w:pPr>
        <w:keepLines/>
        <w:autoSpaceDE w:val="0"/>
        <w:autoSpaceDN w:val="0"/>
        <w:adjustRightInd w:val="0"/>
        <w:rPr>
          <w:lang w:val="en-AU"/>
        </w:rPr>
      </w:pPr>
      <w:proofErr w:type="gramStart"/>
      <w:r w:rsidRPr="004811D4">
        <w:rPr>
          <w:lang w:val="en-AU"/>
        </w:rPr>
        <w:t>Cochrane Database of Systematic Reviews.</w:t>
      </w:r>
      <w:proofErr w:type="gramEnd"/>
      <w:r w:rsidRPr="004811D4">
        <w:rPr>
          <w:lang w:val="en-AU"/>
        </w:rPr>
        <w:t xml:space="preserve"> 2015 (9)</w:t>
      </w:r>
      <w:proofErr w:type="gramStart"/>
      <w:r w:rsidRPr="004811D4">
        <w:rPr>
          <w:lang w:val="en-AU"/>
        </w:rPr>
        <w:t>:Art</w:t>
      </w:r>
      <w:proofErr w:type="gramEnd"/>
      <w:r w:rsidRPr="004811D4">
        <w:rPr>
          <w:lang w:val="en-AU"/>
        </w:rPr>
        <w:t>. No.: CD002098.</w:t>
      </w:r>
    </w:p>
    <w:tbl>
      <w:tblPr>
        <w:tblStyle w:val="TableGrid"/>
        <w:tblW w:w="0" w:type="auto"/>
        <w:tblInd w:w="288" w:type="dxa"/>
        <w:tblLayout w:type="fixed"/>
        <w:tblLook w:val="01E0" w:firstRow="1" w:lastRow="1" w:firstColumn="1" w:lastColumn="1" w:noHBand="0" w:noVBand="0"/>
      </w:tblPr>
      <w:tblGrid>
        <w:gridCol w:w="1080"/>
        <w:gridCol w:w="8280"/>
      </w:tblGrid>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hyperlink r:id="rId35" w:history="1">
              <w:r w:rsidRPr="00F8476D">
                <w:rPr>
                  <w:rStyle w:val="Hyperlink"/>
                  <w:lang w:val="en-AU"/>
                </w:rPr>
                <w:t>http://dx.doi.org/10.1002/14651858.CD002098.pub2</w:t>
              </w:r>
            </w:hyperlink>
          </w:p>
        </w:tc>
      </w:tr>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AA7F1C" w:rsidRDefault="003F1242" w:rsidP="00C4742D">
            <w:pPr>
              <w:rPr>
                <w:lang w:val="en-AU" w:eastAsia="en-AU"/>
              </w:rPr>
            </w:pPr>
            <w:r>
              <w:rPr>
                <w:lang w:val="en-AU" w:eastAsia="en-AU"/>
              </w:rPr>
              <w:t>This Cochrane review sought to assess</w:t>
            </w:r>
            <w:r w:rsidRPr="00A12FE9">
              <w:rPr>
                <w:lang w:val="en-AU" w:eastAsia="en-AU"/>
              </w:rPr>
              <w:t xml:space="preserve"> the effectiveness, acceptability, and costs of interactive telemedicine</w:t>
            </w:r>
            <w:r>
              <w:rPr>
                <w:lang w:val="en-AU" w:eastAsia="en-AU"/>
              </w:rPr>
              <w:t xml:space="preserve"> (TM)</w:t>
            </w:r>
            <w:r w:rsidRPr="00A12FE9">
              <w:rPr>
                <w:lang w:val="en-AU" w:eastAsia="en-AU"/>
              </w:rPr>
              <w:t>, delivered in addition to, or as an alternative to, usual care as compared to usual care alone.</w:t>
            </w:r>
            <w:r>
              <w:rPr>
                <w:lang w:val="en-AU" w:eastAsia="en-AU"/>
              </w:rPr>
              <w:t xml:space="preserve"> The reviews author conclude that “</w:t>
            </w:r>
            <w:r w:rsidRPr="00A12FE9">
              <w:rPr>
                <w:lang w:val="en-AU" w:eastAsia="en-AU"/>
              </w:rPr>
              <w:t>the use of TM in the management of heart failure appears to lead to similar health outcomes as face-to-face or telephone delivery of care; there is evidence that TM can improve the control of blood glucose in those with diabetes. The cost to a health service, and acceptability by patients and healthcare professionals, is not clear due to limited data reported for these outcomes. The effectiveness of TM may depend on a number of different factors, including those related to the study population e.g. the severity of the condition and the disease trajectory of the participants, the function of the intervention e.g., if it is used for monitoring a chronic condition, or to provide access to diagnostic services, as well as the healthcare provider and healthcare system involved in delivering the intervention.</w:t>
            </w:r>
            <w:r>
              <w:rPr>
                <w:lang w:val="en-AU" w:eastAsia="en-AU"/>
              </w:rPr>
              <w:t>”</w:t>
            </w:r>
          </w:p>
        </w:tc>
      </w:tr>
    </w:tbl>
    <w:p w:rsidR="003F1242" w:rsidRDefault="003F1242" w:rsidP="003F1242">
      <w:pPr>
        <w:keepLines/>
        <w:autoSpaceDE w:val="0"/>
        <w:autoSpaceDN w:val="0"/>
        <w:adjustRightInd w:val="0"/>
        <w:rPr>
          <w:i/>
          <w:lang w:val="en-AU"/>
        </w:rPr>
      </w:pPr>
    </w:p>
    <w:p w:rsidR="003F1242" w:rsidRPr="005B465D" w:rsidRDefault="003F1242" w:rsidP="003F1242">
      <w:pPr>
        <w:keepNext/>
        <w:keepLines/>
        <w:autoSpaceDE w:val="0"/>
        <w:autoSpaceDN w:val="0"/>
        <w:adjustRightInd w:val="0"/>
        <w:rPr>
          <w:i/>
          <w:lang w:val="en-AU"/>
        </w:rPr>
      </w:pPr>
      <w:r w:rsidRPr="005B465D">
        <w:rPr>
          <w:i/>
          <w:lang w:val="en-AU"/>
        </w:rPr>
        <w:t>Quality and safety in orthopaedics: learning and teaching at the same time: AOA critical issues</w:t>
      </w:r>
    </w:p>
    <w:p w:rsidR="003F1242" w:rsidRDefault="003F1242" w:rsidP="003F1242">
      <w:pPr>
        <w:keepNext/>
        <w:keepLines/>
        <w:autoSpaceDE w:val="0"/>
        <w:autoSpaceDN w:val="0"/>
        <w:adjustRightInd w:val="0"/>
        <w:rPr>
          <w:lang w:val="en-AU"/>
        </w:rPr>
      </w:pPr>
      <w:r w:rsidRPr="00973267">
        <w:rPr>
          <w:lang w:val="en-AU"/>
        </w:rPr>
        <w:t>Black KP, Armstrong AD, Hutzler L, Egol KA</w:t>
      </w:r>
    </w:p>
    <w:p w:rsidR="003F1242" w:rsidRDefault="003F1242" w:rsidP="003F1242">
      <w:pPr>
        <w:keepNext/>
        <w:keepLines/>
        <w:autoSpaceDE w:val="0"/>
        <w:autoSpaceDN w:val="0"/>
        <w:adjustRightInd w:val="0"/>
        <w:rPr>
          <w:lang w:val="en-AU"/>
        </w:rPr>
      </w:pPr>
      <w:proofErr w:type="gramStart"/>
      <w:r w:rsidRPr="00DA206B">
        <w:rPr>
          <w:lang w:val="en-AU"/>
        </w:rPr>
        <w:t>Journal of Bone &amp; Joint Surgery.</w:t>
      </w:r>
      <w:proofErr w:type="gramEnd"/>
      <w:r w:rsidRPr="00DA206B">
        <w:rPr>
          <w:lang w:val="en-AU"/>
        </w:rPr>
        <w:t xml:space="preserve"> 2015</w:t>
      </w:r>
      <w:proofErr w:type="gramStart"/>
      <w:r w:rsidRPr="00DA206B">
        <w:rPr>
          <w:lang w:val="en-AU"/>
        </w:rPr>
        <w:t>;97</w:t>
      </w:r>
      <w:proofErr w:type="gramEnd"/>
      <w:r w:rsidRPr="00DA206B">
        <w:rPr>
          <w:lang w:val="en-AU"/>
        </w:rPr>
        <w:t>(21):1809-15.</w:t>
      </w:r>
    </w:p>
    <w:tbl>
      <w:tblPr>
        <w:tblStyle w:val="TableGrid"/>
        <w:tblW w:w="0" w:type="auto"/>
        <w:tblInd w:w="288" w:type="dxa"/>
        <w:tblLayout w:type="fixed"/>
        <w:tblLook w:val="01E0" w:firstRow="1" w:lastRow="1" w:firstColumn="1" w:lastColumn="1" w:noHBand="0" w:noVBand="0"/>
      </w:tblPr>
      <w:tblGrid>
        <w:gridCol w:w="1080"/>
        <w:gridCol w:w="8280"/>
      </w:tblGrid>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hyperlink r:id="rId36" w:history="1">
              <w:r w:rsidRPr="00F8476D">
                <w:rPr>
                  <w:rStyle w:val="Hyperlink"/>
                  <w:lang w:val="en-AU"/>
                </w:rPr>
                <w:t>http://dx.doi.org/10.2106/JBJS.O.00020</w:t>
              </w:r>
            </w:hyperlink>
          </w:p>
        </w:tc>
      </w:tr>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AA7F1C" w:rsidRDefault="003F1242" w:rsidP="00C4742D">
            <w:pPr>
              <w:rPr>
                <w:lang w:val="en-AU" w:eastAsia="en-AU"/>
              </w:rPr>
            </w:pPr>
            <w:r>
              <w:rPr>
                <w:lang w:val="en-AU" w:eastAsia="en-AU"/>
              </w:rPr>
              <w:t xml:space="preserve">While many safety and quality issues may apply across many or all domains, each domain can have its specific issues. This review piece </w:t>
            </w:r>
            <w:r w:rsidRPr="00973267">
              <w:rPr>
                <w:lang w:val="en-AU" w:eastAsia="en-AU"/>
              </w:rPr>
              <w:t xml:space="preserve">review </w:t>
            </w:r>
            <w:r>
              <w:rPr>
                <w:lang w:val="en-AU" w:eastAsia="en-AU"/>
              </w:rPr>
              <w:t xml:space="preserve">discusses quality and </w:t>
            </w:r>
            <w:r w:rsidRPr="00973267">
              <w:rPr>
                <w:lang w:val="en-AU" w:eastAsia="en-AU"/>
              </w:rPr>
              <w:t>safety in orthop</w:t>
            </w:r>
            <w:r>
              <w:rPr>
                <w:lang w:val="en-AU" w:eastAsia="en-AU"/>
              </w:rPr>
              <w:t>a</w:t>
            </w:r>
            <w:r w:rsidRPr="00973267">
              <w:rPr>
                <w:lang w:val="en-AU" w:eastAsia="en-AU"/>
              </w:rPr>
              <w:t xml:space="preserve">edics, including </w:t>
            </w:r>
            <w:r>
              <w:rPr>
                <w:lang w:val="en-AU" w:eastAsia="en-AU"/>
              </w:rPr>
              <w:t xml:space="preserve">developing </w:t>
            </w:r>
            <w:r w:rsidRPr="00973267">
              <w:rPr>
                <w:lang w:val="en-AU" w:eastAsia="en-AU"/>
              </w:rPr>
              <w:t>safety metrics and teach</w:t>
            </w:r>
            <w:r>
              <w:rPr>
                <w:lang w:val="en-AU" w:eastAsia="en-AU"/>
              </w:rPr>
              <w:t>ing</w:t>
            </w:r>
            <w:r w:rsidRPr="00973267">
              <w:rPr>
                <w:lang w:val="en-AU" w:eastAsia="en-AU"/>
              </w:rPr>
              <w:t xml:space="preserve"> about quality and safety. </w:t>
            </w:r>
            <w:r>
              <w:rPr>
                <w:lang w:val="en-AU" w:eastAsia="en-AU"/>
              </w:rPr>
              <w:t xml:space="preserve">The development of a safety culture focusing on </w:t>
            </w:r>
            <w:r w:rsidRPr="00973267">
              <w:rPr>
                <w:lang w:val="en-AU" w:eastAsia="en-AU"/>
              </w:rPr>
              <w:t>error prevention, teamwork, transparency, and continuous learning</w:t>
            </w:r>
            <w:r>
              <w:rPr>
                <w:lang w:val="en-AU" w:eastAsia="en-AU"/>
              </w:rPr>
              <w:t xml:space="preserve"> is seen as key</w:t>
            </w:r>
            <w:r w:rsidRPr="00973267">
              <w:rPr>
                <w:lang w:val="en-AU" w:eastAsia="en-AU"/>
              </w:rPr>
              <w:t>.</w:t>
            </w:r>
          </w:p>
        </w:tc>
      </w:tr>
    </w:tbl>
    <w:p w:rsidR="003F1242" w:rsidRDefault="003F1242" w:rsidP="003F1242">
      <w:pPr>
        <w:keepLines/>
        <w:autoSpaceDE w:val="0"/>
        <w:autoSpaceDN w:val="0"/>
        <w:adjustRightInd w:val="0"/>
        <w:rPr>
          <w:i/>
          <w:lang w:val="en-AU"/>
        </w:rPr>
      </w:pPr>
    </w:p>
    <w:p w:rsidR="003F1242" w:rsidRPr="005B465D" w:rsidRDefault="003F1242" w:rsidP="003F1242">
      <w:pPr>
        <w:keepNext/>
        <w:keepLines/>
        <w:autoSpaceDE w:val="0"/>
        <w:autoSpaceDN w:val="0"/>
        <w:adjustRightInd w:val="0"/>
        <w:rPr>
          <w:i/>
          <w:lang w:val="en-AU"/>
        </w:rPr>
      </w:pPr>
      <w:r w:rsidRPr="005B465D">
        <w:rPr>
          <w:i/>
          <w:lang w:val="en-AU"/>
        </w:rPr>
        <w:lastRenderedPageBreak/>
        <w:t>Systematic review of patient safety interventions in dentistry</w:t>
      </w:r>
    </w:p>
    <w:p w:rsidR="003F1242" w:rsidRDefault="003F1242" w:rsidP="003F1242">
      <w:pPr>
        <w:keepNext/>
        <w:keepLines/>
        <w:autoSpaceDE w:val="0"/>
        <w:autoSpaceDN w:val="0"/>
        <w:adjustRightInd w:val="0"/>
        <w:rPr>
          <w:lang w:val="en-AU"/>
        </w:rPr>
      </w:pPr>
      <w:r w:rsidRPr="00E93EF5">
        <w:rPr>
          <w:lang w:val="en-AU"/>
        </w:rPr>
        <w:t>Bailey E, Tickle M, Campbell S, O’Malley L</w:t>
      </w:r>
    </w:p>
    <w:p w:rsidR="003F1242" w:rsidRDefault="003F1242" w:rsidP="003F1242">
      <w:pPr>
        <w:keepNext/>
        <w:keepLines/>
        <w:autoSpaceDE w:val="0"/>
        <w:autoSpaceDN w:val="0"/>
        <w:adjustRightInd w:val="0"/>
        <w:rPr>
          <w:lang w:val="en-AU"/>
        </w:rPr>
      </w:pPr>
      <w:proofErr w:type="gramStart"/>
      <w:r w:rsidRPr="00E93EF5">
        <w:rPr>
          <w:lang w:val="en-AU"/>
        </w:rPr>
        <w:t>BMC Oral Health.</w:t>
      </w:r>
      <w:proofErr w:type="gramEnd"/>
      <w:r w:rsidRPr="00E93EF5">
        <w:rPr>
          <w:lang w:val="en-AU"/>
        </w:rPr>
        <w:t xml:space="preserve"> 2015</w:t>
      </w:r>
      <w:proofErr w:type="gramStart"/>
      <w:r w:rsidRPr="00E93EF5">
        <w:rPr>
          <w:lang w:val="en-AU"/>
        </w:rPr>
        <w:t>;15</w:t>
      </w:r>
      <w:proofErr w:type="gramEnd"/>
      <w:r w:rsidRPr="00E93EF5">
        <w:rPr>
          <w:lang w:val="en-AU"/>
        </w:rPr>
        <w:t>(1):1-11.</w:t>
      </w:r>
    </w:p>
    <w:tbl>
      <w:tblPr>
        <w:tblStyle w:val="TableGrid"/>
        <w:tblW w:w="0" w:type="auto"/>
        <w:tblInd w:w="288" w:type="dxa"/>
        <w:tblLayout w:type="fixed"/>
        <w:tblLook w:val="01E0" w:firstRow="1" w:lastRow="1" w:firstColumn="1" w:lastColumn="1" w:noHBand="0" w:noVBand="0"/>
      </w:tblPr>
      <w:tblGrid>
        <w:gridCol w:w="1080"/>
        <w:gridCol w:w="8280"/>
      </w:tblGrid>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hyperlink r:id="rId37" w:history="1">
              <w:r w:rsidRPr="00F8476D">
                <w:rPr>
                  <w:rStyle w:val="Hyperlink"/>
                  <w:lang w:val="en-AU"/>
                </w:rPr>
                <w:t>http://dx.doi.org/10.1186/s12903-015-0136-1</w:t>
              </w:r>
            </w:hyperlink>
          </w:p>
        </w:tc>
      </w:tr>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Default="003F1242" w:rsidP="00C4742D">
            <w:pPr>
              <w:rPr>
                <w:lang w:val="en-AU" w:eastAsia="en-AU"/>
              </w:rPr>
            </w:pPr>
            <w:r>
              <w:rPr>
                <w:lang w:val="en-AU" w:eastAsia="en-AU"/>
              </w:rPr>
              <w:t xml:space="preserve">In a somewhat similar vein is this item looking at dentistry, particularly patient safety interventions. The systematic review reports finding little evidence of </w:t>
            </w:r>
            <w:r w:rsidRPr="00973267">
              <w:rPr>
                <w:lang w:val="en-AU" w:eastAsia="en-AU"/>
              </w:rPr>
              <w:t>effective patient safety approaches, with the exception of surgical safety checklists, which were successful in preventing wrong tooth extractions.</w:t>
            </w:r>
          </w:p>
          <w:p w:rsidR="003F1242" w:rsidRDefault="003F1242" w:rsidP="00C4742D">
            <w:pPr>
              <w:rPr>
                <w:lang w:val="en-AU" w:eastAsia="en-AU"/>
              </w:rPr>
            </w:pPr>
          </w:p>
          <w:p w:rsidR="003F1242" w:rsidRPr="00AA7F1C" w:rsidRDefault="003F1242" w:rsidP="00C4742D">
            <w:pPr>
              <w:rPr>
                <w:lang w:val="en-AU" w:eastAsia="en-AU"/>
              </w:rPr>
            </w:pPr>
            <w:r>
              <w:rPr>
                <w:lang w:val="en-AU" w:eastAsia="en-AU"/>
              </w:rPr>
              <w:t xml:space="preserve">The Commission recently published the </w:t>
            </w:r>
            <w:r w:rsidRPr="00E93EF5">
              <w:rPr>
                <w:i/>
                <w:lang w:val="en-AU" w:eastAsia="en-AU"/>
              </w:rPr>
              <w:t>NSQHS Standards Guide for Dental Practices and Services</w:t>
            </w:r>
            <w:r w:rsidRPr="00E93EF5">
              <w:rPr>
                <w:lang w:val="en-AU" w:eastAsia="en-AU"/>
              </w:rPr>
              <w:t xml:space="preserve"> </w:t>
            </w:r>
            <w:r>
              <w:rPr>
                <w:lang w:val="en-AU" w:eastAsia="en-AU"/>
              </w:rPr>
              <w:t xml:space="preserve">to aid </w:t>
            </w:r>
            <w:r w:rsidRPr="00E93EF5">
              <w:rPr>
                <w:lang w:val="en-AU" w:eastAsia="en-AU"/>
              </w:rPr>
              <w:t>dental practices to improve the safety and quality of care using the National Safety and Quality Health Service (NSQHS) Standards as a framework for improvement</w:t>
            </w:r>
            <w:r>
              <w:rPr>
                <w:lang w:val="en-AU" w:eastAsia="en-AU"/>
              </w:rPr>
              <w:t xml:space="preserve">. The guide is available from </w:t>
            </w:r>
            <w:hyperlink r:id="rId38" w:history="1">
              <w:r w:rsidRPr="00F8476D">
                <w:rPr>
                  <w:rStyle w:val="Hyperlink"/>
                  <w:lang w:val="en-AU" w:eastAsia="en-AU"/>
                </w:rPr>
                <w:t>http://www.safetyandquality.gov.au/our-work/accreditation-and-the-nsqhs-standards/information-for-dental-practices/</w:t>
              </w:r>
            </w:hyperlink>
            <w:r>
              <w:rPr>
                <w:lang w:val="en-AU" w:eastAsia="en-AU"/>
              </w:rPr>
              <w:t xml:space="preserve"> </w:t>
            </w:r>
          </w:p>
        </w:tc>
      </w:tr>
    </w:tbl>
    <w:p w:rsidR="003F1242" w:rsidRDefault="003F1242" w:rsidP="003F1242">
      <w:pPr>
        <w:keepLines/>
        <w:autoSpaceDE w:val="0"/>
        <w:autoSpaceDN w:val="0"/>
        <w:adjustRightInd w:val="0"/>
        <w:rPr>
          <w:i/>
          <w:lang w:val="en-AU"/>
        </w:rPr>
      </w:pPr>
    </w:p>
    <w:p w:rsidR="003F1242" w:rsidRDefault="003F1242" w:rsidP="003F1242">
      <w:pPr>
        <w:keepNext/>
        <w:keepLines/>
        <w:autoSpaceDE w:val="0"/>
        <w:autoSpaceDN w:val="0"/>
        <w:adjustRightInd w:val="0"/>
        <w:rPr>
          <w:i/>
          <w:lang w:val="en-AU"/>
        </w:rPr>
      </w:pPr>
      <w:r w:rsidRPr="00A61637">
        <w:rPr>
          <w:i/>
          <w:lang w:val="en-AU"/>
        </w:rPr>
        <w:t>Quality and patient safety teams in the perioperative setting</w:t>
      </w:r>
    </w:p>
    <w:p w:rsidR="003F1242" w:rsidRDefault="003F1242" w:rsidP="003F1242">
      <w:pPr>
        <w:keepNext/>
        <w:keepLines/>
        <w:autoSpaceDE w:val="0"/>
        <w:autoSpaceDN w:val="0"/>
        <w:adjustRightInd w:val="0"/>
        <w:rPr>
          <w:lang w:val="en-AU"/>
        </w:rPr>
      </w:pPr>
      <w:r w:rsidRPr="00AF291D">
        <w:rPr>
          <w:lang w:val="en-AU"/>
        </w:rPr>
        <w:t>Serino MF</w:t>
      </w:r>
    </w:p>
    <w:p w:rsidR="003F1242" w:rsidRDefault="003F1242" w:rsidP="003F1242">
      <w:pPr>
        <w:keepNext/>
        <w:keepLines/>
        <w:autoSpaceDE w:val="0"/>
        <w:autoSpaceDN w:val="0"/>
        <w:adjustRightInd w:val="0"/>
        <w:rPr>
          <w:lang w:val="en-AU"/>
        </w:rPr>
      </w:pPr>
      <w:proofErr w:type="gramStart"/>
      <w:r w:rsidRPr="00AF291D">
        <w:rPr>
          <w:lang w:val="en-AU"/>
        </w:rPr>
        <w:t>AORN Journal.</w:t>
      </w:r>
      <w:proofErr w:type="gramEnd"/>
      <w:r w:rsidRPr="00AF291D">
        <w:rPr>
          <w:lang w:val="en-AU"/>
        </w:rPr>
        <w:t xml:space="preserve"> 2015</w:t>
      </w:r>
      <w:proofErr w:type="gramStart"/>
      <w:r w:rsidRPr="00AF291D">
        <w:rPr>
          <w:lang w:val="en-AU"/>
        </w:rPr>
        <w:t>;102</w:t>
      </w:r>
      <w:proofErr w:type="gramEnd"/>
      <w:r w:rsidRPr="00AF291D">
        <w:rPr>
          <w:lang w:val="en-AU"/>
        </w:rPr>
        <w:t>(6):617-28.</w:t>
      </w:r>
    </w:p>
    <w:tbl>
      <w:tblPr>
        <w:tblStyle w:val="TableGrid"/>
        <w:tblW w:w="0" w:type="auto"/>
        <w:tblInd w:w="288" w:type="dxa"/>
        <w:tblLayout w:type="fixed"/>
        <w:tblLook w:val="01E0" w:firstRow="1" w:lastRow="1" w:firstColumn="1" w:lastColumn="1" w:noHBand="0" w:noVBand="0"/>
      </w:tblPr>
      <w:tblGrid>
        <w:gridCol w:w="1080"/>
        <w:gridCol w:w="8280"/>
      </w:tblGrid>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hyperlink r:id="rId39" w:history="1">
              <w:r w:rsidRPr="00F8476D">
                <w:rPr>
                  <w:rStyle w:val="Hyperlink"/>
                  <w:lang w:val="en-AU"/>
                </w:rPr>
                <w:t>http://dx.doi.org/10.1016/j.aorn.2015.10.006</w:t>
              </w:r>
            </w:hyperlink>
          </w:p>
        </w:tc>
      </w:tr>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AA7F1C" w:rsidRDefault="003F1242" w:rsidP="00C4742D">
            <w:pPr>
              <w:rPr>
                <w:lang w:val="en-AU" w:eastAsia="en-AU"/>
              </w:rPr>
            </w:pPr>
            <w:r>
              <w:rPr>
                <w:lang w:val="en-AU" w:eastAsia="en-AU"/>
              </w:rPr>
              <w:t>C</w:t>
            </w:r>
            <w:r w:rsidRPr="00AF291D">
              <w:rPr>
                <w:lang w:val="en-AU" w:eastAsia="en-AU"/>
              </w:rPr>
              <w:t xml:space="preserve">ommentary </w:t>
            </w:r>
            <w:r>
              <w:rPr>
                <w:lang w:val="en-AU" w:eastAsia="en-AU"/>
              </w:rPr>
              <w:t xml:space="preserve">piece discussing how a US healthcare facility developed </w:t>
            </w:r>
            <w:r w:rsidRPr="00AF291D">
              <w:rPr>
                <w:lang w:val="en-AU" w:eastAsia="en-AU"/>
              </w:rPr>
              <w:t>and implemented a perioperative quality and patient safety strategic plan</w:t>
            </w:r>
            <w:r>
              <w:rPr>
                <w:lang w:val="en-AU" w:eastAsia="en-AU"/>
              </w:rPr>
              <w:t xml:space="preserve">. The author examines </w:t>
            </w:r>
            <w:r w:rsidRPr="00AF291D">
              <w:rPr>
                <w:lang w:val="en-AU" w:eastAsia="en-AU"/>
              </w:rPr>
              <w:t xml:space="preserve">the benefits of strategies </w:t>
            </w:r>
            <w:r>
              <w:rPr>
                <w:lang w:val="en-AU" w:eastAsia="en-AU"/>
              </w:rPr>
              <w:t xml:space="preserve">including </w:t>
            </w:r>
            <w:r w:rsidRPr="00AF291D">
              <w:rPr>
                <w:lang w:val="en-AU" w:eastAsia="en-AU"/>
              </w:rPr>
              <w:t>daily rounds, plan-do-study-act cycles, teamwork training, and dedicated project time.</w:t>
            </w:r>
          </w:p>
        </w:tc>
      </w:tr>
    </w:tbl>
    <w:p w:rsidR="003F1242" w:rsidRDefault="003F1242" w:rsidP="003F1242">
      <w:pPr>
        <w:keepLines/>
        <w:autoSpaceDE w:val="0"/>
        <w:autoSpaceDN w:val="0"/>
        <w:adjustRightInd w:val="0"/>
        <w:rPr>
          <w:i/>
          <w:lang w:val="en-AU"/>
        </w:rPr>
      </w:pPr>
    </w:p>
    <w:p w:rsidR="003F1242" w:rsidRPr="005B465D" w:rsidRDefault="003F1242" w:rsidP="003F1242">
      <w:pPr>
        <w:keepLines/>
        <w:autoSpaceDE w:val="0"/>
        <w:autoSpaceDN w:val="0"/>
        <w:adjustRightInd w:val="0"/>
        <w:rPr>
          <w:i/>
          <w:lang w:val="en-AU"/>
        </w:rPr>
      </w:pPr>
      <w:r w:rsidRPr="005B465D">
        <w:rPr>
          <w:i/>
          <w:lang w:val="en-AU"/>
        </w:rPr>
        <w:t>Evaluation of perioperative medication errors and adverse drug events</w:t>
      </w:r>
    </w:p>
    <w:p w:rsidR="003F1242" w:rsidRDefault="003F1242" w:rsidP="003F1242">
      <w:pPr>
        <w:keepLines/>
        <w:autoSpaceDE w:val="0"/>
        <w:autoSpaceDN w:val="0"/>
        <w:adjustRightInd w:val="0"/>
        <w:rPr>
          <w:lang w:val="en-AU"/>
        </w:rPr>
      </w:pPr>
      <w:r w:rsidRPr="004811D4">
        <w:rPr>
          <w:lang w:val="en-AU"/>
        </w:rPr>
        <w:t>Nanji KC, Patel A, Shaikh S, Seger DL, Bates DW</w:t>
      </w:r>
    </w:p>
    <w:p w:rsidR="003F1242" w:rsidRDefault="003F1242" w:rsidP="003F1242">
      <w:pPr>
        <w:keepLines/>
        <w:autoSpaceDE w:val="0"/>
        <w:autoSpaceDN w:val="0"/>
        <w:adjustRightInd w:val="0"/>
        <w:rPr>
          <w:lang w:val="en-AU"/>
        </w:rPr>
      </w:pPr>
      <w:proofErr w:type="gramStart"/>
      <w:r w:rsidRPr="004811D4">
        <w:rPr>
          <w:lang w:val="en-AU"/>
        </w:rPr>
        <w:t>Anesthesiology.</w:t>
      </w:r>
      <w:proofErr w:type="gramEnd"/>
      <w:r w:rsidRPr="004811D4">
        <w:rPr>
          <w:lang w:val="en-AU"/>
        </w:rPr>
        <w:t xml:space="preserve"> 2016 Jan</w:t>
      </w:r>
      <w:proofErr w:type="gramStart"/>
      <w:r w:rsidRPr="004811D4">
        <w:rPr>
          <w:lang w:val="en-AU"/>
        </w:rPr>
        <w:t>;124</w:t>
      </w:r>
      <w:proofErr w:type="gramEnd"/>
      <w:r w:rsidRPr="004811D4">
        <w:rPr>
          <w:lang w:val="en-AU"/>
        </w:rPr>
        <w:t>(1):25-34.</w:t>
      </w:r>
    </w:p>
    <w:tbl>
      <w:tblPr>
        <w:tblStyle w:val="TableGrid"/>
        <w:tblW w:w="0" w:type="auto"/>
        <w:tblInd w:w="288" w:type="dxa"/>
        <w:tblLayout w:type="fixed"/>
        <w:tblLook w:val="01E0" w:firstRow="1" w:lastRow="1" w:firstColumn="1" w:lastColumn="1" w:noHBand="0" w:noVBand="0"/>
      </w:tblPr>
      <w:tblGrid>
        <w:gridCol w:w="1080"/>
        <w:gridCol w:w="8280"/>
      </w:tblGrid>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hyperlink r:id="rId40" w:history="1">
              <w:r w:rsidRPr="00F8476D">
                <w:rPr>
                  <w:rStyle w:val="Hyperlink"/>
                  <w:lang w:val="en-AU"/>
                </w:rPr>
                <w:t>http://dx.doi.org/10.1097/ALN.0000000000000904</w:t>
              </w:r>
            </w:hyperlink>
          </w:p>
        </w:tc>
      </w:tr>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AA7F1C" w:rsidRDefault="003F1242" w:rsidP="00C4742D">
            <w:pPr>
              <w:rPr>
                <w:lang w:val="en-AU" w:eastAsia="en-AU"/>
              </w:rPr>
            </w:pPr>
            <w:r>
              <w:rPr>
                <w:lang w:val="en-AU" w:eastAsia="en-AU"/>
              </w:rPr>
              <w:t xml:space="preserve">Paper examining issues around medications </w:t>
            </w:r>
            <w:r w:rsidRPr="00061824">
              <w:rPr>
                <w:lang w:val="en-AU" w:eastAsia="en-AU"/>
              </w:rPr>
              <w:t>given by an</w:t>
            </w:r>
            <w:r>
              <w:rPr>
                <w:lang w:val="en-AU" w:eastAsia="en-AU"/>
              </w:rPr>
              <w:t>a</w:t>
            </w:r>
            <w:r w:rsidRPr="00061824">
              <w:rPr>
                <w:lang w:val="en-AU" w:eastAsia="en-AU"/>
              </w:rPr>
              <w:t>esthesiologists</w:t>
            </w:r>
            <w:r>
              <w:rPr>
                <w:lang w:val="en-AU" w:eastAsia="en-AU"/>
              </w:rPr>
              <w:t xml:space="preserve"> in the perioperative setting. The </w:t>
            </w:r>
            <w:r w:rsidRPr="00061824">
              <w:rPr>
                <w:lang w:val="en-AU" w:eastAsia="en-AU"/>
              </w:rPr>
              <w:t xml:space="preserve">prospective observational study </w:t>
            </w:r>
            <w:r>
              <w:rPr>
                <w:lang w:val="en-AU" w:eastAsia="en-AU"/>
              </w:rPr>
              <w:t xml:space="preserve">undertaken in a </w:t>
            </w:r>
            <w:r w:rsidRPr="00061824">
              <w:rPr>
                <w:lang w:val="en-AU" w:eastAsia="en-AU"/>
              </w:rPr>
              <w:t xml:space="preserve">1,046-bed </w:t>
            </w:r>
            <w:r>
              <w:rPr>
                <w:lang w:val="en-AU" w:eastAsia="en-AU"/>
              </w:rPr>
              <w:t xml:space="preserve">US academic hospital found </w:t>
            </w:r>
            <w:r w:rsidRPr="00061824">
              <w:rPr>
                <w:lang w:val="en-AU" w:eastAsia="en-AU"/>
              </w:rPr>
              <w:t xml:space="preserve">least one </w:t>
            </w:r>
            <w:r w:rsidRPr="00061824">
              <w:rPr>
                <w:b/>
                <w:lang w:val="en-AU" w:eastAsia="en-AU"/>
              </w:rPr>
              <w:t>medication error or adverse drug event occurred in nearly half of the 277 operations</w:t>
            </w:r>
            <w:r w:rsidRPr="00061824">
              <w:rPr>
                <w:lang w:val="en-AU" w:eastAsia="en-AU"/>
              </w:rPr>
              <w:t xml:space="preserve"> (3,671 medication administrations)</w:t>
            </w:r>
            <w:r>
              <w:rPr>
                <w:b/>
                <w:lang w:val="en-AU" w:eastAsia="en-AU"/>
              </w:rPr>
              <w:t xml:space="preserve"> </w:t>
            </w:r>
            <w:r w:rsidRPr="004C08A1">
              <w:rPr>
                <w:lang w:val="en-AU" w:eastAsia="en-AU"/>
              </w:rPr>
              <w:t>observed</w:t>
            </w:r>
            <w:r>
              <w:rPr>
                <w:b/>
                <w:lang w:val="en-AU" w:eastAsia="en-AU"/>
              </w:rPr>
              <w:t xml:space="preserve"> </w:t>
            </w:r>
            <w:r w:rsidRPr="00061824">
              <w:rPr>
                <w:lang w:val="en-AU" w:eastAsia="en-AU"/>
              </w:rPr>
              <w:t>over an 8 mon</w:t>
            </w:r>
            <w:r>
              <w:rPr>
                <w:lang w:val="en-AU" w:eastAsia="en-AU"/>
              </w:rPr>
              <w:t>t</w:t>
            </w:r>
            <w:r w:rsidRPr="00061824">
              <w:rPr>
                <w:lang w:val="en-AU" w:eastAsia="en-AU"/>
              </w:rPr>
              <w:t>h period. Approximately 1 in 20 perioperative medication administrations resulted in a medication error or adverse drug event; 80% of these errors were deemed preventable.</w:t>
            </w:r>
            <w:r>
              <w:t xml:space="preserve"> </w:t>
            </w:r>
            <w:r w:rsidRPr="004C08A1">
              <w:rPr>
                <w:lang w:val="en-AU" w:eastAsia="en-AU"/>
              </w:rPr>
              <w:t>More than one</w:t>
            </w:r>
            <w:r>
              <w:rPr>
                <w:lang w:val="en-AU" w:eastAsia="en-AU"/>
              </w:rPr>
              <w:t>-</w:t>
            </w:r>
            <w:r w:rsidRPr="004C08A1">
              <w:rPr>
                <w:lang w:val="en-AU" w:eastAsia="en-AU"/>
              </w:rPr>
              <w:t xml:space="preserve">third of the </w:t>
            </w:r>
            <w:r>
              <w:rPr>
                <w:lang w:val="en-AU" w:eastAsia="en-AU"/>
              </w:rPr>
              <w:t xml:space="preserve">medication errors </w:t>
            </w:r>
            <w:r w:rsidRPr="004C08A1">
              <w:rPr>
                <w:lang w:val="en-AU" w:eastAsia="en-AU"/>
              </w:rPr>
              <w:t xml:space="preserve">led to </w:t>
            </w:r>
            <w:proofErr w:type="gramStart"/>
            <w:r w:rsidRPr="004C08A1">
              <w:rPr>
                <w:lang w:val="en-AU" w:eastAsia="en-AU"/>
              </w:rPr>
              <w:t>observed</w:t>
            </w:r>
            <w:proofErr w:type="gramEnd"/>
            <w:r w:rsidRPr="004C08A1">
              <w:rPr>
                <w:lang w:val="en-AU" w:eastAsia="en-AU"/>
              </w:rPr>
              <w:t xml:space="preserve"> </w:t>
            </w:r>
            <w:r>
              <w:rPr>
                <w:lang w:val="en-AU" w:eastAsia="en-AU"/>
              </w:rPr>
              <w:t>adverse drug events</w:t>
            </w:r>
            <w:r w:rsidRPr="004C08A1">
              <w:rPr>
                <w:lang w:val="en-AU" w:eastAsia="en-AU"/>
              </w:rPr>
              <w:t>, and the remaining two</w:t>
            </w:r>
            <w:r>
              <w:rPr>
                <w:lang w:val="en-AU" w:eastAsia="en-AU"/>
              </w:rPr>
              <w:t>-</w:t>
            </w:r>
            <w:r w:rsidRPr="004C08A1">
              <w:rPr>
                <w:lang w:val="en-AU" w:eastAsia="en-AU"/>
              </w:rPr>
              <w:t xml:space="preserve">thirds had the potential for harm. </w:t>
            </w:r>
            <w:r w:rsidRPr="00061824">
              <w:rPr>
                <w:lang w:val="en-AU" w:eastAsia="en-AU"/>
              </w:rPr>
              <w:t>None of the errors resulted in death, but 2% were considered life-threatening</w:t>
            </w:r>
            <w:r>
              <w:rPr>
                <w:lang w:val="en-AU" w:eastAsia="en-AU"/>
              </w:rPr>
              <w:t>.</w:t>
            </w:r>
          </w:p>
        </w:tc>
      </w:tr>
    </w:tbl>
    <w:p w:rsidR="003F1242" w:rsidRDefault="003F1242" w:rsidP="003F1242">
      <w:pPr>
        <w:keepLines/>
        <w:autoSpaceDE w:val="0"/>
        <w:autoSpaceDN w:val="0"/>
        <w:adjustRightInd w:val="0"/>
        <w:rPr>
          <w:i/>
          <w:lang w:val="en-AU"/>
        </w:rPr>
      </w:pPr>
    </w:p>
    <w:p w:rsidR="003F1242" w:rsidRPr="00A61637" w:rsidRDefault="003F1242" w:rsidP="003F1242">
      <w:pPr>
        <w:keepLines/>
        <w:autoSpaceDE w:val="0"/>
        <w:autoSpaceDN w:val="0"/>
        <w:adjustRightInd w:val="0"/>
        <w:rPr>
          <w:i/>
          <w:lang w:val="en-AU"/>
        </w:rPr>
      </w:pPr>
      <w:r w:rsidRPr="00A61637">
        <w:rPr>
          <w:i/>
          <w:lang w:val="en-AU"/>
        </w:rPr>
        <w:t>The effect of a staged, emergency department specific rapid response system on reporting of clinical deterioration</w:t>
      </w:r>
    </w:p>
    <w:p w:rsidR="003F1242" w:rsidRDefault="003F1242" w:rsidP="003F1242">
      <w:pPr>
        <w:keepLines/>
        <w:autoSpaceDE w:val="0"/>
        <w:autoSpaceDN w:val="0"/>
        <w:adjustRightInd w:val="0"/>
        <w:rPr>
          <w:lang w:val="en-AU"/>
        </w:rPr>
      </w:pPr>
      <w:r w:rsidRPr="004811D4">
        <w:rPr>
          <w:lang w:val="en-AU"/>
        </w:rPr>
        <w:t>Considine J, Rawet J, Currey J.</w:t>
      </w:r>
    </w:p>
    <w:p w:rsidR="003F1242" w:rsidRDefault="003F1242" w:rsidP="003F1242">
      <w:pPr>
        <w:keepLines/>
        <w:autoSpaceDE w:val="0"/>
        <w:autoSpaceDN w:val="0"/>
        <w:adjustRightInd w:val="0"/>
        <w:rPr>
          <w:lang w:val="en-AU"/>
        </w:rPr>
      </w:pPr>
      <w:proofErr w:type="gramStart"/>
      <w:r w:rsidRPr="004811D4">
        <w:rPr>
          <w:lang w:val="en-AU"/>
        </w:rPr>
        <w:t>Australasian Emergency Nursing Journal.</w:t>
      </w:r>
      <w:proofErr w:type="gramEnd"/>
      <w:r w:rsidRPr="004811D4">
        <w:rPr>
          <w:lang w:val="en-AU"/>
        </w:rPr>
        <w:t xml:space="preserve"> 2015</w:t>
      </w:r>
      <w:proofErr w:type="gramStart"/>
      <w:r w:rsidRPr="004811D4">
        <w:rPr>
          <w:lang w:val="en-AU"/>
        </w:rPr>
        <w:t>;18</w:t>
      </w:r>
      <w:proofErr w:type="gramEnd"/>
      <w:r w:rsidRPr="004811D4">
        <w:rPr>
          <w:lang w:val="en-AU"/>
        </w:rPr>
        <w:t>(4):218-26.</w:t>
      </w:r>
    </w:p>
    <w:tbl>
      <w:tblPr>
        <w:tblStyle w:val="TableGrid"/>
        <w:tblW w:w="0" w:type="auto"/>
        <w:tblInd w:w="288" w:type="dxa"/>
        <w:tblLayout w:type="fixed"/>
        <w:tblLook w:val="01E0" w:firstRow="1" w:lastRow="1" w:firstColumn="1" w:lastColumn="1" w:noHBand="0" w:noVBand="0"/>
      </w:tblPr>
      <w:tblGrid>
        <w:gridCol w:w="1080"/>
        <w:gridCol w:w="8280"/>
      </w:tblGrid>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hyperlink r:id="rId41" w:history="1">
              <w:r w:rsidRPr="00F8476D">
                <w:rPr>
                  <w:rStyle w:val="Hyperlink"/>
                  <w:lang w:val="en-AU"/>
                </w:rPr>
                <w:t>http://dx.doi.org/10.1016/j.aenj.2015.07.001</w:t>
              </w:r>
            </w:hyperlink>
          </w:p>
        </w:tc>
      </w:tr>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Default="003F1242" w:rsidP="00C4742D">
            <w:pPr>
              <w:rPr>
                <w:lang w:val="en-AU" w:eastAsia="en-AU"/>
              </w:rPr>
            </w:pPr>
            <w:r>
              <w:rPr>
                <w:lang w:val="en-AU" w:eastAsia="en-AU"/>
              </w:rPr>
              <w:t>Paper reporting on the staged implementation of a rapid response system in the emergency department of an Australian hospital. The study was a</w:t>
            </w:r>
            <w:r w:rsidRPr="005F7630">
              <w:rPr>
                <w:lang w:val="en-AU" w:eastAsia="en-AU"/>
              </w:rPr>
              <w:t xml:space="preserve"> retrospective cross sectional design </w:t>
            </w:r>
            <w:r>
              <w:rPr>
                <w:lang w:val="en-AU" w:eastAsia="en-AU"/>
              </w:rPr>
              <w:t>that used s</w:t>
            </w:r>
            <w:r w:rsidRPr="005F7630">
              <w:rPr>
                <w:lang w:val="en-AU" w:eastAsia="en-AU"/>
              </w:rPr>
              <w:t xml:space="preserve">tratified random sampling </w:t>
            </w:r>
            <w:r>
              <w:rPr>
                <w:lang w:val="en-AU" w:eastAsia="en-AU"/>
              </w:rPr>
              <w:t xml:space="preserve">to select </w:t>
            </w:r>
            <w:r w:rsidRPr="005F7630">
              <w:rPr>
                <w:lang w:val="en-AU" w:eastAsia="en-AU"/>
              </w:rPr>
              <w:t xml:space="preserve">50 patients with shortness of breath, chest pain or abdominal pain per each year studied (2009–2012) </w:t>
            </w:r>
            <w:r>
              <w:rPr>
                <w:lang w:val="en-AU" w:eastAsia="en-AU"/>
              </w:rPr>
              <w:t xml:space="preserve">for </w:t>
            </w:r>
            <w:r w:rsidRPr="005F7630">
              <w:rPr>
                <w:lang w:val="en-AU" w:eastAsia="en-AU"/>
              </w:rPr>
              <w:t>a total of 600 patients.</w:t>
            </w:r>
          </w:p>
          <w:p w:rsidR="003F1242" w:rsidRPr="00F47F8A" w:rsidRDefault="003F1242" w:rsidP="00C4742D">
            <w:pPr>
              <w:rPr>
                <w:lang w:val="en-AU" w:eastAsia="en-AU"/>
              </w:rPr>
            </w:pPr>
            <w:r>
              <w:rPr>
                <w:lang w:val="en-AU" w:eastAsia="en-AU"/>
              </w:rPr>
              <w:lastRenderedPageBreak/>
              <w:t>Then study found t</w:t>
            </w:r>
            <w:r w:rsidRPr="005F7630">
              <w:rPr>
                <w:lang w:val="en-AU" w:eastAsia="en-AU"/>
              </w:rPr>
              <w:t xml:space="preserve">he </w:t>
            </w:r>
            <w:r w:rsidRPr="00360CAC">
              <w:rPr>
                <w:b/>
                <w:lang w:val="en-AU" w:eastAsia="en-AU"/>
              </w:rPr>
              <w:t>frequency of clinical deterioration</w:t>
            </w:r>
            <w:r w:rsidRPr="005F7630">
              <w:rPr>
                <w:lang w:val="en-AU" w:eastAsia="en-AU"/>
              </w:rPr>
              <w:t xml:space="preserve"> </w:t>
            </w:r>
            <w:r>
              <w:rPr>
                <w:lang w:val="en-AU" w:eastAsia="en-AU"/>
              </w:rPr>
              <w:t xml:space="preserve">in the sample </w:t>
            </w:r>
            <w:r w:rsidRPr="005F7630">
              <w:rPr>
                <w:lang w:val="en-AU" w:eastAsia="en-AU"/>
              </w:rPr>
              <w:t xml:space="preserve">was </w:t>
            </w:r>
            <w:r w:rsidRPr="005F7630">
              <w:rPr>
                <w:b/>
                <w:lang w:val="en-AU" w:eastAsia="en-AU"/>
              </w:rPr>
              <w:t>14.8%</w:t>
            </w:r>
            <w:r w:rsidRPr="005F7630">
              <w:rPr>
                <w:lang w:val="en-AU" w:eastAsia="en-AU"/>
              </w:rPr>
              <w:t xml:space="preserve"> (318 episodes/89 patients). </w:t>
            </w:r>
            <w:r>
              <w:rPr>
                <w:lang w:val="en-AU" w:eastAsia="en-AU"/>
              </w:rPr>
              <w:t xml:space="preserve">Over the intervention there was </w:t>
            </w:r>
            <w:r w:rsidRPr="001A5B99">
              <w:rPr>
                <w:lang w:val="en-AU" w:eastAsia="en-AU"/>
              </w:rPr>
              <w:t>improved recognition of clinical deterioration</w:t>
            </w:r>
            <w:r>
              <w:rPr>
                <w:lang w:val="en-AU" w:eastAsia="en-AU"/>
              </w:rPr>
              <w:t xml:space="preserve"> as u</w:t>
            </w:r>
            <w:r w:rsidRPr="005F7630">
              <w:rPr>
                <w:lang w:val="en-AU" w:eastAsia="en-AU"/>
              </w:rPr>
              <w:t>nreported deterioration decreased each year. Patients who deteriorated during ED care had a longer median ED length of stay</w:t>
            </w:r>
            <w:r>
              <w:rPr>
                <w:lang w:val="en-AU" w:eastAsia="en-AU"/>
              </w:rPr>
              <w:t>,</w:t>
            </w:r>
            <w:r w:rsidRPr="005F7630">
              <w:rPr>
                <w:lang w:val="en-AU" w:eastAsia="en-AU"/>
              </w:rPr>
              <w:t xml:space="preserve"> were 31.9% more likely to need hospital admission and 4.9% more likely to die in hospital</w:t>
            </w:r>
            <w:r>
              <w:rPr>
                <w:lang w:val="en-AU" w:eastAsia="en-AU"/>
              </w:rPr>
              <w:t>.</w:t>
            </w:r>
          </w:p>
        </w:tc>
      </w:tr>
    </w:tbl>
    <w:p w:rsidR="003F1242" w:rsidRDefault="003F1242" w:rsidP="003F1242">
      <w:pPr>
        <w:keepLines/>
        <w:autoSpaceDE w:val="0"/>
        <w:autoSpaceDN w:val="0"/>
        <w:adjustRightInd w:val="0"/>
        <w:rPr>
          <w:b/>
          <w:lang w:val="en-AU"/>
        </w:rPr>
      </w:pPr>
    </w:p>
    <w:p w:rsidR="001817D1" w:rsidRDefault="001817D1" w:rsidP="001817D1">
      <w:pPr>
        <w:keepLines/>
        <w:autoSpaceDE w:val="0"/>
        <w:autoSpaceDN w:val="0"/>
        <w:adjustRightInd w:val="0"/>
        <w:rPr>
          <w:i/>
          <w:lang w:val="en-AU"/>
        </w:rPr>
      </w:pPr>
      <w:r w:rsidRPr="00A61637">
        <w:rPr>
          <w:i/>
          <w:lang w:val="en-AU"/>
        </w:rPr>
        <w:t>Reducing excess readmissions: promising effect of hospital readmissions reduction program in US hospitals</w:t>
      </w:r>
    </w:p>
    <w:p w:rsidR="001817D1" w:rsidRDefault="001817D1" w:rsidP="001817D1">
      <w:pPr>
        <w:keepLines/>
        <w:autoSpaceDE w:val="0"/>
        <w:autoSpaceDN w:val="0"/>
        <w:adjustRightInd w:val="0"/>
        <w:rPr>
          <w:lang w:val="en-AU"/>
        </w:rPr>
      </w:pPr>
      <w:r w:rsidRPr="004811D4">
        <w:rPr>
          <w:lang w:val="en-AU"/>
        </w:rPr>
        <w:t>Lu N, Huang K-C, Johnson JA</w:t>
      </w:r>
    </w:p>
    <w:p w:rsidR="001817D1" w:rsidRDefault="001817D1" w:rsidP="001817D1">
      <w:pPr>
        <w:keepLines/>
        <w:autoSpaceDE w:val="0"/>
        <w:autoSpaceDN w:val="0"/>
        <w:adjustRightInd w:val="0"/>
        <w:rPr>
          <w:lang w:val="en-AU"/>
        </w:rPr>
      </w:pPr>
      <w:proofErr w:type="gramStart"/>
      <w:r w:rsidRPr="004811D4">
        <w:rPr>
          <w:lang w:val="en-AU"/>
        </w:rPr>
        <w:t>International Journal for Quality in Health Care.</w:t>
      </w:r>
      <w:proofErr w:type="gramEnd"/>
      <w:r w:rsidRPr="004811D4">
        <w:rPr>
          <w:lang w:val="en-AU"/>
        </w:rPr>
        <w:t xml:space="preserve"> </w:t>
      </w:r>
      <w:proofErr w:type="gramStart"/>
      <w:r w:rsidRPr="004811D4">
        <w:rPr>
          <w:lang w:val="en-AU"/>
        </w:rPr>
        <w:t>2015</w:t>
      </w:r>
      <w:r>
        <w:rPr>
          <w:lang w:val="en-AU"/>
        </w:rPr>
        <w:t xml:space="preserve"> [epub]</w:t>
      </w:r>
      <w:r w:rsidRPr="004811D4">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817D1" w:rsidRPr="00255EF8" w:rsidTr="00D9374B">
        <w:tc>
          <w:tcPr>
            <w:tcW w:w="1080" w:type="dxa"/>
            <w:tcBorders>
              <w:top w:val="single" w:sz="4" w:space="0" w:color="auto"/>
              <w:left w:val="single" w:sz="4" w:space="0" w:color="auto"/>
              <w:bottom w:val="single" w:sz="4" w:space="0" w:color="auto"/>
              <w:right w:val="single" w:sz="4" w:space="0" w:color="auto"/>
            </w:tcBorders>
            <w:vAlign w:val="center"/>
          </w:tcPr>
          <w:p w:rsidR="001817D1" w:rsidRPr="00255EF8" w:rsidRDefault="001817D1" w:rsidP="00D9374B">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817D1" w:rsidRPr="00255EF8" w:rsidRDefault="008B1313" w:rsidP="00D9374B">
            <w:pPr>
              <w:rPr>
                <w:lang w:val="en-AU"/>
              </w:rPr>
            </w:pPr>
            <w:hyperlink r:id="rId42" w:history="1">
              <w:r w:rsidR="001817D1" w:rsidRPr="00F8476D">
                <w:rPr>
                  <w:rStyle w:val="Hyperlink"/>
                  <w:lang w:val="en-AU"/>
                </w:rPr>
                <w:t>http://dx.doi.org/10.1093/intqhc/mzv090</w:t>
              </w:r>
            </w:hyperlink>
          </w:p>
        </w:tc>
      </w:tr>
      <w:tr w:rsidR="001817D1" w:rsidRPr="00255EF8" w:rsidTr="00D9374B">
        <w:tc>
          <w:tcPr>
            <w:tcW w:w="1080" w:type="dxa"/>
            <w:tcBorders>
              <w:top w:val="single" w:sz="4" w:space="0" w:color="auto"/>
              <w:left w:val="single" w:sz="4" w:space="0" w:color="auto"/>
              <w:bottom w:val="single" w:sz="4" w:space="0" w:color="auto"/>
              <w:right w:val="single" w:sz="4" w:space="0" w:color="auto"/>
            </w:tcBorders>
            <w:vAlign w:val="center"/>
          </w:tcPr>
          <w:p w:rsidR="001817D1" w:rsidRPr="00255EF8" w:rsidRDefault="001817D1" w:rsidP="00D9374B">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817D1" w:rsidRPr="00AA7F1C" w:rsidRDefault="001817D1" w:rsidP="00D9374B">
            <w:pPr>
              <w:rPr>
                <w:lang w:val="en-AU" w:eastAsia="en-AU"/>
              </w:rPr>
            </w:pPr>
            <w:r>
              <w:rPr>
                <w:lang w:val="en-AU" w:eastAsia="en-AU"/>
              </w:rPr>
              <w:t xml:space="preserve">This paper examines the effect of the (US) </w:t>
            </w:r>
            <w:r w:rsidRPr="00A6684A">
              <w:rPr>
                <w:lang w:val="en-AU" w:eastAsia="en-AU"/>
              </w:rPr>
              <w:t>Hospital Readmissions Reduction Program (HRRP) on 30-day inpatient readmissions for pneumonia (PN), acute myocardial infarction (AMI) and heart failure (HF) among hospitals identified as having excess readmissions.</w:t>
            </w:r>
            <w:r>
              <w:rPr>
                <w:lang w:val="en-AU" w:eastAsia="en-AU"/>
              </w:rPr>
              <w:t xml:space="preserve"> The study looked at the t</w:t>
            </w:r>
            <w:r w:rsidRPr="00A6684A">
              <w:rPr>
                <w:lang w:val="en-AU" w:eastAsia="en-AU"/>
              </w:rPr>
              <w:t>hirty-day hospital readmission ratios for PN, AMI and HF</w:t>
            </w:r>
            <w:r>
              <w:rPr>
                <w:lang w:val="en-AU" w:eastAsia="en-AU"/>
              </w:rPr>
              <w:t xml:space="preserve"> for </w:t>
            </w:r>
            <w:r w:rsidRPr="00A6684A">
              <w:rPr>
                <w:lang w:val="en-AU" w:eastAsia="en-AU"/>
              </w:rPr>
              <w:t>3395 short-term acute care hospitals</w:t>
            </w:r>
            <w:r>
              <w:rPr>
                <w:lang w:val="en-AU" w:eastAsia="en-AU"/>
              </w:rPr>
              <w:t xml:space="preserve"> in the USA following the i</w:t>
            </w:r>
            <w:r w:rsidRPr="00A6684A">
              <w:rPr>
                <w:lang w:val="en-AU" w:eastAsia="en-AU"/>
              </w:rPr>
              <w:t xml:space="preserve">mplementation of the HRRP in October 2012 to reduce </w:t>
            </w:r>
            <w:r>
              <w:rPr>
                <w:lang w:val="en-AU" w:eastAsia="en-AU"/>
              </w:rPr>
              <w:t xml:space="preserve">(US) </w:t>
            </w:r>
            <w:r w:rsidRPr="00A6684A">
              <w:rPr>
                <w:lang w:val="en-AU" w:eastAsia="en-AU"/>
              </w:rPr>
              <w:t>Medicare payments to hospitals with excess readmissions.</w:t>
            </w:r>
            <w:r>
              <w:rPr>
                <w:lang w:val="en-AU" w:eastAsia="en-AU"/>
              </w:rPr>
              <w:t xml:space="preserve"> The authors report finding that there was a “si</w:t>
            </w:r>
            <w:r w:rsidRPr="00A6684A">
              <w:rPr>
                <w:lang w:val="en-AU" w:eastAsia="en-AU"/>
              </w:rPr>
              <w:t>gnificant decrease in excess readmissions for PN, AMI and HF between FY 2013 and FY 2015</w:t>
            </w:r>
            <w:r>
              <w:rPr>
                <w:lang w:val="en-AU" w:eastAsia="en-AU"/>
              </w:rPr>
              <w:t>…</w:t>
            </w:r>
            <w:r w:rsidRPr="00A6684A">
              <w:rPr>
                <w:lang w:val="en-AU" w:eastAsia="en-AU"/>
              </w:rPr>
              <w:t>The effect of HRRP on excess readmissions was greater for small hospitals, public hospitals and hospitals located in rural areas.</w:t>
            </w:r>
            <w:r>
              <w:rPr>
                <w:lang w:val="en-AU" w:eastAsia="en-AU"/>
              </w:rPr>
              <w:t>”</w:t>
            </w:r>
          </w:p>
        </w:tc>
      </w:tr>
    </w:tbl>
    <w:p w:rsidR="003F1242" w:rsidRDefault="003F1242" w:rsidP="003F1242">
      <w:pPr>
        <w:keepLines/>
        <w:autoSpaceDE w:val="0"/>
        <w:autoSpaceDN w:val="0"/>
        <w:adjustRightInd w:val="0"/>
        <w:rPr>
          <w:i/>
          <w:lang w:val="en-AU"/>
        </w:rPr>
      </w:pPr>
    </w:p>
    <w:p w:rsidR="003F1242" w:rsidRPr="005B465D" w:rsidRDefault="003F1242" w:rsidP="003F1242">
      <w:pPr>
        <w:keepLines/>
        <w:autoSpaceDE w:val="0"/>
        <w:autoSpaceDN w:val="0"/>
        <w:adjustRightInd w:val="0"/>
        <w:rPr>
          <w:i/>
          <w:lang w:val="en-AU"/>
        </w:rPr>
      </w:pPr>
      <w:proofErr w:type="gramStart"/>
      <w:r w:rsidRPr="005B465D">
        <w:rPr>
          <w:i/>
          <w:lang w:val="en-AU"/>
        </w:rPr>
        <w:t>Bad apples or spoiled barrels?</w:t>
      </w:r>
      <w:proofErr w:type="gramEnd"/>
      <w:r w:rsidRPr="005B465D">
        <w:rPr>
          <w:i/>
          <w:lang w:val="en-AU"/>
        </w:rPr>
        <w:t xml:space="preserve"> Multilevel modelling analysis of variation in high-risk prescribing in Scotland between general practitioners and between the practices they work in</w:t>
      </w:r>
    </w:p>
    <w:p w:rsidR="003F1242" w:rsidRDefault="003F1242" w:rsidP="003F1242">
      <w:pPr>
        <w:keepLines/>
        <w:autoSpaceDE w:val="0"/>
        <w:autoSpaceDN w:val="0"/>
        <w:adjustRightInd w:val="0"/>
        <w:rPr>
          <w:lang w:val="en-AU"/>
        </w:rPr>
      </w:pPr>
      <w:r w:rsidRPr="00A1696D">
        <w:rPr>
          <w:lang w:val="en-AU"/>
        </w:rPr>
        <w:t>Guthrie B, Donnan PT, Murphy DJ, Makubate B, Dreischulte T.</w:t>
      </w:r>
    </w:p>
    <w:p w:rsidR="003F1242" w:rsidRDefault="003F1242" w:rsidP="003F1242">
      <w:pPr>
        <w:keepLines/>
        <w:autoSpaceDE w:val="0"/>
        <w:autoSpaceDN w:val="0"/>
        <w:adjustRightInd w:val="0"/>
        <w:rPr>
          <w:lang w:val="en-AU"/>
        </w:rPr>
      </w:pPr>
      <w:proofErr w:type="gramStart"/>
      <w:r w:rsidRPr="00A1696D">
        <w:rPr>
          <w:lang w:val="en-AU"/>
        </w:rPr>
        <w:t>BMJ Open.</w:t>
      </w:r>
      <w:proofErr w:type="gramEnd"/>
      <w:r w:rsidRPr="00A1696D">
        <w:rPr>
          <w:lang w:val="en-AU"/>
        </w:rPr>
        <w:t xml:space="preserve"> 2015</w:t>
      </w:r>
      <w:proofErr w:type="gramStart"/>
      <w:r w:rsidRPr="00A1696D">
        <w:rPr>
          <w:lang w:val="en-AU"/>
        </w:rPr>
        <w:t>;5</w:t>
      </w:r>
      <w:proofErr w:type="gramEnd"/>
      <w:r w:rsidRPr="00A1696D">
        <w:rPr>
          <w:lang w:val="en-AU"/>
        </w:rPr>
        <w:t>(11).</w:t>
      </w:r>
    </w:p>
    <w:tbl>
      <w:tblPr>
        <w:tblStyle w:val="TableGrid"/>
        <w:tblW w:w="0" w:type="auto"/>
        <w:tblInd w:w="288" w:type="dxa"/>
        <w:tblLayout w:type="fixed"/>
        <w:tblLook w:val="01E0" w:firstRow="1" w:lastRow="1" w:firstColumn="1" w:lastColumn="1" w:noHBand="0" w:noVBand="0"/>
      </w:tblPr>
      <w:tblGrid>
        <w:gridCol w:w="1080"/>
        <w:gridCol w:w="8280"/>
      </w:tblGrid>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hyperlink r:id="rId43" w:history="1">
              <w:r w:rsidRPr="00F8476D">
                <w:rPr>
                  <w:rStyle w:val="Hyperlink"/>
                  <w:lang w:val="en-AU"/>
                </w:rPr>
                <w:t>http://dx.doi.org/10.1136/bmjopen-2015-008270</w:t>
              </w:r>
            </w:hyperlink>
          </w:p>
        </w:tc>
      </w:tr>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Default="003F1242" w:rsidP="00C4742D">
            <w:pPr>
              <w:rPr>
                <w:lang w:val="en-AU" w:eastAsia="en-AU"/>
              </w:rPr>
            </w:pPr>
            <w:r>
              <w:rPr>
                <w:lang w:val="en-AU" w:eastAsia="en-AU"/>
              </w:rPr>
              <w:t xml:space="preserve">This Scottish study examined the new prescribing of a high-risk NSAID (non-steroidal anti-inflammatory drug) as a means of exploring whether variation in high-risk prescribing is driven by </w:t>
            </w:r>
            <w:r w:rsidRPr="005F7630">
              <w:rPr>
                <w:lang w:val="en-AU" w:eastAsia="en-AU"/>
              </w:rPr>
              <w:t>driven by individuals (a ‘bad apple’ problem) or by practices having higher or lower risk prescribing cultures (a ‘spoiled barrel’ problem).</w:t>
            </w:r>
            <w:r>
              <w:rPr>
                <w:lang w:val="en-AU" w:eastAsia="en-AU"/>
              </w:rPr>
              <w:t xml:space="preserve"> The study undertaken was a m</w:t>
            </w:r>
            <w:r w:rsidRPr="005F7630">
              <w:rPr>
                <w:lang w:val="en-AU" w:eastAsia="en-AU"/>
              </w:rPr>
              <w:t>ultilevel logistic regression modelling of routine cross-sectional data from 38 Scottish general practices for 181</w:t>
            </w:r>
            <w:r>
              <w:rPr>
                <w:lang w:val="en-AU" w:eastAsia="en-AU"/>
              </w:rPr>
              <w:t>,</w:t>
            </w:r>
            <w:r w:rsidRPr="005F7630">
              <w:rPr>
                <w:lang w:val="en-AU" w:eastAsia="en-AU"/>
              </w:rPr>
              <w:t>010 encounters between 398 general practitioners (GPs) and 26</w:t>
            </w:r>
            <w:r>
              <w:rPr>
                <w:lang w:val="en-AU" w:eastAsia="en-AU"/>
              </w:rPr>
              <w:t>,</w:t>
            </w:r>
            <w:r w:rsidRPr="005F7630">
              <w:rPr>
                <w:lang w:val="en-AU" w:eastAsia="en-AU"/>
              </w:rPr>
              <w:t>539 patients particularly vulnerable to adverse drug events (ADEs) of non-steroidal anti-inflammatory drugs (NSAIDs) due to age, comorbidity or co-prescribing.</w:t>
            </w:r>
            <w:r>
              <w:rPr>
                <w:lang w:val="en-AU" w:eastAsia="en-AU"/>
              </w:rPr>
              <w:t xml:space="preserve"> The researchers found that a</w:t>
            </w:r>
            <w:r w:rsidRPr="005F7630">
              <w:rPr>
                <w:lang w:val="en-AU" w:eastAsia="en-AU"/>
              </w:rPr>
              <w:t xml:space="preserve"> new high-risk NSAID was initiated in 1953 encounters (1.1% of encounters, 7.4% of patients).</w:t>
            </w:r>
          </w:p>
          <w:p w:rsidR="003F1242" w:rsidRPr="00AA7F1C" w:rsidRDefault="003F1242" w:rsidP="00C4742D">
            <w:pPr>
              <w:rPr>
                <w:lang w:val="en-AU" w:eastAsia="en-AU"/>
              </w:rPr>
            </w:pPr>
            <w:r>
              <w:rPr>
                <w:lang w:val="en-AU" w:eastAsia="en-AU"/>
              </w:rPr>
              <w:t>The authors conclude that “</w:t>
            </w:r>
            <w:r w:rsidRPr="005F7630">
              <w:rPr>
                <w:lang w:val="en-AU" w:eastAsia="en-AU"/>
              </w:rPr>
              <w:t xml:space="preserve">There was much </w:t>
            </w:r>
            <w:r w:rsidRPr="005F7630">
              <w:rPr>
                <w:b/>
                <w:lang w:val="en-AU" w:eastAsia="en-AU"/>
              </w:rPr>
              <w:t>more variation</w:t>
            </w:r>
            <w:r w:rsidRPr="005F7630">
              <w:rPr>
                <w:lang w:val="en-AU" w:eastAsia="en-AU"/>
              </w:rPr>
              <w:t xml:space="preserve"> in high-risk prescribing </w:t>
            </w:r>
            <w:r w:rsidRPr="005F7630">
              <w:rPr>
                <w:b/>
                <w:lang w:val="en-AU" w:eastAsia="en-AU"/>
              </w:rPr>
              <w:t xml:space="preserve">between GPs than between </w:t>
            </w:r>
            <w:proofErr w:type="gramStart"/>
            <w:r w:rsidRPr="005F7630">
              <w:rPr>
                <w:b/>
                <w:lang w:val="en-AU" w:eastAsia="en-AU"/>
              </w:rPr>
              <w:t>practices</w:t>
            </w:r>
            <w:r w:rsidRPr="005F7630">
              <w:rPr>
                <w:lang w:val="en-AU" w:eastAsia="en-AU"/>
              </w:rPr>
              <w:t>,</w:t>
            </w:r>
            <w:proofErr w:type="gramEnd"/>
            <w:r w:rsidRPr="005F7630">
              <w:rPr>
                <w:lang w:val="en-AU" w:eastAsia="en-AU"/>
              </w:rPr>
              <w:t xml:space="preserve"> and only targeting practices with higher than average rates will miss most high-risk NSAID prescribing. Primary care prescribing safety improvement should ideally target all practices, but encourage practices to consider and act on variation between prescribers in the practice.</w:t>
            </w:r>
            <w:r>
              <w:rPr>
                <w:lang w:val="en-AU" w:eastAsia="en-AU"/>
              </w:rPr>
              <w:t>”</w:t>
            </w:r>
          </w:p>
        </w:tc>
      </w:tr>
    </w:tbl>
    <w:p w:rsidR="003F1242" w:rsidRDefault="003F1242" w:rsidP="003F1242">
      <w:pPr>
        <w:keepLines/>
        <w:autoSpaceDE w:val="0"/>
        <w:autoSpaceDN w:val="0"/>
        <w:adjustRightInd w:val="0"/>
        <w:rPr>
          <w:i/>
          <w:lang w:val="en-AU"/>
        </w:rPr>
      </w:pPr>
    </w:p>
    <w:p w:rsidR="003F1242" w:rsidRDefault="003F1242">
      <w:pPr>
        <w:rPr>
          <w:i/>
          <w:lang w:val="en-AU"/>
        </w:rPr>
      </w:pPr>
      <w:r>
        <w:rPr>
          <w:i/>
          <w:lang w:val="en-AU"/>
        </w:rPr>
        <w:br w:type="page"/>
      </w:r>
    </w:p>
    <w:p w:rsidR="003F1242" w:rsidRPr="00A61637" w:rsidRDefault="003F1242" w:rsidP="003F1242">
      <w:pPr>
        <w:keepNext/>
        <w:keepLines/>
        <w:autoSpaceDE w:val="0"/>
        <w:autoSpaceDN w:val="0"/>
        <w:adjustRightInd w:val="0"/>
        <w:rPr>
          <w:i/>
          <w:lang w:val="en-AU"/>
        </w:rPr>
      </w:pPr>
      <w:r w:rsidRPr="00A61637">
        <w:rPr>
          <w:i/>
          <w:lang w:val="en-AU"/>
        </w:rPr>
        <w:lastRenderedPageBreak/>
        <w:t>A Trial of Wound Irrigation in the Initial Management of Open Fracture Wounds</w:t>
      </w:r>
    </w:p>
    <w:p w:rsidR="003F1242" w:rsidRDefault="003F1242" w:rsidP="003F1242">
      <w:pPr>
        <w:keepNext/>
        <w:keepLines/>
        <w:autoSpaceDE w:val="0"/>
        <w:autoSpaceDN w:val="0"/>
        <w:adjustRightInd w:val="0"/>
        <w:rPr>
          <w:lang w:val="en-AU"/>
        </w:rPr>
      </w:pPr>
      <w:r w:rsidRPr="00877A08">
        <w:rPr>
          <w:lang w:val="en-AU"/>
        </w:rPr>
        <w:t>The Flow Investigators, Bhandari M, Jeray KJ, Petrisor BA, Devereaux PJ, Heels-Ansdell D, et al.</w:t>
      </w:r>
    </w:p>
    <w:p w:rsidR="003F1242" w:rsidRDefault="003F1242" w:rsidP="003F1242">
      <w:pPr>
        <w:keepNext/>
        <w:keepLines/>
        <w:autoSpaceDE w:val="0"/>
        <w:autoSpaceDN w:val="0"/>
        <w:adjustRightInd w:val="0"/>
        <w:rPr>
          <w:lang w:val="en-AU"/>
        </w:rPr>
      </w:pPr>
      <w:proofErr w:type="gramStart"/>
      <w:r w:rsidRPr="00625F74">
        <w:rPr>
          <w:lang w:val="en-AU"/>
        </w:rPr>
        <w:t>New England Journal of Medicine.</w:t>
      </w:r>
      <w:proofErr w:type="gramEnd"/>
      <w:r w:rsidRPr="00625F74">
        <w:rPr>
          <w:lang w:val="en-AU"/>
        </w:rPr>
        <w:t xml:space="preserve"> 2015</w:t>
      </w:r>
      <w:proofErr w:type="gramStart"/>
      <w:r w:rsidRPr="00625F74">
        <w:rPr>
          <w:lang w:val="en-AU"/>
        </w:rPr>
        <w:t>;373</w:t>
      </w:r>
      <w:proofErr w:type="gramEnd"/>
      <w:r w:rsidRPr="00625F74">
        <w:rPr>
          <w:lang w:val="en-AU"/>
        </w:rPr>
        <w:t>(27):2629-41.</w:t>
      </w:r>
    </w:p>
    <w:tbl>
      <w:tblPr>
        <w:tblStyle w:val="TableGrid"/>
        <w:tblW w:w="0" w:type="auto"/>
        <w:tblInd w:w="288" w:type="dxa"/>
        <w:tblLayout w:type="fixed"/>
        <w:tblLook w:val="01E0" w:firstRow="1" w:lastRow="1" w:firstColumn="1" w:lastColumn="1" w:noHBand="0" w:noVBand="0"/>
      </w:tblPr>
      <w:tblGrid>
        <w:gridCol w:w="1080"/>
        <w:gridCol w:w="8280"/>
      </w:tblGrid>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3F1242">
            <w:pPr>
              <w:keepNext/>
              <w:keepLines/>
              <w:autoSpaceDE w:val="0"/>
              <w:autoSpaceDN w:val="0"/>
              <w:adjustRightInd w:val="0"/>
              <w:rPr>
                <w:lang w:val="en-AU"/>
              </w:rPr>
            </w:pPr>
            <w:hyperlink r:id="rId44" w:history="1">
              <w:r w:rsidRPr="00F8476D">
                <w:rPr>
                  <w:rStyle w:val="Hyperlink"/>
                  <w:lang w:val="en-AU"/>
                </w:rPr>
                <w:t>http://dx.doi.org/10.1056/NEJMoa1508502</w:t>
              </w:r>
            </w:hyperlink>
          </w:p>
        </w:tc>
      </w:tr>
      <w:tr w:rsidR="003F1242" w:rsidRPr="00255EF8" w:rsidTr="00C4742D">
        <w:tc>
          <w:tcPr>
            <w:tcW w:w="1080" w:type="dxa"/>
            <w:tcBorders>
              <w:top w:val="single" w:sz="4" w:space="0" w:color="auto"/>
              <w:left w:val="single" w:sz="4" w:space="0" w:color="auto"/>
              <w:bottom w:val="single" w:sz="4" w:space="0" w:color="auto"/>
              <w:right w:val="single" w:sz="4" w:space="0" w:color="auto"/>
            </w:tcBorders>
            <w:vAlign w:val="center"/>
          </w:tcPr>
          <w:p w:rsidR="003F1242" w:rsidRPr="00255EF8" w:rsidRDefault="003F1242" w:rsidP="00C4742D">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1242" w:rsidRDefault="003F1242" w:rsidP="00C4742D">
            <w:pPr>
              <w:rPr>
                <w:lang w:val="en-AU" w:eastAsia="en-AU"/>
              </w:rPr>
            </w:pPr>
            <w:r>
              <w:rPr>
                <w:lang w:val="en-AU" w:eastAsia="en-AU"/>
              </w:rPr>
              <w:t>The issue of how to irrigate open fractures has been an open question. Open fractures require</w:t>
            </w:r>
            <w:r w:rsidRPr="00625F74">
              <w:rPr>
                <w:lang w:val="en-AU" w:eastAsia="en-AU"/>
              </w:rPr>
              <w:t xml:space="preserve"> wound irrigation and débridement to remove contaminants</w:t>
            </w:r>
            <w:r>
              <w:rPr>
                <w:lang w:val="en-AU" w:eastAsia="en-AU"/>
              </w:rPr>
              <w:t xml:space="preserve"> and this study </w:t>
            </w:r>
            <w:r w:rsidRPr="00625F74">
              <w:rPr>
                <w:lang w:val="en-AU" w:eastAsia="en-AU"/>
              </w:rPr>
              <w:t>investigated the effects of castile soap versus normal saline irrigation delivered by means of high, low, or very low irrigation pressure.</w:t>
            </w:r>
          </w:p>
          <w:p w:rsidR="003F1242" w:rsidRPr="00F47F8A" w:rsidRDefault="003F1242" w:rsidP="00C4742D">
            <w:pPr>
              <w:rPr>
                <w:lang w:val="en-AU" w:eastAsia="en-AU"/>
              </w:rPr>
            </w:pPr>
            <w:r>
              <w:rPr>
                <w:lang w:val="en-AU" w:eastAsia="en-AU"/>
              </w:rPr>
              <w:t>This Canadian study involved more than 2,500 patients and the authors report that “</w:t>
            </w:r>
            <w:r w:rsidRPr="00625F74">
              <w:rPr>
                <w:lang w:val="en-AU" w:eastAsia="en-AU"/>
              </w:rPr>
              <w:t xml:space="preserve">rates of reoperation were similar regardless of irrigation pressure, a finding that indicates that </w:t>
            </w:r>
            <w:r w:rsidRPr="00F26A9B">
              <w:rPr>
                <w:b/>
                <w:lang w:val="en-AU" w:eastAsia="en-AU"/>
              </w:rPr>
              <w:t xml:space="preserve">very low pressure is </w:t>
            </w:r>
            <w:r w:rsidRPr="003A5F37">
              <w:rPr>
                <w:lang w:val="en-AU" w:eastAsia="en-AU"/>
              </w:rPr>
              <w:t>an</w:t>
            </w:r>
            <w:r w:rsidRPr="00F26A9B">
              <w:rPr>
                <w:b/>
                <w:lang w:val="en-AU" w:eastAsia="en-AU"/>
              </w:rPr>
              <w:t xml:space="preserve"> acceptable</w:t>
            </w:r>
            <w:r w:rsidRPr="00625F74">
              <w:rPr>
                <w:lang w:val="en-AU" w:eastAsia="en-AU"/>
              </w:rPr>
              <w:t>, low-cost alternative for the irrigation of open fractures.</w:t>
            </w:r>
            <w:r>
              <w:rPr>
                <w:lang w:val="en-AU" w:eastAsia="en-AU"/>
              </w:rPr>
              <w:t>” They also noted that t</w:t>
            </w:r>
            <w:r w:rsidRPr="00625F74">
              <w:rPr>
                <w:lang w:val="en-AU" w:eastAsia="en-AU"/>
              </w:rPr>
              <w:t xml:space="preserve">he </w:t>
            </w:r>
            <w:r w:rsidRPr="003A5F37">
              <w:rPr>
                <w:b/>
                <w:lang w:val="en-AU" w:eastAsia="en-AU"/>
              </w:rPr>
              <w:t>reoperation rate was higher in the soap group than in the saline group</w:t>
            </w:r>
            <w:r w:rsidRPr="00625F74">
              <w:rPr>
                <w:lang w:val="en-AU" w:eastAsia="en-AU"/>
              </w:rPr>
              <w:t>.</w:t>
            </w:r>
          </w:p>
        </w:tc>
      </w:tr>
    </w:tbl>
    <w:p w:rsidR="003F1242" w:rsidRDefault="003F1242" w:rsidP="003F1242">
      <w:pPr>
        <w:keepLines/>
        <w:autoSpaceDE w:val="0"/>
        <w:autoSpaceDN w:val="0"/>
        <w:adjustRightInd w:val="0"/>
        <w:rPr>
          <w:b/>
          <w:lang w:val="en-AU"/>
        </w:rPr>
      </w:pPr>
    </w:p>
    <w:p w:rsidR="001C7C06" w:rsidRPr="001C7C06" w:rsidRDefault="001C7C06" w:rsidP="001C7C06">
      <w:pPr>
        <w:keepLines/>
        <w:autoSpaceDE w:val="0"/>
        <w:autoSpaceDN w:val="0"/>
        <w:adjustRightInd w:val="0"/>
        <w:rPr>
          <w:i/>
          <w:lang w:val="en-AU"/>
        </w:rPr>
      </w:pPr>
      <w:r w:rsidRPr="001C7C06">
        <w:rPr>
          <w:i/>
          <w:lang w:val="en-AU"/>
        </w:rPr>
        <w:t>The Potential of Twitter as a Data Source for Patient Safety</w:t>
      </w:r>
    </w:p>
    <w:p w:rsidR="001C7C06" w:rsidRDefault="001C7C06" w:rsidP="00A61637">
      <w:pPr>
        <w:keepLines/>
        <w:autoSpaceDE w:val="0"/>
        <w:autoSpaceDN w:val="0"/>
        <w:adjustRightInd w:val="0"/>
        <w:rPr>
          <w:lang w:val="en-AU"/>
        </w:rPr>
      </w:pPr>
      <w:r w:rsidRPr="001C7C06">
        <w:rPr>
          <w:lang w:val="en-AU"/>
        </w:rPr>
        <w:t>Nakhasi A, Bell SG, Passarella RJ, Paul MJ, Dredze M, Pronovost PJ</w:t>
      </w:r>
    </w:p>
    <w:p w:rsidR="00A61637" w:rsidRDefault="001C7C06" w:rsidP="00A61637">
      <w:pPr>
        <w:keepLines/>
        <w:autoSpaceDE w:val="0"/>
        <w:autoSpaceDN w:val="0"/>
        <w:adjustRightInd w:val="0"/>
        <w:rPr>
          <w:lang w:val="en-AU"/>
        </w:rPr>
      </w:pPr>
      <w:proofErr w:type="gramStart"/>
      <w:r w:rsidRPr="001C7C06">
        <w:rPr>
          <w:lang w:val="en-AU"/>
        </w:rPr>
        <w:t>Journal of Patient Safety.</w:t>
      </w:r>
      <w:proofErr w:type="gramEnd"/>
      <w:r w:rsidRPr="001C7C06">
        <w:rPr>
          <w:lang w:val="en-AU"/>
        </w:rPr>
        <w:t xml:space="preserve"> </w:t>
      </w:r>
      <w:proofErr w:type="gramStart"/>
      <w:r w:rsidRPr="001C7C06">
        <w:rPr>
          <w:lang w:val="en-AU"/>
        </w:rPr>
        <w:t>2016</w:t>
      </w:r>
      <w:r>
        <w:rPr>
          <w:lang w:val="en-AU"/>
        </w:rPr>
        <w:t xml:space="preserve"> [epub]</w:t>
      </w:r>
      <w:r w:rsidRPr="001C7C06">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61637"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61637" w:rsidRPr="00255EF8" w:rsidRDefault="00A61637" w:rsidP="00AD5026">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61637" w:rsidRPr="00255EF8" w:rsidRDefault="008B1313" w:rsidP="00AD5026">
            <w:pPr>
              <w:rPr>
                <w:lang w:val="en-AU"/>
              </w:rPr>
            </w:pPr>
            <w:hyperlink r:id="rId45" w:history="1">
              <w:r w:rsidR="001C7C06" w:rsidRPr="003843EE">
                <w:rPr>
                  <w:rStyle w:val="Hyperlink"/>
                  <w:lang w:val="en-AU"/>
                </w:rPr>
                <w:t>http://dx.doi.org/10.1097/PTS.0000000000000253</w:t>
              </w:r>
            </w:hyperlink>
          </w:p>
        </w:tc>
      </w:tr>
      <w:tr w:rsidR="00A61637" w:rsidRPr="00255EF8" w:rsidTr="00AD5026">
        <w:tc>
          <w:tcPr>
            <w:tcW w:w="1080" w:type="dxa"/>
            <w:tcBorders>
              <w:top w:val="single" w:sz="4" w:space="0" w:color="auto"/>
              <w:left w:val="single" w:sz="4" w:space="0" w:color="auto"/>
              <w:bottom w:val="single" w:sz="4" w:space="0" w:color="auto"/>
              <w:right w:val="single" w:sz="4" w:space="0" w:color="auto"/>
            </w:tcBorders>
            <w:vAlign w:val="center"/>
          </w:tcPr>
          <w:p w:rsidR="00A61637" w:rsidRPr="00255EF8" w:rsidRDefault="00A61637" w:rsidP="00AD502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7F8E" w:rsidRDefault="007D7F8E" w:rsidP="00AD5026">
            <w:pPr>
              <w:rPr>
                <w:lang w:val="en-AU" w:eastAsia="en-AU"/>
              </w:rPr>
            </w:pPr>
            <w:r>
              <w:rPr>
                <w:lang w:val="en-AU" w:eastAsia="en-AU"/>
              </w:rPr>
              <w:t xml:space="preserve">The use of feedback through various forms of social media has been raised previously. Thus study gathered Twitter comments that contained </w:t>
            </w:r>
            <w:r w:rsidR="00823983">
              <w:rPr>
                <w:lang w:val="en-AU" w:eastAsia="en-AU"/>
              </w:rPr>
              <w:t xml:space="preserve">one of a number of </w:t>
            </w:r>
            <w:r>
              <w:rPr>
                <w:lang w:val="en-AU" w:eastAsia="en-AU"/>
              </w:rPr>
              <w:t>specific phrase</w:t>
            </w:r>
            <w:r w:rsidR="00823983">
              <w:rPr>
                <w:lang w:val="en-AU" w:eastAsia="en-AU"/>
              </w:rPr>
              <w:t>s</w:t>
            </w:r>
            <w:r>
              <w:rPr>
                <w:lang w:val="en-AU" w:eastAsia="en-AU"/>
              </w:rPr>
              <w:t xml:space="preserve"> to then examine the comments patients (and others) made</w:t>
            </w:r>
            <w:r w:rsidR="00823983">
              <w:rPr>
                <w:lang w:val="en-AU" w:eastAsia="en-AU"/>
              </w:rPr>
              <w:t xml:space="preserve"> (in English in the period </w:t>
            </w:r>
            <w:r w:rsidR="00823983" w:rsidRPr="00823983">
              <w:rPr>
                <w:lang w:val="en-AU" w:eastAsia="en-AU"/>
              </w:rPr>
              <w:t>January to August 2012</w:t>
            </w:r>
            <w:r w:rsidR="00823983">
              <w:rPr>
                <w:lang w:val="en-AU" w:eastAsia="en-AU"/>
              </w:rPr>
              <w:t>)</w:t>
            </w:r>
            <w:r>
              <w:rPr>
                <w:lang w:val="en-AU" w:eastAsia="en-AU"/>
              </w:rPr>
              <w:t>.</w:t>
            </w:r>
            <w:r w:rsidR="00823983">
              <w:rPr>
                <w:lang w:val="en-AU" w:eastAsia="en-AU"/>
              </w:rPr>
              <w:t xml:space="preserve"> The authors report that of the 1000-odd tweets, </w:t>
            </w:r>
            <w:r w:rsidR="00823983" w:rsidRPr="00823983">
              <w:rPr>
                <w:lang w:val="en-AU" w:eastAsia="en-AU"/>
              </w:rPr>
              <w:t>839 (83%) identified the type of error</w:t>
            </w:r>
            <w:r w:rsidR="00823983">
              <w:rPr>
                <w:lang w:val="en-AU" w:eastAsia="en-AU"/>
              </w:rPr>
              <w:t xml:space="preserve"> (</w:t>
            </w:r>
            <w:r w:rsidR="00823983" w:rsidRPr="00823983">
              <w:rPr>
                <w:lang w:val="en-AU" w:eastAsia="en-AU"/>
              </w:rPr>
              <w:t>26% of which were procedural errors, 23% were medication errors, 23% were diagnostic errors, and 14% were surgical errors</w:t>
            </w:r>
            <w:r w:rsidR="00823983">
              <w:rPr>
                <w:lang w:val="en-AU" w:eastAsia="en-AU"/>
              </w:rPr>
              <w:t>)</w:t>
            </w:r>
            <w:r w:rsidR="00823983" w:rsidRPr="00823983">
              <w:rPr>
                <w:lang w:val="en-AU" w:eastAsia="en-AU"/>
              </w:rPr>
              <w:t>. A total of 850 (84%) identified a tweet source</w:t>
            </w:r>
            <w:r w:rsidR="00823983">
              <w:rPr>
                <w:lang w:val="en-AU" w:eastAsia="en-AU"/>
              </w:rPr>
              <w:t xml:space="preserve"> (</w:t>
            </w:r>
            <w:r w:rsidR="00823983" w:rsidRPr="00823983">
              <w:rPr>
                <w:lang w:val="en-AU" w:eastAsia="en-AU"/>
              </w:rPr>
              <w:t>90% of which were by the patient and 9% by a family member</w:t>
            </w:r>
            <w:r w:rsidR="00823983">
              <w:rPr>
                <w:lang w:val="en-AU" w:eastAsia="en-AU"/>
              </w:rPr>
              <w:t>)</w:t>
            </w:r>
            <w:r w:rsidR="00823983" w:rsidRPr="00823983">
              <w:rPr>
                <w:lang w:val="en-AU" w:eastAsia="en-AU"/>
              </w:rPr>
              <w:t>. A total of 519 (52%) identified an emotional response, 47% of which expressed anger or frustration, 21% expressed humo</w:t>
            </w:r>
            <w:r w:rsidR="00823983">
              <w:rPr>
                <w:lang w:val="en-AU" w:eastAsia="en-AU"/>
              </w:rPr>
              <w:t>u</w:t>
            </w:r>
            <w:r w:rsidR="00823983" w:rsidRPr="00823983">
              <w:rPr>
                <w:lang w:val="en-AU" w:eastAsia="en-AU"/>
              </w:rPr>
              <w:t xml:space="preserve">r or sarcasm, and 14% expressed sadness or grief. Of the tweets, 6.3% mentioned </w:t>
            </w:r>
            <w:proofErr w:type="gramStart"/>
            <w:r w:rsidR="00823983" w:rsidRPr="00823983">
              <w:rPr>
                <w:lang w:val="en-AU" w:eastAsia="en-AU"/>
              </w:rPr>
              <w:t>an intent</w:t>
            </w:r>
            <w:proofErr w:type="gramEnd"/>
            <w:r w:rsidR="00823983" w:rsidRPr="00823983">
              <w:rPr>
                <w:lang w:val="en-AU" w:eastAsia="en-AU"/>
              </w:rPr>
              <w:t xml:space="preserve"> to pursue malpractice litigation.</w:t>
            </w:r>
          </w:p>
          <w:p w:rsidR="00823983" w:rsidRDefault="00823983" w:rsidP="00AD5026">
            <w:pPr>
              <w:rPr>
                <w:lang w:val="en-AU" w:eastAsia="en-AU"/>
              </w:rPr>
            </w:pPr>
            <w:r>
              <w:rPr>
                <w:lang w:val="en-AU" w:eastAsia="en-AU"/>
              </w:rPr>
              <w:t>The authors conclude that “</w:t>
            </w:r>
            <w:r w:rsidRPr="00823983">
              <w:rPr>
                <w:lang w:val="en-AU" w:eastAsia="en-AU"/>
              </w:rPr>
              <w:t>Twitter is a relevant data source to obtain the patient perspective on medical errors. Twitter</w:t>
            </w:r>
            <w:r w:rsidR="00F6512F">
              <w:rPr>
                <w:lang w:val="en-AU" w:eastAsia="en-AU"/>
              </w:rPr>
              <w:t xml:space="preserve"> may</w:t>
            </w:r>
            <w:r w:rsidRPr="00823983">
              <w:rPr>
                <w:lang w:val="en-AU" w:eastAsia="en-AU"/>
              </w:rPr>
              <w:t xml:space="preserve"> provide an opportunity for health systems and providers to identify and communicate with patients who have experienced a medical error</w:t>
            </w:r>
            <w:r>
              <w:rPr>
                <w:lang w:val="en-AU" w:eastAsia="en-AU"/>
              </w:rPr>
              <w:t>”</w:t>
            </w:r>
          </w:p>
          <w:p w:rsidR="007D7F8E" w:rsidRDefault="007D7F8E" w:rsidP="007D7F8E">
            <w:pPr>
              <w:rPr>
                <w:lang w:val="en-AU" w:eastAsia="en-AU"/>
              </w:rPr>
            </w:pPr>
            <w:r>
              <w:rPr>
                <w:lang w:val="en-AU" w:eastAsia="en-AU"/>
              </w:rPr>
              <w:t>Ways for more systematic and/or targeted gathering and analysis of social media comments and feedback clearly exist. These could involve other key words/phrases, methods to find a particular services patients/customers, etc. These could be tailored to different scales and purposes. But it also then would raise issues such as h</w:t>
            </w:r>
            <w:r w:rsidRPr="007D7F8E">
              <w:rPr>
                <w:lang w:val="en-AU" w:eastAsia="en-AU"/>
              </w:rPr>
              <w:t xml:space="preserve">ow </w:t>
            </w:r>
            <w:r>
              <w:rPr>
                <w:lang w:val="en-AU" w:eastAsia="en-AU"/>
              </w:rPr>
              <w:t xml:space="preserve">may </w:t>
            </w:r>
            <w:r w:rsidRPr="007D7F8E">
              <w:rPr>
                <w:lang w:val="en-AU" w:eastAsia="en-AU"/>
              </w:rPr>
              <w:t>patients perceive and react to such collection or monitoring?</w:t>
            </w:r>
            <w:r>
              <w:rPr>
                <w:lang w:val="en-AU" w:eastAsia="en-AU"/>
              </w:rPr>
              <w:t xml:space="preserve"> </w:t>
            </w:r>
            <w:r w:rsidR="00F8387B">
              <w:rPr>
                <w:lang w:val="en-AU" w:eastAsia="en-AU"/>
              </w:rPr>
              <w:t>Twitter users may not be representative of the overall or even the patient population; but does that change the value or utility of this feedback?</w:t>
            </w:r>
          </w:p>
          <w:p w:rsidR="007D7F8E" w:rsidRPr="00F47F8A" w:rsidRDefault="007D7F8E" w:rsidP="007D7F8E">
            <w:pPr>
              <w:rPr>
                <w:lang w:val="en-AU" w:eastAsia="en-AU"/>
              </w:rPr>
            </w:pPr>
            <w:r>
              <w:rPr>
                <w:lang w:val="en-AU" w:eastAsia="en-AU"/>
              </w:rPr>
              <w:t xml:space="preserve">A health service may consider such collection as </w:t>
            </w:r>
            <w:r w:rsidRPr="007D7F8E">
              <w:rPr>
                <w:lang w:val="en-AU" w:eastAsia="en-AU"/>
              </w:rPr>
              <w:t xml:space="preserve">an additional dataset – to add to survey results, complaints, etc. – to try and develop a fuller view of the patient experience and as part of </w:t>
            </w:r>
            <w:r>
              <w:rPr>
                <w:lang w:val="en-AU" w:eastAsia="en-AU"/>
              </w:rPr>
              <w:t xml:space="preserve">their </w:t>
            </w:r>
            <w:r w:rsidRPr="007D7F8E">
              <w:rPr>
                <w:lang w:val="en-AU" w:eastAsia="en-AU"/>
              </w:rPr>
              <w:t>performance monitoring.</w:t>
            </w:r>
          </w:p>
        </w:tc>
      </w:tr>
    </w:tbl>
    <w:p w:rsidR="00A61637" w:rsidRDefault="00A61637" w:rsidP="00A61637">
      <w:pPr>
        <w:keepLines/>
        <w:autoSpaceDE w:val="0"/>
        <w:autoSpaceDN w:val="0"/>
        <w:adjustRightInd w:val="0"/>
        <w:rPr>
          <w:b/>
          <w:lang w:val="en-AU"/>
        </w:rPr>
      </w:pPr>
    </w:p>
    <w:p w:rsidR="003F1242" w:rsidRDefault="003F1242">
      <w:pPr>
        <w:rPr>
          <w:i/>
          <w:lang w:val="en-AU"/>
        </w:rPr>
      </w:pPr>
      <w:r>
        <w:rPr>
          <w:i/>
          <w:lang w:val="en-AU"/>
        </w:rPr>
        <w:br w:type="page"/>
      </w:r>
    </w:p>
    <w:p w:rsidR="00882169" w:rsidRPr="002302EF" w:rsidRDefault="00882169" w:rsidP="00882169">
      <w:pPr>
        <w:keepNext/>
        <w:rPr>
          <w:lang w:val="en-AU"/>
        </w:rPr>
      </w:pPr>
      <w:r w:rsidRPr="002302EF">
        <w:rPr>
          <w:i/>
          <w:lang w:val="en-AU"/>
        </w:rPr>
        <w:lastRenderedPageBreak/>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82169" w:rsidRPr="002302EF" w:rsidTr="00AD5026">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AD5026">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2302EF" w:rsidRDefault="008B1313" w:rsidP="00AD5026">
            <w:pPr>
              <w:rPr>
                <w:lang w:val="en-AU"/>
              </w:rPr>
            </w:pPr>
            <w:hyperlink r:id="rId46" w:history="1">
              <w:r w:rsidR="00882169" w:rsidRPr="002302EF">
                <w:rPr>
                  <w:rStyle w:val="Hyperlink"/>
                  <w:lang w:val="en-AU"/>
                </w:rPr>
                <w:t>http://qualitysafety.bmj.com/content/early/recent</w:t>
              </w:r>
            </w:hyperlink>
          </w:p>
        </w:tc>
      </w:tr>
      <w:tr w:rsidR="00882169" w:rsidRPr="002302EF" w:rsidTr="00AD5026">
        <w:tc>
          <w:tcPr>
            <w:tcW w:w="1080" w:type="dxa"/>
            <w:tcBorders>
              <w:top w:val="single" w:sz="4" w:space="0" w:color="auto"/>
              <w:left w:val="single" w:sz="4" w:space="0" w:color="auto"/>
              <w:bottom w:val="single" w:sz="4" w:space="0" w:color="auto"/>
              <w:right w:val="single" w:sz="4" w:space="0" w:color="auto"/>
            </w:tcBorders>
            <w:vAlign w:val="center"/>
          </w:tcPr>
          <w:p w:rsidR="00882169" w:rsidRPr="002302EF" w:rsidRDefault="00882169" w:rsidP="00AD5026">
            <w:pPr>
              <w:rPr>
                <w:lang w:val="en-AU"/>
              </w:rPr>
            </w:pPr>
            <w:r>
              <w:br w:type="page"/>
            </w: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169" w:rsidRPr="00D755FC" w:rsidRDefault="00882169" w:rsidP="00AD5026">
            <w:pPr>
              <w:rPr>
                <w:lang w:val="en-AU"/>
              </w:rPr>
            </w:pPr>
            <w:r w:rsidRPr="002302EF">
              <w:rPr>
                <w:i/>
                <w:lang w:val="en-AU"/>
              </w:rPr>
              <w:t>BMJ Quality and Safety</w:t>
            </w:r>
            <w:r w:rsidRPr="002302EF">
              <w:rPr>
                <w:lang w:val="en-AU"/>
              </w:rPr>
              <w:t xml:space="preserve"> has published a number of ‘online first’ articles, including:</w:t>
            </w:r>
          </w:p>
          <w:p w:rsidR="008358CD" w:rsidRDefault="008A24CE" w:rsidP="008A24CE">
            <w:pPr>
              <w:pStyle w:val="ListParagraph"/>
              <w:numPr>
                <w:ilvl w:val="0"/>
                <w:numId w:val="14"/>
              </w:numPr>
              <w:rPr>
                <w:lang w:val="en-AU"/>
              </w:rPr>
            </w:pPr>
            <w:r w:rsidRPr="008A24CE">
              <w:rPr>
                <w:lang w:val="en-AU"/>
              </w:rPr>
              <w:t xml:space="preserve">Editorial: Swimming ‘upstream’ to tackle the </w:t>
            </w:r>
            <w:r w:rsidRPr="008A24CE">
              <w:rPr>
                <w:b/>
                <w:lang w:val="en-AU"/>
              </w:rPr>
              <w:t>social determinants of health</w:t>
            </w:r>
            <w:r w:rsidRPr="008A24CE">
              <w:rPr>
                <w:lang w:val="en-AU"/>
              </w:rPr>
              <w:t xml:space="preserve"> </w:t>
            </w:r>
            <w:r>
              <w:rPr>
                <w:lang w:val="en-AU"/>
              </w:rPr>
              <w:t>(</w:t>
            </w:r>
            <w:r w:rsidRPr="008A24CE">
              <w:rPr>
                <w:lang w:val="en-AU"/>
              </w:rPr>
              <w:t>Tara Kiran, Andrew D Pinto</w:t>
            </w:r>
            <w:r>
              <w:rPr>
                <w:lang w:val="en-AU"/>
              </w:rPr>
              <w:t>)</w:t>
            </w:r>
          </w:p>
          <w:p w:rsidR="007305EA" w:rsidRDefault="007305EA" w:rsidP="007305EA">
            <w:pPr>
              <w:pStyle w:val="ListParagraph"/>
              <w:numPr>
                <w:ilvl w:val="0"/>
                <w:numId w:val="14"/>
              </w:numPr>
              <w:rPr>
                <w:lang w:val="en-AU"/>
              </w:rPr>
            </w:pPr>
            <w:r w:rsidRPr="007305EA">
              <w:rPr>
                <w:lang w:val="en-AU"/>
              </w:rPr>
              <w:t xml:space="preserve">The </w:t>
            </w:r>
            <w:r w:rsidRPr="007305EA">
              <w:rPr>
                <w:b/>
                <w:lang w:val="en-AU"/>
              </w:rPr>
              <w:t>Medicines Advice Service</w:t>
            </w:r>
            <w:r w:rsidRPr="007305EA">
              <w:rPr>
                <w:lang w:val="en-AU"/>
              </w:rPr>
              <w:t xml:space="preserve"> Evaluation (MASE): a randomised controlled trial of a pharmacist-led telephone based intervention designed to improve </w:t>
            </w:r>
            <w:r w:rsidRPr="007305EA">
              <w:rPr>
                <w:b/>
                <w:lang w:val="en-AU"/>
              </w:rPr>
              <w:t>medication adherence</w:t>
            </w:r>
            <w:r w:rsidRPr="007305EA">
              <w:rPr>
                <w:lang w:val="en-AU"/>
              </w:rPr>
              <w:t xml:space="preserve"> </w:t>
            </w:r>
            <w:r>
              <w:rPr>
                <w:lang w:val="en-AU"/>
              </w:rPr>
              <w:t>(</w:t>
            </w:r>
            <w:r w:rsidRPr="007305EA">
              <w:rPr>
                <w:lang w:val="en-AU"/>
              </w:rPr>
              <w:t>Imogen Lyons, Nicholas Barber, David K Raynor, Li Wei</w:t>
            </w:r>
            <w:r>
              <w:rPr>
                <w:lang w:val="en-AU"/>
              </w:rPr>
              <w:t>)</w:t>
            </w:r>
          </w:p>
          <w:p w:rsidR="008A26B0" w:rsidRPr="008A26B0" w:rsidRDefault="008A26B0" w:rsidP="008A26B0">
            <w:pPr>
              <w:pStyle w:val="ListParagraph"/>
              <w:numPr>
                <w:ilvl w:val="0"/>
                <w:numId w:val="14"/>
              </w:numPr>
              <w:rPr>
                <w:lang w:val="en-AU"/>
              </w:rPr>
            </w:pPr>
            <w:r w:rsidRPr="008A26B0">
              <w:rPr>
                <w:lang w:val="en-AU"/>
              </w:rPr>
              <w:t>Editorial</w:t>
            </w:r>
            <w:r w:rsidRPr="008A26B0">
              <w:rPr>
                <w:lang w:val="en-AU"/>
              </w:rPr>
              <w:t xml:space="preserve">: </w:t>
            </w:r>
            <w:r w:rsidRPr="008A26B0">
              <w:rPr>
                <w:b/>
                <w:lang w:val="en-AU"/>
              </w:rPr>
              <w:t>Balancing quality of care and resource utilisation</w:t>
            </w:r>
            <w:r w:rsidRPr="008A26B0">
              <w:rPr>
                <w:lang w:val="en-AU"/>
              </w:rPr>
              <w:t xml:space="preserve"> in acute care hospitals </w:t>
            </w:r>
            <w:r w:rsidRPr="008A26B0">
              <w:rPr>
                <w:lang w:val="en-AU"/>
              </w:rPr>
              <w:t>(</w:t>
            </w:r>
            <w:r w:rsidRPr="008A26B0">
              <w:rPr>
                <w:lang w:val="en-AU"/>
              </w:rPr>
              <w:t xml:space="preserve">Andre C </w:t>
            </w:r>
            <w:r>
              <w:rPr>
                <w:lang w:val="en-AU"/>
              </w:rPr>
              <w:t>K B Amaral, Brian H Cuthbertson)</w:t>
            </w:r>
          </w:p>
          <w:p w:rsidR="008A26B0" w:rsidRDefault="008A26B0" w:rsidP="008A26B0">
            <w:pPr>
              <w:pStyle w:val="ListParagraph"/>
              <w:numPr>
                <w:ilvl w:val="0"/>
                <w:numId w:val="14"/>
              </w:numPr>
              <w:rPr>
                <w:lang w:val="en-AU"/>
              </w:rPr>
            </w:pPr>
            <w:r w:rsidRPr="008A26B0">
              <w:rPr>
                <w:lang w:val="en-AU"/>
              </w:rPr>
              <w:t xml:space="preserve">Why ‘Universal Precautions’ are needed for </w:t>
            </w:r>
            <w:r w:rsidRPr="008A26B0">
              <w:rPr>
                <w:b/>
                <w:lang w:val="en-AU"/>
              </w:rPr>
              <w:t>medication lists</w:t>
            </w:r>
            <w:r w:rsidRPr="008A26B0">
              <w:rPr>
                <w:lang w:val="en-AU"/>
              </w:rPr>
              <w:t xml:space="preserve"> </w:t>
            </w:r>
            <w:r>
              <w:rPr>
                <w:lang w:val="en-AU"/>
              </w:rPr>
              <w:t>(</w:t>
            </w:r>
            <w:r w:rsidRPr="008A26B0">
              <w:rPr>
                <w:lang w:val="en-AU"/>
              </w:rPr>
              <w:t>Rita Shane</w:t>
            </w:r>
            <w:r>
              <w:rPr>
                <w:lang w:val="en-AU"/>
              </w:rPr>
              <w:t>)</w:t>
            </w:r>
          </w:p>
          <w:p w:rsidR="00B847EC" w:rsidRPr="00D755FC" w:rsidRDefault="00B847EC" w:rsidP="00B847EC">
            <w:pPr>
              <w:pStyle w:val="ListParagraph"/>
              <w:numPr>
                <w:ilvl w:val="0"/>
                <w:numId w:val="14"/>
              </w:numPr>
              <w:rPr>
                <w:lang w:val="en-AU"/>
              </w:rPr>
            </w:pPr>
            <w:r w:rsidRPr="00B847EC">
              <w:rPr>
                <w:lang w:val="en-AU"/>
              </w:rPr>
              <w:t xml:space="preserve">Understanding </w:t>
            </w:r>
            <w:r w:rsidRPr="00B847EC">
              <w:rPr>
                <w:b/>
                <w:lang w:val="en-AU"/>
              </w:rPr>
              <w:t>patient-centred readmission factors</w:t>
            </w:r>
            <w:r w:rsidRPr="00B847EC">
              <w:rPr>
                <w:lang w:val="en-AU"/>
              </w:rPr>
              <w:t>: a multi-site, mixed-methods study</w:t>
            </w:r>
            <w:r>
              <w:rPr>
                <w:lang w:val="en-AU"/>
              </w:rPr>
              <w:t xml:space="preserve"> (</w:t>
            </w:r>
            <w:r w:rsidRPr="00B847EC">
              <w:rPr>
                <w:lang w:val="en-AU"/>
              </w:rPr>
              <w:t>S Ryan Greysen, James D Harrison, Sunil Kripalani, Eduard Vasilevskis, Edmondo Robinson, Joshua Metlay, Jeffery L Schnipper, David Meltzer, Neil Sehgal, G W Ruhnke, M V Williams, A D Auerbach</w:t>
            </w:r>
            <w:r>
              <w:rPr>
                <w:lang w:val="en-AU"/>
              </w:rPr>
              <w:t>)</w:t>
            </w:r>
          </w:p>
        </w:tc>
      </w:tr>
    </w:tbl>
    <w:p w:rsidR="00882169" w:rsidRDefault="00882169" w:rsidP="00882169">
      <w:pPr>
        <w:keepLines/>
        <w:autoSpaceDE w:val="0"/>
        <w:autoSpaceDN w:val="0"/>
        <w:adjustRightInd w:val="0"/>
        <w:rPr>
          <w:lang w:val="en-AU"/>
        </w:rPr>
      </w:pPr>
    </w:p>
    <w:p w:rsidR="00C2566D" w:rsidRDefault="00C2566D" w:rsidP="00882169">
      <w:pPr>
        <w:keepNext/>
        <w:keepLines/>
        <w:rPr>
          <w:b/>
          <w:lang w:val="en-AU"/>
        </w:rPr>
      </w:pPr>
    </w:p>
    <w:p w:rsidR="00882169" w:rsidRPr="002302EF" w:rsidRDefault="00882169" w:rsidP="00882169">
      <w:pPr>
        <w:keepNext/>
        <w:keepLines/>
        <w:rPr>
          <w:b/>
          <w:lang w:val="en-AU"/>
        </w:rPr>
      </w:pPr>
      <w:r w:rsidRPr="002302EF">
        <w:rPr>
          <w:b/>
          <w:lang w:val="en-AU"/>
        </w:rPr>
        <w:t>Online resources</w:t>
      </w:r>
    </w:p>
    <w:p w:rsidR="00882169" w:rsidRDefault="00882169" w:rsidP="00882169">
      <w:pPr>
        <w:keepNext/>
        <w:keepLines/>
        <w:rPr>
          <w:lang w:val="en-AU"/>
        </w:rPr>
      </w:pPr>
    </w:p>
    <w:p w:rsidR="008A24CE" w:rsidRPr="007A5173" w:rsidRDefault="008A24CE" w:rsidP="00882169">
      <w:pPr>
        <w:keepNext/>
        <w:keepLines/>
        <w:rPr>
          <w:i/>
          <w:lang w:val="en-AU"/>
        </w:rPr>
      </w:pPr>
      <w:r w:rsidRPr="007A5173">
        <w:rPr>
          <w:i/>
          <w:lang w:val="en-AU"/>
        </w:rPr>
        <w:t>[UK] A zero cost way to reduce missed hospital appointments</w:t>
      </w:r>
    </w:p>
    <w:p w:rsidR="008A24CE" w:rsidRDefault="008B1313" w:rsidP="00882169">
      <w:pPr>
        <w:keepNext/>
        <w:keepLines/>
        <w:rPr>
          <w:lang w:val="en-AU"/>
        </w:rPr>
      </w:pPr>
      <w:hyperlink r:id="rId47" w:history="1">
        <w:r w:rsidR="008A24CE" w:rsidRPr="00F8476D">
          <w:rPr>
            <w:rStyle w:val="Hyperlink"/>
            <w:lang w:val="en-AU"/>
          </w:rPr>
          <w:t>https://www.gov.uk/government/publications/reducing-missed-hospital-appointments-using-text-messages/a-zero-cost-way-to-reduce-missed-hospital-appointments</w:t>
        </w:r>
      </w:hyperlink>
    </w:p>
    <w:p w:rsidR="008A24CE" w:rsidRDefault="007A5173" w:rsidP="00882169">
      <w:pPr>
        <w:keepNext/>
        <w:keepLines/>
        <w:rPr>
          <w:lang w:val="en-AU"/>
        </w:rPr>
      </w:pPr>
      <w:proofErr w:type="gramStart"/>
      <w:r>
        <w:rPr>
          <w:lang w:val="en-AU"/>
        </w:rPr>
        <w:t>This UK Department of Health document reports on a study that examined the content of appointment reminders (usually send as text messages) in order to assess their effectiveness in reducing missed appointments.</w:t>
      </w:r>
      <w:proofErr w:type="gramEnd"/>
      <w:r>
        <w:rPr>
          <w:lang w:val="en-AU"/>
        </w:rPr>
        <w:t xml:space="preserve"> </w:t>
      </w:r>
      <w:r w:rsidRPr="007A5173">
        <w:rPr>
          <w:lang w:val="en-AU"/>
        </w:rPr>
        <w:t>In 2014 to 2015 around 5.6 million (9% of the total) NHS outpatient appo</w:t>
      </w:r>
      <w:r>
        <w:rPr>
          <w:lang w:val="en-AU"/>
        </w:rPr>
        <w:t>intments were missed in England, so a reduction in this could have a substantial benefit. The study found that “</w:t>
      </w:r>
      <w:r w:rsidRPr="007A5173">
        <w:rPr>
          <w:lang w:val="en-AU"/>
        </w:rPr>
        <w:t xml:space="preserve">The best form of words, which told the patients the specific waste to the NHS of not attending, </w:t>
      </w:r>
      <w:r w:rsidRPr="007A5173">
        <w:rPr>
          <w:b/>
          <w:lang w:val="en-AU"/>
        </w:rPr>
        <w:t>reduced missed appointments by 23%</w:t>
      </w:r>
      <w:r w:rsidRPr="007A5173">
        <w:rPr>
          <w:lang w:val="en-AU"/>
        </w:rPr>
        <w:t xml:space="preserve"> compared to the standard message</w:t>
      </w:r>
      <w:r>
        <w:rPr>
          <w:lang w:val="en-AU"/>
        </w:rPr>
        <w:t>”</w:t>
      </w:r>
    </w:p>
    <w:p w:rsidR="00882169" w:rsidRDefault="00882169" w:rsidP="00882169">
      <w:pPr>
        <w:keepNext/>
        <w:keepLines/>
        <w:rPr>
          <w:lang w:val="en-AU"/>
        </w:rPr>
      </w:pPr>
    </w:p>
    <w:p w:rsidR="003F1242" w:rsidRPr="00BB6247" w:rsidRDefault="003F1242" w:rsidP="003F1242">
      <w:pPr>
        <w:keepNext/>
        <w:keepLines/>
        <w:rPr>
          <w:i/>
          <w:lang w:val="en-AU"/>
        </w:rPr>
      </w:pPr>
      <w:r w:rsidRPr="00BB6247">
        <w:rPr>
          <w:i/>
          <w:lang w:val="en-AU"/>
        </w:rPr>
        <w:t>[UK] NICE Guidelines and Quality Standards</w:t>
      </w:r>
    </w:p>
    <w:p w:rsidR="003F1242" w:rsidRDefault="003F1242" w:rsidP="003F1242">
      <w:pPr>
        <w:keepNext/>
        <w:keepLines/>
        <w:rPr>
          <w:lang w:val="en-AU"/>
        </w:rPr>
      </w:pPr>
      <w:hyperlink r:id="rId48" w:history="1">
        <w:r w:rsidRPr="0079133E">
          <w:rPr>
            <w:rStyle w:val="Hyperlink"/>
            <w:lang w:val="en-AU"/>
          </w:rPr>
          <w:t>http://www.nice.org.uk</w:t>
        </w:r>
      </w:hyperlink>
    </w:p>
    <w:p w:rsidR="003F1242" w:rsidRPr="00BB6247" w:rsidRDefault="003F1242" w:rsidP="003F1242">
      <w:pPr>
        <w:keepNext/>
        <w:keepLines/>
        <w:rPr>
          <w:lang w:val="en-AU"/>
        </w:rPr>
      </w:pPr>
      <w:r w:rsidRPr="00BB6247">
        <w:rPr>
          <w:lang w:val="en-AU"/>
        </w:rPr>
        <w:t>The UK’s National Institute for Health and Care Excellence (NICE) has published new (or updated) guidelines and quality standards. The latest updates are:</w:t>
      </w:r>
    </w:p>
    <w:p w:rsidR="003F1242" w:rsidRPr="00C2566D" w:rsidRDefault="003F1242" w:rsidP="003F1242">
      <w:pPr>
        <w:pStyle w:val="ListParagraph"/>
        <w:keepNext/>
        <w:keepLines/>
        <w:numPr>
          <w:ilvl w:val="0"/>
          <w:numId w:val="14"/>
        </w:numPr>
        <w:rPr>
          <w:rStyle w:val="Hyperlink"/>
          <w:color w:val="auto"/>
          <w:u w:val="none"/>
          <w:lang w:val="en-AU"/>
        </w:rPr>
      </w:pPr>
      <w:r>
        <w:rPr>
          <w:lang w:val="en-AU"/>
        </w:rPr>
        <w:t xml:space="preserve">NICE Guideline </w:t>
      </w:r>
      <w:r w:rsidRPr="00CA0FE0">
        <w:rPr>
          <w:lang w:val="en-AU"/>
        </w:rPr>
        <w:t>NG33</w:t>
      </w:r>
      <w:r>
        <w:rPr>
          <w:lang w:val="en-AU"/>
        </w:rPr>
        <w:t xml:space="preserve"> </w:t>
      </w:r>
      <w:r w:rsidRPr="00CA0FE0">
        <w:rPr>
          <w:b/>
          <w:lang w:val="en-AU"/>
        </w:rPr>
        <w:t>Tuberculosis</w:t>
      </w:r>
      <w:r>
        <w:rPr>
          <w:lang w:val="en-AU"/>
        </w:rPr>
        <w:t xml:space="preserve"> </w:t>
      </w:r>
      <w:hyperlink r:id="rId49" w:history="1">
        <w:r w:rsidRPr="003843EE">
          <w:rPr>
            <w:rStyle w:val="Hyperlink"/>
            <w:lang w:val="en-AU"/>
          </w:rPr>
          <w:t>https://www.nice.org.uk/guidance/ng33</w:t>
        </w:r>
      </w:hyperlink>
    </w:p>
    <w:p w:rsidR="00C2566D" w:rsidRDefault="00C2566D" w:rsidP="00C2566D">
      <w:pPr>
        <w:pStyle w:val="ListParagraph"/>
        <w:keepNext/>
        <w:keepLines/>
        <w:numPr>
          <w:ilvl w:val="0"/>
          <w:numId w:val="14"/>
        </w:numPr>
        <w:rPr>
          <w:lang w:val="en-AU"/>
        </w:rPr>
      </w:pPr>
      <w:r>
        <w:rPr>
          <w:lang w:val="en-AU"/>
        </w:rPr>
        <w:t xml:space="preserve">NICE Quality Standard </w:t>
      </w:r>
      <w:r w:rsidRPr="00C2566D">
        <w:rPr>
          <w:lang w:val="en-AU"/>
        </w:rPr>
        <w:t>QS107</w:t>
      </w:r>
      <w:r>
        <w:rPr>
          <w:lang w:val="en-AU"/>
        </w:rPr>
        <w:t xml:space="preserve"> </w:t>
      </w:r>
      <w:r w:rsidRPr="009E3266">
        <w:rPr>
          <w:b/>
          <w:lang w:val="en-AU"/>
        </w:rPr>
        <w:t>Preventing unintentional injury</w:t>
      </w:r>
      <w:r w:rsidRPr="00C2566D">
        <w:rPr>
          <w:lang w:val="en-AU"/>
        </w:rPr>
        <w:t xml:space="preserve"> in under 15s</w:t>
      </w:r>
      <w:r>
        <w:rPr>
          <w:lang w:val="en-AU"/>
        </w:rPr>
        <w:t xml:space="preserve"> </w:t>
      </w:r>
      <w:hyperlink r:id="rId50" w:history="1">
        <w:r w:rsidRPr="0034138F">
          <w:rPr>
            <w:rStyle w:val="Hyperlink"/>
            <w:lang w:val="en-AU"/>
          </w:rPr>
          <w:t>https://www.nice.org.uk/guidance/qs107</w:t>
        </w:r>
      </w:hyperlink>
    </w:p>
    <w:p w:rsidR="00C2566D" w:rsidRDefault="00C2566D" w:rsidP="00C2566D">
      <w:pPr>
        <w:pStyle w:val="ListParagraph"/>
        <w:keepNext/>
        <w:keepLines/>
        <w:numPr>
          <w:ilvl w:val="0"/>
          <w:numId w:val="14"/>
        </w:numPr>
        <w:rPr>
          <w:lang w:val="en-AU"/>
        </w:rPr>
      </w:pPr>
      <w:r>
        <w:rPr>
          <w:lang w:val="en-AU"/>
        </w:rPr>
        <w:t>NICE Quality Standard</w:t>
      </w:r>
      <w:r>
        <w:rPr>
          <w:lang w:val="en-AU"/>
        </w:rPr>
        <w:t xml:space="preserve"> QS108 </w:t>
      </w:r>
      <w:r w:rsidRPr="009E3266">
        <w:rPr>
          <w:b/>
          <w:lang w:val="en-AU"/>
        </w:rPr>
        <w:t>Multiple sclerosis</w:t>
      </w:r>
      <w:r>
        <w:rPr>
          <w:lang w:val="en-AU"/>
        </w:rPr>
        <w:t xml:space="preserve"> </w:t>
      </w:r>
      <w:hyperlink r:id="rId51" w:history="1">
        <w:r w:rsidRPr="0034138F">
          <w:rPr>
            <w:rStyle w:val="Hyperlink"/>
            <w:lang w:val="en-AU"/>
          </w:rPr>
          <w:t>https://www.nice.org.uk/guidance/qs108</w:t>
        </w:r>
      </w:hyperlink>
    </w:p>
    <w:p w:rsidR="003F1242" w:rsidRDefault="003F1242" w:rsidP="003F1242">
      <w:pPr>
        <w:keepNext/>
        <w:keepLines/>
        <w:rPr>
          <w:lang w:val="en-AU"/>
        </w:rPr>
      </w:pPr>
    </w:p>
    <w:p w:rsidR="003F1242" w:rsidRPr="00F47F8A" w:rsidRDefault="003F1242" w:rsidP="00882169">
      <w:pPr>
        <w:keepNext/>
        <w:keepLines/>
        <w:rPr>
          <w:lang w:val="en-AU"/>
        </w:rPr>
      </w:pPr>
    </w:p>
    <w:p w:rsidR="00882169" w:rsidRPr="002302EF" w:rsidRDefault="00882169" w:rsidP="00882169">
      <w:pPr>
        <w:keepNext/>
        <w:pBdr>
          <w:top w:val="single" w:sz="4" w:space="1" w:color="auto"/>
        </w:pBdr>
        <w:rPr>
          <w:b/>
          <w:lang w:val="en-AU"/>
        </w:rPr>
      </w:pPr>
      <w:r w:rsidRPr="002302EF">
        <w:rPr>
          <w:b/>
          <w:lang w:val="en-AU"/>
        </w:rPr>
        <w:t>Disclaimer</w:t>
      </w:r>
    </w:p>
    <w:p w:rsidR="00882169" w:rsidRPr="002302EF" w:rsidRDefault="00882169" w:rsidP="00882169">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882169" w:rsidRPr="002302EF" w:rsidSect="005C5ABC">
      <w:footerReference w:type="even" r:id="rId52"/>
      <w:footerReference w:type="default" r:id="rId5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13" w:rsidRDefault="008B1313">
      <w:r>
        <w:separator/>
      </w:r>
    </w:p>
  </w:endnote>
  <w:endnote w:type="continuationSeparator" w:id="0">
    <w:p w:rsidR="008B1313" w:rsidRDefault="008B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847EC">
      <w:rPr>
        <w:rStyle w:val="PageNumber"/>
        <w:noProof/>
      </w:rPr>
      <w:t>2</w:t>
    </w:r>
    <w:r>
      <w:rPr>
        <w:rStyle w:val="PageNumber"/>
      </w:rPr>
      <w:fldChar w:fldCharType="end"/>
    </w:r>
  </w:p>
  <w:p w:rsidR="00AD5026" w:rsidRDefault="00AD5026" w:rsidP="00F1532A">
    <w:pPr>
      <w:pStyle w:val="Footer"/>
      <w:tabs>
        <w:tab w:val="clear" w:pos="8306"/>
        <w:tab w:val="right" w:pos="9540"/>
      </w:tabs>
      <w:ind w:right="360"/>
    </w:pPr>
    <w:r>
      <w:tab/>
    </w:r>
    <w:r>
      <w:tab/>
    </w:r>
    <w:r w:rsidRPr="00942E61">
      <w:rPr>
        <w:i/>
      </w:rPr>
      <w:t>On the Radar</w:t>
    </w:r>
    <w:r>
      <w:t xml:space="preserve"> Issue 256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47EC">
      <w:rPr>
        <w:rStyle w:val="PageNumber"/>
        <w:noProof/>
      </w:rPr>
      <w:t>5</w:t>
    </w:r>
    <w:r>
      <w:rPr>
        <w:rStyle w:val="PageNumber"/>
      </w:rPr>
      <w:fldChar w:fldCharType="end"/>
    </w:r>
  </w:p>
  <w:p w:rsidR="00AD5026" w:rsidRDefault="00AD5026" w:rsidP="00AA7F1C">
    <w:pPr>
      <w:pStyle w:val="Footer"/>
      <w:tabs>
        <w:tab w:val="clear" w:pos="4153"/>
        <w:tab w:val="clear" w:pos="8306"/>
        <w:tab w:val="left" w:pos="2901"/>
      </w:tabs>
      <w:ind w:right="360"/>
    </w:pPr>
    <w:r w:rsidRPr="00942E61">
      <w:rPr>
        <w:i/>
      </w:rPr>
      <w:t>On the Radar</w:t>
    </w:r>
    <w:r>
      <w:t xml:space="preserve"> Issue 256</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13" w:rsidRDefault="008B1313">
      <w:r>
        <w:separator/>
      </w:r>
    </w:p>
  </w:footnote>
  <w:footnote w:type="continuationSeparator" w:id="0">
    <w:p w:rsidR="008B1313" w:rsidRDefault="008B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ED77B7"/>
    <w:multiLevelType w:val="hybridMultilevel"/>
    <w:tmpl w:val="E7369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5640C54"/>
    <w:multiLevelType w:val="hybridMultilevel"/>
    <w:tmpl w:val="2A4E36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5C50A1F"/>
    <w:multiLevelType w:val="hybridMultilevel"/>
    <w:tmpl w:val="E67E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97448DD"/>
    <w:multiLevelType w:val="hybridMultilevel"/>
    <w:tmpl w:val="329A8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3A3786"/>
    <w:multiLevelType w:val="hybridMultilevel"/>
    <w:tmpl w:val="C0F4D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515323"/>
    <w:multiLevelType w:val="hybridMultilevel"/>
    <w:tmpl w:val="6FF0E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E41E3E"/>
    <w:multiLevelType w:val="hybridMultilevel"/>
    <w:tmpl w:val="B8C02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4F204FC"/>
    <w:multiLevelType w:val="hybridMultilevel"/>
    <w:tmpl w:val="A95261D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2B9D501D"/>
    <w:multiLevelType w:val="hybridMultilevel"/>
    <w:tmpl w:val="8D3A8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797EE5"/>
    <w:multiLevelType w:val="hybridMultilevel"/>
    <w:tmpl w:val="D01E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61239F"/>
    <w:multiLevelType w:val="hybridMultilevel"/>
    <w:tmpl w:val="7AB4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986A9E"/>
    <w:multiLevelType w:val="hybridMultilevel"/>
    <w:tmpl w:val="F5127D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7E4752"/>
    <w:multiLevelType w:val="hybridMultilevel"/>
    <w:tmpl w:val="B388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F67D3C"/>
    <w:multiLevelType w:val="hybridMultilevel"/>
    <w:tmpl w:val="78549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0B2958"/>
    <w:multiLevelType w:val="hybridMultilevel"/>
    <w:tmpl w:val="7BFCE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FCE3F31"/>
    <w:multiLevelType w:val="hybridMultilevel"/>
    <w:tmpl w:val="1E42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2660D9"/>
    <w:multiLevelType w:val="hybridMultilevel"/>
    <w:tmpl w:val="455A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BD3AA9"/>
    <w:multiLevelType w:val="hybridMultilevel"/>
    <w:tmpl w:val="887C7A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44426E6"/>
    <w:multiLevelType w:val="hybridMultilevel"/>
    <w:tmpl w:val="E7AEB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8621A5"/>
    <w:multiLevelType w:val="hybridMultilevel"/>
    <w:tmpl w:val="DD1E8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4"/>
  </w:num>
  <w:num w:numId="15">
    <w:abstractNumId w:val="30"/>
  </w:num>
  <w:num w:numId="16">
    <w:abstractNumId w:val="35"/>
  </w:num>
  <w:num w:numId="17">
    <w:abstractNumId w:val="31"/>
  </w:num>
  <w:num w:numId="18">
    <w:abstractNumId w:val="27"/>
  </w:num>
  <w:num w:numId="19">
    <w:abstractNumId w:val="13"/>
  </w:num>
  <w:num w:numId="20">
    <w:abstractNumId w:val="10"/>
  </w:num>
  <w:num w:numId="21">
    <w:abstractNumId w:val="19"/>
  </w:num>
  <w:num w:numId="22">
    <w:abstractNumId w:val="29"/>
  </w:num>
  <w:num w:numId="23">
    <w:abstractNumId w:val="26"/>
  </w:num>
  <w:num w:numId="24">
    <w:abstractNumId w:val="21"/>
  </w:num>
  <w:num w:numId="25">
    <w:abstractNumId w:val="37"/>
  </w:num>
  <w:num w:numId="26">
    <w:abstractNumId w:val="25"/>
  </w:num>
  <w:num w:numId="27">
    <w:abstractNumId w:val="12"/>
  </w:num>
  <w:num w:numId="28">
    <w:abstractNumId w:val="22"/>
  </w:num>
  <w:num w:numId="29">
    <w:abstractNumId w:val="33"/>
  </w:num>
  <w:num w:numId="30">
    <w:abstractNumId w:val="18"/>
  </w:num>
  <w:num w:numId="31">
    <w:abstractNumId w:val="17"/>
  </w:num>
  <w:num w:numId="32">
    <w:abstractNumId w:val="14"/>
  </w:num>
  <w:num w:numId="33">
    <w:abstractNumId w:val="15"/>
  </w:num>
  <w:num w:numId="34">
    <w:abstractNumId w:val="20"/>
  </w:num>
  <w:num w:numId="35">
    <w:abstractNumId w:val="16"/>
  </w:num>
  <w:num w:numId="36">
    <w:abstractNumId w:val="36"/>
  </w:num>
  <w:num w:numId="37">
    <w:abstractNumId w:val="32"/>
  </w:num>
  <w:num w:numId="3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8EF"/>
    <w:rsid w:val="00052CC4"/>
    <w:rsid w:val="00053393"/>
    <w:rsid w:val="000535B1"/>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24"/>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491"/>
    <w:rsid w:val="000A45B3"/>
    <w:rsid w:val="000A463D"/>
    <w:rsid w:val="000A48E4"/>
    <w:rsid w:val="000A4A45"/>
    <w:rsid w:val="000A4A54"/>
    <w:rsid w:val="000A4B1D"/>
    <w:rsid w:val="000A4B7C"/>
    <w:rsid w:val="000A4EFC"/>
    <w:rsid w:val="000A56A4"/>
    <w:rsid w:val="000A56E4"/>
    <w:rsid w:val="000A6401"/>
    <w:rsid w:val="000A6436"/>
    <w:rsid w:val="000A6B68"/>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310"/>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73D0"/>
    <w:rsid w:val="00187BCA"/>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D2F"/>
    <w:rsid w:val="001D0056"/>
    <w:rsid w:val="001D006D"/>
    <w:rsid w:val="001D0103"/>
    <w:rsid w:val="001D015F"/>
    <w:rsid w:val="001D040C"/>
    <w:rsid w:val="001D0526"/>
    <w:rsid w:val="001D059A"/>
    <w:rsid w:val="001D0BFC"/>
    <w:rsid w:val="001D1323"/>
    <w:rsid w:val="001D140A"/>
    <w:rsid w:val="001D16BE"/>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DD8"/>
    <w:rsid w:val="001F11EE"/>
    <w:rsid w:val="001F12A7"/>
    <w:rsid w:val="001F1321"/>
    <w:rsid w:val="001F1470"/>
    <w:rsid w:val="001F1557"/>
    <w:rsid w:val="001F1722"/>
    <w:rsid w:val="001F1A88"/>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8783C"/>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B49"/>
    <w:rsid w:val="00315CFA"/>
    <w:rsid w:val="00315F18"/>
    <w:rsid w:val="003164BE"/>
    <w:rsid w:val="0031672E"/>
    <w:rsid w:val="00316878"/>
    <w:rsid w:val="00317017"/>
    <w:rsid w:val="00317070"/>
    <w:rsid w:val="003171D6"/>
    <w:rsid w:val="0031757B"/>
    <w:rsid w:val="003178C0"/>
    <w:rsid w:val="00317E43"/>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AE9"/>
    <w:rsid w:val="00357C4A"/>
    <w:rsid w:val="00357F13"/>
    <w:rsid w:val="003601A2"/>
    <w:rsid w:val="00360760"/>
    <w:rsid w:val="00360829"/>
    <w:rsid w:val="00360A7F"/>
    <w:rsid w:val="00360CAC"/>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604"/>
    <w:rsid w:val="003B1B0D"/>
    <w:rsid w:val="003B1EB5"/>
    <w:rsid w:val="003B1FFB"/>
    <w:rsid w:val="003B21DC"/>
    <w:rsid w:val="003B2606"/>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73EE"/>
    <w:rsid w:val="003B74C5"/>
    <w:rsid w:val="003B7674"/>
    <w:rsid w:val="003B7770"/>
    <w:rsid w:val="003B79FB"/>
    <w:rsid w:val="003B7EA6"/>
    <w:rsid w:val="003B7F29"/>
    <w:rsid w:val="003C1007"/>
    <w:rsid w:val="003C115F"/>
    <w:rsid w:val="003C13F0"/>
    <w:rsid w:val="003C14B2"/>
    <w:rsid w:val="003C1776"/>
    <w:rsid w:val="003C1C34"/>
    <w:rsid w:val="003C227B"/>
    <w:rsid w:val="003C246D"/>
    <w:rsid w:val="003C2886"/>
    <w:rsid w:val="003C296B"/>
    <w:rsid w:val="003C29A1"/>
    <w:rsid w:val="003C29F3"/>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42"/>
    <w:rsid w:val="003F12BC"/>
    <w:rsid w:val="003F12E1"/>
    <w:rsid w:val="003F135E"/>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209"/>
    <w:rsid w:val="004075DB"/>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E1"/>
    <w:rsid w:val="00461BFD"/>
    <w:rsid w:val="00461CF7"/>
    <w:rsid w:val="00461DAB"/>
    <w:rsid w:val="00462050"/>
    <w:rsid w:val="004628FE"/>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97FA7"/>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BFC"/>
    <w:rsid w:val="004A7CE9"/>
    <w:rsid w:val="004B0129"/>
    <w:rsid w:val="004B0290"/>
    <w:rsid w:val="004B0579"/>
    <w:rsid w:val="004B05A3"/>
    <w:rsid w:val="004B0678"/>
    <w:rsid w:val="004B06F4"/>
    <w:rsid w:val="004B0742"/>
    <w:rsid w:val="004B0825"/>
    <w:rsid w:val="004B0A28"/>
    <w:rsid w:val="004B0A48"/>
    <w:rsid w:val="004B0BE0"/>
    <w:rsid w:val="004B0E69"/>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0A9"/>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8A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E5"/>
    <w:rsid w:val="004F3886"/>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674"/>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0E35"/>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886"/>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4E94"/>
    <w:rsid w:val="006450A9"/>
    <w:rsid w:val="00645151"/>
    <w:rsid w:val="006454A4"/>
    <w:rsid w:val="00645BA5"/>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BD"/>
    <w:rsid w:val="006803C0"/>
    <w:rsid w:val="00680666"/>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8F3"/>
    <w:rsid w:val="00690ACB"/>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175"/>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E4"/>
    <w:rsid w:val="00794BF7"/>
    <w:rsid w:val="007952EA"/>
    <w:rsid w:val="007954D1"/>
    <w:rsid w:val="00796163"/>
    <w:rsid w:val="00796225"/>
    <w:rsid w:val="00796385"/>
    <w:rsid w:val="00796514"/>
    <w:rsid w:val="007970BD"/>
    <w:rsid w:val="00797CF3"/>
    <w:rsid w:val="00797EA8"/>
    <w:rsid w:val="007A0276"/>
    <w:rsid w:val="007A02FB"/>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7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D0074"/>
    <w:rsid w:val="007D0E02"/>
    <w:rsid w:val="007D0F16"/>
    <w:rsid w:val="007D127D"/>
    <w:rsid w:val="007D13EC"/>
    <w:rsid w:val="007D1446"/>
    <w:rsid w:val="007D1509"/>
    <w:rsid w:val="007D2648"/>
    <w:rsid w:val="007D29FA"/>
    <w:rsid w:val="007D30B3"/>
    <w:rsid w:val="007D3239"/>
    <w:rsid w:val="007D34BB"/>
    <w:rsid w:val="007D3743"/>
    <w:rsid w:val="007D3949"/>
    <w:rsid w:val="007D3C7F"/>
    <w:rsid w:val="007D3D72"/>
    <w:rsid w:val="007D4D8F"/>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4CA9"/>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2C"/>
    <w:rsid w:val="00824035"/>
    <w:rsid w:val="0082431B"/>
    <w:rsid w:val="00824564"/>
    <w:rsid w:val="00824B99"/>
    <w:rsid w:val="00824DC6"/>
    <w:rsid w:val="0082545F"/>
    <w:rsid w:val="00825A32"/>
    <w:rsid w:val="00825CD1"/>
    <w:rsid w:val="00825D67"/>
    <w:rsid w:val="0082628B"/>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94E"/>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08"/>
    <w:rsid w:val="00877A20"/>
    <w:rsid w:val="00877EBC"/>
    <w:rsid w:val="00877F05"/>
    <w:rsid w:val="0088006B"/>
    <w:rsid w:val="00880343"/>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C1"/>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5A5"/>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662"/>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5AE"/>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280"/>
    <w:rsid w:val="00972874"/>
    <w:rsid w:val="00973111"/>
    <w:rsid w:val="00973134"/>
    <w:rsid w:val="00973267"/>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FD5"/>
    <w:rsid w:val="009C73F0"/>
    <w:rsid w:val="009C78BC"/>
    <w:rsid w:val="009C7CC2"/>
    <w:rsid w:val="009D0194"/>
    <w:rsid w:val="009D042F"/>
    <w:rsid w:val="009D05DF"/>
    <w:rsid w:val="009D079B"/>
    <w:rsid w:val="009D08C2"/>
    <w:rsid w:val="009D0BB1"/>
    <w:rsid w:val="009D1099"/>
    <w:rsid w:val="009D196D"/>
    <w:rsid w:val="009D24D1"/>
    <w:rsid w:val="009D2A48"/>
    <w:rsid w:val="009D2CE4"/>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8DA"/>
    <w:rsid w:val="009E7A3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6D"/>
    <w:rsid w:val="00A169B9"/>
    <w:rsid w:val="00A169D6"/>
    <w:rsid w:val="00A16A90"/>
    <w:rsid w:val="00A16C61"/>
    <w:rsid w:val="00A17BAC"/>
    <w:rsid w:val="00A17E8D"/>
    <w:rsid w:val="00A2010D"/>
    <w:rsid w:val="00A20991"/>
    <w:rsid w:val="00A20B58"/>
    <w:rsid w:val="00A20D33"/>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250"/>
    <w:rsid w:val="00A8443B"/>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902"/>
    <w:rsid w:val="00AB6959"/>
    <w:rsid w:val="00AB6ACE"/>
    <w:rsid w:val="00AB6D26"/>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CB"/>
    <w:rsid w:val="00AD4408"/>
    <w:rsid w:val="00AD4B42"/>
    <w:rsid w:val="00AD4D5F"/>
    <w:rsid w:val="00AD4E62"/>
    <w:rsid w:val="00AD5026"/>
    <w:rsid w:val="00AD5076"/>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02F"/>
    <w:rsid w:val="00AF28E4"/>
    <w:rsid w:val="00AF291D"/>
    <w:rsid w:val="00AF2B7D"/>
    <w:rsid w:val="00AF3677"/>
    <w:rsid w:val="00AF36C9"/>
    <w:rsid w:val="00AF3BF5"/>
    <w:rsid w:val="00AF3E31"/>
    <w:rsid w:val="00AF409B"/>
    <w:rsid w:val="00AF42EC"/>
    <w:rsid w:val="00AF43C6"/>
    <w:rsid w:val="00AF4923"/>
    <w:rsid w:val="00AF5077"/>
    <w:rsid w:val="00AF559B"/>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202"/>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3F33"/>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66"/>
    <w:rsid w:val="00B55DFB"/>
    <w:rsid w:val="00B55F0F"/>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6CCC"/>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58"/>
    <w:rsid w:val="00BF3CCC"/>
    <w:rsid w:val="00BF3D49"/>
    <w:rsid w:val="00BF3D7B"/>
    <w:rsid w:val="00BF3DCD"/>
    <w:rsid w:val="00BF3F0C"/>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2AD0"/>
    <w:rsid w:val="00C237B7"/>
    <w:rsid w:val="00C23CED"/>
    <w:rsid w:val="00C24EBA"/>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57"/>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88C"/>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8B"/>
    <w:rsid w:val="00D464BB"/>
    <w:rsid w:val="00D4660B"/>
    <w:rsid w:val="00D467AE"/>
    <w:rsid w:val="00D467FD"/>
    <w:rsid w:val="00D468C9"/>
    <w:rsid w:val="00D469AD"/>
    <w:rsid w:val="00D46C3E"/>
    <w:rsid w:val="00D4707B"/>
    <w:rsid w:val="00D47254"/>
    <w:rsid w:val="00D47409"/>
    <w:rsid w:val="00D47D0C"/>
    <w:rsid w:val="00D501B6"/>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A93"/>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5FF"/>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DD0"/>
    <w:rsid w:val="00E05061"/>
    <w:rsid w:val="00E05471"/>
    <w:rsid w:val="00E05B44"/>
    <w:rsid w:val="00E05D9C"/>
    <w:rsid w:val="00E05EAF"/>
    <w:rsid w:val="00E060D5"/>
    <w:rsid w:val="00E06121"/>
    <w:rsid w:val="00E06168"/>
    <w:rsid w:val="00E0626F"/>
    <w:rsid w:val="00E06602"/>
    <w:rsid w:val="00E06A7A"/>
    <w:rsid w:val="00E06ABE"/>
    <w:rsid w:val="00E06B85"/>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9F5"/>
    <w:rsid w:val="00E67BE7"/>
    <w:rsid w:val="00E67CF6"/>
    <w:rsid w:val="00E67EE7"/>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852"/>
    <w:rsid w:val="00FF28C5"/>
    <w:rsid w:val="00FF308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www.implementationscience.com/content/10/1/107" TargetMode="External"/><Relationship Id="rId26" Type="http://schemas.openxmlformats.org/officeDocument/2006/relationships/hyperlink" Target="http://dx.doi.org/10.1093/ofid/ofv121" TargetMode="External"/><Relationship Id="rId39" Type="http://schemas.openxmlformats.org/officeDocument/2006/relationships/hyperlink" Target="http://dx.doi.org/10.1016/j.aorn.2015.10.006" TargetMode="External"/><Relationship Id="rId21" Type="http://schemas.openxmlformats.org/officeDocument/2006/relationships/hyperlink" Target="http://dx.doi.org/10.1371/journal.pone.0144107" TargetMode="External"/><Relationship Id="rId34" Type="http://schemas.openxmlformats.org/officeDocument/2006/relationships/hyperlink" Target="http://www.safetyandquality.gov.au/national-priorities/amr-and-au-surveillance-project/" TargetMode="External"/><Relationship Id="rId42" Type="http://schemas.openxmlformats.org/officeDocument/2006/relationships/hyperlink" Target="http://dx.doi.org/10.1093/intqhc/mzv090" TargetMode="External"/><Relationship Id="rId47" Type="http://schemas.openxmlformats.org/officeDocument/2006/relationships/hyperlink" Target="https://www.gov.uk/government/publications/reducing-missed-hospital-appointments-using-text-messages/a-zero-cost-way-to-reduce-missed-hospital-appointments" TargetMode="External"/><Relationship Id="rId50" Type="http://schemas.openxmlformats.org/officeDocument/2006/relationships/hyperlink" Target="https://www.nice.org.uk/guidance/qs107"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186/s13012-015-0299-9" TargetMode="External"/><Relationship Id="rId25" Type="http://schemas.openxmlformats.org/officeDocument/2006/relationships/hyperlink" Target="http://www.safetyandquality.gov.au/our-work/healthcare-associated-infection/" TargetMode="External"/><Relationship Id="rId33" Type="http://schemas.openxmlformats.org/officeDocument/2006/relationships/hyperlink" Target="http://dx.doi.org/10.3399/bjgp15X688105" TargetMode="External"/><Relationship Id="rId38" Type="http://schemas.openxmlformats.org/officeDocument/2006/relationships/hyperlink" Target="http://www.safetyandquality.gov.au/our-work/accreditation-and-the-nsqhs-standards/information-for-dental-practices/" TargetMode="External"/><Relationship Id="rId46" Type="http://schemas.openxmlformats.org/officeDocument/2006/relationships/hyperlink" Target="http://qualitysafety.bmj.com/content/early/recent" TargetMode="External"/><Relationship Id="rId2" Type="http://schemas.openxmlformats.org/officeDocument/2006/relationships/numbering" Target="numbering.xml"/><Relationship Id="rId16" Type="http://schemas.openxmlformats.org/officeDocument/2006/relationships/hyperlink" Target="http://www.commonwealthfund.org/publications/issue-briefs/2016/jan/high-need-patients-nine-countries" TargetMode="External"/><Relationship Id="rId20" Type="http://schemas.openxmlformats.org/officeDocument/2006/relationships/hyperlink" Target="http://dx.doi.org/10.1177/0141076815620614" TargetMode="External"/><Relationship Id="rId29" Type="http://schemas.openxmlformats.org/officeDocument/2006/relationships/hyperlink" Target="http://dx.doi.org/10.1213/ANE.0000000000000352" TargetMode="External"/><Relationship Id="rId41" Type="http://schemas.openxmlformats.org/officeDocument/2006/relationships/hyperlink" Target="http://dx.doi.org/10.1016/j.aenj.2015.07.00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17/ice.2015.192" TargetMode="External"/><Relationship Id="rId32" Type="http://schemas.openxmlformats.org/officeDocument/2006/relationships/hyperlink" Target="http://dx.doi.org/10.1503/cmaj.150601" TargetMode="External"/><Relationship Id="rId37" Type="http://schemas.openxmlformats.org/officeDocument/2006/relationships/hyperlink" Target="http://dx.doi.org/10.1186/s12903-015-0136-1" TargetMode="External"/><Relationship Id="rId40" Type="http://schemas.openxmlformats.org/officeDocument/2006/relationships/hyperlink" Target="http://dx.doi.org/10.1097/ALN.0000000000000904" TargetMode="External"/><Relationship Id="rId45" Type="http://schemas.openxmlformats.org/officeDocument/2006/relationships/hyperlink" Target="http://dx.doi.org/10.1097/PTS.0000000000000253"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16/j.bpobgyn.2015.03.020" TargetMode="External"/><Relationship Id="rId28" Type="http://schemas.openxmlformats.org/officeDocument/2006/relationships/hyperlink" Target="http://dx.doi.org/10.1542/peds.2015-0580" TargetMode="External"/><Relationship Id="rId36" Type="http://schemas.openxmlformats.org/officeDocument/2006/relationships/hyperlink" Target="http://dx.doi.org/10.2106/JBJS.O.00020" TargetMode="External"/><Relationship Id="rId49" Type="http://schemas.openxmlformats.org/officeDocument/2006/relationships/hyperlink" Target="https://www.nice.org.uk/guidance/ng33"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image" Target="media/image2.gif"/><Relationship Id="rId31" Type="http://schemas.openxmlformats.org/officeDocument/2006/relationships/hyperlink" Target="http://www.ingentaconnect.com/content/jcaho/jcjqs/2015/00000041/00000011/art00003" TargetMode="External"/><Relationship Id="rId44" Type="http://schemas.openxmlformats.org/officeDocument/2006/relationships/hyperlink" Target="http://dx.doi.org/10.1056/NEJMoa1508502"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h5774" TargetMode="External"/><Relationship Id="rId27" Type="http://schemas.openxmlformats.org/officeDocument/2006/relationships/hyperlink" Target="http://dx.doi.org/10.1016/j.ajic.2015.10.003" TargetMode="External"/><Relationship Id="rId30" Type="http://schemas.openxmlformats.org/officeDocument/2006/relationships/hyperlink" Target="http://www.jmcp.org/doi/abs/10.18553/jmcp.2015.21.8.614" TargetMode="External"/><Relationship Id="rId35" Type="http://schemas.openxmlformats.org/officeDocument/2006/relationships/hyperlink" Target="http://dx.doi.org/10.1002/14651858.CD002098.pub2" TargetMode="External"/><Relationship Id="rId43" Type="http://schemas.openxmlformats.org/officeDocument/2006/relationships/hyperlink" Target="http://dx.doi.org/10.1136/bmjopen-2015-008270" TargetMode="External"/><Relationship Id="rId48" Type="http://schemas.openxmlformats.org/officeDocument/2006/relationships/hyperlink" Target="http://www.nice.org.uk" TargetMode="External"/><Relationship Id="rId8" Type="http://schemas.openxmlformats.org/officeDocument/2006/relationships/endnotes" Target="endnotes.xml"/><Relationship Id="rId51" Type="http://schemas.openxmlformats.org/officeDocument/2006/relationships/hyperlink" Target="https://www.nice.org.uk/guidance/qs10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7C8C-070B-4CAB-AE6F-73CE25E3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11</Pages>
  <Words>5184</Words>
  <Characters>29550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34665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37</cp:revision>
  <cp:lastPrinted>2013-06-06T03:47:00Z</cp:lastPrinted>
  <dcterms:created xsi:type="dcterms:W3CDTF">2016-01-10T20:16:00Z</dcterms:created>
  <dcterms:modified xsi:type="dcterms:W3CDTF">2016-01-15T00:24:00Z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