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9172A4">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CE7C9C">
        <w:rPr>
          <w:color w:val="000000"/>
          <w:lang w:val="en-AU"/>
        </w:rPr>
        <w:t>71</w:t>
      </w:r>
    </w:p>
    <w:p w:rsidR="00755242" w:rsidRPr="002302EF" w:rsidRDefault="00F640D0" w:rsidP="00B160EF">
      <w:pPr>
        <w:rPr>
          <w:lang w:val="en-AU"/>
        </w:rPr>
      </w:pPr>
      <w:r>
        <w:rPr>
          <w:lang w:val="en-AU"/>
        </w:rPr>
        <w:t>2</w:t>
      </w:r>
      <w:r w:rsidR="00CE7C9C">
        <w:rPr>
          <w:lang w:val="en-AU"/>
        </w:rPr>
        <w:t xml:space="preserve"> May</w:t>
      </w:r>
      <w:r w:rsidR="008E594E">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061F1E" w:rsidRDefault="00061F1E" w:rsidP="00DA2466">
      <w:pPr>
        <w:keepNext/>
        <w:autoSpaceDE w:val="0"/>
        <w:autoSpaceDN w:val="0"/>
        <w:adjustRightInd w:val="0"/>
        <w:rPr>
          <w:b/>
          <w:lang w:val="en-AU"/>
        </w:rPr>
      </w:pPr>
    </w:p>
    <w:p w:rsidR="00A33B76" w:rsidRDefault="00A33B76" w:rsidP="00A33B76">
      <w:pPr>
        <w:keepNext/>
        <w:keepLines/>
        <w:autoSpaceDE w:val="0"/>
        <w:autoSpaceDN w:val="0"/>
        <w:adjustRightInd w:val="0"/>
        <w:rPr>
          <w:b/>
          <w:lang w:val="en-AU"/>
        </w:rPr>
      </w:pPr>
      <w:r>
        <w:rPr>
          <w:b/>
          <w:lang w:val="en-AU"/>
        </w:rPr>
        <w:t>Reports</w:t>
      </w:r>
    </w:p>
    <w:p w:rsidR="00A33B76" w:rsidRDefault="00A33B76" w:rsidP="0010017B">
      <w:pPr>
        <w:keepNext/>
        <w:keepLines/>
        <w:autoSpaceDE w:val="0"/>
        <w:autoSpaceDN w:val="0"/>
        <w:adjustRightInd w:val="0"/>
        <w:rPr>
          <w:lang w:val="en-AU"/>
        </w:rPr>
      </w:pPr>
    </w:p>
    <w:p w:rsidR="00FF7B0F" w:rsidRPr="00FF7B0F" w:rsidRDefault="00FF7B0F" w:rsidP="00FF7B0F">
      <w:pPr>
        <w:keepNext/>
        <w:keepLines/>
        <w:autoSpaceDE w:val="0"/>
        <w:autoSpaceDN w:val="0"/>
        <w:adjustRightInd w:val="0"/>
        <w:rPr>
          <w:i/>
          <w:lang w:val="en-AU"/>
        </w:rPr>
      </w:pPr>
      <w:r w:rsidRPr="00FF7B0F">
        <w:rPr>
          <w:i/>
          <w:lang w:val="en-AU"/>
        </w:rPr>
        <w:t>Professional Standards for Cosmetic Surgery</w:t>
      </w:r>
    </w:p>
    <w:p w:rsidR="00FF7B0F" w:rsidRDefault="00FF7B0F" w:rsidP="004C3D96">
      <w:pPr>
        <w:keepNext/>
        <w:keepLines/>
        <w:autoSpaceDE w:val="0"/>
        <w:autoSpaceDN w:val="0"/>
        <w:adjustRightInd w:val="0"/>
        <w:rPr>
          <w:lang w:val="en-AU"/>
        </w:rPr>
      </w:pPr>
      <w:r w:rsidRPr="00FF7B0F">
        <w:rPr>
          <w:lang w:val="en-AU"/>
        </w:rPr>
        <w:t>Royal College of Surgeons of England</w:t>
      </w:r>
    </w:p>
    <w:p w:rsidR="003E7834" w:rsidRDefault="00FF7B0F" w:rsidP="004C3D96">
      <w:pPr>
        <w:keepNext/>
        <w:keepLines/>
        <w:autoSpaceDE w:val="0"/>
        <w:autoSpaceDN w:val="0"/>
        <w:adjustRightInd w:val="0"/>
        <w:rPr>
          <w:lang w:val="en-AU"/>
        </w:rPr>
      </w:pPr>
      <w:r w:rsidRPr="00FF7B0F">
        <w:rPr>
          <w:lang w:val="en-AU"/>
        </w:rPr>
        <w:t>London: Royal College of Surgeons of England; 2016. p. 21.</w:t>
      </w:r>
    </w:p>
    <w:p w:rsidR="00FF7B0F" w:rsidRDefault="00FF7B0F" w:rsidP="004C3D96">
      <w:pPr>
        <w:keepNext/>
        <w:keepLines/>
        <w:autoSpaceDE w:val="0"/>
        <w:autoSpaceDN w:val="0"/>
        <w:adjustRightInd w:val="0"/>
        <w:rPr>
          <w:lang w:val="en-AU"/>
        </w:rPr>
      </w:pPr>
    </w:p>
    <w:p w:rsidR="00FF7B0F" w:rsidRPr="00FF7B0F" w:rsidRDefault="00FF7B0F" w:rsidP="00FF7B0F">
      <w:pPr>
        <w:keepNext/>
        <w:keepLines/>
        <w:autoSpaceDE w:val="0"/>
        <w:autoSpaceDN w:val="0"/>
        <w:adjustRightInd w:val="0"/>
        <w:rPr>
          <w:i/>
          <w:lang w:val="en-AU"/>
        </w:rPr>
      </w:pPr>
      <w:r w:rsidRPr="00FF7B0F">
        <w:rPr>
          <w:i/>
          <w:lang w:val="en-AU"/>
        </w:rPr>
        <w:t>Guidance for doctors who offer cosmetic interventions</w:t>
      </w:r>
    </w:p>
    <w:p w:rsidR="00FF7B0F" w:rsidRDefault="00FF7B0F" w:rsidP="004C3D96">
      <w:pPr>
        <w:keepNext/>
        <w:keepLines/>
        <w:autoSpaceDE w:val="0"/>
        <w:autoSpaceDN w:val="0"/>
        <w:adjustRightInd w:val="0"/>
        <w:rPr>
          <w:lang w:val="en-AU"/>
        </w:rPr>
      </w:pPr>
      <w:r w:rsidRPr="00FF7B0F">
        <w:rPr>
          <w:lang w:val="en-AU"/>
        </w:rPr>
        <w:t>General Medical Council</w:t>
      </w:r>
    </w:p>
    <w:p w:rsidR="00FF7B0F" w:rsidRPr="00574FD8" w:rsidRDefault="00FF7B0F" w:rsidP="004C3D96">
      <w:pPr>
        <w:keepNext/>
        <w:keepLines/>
        <w:autoSpaceDE w:val="0"/>
        <w:autoSpaceDN w:val="0"/>
        <w:adjustRightInd w:val="0"/>
        <w:rPr>
          <w:lang w:val="en-AU"/>
        </w:rPr>
      </w:pPr>
      <w:r w:rsidRPr="00FF7B0F">
        <w:rPr>
          <w:lang w:val="en-AU"/>
        </w:rPr>
        <w:t>London: General Medical Council; 2016. p. 24.</w:t>
      </w:r>
    </w:p>
    <w:tbl>
      <w:tblPr>
        <w:tblStyle w:val="TableGrid"/>
        <w:tblW w:w="0" w:type="auto"/>
        <w:tblInd w:w="288" w:type="dxa"/>
        <w:tblLayout w:type="fixed"/>
        <w:tblLook w:val="01E0" w:firstRow="1" w:lastRow="1" w:firstColumn="1" w:lastColumn="1" w:noHBand="0" w:noVBand="0"/>
      </w:tblPr>
      <w:tblGrid>
        <w:gridCol w:w="1080"/>
        <w:gridCol w:w="8280"/>
      </w:tblGrid>
      <w:tr w:rsidR="0010017B" w:rsidRPr="00255EF8" w:rsidTr="00B47D6E">
        <w:tc>
          <w:tcPr>
            <w:tcW w:w="1080" w:type="dxa"/>
            <w:tcBorders>
              <w:top w:val="single" w:sz="4" w:space="0" w:color="auto"/>
              <w:left w:val="single" w:sz="4" w:space="0" w:color="auto"/>
              <w:bottom w:val="single" w:sz="4" w:space="0" w:color="auto"/>
              <w:right w:val="single" w:sz="4" w:space="0" w:color="auto"/>
            </w:tcBorders>
            <w:vAlign w:val="center"/>
          </w:tcPr>
          <w:p w:rsidR="0010017B" w:rsidRPr="00255EF8" w:rsidRDefault="0010017B" w:rsidP="00B47D6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C3D96" w:rsidRDefault="005C296E" w:rsidP="004C3D96">
            <w:pPr>
              <w:rPr>
                <w:lang w:val="en-AU"/>
              </w:rPr>
            </w:pPr>
            <w:hyperlink r:id="rId16" w:history="1">
              <w:r w:rsidR="00FF7B0F" w:rsidRPr="001B3E3A">
                <w:rPr>
                  <w:rStyle w:val="Hyperlink"/>
                  <w:lang w:val="en-AU"/>
                </w:rPr>
                <w:t>https://www.rcseng.ac.uk/publications/docs/professional-standards-for-cosmetic-surgery/</w:t>
              </w:r>
            </w:hyperlink>
          </w:p>
          <w:p w:rsidR="00FF7B0F" w:rsidRPr="00255EF8" w:rsidRDefault="005C296E" w:rsidP="00FF7B0F">
            <w:pPr>
              <w:rPr>
                <w:lang w:val="en-AU"/>
              </w:rPr>
            </w:pPr>
            <w:hyperlink r:id="rId17" w:history="1">
              <w:r w:rsidR="00FF7B0F" w:rsidRPr="001B3E3A">
                <w:rPr>
                  <w:rStyle w:val="Hyperlink"/>
                  <w:lang w:val="en-AU"/>
                </w:rPr>
                <w:t>http://www.gmc-uk.org/guidance/ethical_guidance/28687.asp</w:t>
              </w:r>
            </w:hyperlink>
          </w:p>
        </w:tc>
      </w:tr>
      <w:tr w:rsidR="0010017B" w:rsidRPr="004147BB" w:rsidTr="00B47D6E">
        <w:tc>
          <w:tcPr>
            <w:tcW w:w="1080" w:type="dxa"/>
            <w:tcBorders>
              <w:top w:val="single" w:sz="4" w:space="0" w:color="auto"/>
              <w:left w:val="single" w:sz="4" w:space="0" w:color="auto"/>
              <w:bottom w:val="single" w:sz="4" w:space="0" w:color="auto"/>
              <w:right w:val="single" w:sz="4" w:space="0" w:color="auto"/>
            </w:tcBorders>
            <w:vAlign w:val="center"/>
          </w:tcPr>
          <w:p w:rsidR="0010017B" w:rsidRPr="00255EF8" w:rsidRDefault="0010017B" w:rsidP="00B47D6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7B0F" w:rsidRPr="00FF7B0F" w:rsidRDefault="00FF7B0F" w:rsidP="00FF7B0F">
            <w:pPr>
              <w:rPr>
                <w:lang w:val="en-AU" w:eastAsia="en-AU"/>
              </w:rPr>
            </w:pPr>
            <w:r>
              <w:rPr>
                <w:lang w:val="en-AU" w:eastAsia="en-AU"/>
              </w:rPr>
              <w:t xml:space="preserve">The UK’s </w:t>
            </w:r>
            <w:r w:rsidRPr="00FF7B0F">
              <w:rPr>
                <w:lang w:val="en-AU" w:eastAsia="en-AU"/>
              </w:rPr>
              <w:t>Royal College of Surgeons (RCS)</w:t>
            </w:r>
            <w:r>
              <w:rPr>
                <w:lang w:val="en-AU" w:eastAsia="en-AU"/>
              </w:rPr>
              <w:t xml:space="preserve"> and General Medical Council (GMC) have simultaneously released guidance around cosmetic surgery.</w:t>
            </w:r>
          </w:p>
          <w:p w:rsidR="00680B81" w:rsidRDefault="00FF7B0F" w:rsidP="00FF7B0F">
            <w:pPr>
              <w:rPr>
                <w:lang w:val="en-AU" w:eastAsia="en-AU"/>
              </w:rPr>
            </w:pPr>
            <w:r>
              <w:rPr>
                <w:lang w:val="en-AU" w:eastAsia="en-AU"/>
              </w:rPr>
              <w:t xml:space="preserve">The RCS </w:t>
            </w:r>
            <w:r w:rsidRPr="00FF7B0F">
              <w:rPr>
                <w:lang w:val="en-AU" w:eastAsia="en-AU"/>
              </w:rPr>
              <w:t xml:space="preserve">guidance has been updated with the aim of improving patient safety and standards within the cosmetic surgery industry. It stipulates that only surgeons with the appropriate training and experience should undertake cosmetic surgery and outlines the ethics and behaviour expected of cosmetic surgeons. </w:t>
            </w:r>
            <w:r>
              <w:rPr>
                <w:lang w:val="en-AU" w:eastAsia="en-AU"/>
              </w:rPr>
              <w:t>The GMC’s g</w:t>
            </w:r>
            <w:r w:rsidRPr="00FF7B0F">
              <w:rPr>
                <w:lang w:val="en-AU" w:eastAsia="en-AU"/>
              </w:rPr>
              <w:t>uidance</w:t>
            </w:r>
            <w:r>
              <w:rPr>
                <w:lang w:val="en-AU" w:eastAsia="en-AU"/>
              </w:rPr>
              <w:t xml:space="preserve"> </w:t>
            </w:r>
            <w:r w:rsidRPr="00FF7B0F">
              <w:rPr>
                <w:lang w:val="en-AU" w:eastAsia="en-AU"/>
              </w:rPr>
              <w:t xml:space="preserve">accompanies the RCS guidance </w:t>
            </w:r>
            <w:r>
              <w:rPr>
                <w:lang w:val="en-AU" w:eastAsia="en-AU"/>
              </w:rPr>
              <w:t xml:space="preserve">and outlines </w:t>
            </w:r>
            <w:r w:rsidRPr="00FF7B0F">
              <w:rPr>
                <w:lang w:val="en-AU" w:eastAsia="en-AU"/>
              </w:rPr>
              <w:t>the ethical obligations that doctors have towards patients and the standards of care that they need to provide during cosmetic procedures.</w:t>
            </w:r>
          </w:p>
          <w:p w:rsidR="00FF7B0F" w:rsidRPr="003E7834" w:rsidRDefault="00FF7B0F" w:rsidP="0098795D">
            <w:pPr>
              <w:rPr>
                <w:lang w:val="en-AU" w:eastAsia="en-AU"/>
              </w:rPr>
            </w:pPr>
            <w:r>
              <w:rPr>
                <w:lang w:val="en-AU" w:eastAsia="en-AU"/>
              </w:rPr>
              <w:lastRenderedPageBreak/>
              <w:t>Both</w:t>
            </w:r>
            <w:r w:rsidR="0098795D">
              <w:rPr>
                <w:lang w:val="en-AU" w:eastAsia="en-AU"/>
              </w:rPr>
              <w:t xml:space="preserve"> </w:t>
            </w:r>
            <w:r>
              <w:rPr>
                <w:lang w:val="en-AU" w:eastAsia="en-AU"/>
              </w:rPr>
              <w:t xml:space="preserve">documents have sections on </w:t>
            </w:r>
            <w:r w:rsidRPr="00FF7B0F">
              <w:rPr>
                <w:lang w:val="en-AU" w:eastAsia="en-AU"/>
              </w:rPr>
              <w:t>Knowledge, skills and performance</w:t>
            </w:r>
            <w:r>
              <w:rPr>
                <w:lang w:val="en-AU" w:eastAsia="en-AU"/>
              </w:rPr>
              <w:t xml:space="preserve">, </w:t>
            </w:r>
            <w:r w:rsidRPr="00FF7B0F">
              <w:rPr>
                <w:lang w:val="en-AU" w:eastAsia="en-AU"/>
              </w:rPr>
              <w:t>Safety and quality</w:t>
            </w:r>
            <w:r>
              <w:rPr>
                <w:lang w:val="en-AU" w:eastAsia="en-AU"/>
              </w:rPr>
              <w:t xml:space="preserve">, </w:t>
            </w:r>
            <w:r w:rsidRPr="00FF7B0F">
              <w:rPr>
                <w:lang w:val="en-AU" w:eastAsia="en-AU"/>
              </w:rPr>
              <w:t xml:space="preserve">Communication, partnership and teamwork </w:t>
            </w:r>
            <w:r>
              <w:rPr>
                <w:lang w:val="en-AU" w:eastAsia="en-AU"/>
              </w:rPr>
              <w:t xml:space="preserve">and </w:t>
            </w:r>
            <w:r w:rsidRPr="00FF7B0F">
              <w:rPr>
                <w:lang w:val="en-AU" w:eastAsia="en-AU"/>
              </w:rPr>
              <w:t>Maintaining trust</w:t>
            </w:r>
            <w:r>
              <w:rPr>
                <w:lang w:val="en-AU" w:eastAsia="en-AU"/>
              </w:rPr>
              <w:t>.</w:t>
            </w:r>
          </w:p>
        </w:tc>
      </w:tr>
    </w:tbl>
    <w:p w:rsidR="0010017B" w:rsidRDefault="0010017B" w:rsidP="0010017B">
      <w:pPr>
        <w:keepNext/>
        <w:keepLines/>
        <w:autoSpaceDE w:val="0"/>
        <w:autoSpaceDN w:val="0"/>
        <w:adjustRightInd w:val="0"/>
        <w:rPr>
          <w:lang w:val="en-AU"/>
        </w:rPr>
      </w:pPr>
    </w:p>
    <w:p w:rsidR="0062026E" w:rsidRDefault="0062026E" w:rsidP="0062026E">
      <w:pPr>
        <w:keepNext/>
        <w:keepLines/>
        <w:autoSpaceDE w:val="0"/>
        <w:autoSpaceDN w:val="0"/>
        <w:adjustRightInd w:val="0"/>
        <w:rPr>
          <w:i/>
          <w:lang w:val="en-AU"/>
        </w:rPr>
      </w:pPr>
      <w:r w:rsidRPr="0062026E">
        <w:rPr>
          <w:i/>
          <w:lang w:val="en-AU"/>
        </w:rPr>
        <w:t>The National Emergency Access Target: aiming for the target but what about the goal?</w:t>
      </w:r>
    </w:p>
    <w:p w:rsidR="0062026E" w:rsidRDefault="0062026E" w:rsidP="0062026E">
      <w:pPr>
        <w:keepNext/>
        <w:keepLines/>
        <w:autoSpaceDE w:val="0"/>
        <w:autoSpaceDN w:val="0"/>
        <w:adjustRightInd w:val="0"/>
        <w:rPr>
          <w:lang w:val="en-AU"/>
        </w:rPr>
      </w:pPr>
      <w:r w:rsidRPr="00690B02">
        <w:rPr>
          <w:lang w:val="en-AU"/>
        </w:rPr>
        <w:t>Deeble Institute Issues Brief No</w:t>
      </w:r>
      <w:r>
        <w:rPr>
          <w:lang w:val="en-AU"/>
        </w:rPr>
        <w:t xml:space="preserve"> 16</w:t>
      </w:r>
    </w:p>
    <w:p w:rsidR="0062026E" w:rsidRDefault="0062026E" w:rsidP="0062026E">
      <w:pPr>
        <w:keepNext/>
        <w:keepLines/>
        <w:autoSpaceDE w:val="0"/>
        <w:autoSpaceDN w:val="0"/>
        <w:adjustRightInd w:val="0"/>
        <w:rPr>
          <w:lang w:val="en-AU"/>
        </w:rPr>
      </w:pPr>
      <w:r>
        <w:rPr>
          <w:lang w:val="en-AU"/>
        </w:rPr>
        <w:t>Silk K</w:t>
      </w:r>
    </w:p>
    <w:p w:rsidR="0062026E" w:rsidRPr="00574FD8" w:rsidRDefault="0062026E" w:rsidP="0062026E">
      <w:pPr>
        <w:keepNext/>
        <w:keepLines/>
        <w:autoSpaceDE w:val="0"/>
        <w:autoSpaceDN w:val="0"/>
        <w:adjustRightInd w:val="0"/>
        <w:rPr>
          <w:lang w:val="en-AU"/>
        </w:rPr>
      </w:pPr>
      <w:r w:rsidRPr="00690B02">
        <w:rPr>
          <w:lang w:val="en-AU"/>
        </w:rPr>
        <w:t>Canberra: Australian Healthcare and Ho</w:t>
      </w:r>
      <w:r>
        <w:rPr>
          <w:lang w:val="en-AU"/>
        </w:rPr>
        <w:t>spitals Association; 2016. p. 18</w:t>
      </w:r>
      <w:r w:rsidRPr="00690B02">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2026E" w:rsidRPr="00255EF8" w:rsidTr="00DB4207">
        <w:tc>
          <w:tcPr>
            <w:tcW w:w="1080" w:type="dxa"/>
            <w:tcBorders>
              <w:top w:val="single" w:sz="4" w:space="0" w:color="auto"/>
              <w:left w:val="single" w:sz="4" w:space="0" w:color="auto"/>
              <w:bottom w:val="single" w:sz="4" w:space="0" w:color="auto"/>
              <w:right w:val="single" w:sz="4" w:space="0" w:color="auto"/>
            </w:tcBorders>
            <w:vAlign w:val="center"/>
          </w:tcPr>
          <w:p w:rsidR="0062026E" w:rsidRPr="00255EF8" w:rsidRDefault="0062026E" w:rsidP="00DB420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026E" w:rsidRPr="00255EF8" w:rsidRDefault="005C296E" w:rsidP="0062026E">
            <w:pPr>
              <w:rPr>
                <w:lang w:val="en-AU"/>
              </w:rPr>
            </w:pPr>
            <w:hyperlink r:id="rId18" w:history="1">
              <w:r w:rsidR="0062026E" w:rsidRPr="00C8137E">
                <w:rPr>
                  <w:rStyle w:val="Hyperlink"/>
                </w:rPr>
                <w:t>https://ahha.asn.au/system/files/docs/publications/deeble_institute_issues_brief_no._16_silk.pdf</w:t>
              </w:r>
            </w:hyperlink>
          </w:p>
        </w:tc>
      </w:tr>
      <w:tr w:rsidR="0062026E" w:rsidRPr="004147BB" w:rsidTr="00DB4207">
        <w:tc>
          <w:tcPr>
            <w:tcW w:w="1080" w:type="dxa"/>
            <w:tcBorders>
              <w:top w:val="single" w:sz="4" w:space="0" w:color="auto"/>
              <w:left w:val="single" w:sz="4" w:space="0" w:color="auto"/>
              <w:bottom w:val="single" w:sz="4" w:space="0" w:color="auto"/>
              <w:right w:val="single" w:sz="4" w:space="0" w:color="auto"/>
            </w:tcBorders>
            <w:vAlign w:val="center"/>
          </w:tcPr>
          <w:p w:rsidR="0062026E" w:rsidRPr="00255EF8" w:rsidRDefault="0062026E" w:rsidP="00DB420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026E" w:rsidRDefault="0062026E" w:rsidP="0062026E">
            <w:pPr>
              <w:rPr>
                <w:lang w:val="en-AU" w:eastAsia="en-AU"/>
              </w:rPr>
            </w:pPr>
            <w:r>
              <w:rPr>
                <w:lang w:val="en-AU" w:eastAsia="en-AU"/>
              </w:rPr>
              <w:t xml:space="preserve">This issues brief from the Deeble Institute examines the </w:t>
            </w:r>
            <w:r w:rsidRPr="0062026E">
              <w:rPr>
                <w:lang w:val="en-AU" w:eastAsia="en-AU"/>
              </w:rPr>
              <w:t xml:space="preserve">National Emergency Access Target (NEAT) </w:t>
            </w:r>
            <w:r>
              <w:rPr>
                <w:lang w:val="en-AU" w:eastAsia="en-AU"/>
              </w:rPr>
              <w:t xml:space="preserve">that </w:t>
            </w:r>
            <w:r w:rsidRPr="0062026E">
              <w:rPr>
                <w:lang w:val="en-AU" w:eastAsia="en-AU"/>
              </w:rPr>
              <w:t>was adopted across Australia in 2011</w:t>
            </w:r>
            <w:r>
              <w:rPr>
                <w:lang w:val="en-AU" w:eastAsia="en-AU"/>
              </w:rPr>
              <w:t xml:space="preserve">. The NEAT was based on </w:t>
            </w:r>
            <w:r w:rsidRPr="0062026E">
              <w:rPr>
                <w:lang w:val="en-AU" w:eastAsia="en-AU"/>
              </w:rPr>
              <w:t xml:space="preserve">the premise that spending less than 4 hours in the </w:t>
            </w:r>
            <w:r>
              <w:rPr>
                <w:lang w:val="en-AU" w:eastAsia="en-AU"/>
              </w:rPr>
              <w:t>emergency department (</w:t>
            </w:r>
            <w:r w:rsidRPr="0062026E">
              <w:rPr>
                <w:lang w:val="en-AU" w:eastAsia="en-AU"/>
              </w:rPr>
              <w:t>ED</w:t>
            </w:r>
            <w:r>
              <w:rPr>
                <w:lang w:val="en-AU" w:eastAsia="en-AU"/>
              </w:rPr>
              <w:t>)</w:t>
            </w:r>
            <w:r w:rsidRPr="0062026E">
              <w:rPr>
                <w:lang w:val="en-AU" w:eastAsia="en-AU"/>
              </w:rPr>
              <w:t xml:space="preserve"> would improve patient care. </w:t>
            </w:r>
            <w:r>
              <w:rPr>
                <w:lang w:val="en-AU" w:eastAsia="en-AU"/>
              </w:rPr>
              <w:t xml:space="preserve">The </w:t>
            </w:r>
            <w:r w:rsidRPr="0062026E">
              <w:rPr>
                <w:lang w:val="en-AU" w:eastAsia="en-AU"/>
              </w:rPr>
              <w:t>NEAT used a single time based target to incentivise patient flow through ED with the eventual goal that 90% of patients presenting to the ED would be discharged, transferred or admitted within 4 hours</w:t>
            </w:r>
            <w:r>
              <w:rPr>
                <w:lang w:val="en-AU" w:eastAsia="en-AU"/>
              </w:rPr>
              <w:t>. This brief reports that evidence suggests that:</w:t>
            </w:r>
          </w:p>
          <w:p w:rsidR="0062026E" w:rsidRPr="0062026E" w:rsidRDefault="0062026E" w:rsidP="0062026E">
            <w:pPr>
              <w:pStyle w:val="ListParagraph"/>
              <w:numPr>
                <w:ilvl w:val="0"/>
                <w:numId w:val="39"/>
              </w:numPr>
              <w:rPr>
                <w:lang w:val="en-AU" w:eastAsia="en-AU"/>
              </w:rPr>
            </w:pPr>
            <w:r w:rsidRPr="0062026E">
              <w:rPr>
                <w:lang w:val="en-AU" w:eastAsia="en-AU"/>
              </w:rPr>
              <w:t>the NEAT has resulted in increases in hospital admissions potentially adding to access block and reducing patient flow with reports of prioritising patients as they approach 4-hours and data manipulation</w:t>
            </w:r>
          </w:p>
          <w:p w:rsidR="0062026E" w:rsidRPr="0062026E" w:rsidRDefault="0062026E" w:rsidP="0062026E">
            <w:pPr>
              <w:pStyle w:val="ListParagraph"/>
              <w:numPr>
                <w:ilvl w:val="0"/>
                <w:numId w:val="39"/>
              </w:numPr>
              <w:rPr>
                <w:lang w:val="en-AU" w:eastAsia="en-AU"/>
              </w:rPr>
            </w:pPr>
            <w:r w:rsidRPr="0062026E">
              <w:rPr>
                <w:lang w:val="en-AU" w:eastAsia="en-AU"/>
              </w:rPr>
              <w:t>implementation of the NEAT through a single incentivised process indicator presents risks to healthcare quality, appropriateness and safety, with potential for inadequate assessment and treatment due to rushed decision-making.</w:t>
            </w:r>
          </w:p>
        </w:tc>
      </w:tr>
    </w:tbl>
    <w:p w:rsidR="0062026E" w:rsidRDefault="0062026E" w:rsidP="0062026E">
      <w:pPr>
        <w:keepNext/>
        <w:keepLines/>
        <w:autoSpaceDE w:val="0"/>
        <w:autoSpaceDN w:val="0"/>
        <w:adjustRightInd w:val="0"/>
        <w:rPr>
          <w:lang w:val="en-AU"/>
        </w:rPr>
      </w:pPr>
    </w:p>
    <w:p w:rsidR="0062026E" w:rsidRPr="0010017B" w:rsidRDefault="0062026E" w:rsidP="004F47AC">
      <w:pPr>
        <w:keepNext/>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40773F" w:rsidRDefault="0040773F" w:rsidP="007C4252">
      <w:pPr>
        <w:keepNext/>
        <w:keepLines/>
        <w:autoSpaceDE w:val="0"/>
        <w:autoSpaceDN w:val="0"/>
        <w:adjustRightInd w:val="0"/>
        <w:rPr>
          <w:lang w:val="en-AU"/>
        </w:rPr>
      </w:pPr>
    </w:p>
    <w:p w:rsidR="000E5392" w:rsidRPr="004B30B2" w:rsidRDefault="000E5392" w:rsidP="000E5392">
      <w:pPr>
        <w:keepNext/>
        <w:keepLines/>
        <w:autoSpaceDE w:val="0"/>
        <w:autoSpaceDN w:val="0"/>
        <w:adjustRightInd w:val="0"/>
        <w:rPr>
          <w:i/>
          <w:lang w:val="en-AU"/>
        </w:rPr>
      </w:pPr>
      <w:r w:rsidRPr="004B30B2">
        <w:rPr>
          <w:i/>
          <w:lang w:val="en-AU"/>
        </w:rPr>
        <w:t>Implementing an Antibiotic Stewardship Program: Guidelines by the Infectious Diseases Society of America and the Society for Healthcare Epidemiology of America</w:t>
      </w:r>
    </w:p>
    <w:p w:rsidR="000E5392" w:rsidRDefault="000E5392" w:rsidP="000E5392">
      <w:pPr>
        <w:keepNext/>
        <w:keepLines/>
        <w:autoSpaceDE w:val="0"/>
        <w:autoSpaceDN w:val="0"/>
        <w:adjustRightInd w:val="0"/>
        <w:rPr>
          <w:lang w:val="en-AU"/>
        </w:rPr>
      </w:pPr>
      <w:r w:rsidRPr="004B30B2">
        <w:rPr>
          <w:lang w:val="en-AU"/>
        </w:rPr>
        <w:t xml:space="preserve">Barlam TF, Cosgrove SE, Abbo LM, MacDougall C, </w:t>
      </w:r>
      <w:r>
        <w:rPr>
          <w:lang w:val="en-AU"/>
        </w:rPr>
        <w:t>Schuetz AN, Septimus EJ, et al</w:t>
      </w:r>
    </w:p>
    <w:p w:rsidR="000E5392" w:rsidRPr="005B6694" w:rsidRDefault="000E5392" w:rsidP="000E5392">
      <w:pPr>
        <w:keepNext/>
        <w:keepLines/>
        <w:autoSpaceDE w:val="0"/>
        <w:autoSpaceDN w:val="0"/>
        <w:adjustRightInd w:val="0"/>
        <w:rPr>
          <w:lang w:val="en-AU"/>
        </w:rPr>
      </w:pPr>
      <w:r w:rsidRPr="004B30B2">
        <w:rPr>
          <w:lang w:val="en-AU"/>
        </w:rPr>
        <w:t>Clinical Infectious Diseases. 2016</w:t>
      </w:r>
      <w:r>
        <w:rPr>
          <w:lang w:val="en-AU"/>
        </w:rPr>
        <w:t xml:space="preserve"> [epub]</w:t>
      </w:r>
      <w:r w:rsidRPr="004B30B2">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E5392" w:rsidRPr="00255EF8" w:rsidTr="0070442D">
        <w:tc>
          <w:tcPr>
            <w:tcW w:w="1080" w:type="dxa"/>
            <w:tcBorders>
              <w:top w:val="single" w:sz="4" w:space="0" w:color="auto"/>
              <w:left w:val="single" w:sz="4" w:space="0" w:color="auto"/>
              <w:bottom w:val="single" w:sz="4" w:space="0" w:color="auto"/>
              <w:right w:val="single" w:sz="4" w:space="0" w:color="auto"/>
            </w:tcBorders>
            <w:vAlign w:val="center"/>
          </w:tcPr>
          <w:p w:rsidR="000E5392" w:rsidRPr="005B6694" w:rsidRDefault="000E5392" w:rsidP="0070442D">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E5392" w:rsidRPr="004B7AA3" w:rsidRDefault="000E5392" w:rsidP="0070442D">
            <w:pPr>
              <w:shd w:val="clear" w:color="auto" w:fill="FFFFFF"/>
              <w:rPr>
                <w:rStyle w:val="Hyperlink"/>
                <w:color w:val="auto"/>
                <w:u w:val="none"/>
              </w:rPr>
            </w:pPr>
            <w:hyperlink r:id="rId19" w:history="1">
              <w:r w:rsidRPr="001B3E3A">
                <w:rPr>
                  <w:rStyle w:val="Hyperlink"/>
                </w:rPr>
                <w:t>http://dx.doi.org/10.1093/cid/ciw118</w:t>
              </w:r>
            </w:hyperlink>
          </w:p>
        </w:tc>
      </w:tr>
      <w:tr w:rsidR="000E5392" w:rsidRPr="004147BB" w:rsidTr="0070442D">
        <w:tc>
          <w:tcPr>
            <w:tcW w:w="1080" w:type="dxa"/>
            <w:tcBorders>
              <w:top w:val="single" w:sz="4" w:space="0" w:color="auto"/>
              <w:left w:val="single" w:sz="4" w:space="0" w:color="auto"/>
              <w:bottom w:val="single" w:sz="4" w:space="0" w:color="auto"/>
              <w:right w:val="single" w:sz="4" w:space="0" w:color="auto"/>
            </w:tcBorders>
            <w:vAlign w:val="center"/>
          </w:tcPr>
          <w:p w:rsidR="000E5392" w:rsidRPr="00255EF8" w:rsidRDefault="000E5392" w:rsidP="0070442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E5392" w:rsidRPr="00CE7C9C" w:rsidRDefault="000E5392" w:rsidP="0070442D">
            <w:pPr>
              <w:rPr>
                <w:lang w:val="en-AU" w:eastAsia="en-AU"/>
              </w:rPr>
            </w:pPr>
            <w:r>
              <w:rPr>
                <w:lang w:val="en-AU" w:eastAsia="en-AU"/>
              </w:rPr>
              <w:t>A</w:t>
            </w:r>
            <w:r w:rsidRPr="004B30B2">
              <w:rPr>
                <w:lang w:val="en-AU" w:eastAsia="en-AU"/>
              </w:rPr>
              <w:t xml:space="preserve"> multidisciplinary expert panel </w:t>
            </w:r>
            <w:r>
              <w:rPr>
                <w:lang w:val="en-AU" w:eastAsia="en-AU"/>
              </w:rPr>
              <w:t xml:space="preserve">convened by </w:t>
            </w:r>
            <w:r w:rsidRPr="004B30B2">
              <w:rPr>
                <w:lang w:val="en-AU" w:eastAsia="en-AU"/>
              </w:rPr>
              <w:t>the Infectious Diseases Society of America and the Society for Healthcare Epidemiology of America</w:t>
            </w:r>
            <w:r>
              <w:rPr>
                <w:lang w:val="en-AU" w:eastAsia="en-AU"/>
              </w:rPr>
              <w:t xml:space="preserve"> has developed these e</w:t>
            </w:r>
            <w:r w:rsidRPr="004B30B2">
              <w:rPr>
                <w:lang w:val="en-AU" w:eastAsia="en-AU"/>
              </w:rPr>
              <w:t xml:space="preserve">vidence-based guidelines for </w:t>
            </w:r>
            <w:r>
              <w:rPr>
                <w:lang w:val="en-AU" w:eastAsia="en-AU"/>
              </w:rPr>
              <w:t xml:space="preserve">the </w:t>
            </w:r>
            <w:r w:rsidRPr="004B30B2">
              <w:rPr>
                <w:lang w:val="en-AU" w:eastAsia="en-AU"/>
              </w:rPr>
              <w:t>implementation and measurement of antibiotic stewardship interventions in inpatient populations including long-term care</w:t>
            </w:r>
            <w:r>
              <w:rPr>
                <w:lang w:val="en-AU" w:eastAsia="en-AU"/>
              </w:rPr>
              <w:t xml:space="preserve">. </w:t>
            </w:r>
            <w:r w:rsidRPr="004B30B2">
              <w:rPr>
                <w:lang w:val="en-AU" w:eastAsia="en-AU"/>
              </w:rPr>
              <w:t xml:space="preserve">These recommendations </w:t>
            </w:r>
            <w:r>
              <w:rPr>
                <w:lang w:val="en-AU" w:eastAsia="en-AU"/>
              </w:rPr>
              <w:t xml:space="preserve">describe best practices </w:t>
            </w:r>
            <w:r w:rsidRPr="004B30B2">
              <w:rPr>
                <w:lang w:val="en-AU" w:eastAsia="en-AU"/>
              </w:rPr>
              <w:t>for antibiotic stewardship programs to influence the optimal use of antibiotics</w:t>
            </w:r>
            <w:r>
              <w:rPr>
                <w:lang w:val="en-AU" w:eastAsia="en-AU"/>
              </w:rPr>
              <w:t xml:space="preserve"> in the US context</w:t>
            </w:r>
            <w:r w:rsidRPr="004B30B2">
              <w:rPr>
                <w:lang w:val="en-AU" w:eastAsia="en-AU"/>
              </w:rPr>
              <w:t>.</w:t>
            </w:r>
          </w:p>
        </w:tc>
      </w:tr>
    </w:tbl>
    <w:p w:rsidR="000E5392" w:rsidRDefault="000E5392" w:rsidP="000E5392">
      <w:pPr>
        <w:rPr>
          <w:lang w:val="en-AU"/>
        </w:rPr>
      </w:pPr>
    </w:p>
    <w:p w:rsidR="000E5392" w:rsidRDefault="000E5392" w:rsidP="000E5392">
      <w:pPr>
        <w:rPr>
          <w:lang w:val="en-AU"/>
        </w:rPr>
      </w:pPr>
      <w:r>
        <w:rPr>
          <w:lang w:val="en-AU"/>
        </w:rPr>
        <w:t xml:space="preserve">For information on the Commission’s work on antimicrobial stewardship, see </w:t>
      </w:r>
      <w:hyperlink r:id="rId20" w:history="1">
        <w:r w:rsidRPr="001B3E3A">
          <w:rPr>
            <w:rStyle w:val="Hyperlink"/>
            <w:lang w:val="en-AU"/>
          </w:rPr>
          <w:t>http://www.safetyandquality.gov.au/our-work/healthcare-associated-infection/antimicrobial-stewardship/</w:t>
        </w:r>
      </w:hyperlink>
    </w:p>
    <w:p w:rsidR="000E5392" w:rsidRDefault="000E5392" w:rsidP="000E5392">
      <w:pPr>
        <w:rPr>
          <w:lang w:val="en-AU"/>
        </w:rPr>
      </w:pPr>
      <w:r>
        <w:rPr>
          <w:lang w:val="en-AU"/>
        </w:rPr>
        <w:t xml:space="preserve">For information on the Commission’s work on the </w:t>
      </w:r>
      <w:r w:rsidRPr="004B30B2">
        <w:rPr>
          <w:lang w:val="en-AU"/>
        </w:rPr>
        <w:t>Antimicrobial Use and Resistance in Australia Project</w:t>
      </w:r>
      <w:r>
        <w:rPr>
          <w:lang w:val="en-AU"/>
        </w:rPr>
        <w:t xml:space="preserve">, see </w:t>
      </w:r>
      <w:hyperlink r:id="rId21" w:history="1">
        <w:r w:rsidRPr="001B3E3A">
          <w:rPr>
            <w:rStyle w:val="Hyperlink"/>
            <w:lang w:val="en-AU"/>
          </w:rPr>
          <w:t>http://www.safetyandquality.gov.au/national-priorities/amr-and-au-surveillance-project/</w:t>
        </w:r>
      </w:hyperlink>
    </w:p>
    <w:p w:rsidR="000E5392" w:rsidRDefault="000E5392" w:rsidP="00FA272B">
      <w:pPr>
        <w:keepNext/>
        <w:keepLines/>
        <w:autoSpaceDE w:val="0"/>
        <w:autoSpaceDN w:val="0"/>
        <w:adjustRightInd w:val="0"/>
        <w:rPr>
          <w:i/>
          <w:lang w:val="en-AU"/>
        </w:rPr>
      </w:pPr>
    </w:p>
    <w:p w:rsidR="000E5392" w:rsidRDefault="000E5392">
      <w:pPr>
        <w:rPr>
          <w:i/>
          <w:lang w:val="en-AU"/>
        </w:rPr>
      </w:pPr>
      <w:r>
        <w:rPr>
          <w:i/>
          <w:lang w:val="en-AU"/>
        </w:rPr>
        <w:br w:type="page"/>
      </w:r>
    </w:p>
    <w:p w:rsidR="000228D9" w:rsidRPr="00FA272B" w:rsidRDefault="000228D9" w:rsidP="000228D9">
      <w:pPr>
        <w:keepNext/>
        <w:keepLines/>
        <w:autoSpaceDE w:val="0"/>
        <w:autoSpaceDN w:val="0"/>
        <w:adjustRightInd w:val="0"/>
        <w:rPr>
          <w:i/>
          <w:lang w:val="en-AU"/>
        </w:rPr>
      </w:pPr>
      <w:r w:rsidRPr="00FA272B">
        <w:rPr>
          <w:i/>
          <w:lang w:val="en-AU"/>
        </w:rPr>
        <w:lastRenderedPageBreak/>
        <w:t>A PICU patient safety checklist: rate of utilization and impact on patient care</w:t>
      </w:r>
    </w:p>
    <w:p w:rsidR="000228D9" w:rsidRDefault="000228D9" w:rsidP="000228D9">
      <w:pPr>
        <w:keepNext/>
        <w:keepLines/>
        <w:autoSpaceDE w:val="0"/>
        <w:autoSpaceDN w:val="0"/>
        <w:adjustRightInd w:val="0"/>
        <w:rPr>
          <w:lang w:val="en-AU"/>
        </w:rPr>
      </w:pPr>
      <w:r w:rsidRPr="00FA272B">
        <w:rPr>
          <w:lang w:val="en-AU"/>
        </w:rPr>
        <w:t>Mckelvie BL, Mcnally JD, Menon K, Marchand MGR, Reddy DN, Creery WD</w:t>
      </w:r>
    </w:p>
    <w:p w:rsidR="000228D9" w:rsidRPr="005B6694" w:rsidRDefault="000228D9" w:rsidP="000228D9">
      <w:pPr>
        <w:keepNext/>
        <w:keepLines/>
        <w:autoSpaceDE w:val="0"/>
        <w:autoSpaceDN w:val="0"/>
        <w:adjustRightInd w:val="0"/>
        <w:rPr>
          <w:lang w:val="en-AU"/>
        </w:rPr>
      </w:pPr>
      <w:r w:rsidRPr="00FA272B">
        <w:rPr>
          <w:lang w:val="en-AU"/>
        </w:rPr>
        <w:t>International Journal for Quality in Health Care. 2016</w:t>
      </w:r>
      <w:r>
        <w:rPr>
          <w:lang w:val="en-AU"/>
        </w:rPr>
        <w:t xml:space="preserve"> [epub]</w:t>
      </w:r>
      <w:r w:rsidRPr="00FA272B">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228D9" w:rsidRPr="00255EF8" w:rsidTr="005C3AB2">
        <w:tc>
          <w:tcPr>
            <w:tcW w:w="1080" w:type="dxa"/>
            <w:tcBorders>
              <w:top w:val="single" w:sz="4" w:space="0" w:color="auto"/>
              <w:left w:val="single" w:sz="4" w:space="0" w:color="auto"/>
              <w:bottom w:val="single" w:sz="4" w:space="0" w:color="auto"/>
              <w:right w:val="single" w:sz="4" w:space="0" w:color="auto"/>
            </w:tcBorders>
            <w:vAlign w:val="center"/>
          </w:tcPr>
          <w:p w:rsidR="000228D9" w:rsidRPr="005B6694" w:rsidRDefault="000228D9" w:rsidP="005C3A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228D9" w:rsidRPr="004B7AA3" w:rsidRDefault="005C296E" w:rsidP="005C3AB2">
            <w:pPr>
              <w:shd w:val="clear" w:color="auto" w:fill="FFFFFF"/>
              <w:rPr>
                <w:rStyle w:val="Hyperlink"/>
                <w:color w:val="auto"/>
                <w:u w:val="none"/>
              </w:rPr>
            </w:pPr>
            <w:hyperlink r:id="rId22" w:history="1">
              <w:r w:rsidR="000228D9" w:rsidRPr="001B3E3A">
                <w:rPr>
                  <w:rStyle w:val="Hyperlink"/>
                </w:rPr>
                <w:t>http://dx.doi.org/10.1093/intqhc/mzw042</w:t>
              </w:r>
            </w:hyperlink>
          </w:p>
        </w:tc>
      </w:tr>
      <w:tr w:rsidR="000228D9" w:rsidRPr="004147BB" w:rsidTr="005C3AB2">
        <w:tc>
          <w:tcPr>
            <w:tcW w:w="1080" w:type="dxa"/>
            <w:tcBorders>
              <w:top w:val="single" w:sz="4" w:space="0" w:color="auto"/>
              <w:left w:val="single" w:sz="4" w:space="0" w:color="auto"/>
              <w:bottom w:val="single" w:sz="4" w:space="0" w:color="auto"/>
              <w:right w:val="single" w:sz="4" w:space="0" w:color="auto"/>
            </w:tcBorders>
            <w:vAlign w:val="center"/>
          </w:tcPr>
          <w:p w:rsidR="000228D9" w:rsidRPr="00255EF8" w:rsidRDefault="000228D9" w:rsidP="005C3A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54F8D" w:rsidRPr="00CE7C9C" w:rsidRDefault="00937F9B" w:rsidP="00054F8D">
            <w:pPr>
              <w:rPr>
                <w:lang w:val="en-AU" w:eastAsia="en-AU"/>
              </w:rPr>
            </w:pPr>
            <w:r>
              <w:rPr>
                <w:lang w:val="en-AU" w:eastAsia="en-AU"/>
              </w:rPr>
              <w:t xml:space="preserve">Checklists have proliferated across health care settings in recent years. This article describes the use of a patient safety focused checklist in the paediatric intensive care unit (PICU) in a Canadian children’s hospital. The checklist in question has been in use since 2007 and this study (conducted </w:t>
            </w:r>
            <w:r w:rsidRPr="00937F9B">
              <w:rPr>
                <w:lang w:val="en-AU" w:eastAsia="en-AU"/>
              </w:rPr>
              <w:t>on 28 days between September 2013 and February 2014</w:t>
            </w:r>
            <w:r>
              <w:rPr>
                <w:lang w:val="en-AU" w:eastAsia="en-AU"/>
              </w:rPr>
              <w:t xml:space="preserve">) sought to </w:t>
            </w:r>
            <w:r w:rsidRPr="00937F9B">
              <w:rPr>
                <w:lang w:val="en-AU" w:eastAsia="en-AU"/>
              </w:rPr>
              <w:t>assess compliance with checklist use and to assess how often individual checklist elements affected patient management. A secondary objective was to determine whether patient and unit factors (severity of illness, unit census, weekday vs. weekend, admitting diagnosis group) influenced checklist use.</w:t>
            </w:r>
            <w:r w:rsidR="00054F8D">
              <w:rPr>
                <w:lang w:val="en-AU" w:eastAsia="en-AU"/>
              </w:rPr>
              <w:t xml:space="preserve"> While the study only covered 148 patients it did find </w:t>
            </w:r>
            <w:r w:rsidR="00054F8D" w:rsidRPr="00054F8D">
              <w:rPr>
                <w:lang w:val="en-AU" w:eastAsia="en-AU"/>
              </w:rPr>
              <w:t xml:space="preserve">high rates of compliance </w:t>
            </w:r>
            <w:r w:rsidR="00054F8D">
              <w:rPr>
                <w:lang w:val="en-AU" w:eastAsia="en-AU"/>
              </w:rPr>
              <w:t>and that c</w:t>
            </w:r>
            <w:r w:rsidR="00054F8D" w:rsidRPr="00054F8D">
              <w:rPr>
                <w:lang w:val="en-AU" w:eastAsia="en-AU"/>
              </w:rPr>
              <w:t>hecklist use frequently resulted in a change in the patient management plan.</w:t>
            </w:r>
          </w:p>
        </w:tc>
      </w:tr>
    </w:tbl>
    <w:p w:rsidR="000E5392" w:rsidRDefault="000E5392" w:rsidP="00FA272B">
      <w:pPr>
        <w:keepNext/>
        <w:keepLines/>
        <w:autoSpaceDE w:val="0"/>
        <w:autoSpaceDN w:val="0"/>
        <w:adjustRightInd w:val="0"/>
        <w:rPr>
          <w:i/>
          <w:lang w:val="en-AU"/>
        </w:rPr>
      </w:pPr>
    </w:p>
    <w:p w:rsidR="00FA272B" w:rsidRPr="00FA272B" w:rsidRDefault="00FA272B" w:rsidP="00FA272B">
      <w:pPr>
        <w:keepNext/>
        <w:keepLines/>
        <w:autoSpaceDE w:val="0"/>
        <w:autoSpaceDN w:val="0"/>
        <w:adjustRightInd w:val="0"/>
        <w:rPr>
          <w:i/>
          <w:lang w:val="en-AU"/>
        </w:rPr>
      </w:pPr>
      <w:r w:rsidRPr="00FA272B">
        <w:rPr>
          <w:i/>
          <w:lang w:val="en-AU"/>
        </w:rPr>
        <w:t>Effect of a quality improvement intervention with daily round checklists, goal setting, and clinician prompting on mortality of critically ill patients: A randomized clinical trial</w:t>
      </w:r>
    </w:p>
    <w:p w:rsidR="00FA272B" w:rsidRDefault="00FA272B" w:rsidP="00CE7C9C">
      <w:pPr>
        <w:keepNext/>
        <w:keepLines/>
        <w:autoSpaceDE w:val="0"/>
        <w:autoSpaceDN w:val="0"/>
        <w:adjustRightInd w:val="0"/>
        <w:rPr>
          <w:lang w:val="en-AU"/>
        </w:rPr>
      </w:pPr>
      <w:r w:rsidRPr="00FA272B">
        <w:rPr>
          <w:lang w:val="en-AU"/>
        </w:rPr>
        <w:t>Writing Group for the Checklist-ICU Investigators</w:t>
      </w:r>
      <w:r>
        <w:rPr>
          <w:lang w:val="en-AU"/>
        </w:rPr>
        <w:t xml:space="preserve"> and</w:t>
      </w:r>
      <w:r w:rsidRPr="00FA272B">
        <w:rPr>
          <w:lang w:val="en-AU"/>
        </w:rPr>
        <w:t xml:space="preserve"> the Brazilian Research in Intensive Care Network (BRICNet)</w:t>
      </w:r>
    </w:p>
    <w:p w:rsidR="00CE7C9C" w:rsidRPr="005B6694" w:rsidRDefault="00FA272B" w:rsidP="00CE7C9C">
      <w:pPr>
        <w:keepNext/>
        <w:keepLines/>
        <w:autoSpaceDE w:val="0"/>
        <w:autoSpaceDN w:val="0"/>
        <w:adjustRightInd w:val="0"/>
        <w:rPr>
          <w:lang w:val="en-AU"/>
        </w:rPr>
      </w:pPr>
      <w:r w:rsidRPr="00FA272B">
        <w:rPr>
          <w:lang w:val="en-AU"/>
        </w:rPr>
        <w:t>Journal of the American Medical Association. 2016;315(14):1480-90.</w:t>
      </w:r>
    </w:p>
    <w:tbl>
      <w:tblPr>
        <w:tblStyle w:val="TableGrid"/>
        <w:tblW w:w="0" w:type="auto"/>
        <w:tblInd w:w="288" w:type="dxa"/>
        <w:tblLayout w:type="fixed"/>
        <w:tblLook w:val="01E0" w:firstRow="1" w:lastRow="1" w:firstColumn="1" w:lastColumn="1" w:noHBand="0" w:noVBand="0"/>
      </w:tblPr>
      <w:tblGrid>
        <w:gridCol w:w="1080"/>
        <w:gridCol w:w="8280"/>
      </w:tblGrid>
      <w:tr w:rsidR="00CE7C9C" w:rsidRPr="00255EF8" w:rsidTr="005C3AB2">
        <w:tc>
          <w:tcPr>
            <w:tcW w:w="1080" w:type="dxa"/>
            <w:tcBorders>
              <w:top w:val="single" w:sz="4" w:space="0" w:color="auto"/>
              <w:left w:val="single" w:sz="4" w:space="0" w:color="auto"/>
              <w:bottom w:val="single" w:sz="4" w:space="0" w:color="auto"/>
              <w:right w:val="single" w:sz="4" w:space="0" w:color="auto"/>
            </w:tcBorders>
            <w:vAlign w:val="center"/>
          </w:tcPr>
          <w:p w:rsidR="00CE7C9C" w:rsidRPr="005B6694" w:rsidRDefault="00CE7C9C" w:rsidP="005C3A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7C9C" w:rsidRPr="004B7AA3" w:rsidRDefault="005C296E" w:rsidP="005C3AB2">
            <w:pPr>
              <w:shd w:val="clear" w:color="auto" w:fill="FFFFFF"/>
              <w:rPr>
                <w:rStyle w:val="Hyperlink"/>
                <w:color w:val="auto"/>
                <w:u w:val="none"/>
              </w:rPr>
            </w:pPr>
            <w:hyperlink r:id="rId23" w:history="1">
              <w:r w:rsidR="00FA272B" w:rsidRPr="001B3E3A">
                <w:rPr>
                  <w:rStyle w:val="Hyperlink"/>
                </w:rPr>
                <w:t>http://dx.doi.org/10.1001/jama.2016.3463</w:t>
              </w:r>
            </w:hyperlink>
          </w:p>
        </w:tc>
      </w:tr>
      <w:tr w:rsidR="00CE7C9C" w:rsidRPr="004147BB" w:rsidTr="005C3AB2">
        <w:tc>
          <w:tcPr>
            <w:tcW w:w="1080" w:type="dxa"/>
            <w:tcBorders>
              <w:top w:val="single" w:sz="4" w:space="0" w:color="auto"/>
              <w:left w:val="single" w:sz="4" w:space="0" w:color="auto"/>
              <w:bottom w:val="single" w:sz="4" w:space="0" w:color="auto"/>
              <w:right w:val="single" w:sz="4" w:space="0" w:color="auto"/>
            </w:tcBorders>
            <w:vAlign w:val="center"/>
          </w:tcPr>
          <w:p w:rsidR="00CE7C9C" w:rsidRPr="00255EF8" w:rsidRDefault="00CE7C9C" w:rsidP="005C3A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7C9C" w:rsidRPr="00CE7C9C" w:rsidRDefault="00054F8D" w:rsidP="00054F8D">
            <w:pPr>
              <w:rPr>
                <w:lang w:val="en-AU" w:eastAsia="en-AU"/>
              </w:rPr>
            </w:pPr>
            <w:r>
              <w:rPr>
                <w:lang w:val="en-AU" w:eastAsia="en-AU"/>
              </w:rPr>
              <w:t xml:space="preserve">Also on the issue of checklists (and also in the ICU setting) is this much larger Brazilian study that sought to examine the impact of checklists (and other aspects of </w:t>
            </w:r>
            <w:r w:rsidRPr="00054F8D">
              <w:rPr>
                <w:lang w:val="en-AU" w:eastAsia="en-AU"/>
              </w:rPr>
              <w:t>multifaceted quality improvement intervention</w:t>
            </w:r>
            <w:r>
              <w:rPr>
                <w:lang w:val="en-AU" w:eastAsia="en-AU"/>
              </w:rPr>
              <w:t xml:space="preserve">, including </w:t>
            </w:r>
            <w:r w:rsidRPr="00054F8D">
              <w:rPr>
                <w:lang w:val="en-AU" w:eastAsia="en-AU"/>
              </w:rPr>
              <w:t>daily goal assessments, and clinician prompts</w:t>
            </w:r>
            <w:r>
              <w:rPr>
                <w:lang w:val="en-AU" w:eastAsia="en-AU"/>
              </w:rPr>
              <w:t xml:space="preserve">) on the in-hospital </w:t>
            </w:r>
            <w:r w:rsidRPr="00054F8D">
              <w:rPr>
                <w:lang w:val="en-AU" w:eastAsia="en-AU"/>
              </w:rPr>
              <w:t>mortality of critically ill adults.</w:t>
            </w:r>
            <w:r>
              <w:rPr>
                <w:lang w:val="en-AU" w:eastAsia="en-AU"/>
              </w:rPr>
              <w:t xml:space="preserve"> In this study there was “</w:t>
            </w:r>
            <w:r w:rsidRPr="00054F8D">
              <w:rPr>
                <w:lang w:val="en-AU" w:eastAsia="en-AU"/>
              </w:rPr>
              <w:t>no significant difference in in-hospital mortality between the intervention group and the usual care group, with 1096 deaths (32.9%) and 1196 deaths (34.8%), respectively (odds ratio, 1.02; 95% CI, 0.82-1.26; P = .88).</w:t>
            </w:r>
            <w:r>
              <w:rPr>
                <w:lang w:val="en-AU" w:eastAsia="en-AU"/>
              </w:rPr>
              <w:t>”</w:t>
            </w:r>
          </w:p>
        </w:tc>
      </w:tr>
    </w:tbl>
    <w:p w:rsidR="00CE7C9C" w:rsidRDefault="00CE7C9C" w:rsidP="00CE7C9C">
      <w:pPr>
        <w:rPr>
          <w:lang w:val="en-AU"/>
        </w:rPr>
      </w:pPr>
    </w:p>
    <w:p w:rsidR="008C335B" w:rsidRPr="008C335B" w:rsidRDefault="008C335B" w:rsidP="008C335B">
      <w:pPr>
        <w:keepNext/>
        <w:keepLines/>
        <w:autoSpaceDE w:val="0"/>
        <w:autoSpaceDN w:val="0"/>
        <w:adjustRightInd w:val="0"/>
        <w:rPr>
          <w:i/>
          <w:lang w:val="en-AU"/>
        </w:rPr>
      </w:pPr>
      <w:r w:rsidRPr="008C335B">
        <w:rPr>
          <w:i/>
          <w:lang w:val="en-AU"/>
        </w:rPr>
        <w:t>Medical errors: Disclosure styles, interpersonal forgiveness, and outcomes</w:t>
      </w:r>
    </w:p>
    <w:p w:rsidR="008C335B" w:rsidRDefault="008C335B" w:rsidP="00CE7C9C">
      <w:pPr>
        <w:keepNext/>
        <w:keepLines/>
        <w:autoSpaceDE w:val="0"/>
        <w:autoSpaceDN w:val="0"/>
        <w:adjustRightInd w:val="0"/>
        <w:rPr>
          <w:lang w:val="en-AU"/>
        </w:rPr>
      </w:pPr>
      <w:r w:rsidRPr="008C335B">
        <w:rPr>
          <w:lang w:val="en-AU"/>
        </w:rPr>
        <w:t>Hannawa AF, Shigemoto Y, Little TD</w:t>
      </w:r>
    </w:p>
    <w:p w:rsidR="00CE7C9C" w:rsidRPr="005B6694" w:rsidRDefault="008C335B" w:rsidP="00CE7C9C">
      <w:pPr>
        <w:keepNext/>
        <w:keepLines/>
        <w:autoSpaceDE w:val="0"/>
        <w:autoSpaceDN w:val="0"/>
        <w:adjustRightInd w:val="0"/>
        <w:rPr>
          <w:lang w:val="en-AU"/>
        </w:rPr>
      </w:pPr>
      <w:r w:rsidRPr="008C335B">
        <w:rPr>
          <w:lang w:val="en-AU"/>
        </w:rPr>
        <w:t>Social Science &amp; Medicine. 2016;156:29-38.</w:t>
      </w:r>
    </w:p>
    <w:tbl>
      <w:tblPr>
        <w:tblStyle w:val="TableGrid"/>
        <w:tblW w:w="0" w:type="auto"/>
        <w:tblInd w:w="288" w:type="dxa"/>
        <w:tblLayout w:type="fixed"/>
        <w:tblLook w:val="01E0" w:firstRow="1" w:lastRow="1" w:firstColumn="1" w:lastColumn="1" w:noHBand="0" w:noVBand="0"/>
      </w:tblPr>
      <w:tblGrid>
        <w:gridCol w:w="1080"/>
        <w:gridCol w:w="8280"/>
      </w:tblGrid>
      <w:tr w:rsidR="00CE7C9C" w:rsidRPr="00255EF8" w:rsidTr="005C3AB2">
        <w:tc>
          <w:tcPr>
            <w:tcW w:w="1080" w:type="dxa"/>
            <w:tcBorders>
              <w:top w:val="single" w:sz="4" w:space="0" w:color="auto"/>
              <w:left w:val="single" w:sz="4" w:space="0" w:color="auto"/>
              <w:bottom w:val="single" w:sz="4" w:space="0" w:color="auto"/>
              <w:right w:val="single" w:sz="4" w:space="0" w:color="auto"/>
            </w:tcBorders>
            <w:vAlign w:val="center"/>
          </w:tcPr>
          <w:p w:rsidR="00CE7C9C" w:rsidRPr="005B6694" w:rsidRDefault="00CE7C9C" w:rsidP="005C3A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7C9C" w:rsidRPr="004B7AA3" w:rsidRDefault="005C296E" w:rsidP="005C3AB2">
            <w:pPr>
              <w:shd w:val="clear" w:color="auto" w:fill="FFFFFF"/>
              <w:rPr>
                <w:rStyle w:val="Hyperlink"/>
                <w:color w:val="auto"/>
                <w:u w:val="none"/>
              </w:rPr>
            </w:pPr>
            <w:hyperlink r:id="rId24" w:history="1">
              <w:r w:rsidR="008C335B" w:rsidRPr="001B3E3A">
                <w:rPr>
                  <w:rStyle w:val="Hyperlink"/>
                </w:rPr>
                <w:t>http://dx.doi.org/10.1016/j.socscimed.2016.03.026</w:t>
              </w:r>
            </w:hyperlink>
          </w:p>
        </w:tc>
      </w:tr>
      <w:tr w:rsidR="00CE7C9C" w:rsidRPr="004147BB" w:rsidTr="005C3AB2">
        <w:tc>
          <w:tcPr>
            <w:tcW w:w="1080" w:type="dxa"/>
            <w:tcBorders>
              <w:top w:val="single" w:sz="4" w:space="0" w:color="auto"/>
              <w:left w:val="single" w:sz="4" w:space="0" w:color="auto"/>
              <w:bottom w:val="single" w:sz="4" w:space="0" w:color="auto"/>
              <w:right w:val="single" w:sz="4" w:space="0" w:color="auto"/>
            </w:tcBorders>
            <w:vAlign w:val="center"/>
          </w:tcPr>
          <w:p w:rsidR="00CE7C9C" w:rsidRPr="00255EF8" w:rsidRDefault="00CE7C9C" w:rsidP="005C3A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7C9C" w:rsidRPr="00CE7C9C" w:rsidRDefault="003D0444" w:rsidP="003D0444">
            <w:pPr>
              <w:rPr>
                <w:lang w:val="en-AU" w:eastAsia="en-AU"/>
              </w:rPr>
            </w:pPr>
            <w:r>
              <w:rPr>
                <w:lang w:val="en-AU" w:eastAsia="en-AU"/>
              </w:rPr>
              <w:t xml:space="preserve">This addition to the literature on disclosure after errors identifies the importance of non-verbal communication. This study involved 318 </w:t>
            </w:r>
            <w:r w:rsidRPr="003D0444">
              <w:rPr>
                <w:lang w:val="en-AU" w:eastAsia="en-AU"/>
              </w:rPr>
              <w:t xml:space="preserve">outpatients at </w:t>
            </w:r>
            <w:r>
              <w:rPr>
                <w:lang w:val="en-AU" w:eastAsia="en-AU"/>
              </w:rPr>
              <w:t xml:space="preserve">an America hospital of were </w:t>
            </w:r>
            <w:r w:rsidRPr="003D0444">
              <w:rPr>
                <w:lang w:val="en-AU" w:eastAsia="en-AU"/>
              </w:rPr>
              <w:t>randomly assigned to three hypothet</w:t>
            </w:r>
            <w:r>
              <w:rPr>
                <w:lang w:val="en-AU" w:eastAsia="en-AU"/>
              </w:rPr>
              <w:t xml:space="preserve">ical error disclosure vignettes and then </w:t>
            </w:r>
            <w:r w:rsidRPr="003D0444">
              <w:rPr>
                <w:lang w:val="en-AU" w:eastAsia="en-AU"/>
              </w:rPr>
              <w:t xml:space="preserve">responded to the same forgiveness-related self-report </w:t>
            </w:r>
            <w:r>
              <w:rPr>
                <w:lang w:val="en-AU" w:eastAsia="en-AU"/>
              </w:rPr>
              <w:t>survey. The authors report that “</w:t>
            </w:r>
            <w:r w:rsidRPr="003D0444">
              <w:rPr>
                <w:lang w:val="en-AU" w:eastAsia="en-AU"/>
              </w:rPr>
              <w:t>patient empathy and</w:t>
            </w:r>
            <w:r>
              <w:rPr>
                <w:lang w:val="en-AU" w:eastAsia="en-AU"/>
              </w:rPr>
              <w:t xml:space="preserve"> </w:t>
            </w:r>
            <w:r w:rsidRPr="003D0444">
              <w:rPr>
                <w:lang w:val="en-AU" w:eastAsia="en-AU"/>
              </w:rPr>
              <w:t>rumination were the strongest predictors of both patient forgiveness</w:t>
            </w:r>
            <w:r>
              <w:rPr>
                <w:lang w:val="en-AU" w:eastAsia="en-AU"/>
              </w:rPr>
              <w:t xml:space="preserve"> </w:t>
            </w:r>
            <w:r w:rsidRPr="003D0444">
              <w:rPr>
                <w:lang w:val="en-AU" w:eastAsia="en-AU"/>
              </w:rPr>
              <w:t>and non-forgiveness in the context of medical error disclosures.</w:t>
            </w:r>
            <w:r>
              <w:rPr>
                <w:lang w:val="en-AU" w:eastAsia="en-AU"/>
              </w:rPr>
              <w:t>” They also note that “\</w:t>
            </w:r>
            <w:r w:rsidRPr="003D0444">
              <w:rPr>
                <w:lang w:val="en-AU" w:eastAsia="en-AU"/>
              </w:rPr>
              <w:t>he findings also implied that physician</w:t>
            </w:r>
            <w:r>
              <w:rPr>
                <w:lang w:val="en-AU" w:eastAsia="en-AU"/>
              </w:rPr>
              <w:t xml:space="preserve"> </w:t>
            </w:r>
            <w:r w:rsidRPr="003D0444">
              <w:rPr>
                <w:lang w:val="en-AU" w:eastAsia="en-AU"/>
              </w:rPr>
              <w:t>nonverbal involvement during error disclosures stimulated a</w:t>
            </w:r>
            <w:r>
              <w:rPr>
                <w:lang w:val="en-AU" w:eastAsia="en-AU"/>
              </w:rPr>
              <w:t xml:space="preserve"> </w:t>
            </w:r>
            <w:r w:rsidRPr="003D0444">
              <w:rPr>
                <w:lang w:val="en-AU" w:eastAsia="en-AU"/>
              </w:rPr>
              <w:t>healing mechanism for patients and the physician-patient relationship.</w:t>
            </w:r>
            <w:r>
              <w:rPr>
                <w:lang w:val="en-AU" w:eastAsia="en-AU"/>
              </w:rPr>
              <w:t xml:space="preserve"> </w:t>
            </w:r>
            <w:r w:rsidRPr="003D0444">
              <w:rPr>
                <w:lang w:val="en-AU" w:eastAsia="en-AU"/>
              </w:rPr>
              <w:t>Furthermore, this study delivered some evidence that an</w:t>
            </w:r>
            <w:r>
              <w:rPr>
                <w:lang w:val="en-AU" w:eastAsia="en-AU"/>
              </w:rPr>
              <w:t xml:space="preserve"> </w:t>
            </w:r>
            <w:r w:rsidRPr="003D0444">
              <w:rPr>
                <w:lang w:val="en-AU" w:eastAsia="en-AU"/>
              </w:rPr>
              <w:t>apology may be more effectively communicated nonverbally rather</w:t>
            </w:r>
            <w:r>
              <w:rPr>
                <w:lang w:val="en-AU" w:eastAsia="en-AU"/>
              </w:rPr>
              <w:t xml:space="preserve"> </w:t>
            </w:r>
            <w:r w:rsidRPr="003D0444">
              <w:rPr>
                <w:lang w:val="en-AU" w:eastAsia="en-AU"/>
              </w:rPr>
              <w:t>than verbally. Last but not least, the results suggest that the way in</w:t>
            </w:r>
            <w:r>
              <w:rPr>
                <w:lang w:val="en-AU" w:eastAsia="en-AU"/>
              </w:rPr>
              <w:t xml:space="preserve"> </w:t>
            </w:r>
            <w:r w:rsidRPr="003D0444">
              <w:rPr>
                <w:lang w:val="en-AU" w:eastAsia="en-AU"/>
              </w:rPr>
              <w:t>which physicians communicate seems to have a substantial effect</w:t>
            </w:r>
            <w:r>
              <w:rPr>
                <w:lang w:val="en-AU" w:eastAsia="en-AU"/>
              </w:rPr>
              <w:t xml:space="preserve"> </w:t>
            </w:r>
            <w:r w:rsidRPr="003D0444">
              <w:rPr>
                <w:lang w:val="en-AU" w:eastAsia="en-AU"/>
              </w:rPr>
              <w:t>on the forgiveness process and relevant outcomes, implying that a</w:t>
            </w:r>
            <w:r>
              <w:rPr>
                <w:lang w:val="en-AU" w:eastAsia="en-AU"/>
              </w:rPr>
              <w:t xml:space="preserve"> </w:t>
            </w:r>
            <w:r w:rsidRPr="003D0444">
              <w:rPr>
                <w:lang w:val="en-AU" w:eastAsia="en-AU"/>
              </w:rPr>
              <w:t>physician who discloses a medical error in a nonverbally uninvolved</w:t>
            </w:r>
            <w:r>
              <w:rPr>
                <w:lang w:val="en-AU" w:eastAsia="en-AU"/>
              </w:rPr>
              <w:t xml:space="preserve"> </w:t>
            </w:r>
            <w:r w:rsidRPr="003D0444">
              <w:rPr>
                <w:lang w:val="en-AU" w:eastAsia="en-AU"/>
              </w:rPr>
              <w:t>way carries a higher malpractice risk and is less likely to</w:t>
            </w:r>
            <w:r>
              <w:rPr>
                <w:lang w:val="en-AU" w:eastAsia="en-AU"/>
              </w:rPr>
              <w:t xml:space="preserve"> </w:t>
            </w:r>
            <w:r w:rsidRPr="003D0444">
              <w:rPr>
                <w:lang w:val="en-AU" w:eastAsia="en-AU"/>
              </w:rPr>
              <w:t>promote healthy, reconciliatory outcomes.</w:t>
            </w:r>
            <w:r>
              <w:rPr>
                <w:lang w:val="en-AU" w:eastAsia="en-AU"/>
              </w:rPr>
              <w:t>”</w:t>
            </w:r>
          </w:p>
        </w:tc>
      </w:tr>
    </w:tbl>
    <w:p w:rsidR="00CE7C9C" w:rsidRDefault="00CE7C9C" w:rsidP="00CE7C9C">
      <w:pPr>
        <w:rPr>
          <w:lang w:val="en-AU"/>
        </w:rPr>
      </w:pPr>
    </w:p>
    <w:p w:rsidR="008C335B" w:rsidRDefault="008C335B" w:rsidP="00CE7C9C">
      <w:pPr>
        <w:rPr>
          <w:lang w:val="en-AU"/>
        </w:rPr>
      </w:pPr>
      <w:r w:rsidRPr="00EA6F18">
        <w:rPr>
          <w:lang w:val="en-AU"/>
        </w:rPr>
        <w:t>For information on the Commission’s work on</w:t>
      </w:r>
      <w:r>
        <w:rPr>
          <w:lang w:val="en-AU"/>
        </w:rPr>
        <w:t xml:space="preserve"> open disclosure, including the </w:t>
      </w:r>
      <w:r w:rsidRPr="008C335B">
        <w:rPr>
          <w:i/>
          <w:lang w:val="en-AU"/>
        </w:rPr>
        <w:t>Australian Open Disclosure Framework</w:t>
      </w:r>
      <w:r>
        <w:rPr>
          <w:lang w:val="en-AU"/>
        </w:rPr>
        <w:t xml:space="preserve">, see </w:t>
      </w:r>
      <w:hyperlink r:id="rId25" w:history="1">
        <w:r w:rsidRPr="001B3E3A">
          <w:rPr>
            <w:rStyle w:val="Hyperlink"/>
            <w:lang w:val="en-AU"/>
          </w:rPr>
          <w:t>http://www.safetyandquality.gov.au/our-work/open-disclosure/</w:t>
        </w:r>
      </w:hyperlink>
    </w:p>
    <w:p w:rsidR="00CE7C9C" w:rsidRDefault="00CE7C9C" w:rsidP="00CE7C9C">
      <w:pPr>
        <w:keepNext/>
        <w:keepLines/>
        <w:autoSpaceDE w:val="0"/>
        <w:autoSpaceDN w:val="0"/>
        <w:adjustRightInd w:val="0"/>
        <w:rPr>
          <w:lang w:val="en-AU"/>
        </w:rPr>
      </w:pPr>
    </w:p>
    <w:p w:rsidR="00024CD1" w:rsidRPr="00024CD1" w:rsidRDefault="00024CD1" w:rsidP="00024CD1">
      <w:pPr>
        <w:keepNext/>
        <w:keepLines/>
        <w:autoSpaceDE w:val="0"/>
        <w:autoSpaceDN w:val="0"/>
        <w:adjustRightInd w:val="0"/>
        <w:rPr>
          <w:i/>
          <w:lang w:val="en-AU"/>
        </w:rPr>
      </w:pPr>
      <w:r w:rsidRPr="00024CD1">
        <w:rPr>
          <w:i/>
          <w:lang w:val="en-AU"/>
        </w:rPr>
        <w:t>Integrated care to address the physical health needs of people with severe mental illness: a rapid review</w:t>
      </w:r>
    </w:p>
    <w:p w:rsidR="00024CD1" w:rsidRDefault="00024CD1" w:rsidP="00CE7C9C">
      <w:pPr>
        <w:keepNext/>
        <w:keepLines/>
        <w:autoSpaceDE w:val="0"/>
        <w:autoSpaceDN w:val="0"/>
        <w:adjustRightInd w:val="0"/>
        <w:rPr>
          <w:lang w:val="en-AU"/>
        </w:rPr>
      </w:pPr>
      <w:r w:rsidRPr="00024CD1">
        <w:rPr>
          <w:lang w:val="en-AU"/>
        </w:rPr>
        <w:t>Rodgers M, Dalton J, Harden M, Street A, Parker G, Eastwood A</w:t>
      </w:r>
    </w:p>
    <w:p w:rsidR="00CE7C9C" w:rsidRPr="005B6694" w:rsidRDefault="00024CD1" w:rsidP="00CE7C9C">
      <w:pPr>
        <w:keepNext/>
        <w:keepLines/>
        <w:autoSpaceDE w:val="0"/>
        <w:autoSpaceDN w:val="0"/>
        <w:adjustRightInd w:val="0"/>
        <w:rPr>
          <w:lang w:val="en-AU"/>
        </w:rPr>
      </w:pPr>
      <w:r w:rsidRPr="00024CD1">
        <w:rPr>
          <w:lang w:val="en-AU"/>
        </w:rPr>
        <w:t>Health Services and Delivery Research 2016;4(13).</w:t>
      </w:r>
    </w:p>
    <w:tbl>
      <w:tblPr>
        <w:tblStyle w:val="TableGrid"/>
        <w:tblW w:w="0" w:type="auto"/>
        <w:tblInd w:w="288" w:type="dxa"/>
        <w:tblLayout w:type="fixed"/>
        <w:tblLook w:val="01E0" w:firstRow="1" w:lastRow="1" w:firstColumn="1" w:lastColumn="1" w:noHBand="0" w:noVBand="0"/>
      </w:tblPr>
      <w:tblGrid>
        <w:gridCol w:w="1080"/>
        <w:gridCol w:w="8280"/>
      </w:tblGrid>
      <w:tr w:rsidR="00CE7C9C" w:rsidRPr="00255EF8" w:rsidTr="005C3AB2">
        <w:tc>
          <w:tcPr>
            <w:tcW w:w="1080" w:type="dxa"/>
            <w:tcBorders>
              <w:top w:val="single" w:sz="4" w:space="0" w:color="auto"/>
              <w:left w:val="single" w:sz="4" w:space="0" w:color="auto"/>
              <w:bottom w:val="single" w:sz="4" w:space="0" w:color="auto"/>
              <w:right w:val="single" w:sz="4" w:space="0" w:color="auto"/>
            </w:tcBorders>
            <w:vAlign w:val="center"/>
          </w:tcPr>
          <w:p w:rsidR="00CE7C9C" w:rsidRPr="005B6694" w:rsidRDefault="00CE7C9C" w:rsidP="005C3A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7C9C" w:rsidRPr="004B7AA3" w:rsidRDefault="005C296E" w:rsidP="005C3AB2">
            <w:pPr>
              <w:shd w:val="clear" w:color="auto" w:fill="FFFFFF"/>
              <w:rPr>
                <w:rStyle w:val="Hyperlink"/>
                <w:color w:val="auto"/>
                <w:u w:val="none"/>
              </w:rPr>
            </w:pPr>
            <w:hyperlink r:id="rId26" w:history="1">
              <w:r w:rsidR="00024CD1" w:rsidRPr="001B3E3A">
                <w:rPr>
                  <w:rStyle w:val="Hyperlink"/>
                </w:rPr>
                <w:t>http://dx.doi.org/10.3310/hsdr04130</w:t>
              </w:r>
            </w:hyperlink>
          </w:p>
        </w:tc>
      </w:tr>
      <w:tr w:rsidR="00CE7C9C" w:rsidRPr="004147BB" w:rsidTr="005C3AB2">
        <w:tc>
          <w:tcPr>
            <w:tcW w:w="1080" w:type="dxa"/>
            <w:tcBorders>
              <w:top w:val="single" w:sz="4" w:space="0" w:color="auto"/>
              <w:left w:val="single" w:sz="4" w:space="0" w:color="auto"/>
              <w:bottom w:val="single" w:sz="4" w:space="0" w:color="auto"/>
              <w:right w:val="single" w:sz="4" w:space="0" w:color="auto"/>
            </w:tcBorders>
            <w:vAlign w:val="center"/>
          </w:tcPr>
          <w:p w:rsidR="00CE7C9C" w:rsidRPr="00255EF8" w:rsidRDefault="00CE7C9C" w:rsidP="005C3A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1C9A" w:rsidRDefault="00054F8D" w:rsidP="00B21C9A">
            <w:pPr>
              <w:rPr>
                <w:lang w:val="en-AU" w:eastAsia="en-AU"/>
              </w:rPr>
            </w:pPr>
            <w:r>
              <w:rPr>
                <w:lang w:val="en-AU" w:eastAsia="en-AU"/>
              </w:rPr>
              <w:t xml:space="preserve">The issue of the physical health care that mental health patients receive has been something of an emerging issue and the importance of </w:t>
            </w:r>
            <w:r w:rsidR="00B21C9A">
              <w:rPr>
                <w:lang w:val="en-AU" w:eastAsia="en-AU"/>
              </w:rPr>
              <w:t xml:space="preserve">integrating the treatment of </w:t>
            </w:r>
            <w:r>
              <w:rPr>
                <w:lang w:val="en-AU" w:eastAsia="en-AU"/>
              </w:rPr>
              <w:t>mental and physical health is more widely appreciated. This rapid review (even though the full report is 160 pages)</w:t>
            </w:r>
            <w:r w:rsidR="00B21C9A">
              <w:rPr>
                <w:lang w:val="en-AU" w:eastAsia="en-AU"/>
              </w:rPr>
              <w:t xml:space="preserve"> focuse</w:t>
            </w:r>
            <w:r w:rsidR="00B21C9A" w:rsidRPr="00B21C9A">
              <w:rPr>
                <w:lang w:val="en-AU" w:eastAsia="en-AU"/>
              </w:rPr>
              <w:t xml:space="preserve">d </w:t>
            </w:r>
            <w:r w:rsidR="00B21C9A">
              <w:rPr>
                <w:lang w:val="en-AU" w:eastAsia="en-AU"/>
              </w:rPr>
              <w:t xml:space="preserve">on </w:t>
            </w:r>
            <w:r w:rsidR="00B21C9A" w:rsidRPr="00B21C9A">
              <w:rPr>
                <w:lang w:val="en-AU" w:eastAsia="en-AU"/>
              </w:rPr>
              <w:t xml:space="preserve">45 publications describing 36 separate approaches to integrated care. </w:t>
            </w:r>
            <w:r w:rsidR="00B21C9A">
              <w:rPr>
                <w:lang w:val="en-AU" w:eastAsia="en-AU"/>
              </w:rPr>
              <w:t>They report that m</w:t>
            </w:r>
            <w:r w:rsidR="00B21C9A" w:rsidRPr="00B21C9A">
              <w:rPr>
                <w:lang w:val="en-AU" w:eastAsia="en-AU"/>
              </w:rPr>
              <w:t>ost service models were multicomponent programmes incorporating two or more of the nine factors: (1) information sharing systems; (2) shared protocols; (3) joint funding</w:t>
            </w:r>
            <w:r w:rsidR="00B21C9A">
              <w:rPr>
                <w:lang w:val="en-AU" w:eastAsia="en-AU"/>
              </w:rPr>
              <w:t xml:space="preserve"> or </w:t>
            </w:r>
            <w:r w:rsidR="00B21C9A" w:rsidRPr="00B21C9A">
              <w:rPr>
                <w:lang w:val="en-AU" w:eastAsia="en-AU"/>
              </w:rPr>
              <w:t>commissioning; (4) co</w:t>
            </w:r>
            <w:r w:rsidR="00B21C9A">
              <w:rPr>
                <w:lang w:val="en-AU" w:eastAsia="en-AU"/>
              </w:rPr>
              <w:t>-</w:t>
            </w:r>
            <w:r w:rsidR="00B21C9A" w:rsidRPr="00B21C9A">
              <w:rPr>
                <w:lang w:val="en-AU" w:eastAsia="en-AU"/>
              </w:rPr>
              <w:t xml:space="preserve">located services; (5) multidisciplinary teams; (6) liaison services; (7) navigators; (8) research; and (9) reduction of stigma. </w:t>
            </w:r>
          </w:p>
          <w:p w:rsidR="00B21C9A" w:rsidRDefault="00B21C9A" w:rsidP="00B21C9A">
            <w:pPr>
              <w:rPr>
                <w:lang w:val="en-AU" w:eastAsia="en-AU"/>
              </w:rPr>
            </w:pPr>
            <w:r>
              <w:rPr>
                <w:lang w:val="en-AU" w:eastAsia="en-AU"/>
              </w:rPr>
              <w:t>However, as the authors note, “f</w:t>
            </w:r>
            <w:r w:rsidRPr="00B21C9A">
              <w:rPr>
                <w:lang w:val="en-AU" w:eastAsia="en-AU"/>
              </w:rPr>
              <w:t>ew of the identified examples were described in detail and fewer still were evaluated, raising questions about the replicability and generalisability of much of the existing evidence.</w:t>
            </w:r>
            <w:r>
              <w:rPr>
                <w:lang w:val="en-AU" w:eastAsia="en-AU"/>
              </w:rPr>
              <w:t>”</w:t>
            </w:r>
          </w:p>
          <w:p w:rsidR="00B21C9A" w:rsidRDefault="00B21C9A" w:rsidP="00B21C9A">
            <w:pPr>
              <w:rPr>
                <w:lang w:val="en-AU" w:eastAsia="en-AU"/>
              </w:rPr>
            </w:pPr>
            <w:r>
              <w:rPr>
                <w:lang w:val="en-AU" w:eastAsia="en-AU"/>
              </w:rPr>
              <w:t>They also noted some common themes did emerge. These included:</w:t>
            </w:r>
          </w:p>
          <w:p w:rsidR="00B21C9A" w:rsidRPr="00B21C9A" w:rsidRDefault="00B21C9A" w:rsidP="00B21C9A">
            <w:pPr>
              <w:pStyle w:val="ListParagraph"/>
              <w:numPr>
                <w:ilvl w:val="0"/>
                <w:numId w:val="38"/>
              </w:numPr>
              <w:rPr>
                <w:lang w:val="en-AU" w:eastAsia="en-AU"/>
              </w:rPr>
            </w:pPr>
            <w:r w:rsidRPr="00B21C9A">
              <w:rPr>
                <w:lang w:val="en-AU" w:eastAsia="en-AU"/>
              </w:rPr>
              <w:t>Efforts to improve the physical health care of people with serious mental illness should empower people (staff and service users) and help remove everyday barriers to delivering and accessing integrated care.</w:t>
            </w:r>
          </w:p>
          <w:p w:rsidR="00B21C9A" w:rsidRPr="00B21C9A" w:rsidRDefault="00B21C9A" w:rsidP="00B21C9A">
            <w:pPr>
              <w:pStyle w:val="ListParagraph"/>
              <w:numPr>
                <w:ilvl w:val="0"/>
                <w:numId w:val="38"/>
              </w:numPr>
              <w:rPr>
                <w:lang w:val="en-AU" w:eastAsia="en-AU"/>
              </w:rPr>
            </w:pPr>
            <w:r w:rsidRPr="00B21C9A">
              <w:rPr>
                <w:lang w:val="en-AU" w:eastAsia="en-AU"/>
              </w:rPr>
              <w:t>A need for improved communication between professionals and better information technology to support them</w:t>
            </w:r>
          </w:p>
          <w:p w:rsidR="00B21C9A" w:rsidRPr="00B21C9A" w:rsidRDefault="00B21C9A" w:rsidP="00B21C9A">
            <w:pPr>
              <w:pStyle w:val="ListParagraph"/>
              <w:numPr>
                <w:ilvl w:val="0"/>
                <w:numId w:val="38"/>
              </w:numPr>
              <w:rPr>
                <w:lang w:val="en-AU" w:eastAsia="en-AU"/>
              </w:rPr>
            </w:pPr>
            <w:r w:rsidRPr="00B21C9A">
              <w:rPr>
                <w:lang w:val="en-AU" w:eastAsia="en-AU"/>
              </w:rPr>
              <w:t>Greater clarity about who is responsible and accountable for physical health care</w:t>
            </w:r>
          </w:p>
          <w:p w:rsidR="00CE7C9C" w:rsidRPr="00B21C9A" w:rsidRDefault="00B21C9A" w:rsidP="00B21C9A">
            <w:pPr>
              <w:pStyle w:val="ListParagraph"/>
              <w:numPr>
                <w:ilvl w:val="0"/>
                <w:numId w:val="38"/>
              </w:numPr>
              <w:rPr>
                <w:lang w:val="en-AU" w:eastAsia="en-AU"/>
              </w:rPr>
            </w:pPr>
            <w:r w:rsidRPr="00B21C9A">
              <w:rPr>
                <w:lang w:val="en-AU" w:eastAsia="en-AU"/>
              </w:rPr>
              <w:t>Awareness of the effects of stigmatisation on the wider culture and environment in which services are delivered.</w:t>
            </w:r>
          </w:p>
        </w:tc>
      </w:tr>
    </w:tbl>
    <w:p w:rsidR="00CE7C9C" w:rsidRDefault="00CE7C9C" w:rsidP="00CE7C9C">
      <w:pPr>
        <w:rPr>
          <w:lang w:val="en-AU"/>
        </w:rPr>
      </w:pPr>
    </w:p>
    <w:p w:rsidR="00FD2D5B" w:rsidRPr="00024CD1" w:rsidRDefault="00FD2D5B" w:rsidP="00FD2D5B">
      <w:pPr>
        <w:keepNext/>
        <w:keepLines/>
        <w:autoSpaceDE w:val="0"/>
        <w:autoSpaceDN w:val="0"/>
        <w:adjustRightInd w:val="0"/>
        <w:rPr>
          <w:i/>
          <w:lang w:val="en-AU"/>
        </w:rPr>
      </w:pPr>
      <w:r w:rsidRPr="00024CD1">
        <w:rPr>
          <w:i/>
          <w:lang w:val="en-AU"/>
        </w:rPr>
        <w:t>Primary care services located with EDs: a review of effectiveness</w:t>
      </w:r>
    </w:p>
    <w:p w:rsidR="00FD2D5B" w:rsidRDefault="00FD2D5B" w:rsidP="00FD2D5B">
      <w:pPr>
        <w:keepNext/>
        <w:keepLines/>
        <w:autoSpaceDE w:val="0"/>
        <w:autoSpaceDN w:val="0"/>
        <w:adjustRightInd w:val="0"/>
        <w:rPr>
          <w:lang w:val="en-AU"/>
        </w:rPr>
      </w:pPr>
      <w:r w:rsidRPr="00024CD1">
        <w:rPr>
          <w:lang w:val="en-AU"/>
        </w:rPr>
        <w:t>Ramlakhan S, Mason S, O'Keeffe C, Ramtahal A, Ablard S</w:t>
      </w:r>
    </w:p>
    <w:p w:rsidR="00FD2D5B" w:rsidRPr="005B6694" w:rsidRDefault="00FD2D5B" w:rsidP="00FD2D5B">
      <w:pPr>
        <w:keepNext/>
        <w:keepLines/>
        <w:autoSpaceDE w:val="0"/>
        <w:autoSpaceDN w:val="0"/>
        <w:adjustRightInd w:val="0"/>
        <w:rPr>
          <w:lang w:val="en-AU"/>
        </w:rPr>
      </w:pPr>
      <w:r w:rsidRPr="00024CD1">
        <w:rPr>
          <w:lang w:val="en-AU"/>
        </w:rPr>
        <w:t>Emergency Medicine Journal. 2016</w:t>
      </w:r>
      <w:r>
        <w:rPr>
          <w:lang w:val="en-AU"/>
        </w:rPr>
        <w:t xml:space="preserve"> [epub]</w:t>
      </w:r>
      <w:r w:rsidRPr="00024CD1">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D2D5B" w:rsidRPr="00255EF8" w:rsidTr="005C3AB2">
        <w:tc>
          <w:tcPr>
            <w:tcW w:w="1080" w:type="dxa"/>
            <w:tcBorders>
              <w:top w:val="single" w:sz="4" w:space="0" w:color="auto"/>
              <w:left w:val="single" w:sz="4" w:space="0" w:color="auto"/>
              <w:bottom w:val="single" w:sz="4" w:space="0" w:color="auto"/>
              <w:right w:val="single" w:sz="4" w:space="0" w:color="auto"/>
            </w:tcBorders>
            <w:vAlign w:val="center"/>
          </w:tcPr>
          <w:p w:rsidR="00FD2D5B" w:rsidRPr="005B6694" w:rsidRDefault="00FD2D5B" w:rsidP="005C3A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D2D5B" w:rsidRPr="004B7AA3" w:rsidRDefault="005C296E" w:rsidP="005C3AB2">
            <w:pPr>
              <w:shd w:val="clear" w:color="auto" w:fill="FFFFFF"/>
              <w:rPr>
                <w:rStyle w:val="Hyperlink"/>
                <w:color w:val="auto"/>
                <w:u w:val="none"/>
              </w:rPr>
            </w:pPr>
            <w:hyperlink r:id="rId27" w:history="1">
              <w:r w:rsidR="00FD2D5B" w:rsidRPr="001B3E3A">
                <w:rPr>
                  <w:rStyle w:val="Hyperlink"/>
                </w:rPr>
                <w:t>http://dx.doi.org/10.1136/emermed-2015-204900</w:t>
              </w:r>
            </w:hyperlink>
          </w:p>
        </w:tc>
      </w:tr>
      <w:tr w:rsidR="00FD2D5B" w:rsidRPr="004147BB" w:rsidTr="005C3AB2">
        <w:tc>
          <w:tcPr>
            <w:tcW w:w="1080" w:type="dxa"/>
            <w:tcBorders>
              <w:top w:val="single" w:sz="4" w:space="0" w:color="auto"/>
              <w:left w:val="single" w:sz="4" w:space="0" w:color="auto"/>
              <w:bottom w:val="single" w:sz="4" w:space="0" w:color="auto"/>
              <w:right w:val="single" w:sz="4" w:space="0" w:color="auto"/>
            </w:tcBorders>
            <w:vAlign w:val="center"/>
          </w:tcPr>
          <w:p w:rsidR="00FD2D5B" w:rsidRPr="00255EF8" w:rsidRDefault="00FD2D5B" w:rsidP="005C3A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2D5B" w:rsidRPr="00CE7C9C" w:rsidRDefault="00FD2D5B" w:rsidP="005C3AB2">
            <w:pPr>
              <w:rPr>
                <w:lang w:val="en-AU" w:eastAsia="en-AU"/>
              </w:rPr>
            </w:pPr>
            <w:r>
              <w:rPr>
                <w:lang w:val="en-AU" w:eastAsia="en-AU"/>
              </w:rPr>
              <w:t>There has been interest in how to reduce potentially preventable hospitalisations and presentations to emergency departments (ED) that could be more effectively (and efficiently and cost-effectively) treated in the primary practice. One line of thinking has been to establish primary care services within hospital grounds – often located close to or within the ED. This literature review focused on 20 studies to examine the “</w:t>
            </w:r>
            <w:r w:rsidRPr="000228D9">
              <w:rPr>
                <w:lang w:val="en-AU" w:eastAsia="en-AU"/>
              </w:rPr>
              <w:t>impact of general practitioner (GP) delivered, hospital-based (adjacent or within the ED) unscheduled care services on process outcomes, cost-effectiveness and patient satisfaction.</w:t>
            </w:r>
            <w:r>
              <w:rPr>
                <w:lang w:val="en-AU" w:eastAsia="en-AU"/>
              </w:rPr>
              <w:t>” The findings included “</w:t>
            </w:r>
            <w:r w:rsidRPr="00FD2D5B">
              <w:rPr>
                <w:lang w:val="en-AU" w:eastAsia="en-AU"/>
              </w:rPr>
              <w:t xml:space="preserve">A paradoxical increase in attendances </w:t>
            </w:r>
            <w:r>
              <w:rPr>
                <w:lang w:val="en-AU" w:eastAsia="en-AU"/>
              </w:rPr>
              <w:t>…</w:t>
            </w:r>
            <w:r w:rsidRPr="00FD2D5B">
              <w:rPr>
                <w:lang w:val="en-AU" w:eastAsia="en-AU"/>
              </w:rPr>
              <w:t>and the evidence for improved throughput is poor. Marginal savings may be realised per patient, but this is likely to be overshadowed by the overall cost of introducing a new service.</w:t>
            </w:r>
            <w:r>
              <w:rPr>
                <w:lang w:val="en-AU" w:eastAsia="en-AU"/>
              </w:rPr>
              <w:t>” These led to the conclusion that to date  “</w:t>
            </w:r>
            <w:r w:rsidRPr="00FD2D5B">
              <w:rPr>
                <w:lang w:val="en-AU" w:eastAsia="en-AU"/>
              </w:rPr>
              <w:t xml:space="preserve">There is little evidence to support the implementation of co-located UCC </w:t>
            </w:r>
            <w:r>
              <w:rPr>
                <w:lang w:val="en-AU" w:eastAsia="en-AU"/>
              </w:rPr>
              <w:t>[</w:t>
            </w:r>
            <w:r w:rsidRPr="00FD2D5B">
              <w:rPr>
                <w:lang w:val="en-AU" w:eastAsia="en-AU"/>
              </w:rPr>
              <w:t>unscheduled care centres</w:t>
            </w:r>
            <w:r>
              <w:rPr>
                <w:lang w:val="en-AU" w:eastAsia="en-AU"/>
              </w:rPr>
              <w:t xml:space="preserve">] </w:t>
            </w:r>
            <w:r w:rsidRPr="00FD2D5B">
              <w:rPr>
                <w:lang w:val="en-AU" w:eastAsia="en-AU"/>
              </w:rPr>
              <w:t>models.</w:t>
            </w:r>
            <w:r>
              <w:rPr>
                <w:lang w:val="en-AU" w:eastAsia="en-AU"/>
              </w:rPr>
              <w:t>”</w:t>
            </w:r>
          </w:p>
        </w:tc>
      </w:tr>
    </w:tbl>
    <w:p w:rsidR="00FD2D5B" w:rsidRDefault="00FD2D5B" w:rsidP="00FD2D5B">
      <w:pPr>
        <w:rPr>
          <w:lang w:val="en-AU"/>
        </w:rPr>
      </w:pPr>
    </w:p>
    <w:p w:rsidR="000E5392" w:rsidRPr="00FA272B" w:rsidRDefault="000E5392" w:rsidP="000E5392">
      <w:pPr>
        <w:keepNext/>
        <w:keepLines/>
        <w:autoSpaceDE w:val="0"/>
        <w:autoSpaceDN w:val="0"/>
        <w:adjustRightInd w:val="0"/>
        <w:rPr>
          <w:i/>
          <w:lang w:val="en-AU"/>
        </w:rPr>
      </w:pPr>
      <w:r w:rsidRPr="00FA272B">
        <w:rPr>
          <w:i/>
          <w:lang w:val="en-AU"/>
        </w:rPr>
        <w:lastRenderedPageBreak/>
        <w:t>A scoping review of online repositories of quality improvement projects, interventions and initiatives in healthcare</w:t>
      </w:r>
    </w:p>
    <w:p w:rsidR="000E5392" w:rsidRDefault="000E5392" w:rsidP="000E5392">
      <w:pPr>
        <w:keepNext/>
        <w:keepLines/>
        <w:autoSpaceDE w:val="0"/>
        <w:autoSpaceDN w:val="0"/>
        <w:adjustRightInd w:val="0"/>
        <w:rPr>
          <w:lang w:val="en-AU"/>
        </w:rPr>
      </w:pPr>
      <w:r w:rsidRPr="00FA272B">
        <w:rPr>
          <w:lang w:val="en-AU"/>
        </w:rPr>
        <w:t>Bytautas JP, Gheihman G, Dobrow MJ</w:t>
      </w:r>
    </w:p>
    <w:p w:rsidR="000E5392" w:rsidRPr="005B6694" w:rsidRDefault="000E5392" w:rsidP="000E5392">
      <w:pPr>
        <w:keepNext/>
        <w:keepLines/>
        <w:autoSpaceDE w:val="0"/>
        <w:autoSpaceDN w:val="0"/>
        <w:adjustRightInd w:val="0"/>
        <w:rPr>
          <w:lang w:val="en-AU"/>
        </w:rPr>
      </w:pPr>
      <w:r w:rsidRPr="00FA272B">
        <w:rPr>
          <w:lang w:val="en-AU"/>
        </w:rPr>
        <w:t>BMJ Quality &amp; Safety. 2016</w:t>
      </w:r>
      <w:r>
        <w:rPr>
          <w:lang w:val="en-AU"/>
        </w:rPr>
        <w:t xml:space="preserve"> [epub]</w:t>
      </w:r>
      <w:r w:rsidRPr="00FA272B">
        <w:rPr>
          <w:lang w:val="en-AU"/>
        </w:rPr>
        <w:t>.</w:t>
      </w:r>
    </w:p>
    <w:tbl>
      <w:tblPr>
        <w:tblStyle w:val="TableGrid"/>
        <w:tblW w:w="0" w:type="auto"/>
        <w:tblInd w:w="288" w:type="dxa"/>
        <w:tblLook w:val="01E0" w:firstRow="1" w:lastRow="1" w:firstColumn="1" w:lastColumn="1" w:noHBand="0" w:noVBand="0"/>
      </w:tblPr>
      <w:tblGrid>
        <w:gridCol w:w="1080"/>
        <w:gridCol w:w="8280"/>
      </w:tblGrid>
      <w:tr w:rsidR="000E5392" w:rsidRPr="00255EF8" w:rsidTr="0070442D">
        <w:tc>
          <w:tcPr>
            <w:tcW w:w="1080" w:type="dxa"/>
            <w:tcBorders>
              <w:top w:val="single" w:sz="4" w:space="0" w:color="auto"/>
              <w:left w:val="single" w:sz="4" w:space="0" w:color="auto"/>
              <w:bottom w:val="single" w:sz="4" w:space="0" w:color="auto"/>
              <w:right w:val="single" w:sz="4" w:space="0" w:color="auto"/>
            </w:tcBorders>
            <w:vAlign w:val="center"/>
          </w:tcPr>
          <w:p w:rsidR="000E5392" w:rsidRPr="005B6694" w:rsidRDefault="000E5392" w:rsidP="0070442D">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E5392" w:rsidRPr="004B7AA3" w:rsidRDefault="000E5392" w:rsidP="0070442D">
            <w:pPr>
              <w:shd w:val="clear" w:color="auto" w:fill="FFFFFF"/>
              <w:rPr>
                <w:rStyle w:val="Hyperlink"/>
                <w:color w:val="auto"/>
                <w:u w:val="none"/>
              </w:rPr>
            </w:pPr>
            <w:hyperlink r:id="rId28" w:history="1">
              <w:r w:rsidRPr="001B3E3A">
                <w:rPr>
                  <w:rStyle w:val="Hyperlink"/>
                </w:rPr>
                <w:t>http://dx.doi.org/10.1136/bmjqs-2015-005092</w:t>
              </w:r>
            </w:hyperlink>
          </w:p>
        </w:tc>
      </w:tr>
      <w:tr w:rsidR="000E5392" w:rsidRPr="004147BB" w:rsidTr="0070442D">
        <w:tc>
          <w:tcPr>
            <w:tcW w:w="1080" w:type="dxa"/>
            <w:tcBorders>
              <w:top w:val="single" w:sz="4" w:space="0" w:color="auto"/>
              <w:left w:val="single" w:sz="4" w:space="0" w:color="auto"/>
              <w:bottom w:val="single" w:sz="4" w:space="0" w:color="auto"/>
              <w:right w:val="single" w:sz="4" w:space="0" w:color="auto"/>
            </w:tcBorders>
            <w:vAlign w:val="center"/>
          </w:tcPr>
          <w:p w:rsidR="000E5392" w:rsidRPr="00255EF8" w:rsidRDefault="000E5392" w:rsidP="0070442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E5392" w:rsidRDefault="000E5392" w:rsidP="0070442D">
            <w:pPr>
              <w:rPr>
                <w:lang w:val="en-AU" w:eastAsia="en-AU"/>
              </w:rPr>
            </w:pPr>
            <w:r>
              <w:rPr>
                <w:lang w:val="en-AU" w:eastAsia="en-AU"/>
              </w:rPr>
              <w:t xml:space="preserve">Quality improvement (QI) activities occur widely across health care. Much of this activity goes unreported. There are a number of sites/repositories that do allow QI activities to be reported on and searched (such as BMJ Quality Improvement Reports at </w:t>
            </w:r>
            <w:hyperlink r:id="rId29" w:history="1">
              <w:r w:rsidRPr="001B3E3A">
                <w:rPr>
                  <w:rStyle w:val="Hyperlink"/>
                  <w:lang w:val="en-AU" w:eastAsia="en-AU"/>
                </w:rPr>
                <w:t>http://qir.bmj.com/</w:t>
              </w:r>
            </w:hyperlink>
            <w:r>
              <w:rPr>
                <w:lang w:val="en-AU" w:eastAsia="en-AU"/>
              </w:rPr>
              <w:t xml:space="preserve">). This article reports on a review of 13 </w:t>
            </w:r>
            <w:r w:rsidRPr="004327B2">
              <w:rPr>
                <w:lang w:val="en-AU" w:eastAsia="en-AU"/>
              </w:rPr>
              <w:t>publicly available, web-based QI repositories</w:t>
            </w:r>
            <w:r>
              <w:rPr>
                <w:lang w:val="en-AU" w:eastAsia="en-AU"/>
              </w:rPr>
              <w:t>. The authors report that the 13 sites “</w:t>
            </w:r>
            <w:r w:rsidRPr="004327B2">
              <w:rPr>
                <w:lang w:val="en-AU" w:eastAsia="en-AU"/>
              </w:rPr>
              <w:t>used different</w:t>
            </w:r>
            <w:r>
              <w:rPr>
                <w:lang w:val="en-AU" w:eastAsia="en-AU"/>
              </w:rPr>
              <w:t xml:space="preserve"> </w:t>
            </w:r>
            <w:r w:rsidRPr="004327B2">
              <w:rPr>
                <w:lang w:val="en-AU" w:eastAsia="en-AU"/>
              </w:rPr>
              <w:t>terminology (eg, practices vs case studies) and</w:t>
            </w:r>
            <w:r>
              <w:rPr>
                <w:lang w:val="en-AU" w:eastAsia="en-AU"/>
              </w:rPr>
              <w:t xml:space="preserve"> </w:t>
            </w:r>
            <w:r w:rsidRPr="004327B2">
              <w:rPr>
                <w:lang w:val="en-AU" w:eastAsia="en-AU"/>
              </w:rPr>
              <w:t>approaches to content acquisition, and varied in</w:t>
            </w:r>
            <w:r>
              <w:rPr>
                <w:lang w:val="en-AU" w:eastAsia="en-AU"/>
              </w:rPr>
              <w:t xml:space="preserve"> </w:t>
            </w:r>
            <w:r w:rsidRPr="004327B2">
              <w:rPr>
                <w:lang w:val="en-AU" w:eastAsia="en-AU"/>
              </w:rPr>
              <w:t>terms of primary areas of focus. All provided</w:t>
            </w:r>
            <w:r>
              <w:rPr>
                <w:lang w:val="en-AU" w:eastAsia="en-AU"/>
              </w:rPr>
              <w:t xml:space="preserve"> </w:t>
            </w:r>
            <w:r w:rsidRPr="004327B2">
              <w:rPr>
                <w:lang w:val="en-AU" w:eastAsia="en-AU"/>
              </w:rPr>
              <w:t>some means for organising content according to</w:t>
            </w:r>
            <w:r>
              <w:rPr>
                <w:lang w:val="en-AU" w:eastAsia="en-AU"/>
              </w:rPr>
              <w:t xml:space="preserve"> </w:t>
            </w:r>
            <w:r w:rsidRPr="004327B2">
              <w:rPr>
                <w:lang w:val="en-AU" w:eastAsia="en-AU"/>
              </w:rPr>
              <w:t>categories or themes and most provided at least</w:t>
            </w:r>
            <w:r>
              <w:rPr>
                <w:lang w:val="en-AU" w:eastAsia="en-AU"/>
              </w:rPr>
              <w:t xml:space="preserve"> </w:t>
            </w:r>
            <w:r w:rsidRPr="004327B2">
              <w:rPr>
                <w:lang w:val="en-AU" w:eastAsia="en-AU"/>
              </w:rPr>
              <w:t>rudimentary keyword search functionality.</w:t>
            </w:r>
            <w:r>
              <w:rPr>
                <w:lang w:val="en-AU" w:eastAsia="en-AU"/>
              </w:rPr>
              <w:t xml:space="preserve"> </w:t>
            </w:r>
            <w:r w:rsidRPr="004327B2">
              <w:rPr>
                <w:lang w:val="en-AU" w:eastAsia="en-AU"/>
              </w:rPr>
              <w:t>Notably, none of the QI repositories included</w:t>
            </w:r>
            <w:r>
              <w:rPr>
                <w:lang w:val="en-AU" w:eastAsia="en-AU"/>
              </w:rPr>
              <w:t xml:space="preserve"> </w:t>
            </w:r>
            <w:r w:rsidRPr="004327B2">
              <w:rPr>
                <w:lang w:val="en-AU" w:eastAsia="en-AU"/>
              </w:rPr>
              <w:t>evaluations of their impact.</w:t>
            </w:r>
            <w:r>
              <w:rPr>
                <w:lang w:val="en-AU" w:eastAsia="en-AU"/>
              </w:rPr>
              <w:t>”</w:t>
            </w:r>
          </w:p>
          <w:p w:rsidR="000E5392" w:rsidRPr="004327B2" w:rsidRDefault="000E5392" w:rsidP="0070442D">
            <w:pPr>
              <w:spacing w:before="30" w:line="336" w:lineRule="atLeast"/>
              <w:textAlignment w:val="baseline"/>
              <w:rPr>
                <w:rFonts w:ascii="Arial" w:hAnsi="Arial" w:cs="Arial"/>
                <w:color w:val="333333"/>
                <w:sz w:val="18"/>
                <w:szCs w:val="18"/>
                <w:lang w:val="en-AU" w:eastAsia="en-AU"/>
              </w:rPr>
            </w:pPr>
            <w:r w:rsidRPr="004327B2">
              <w:rPr>
                <w:rFonts w:ascii="Arial" w:hAnsi="Arial" w:cs="Arial"/>
                <w:color w:val="333333"/>
                <w:sz w:val="18"/>
                <w:szCs w:val="18"/>
                <w:lang w:val="en-AU" w:eastAsia="en-AU"/>
              </w:rPr>
              <w:t>Summary of included quality improvement (QI) repositories</w:t>
            </w:r>
          </w:p>
          <w:tbl>
            <w:tblPr>
              <w:tblW w:w="5000" w:type="pct"/>
              <w:tblBorders>
                <w:top w:val="single" w:sz="6" w:space="0" w:color="C0C0C0"/>
                <w:left w:val="single" w:sz="12" w:space="0" w:color="C0C0C0"/>
                <w:bottom w:val="single" w:sz="12" w:space="0" w:color="C0C0C0"/>
                <w:right w:val="single" w:sz="12" w:space="0" w:color="C0C0C0"/>
              </w:tblBorders>
              <w:tblCellMar>
                <w:left w:w="0" w:type="dxa"/>
                <w:right w:w="0" w:type="dxa"/>
              </w:tblCellMar>
              <w:tblLook w:val="04A0" w:firstRow="1" w:lastRow="0" w:firstColumn="1" w:lastColumn="0" w:noHBand="0" w:noVBand="1"/>
            </w:tblPr>
            <w:tblGrid>
              <w:gridCol w:w="2392"/>
              <w:gridCol w:w="3325"/>
              <w:gridCol w:w="982"/>
              <w:gridCol w:w="1349"/>
            </w:tblGrid>
            <w:tr w:rsidR="000E5392" w:rsidRPr="004327B2" w:rsidTr="0070442D">
              <w:trPr>
                <w:tblHeader/>
              </w:trPr>
              <w:tc>
                <w:tcPr>
                  <w:tcW w:w="1486" w:type="pct"/>
                  <w:tcBorders>
                    <w:top w:val="single" w:sz="6" w:space="0" w:color="C0C0C0"/>
                    <w:left w:val="single" w:sz="6" w:space="0" w:color="E8E8E8"/>
                    <w:bottom w:val="single" w:sz="12"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b/>
                      <w:bCs/>
                      <w:color w:val="333333"/>
                      <w:sz w:val="15"/>
                      <w:szCs w:val="15"/>
                      <w:lang w:val="en-AU" w:eastAsia="en-AU"/>
                    </w:rPr>
                  </w:pPr>
                  <w:r w:rsidRPr="004327B2">
                    <w:rPr>
                      <w:rFonts w:ascii="Arial" w:hAnsi="Arial" w:cs="Arial"/>
                      <w:b/>
                      <w:bCs/>
                      <w:color w:val="333333"/>
                      <w:sz w:val="15"/>
                      <w:szCs w:val="15"/>
                      <w:lang w:val="en-AU" w:eastAsia="en-AU"/>
                    </w:rPr>
                    <w:t>Host organisation</w:t>
                  </w:r>
                </w:p>
              </w:tc>
              <w:tc>
                <w:tcPr>
                  <w:tcW w:w="2066" w:type="pct"/>
                  <w:tcBorders>
                    <w:top w:val="single" w:sz="6" w:space="0" w:color="C0C0C0"/>
                    <w:left w:val="single" w:sz="6" w:space="0" w:color="E8E8E8"/>
                    <w:bottom w:val="single" w:sz="12"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b/>
                      <w:bCs/>
                      <w:color w:val="333333"/>
                      <w:sz w:val="15"/>
                      <w:szCs w:val="15"/>
                      <w:lang w:val="en-AU" w:eastAsia="en-AU"/>
                    </w:rPr>
                  </w:pPr>
                  <w:r w:rsidRPr="004327B2">
                    <w:rPr>
                      <w:rFonts w:ascii="Arial" w:hAnsi="Arial" w:cs="Arial"/>
                      <w:b/>
                      <w:bCs/>
                      <w:color w:val="333333"/>
                      <w:sz w:val="15"/>
                      <w:szCs w:val="15"/>
                      <w:lang w:val="en-AU" w:eastAsia="en-AU"/>
                    </w:rPr>
                    <w:t>Name of QI repository</w:t>
                  </w:r>
                </w:p>
              </w:tc>
              <w:tc>
                <w:tcPr>
                  <w:tcW w:w="610" w:type="pct"/>
                  <w:tcBorders>
                    <w:top w:val="single" w:sz="6" w:space="0" w:color="C0C0C0"/>
                    <w:left w:val="single" w:sz="6" w:space="0" w:color="E8E8E8"/>
                    <w:bottom w:val="single" w:sz="12"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b/>
                      <w:bCs/>
                      <w:color w:val="333333"/>
                      <w:sz w:val="15"/>
                      <w:szCs w:val="15"/>
                      <w:lang w:val="en-AU" w:eastAsia="en-AU"/>
                    </w:rPr>
                  </w:pPr>
                  <w:r w:rsidRPr="004327B2">
                    <w:rPr>
                      <w:rFonts w:ascii="Arial" w:hAnsi="Arial" w:cs="Arial"/>
                      <w:b/>
                      <w:bCs/>
                      <w:color w:val="333333"/>
                      <w:sz w:val="15"/>
                      <w:szCs w:val="15"/>
                      <w:lang w:val="en-AU" w:eastAsia="en-AU"/>
                    </w:rPr>
                    <w:t>Country of origin</w:t>
                  </w:r>
                </w:p>
              </w:tc>
              <w:tc>
                <w:tcPr>
                  <w:tcW w:w="838" w:type="pct"/>
                  <w:tcBorders>
                    <w:top w:val="single" w:sz="6" w:space="0" w:color="C0C0C0"/>
                    <w:left w:val="single" w:sz="6" w:space="0" w:color="E8E8E8"/>
                    <w:bottom w:val="single" w:sz="12"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b/>
                      <w:bCs/>
                      <w:color w:val="333333"/>
                      <w:sz w:val="15"/>
                      <w:szCs w:val="15"/>
                      <w:lang w:val="en-AU" w:eastAsia="en-AU"/>
                    </w:rPr>
                  </w:pPr>
                  <w:r w:rsidRPr="004327B2">
                    <w:rPr>
                      <w:rFonts w:ascii="Arial" w:hAnsi="Arial" w:cs="Arial"/>
                      <w:b/>
                      <w:bCs/>
                      <w:color w:val="333333"/>
                      <w:sz w:val="15"/>
                      <w:szCs w:val="15"/>
                      <w:lang w:val="en-AU" w:eastAsia="en-AU"/>
                    </w:rPr>
                    <w:t>No. of included practices</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AcademyHealth</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Electronic Data Methods Forum</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USA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255</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Accreditation Canada</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Leading Practices Database</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Canada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1033</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Canadian Foundation for Healthcare Improvement</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Patient Engagement Resource Hub</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Canada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105</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Canadian HHR Network</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HHR Innovations Portal</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Canada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52</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Healthcare Improvement Scotland</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Positive and Innovative Resources: A Mental Health Interactive Database</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UK</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100</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Healthy Mendocino</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Promising Practices</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USA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2178</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IDEAS</w:t>
                  </w:r>
                  <w:r>
                    <w:rPr>
                      <w:rFonts w:ascii="Arial" w:hAnsi="Arial" w:cs="Arial"/>
                      <w:color w:val="333333"/>
                      <w:sz w:val="15"/>
                      <w:szCs w:val="15"/>
                      <w:lang w:val="en-AU" w:eastAsia="en-AU"/>
                    </w:rPr>
                    <w:t xml:space="preserve"> (</w:t>
                  </w:r>
                  <w:r w:rsidRPr="004327B2">
                    <w:rPr>
                      <w:rFonts w:ascii="Arial" w:hAnsi="Arial" w:cs="Arial"/>
                      <w:color w:val="333333"/>
                      <w:sz w:val="15"/>
                      <w:szCs w:val="15"/>
                      <w:lang w:val="en-AU" w:eastAsia="en-AU"/>
                    </w:rPr>
                    <w:t>Improving and Driving Excellence Across Sectors;</w:t>
                  </w:r>
                  <w:r>
                    <w:rPr>
                      <w:rFonts w:ascii="Arial" w:hAnsi="Arial" w:cs="Arial"/>
                      <w:color w:val="333333"/>
                      <w:sz w:val="15"/>
                      <w:szCs w:val="15"/>
                      <w:lang w:val="en-AU" w:eastAsia="en-AU"/>
                    </w:rPr>
                    <w:t>)</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ShareIDEAS: Health Care Quality Improvement Project Repository</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Canada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56</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Institute for Healthcare Improvement</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Institute for Healthcare Improvement Resources</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USA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446</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NHS Improving Quality</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Resource Search&gt;Case Studies</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UK</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60</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NHS Scotland</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Quality Improvement Hub&gt;Case Studies</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UK</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114</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The Commonwealth Fund</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The Commonwealth Fund Case Studies</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USA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103</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The Health Foundation</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The Health Foundation: Browse Projects and Fellows</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UK</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262</w:t>
                  </w:r>
                </w:p>
              </w:tc>
            </w:tr>
            <w:tr w:rsidR="000E5392" w:rsidRPr="004327B2" w:rsidTr="0070442D">
              <w:tc>
                <w:tcPr>
                  <w:tcW w:w="148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US Agency for Healthcare Research and Quality</w:t>
                  </w:r>
                </w:p>
              </w:tc>
              <w:tc>
                <w:tcPr>
                  <w:tcW w:w="2066"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Health Care Innovations Exchange</w:t>
                  </w:r>
                </w:p>
              </w:tc>
              <w:tc>
                <w:tcPr>
                  <w:tcW w:w="610"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USA</w:t>
                  </w:r>
                </w:p>
              </w:tc>
              <w:tc>
                <w:tcPr>
                  <w:tcW w:w="838" w:type="pct"/>
                  <w:tcBorders>
                    <w:bottom w:val="single" w:sz="6" w:space="0" w:color="C0C0C0"/>
                    <w:right w:val="single" w:sz="6" w:space="0" w:color="E8E8E8"/>
                  </w:tcBorders>
                  <w:shd w:val="clear" w:color="auto" w:fill="auto"/>
                  <w:tcMar>
                    <w:top w:w="30" w:type="dxa"/>
                    <w:left w:w="60" w:type="dxa"/>
                    <w:bottom w:w="30" w:type="dxa"/>
                    <w:right w:w="60" w:type="dxa"/>
                  </w:tcMar>
                  <w:vAlign w:val="bottom"/>
                  <w:hideMark/>
                </w:tcPr>
                <w:p w:rsidR="000E5392" w:rsidRPr="004327B2" w:rsidRDefault="000E5392" w:rsidP="0070442D">
                  <w:pPr>
                    <w:spacing w:line="195" w:lineRule="atLeast"/>
                    <w:rPr>
                      <w:rFonts w:ascii="Arial" w:hAnsi="Arial" w:cs="Arial"/>
                      <w:color w:val="333333"/>
                      <w:sz w:val="15"/>
                      <w:szCs w:val="15"/>
                      <w:lang w:val="en-AU" w:eastAsia="en-AU"/>
                    </w:rPr>
                  </w:pPr>
                  <w:r w:rsidRPr="004327B2">
                    <w:rPr>
                      <w:rFonts w:ascii="Arial" w:hAnsi="Arial" w:cs="Arial"/>
                      <w:color w:val="333333"/>
                      <w:sz w:val="15"/>
                      <w:szCs w:val="15"/>
                      <w:lang w:val="en-AU" w:eastAsia="en-AU"/>
                    </w:rPr>
                    <w:t>919</w:t>
                  </w:r>
                </w:p>
              </w:tc>
            </w:tr>
          </w:tbl>
          <w:p w:rsidR="000E5392" w:rsidRPr="00CE7C9C" w:rsidRDefault="000E5392" w:rsidP="0070442D">
            <w:pPr>
              <w:spacing w:before="30" w:after="225" w:line="336" w:lineRule="atLeast"/>
              <w:textAlignment w:val="baseline"/>
              <w:rPr>
                <w:lang w:val="en-AU" w:eastAsia="en-AU"/>
              </w:rPr>
            </w:pPr>
          </w:p>
        </w:tc>
      </w:tr>
    </w:tbl>
    <w:p w:rsidR="000E5392" w:rsidRPr="00A27C7B" w:rsidRDefault="000E5392" w:rsidP="000E5392">
      <w:pPr>
        <w:keepLines/>
        <w:autoSpaceDE w:val="0"/>
        <w:autoSpaceDN w:val="0"/>
        <w:adjustRightInd w:val="0"/>
        <w:rPr>
          <w:lang w:val="en-AU"/>
        </w:rPr>
      </w:pPr>
    </w:p>
    <w:p w:rsidR="008E5537" w:rsidRPr="008E5537" w:rsidRDefault="008E5537" w:rsidP="008E5537">
      <w:pPr>
        <w:keepNext/>
        <w:keepLines/>
        <w:autoSpaceDE w:val="0"/>
        <w:autoSpaceDN w:val="0"/>
        <w:adjustRightInd w:val="0"/>
        <w:rPr>
          <w:i/>
          <w:lang w:val="en-AU"/>
        </w:rPr>
      </w:pPr>
      <w:r w:rsidRPr="008E5537">
        <w:rPr>
          <w:i/>
          <w:lang w:val="en-AU"/>
        </w:rPr>
        <w:t>Consumer perspectives of medication-related problems following discharge from hospital in Australia: a quantitative study</w:t>
      </w:r>
    </w:p>
    <w:p w:rsidR="008E5537" w:rsidRDefault="008E5537" w:rsidP="00CE7C9C">
      <w:pPr>
        <w:keepNext/>
        <w:keepLines/>
        <w:autoSpaceDE w:val="0"/>
        <w:autoSpaceDN w:val="0"/>
        <w:adjustRightInd w:val="0"/>
        <w:rPr>
          <w:lang w:val="en-AU"/>
        </w:rPr>
      </w:pPr>
      <w:r w:rsidRPr="008E5537">
        <w:rPr>
          <w:lang w:val="en-AU"/>
        </w:rPr>
        <w:t>Eassey D, Smith L, Krass I, McLAchlan A, Brien J-A</w:t>
      </w:r>
    </w:p>
    <w:p w:rsidR="00CE7C9C" w:rsidRPr="005B6694" w:rsidRDefault="008E5537" w:rsidP="00CE7C9C">
      <w:pPr>
        <w:keepNext/>
        <w:keepLines/>
        <w:autoSpaceDE w:val="0"/>
        <w:autoSpaceDN w:val="0"/>
        <w:adjustRightInd w:val="0"/>
        <w:rPr>
          <w:lang w:val="en-AU"/>
        </w:rPr>
      </w:pPr>
      <w:r w:rsidRPr="008E5537">
        <w:rPr>
          <w:lang w:val="en-AU"/>
        </w:rPr>
        <w:t>International Journal for Quality in Health Care. 2016.</w:t>
      </w:r>
    </w:p>
    <w:tbl>
      <w:tblPr>
        <w:tblStyle w:val="TableGrid"/>
        <w:tblW w:w="0" w:type="auto"/>
        <w:tblInd w:w="288" w:type="dxa"/>
        <w:tblLayout w:type="fixed"/>
        <w:tblLook w:val="01E0" w:firstRow="1" w:lastRow="1" w:firstColumn="1" w:lastColumn="1" w:noHBand="0" w:noVBand="0"/>
      </w:tblPr>
      <w:tblGrid>
        <w:gridCol w:w="1080"/>
        <w:gridCol w:w="8280"/>
      </w:tblGrid>
      <w:tr w:rsidR="00CE7C9C" w:rsidRPr="00255EF8" w:rsidTr="005C3AB2">
        <w:tc>
          <w:tcPr>
            <w:tcW w:w="1080" w:type="dxa"/>
            <w:tcBorders>
              <w:top w:val="single" w:sz="4" w:space="0" w:color="auto"/>
              <w:left w:val="single" w:sz="4" w:space="0" w:color="auto"/>
              <w:bottom w:val="single" w:sz="4" w:space="0" w:color="auto"/>
              <w:right w:val="single" w:sz="4" w:space="0" w:color="auto"/>
            </w:tcBorders>
            <w:vAlign w:val="center"/>
          </w:tcPr>
          <w:p w:rsidR="00CE7C9C" w:rsidRPr="005B6694" w:rsidRDefault="00CE7C9C" w:rsidP="005C3AB2">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7C9C" w:rsidRPr="004B7AA3" w:rsidRDefault="005C296E" w:rsidP="005C3AB2">
            <w:pPr>
              <w:shd w:val="clear" w:color="auto" w:fill="FFFFFF"/>
              <w:rPr>
                <w:rStyle w:val="Hyperlink"/>
                <w:color w:val="auto"/>
                <w:u w:val="none"/>
              </w:rPr>
            </w:pPr>
            <w:hyperlink r:id="rId30" w:history="1">
              <w:r w:rsidR="008E5537" w:rsidRPr="00690F2F">
                <w:rPr>
                  <w:rStyle w:val="Hyperlink"/>
                </w:rPr>
                <w:t>http://dx.doi.org/10.1093/intqhc/mzw047</w:t>
              </w:r>
            </w:hyperlink>
          </w:p>
        </w:tc>
      </w:tr>
      <w:tr w:rsidR="00CE7C9C" w:rsidRPr="004147BB" w:rsidTr="005C3AB2">
        <w:tc>
          <w:tcPr>
            <w:tcW w:w="1080" w:type="dxa"/>
            <w:tcBorders>
              <w:top w:val="single" w:sz="4" w:space="0" w:color="auto"/>
              <w:left w:val="single" w:sz="4" w:space="0" w:color="auto"/>
              <w:bottom w:val="single" w:sz="4" w:space="0" w:color="auto"/>
              <w:right w:val="single" w:sz="4" w:space="0" w:color="auto"/>
            </w:tcBorders>
            <w:vAlign w:val="center"/>
          </w:tcPr>
          <w:p w:rsidR="00CE7C9C" w:rsidRPr="00255EF8" w:rsidRDefault="00CE7C9C" w:rsidP="005C3AB2">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7C9C" w:rsidRDefault="00621328" w:rsidP="00621328">
            <w:pPr>
              <w:rPr>
                <w:lang w:val="en-AU" w:eastAsia="en-AU"/>
              </w:rPr>
            </w:pPr>
            <w:r>
              <w:rPr>
                <w:lang w:val="en-AU" w:eastAsia="en-AU"/>
              </w:rPr>
              <w:t>Paper reporting on an Australian study that saw more than 500 patients complete an 80-question survey on their perspectives and experiences regarding medication related problems (MRPs) after discharge from hospital. The patients were 50 or older, taking 5 or more prescription medicines, had been admitted for more than 24 hours within the last 4 months and discharged within the last month.</w:t>
            </w:r>
          </w:p>
          <w:p w:rsidR="00621328" w:rsidRPr="00CE7C9C" w:rsidRDefault="00621328" w:rsidP="00621328">
            <w:pPr>
              <w:rPr>
                <w:lang w:val="en-AU" w:eastAsia="en-AU"/>
              </w:rPr>
            </w:pPr>
            <w:r>
              <w:rPr>
                <w:lang w:val="en-AU" w:eastAsia="en-AU"/>
              </w:rPr>
              <w:t xml:space="preserve">The analysis of the patients’ responses saw four main </w:t>
            </w:r>
            <w:r w:rsidRPr="00621328">
              <w:rPr>
                <w:b/>
                <w:lang w:val="en-AU" w:eastAsia="en-AU"/>
              </w:rPr>
              <w:t>risk factors</w:t>
            </w:r>
            <w:r>
              <w:rPr>
                <w:lang w:val="en-AU" w:eastAsia="en-AU"/>
              </w:rPr>
              <w:t xml:space="preserve"> of MRPS: </w:t>
            </w:r>
            <w:r w:rsidRPr="00621328">
              <w:rPr>
                <w:b/>
                <w:lang w:val="en-AU" w:eastAsia="en-AU"/>
              </w:rPr>
              <w:t>health literacy</w:t>
            </w:r>
            <w:r>
              <w:rPr>
                <w:lang w:val="en-AU" w:eastAsia="en-AU"/>
              </w:rPr>
              <w:t xml:space="preserve">, </w:t>
            </w:r>
            <w:r w:rsidRPr="00621328">
              <w:rPr>
                <w:b/>
                <w:lang w:val="en-AU" w:eastAsia="en-AU"/>
              </w:rPr>
              <w:t>health status</w:t>
            </w:r>
            <w:r>
              <w:rPr>
                <w:lang w:val="en-AU" w:eastAsia="en-AU"/>
              </w:rPr>
              <w:t xml:space="preserve">, </w:t>
            </w:r>
            <w:r w:rsidRPr="00621328">
              <w:rPr>
                <w:b/>
                <w:lang w:val="en-AU" w:eastAsia="en-AU"/>
              </w:rPr>
              <w:t>consumer engagement</w:t>
            </w:r>
            <w:r>
              <w:rPr>
                <w:lang w:val="en-AU" w:eastAsia="en-AU"/>
              </w:rPr>
              <w:t xml:space="preserve"> and medication </w:t>
            </w:r>
            <w:r w:rsidRPr="00621328">
              <w:rPr>
                <w:b/>
                <w:lang w:val="en-AU" w:eastAsia="en-AU"/>
              </w:rPr>
              <w:t>costs</w:t>
            </w:r>
            <w:r>
              <w:rPr>
                <w:lang w:val="en-AU" w:eastAsia="en-AU"/>
              </w:rPr>
              <w:t>.</w:t>
            </w:r>
          </w:p>
        </w:tc>
      </w:tr>
    </w:tbl>
    <w:p w:rsidR="00CE7C9C" w:rsidRDefault="00CE7C9C" w:rsidP="00CE7C9C">
      <w:pPr>
        <w:rPr>
          <w:lang w:val="en-AU"/>
        </w:rPr>
      </w:pPr>
    </w:p>
    <w:p w:rsidR="00621328" w:rsidRDefault="00621328" w:rsidP="00621328">
      <w:pPr>
        <w:rPr>
          <w:lang w:val="en-AU"/>
        </w:rPr>
      </w:pPr>
      <w:r w:rsidRPr="00EA6F18">
        <w:rPr>
          <w:lang w:val="en-AU"/>
        </w:rPr>
        <w:t>For information on the Commission’s work on</w:t>
      </w:r>
      <w:r>
        <w:rPr>
          <w:lang w:val="en-AU"/>
        </w:rPr>
        <w:t xml:space="preserve"> medication safety, see </w:t>
      </w:r>
      <w:hyperlink r:id="rId31" w:history="1">
        <w:r w:rsidRPr="005D07BB">
          <w:rPr>
            <w:rStyle w:val="Hyperlink"/>
            <w:lang w:val="en-AU"/>
          </w:rPr>
          <w:t>http://www.safetyandquality.gov.au/our-work/medication-safety/</w:t>
        </w:r>
      </w:hyperlink>
    </w:p>
    <w:p w:rsidR="00AD1AFB" w:rsidRPr="005B23F4" w:rsidRDefault="00AD1AFB" w:rsidP="00AD1AFB">
      <w:pPr>
        <w:keepLines/>
        <w:autoSpaceDE w:val="0"/>
        <w:autoSpaceDN w:val="0"/>
        <w:adjustRightInd w:val="0"/>
        <w:rPr>
          <w:i/>
          <w:lang w:val="en-AU"/>
        </w:rPr>
      </w:pPr>
      <w:r w:rsidRPr="005B23F4">
        <w:rPr>
          <w:i/>
          <w:lang w:val="en-AU"/>
        </w:rPr>
        <w:lastRenderedPageBreak/>
        <w:t>Australian Journal of Primary Health</w:t>
      </w:r>
    </w:p>
    <w:p w:rsidR="00AD1AFB" w:rsidRDefault="00AD1AFB" w:rsidP="00AD1AFB">
      <w:pPr>
        <w:keepLines/>
        <w:autoSpaceDE w:val="0"/>
        <w:autoSpaceDN w:val="0"/>
        <w:adjustRightInd w:val="0"/>
        <w:rPr>
          <w:lang w:val="en-AU"/>
        </w:rPr>
      </w:pPr>
      <w:r w:rsidRPr="005B23F4">
        <w:rPr>
          <w:lang w:val="en-AU"/>
        </w:rPr>
        <w:t>Volume 2</w:t>
      </w:r>
      <w:r>
        <w:rPr>
          <w:lang w:val="en-AU"/>
        </w:rPr>
        <w:t>2</w:t>
      </w:r>
      <w:r w:rsidRPr="005B23F4">
        <w:rPr>
          <w:lang w:val="en-AU"/>
        </w:rPr>
        <w:t>(</w:t>
      </w:r>
      <w:r>
        <w:rPr>
          <w:lang w:val="en-AU"/>
        </w:rPr>
        <w:t>2) 2016</w:t>
      </w:r>
    </w:p>
    <w:tbl>
      <w:tblPr>
        <w:tblStyle w:val="TableGrid"/>
        <w:tblW w:w="0" w:type="auto"/>
        <w:tblInd w:w="288" w:type="dxa"/>
        <w:tblLayout w:type="fixed"/>
        <w:tblLook w:val="01E0" w:firstRow="1" w:lastRow="1" w:firstColumn="1" w:lastColumn="1" w:noHBand="0" w:noVBand="0"/>
      </w:tblPr>
      <w:tblGrid>
        <w:gridCol w:w="1080"/>
        <w:gridCol w:w="8280"/>
      </w:tblGrid>
      <w:tr w:rsidR="00AD1AFB" w:rsidRPr="00255EF8" w:rsidTr="00DB4207">
        <w:tc>
          <w:tcPr>
            <w:tcW w:w="1080" w:type="dxa"/>
            <w:tcBorders>
              <w:top w:val="single" w:sz="4" w:space="0" w:color="auto"/>
              <w:left w:val="single" w:sz="4" w:space="0" w:color="auto"/>
              <w:bottom w:val="single" w:sz="4" w:space="0" w:color="auto"/>
              <w:right w:val="single" w:sz="4" w:space="0" w:color="auto"/>
            </w:tcBorders>
            <w:vAlign w:val="center"/>
          </w:tcPr>
          <w:p w:rsidR="00AD1AFB" w:rsidRPr="00255EF8" w:rsidRDefault="00AD1AFB" w:rsidP="00DB420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1AFB" w:rsidRPr="00255EF8" w:rsidRDefault="005C296E" w:rsidP="00AD1AFB">
            <w:pPr>
              <w:rPr>
                <w:lang w:val="en-AU"/>
              </w:rPr>
            </w:pPr>
            <w:hyperlink r:id="rId32" w:history="1">
              <w:r w:rsidR="00AD1AFB" w:rsidRPr="00C8137E">
                <w:rPr>
                  <w:rStyle w:val="Hyperlink"/>
                  <w:lang w:val="en-AU"/>
                </w:rPr>
                <w:t>http://www.publish.csiro.au/nid/262/issue/8048.htm</w:t>
              </w:r>
            </w:hyperlink>
          </w:p>
        </w:tc>
      </w:tr>
      <w:tr w:rsidR="00AD1AFB" w:rsidRPr="00255EF8" w:rsidTr="00DB4207">
        <w:tc>
          <w:tcPr>
            <w:tcW w:w="1080" w:type="dxa"/>
            <w:tcBorders>
              <w:top w:val="single" w:sz="4" w:space="0" w:color="auto"/>
              <w:left w:val="single" w:sz="4" w:space="0" w:color="auto"/>
              <w:bottom w:val="single" w:sz="4" w:space="0" w:color="auto"/>
              <w:right w:val="single" w:sz="4" w:space="0" w:color="auto"/>
            </w:tcBorders>
            <w:vAlign w:val="center"/>
          </w:tcPr>
          <w:p w:rsidR="00AD1AFB" w:rsidRPr="00255EF8" w:rsidRDefault="00AD1AFB" w:rsidP="00DB4207">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1AFB" w:rsidRPr="005B23F4" w:rsidRDefault="00AD1AFB" w:rsidP="00DB4207">
            <w:pPr>
              <w:keepLines/>
              <w:autoSpaceDE w:val="0"/>
              <w:autoSpaceDN w:val="0"/>
              <w:adjustRightInd w:val="0"/>
              <w:rPr>
                <w:lang w:val="en-AU" w:eastAsia="en-AU"/>
              </w:rPr>
            </w:pPr>
            <w:r w:rsidRPr="005B23F4">
              <w:rPr>
                <w:lang w:val="en-AU" w:eastAsia="en-AU"/>
              </w:rPr>
              <w:t xml:space="preserve">A new issue of </w:t>
            </w:r>
            <w:r w:rsidR="002E2C86">
              <w:rPr>
                <w:lang w:val="en-AU" w:eastAsia="en-AU"/>
              </w:rPr>
              <w:t xml:space="preserve">the </w:t>
            </w:r>
            <w:r w:rsidRPr="005B23F4">
              <w:rPr>
                <w:i/>
                <w:lang w:val="en-AU"/>
              </w:rPr>
              <w:t>Australian Journal of Primary Health</w:t>
            </w:r>
            <w:r>
              <w:rPr>
                <w:i/>
                <w:lang w:val="en-AU"/>
              </w:rPr>
              <w:t xml:space="preserve"> </w:t>
            </w:r>
            <w:r w:rsidRPr="005B23F4">
              <w:rPr>
                <w:lang w:val="en-AU" w:eastAsia="en-AU"/>
              </w:rPr>
              <w:t xml:space="preserve">has been published. Articles in this issue of </w:t>
            </w:r>
            <w:r w:rsidR="002E2C86">
              <w:rPr>
                <w:lang w:val="en-AU" w:eastAsia="en-AU"/>
              </w:rPr>
              <w:t xml:space="preserve">the </w:t>
            </w:r>
            <w:r w:rsidRPr="005B23F4">
              <w:rPr>
                <w:i/>
                <w:lang w:val="en-AU" w:eastAsia="en-AU"/>
              </w:rPr>
              <w:t>Australian Journal of Primary Healt</w:t>
            </w:r>
            <w:r w:rsidRPr="005B23F4">
              <w:rPr>
                <w:lang w:val="en-AU" w:eastAsia="en-AU"/>
              </w:rPr>
              <w:t>h include:</w:t>
            </w:r>
          </w:p>
          <w:p w:rsidR="00AD1AFB" w:rsidRDefault="00AD1AFB" w:rsidP="00AD1AFB">
            <w:pPr>
              <w:pStyle w:val="ListParagraph"/>
              <w:numPr>
                <w:ilvl w:val="0"/>
                <w:numId w:val="40"/>
              </w:numPr>
              <w:rPr>
                <w:lang w:val="en-AU" w:eastAsia="en-AU"/>
              </w:rPr>
            </w:pPr>
            <w:r w:rsidRPr="00AD1AFB">
              <w:rPr>
                <w:lang w:val="en-AU" w:eastAsia="en-AU"/>
              </w:rPr>
              <w:t xml:space="preserve">The </w:t>
            </w:r>
            <w:r w:rsidRPr="00AD1AFB">
              <w:rPr>
                <w:b/>
                <w:lang w:val="en-AU" w:eastAsia="en-AU"/>
              </w:rPr>
              <w:t>community network</w:t>
            </w:r>
            <w:r w:rsidRPr="00AD1AFB">
              <w:rPr>
                <w:lang w:val="en-AU" w:eastAsia="en-AU"/>
              </w:rPr>
              <w:t>: an Aboriginal community football club bringing people together. Who or what is making the assists to score social goals? (Daniel Parnell and Kevin Hylton</w:t>
            </w:r>
            <w:r>
              <w:rPr>
                <w:lang w:val="en-AU" w:eastAsia="en-AU"/>
              </w:rPr>
              <w:t>)</w:t>
            </w:r>
          </w:p>
          <w:p w:rsidR="00AD1AFB" w:rsidRDefault="00AD1AFB" w:rsidP="00AD1AFB">
            <w:pPr>
              <w:pStyle w:val="ListParagraph"/>
              <w:numPr>
                <w:ilvl w:val="0"/>
                <w:numId w:val="40"/>
              </w:numPr>
              <w:rPr>
                <w:lang w:val="en-AU" w:eastAsia="en-AU"/>
              </w:rPr>
            </w:pPr>
            <w:r w:rsidRPr="00AD1AFB">
              <w:rPr>
                <w:lang w:val="en-AU" w:eastAsia="en-AU"/>
              </w:rPr>
              <w:t xml:space="preserve">Reflections on </w:t>
            </w:r>
            <w:r w:rsidRPr="00AD1AFB">
              <w:rPr>
                <w:b/>
                <w:lang w:val="en-AU" w:eastAsia="en-AU"/>
              </w:rPr>
              <w:t>maternal health care</w:t>
            </w:r>
            <w:r w:rsidRPr="00AD1AFB">
              <w:rPr>
                <w:lang w:val="en-AU" w:eastAsia="en-AU"/>
              </w:rPr>
              <w:t xml:space="preserve"> within the Victorian Maternal and Child Health Service (L</w:t>
            </w:r>
            <w:r>
              <w:rPr>
                <w:lang w:val="en-AU" w:eastAsia="en-AU"/>
              </w:rPr>
              <w:t>eesa Hooker</w:t>
            </w:r>
            <w:r w:rsidRPr="00AD1AFB">
              <w:rPr>
                <w:lang w:val="en-AU" w:eastAsia="en-AU"/>
              </w:rPr>
              <w:t>, Angela Taft and Rhonda Small</w:t>
            </w:r>
            <w:r>
              <w:rPr>
                <w:lang w:val="en-AU" w:eastAsia="en-AU"/>
              </w:rPr>
              <w:t>)</w:t>
            </w:r>
          </w:p>
          <w:p w:rsidR="00AD1AFB" w:rsidRDefault="00AD1AFB" w:rsidP="00AD1AFB">
            <w:pPr>
              <w:pStyle w:val="ListParagraph"/>
              <w:numPr>
                <w:ilvl w:val="0"/>
                <w:numId w:val="40"/>
              </w:numPr>
              <w:rPr>
                <w:lang w:val="en-AU" w:eastAsia="en-AU"/>
              </w:rPr>
            </w:pPr>
            <w:r w:rsidRPr="00AD1AFB">
              <w:rPr>
                <w:lang w:val="en-AU" w:eastAsia="en-AU"/>
              </w:rPr>
              <w:t xml:space="preserve">Towards </w:t>
            </w:r>
            <w:r w:rsidRPr="00AD1AFB">
              <w:rPr>
                <w:b/>
                <w:lang w:val="en-AU" w:eastAsia="en-AU"/>
              </w:rPr>
              <w:t>holistic dual diagnosis care</w:t>
            </w:r>
            <w:r w:rsidRPr="00AD1AFB">
              <w:rPr>
                <w:lang w:val="en-AU" w:eastAsia="en-AU"/>
              </w:rPr>
              <w:t>: physical health screening in a Victorian community-based alcohol and drug treatment service (</w:t>
            </w:r>
            <w:r>
              <w:rPr>
                <w:lang w:val="en-AU" w:eastAsia="en-AU"/>
              </w:rPr>
              <w:t>Lara Jackson, Boyce Felstead</w:t>
            </w:r>
            <w:r w:rsidRPr="00AD1AFB">
              <w:rPr>
                <w:lang w:val="en-AU" w:eastAsia="en-AU"/>
              </w:rPr>
              <w:t>, Jahar Bhowmik, R Avery and R Nelson-Hearity</w:t>
            </w:r>
            <w:r>
              <w:rPr>
                <w:lang w:val="en-AU" w:eastAsia="en-AU"/>
              </w:rPr>
              <w:t>)</w:t>
            </w:r>
          </w:p>
          <w:p w:rsidR="00AD1AFB" w:rsidRDefault="00AD1AFB" w:rsidP="00AD1AFB">
            <w:pPr>
              <w:pStyle w:val="ListParagraph"/>
              <w:numPr>
                <w:ilvl w:val="0"/>
                <w:numId w:val="40"/>
              </w:numPr>
              <w:rPr>
                <w:lang w:val="en-AU" w:eastAsia="en-AU"/>
              </w:rPr>
            </w:pPr>
            <w:r w:rsidRPr="00AD1AFB">
              <w:rPr>
                <w:lang w:val="en-AU" w:eastAsia="en-AU"/>
              </w:rPr>
              <w:t xml:space="preserve">Usability of </w:t>
            </w:r>
            <w:r w:rsidRPr="00AD1AFB">
              <w:rPr>
                <w:b/>
                <w:lang w:val="en-AU" w:eastAsia="en-AU"/>
              </w:rPr>
              <w:t>patient experience surveys in Australian primary health care</w:t>
            </w:r>
            <w:r w:rsidRPr="00AD1AFB">
              <w:rPr>
                <w:lang w:val="en-AU" w:eastAsia="en-AU"/>
              </w:rPr>
              <w:t>: a scoping review (</w:t>
            </w:r>
            <w:r w:rsidR="007C6850">
              <w:rPr>
                <w:lang w:val="en-AU" w:eastAsia="en-AU"/>
              </w:rPr>
              <w:t>Karen Gardner, Anne Parkinson</w:t>
            </w:r>
            <w:r w:rsidRPr="00AD1AFB">
              <w:rPr>
                <w:lang w:val="en-AU" w:eastAsia="en-AU"/>
              </w:rPr>
              <w:t>, Michelle Banfield, Ginny M Sargent, Jane Desborough and Kanupriya Kalia Hehir</w:t>
            </w:r>
            <w:r>
              <w:rPr>
                <w:lang w:val="en-AU" w:eastAsia="en-AU"/>
              </w:rPr>
              <w:t>)</w:t>
            </w:r>
          </w:p>
          <w:p w:rsidR="00AD1AFB" w:rsidRDefault="00AD1AFB" w:rsidP="00AD1AFB">
            <w:pPr>
              <w:pStyle w:val="ListParagraph"/>
              <w:numPr>
                <w:ilvl w:val="0"/>
                <w:numId w:val="40"/>
              </w:numPr>
              <w:rPr>
                <w:lang w:val="en-AU" w:eastAsia="en-AU"/>
              </w:rPr>
            </w:pPr>
            <w:r w:rsidRPr="00AD1AFB">
              <w:rPr>
                <w:lang w:val="en-AU" w:eastAsia="en-AU"/>
              </w:rPr>
              <w:t xml:space="preserve">Establishing components of </w:t>
            </w:r>
            <w:r w:rsidRPr="00AD1AFB">
              <w:rPr>
                <w:b/>
                <w:lang w:val="en-AU" w:eastAsia="en-AU"/>
              </w:rPr>
              <w:t>cultural competence healthcare</w:t>
            </w:r>
            <w:r w:rsidRPr="00AD1AFB">
              <w:rPr>
                <w:lang w:val="en-AU" w:eastAsia="en-AU"/>
              </w:rPr>
              <w:t xml:space="preserve"> models to better cater for the needs of migrants with disability: a systematic review (Sarah Jamison Olaussen and Andre M N Renzaho</w:t>
            </w:r>
            <w:r>
              <w:rPr>
                <w:lang w:val="en-AU" w:eastAsia="en-AU"/>
              </w:rPr>
              <w:t>)</w:t>
            </w:r>
          </w:p>
          <w:p w:rsidR="007C6850" w:rsidRDefault="00AD1AFB" w:rsidP="00AD1AFB">
            <w:pPr>
              <w:pStyle w:val="ListParagraph"/>
              <w:numPr>
                <w:ilvl w:val="0"/>
                <w:numId w:val="40"/>
              </w:numPr>
              <w:rPr>
                <w:lang w:val="en-AU" w:eastAsia="en-AU"/>
              </w:rPr>
            </w:pPr>
            <w:r w:rsidRPr="007C6850">
              <w:rPr>
                <w:b/>
                <w:lang w:val="en-AU" w:eastAsia="en-AU"/>
              </w:rPr>
              <w:t>Advanced training for primary care and general practice nurses</w:t>
            </w:r>
            <w:r w:rsidRPr="007C6850">
              <w:rPr>
                <w:lang w:val="en-AU" w:eastAsia="en-AU"/>
              </w:rPr>
              <w:t xml:space="preserve">: enablers and outcomes of postgraduate education </w:t>
            </w:r>
            <w:r w:rsidR="007C6850" w:rsidRPr="007C6850">
              <w:rPr>
                <w:lang w:val="en-AU" w:eastAsia="en-AU"/>
              </w:rPr>
              <w:t>(</w:t>
            </w:r>
            <w:r w:rsidRPr="007C6850">
              <w:rPr>
                <w:lang w:val="en-AU" w:eastAsia="en-AU"/>
              </w:rPr>
              <w:t>Christine M Hallinan and Kelsey L Hegarty</w:t>
            </w:r>
            <w:r w:rsidR="007C6850">
              <w:rPr>
                <w:lang w:val="en-AU" w:eastAsia="en-AU"/>
              </w:rPr>
              <w:t>)</w:t>
            </w:r>
          </w:p>
          <w:p w:rsidR="007C6850" w:rsidRDefault="00AD1AFB" w:rsidP="00AD1AFB">
            <w:pPr>
              <w:pStyle w:val="ListParagraph"/>
              <w:numPr>
                <w:ilvl w:val="0"/>
                <w:numId w:val="40"/>
              </w:numPr>
              <w:rPr>
                <w:lang w:val="en-AU" w:eastAsia="en-AU"/>
              </w:rPr>
            </w:pPr>
            <w:r w:rsidRPr="007C6850">
              <w:rPr>
                <w:lang w:val="en-AU" w:eastAsia="en-AU"/>
              </w:rPr>
              <w:t xml:space="preserve">Role of the </w:t>
            </w:r>
            <w:r w:rsidRPr="002E2C86">
              <w:rPr>
                <w:b/>
                <w:lang w:val="en-AU" w:eastAsia="en-AU"/>
              </w:rPr>
              <w:t>GP liaison nurse</w:t>
            </w:r>
            <w:r w:rsidRPr="007C6850">
              <w:rPr>
                <w:lang w:val="en-AU" w:eastAsia="en-AU"/>
              </w:rPr>
              <w:t xml:space="preserve"> in a community health program to improve </w:t>
            </w:r>
            <w:r w:rsidRPr="007C6850">
              <w:rPr>
                <w:b/>
                <w:lang w:val="en-AU" w:eastAsia="en-AU"/>
              </w:rPr>
              <w:t>integration and coordination</w:t>
            </w:r>
            <w:r w:rsidRPr="007C6850">
              <w:rPr>
                <w:lang w:val="en-AU" w:eastAsia="en-AU"/>
              </w:rPr>
              <w:t xml:space="preserve"> of services for the chronically ill </w:t>
            </w:r>
            <w:r w:rsidR="007C6850" w:rsidRPr="007C6850">
              <w:rPr>
                <w:lang w:val="en-AU" w:eastAsia="en-AU"/>
              </w:rPr>
              <w:t>(</w:t>
            </w:r>
            <w:r w:rsidR="007C6850">
              <w:rPr>
                <w:lang w:val="en-AU" w:eastAsia="en-AU"/>
              </w:rPr>
              <w:t>Justin McNab</w:t>
            </w:r>
            <w:r w:rsidRPr="007C6850">
              <w:rPr>
                <w:lang w:val="en-AU" w:eastAsia="en-AU"/>
              </w:rPr>
              <w:t>, Jani</w:t>
            </w:r>
            <w:r w:rsidR="007C6850">
              <w:rPr>
                <w:lang w:val="en-AU" w:eastAsia="en-AU"/>
              </w:rPr>
              <w:t>s Paterson</w:t>
            </w:r>
            <w:r w:rsidRPr="007C6850">
              <w:rPr>
                <w:lang w:val="en-AU" w:eastAsia="en-AU"/>
              </w:rPr>
              <w:t>, Joanne Fernyhough and Rod Hughes</w:t>
            </w:r>
            <w:r w:rsidR="007C6850">
              <w:rPr>
                <w:lang w:val="en-AU" w:eastAsia="en-AU"/>
              </w:rPr>
              <w:t>)</w:t>
            </w:r>
          </w:p>
          <w:p w:rsidR="007C6850" w:rsidRDefault="00AD1AFB" w:rsidP="00AD1AFB">
            <w:pPr>
              <w:pStyle w:val="ListParagraph"/>
              <w:numPr>
                <w:ilvl w:val="0"/>
                <w:numId w:val="40"/>
              </w:numPr>
              <w:rPr>
                <w:lang w:val="en-AU" w:eastAsia="en-AU"/>
              </w:rPr>
            </w:pPr>
            <w:r w:rsidRPr="007C6850">
              <w:rPr>
                <w:b/>
                <w:lang w:val="en-AU" w:eastAsia="en-AU"/>
              </w:rPr>
              <w:t>Postpartum consultations</w:t>
            </w:r>
            <w:r w:rsidRPr="007C6850">
              <w:rPr>
                <w:lang w:val="en-AU" w:eastAsia="en-AU"/>
              </w:rPr>
              <w:t xml:space="preserve"> in Australian general practice </w:t>
            </w:r>
            <w:r w:rsidR="007C6850" w:rsidRPr="007C6850">
              <w:rPr>
                <w:lang w:val="en-AU" w:eastAsia="en-AU"/>
              </w:rPr>
              <w:t>(</w:t>
            </w:r>
            <w:r w:rsidR="007C6850">
              <w:rPr>
                <w:lang w:val="en-AU" w:eastAsia="en-AU"/>
              </w:rPr>
              <w:t>Wendy E Brodribb</w:t>
            </w:r>
            <w:r w:rsidRPr="007C6850">
              <w:rPr>
                <w:lang w:val="en-AU" w:eastAsia="en-AU"/>
              </w:rPr>
              <w:t>, Benjamin L Mitchell and Mieke L Van Driel</w:t>
            </w:r>
            <w:r w:rsidR="007C6850">
              <w:rPr>
                <w:lang w:val="en-AU" w:eastAsia="en-AU"/>
              </w:rPr>
              <w:t>)</w:t>
            </w:r>
          </w:p>
          <w:p w:rsidR="007C6850" w:rsidRDefault="00AD1AFB" w:rsidP="00AD1AFB">
            <w:pPr>
              <w:pStyle w:val="ListParagraph"/>
              <w:numPr>
                <w:ilvl w:val="0"/>
                <w:numId w:val="40"/>
              </w:numPr>
              <w:rPr>
                <w:lang w:val="en-AU" w:eastAsia="en-AU"/>
              </w:rPr>
            </w:pPr>
            <w:r w:rsidRPr="007C6850">
              <w:rPr>
                <w:lang w:val="en-AU" w:eastAsia="en-AU"/>
              </w:rPr>
              <w:t xml:space="preserve">Sri Lankan-born women who have given birth in Victoria: a survey of their </w:t>
            </w:r>
            <w:r w:rsidRPr="007C6850">
              <w:rPr>
                <w:b/>
                <w:lang w:val="en-AU" w:eastAsia="en-AU"/>
              </w:rPr>
              <w:t>primary postpartum health-care needs</w:t>
            </w:r>
            <w:r w:rsidRPr="007C6850">
              <w:rPr>
                <w:lang w:val="en-AU" w:eastAsia="en-AU"/>
              </w:rPr>
              <w:t xml:space="preserve"> </w:t>
            </w:r>
            <w:r w:rsidR="007C6850" w:rsidRPr="007C6850">
              <w:rPr>
                <w:lang w:val="en-AU" w:eastAsia="en-AU"/>
              </w:rPr>
              <w:t>(</w:t>
            </w:r>
            <w:r w:rsidR="007C6850">
              <w:rPr>
                <w:lang w:val="en-AU" w:eastAsia="en-AU"/>
              </w:rPr>
              <w:t>Irosha Nilaweera</w:t>
            </w:r>
            <w:r w:rsidRPr="007C6850">
              <w:rPr>
                <w:lang w:val="en-AU" w:eastAsia="en-AU"/>
              </w:rPr>
              <w:t>, Heather Rowe</w:t>
            </w:r>
            <w:r w:rsidR="007C6850">
              <w:rPr>
                <w:lang w:val="en-AU" w:eastAsia="en-AU"/>
              </w:rPr>
              <w:t>, Hau Nguyen, Joanna Burns</w:t>
            </w:r>
            <w:r w:rsidRPr="007C6850">
              <w:rPr>
                <w:lang w:val="en-AU" w:eastAsia="en-AU"/>
              </w:rPr>
              <w:t>, Frances Doran and Jane Fisher</w:t>
            </w:r>
            <w:r w:rsidR="007C6850">
              <w:rPr>
                <w:lang w:val="en-AU" w:eastAsia="en-AU"/>
              </w:rPr>
              <w:t>)</w:t>
            </w:r>
          </w:p>
          <w:p w:rsidR="007C6850" w:rsidRDefault="00AD1AFB" w:rsidP="00AD1AFB">
            <w:pPr>
              <w:pStyle w:val="ListParagraph"/>
              <w:numPr>
                <w:ilvl w:val="0"/>
                <w:numId w:val="40"/>
              </w:numPr>
              <w:rPr>
                <w:lang w:val="en-AU" w:eastAsia="en-AU"/>
              </w:rPr>
            </w:pPr>
            <w:r w:rsidRPr="007C6850">
              <w:rPr>
                <w:b/>
                <w:lang w:val="en-AU" w:eastAsia="en-AU"/>
              </w:rPr>
              <w:t>Child obesity service provision</w:t>
            </w:r>
            <w:r w:rsidRPr="007C6850">
              <w:rPr>
                <w:lang w:val="en-AU" w:eastAsia="en-AU"/>
              </w:rPr>
              <w:t xml:space="preserve">: a cross-sectional survey of physiotherapy practice trends and professional needs </w:t>
            </w:r>
            <w:r w:rsidR="007C6850" w:rsidRPr="007C6850">
              <w:rPr>
                <w:lang w:val="en-AU" w:eastAsia="en-AU"/>
              </w:rPr>
              <w:t>(</w:t>
            </w:r>
            <w:r w:rsidR="007C6850">
              <w:rPr>
                <w:lang w:val="en-AU" w:eastAsia="en-AU"/>
              </w:rPr>
              <w:t>Nikki Milne</w:t>
            </w:r>
            <w:r w:rsidRPr="007C6850">
              <w:rPr>
                <w:lang w:val="en-AU" w:eastAsia="en-AU"/>
              </w:rPr>
              <w:t>, Nancy Low Choy</w:t>
            </w:r>
            <w:r w:rsidR="007C6850">
              <w:rPr>
                <w:lang w:val="en-AU" w:eastAsia="en-AU"/>
              </w:rPr>
              <w:t>, Gary M Leong</w:t>
            </w:r>
            <w:r w:rsidRPr="007C6850">
              <w:rPr>
                <w:lang w:val="en-AU" w:eastAsia="en-AU"/>
              </w:rPr>
              <w:t>, Roger Hughes and Wayne Hing</w:t>
            </w:r>
            <w:r w:rsidR="007C6850">
              <w:rPr>
                <w:lang w:val="en-AU" w:eastAsia="en-AU"/>
              </w:rPr>
              <w:t>)</w:t>
            </w:r>
          </w:p>
          <w:p w:rsidR="007C6850" w:rsidRDefault="00AD1AFB" w:rsidP="00AD1AFB">
            <w:pPr>
              <w:pStyle w:val="ListParagraph"/>
              <w:numPr>
                <w:ilvl w:val="0"/>
                <w:numId w:val="40"/>
              </w:numPr>
              <w:rPr>
                <w:lang w:val="en-AU" w:eastAsia="en-AU"/>
              </w:rPr>
            </w:pPr>
            <w:r w:rsidRPr="007C6850">
              <w:rPr>
                <w:lang w:val="en-AU" w:eastAsia="en-AU"/>
              </w:rPr>
              <w:t xml:space="preserve">‘Imagine if I gave up smoking ...’: a qualitative exploration of Aboriginal </w:t>
            </w:r>
            <w:r w:rsidRPr="007C6850">
              <w:rPr>
                <w:b/>
                <w:lang w:val="en-AU" w:eastAsia="en-AU"/>
              </w:rPr>
              <w:t>participants’ perspectives of a self-management pilot training intervention</w:t>
            </w:r>
            <w:r w:rsidRPr="007C6850">
              <w:rPr>
                <w:lang w:val="en-AU" w:eastAsia="en-AU"/>
              </w:rPr>
              <w:t xml:space="preserve"> </w:t>
            </w:r>
            <w:r w:rsidR="007C6850" w:rsidRPr="007C6850">
              <w:rPr>
                <w:lang w:val="en-AU" w:eastAsia="en-AU"/>
              </w:rPr>
              <w:t>(</w:t>
            </w:r>
            <w:r w:rsidR="007C6850">
              <w:rPr>
                <w:lang w:val="en-AU" w:eastAsia="en-AU"/>
              </w:rPr>
              <w:t>Kimberley Chapple, Inge Kowanko, Peter Harvey</w:t>
            </w:r>
            <w:r w:rsidRPr="007C6850">
              <w:rPr>
                <w:lang w:val="en-AU" w:eastAsia="en-AU"/>
              </w:rPr>
              <w:t>, Alwin Chong and Malcolm Battersby</w:t>
            </w:r>
            <w:r w:rsidR="007C6850">
              <w:rPr>
                <w:lang w:val="en-AU" w:eastAsia="en-AU"/>
              </w:rPr>
              <w:t>)</w:t>
            </w:r>
          </w:p>
          <w:p w:rsidR="007C6850" w:rsidRDefault="00AD1AFB" w:rsidP="00AD1AFB">
            <w:pPr>
              <w:pStyle w:val="ListParagraph"/>
              <w:numPr>
                <w:ilvl w:val="0"/>
                <w:numId w:val="40"/>
              </w:numPr>
              <w:rPr>
                <w:lang w:val="en-AU" w:eastAsia="en-AU"/>
              </w:rPr>
            </w:pPr>
            <w:r w:rsidRPr="007C6850">
              <w:rPr>
                <w:lang w:val="en-AU" w:eastAsia="en-AU"/>
              </w:rPr>
              <w:t xml:space="preserve">Ten years of </w:t>
            </w:r>
            <w:r w:rsidRPr="007C6850">
              <w:rPr>
                <w:b/>
                <w:lang w:val="en-AU" w:eastAsia="en-AU"/>
              </w:rPr>
              <w:t>hospitalisation for oral health-related conditions</w:t>
            </w:r>
            <w:r w:rsidRPr="007C6850">
              <w:rPr>
                <w:lang w:val="en-AU" w:eastAsia="en-AU"/>
              </w:rPr>
              <w:t xml:space="preserve"> in Western Australia: an unjust dichotomy </w:t>
            </w:r>
            <w:r w:rsidR="007C6850" w:rsidRPr="007C6850">
              <w:rPr>
                <w:lang w:val="en-AU" w:eastAsia="en-AU"/>
              </w:rPr>
              <w:t>(</w:t>
            </w:r>
            <w:r w:rsidRPr="007C6850">
              <w:rPr>
                <w:lang w:val="en-AU" w:eastAsia="en-AU"/>
              </w:rPr>
              <w:t>Estie Kruger and Marc Tennant</w:t>
            </w:r>
            <w:r w:rsidR="007C6850">
              <w:rPr>
                <w:lang w:val="en-AU" w:eastAsia="en-AU"/>
              </w:rPr>
              <w:t>)</w:t>
            </w:r>
          </w:p>
          <w:p w:rsidR="00AD1AFB" w:rsidRPr="005B23F4" w:rsidRDefault="00AD1AFB" w:rsidP="007C6850">
            <w:pPr>
              <w:pStyle w:val="ListParagraph"/>
              <w:numPr>
                <w:ilvl w:val="0"/>
                <w:numId w:val="40"/>
              </w:numPr>
              <w:rPr>
                <w:lang w:val="en-AU" w:eastAsia="en-AU"/>
              </w:rPr>
            </w:pPr>
            <w:r w:rsidRPr="007C6850">
              <w:rPr>
                <w:lang w:val="en-AU" w:eastAsia="en-AU"/>
              </w:rPr>
              <w:t xml:space="preserve">Designing an </w:t>
            </w:r>
            <w:r w:rsidRPr="007C6850">
              <w:rPr>
                <w:b/>
                <w:lang w:val="en-AU" w:eastAsia="en-AU"/>
              </w:rPr>
              <w:t>online resource for people with low back pain</w:t>
            </w:r>
            <w:r w:rsidRPr="007C6850">
              <w:rPr>
                <w:lang w:val="en-AU" w:eastAsia="en-AU"/>
              </w:rPr>
              <w:t xml:space="preserve">: health-care provider perspectives </w:t>
            </w:r>
            <w:r w:rsidR="007C6850" w:rsidRPr="007C6850">
              <w:rPr>
                <w:lang w:val="en-AU" w:eastAsia="en-AU"/>
              </w:rPr>
              <w:t>(</w:t>
            </w:r>
            <w:r w:rsidRPr="00AD1AFB">
              <w:rPr>
                <w:lang w:val="en-AU" w:eastAsia="en-AU"/>
              </w:rPr>
              <w:t>M</w:t>
            </w:r>
            <w:r w:rsidR="007C6850">
              <w:rPr>
                <w:lang w:val="en-AU" w:eastAsia="en-AU"/>
              </w:rPr>
              <w:t>andy Nielsen</w:t>
            </w:r>
            <w:r w:rsidRPr="00AD1AFB">
              <w:rPr>
                <w:lang w:val="en-AU" w:eastAsia="en-AU"/>
              </w:rPr>
              <w:t>, G Jull and Paul W Hodges</w:t>
            </w:r>
            <w:r w:rsidR="007C6850">
              <w:rPr>
                <w:lang w:val="en-AU" w:eastAsia="en-AU"/>
              </w:rPr>
              <w:t>)</w:t>
            </w:r>
          </w:p>
        </w:tc>
      </w:tr>
    </w:tbl>
    <w:p w:rsidR="00AD1AFB" w:rsidRDefault="00AD1AFB" w:rsidP="00AD1AFB">
      <w:pPr>
        <w:keepNext/>
        <w:keepLines/>
        <w:autoSpaceDE w:val="0"/>
        <w:autoSpaceDN w:val="0"/>
        <w:adjustRightInd w:val="0"/>
        <w:rPr>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5C296E" w:rsidP="00BE027C">
            <w:pPr>
              <w:keepNext/>
              <w:rPr>
                <w:lang w:val="en-AU"/>
              </w:rPr>
            </w:pPr>
            <w:hyperlink r:id="rId33"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B03BEC" w:rsidRPr="00B03BEC" w:rsidRDefault="00B03BEC" w:rsidP="00B03BEC">
            <w:pPr>
              <w:pStyle w:val="ListParagraph"/>
              <w:numPr>
                <w:ilvl w:val="0"/>
                <w:numId w:val="14"/>
              </w:numPr>
              <w:rPr>
                <w:lang w:val="en-AU"/>
              </w:rPr>
            </w:pPr>
            <w:r w:rsidRPr="00B03BEC">
              <w:rPr>
                <w:lang w:val="en-AU"/>
              </w:rPr>
              <w:t xml:space="preserve">Editorial: Does it matter how much </w:t>
            </w:r>
            <w:r w:rsidRPr="00B03BEC">
              <w:rPr>
                <w:b/>
                <w:lang w:val="en-AU"/>
              </w:rPr>
              <w:t>physician trainees</w:t>
            </w:r>
            <w:r w:rsidRPr="00B03BEC">
              <w:rPr>
                <w:lang w:val="en-AU"/>
              </w:rPr>
              <w:t xml:space="preserve"> work anymore? (Kathlyn E Fletcher, Sumant R Ranji</w:t>
            </w:r>
            <w:r>
              <w:rPr>
                <w:lang w:val="en-AU"/>
              </w:rPr>
              <w:t>)</w:t>
            </w:r>
          </w:p>
          <w:p w:rsidR="00D90423" w:rsidRDefault="00C37828" w:rsidP="00C37828">
            <w:pPr>
              <w:pStyle w:val="ListParagraph"/>
              <w:numPr>
                <w:ilvl w:val="0"/>
                <w:numId w:val="14"/>
              </w:numPr>
              <w:rPr>
                <w:lang w:val="en-AU"/>
              </w:rPr>
            </w:pPr>
            <w:r w:rsidRPr="00C37828">
              <w:rPr>
                <w:lang w:val="en-AU"/>
              </w:rPr>
              <w:t xml:space="preserve">Implementation of the </w:t>
            </w:r>
            <w:r w:rsidRPr="00C37828">
              <w:rPr>
                <w:b/>
                <w:lang w:val="en-AU"/>
              </w:rPr>
              <w:t>trigger review method</w:t>
            </w:r>
            <w:r w:rsidRPr="00C37828">
              <w:rPr>
                <w:lang w:val="en-AU"/>
              </w:rPr>
              <w:t xml:space="preserve"> in Scottish </w:t>
            </w:r>
            <w:r w:rsidRPr="00C37828">
              <w:rPr>
                <w:b/>
                <w:lang w:val="en-AU"/>
              </w:rPr>
              <w:t>general practices</w:t>
            </w:r>
            <w:r w:rsidRPr="00C37828">
              <w:rPr>
                <w:lang w:val="en-AU"/>
              </w:rPr>
              <w:t>: patient safety outcomes and potential for quality improvement</w:t>
            </w:r>
            <w:r>
              <w:rPr>
                <w:lang w:val="en-AU"/>
              </w:rPr>
              <w:t xml:space="preserve"> (</w:t>
            </w:r>
            <w:r w:rsidRPr="00C37828">
              <w:rPr>
                <w:lang w:val="en-AU"/>
              </w:rPr>
              <w:t xml:space="preserve">Carl de Wet, Chris Black, Sarah Luty, John McKay, Catherine A </w:t>
            </w:r>
            <w:r w:rsidRPr="00C37828">
              <w:rPr>
                <w:lang w:val="en-AU"/>
              </w:rPr>
              <w:lastRenderedPageBreak/>
              <w:t>O'Donnell, Paul Bowie</w:t>
            </w:r>
            <w:r>
              <w:rPr>
                <w:lang w:val="en-AU"/>
              </w:rPr>
              <w:t>)</w:t>
            </w:r>
          </w:p>
          <w:p w:rsidR="001117D9" w:rsidRPr="001117D9" w:rsidRDefault="001117D9" w:rsidP="001117D9">
            <w:pPr>
              <w:pStyle w:val="ListParagraph"/>
              <w:numPr>
                <w:ilvl w:val="0"/>
                <w:numId w:val="14"/>
              </w:numPr>
              <w:rPr>
                <w:lang w:val="en-AU"/>
              </w:rPr>
            </w:pPr>
            <w:r w:rsidRPr="001117D9">
              <w:rPr>
                <w:lang w:val="en-AU"/>
              </w:rPr>
              <w:t xml:space="preserve">Is bias in the eye of the beholder? A vignette study to assess recognition of </w:t>
            </w:r>
            <w:r w:rsidRPr="001117D9">
              <w:rPr>
                <w:b/>
                <w:lang w:val="en-AU"/>
              </w:rPr>
              <w:t>cognitive biases</w:t>
            </w:r>
            <w:r w:rsidRPr="001117D9">
              <w:rPr>
                <w:lang w:val="en-AU"/>
              </w:rPr>
              <w:t xml:space="preserve"> in clinical case workups (Laura Zwaan, Sandra Monteiro, Jonathan Sherbino, Jonathan Ilgen, Betty Howey, Geoffrey Norman</w:t>
            </w:r>
            <w:r>
              <w:rPr>
                <w:lang w:val="en-AU"/>
              </w:rPr>
              <w:t>)</w:t>
            </w:r>
          </w:p>
          <w:p w:rsidR="001117D9" w:rsidRPr="00D755FC" w:rsidRDefault="001117D9" w:rsidP="001117D9">
            <w:pPr>
              <w:pStyle w:val="ListParagraph"/>
              <w:numPr>
                <w:ilvl w:val="0"/>
                <w:numId w:val="14"/>
              </w:numPr>
              <w:rPr>
                <w:lang w:val="en-AU"/>
              </w:rPr>
            </w:pPr>
            <w:r w:rsidRPr="001117D9">
              <w:rPr>
                <w:lang w:val="en-AU"/>
              </w:rPr>
              <w:t xml:space="preserve">Explanation and elaboration of the </w:t>
            </w:r>
            <w:r w:rsidRPr="001117D9">
              <w:rPr>
                <w:b/>
                <w:lang w:val="en-AU"/>
              </w:rPr>
              <w:t>SQUIRE (Standards for Quality Improvement Reporting Excellence) Guidelines</w:t>
            </w:r>
            <w:r w:rsidRPr="001117D9">
              <w:rPr>
                <w:lang w:val="en-AU"/>
              </w:rPr>
              <w:t>, V.2.0: examples of SQUIRE elements in the healthcare improvement literature</w:t>
            </w:r>
            <w:r>
              <w:rPr>
                <w:lang w:val="en-AU"/>
              </w:rPr>
              <w:t xml:space="preserve"> (</w:t>
            </w:r>
            <w:r w:rsidRPr="001117D9">
              <w:rPr>
                <w:lang w:val="en-AU"/>
              </w:rPr>
              <w:t>Daisy Goodman, Greg Ogrinc, Louise Davies, G Ross Baker, Jane Barnsteiner, Tina C Foster, Kari Gali, Joanne Hilden, Leora Horwitz, Heather C Kaplan, Jerome Leis, John C Matulis, Susan Michie, Rebecca Miltner, Julia Neily, William A Nelson, M Niedner, B Oliver, L Rutman, R Thomson, J Thor</w:t>
            </w:r>
            <w:r>
              <w:rPr>
                <w:lang w:val="en-AU"/>
              </w:rPr>
              <w:t>)</w:t>
            </w:r>
          </w:p>
        </w:tc>
      </w:tr>
    </w:tbl>
    <w:p w:rsidR="00B02F6E" w:rsidRDefault="00B02F6E" w:rsidP="00B02F6E">
      <w:pPr>
        <w:keepLines/>
        <w:autoSpaceDE w:val="0"/>
        <w:autoSpaceDN w:val="0"/>
        <w:adjustRightInd w:val="0"/>
        <w:rPr>
          <w:lang w:val="en-AU"/>
        </w:rPr>
      </w:pPr>
    </w:p>
    <w:p w:rsidR="00844F84" w:rsidRPr="002302EF" w:rsidRDefault="00844F84" w:rsidP="00844F84">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44F84" w:rsidRPr="002302EF" w:rsidTr="00B47D6E">
        <w:tc>
          <w:tcPr>
            <w:tcW w:w="1080" w:type="dxa"/>
            <w:tcBorders>
              <w:top w:val="single" w:sz="4" w:space="0" w:color="auto"/>
              <w:left w:val="single" w:sz="4" w:space="0" w:color="auto"/>
              <w:bottom w:val="single" w:sz="4" w:space="0" w:color="auto"/>
              <w:right w:val="single" w:sz="4" w:space="0" w:color="auto"/>
            </w:tcBorders>
            <w:vAlign w:val="center"/>
          </w:tcPr>
          <w:p w:rsidR="00844F84" w:rsidRPr="002302EF" w:rsidRDefault="00844F84" w:rsidP="00B47D6E">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44F84" w:rsidRPr="002302EF" w:rsidRDefault="00272A9A" w:rsidP="00B47D6E">
            <w:pPr>
              <w:rPr>
                <w:lang w:val="en-AU"/>
              </w:rPr>
            </w:pPr>
            <w:hyperlink r:id="rId34" w:history="1">
              <w:r w:rsidR="00844F84" w:rsidRPr="002302EF">
                <w:rPr>
                  <w:rStyle w:val="Hyperlink"/>
                  <w:lang w:val="en-AU"/>
                </w:rPr>
                <w:t>http://intqhc.oxfordjournals.org/content/early/recent?papetoc</w:t>
              </w:r>
            </w:hyperlink>
          </w:p>
        </w:tc>
      </w:tr>
      <w:tr w:rsidR="00844F84" w:rsidRPr="002302EF" w:rsidTr="00B47D6E">
        <w:tc>
          <w:tcPr>
            <w:tcW w:w="1080" w:type="dxa"/>
            <w:tcBorders>
              <w:top w:val="single" w:sz="4" w:space="0" w:color="auto"/>
              <w:left w:val="single" w:sz="4" w:space="0" w:color="auto"/>
              <w:bottom w:val="single" w:sz="4" w:space="0" w:color="auto"/>
              <w:right w:val="single" w:sz="4" w:space="0" w:color="auto"/>
            </w:tcBorders>
            <w:vAlign w:val="center"/>
          </w:tcPr>
          <w:p w:rsidR="00844F84" w:rsidRPr="002302EF" w:rsidRDefault="00844F84" w:rsidP="00B47D6E">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4F84" w:rsidRPr="002302EF" w:rsidRDefault="00844F84" w:rsidP="00B47D6E">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4F25C1" w:rsidRDefault="004F25C1" w:rsidP="004F25C1">
            <w:pPr>
              <w:pStyle w:val="ListParagraph"/>
              <w:numPr>
                <w:ilvl w:val="0"/>
                <w:numId w:val="14"/>
              </w:numPr>
              <w:rPr>
                <w:lang w:val="en-AU"/>
              </w:rPr>
            </w:pPr>
            <w:r w:rsidRPr="004F25C1">
              <w:rPr>
                <w:b/>
                <w:lang w:val="en-AU"/>
              </w:rPr>
              <w:t>Consumer perspectives of medication-related problems</w:t>
            </w:r>
            <w:r w:rsidRPr="004F25C1">
              <w:rPr>
                <w:lang w:val="en-AU"/>
              </w:rPr>
              <w:t xml:space="preserve"> following discharge from hospital in Australia: a quantitative study (Daniela Eassey, Lorraine Smith, Ines Krass, Andrew McLAchlan, and Jo-Anne Brien</w:t>
            </w:r>
            <w:r>
              <w:rPr>
                <w:lang w:val="en-AU"/>
              </w:rPr>
              <w:t>)</w:t>
            </w:r>
          </w:p>
          <w:p w:rsidR="004F25C1" w:rsidRPr="004F25C1" w:rsidRDefault="004F25C1" w:rsidP="004F25C1">
            <w:pPr>
              <w:pStyle w:val="ListParagraph"/>
              <w:numPr>
                <w:ilvl w:val="0"/>
                <w:numId w:val="14"/>
              </w:numPr>
              <w:rPr>
                <w:lang w:val="en-AU"/>
              </w:rPr>
            </w:pPr>
            <w:r w:rsidRPr="004F25C1">
              <w:rPr>
                <w:lang w:val="en-AU"/>
              </w:rPr>
              <w:t xml:space="preserve">How do we </w:t>
            </w:r>
            <w:r w:rsidRPr="004F25C1">
              <w:rPr>
                <w:b/>
                <w:lang w:val="en-AU"/>
              </w:rPr>
              <w:t>learn about improving health care</w:t>
            </w:r>
            <w:r w:rsidRPr="004F25C1">
              <w:rPr>
                <w:lang w:val="en-AU"/>
              </w:rPr>
              <w:t>: a call for a new epistemological paradigm (M Rashad Massoud, Danika Barry, Andrew Murphy, Yvonne Albrecht, Sylvia Sax, and Michael Parchman</w:t>
            </w:r>
            <w:r>
              <w:rPr>
                <w:lang w:val="en-AU"/>
              </w:rPr>
              <w:t>)</w:t>
            </w:r>
          </w:p>
          <w:p w:rsidR="007645E6" w:rsidRPr="007645E6" w:rsidRDefault="007645E6" w:rsidP="007645E6">
            <w:pPr>
              <w:pStyle w:val="ListParagraph"/>
              <w:numPr>
                <w:ilvl w:val="0"/>
                <w:numId w:val="14"/>
              </w:numPr>
              <w:rPr>
                <w:lang w:val="en-AU"/>
              </w:rPr>
            </w:pPr>
            <w:r w:rsidRPr="007645E6">
              <w:rPr>
                <w:b/>
                <w:lang w:val="en-AU"/>
              </w:rPr>
              <w:t>Off-hours admission and quality of hip fracture care</w:t>
            </w:r>
            <w:r w:rsidRPr="007645E6">
              <w:rPr>
                <w:lang w:val="en-AU"/>
              </w:rPr>
              <w:t>: a nationwide cohort study of performance measures and 30-day mortality (Nina Sahlertz Kristiansen, Pia Kjær Kristensen, Bente Mertz Nørgård, Jan Mainz, Søren Paaske Johnsen</w:t>
            </w:r>
            <w:r>
              <w:rPr>
                <w:lang w:val="en-AU"/>
              </w:rPr>
              <w:t>)</w:t>
            </w:r>
          </w:p>
          <w:p w:rsidR="007645E6" w:rsidRPr="007645E6" w:rsidRDefault="007645E6" w:rsidP="007645E6">
            <w:pPr>
              <w:pStyle w:val="ListParagraph"/>
              <w:numPr>
                <w:ilvl w:val="0"/>
                <w:numId w:val="14"/>
              </w:numPr>
              <w:rPr>
                <w:lang w:val="en-AU"/>
              </w:rPr>
            </w:pPr>
            <w:r w:rsidRPr="007645E6">
              <w:rPr>
                <w:lang w:val="en-AU"/>
              </w:rPr>
              <w:t xml:space="preserve">RAPADAPTE for rapid guideline development: </w:t>
            </w:r>
            <w:r w:rsidRPr="007645E6">
              <w:rPr>
                <w:b/>
                <w:lang w:val="en-AU"/>
              </w:rPr>
              <w:t>high-quality clinical guidelines</w:t>
            </w:r>
            <w:r w:rsidRPr="007645E6">
              <w:rPr>
                <w:lang w:val="en-AU"/>
              </w:rPr>
              <w:t xml:space="preserve"> can be rapidly developed with limited resources (Brian S Alper, Mario Tristan, Anggie Ramirez-Morera, Maria M</w:t>
            </w:r>
            <w:r>
              <w:rPr>
                <w:lang w:val="en-AU"/>
              </w:rPr>
              <w:t xml:space="preserve"> </w:t>
            </w:r>
            <w:r w:rsidRPr="007645E6">
              <w:rPr>
                <w:lang w:val="en-AU"/>
              </w:rPr>
              <w:t>T</w:t>
            </w:r>
            <w:r>
              <w:rPr>
                <w:lang w:val="en-AU"/>
              </w:rPr>
              <w:t xml:space="preserve"> </w:t>
            </w:r>
            <w:r w:rsidRPr="007645E6">
              <w:rPr>
                <w:lang w:val="en-AU"/>
              </w:rPr>
              <w:t xml:space="preserve"> Vreugdenhil, Esther J Van Zuuren, Zbys Fedorowicz</w:t>
            </w:r>
            <w:r>
              <w:rPr>
                <w:lang w:val="en-AU"/>
              </w:rPr>
              <w:t>)</w:t>
            </w:r>
          </w:p>
          <w:p w:rsidR="007645E6" w:rsidRPr="007645E6" w:rsidRDefault="007645E6" w:rsidP="007645E6">
            <w:pPr>
              <w:pStyle w:val="ListParagraph"/>
              <w:numPr>
                <w:ilvl w:val="0"/>
                <w:numId w:val="14"/>
              </w:numPr>
              <w:rPr>
                <w:lang w:val="en-AU"/>
              </w:rPr>
            </w:pPr>
            <w:r w:rsidRPr="007645E6">
              <w:rPr>
                <w:lang w:val="en-AU"/>
              </w:rPr>
              <w:t xml:space="preserve">A </w:t>
            </w:r>
            <w:r w:rsidRPr="007645E6">
              <w:rPr>
                <w:b/>
                <w:lang w:val="en-AU"/>
              </w:rPr>
              <w:t>PICU patient safety checklist</w:t>
            </w:r>
            <w:r w:rsidRPr="007645E6">
              <w:rPr>
                <w:lang w:val="en-AU"/>
              </w:rPr>
              <w:t>: rate of utilization and impact on patient care (Brianna L Mckelvie, James Dayre Mcnally, Kusum Menon, Maelle G</w:t>
            </w:r>
            <w:r>
              <w:rPr>
                <w:lang w:val="en-AU"/>
              </w:rPr>
              <w:t xml:space="preserve"> </w:t>
            </w:r>
            <w:r w:rsidRPr="007645E6">
              <w:rPr>
                <w:lang w:val="en-AU"/>
              </w:rPr>
              <w:t>R</w:t>
            </w:r>
            <w:r>
              <w:rPr>
                <w:lang w:val="en-AU"/>
              </w:rPr>
              <w:t xml:space="preserve"> </w:t>
            </w:r>
            <w:r w:rsidRPr="007645E6">
              <w:rPr>
                <w:lang w:val="en-AU"/>
              </w:rPr>
              <w:t>Marchand, Deepti N Reddy, W David Creery</w:t>
            </w:r>
            <w:r>
              <w:rPr>
                <w:lang w:val="en-AU"/>
              </w:rPr>
              <w:t>)</w:t>
            </w:r>
          </w:p>
          <w:p w:rsidR="007645E6" w:rsidRPr="007645E6" w:rsidRDefault="007645E6" w:rsidP="007645E6">
            <w:pPr>
              <w:pStyle w:val="ListParagraph"/>
              <w:numPr>
                <w:ilvl w:val="0"/>
                <w:numId w:val="14"/>
              </w:numPr>
              <w:rPr>
                <w:lang w:val="en-AU"/>
              </w:rPr>
            </w:pPr>
            <w:r w:rsidRPr="007645E6">
              <w:rPr>
                <w:lang w:val="en-AU"/>
              </w:rPr>
              <w:t xml:space="preserve">A mixed-methods study of the causes and impact of </w:t>
            </w:r>
            <w:r w:rsidRPr="007645E6">
              <w:rPr>
                <w:b/>
                <w:lang w:val="en-AU"/>
              </w:rPr>
              <w:t>poor teamwork</w:t>
            </w:r>
            <w:r w:rsidRPr="007645E6">
              <w:rPr>
                <w:lang w:val="en-AU"/>
              </w:rPr>
              <w:t xml:space="preserve"> between junior doctors and nurses (Paul O'connor, Angela O'dea, Sinéad Lydon, gozie Offiah, Jennifer Scott, Antoinette Flannery, Bronagh Lang, Anthony Hoban, Catherine Armstrong, Dara Byrne</w:t>
            </w:r>
            <w:r>
              <w:rPr>
                <w:lang w:val="en-AU"/>
              </w:rPr>
              <w:t>)</w:t>
            </w:r>
          </w:p>
          <w:p w:rsidR="007645E6" w:rsidRPr="007645E6" w:rsidRDefault="007645E6" w:rsidP="007645E6">
            <w:pPr>
              <w:pStyle w:val="ListParagraph"/>
              <w:numPr>
                <w:ilvl w:val="0"/>
                <w:numId w:val="14"/>
              </w:numPr>
              <w:rPr>
                <w:lang w:val="en-AU"/>
              </w:rPr>
            </w:pPr>
            <w:r w:rsidRPr="007645E6">
              <w:rPr>
                <w:lang w:val="en-AU"/>
              </w:rPr>
              <w:t xml:space="preserve">Development, implementation and evaluation of a </w:t>
            </w:r>
            <w:r w:rsidRPr="007645E6">
              <w:rPr>
                <w:b/>
                <w:lang w:val="en-AU"/>
              </w:rPr>
              <w:t>patient handoff tool</w:t>
            </w:r>
            <w:r w:rsidRPr="007645E6">
              <w:rPr>
                <w:lang w:val="en-AU"/>
              </w:rPr>
              <w:t xml:space="preserve"> to improve safety in </w:t>
            </w:r>
            <w:r w:rsidRPr="007645E6">
              <w:rPr>
                <w:b/>
                <w:lang w:val="en-AU"/>
              </w:rPr>
              <w:t>orthopaedic surgery</w:t>
            </w:r>
            <w:r w:rsidRPr="007645E6">
              <w:rPr>
                <w:lang w:val="en-AU"/>
              </w:rPr>
              <w:t xml:space="preserve"> (Joel J Gagnier, Joseph M Derosier, Joseph D Maratt, Mark E Hake, James P Bagian</w:t>
            </w:r>
            <w:r>
              <w:rPr>
                <w:lang w:val="en-AU"/>
              </w:rPr>
              <w:t>)</w:t>
            </w:r>
          </w:p>
          <w:p w:rsidR="00844F84" w:rsidRPr="002302EF" w:rsidRDefault="007645E6" w:rsidP="007645E6">
            <w:pPr>
              <w:pStyle w:val="ListParagraph"/>
              <w:numPr>
                <w:ilvl w:val="0"/>
                <w:numId w:val="14"/>
              </w:numPr>
              <w:rPr>
                <w:lang w:val="en-AU"/>
              </w:rPr>
            </w:pPr>
            <w:r w:rsidRPr="007645E6">
              <w:rPr>
                <w:b/>
                <w:lang w:val="en-AU"/>
              </w:rPr>
              <w:t>Patient satisfaction</w:t>
            </w:r>
            <w:r w:rsidRPr="007645E6">
              <w:rPr>
                <w:lang w:val="en-AU"/>
              </w:rPr>
              <w:t xml:space="preserve"> between primary care providers and hospitals: a cross-sectional survey in Jilin province, China </w:t>
            </w:r>
            <w:r>
              <w:rPr>
                <w:lang w:val="en-AU"/>
              </w:rPr>
              <w:t>(</w:t>
            </w:r>
            <w:r w:rsidRPr="007645E6">
              <w:rPr>
                <w:lang w:val="en-AU"/>
              </w:rPr>
              <w:t>Jinghua Li, Pingping Wang, Xuan Kong, Hailun Liang, Xiumin Zhang, Leiyu Shi</w:t>
            </w:r>
            <w:r>
              <w:rPr>
                <w:lang w:val="en-AU"/>
              </w:rPr>
              <w:t>)</w:t>
            </w:r>
          </w:p>
        </w:tc>
      </w:tr>
    </w:tbl>
    <w:p w:rsidR="00844F84" w:rsidRPr="001C7C18" w:rsidRDefault="00844F84" w:rsidP="00844F84">
      <w:pPr>
        <w:keepNext/>
        <w:keepLines/>
        <w:rPr>
          <w:lang w:val="en-AU"/>
        </w:rPr>
      </w:pPr>
    </w:p>
    <w:p w:rsidR="00844F84" w:rsidRDefault="00844F84" w:rsidP="00B02F6E">
      <w:pPr>
        <w:keepLines/>
        <w:autoSpaceDE w:val="0"/>
        <w:autoSpaceDN w:val="0"/>
        <w:adjustRightInd w:val="0"/>
        <w:rPr>
          <w:lang w:val="en-AU"/>
        </w:rPr>
      </w:pPr>
    </w:p>
    <w:p w:rsidR="00B02F6E" w:rsidRPr="002302EF" w:rsidRDefault="00B02F6E" w:rsidP="00122336">
      <w:pPr>
        <w:keepNext/>
        <w:rPr>
          <w:b/>
          <w:lang w:val="en-AU"/>
        </w:rPr>
      </w:pPr>
      <w:r w:rsidRPr="002302EF">
        <w:rPr>
          <w:b/>
          <w:lang w:val="en-AU"/>
        </w:rPr>
        <w:lastRenderedPageBreak/>
        <w:t>Online resources</w:t>
      </w:r>
    </w:p>
    <w:p w:rsidR="0006446D" w:rsidRDefault="0006446D" w:rsidP="00122336">
      <w:pPr>
        <w:keepNext/>
        <w:rPr>
          <w:i/>
          <w:lang w:val="en-AU"/>
        </w:rPr>
      </w:pPr>
    </w:p>
    <w:p w:rsidR="00042771" w:rsidRPr="002302EF" w:rsidRDefault="00042771" w:rsidP="00042771">
      <w:pPr>
        <w:keepNext/>
        <w:rPr>
          <w:i/>
          <w:lang w:val="en-AU"/>
        </w:rPr>
      </w:pPr>
      <w:r w:rsidRPr="002302EF">
        <w:rPr>
          <w:i/>
          <w:lang w:val="en-AU"/>
        </w:rPr>
        <w:t>[USA] Patient Safety Primers</w:t>
      </w:r>
    </w:p>
    <w:p w:rsidR="00042771" w:rsidRDefault="00042771" w:rsidP="00042771">
      <w:pPr>
        <w:keepNext/>
        <w:rPr>
          <w:lang w:val="en-AU"/>
        </w:rPr>
      </w:pPr>
      <w:hyperlink r:id="rId35" w:history="1">
        <w:r w:rsidRPr="00975933">
          <w:rPr>
            <w:rStyle w:val="Hyperlink"/>
            <w:lang w:val="en-AU"/>
          </w:rPr>
          <w:t>https://psnet.ahrq.gov/primers</w:t>
        </w:r>
      </w:hyperlink>
      <w:r>
        <w:rPr>
          <w:lang w:val="en-AU"/>
        </w:rPr>
        <w:t xml:space="preserve"> </w:t>
      </w:r>
    </w:p>
    <w:p w:rsidR="00042771" w:rsidRDefault="00042771" w:rsidP="00042771">
      <w:pPr>
        <w:keepNext/>
        <w:rPr>
          <w:lang w:val="en-AU"/>
        </w:rPr>
      </w:pPr>
      <w:r w:rsidRPr="002302EF">
        <w:rPr>
          <w:lang w:val="en-AU"/>
        </w:rPr>
        <w:t>The Patient Safety Primers from the (US) Agency for Healthcare Research and Quality (AHRQ) discuss key concepts in patient safety. Each primer defines a topic, offers background information on its epidemiology and context, and provides links to relevant materials. AHRQ have released a new primer:</w:t>
      </w:r>
    </w:p>
    <w:p w:rsidR="00042771" w:rsidRDefault="00042771" w:rsidP="00042771">
      <w:pPr>
        <w:pStyle w:val="ListParagraph"/>
        <w:keepNext/>
        <w:numPr>
          <w:ilvl w:val="0"/>
          <w:numId w:val="41"/>
        </w:numPr>
        <w:rPr>
          <w:lang w:val="en-AU"/>
        </w:rPr>
      </w:pPr>
      <w:r w:rsidRPr="002E2C86">
        <w:rPr>
          <w:i/>
          <w:lang w:val="en-AU"/>
        </w:rPr>
        <w:t>Triggers and Trigger Tools</w:t>
      </w:r>
      <w:r w:rsidR="002E2C86">
        <w:rPr>
          <w:i/>
          <w:lang w:val="en-AU"/>
        </w:rPr>
        <w:t xml:space="preserve"> </w:t>
      </w:r>
      <w:r>
        <w:rPr>
          <w:lang w:val="en-AU"/>
        </w:rPr>
        <w:t xml:space="preserve">– </w:t>
      </w:r>
      <w:r w:rsidRPr="00042771">
        <w:rPr>
          <w:lang w:val="en-AU"/>
        </w:rPr>
        <w:t>Triggers have become a widely used method of retrospectively analy</w:t>
      </w:r>
      <w:r>
        <w:rPr>
          <w:lang w:val="en-AU"/>
        </w:rPr>
        <w:t>s</w:t>
      </w:r>
      <w:r w:rsidRPr="00042771">
        <w:rPr>
          <w:lang w:val="en-AU"/>
        </w:rPr>
        <w:t>ing medical records in order to identify errors and adverse events, measure the frequency with which such events occur, and track the progress of safety initiatives over time.</w:t>
      </w:r>
      <w:r w:rsidR="002E2C86">
        <w:rPr>
          <w:lang w:val="en-AU"/>
        </w:rPr>
        <w:t xml:space="preserve"> </w:t>
      </w:r>
      <w:r>
        <w:rPr>
          <w:lang w:val="en-AU"/>
        </w:rPr>
        <w:t xml:space="preserve"> </w:t>
      </w:r>
      <w:hyperlink r:id="rId36" w:history="1">
        <w:r w:rsidRPr="00975933">
          <w:rPr>
            <w:rStyle w:val="Hyperlink"/>
            <w:lang w:val="en-AU"/>
          </w:rPr>
          <w:t>https://psnet.ahrq.gov/primers/primer/33/triggers-and-trigger-tools</w:t>
        </w:r>
      </w:hyperlink>
    </w:p>
    <w:p w:rsidR="00042771" w:rsidRDefault="00042771" w:rsidP="00042771">
      <w:pPr>
        <w:keepNext/>
        <w:keepLines/>
        <w:rPr>
          <w:i/>
          <w:lang w:val="en-AU"/>
        </w:rPr>
      </w:pPr>
    </w:p>
    <w:p w:rsidR="00042771" w:rsidRDefault="00042771" w:rsidP="00042771">
      <w:pPr>
        <w:keepNext/>
        <w:keepLines/>
        <w:rPr>
          <w:i/>
          <w:lang w:val="en-AU"/>
        </w:rPr>
      </w:pPr>
      <w:r>
        <w:rPr>
          <w:i/>
          <w:lang w:val="en-AU"/>
        </w:rPr>
        <w:t>[UK] National Institute for Health Research</w:t>
      </w:r>
    </w:p>
    <w:p w:rsidR="00042771" w:rsidRDefault="00042771" w:rsidP="00042771">
      <w:pPr>
        <w:keepNext/>
        <w:keepLines/>
        <w:rPr>
          <w:lang w:val="en-AU"/>
        </w:rPr>
      </w:pPr>
      <w:hyperlink r:id="rId37" w:history="1">
        <w:r w:rsidRPr="00F76F08">
          <w:rPr>
            <w:rStyle w:val="Hyperlink"/>
            <w:lang w:val="en-AU"/>
          </w:rPr>
          <w:t>https://discover.dc.nihr.ac.uk/portal/home</w:t>
        </w:r>
      </w:hyperlink>
    </w:p>
    <w:p w:rsidR="00042771" w:rsidRPr="007E464F" w:rsidRDefault="00042771" w:rsidP="00042771">
      <w:pPr>
        <w:keepNext/>
        <w:keepLines/>
        <w:rPr>
          <w:lang w:val="en-AU"/>
        </w:rPr>
      </w:pPr>
      <w:r>
        <w:rPr>
          <w:lang w:val="en-AU"/>
        </w:rPr>
        <w:t xml:space="preserve">The UK’s </w:t>
      </w:r>
      <w:r w:rsidRPr="007E464F">
        <w:rPr>
          <w:lang w:val="en-AU"/>
        </w:rPr>
        <w:t>National Institute for Health Research</w:t>
      </w:r>
      <w:r>
        <w:rPr>
          <w:lang w:val="en-AU"/>
        </w:rPr>
        <w:t xml:space="preserve"> (NIHR) Dissemination Centre has released the latest ‘Signals’ research summaries. This latest release includes:</w:t>
      </w:r>
    </w:p>
    <w:p w:rsidR="00042771" w:rsidRPr="00042771" w:rsidRDefault="00042771" w:rsidP="00042771">
      <w:pPr>
        <w:pStyle w:val="ListParagraph"/>
        <w:keepNext/>
        <w:keepLines/>
        <w:numPr>
          <w:ilvl w:val="0"/>
          <w:numId w:val="19"/>
        </w:numPr>
        <w:rPr>
          <w:lang w:val="en-AU"/>
        </w:rPr>
      </w:pPr>
      <w:r w:rsidRPr="00042771">
        <w:rPr>
          <w:lang w:val="en-AU"/>
        </w:rPr>
        <w:t xml:space="preserve">No benefit from </w:t>
      </w:r>
      <w:r w:rsidRPr="00042771">
        <w:rPr>
          <w:b/>
          <w:lang w:val="en-AU"/>
        </w:rPr>
        <w:t>therapeutic cooling</w:t>
      </w:r>
      <w:r w:rsidRPr="00042771">
        <w:rPr>
          <w:lang w:val="en-AU"/>
        </w:rPr>
        <w:t xml:space="preserve"> after a major heart attack</w:t>
      </w:r>
    </w:p>
    <w:p w:rsidR="00042771" w:rsidRPr="00042771" w:rsidRDefault="00042771" w:rsidP="00042771">
      <w:pPr>
        <w:pStyle w:val="ListParagraph"/>
        <w:keepNext/>
        <w:keepLines/>
        <w:numPr>
          <w:ilvl w:val="0"/>
          <w:numId w:val="19"/>
        </w:numPr>
        <w:rPr>
          <w:lang w:val="en-AU"/>
        </w:rPr>
      </w:pPr>
      <w:r w:rsidRPr="00042771">
        <w:rPr>
          <w:lang w:val="en-AU"/>
        </w:rPr>
        <w:t xml:space="preserve">Community pharmacies may be a useful place to deliver </w:t>
      </w:r>
      <w:r w:rsidRPr="00042771">
        <w:rPr>
          <w:b/>
          <w:lang w:val="en-AU"/>
        </w:rPr>
        <w:t>stop smoking services</w:t>
      </w:r>
    </w:p>
    <w:p w:rsidR="00042771" w:rsidRPr="00042771" w:rsidRDefault="00042771" w:rsidP="00042771">
      <w:pPr>
        <w:pStyle w:val="ListParagraph"/>
        <w:keepNext/>
        <w:keepLines/>
        <w:numPr>
          <w:ilvl w:val="0"/>
          <w:numId w:val="19"/>
        </w:numPr>
        <w:rPr>
          <w:lang w:val="en-AU"/>
        </w:rPr>
      </w:pPr>
      <w:r w:rsidRPr="00042771">
        <w:rPr>
          <w:lang w:val="en-AU"/>
        </w:rPr>
        <w:t xml:space="preserve">New generation </w:t>
      </w:r>
      <w:r w:rsidRPr="00042771">
        <w:rPr>
          <w:b/>
          <w:lang w:val="en-AU"/>
        </w:rPr>
        <w:t>anticoagulants</w:t>
      </w:r>
      <w:r w:rsidRPr="00042771">
        <w:rPr>
          <w:lang w:val="en-AU"/>
        </w:rPr>
        <w:t xml:space="preserve"> may be safer than warfarin for people with chronic kidney disease</w:t>
      </w:r>
    </w:p>
    <w:p w:rsidR="00042771" w:rsidRPr="007E464F" w:rsidRDefault="00042771" w:rsidP="00042771">
      <w:pPr>
        <w:pStyle w:val="ListParagraph"/>
        <w:keepNext/>
        <w:keepLines/>
        <w:numPr>
          <w:ilvl w:val="0"/>
          <w:numId w:val="19"/>
        </w:numPr>
        <w:rPr>
          <w:lang w:val="en-AU"/>
        </w:rPr>
      </w:pPr>
      <w:r w:rsidRPr="00042771">
        <w:rPr>
          <w:lang w:val="en-AU"/>
        </w:rPr>
        <w:t xml:space="preserve">Inducing </w:t>
      </w:r>
      <w:r w:rsidRPr="00042771">
        <w:rPr>
          <w:b/>
          <w:lang w:val="en-AU"/>
        </w:rPr>
        <w:t>labour in older women</w:t>
      </w:r>
      <w:r w:rsidRPr="00042771">
        <w:rPr>
          <w:lang w:val="en-AU"/>
        </w:rPr>
        <w:t xml:space="preserve"> having their first baby does not increase the chance of caesarean delivery</w:t>
      </w:r>
    </w:p>
    <w:p w:rsidR="00E070BE" w:rsidRPr="007C4252" w:rsidRDefault="00E070BE" w:rsidP="00B02F6E">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9A" w:rsidRDefault="00272A9A">
      <w:r>
        <w:separator/>
      </w:r>
    </w:p>
  </w:endnote>
  <w:endnote w:type="continuationSeparator" w:id="0">
    <w:p w:rsidR="00272A9A" w:rsidRDefault="0027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E2C86">
      <w:rPr>
        <w:rStyle w:val="PageNumber"/>
        <w:noProof/>
      </w:rPr>
      <w:t>2</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CE7C9C">
      <w:t xml:space="preserve"> Issue 271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296E">
      <w:rPr>
        <w:rStyle w:val="PageNumber"/>
        <w:noProof/>
      </w:rPr>
      <w:t>1</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t xml:space="preserve"> Issue 27</w:t>
    </w:r>
    <w:r w:rsidR="00CE7C9C">
      <w:t>1</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9A" w:rsidRDefault="00272A9A">
      <w:r>
        <w:separator/>
      </w:r>
    </w:p>
  </w:footnote>
  <w:footnote w:type="continuationSeparator" w:id="0">
    <w:p w:rsidR="00272A9A" w:rsidRDefault="00272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F1144B"/>
    <w:multiLevelType w:val="hybridMultilevel"/>
    <w:tmpl w:val="91029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CCB70FA"/>
    <w:multiLevelType w:val="hybridMultilevel"/>
    <w:tmpl w:val="F8B26D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D27424"/>
    <w:multiLevelType w:val="hybridMultilevel"/>
    <w:tmpl w:val="BA02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7349B1"/>
    <w:multiLevelType w:val="hybridMultilevel"/>
    <w:tmpl w:val="9700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6A0DC2"/>
    <w:multiLevelType w:val="hybridMultilevel"/>
    <w:tmpl w:val="04209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F26B0D"/>
    <w:multiLevelType w:val="multilevel"/>
    <w:tmpl w:val="3312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7F3CAC"/>
    <w:multiLevelType w:val="hybridMultilevel"/>
    <w:tmpl w:val="946A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386478"/>
    <w:multiLevelType w:val="hybridMultilevel"/>
    <w:tmpl w:val="3AF8B162"/>
    <w:lvl w:ilvl="0" w:tplc="0C09000F">
      <w:start w:val="1"/>
      <w:numFmt w:val="decimal"/>
      <w:lvlText w:val="%1."/>
      <w:lvlJc w:val="left"/>
      <w:pPr>
        <w:ind w:left="720" w:hanging="360"/>
      </w:pPr>
    </w:lvl>
    <w:lvl w:ilvl="1" w:tplc="7F80CD6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2174A4"/>
    <w:multiLevelType w:val="hybridMultilevel"/>
    <w:tmpl w:val="E8583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F64FC0"/>
    <w:multiLevelType w:val="hybridMultilevel"/>
    <w:tmpl w:val="58041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126EA1"/>
    <w:multiLevelType w:val="hybridMultilevel"/>
    <w:tmpl w:val="E1506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A02E90"/>
    <w:multiLevelType w:val="hybridMultilevel"/>
    <w:tmpl w:val="22684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115AA2"/>
    <w:multiLevelType w:val="hybridMultilevel"/>
    <w:tmpl w:val="A722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1E2D58"/>
    <w:multiLevelType w:val="hybridMultilevel"/>
    <w:tmpl w:val="710E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496762"/>
    <w:multiLevelType w:val="hybridMultilevel"/>
    <w:tmpl w:val="EBE08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542CA4"/>
    <w:multiLevelType w:val="hybridMultilevel"/>
    <w:tmpl w:val="77321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5"/>
  </w:num>
  <w:num w:numId="15">
    <w:abstractNumId w:val="26"/>
  </w:num>
  <w:num w:numId="16">
    <w:abstractNumId w:val="34"/>
  </w:num>
  <w:num w:numId="17">
    <w:abstractNumId w:val="11"/>
  </w:num>
  <w:num w:numId="18">
    <w:abstractNumId w:val="22"/>
  </w:num>
  <w:num w:numId="19">
    <w:abstractNumId w:val="19"/>
  </w:num>
  <w:num w:numId="20">
    <w:abstractNumId w:val="36"/>
  </w:num>
  <w:num w:numId="21">
    <w:abstractNumId w:val="12"/>
  </w:num>
  <w:num w:numId="22">
    <w:abstractNumId w:val="23"/>
  </w:num>
  <w:num w:numId="23">
    <w:abstractNumId w:val="33"/>
  </w:num>
  <w:num w:numId="24">
    <w:abstractNumId w:val="28"/>
  </w:num>
  <w:num w:numId="25">
    <w:abstractNumId w:val="10"/>
  </w:num>
  <w:num w:numId="26">
    <w:abstractNumId w:val="16"/>
  </w:num>
  <w:num w:numId="27">
    <w:abstractNumId w:val="21"/>
  </w:num>
  <w:num w:numId="28">
    <w:abstractNumId w:val="14"/>
  </w:num>
  <w:num w:numId="29">
    <w:abstractNumId w:val="13"/>
  </w:num>
  <w:num w:numId="30">
    <w:abstractNumId w:val="39"/>
  </w:num>
  <w:num w:numId="31">
    <w:abstractNumId w:val="32"/>
  </w:num>
  <w:num w:numId="32">
    <w:abstractNumId w:val="17"/>
  </w:num>
  <w:num w:numId="33">
    <w:abstractNumId w:val="30"/>
  </w:num>
  <w:num w:numId="34">
    <w:abstractNumId w:val="20"/>
  </w:num>
  <w:num w:numId="35">
    <w:abstractNumId w:val="35"/>
  </w:num>
  <w:num w:numId="36">
    <w:abstractNumId w:val="38"/>
  </w:num>
  <w:num w:numId="37">
    <w:abstractNumId w:val="18"/>
  </w:num>
  <w:num w:numId="38">
    <w:abstractNumId w:val="31"/>
  </w:num>
  <w:num w:numId="39">
    <w:abstractNumId w:val="40"/>
  </w:num>
  <w:num w:numId="40">
    <w:abstractNumId w:val="27"/>
  </w:num>
  <w:num w:numId="4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C4B"/>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89E"/>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6E"/>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BFC"/>
    <w:rsid w:val="00753FB0"/>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38D"/>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579"/>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105"/>
    <w:rsid w:val="00FF2852"/>
    <w:rsid w:val="00FF28C5"/>
    <w:rsid w:val="00FF3085"/>
    <w:rsid w:val="00FF31A9"/>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ahha.asn.au/system/files/docs/publications/deeble_institute_issues_brief_no._16_silk.pdf" TargetMode="External"/><Relationship Id="rId26" Type="http://schemas.openxmlformats.org/officeDocument/2006/relationships/hyperlink" Target="http://dx.doi.org/10.3310/hsdr04130"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fetyandquality.gov.au/national-priorities/amr-and-au-surveillance-project/" TargetMode="External"/><Relationship Id="rId34" Type="http://schemas.openxmlformats.org/officeDocument/2006/relationships/hyperlink" Target="http://intqhc.oxfordjournals.org/content/early/recent?papetoc"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gmc-uk.org/guidance/ethical_guidance/28687.asp" TargetMode="External"/><Relationship Id="rId25" Type="http://schemas.openxmlformats.org/officeDocument/2006/relationships/hyperlink" Target="http://www.safetyandquality.gov.au/our-work/open-disclosure/" TargetMode="External"/><Relationship Id="rId33" Type="http://schemas.openxmlformats.org/officeDocument/2006/relationships/hyperlink" Target="http://qualitysafety.bmj.com/content/early/recen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cseng.ac.uk/publications/docs/professional-standards-for-cosmetic-surgery/" TargetMode="External"/><Relationship Id="rId20" Type="http://schemas.openxmlformats.org/officeDocument/2006/relationships/hyperlink" Target="http://www.safetyandquality.gov.au/our-work/healthcare-associated-infection/antimicrobial-stewardship/" TargetMode="External"/><Relationship Id="rId29" Type="http://schemas.openxmlformats.org/officeDocument/2006/relationships/hyperlink" Target="http://qir.bmj.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16/j.socscimed.2016.03.026" TargetMode="External"/><Relationship Id="rId32" Type="http://schemas.openxmlformats.org/officeDocument/2006/relationships/hyperlink" Target="http://www.publish.csiro.au/nid/262/issue/8048.htm" TargetMode="External"/><Relationship Id="rId37" Type="http://schemas.openxmlformats.org/officeDocument/2006/relationships/hyperlink" Target="https://discover.dc.nihr.ac.uk/portal/home"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01/jama.2016.3463" TargetMode="External"/><Relationship Id="rId28" Type="http://schemas.openxmlformats.org/officeDocument/2006/relationships/hyperlink" Target="http://dx.doi.org/10.1136/bmjqs-2015-005092" TargetMode="External"/><Relationship Id="rId36" Type="http://schemas.openxmlformats.org/officeDocument/2006/relationships/hyperlink" Target="https://psnet.ahrq.gov/primers/primer/33/triggers-and-trigger-tools"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93/cid/ciw118" TargetMode="External"/><Relationship Id="rId31" Type="http://schemas.openxmlformats.org/officeDocument/2006/relationships/hyperlink" Target="http://www.safetyandquality.gov.au/our-work/medication-safety/"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93/intqhc/mzw042" TargetMode="External"/><Relationship Id="rId27" Type="http://schemas.openxmlformats.org/officeDocument/2006/relationships/hyperlink" Target="http://dx.doi.org/10.1136/emermed-2015-204900" TargetMode="External"/><Relationship Id="rId30" Type="http://schemas.openxmlformats.org/officeDocument/2006/relationships/hyperlink" Target="http://dx.doi.org/10.1093/intqhc/mzw047" TargetMode="External"/><Relationship Id="rId35" Type="http://schemas.openxmlformats.org/officeDocument/2006/relationships/hyperlink" Target="https://psnet.ahrq.gov/pri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10F3-3C84-4788-A930-DDC5EA10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24105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2016-04-29T02:31:00Z</dcterms:created>
  <dcterms:modified xsi:type="dcterms:W3CDTF">2016-04-29T02:31:00Z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