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D21B25">
        <w:rPr>
          <w:color w:val="000000"/>
          <w:lang w:val="en-AU"/>
        </w:rPr>
        <w:t>82</w:t>
      </w:r>
    </w:p>
    <w:p w:rsidR="00755242" w:rsidRPr="002302EF" w:rsidRDefault="000E249C" w:rsidP="00B160EF">
      <w:pPr>
        <w:rPr>
          <w:lang w:val="en-AU"/>
        </w:rPr>
      </w:pPr>
      <w:r>
        <w:rPr>
          <w:lang w:val="en-AU"/>
        </w:rPr>
        <w:t>1</w:t>
      </w:r>
      <w:r w:rsidR="00D21B25">
        <w:rPr>
          <w:lang w:val="en-AU"/>
        </w:rPr>
        <w:t>8</w:t>
      </w:r>
      <w:r w:rsidR="006D5083">
        <w:rPr>
          <w:lang w:val="en-AU"/>
        </w:rPr>
        <w:t xml:space="preserve"> July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497034">
        <w:rPr>
          <w:bCs/>
          <w:lang w:val="en-AU"/>
        </w:rPr>
        <w:t>, Meredith Page</w:t>
      </w:r>
    </w:p>
    <w:p w:rsidR="008544DE" w:rsidRDefault="008544DE" w:rsidP="008544DE">
      <w:pPr>
        <w:keepNext/>
        <w:keepLines/>
        <w:autoSpaceDE w:val="0"/>
        <w:autoSpaceDN w:val="0"/>
        <w:adjustRightInd w:val="0"/>
        <w:rPr>
          <w:lang w:val="en-AU"/>
        </w:rPr>
      </w:pPr>
    </w:p>
    <w:p w:rsidR="00D255B5" w:rsidRDefault="00D255B5" w:rsidP="008544DE">
      <w:pPr>
        <w:keepNext/>
        <w:keepLines/>
        <w:autoSpaceDE w:val="0"/>
        <w:autoSpaceDN w:val="0"/>
        <w:adjustRightInd w:val="0"/>
        <w:rPr>
          <w:lang w:val="en-AU"/>
        </w:rPr>
      </w:pPr>
    </w:p>
    <w:p w:rsidR="00A973AA" w:rsidRDefault="00A973AA" w:rsidP="004F47AC">
      <w:pPr>
        <w:keepNext/>
        <w:keepLines/>
        <w:autoSpaceDE w:val="0"/>
        <w:autoSpaceDN w:val="0"/>
        <w:adjustRightInd w:val="0"/>
        <w:rPr>
          <w:b/>
          <w:lang w:val="en-AU"/>
        </w:rPr>
      </w:pPr>
      <w:r w:rsidRPr="00A973AA">
        <w:rPr>
          <w:b/>
          <w:lang w:val="en-AU"/>
        </w:rPr>
        <w:t>Consultation on draft Osteoarthritis of the Knee Clinical Care Standard</w:t>
      </w:r>
    </w:p>
    <w:p w:rsidR="00A973AA" w:rsidRPr="00A973AA" w:rsidRDefault="00A973AA" w:rsidP="00A973AA">
      <w:pPr>
        <w:keepNext/>
        <w:keepLines/>
        <w:autoSpaceDE w:val="0"/>
        <w:autoSpaceDN w:val="0"/>
        <w:adjustRightInd w:val="0"/>
        <w:rPr>
          <w:lang w:val="en-AU"/>
        </w:rPr>
      </w:pPr>
      <w:r w:rsidRPr="00A973AA">
        <w:rPr>
          <w:lang w:val="en-AU"/>
        </w:rPr>
        <w:t xml:space="preserve">In collaboration with consumers, clinicians, researchers and health service organisations, the Australian Commission on Safety and Quality in Health Care has developed the draft </w:t>
      </w:r>
      <w:r w:rsidRPr="00A973AA">
        <w:rPr>
          <w:i/>
          <w:lang w:val="en-AU"/>
        </w:rPr>
        <w:t>Osteoarthritis of the Knee Clinical Care Standard</w:t>
      </w:r>
      <w:r w:rsidRPr="00A973AA">
        <w:rPr>
          <w:lang w:val="en-AU"/>
        </w:rPr>
        <w:t>.</w:t>
      </w:r>
      <w:r>
        <w:rPr>
          <w:lang w:val="en-AU"/>
        </w:rPr>
        <w:t xml:space="preserve"> </w:t>
      </w:r>
      <w:r w:rsidRPr="00A973AA">
        <w:rPr>
          <w:lang w:val="en-AU"/>
        </w:rPr>
        <w:t>This draft Clinical Care Standard is now available for public consultation.</w:t>
      </w:r>
      <w:r>
        <w:rPr>
          <w:lang w:val="en-AU"/>
        </w:rPr>
        <w:t xml:space="preserve"> </w:t>
      </w:r>
      <w:r w:rsidRPr="00A973AA">
        <w:rPr>
          <w:lang w:val="en-AU"/>
        </w:rPr>
        <w:t>In developing this draft Clinical Care Standard, the most up-to-date guidelines and standards have been considered.</w:t>
      </w:r>
    </w:p>
    <w:p w:rsidR="00A973AA" w:rsidRPr="00A973AA" w:rsidRDefault="00A973AA" w:rsidP="00A973AA">
      <w:pPr>
        <w:keepNext/>
        <w:keepLines/>
        <w:autoSpaceDE w:val="0"/>
        <w:autoSpaceDN w:val="0"/>
        <w:adjustRightInd w:val="0"/>
        <w:rPr>
          <w:lang w:val="en-AU"/>
        </w:rPr>
      </w:pPr>
      <w:r w:rsidRPr="00A973AA">
        <w:rPr>
          <w:lang w:val="en-AU"/>
        </w:rPr>
        <w:t xml:space="preserve">Feedback is sought via an online survey or in writing by </w:t>
      </w:r>
      <w:r w:rsidRPr="00A973AA">
        <w:rPr>
          <w:b/>
          <w:lang w:val="en-AU"/>
        </w:rPr>
        <w:t>11:59 pm, 31 July 2016</w:t>
      </w:r>
      <w:r w:rsidRPr="00A973AA">
        <w:rPr>
          <w:lang w:val="en-AU"/>
        </w:rPr>
        <w:t>.</w:t>
      </w:r>
      <w:r>
        <w:rPr>
          <w:lang w:val="en-AU"/>
        </w:rPr>
        <w:t xml:space="preserve"> </w:t>
      </w:r>
      <w:r w:rsidRPr="00A973AA">
        <w:rPr>
          <w:lang w:val="en-AU"/>
        </w:rPr>
        <w:t xml:space="preserve">Find out about the consultation process and access the draft </w:t>
      </w:r>
      <w:r w:rsidRPr="00A973AA">
        <w:rPr>
          <w:i/>
          <w:lang w:val="en-AU"/>
        </w:rPr>
        <w:t>Osteoarthritis of the Knee Clinical Care Standard</w:t>
      </w:r>
      <w:r w:rsidRPr="00A973AA">
        <w:rPr>
          <w:lang w:val="en-AU"/>
        </w:rPr>
        <w:t xml:space="preserve">, the online survey, indicator specifications and factsheets at </w:t>
      </w:r>
      <w:hyperlink r:id="rId16" w:history="1">
        <w:r w:rsidRPr="00A973AA">
          <w:rPr>
            <w:rStyle w:val="Hyperlink"/>
            <w:lang w:val="en-AU"/>
          </w:rPr>
          <w:t>www.safetyandquality.gov.au/ccs/consultation</w:t>
        </w:r>
      </w:hyperlink>
    </w:p>
    <w:p w:rsidR="00A973AA" w:rsidRDefault="00A973AA" w:rsidP="00A973AA">
      <w:pPr>
        <w:keepNext/>
        <w:keepLines/>
        <w:autoSpaceDE w:val="0"/>
        <w:autoSpaceDN w:val="0"/>
        <w:adjustRightInd w:val="0"/>
        <w:rPr>
          <w:b/>
          <w:lang w:val="en-AU"/>
        </w:rPr>
      </w:pPr>
    </w:p>
    <w:p w:rsidR="00497034" w:rsidRPr="00497034" w:rsidRDefault="00497034" w:rsidP="00497034">
      <w:pPr>
        <w:keepNext/>
        <w:keepLines/>
        <w:autoSpaceDE w:val="0"/>
        <w:autoSpaceDN w:val="0"/>
        <w:adjustRightInd w:val="0"/>
        <w:rPr>
          <w:i/>
          <w:lang w:val="en-AU"/>
        </w:rPr>
      </w:pPr>
      <w:r>
        <w:rPr>
          <w:i/>
          <w:lang w:val="en-AU"/>
        </w:rPr>
        <w:t>Delirium Clinical Care Standard</w:t>
      </w:r>
    </w:p>
    <w:p w:rsidR="00497034" w:rsidRPr="00497034" w:rsidRDefault="00497034" w:rsidP="00497034">
      <w:pPr>
        <w:keepNext/>
        <w:keepLines/>
        <w:autoSpaceDE w:val="0"/>
        <w:autoSpaceDN w:val="0"/>
        <w:adjustRightInd w:val="0"/>
        <w:rPr>
          <w:lang w:val="en-AU"/>
        </w:rPr>
      </w:pPr>
      <w:r w:rsidRPr="00497034">
        <w:rPr>
          <w:lang w:val="en-AU"/>
        </w:rPr>
        <w:t>Australian Commission on Safety and Quality in Health Care</w:t>
      </w:r>
    </w:p>
    <w:p w:rsidR="00497034" w:rsidRDefault="00497034" w:rsidP="00497034">
      <w:pPr>
        <w:keepNext/>
        <w:keepLines/>
        <w:autoSpaceDE w:val="0"/>
        <w:autoSpaceDN w:val="0"/>
        <w:adjustRightInd w:val="0"/>
        <w:rPr>
          <w:lang w:val="en-AU"/>
        </w:rPr>
      </w:pPr>
      <w:r w:rsidRPr="00497034">
        <w:rPr>
          <w:lang w:val="en-AU"/>
        </w:rPr>
        <w:t>Sydney: ACSQHC; 2016.</w:t>
      </w:r>
    </w:p>
    <w:tbl>
      <w:tblPr>
        <w:tblStyle w:val="TableGrid"/>
        <w:tblW w:w="0" w:type="auto"/>
        <w:tblInd w:w="288" w:type="dxa"/>
        <w:tblLayout w:type="fixed"/>
        <w:tblLook w:val="01E0" w:firstRow="1" w:lastRow="1" w:firstColumn="1" w:lastColumn="1" w:noHBand="0" w:noVBand="0"/>
      </w:tblPr>
      <w:tblGrid>
        <w:gridCol w:w="1080"/>
        <w:gridCol w:w="8280"/>
      </w:tblGrid>
      <w:tr w:rsidR="00497034" w:rsidRPr="00255EF8" w:rsidTr="006C4869">
        <w:tc>
          <w:tcPr>
            <w:tcW w:w="1080" w:type="dxa"/>
            <w:tcBorders>
              <w:top w:val="single" w:sz="4" w:space="0" w:color="auto"/>
              <w:left w:val="single" w:sz="4" w:space="0" w:color="auto"/>
              <w:bottom w:val="single" w:sz="4" w:space="0" w:color="auto"/>
              <w:right w:val="single" w:sz="4" w:space="0" w:color="auto"/>
            </w:tcBorders>
            <w:vAlign w:val="center"/>
          </w:tcPr>
          <w:p w:rsidR="00497034" w:rsidRPr="00255EF8" w:rsidRDefault="00497034" w:rsidP="006C486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97034" w:rsidRPr="00255EF8" w:rsidRDefault="00881EEB" w:rsidP="006C4869">
            <w:pPr>
              <w:rPr>
                <w:lang w:val="en-AU"/>
              </w:rPr>
            </w:pPr>
            <w:hyperlink r:id="rId17" w:history="1">
              <w:r w:rsidR="00497034">
                <w:rPr>
                  <w:rStyle w:val="Hyperlink"/>
                  <w:lang w:eastAsia="en-AU"/>
                </w:rPr>
                <w:t>http://www.safetyandquality.gov.au/our-work/clinical-care-standards/delirium-clinical-care-standard/</w:t>
              </w:r>
            </w:hyperlink>
          </w:p>
        </w:tc>
      </w:tr>
      <w:tr w:rsidR="00497034" w:rsidRPr="004147BB" w:rsidTr="006C4869">
        <w:tc>
          <w:tcPr>
            <w:tcW w:w="1080" w:type="dxa"/>
            <w:tcBorders>
              <w:top w:val="single" w:sz="4" w:space="0" w:color="auto"/>
              <w:left w:val="single" w:sz="4" w:space="0" w:color="auto"/>
              <w:bottom w:val="single" w:sz="4" w:space="0" w:color="auto"/>
              <w:right w:val="single" w:sz="4" w:space="0" w:color="auto"/>
            </w:tcBorders>
            <w:vAlign w:val="center"/>
          </w:tcPr>
          <w:p w:rsidR="00497034" w:rsidRPr="00255EF8" w:rsidRDefault="00497034" w:rsidP="006C486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7034" w:rsidRPr="00497034" w:rsidRDefault="00497034" w:rsidP="00497034">
            <w:pPr>
              <w:rPr>
                <w:lang w:val="en-AU" w:eastAsia="en-AU"/>
              </w:rPr>
            </w:pPr>
            <w:r w:rsidRPr="00497034">
              <w:rPr>
                <w:lang w:val="en-AU" w:eastAsia="en-AU"/>
              </w:rPr>
              <w:t xml:space="preserve">The Australian Commission on Safety and Quality in Health Care, in collaboration with consumers, clinicians, researchers and health organisations, has developed the </w:t>
            </w:r>
            <w:r w:rsidRPr="00497034">
              <w:rPr>
                <w:i/>
                <w:lang w:val="en-AU" w:eastAsia="en-AU"/>
              </w:rPr>
              <w:t>Delirium Clinical Care Standard</w:t>
            </w:r>
            <w:r w:rsidRPr="00497034">
              <w:rPr>
                <w:lang w:val="en-AU" w:eastAsia="en-AU"/>
              </w:rPr>
              <w:t xml:space="preserve"> and resources to guide and support its implementation.</w:t>
            </w:r>
          </w:p>
          <w:p w:rsidR="00497034" w:rsidRPr="00497034" w:rsidRDefault="00497034" w:rsidP="00497034">
            <w:pPr>
              <w:pStyle w:val="ListParagraph"/>
              <w:numPr>
                <w:ilvl w:val="0"/>
                <w:numId w:val="42"/>
              </w:numPr>
              <w:rPr>
                <w:lang w:val="en-AU" w:eastAsia="en-AU"/>
              </w:rPr>
            </w:pPr>
            <w:r w:rsidRPr="00497034">
              <w:rPr>
                <w:lang w:val="en-AU" w:eastAsia="en-AU"/>
              </w:rPr>
              <w:lastRenderedPageBreak/>
              <w:t xml:space="preserve">The </w:t>
            </w:r>
            <w:r w:rsidRPr="00497034">
              <w:rPr>
                <w:i/>
                <w:lang w:val="en-AU" w:eastAsia="en-AU"/>
              </w:rPr>
              <w:t>Delirium Clinical Care Standard</w:t>
            </w:r>
            <w:r>
              <w:rPr>
                <w:lang w:val="en-AU" w:eastAsia="en-AU"/>
              </w:rPr>
              <w:t xml:space="preserve"> aims to ensure </w:t>
            </w:r>
            <w:r w:rsidRPr="00497034">
              <w:rPr>
                <w:lang w:val="en-AU" w:eastAsia="en-AU"/>
              </w:rPr>
              <w:t>that patients with delirium at the time of presentation to hospital receive optimal treatment, and that patients at risk of delirium are identified promptly and preventative strategies are put in place.</w:t>
            </w:r>
          </w:p>
          <w:p w:rsidR="00497034" w:rsidRPr="00497034" w:rsidRDefault="00497034" w:rsidP="00497034">
            <w:pPr>
              <w:pStyle w:val="ListParagraph"/>
              <w:numPr>
                <w:ilvl w:val="0"/>
                <w:numId w:val="42"/>
              </w:numPr>
              <w:rPr>
                <w:lang w:val="en-AU" w:eastAsia="en-AU"/>
              </w:rPr>
            </w:pPr>
            <w:r w:rsidRPr="00497034">
              <w:rPr>
                <w:lang w:val="en-AU" w:eastAsia="en-AU"/>
              </w:rPr>
              <w:t xml:space="preserve">Additional resources include an </w:t>
            </w:r>
            <w:r w:rsidRPr="00497034">
              <w:rPr>
                <w:b/>
                <w:lang w:val="en-AU" w:eastAsia="en-AU"/>
              </w:rPr>
              <w:t>Indicator Specification</w:t>
            </w:r>
            <w:r w:rsidRPr="00497034">
              <w:rPr>
                <w:lang w:val="en-AU" w:eastAsia="en-AU"/>
              </w:rPr>
              <w:t xml:space="preserve"> (a set of suggested indicators to assist with local implementation of the </w:t>
            </w:r>
            <w:r w:rsidRPr="00497034">
              <w:rPr>
                <w:i/>
                <w:lang w:val="en-AU" w:eastAsia="en-AU"/>
              </w:rPr>
              <w:t>Delirium Clinical Care Standard</w:t>
            </w:r>
            <w:r w:rsidRPr="00497034">
              <w:rPr>
                <w:lang w:val="en-AU" w:eastAsia="en-AU"/>
              </w:rPr>
              <w:t xml:space="preserve">. Clinicians and health services can use the indicators to monitor the implementation of quality statements, and support improvement as needed), </w:t>
            </w:r>
            <w:r w:rsidRPr="00497034">
              <w:rPr>
                <w:b/>
                <w:lang w:val="en-AU" w:eastAsia="en-AU"/>
              </w:rPr>
              <w:t xml:space="preserve">fact sheets </w:t>
            </w:r>
            <w:r w:rsidRPr="00497034">
              <w:rPr>
                <w:lang w:val="en-AU" w:eastAsia="en-AU"/>
              </w:rPr>
              <w:t>for</w:t>
            </w:r>
            <w:r w:rsidRPr="00497034">
              <w:rPr>
                <w:b/>
                <w:lang w:val="en-AU" w:eastAsia="en-AU"/>
              </w:rPr>
              <w:t xml:space="preserve"> clinicians </w:t>
            </w:r>
            <w:r w:rsidRPr="00497034">
              <w:rPr>
                <w:lang w:val="en-AU" w:eastAsia="en-AU"/>
              </w:rPr>
              <w:t>and</w:t>
            </w:r>
            <w:r w:rsidRPr="00497034">
              <w:rPr>
                <w:b/>
                <w:lang w:val="en-AU" w:eastAsia="en-AU"/>
              </w:rPr>
              <w:t xml:space="preserve"> consumers</w:t>
            </w:r>
            <w:r w:rsidRPr="00497034">
              <w:rPr>
                <w:lang w:val="en-AU" w:eastAsia="en-AU"/>
              </w:rPr>
              <w:t>, and supporting evidence sources.</w:t>
            </w:r>
          </w:p>
        </w:tc>
      </w:tr>
    </w:tbl>
    <w:p w:rsidR="00497034" w:rsidRDefault="00497034" w:rsidP="00497034">
      <w:pPr>
        <w:keepNext/>
        <w:keepLines/>
        <w:autoSpaceDE w:val="0"/>
        <w:autoSpaceDN w:val="0"/>
        <w:adjustRightInd w:val="0"/>
        <w:rPr>
          <w:lang w:val="en-AU"/>
        </w:rPr>
      </w:pPr>
    </w:p>
    <w:p w:rsidR="00092493" w:rsidRPr="00497034" w:rsidRDefault="00092493" w:rsidP="00497034">
      <w:pPr>
        <w:keepNext/>
        <w:keepLines/>
        <w:autoSpaceDE w:val="0"/>
        <w:autoSpaceDN w:val="0"/>
        <w:adjustRightInd w:val="0"/>
        <w:rPr>
          <w:lang w:val="en-AU"/>
        </w:rPr>
      </w:pPr>
    </w:p>
    <w:p w:rsidR="00D21B25" w:rsidRDefault="00D21B25" w:rsidP="004F47AC">
      <w:pPr>
        <w:keepNext/>
        <w:keepLines/>
        <w:autoSpaceDE w:val="0"/>
        <w:autoSpaceDN w:val="0"/>
        <w:adjustRightInd w:val="0"/>
        <w:rPr>
          <w:b/>
          <w:lang w:val="en-AU"/>
        </w:rPr>
      </w:pPr>
      <w:r>
        <w:rPr>
          <w:b/>
          <w:lang w:val="en-AU"/>
        </w:rPr>
        <w:t>Books</w:t>
      </w:r>
    </w:p>
    <w:p w:rsidR="00D21B25" w:rsidRDefault="00D21B25" w:rsidP="00D21B25">
      <w:pPr>
        <w:keepNext/>
        <w:keepLines/>
        <w:autoSpaceDE w:val="0"/>
        <w:autoSpaceDN w:val="0"/>
        <w:adjustRightInd w:val="0"/>
        <w:rPr>
          <w:lang w:val="en-AU"/>
        </w:rPr>
      </w:pPr>
    </w:p>
    <w:p w:rsidR="00092493" w:rsidRPr="00092493" w:rsidRDefault="00092493" w:rsidP="00092493">
      <w:pPr>
        <w:keepNext/>
        <w:keepLines/>
        <w:autoSpaceDE w:val="0"/>
        <w:autoSpaceDN w:val="0"/>
        <w:adjustRightInd w:val="0"/>
        <w:rPr>
          <w:i/>
          <w:lang w:val="en-AU"/>
        </w:rPr>
      </w:pPr>
      <w:r w:rsidRPr="00092493">
        <w:rPr>
          <w:i/>
          <w:lang w:val="en-AU"/>
        </w:rPr>
        <w:t>Better Ways to Pay for Health Care</w:t>
      </w:r>
    </w:p>
    <w:p w:rsidR="00092493" w:rsidRDefault="00092493" w:rsidP="00D21B25">
      <w:pPr>
        <w:keepNext/>
        <w:keepLines/>
        <w:autoSpaceDE w:val="0"/>
        <w:autoSpaceDN w:val="0"/>
        <w:adjustRightInd w:val="0"/>
        <w:rPr>
          <w:lang w:val="en-AU"/>
        </w:rPr>
      </w:pPr>
      <w:r w:rsidRPr="00092493">
        <w:rPr>
          <w:lang w:val="en-AU"/>
        </w:rPr>
        <w:t>OECD</w:t>
      </w:r>
    </w:p>
    <w:p w:rsidR="00D21B25" w:rsidRPr="00574FD8" w:rsidRDefault="00092493" w:rsidP="00D21B25">
      <w:pPr>
        <w:keepNext/>
        <w:keepLines/>
        <w:autoSpaceDE w:val="0"/>
        <w:autoSpaceDN w:val="0"/>
        <w:adjustRightInd w:val="0"/>
        <w:rPr>
          <w:lang w:val="en-AU"/>
        </w:rPr>
      </w:pPr>
      <w:r w:rsidRPr="00092493">
        <w:rPr>
          <w:lang w:val="en-AU"/>
        </w:rPr>
        <w:t>Paris: OECD Publishing; 2016.</w:t>
      </w:r>
      <w:r>
        <w:rPr>
          <w:lang w:val="en-AU"/>
        </w:rPr>
        <w:t xml:space="preserve"> 168p.</w:t>
      </w:r>
    </w:p>
    <w:tbl>
      <w:tblPr>
        <w:tblStyle w:val="TableGrid"/>
        <w:tblW w:w="0" w:type="auto"/>
        <w:tblInd w:w="288" w:type="dxa"/>
        <w:tblLayout w:type="fixed"/>
        <w:tblLook w:val="01E0" w:firstRow="1" w:lastRow="1" w:firstColumn="1" w:lastColumn="1" w:noHBand="0" w:noVBand="0"/>
      </w:tblPr>
      <w:tblGrid>
        <w:gridCol w:w="1080"/>
        <w:gridCol w:w="8280"/>
      </w:tblGrid>
      <w:tr w:rsidR="00D21B25" w:rsidRPr="00255EF8" w:rsidTr="006C4869">
        <w:tc>
          <w:tcPr>
            <w:tcW w:w="1080" w:type="dxa"/>
            <w:tcBorders>
              <w:top w:val="single" w:sz="4" w:space="0" w:color="auto"/>
              <w:left w:val="single" w:sz="4" w:space="0" w:color="auto"/>
              <w:bottom w:val="single" w:sz="4" w:space="0" w:color="auto"/>
              <w:right w:val="single" w:sz="4" w:space="0" w:color="auto"/>
            </w:tcBorders>
            <w:vAlign w:val="center"/>
          </w:tcPr>
          <w:p w:rsidR="00D21B25" w:rsidRPr="00255EF8" w:rsidRDefault="00092493" w:rsidP="006C486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1B25" w:rsidRPr="00255EF8" w:rsidRDefault="00881EEB" w:rsidP="006C4869">
            <w:pPr>
              <w:rPr>
                <w:lang w:val="en-AU"/>
              </w:rPr>
            </w:pPr>
            <w:hyperlink r:id="rId18" w:history="1">
              <w:r w:rsidR="00092493" w:rsidRPr="00B86387">
                <w:rPr>
                  <w:rStyle w:val="Hyperlink"/>
                  <w:lang w:val="en-AU"/>
                </w:rPr>
                <w:t>http://dx.doi.org/10.1787/9789264258211-en</w:t>
              </w:r>
            </w:hyperlink>
          </w:p>
        </w:tc>
      </w:tr>
      <w:tr w:rsidR="00D21B25" w:rsidRPr="004147BB" w:rsidTr="006C4869">
        <w:tc>
          <w:tcPr>
            <w:tcW w:w="1080" w:type="dxa"/>
            <w:tcBorders>
              <w:top w:val="single" w:sz="4" w:space="0" w:color="auto"/>
              <w:left w:val="single" w:sz="4" w:space="0" w:color="auto"/>
              <w:bottom w:val="single" w:sz="4" w:space="0" w:color="auto"/>
              <w:right w:val="single" w:sz="4" w:space="0" w:color="auto"/>
            </w:tcBorders>
            <w:vAlign w:val="center"/>
          </w:tcPr>
          <w:p w:rsidR="00D21B25" w:rsidRPr="00255EF8" w:rsidRDefault="00D21B25" w:rsidP="006C486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1B25" w:rsidRDefault="00092493" w:rsidP="00092493">
            <w:pPr>
              <w:rPr>
                <w:lang w:val="en-AU" w:eastAsia="en-AU"/>
              </w:rPr>
            </w:pPr>
            <w:r>
              <w:rPr>
                <w:lang w:val="en-AU" w:eastAsia="en-AU"/>
              </w:rPr>
              <w:t>From the OECD Library website:</w:t>
            </w:r>
          </w:p>
          <w:p w:rsidR="00092493" w:rsidRPr="00B74457" w:rsidRDefault="00092493" w:rsidP="00092493">
            <w:pPr>
              <w:rPr>
                <w:lang w:val="en-AU" w:eastAsia="en-AU"/>
              </w:rPr>
            </w:pPr>
            <w:r>
              <w:rPr>
                <w:lang w:val="en-AU" w:eastAsia="en-AU"/>
              </w:rPr>
              <w:t>“</w:t>
            </w:r>
            <w:r w:rsidRPr="00092493">
              <w:rPr>
                <w:lang w:val="en-AU" w:eastAsia="en-AU"/>
              </w:rPr>
              <w:t xml:space="preserve">Payers for health care are pursuing a variety of policies as part of broader efforts to improve the quality and efficiency of care.  Payment reform is but one policy tool to improve health system performance that requires supportive measures in place such as policies with well-developed stakeholder involvement, information on quality, clear criteria for tariff setting, and embedding evaluation as part of the policy process. Countries should not, however, underestimate the significant data challenges when looking at price setting processes. Data access and ways to overcome its fragmentation require well-developed infrastructures. Policy efforts highlight a trend towards aligning payer and provider incentives by using evidence-based clinical guidelines and outcomes to inform price setting. There are signs of </w:t>
            </w:r>
            <w:r w:rsidRPr="00092493">
              <w:rPr>
                <w:b/>
                <w:lang w:val="en-AU" w:eastAsia="en-AU"/>
              </w:rPr>
              <w:t>increasing policy focus on outcomes to inform price setting</w:t>
            </w:r>
            <w:r w:rsidRPr="00092493">
              <w:rPr>
                <w:lang w:val="en-AU" w:eastAsia="en-AU"/>
              </w:rPr>
              <w:t xml:space="preserve">. These efforts could bring about system-wide effects of </w:t>
            </w:r>
            <w:r w:rsidRPr="00092493">
              <w:rPr>
                <w:b/>
                <w:lang w:val="en-AU" w:eastAsia="en-AU"/>
              </w:rPr>
              <w:t>using evidence along with a patient-centred focus to improve health care delivery and performance</w:t>
            </w:r>
            <w:r w:rsidRPr="00092493">
              <w:rPr>
                <w:lang w:val="en-AU" w:eastAsia="en-AU"/>
              </w:rPr>
              <w:t xml:space="preserve"> in the long-run.</w:t>
            </w:r>
            <w:r>
              <w:rPr>
                <w:lang w:val="en-AU" w:eastAsia="en-AU"/>
              </w:rPr>
              <w:t>”</w:t>
            </w:r>
          </w:p>
        </w:tc>
      </w:tr>
    </w:tbl>
    <w:p w:rsidR="00D21B25" w:rsidRDefault="00D21B25" w:rsidP="00D21B25">
      <w:pPr>
        <w:keepNext/>
        <w:keepLines/>
        <w:autoSpaceDE w:val="0"/>
        <w:autoSpaceDN w:val="0"/>
        <w:adjustRightInd w:val="0"/>
        <w:rPr>
          <w:lang w:val="en-AU"/>
        </w:rPr>
      </w:pPr>
    </w:p>
    <w:p w:rsidR="00D21B25" w:rsidRDefault="00D21B25" w:rsidP="00D21B25">
      <w:pPr>
        <w:keepNext/>
        <w:keepLines/>
        <w:autoSpaceDE w:val="0"/>
        <w:autoSpaceDN w:val="0"/>
        <w:adjustRightInd w:val="0"/>
        <w:rPr>
          <w:lang w:val="en-AU"/>
        </w:rPr>
      </w:pPr>
    </w:p>
    <w:p w:rsidR="00183491" w:rsidRDefault="00183491" w:rsidP="004F47AC">
      <w:pPr>
        <w:keepNext/>
        <w:keepLines/>
        <w:autoSpaceDE w:val="0"/>
        <w:autoSpaceDN w:val="0"/>
        <w:adjustRightInd w:val="0"/>
        <w:rPr>
          <w:b/>
          <w:lang w:val="en-AU"/>
        </w:rPr>
      </w:pPr>
      <w:r>
        <w:rPr>
          <w:b/>
          <w:lang w:val="en-AU"/>
        </w:rPr>
        <w:t>Reports</w:t>
      </w:r>
    </w:p>
    <w:p w:rsidR="00B02395" w:rsidRDefault="00B02395" w:rsidP="00B02395">
      <w:pPr>
        <w:keepNext/>
        <w:keepLines/>
        <w:autoSpaceDE w:val="0"/>
        <w:autoSpaceDN w:val="0"/>
        <w:adjustRightInd w:val="0"/>
        <w:rPr>
          <w:lang w:val="en-AU"/>
        </w:rPr>
      </w:pPr>
    </w:p>
    <w:p w:rsidR="00872B27" w:rsidRPr="00872B27" w:rsidRDefault="00872B27" w:rsidP="00B74457">
      <w:pPr>
        <w:keepNext/>
        <w:keepLines/>
        <w:autoSpaceDE w:val="0"/>
        <w:autoSpaceDN w:val="0"/>
        <w:adjustRightInd w:val="0"/>
        <w:rPr>
          <w:i/>
          <w:lang w:val="en-AU"/>
        </w:rPr>
      </w:pPr>
      <w:r w:rsidRPr="00872B27">
        <w:rPr>
          <w:i/>
          <w:lang w:val="en-AU"/>
        </w:rPr>
        <w:t>Patients' experiences in Australian hospitals</w:t>
      </w:r>
    </w:p>
    <w:p w:rsidR="00872B27" w:rsidRDefault="00872B27" w:rsidP="00B74457">
      <w:pPr>
        <w:keepNext/>
        <w:keepLines/>
        <w:autoSpaceDE w:val="0"/>
        <w:autoSpaceDN w:val="0"/>
        <w:adjustRightInd w:val="0"/>
        <w:rPr>
          <w:lang w:val="en-AU"/>
        </w:rPr>
      </w:pPr>
      <w:r w:rsidRPr="00872B27">
        <w:rPr>
          <w:lang w:val="en-AU"/>
        </w:rPr>
        <w:t>An Evidence Check rapid review brokered by the Sax Institute for the Australian Commission on Safety and Quality in Health Care</w:t>
      </w:r>
    </w:p>
    <w:p w:rsidR="00872B27" w:rsidRDefault="00872B27" w:rsidP="00872B27">
      <w:pPr>
        <w:keepNext/>
        <w:keepLines/>
        <w:autoSpaceDE w:val="0"/>
        <w:autoSpaceDN w:val="0"/>
        <w:adjustRightInd w:val="0"/>
        <w:rPr>
          <w:lang w:val="en-AU"/>
        </w:rPr>
      </w:pPr>
      <w:r w:rsidRPr="00872B27">
        <w:rPr>
          <w:lang w:val="en-AU"/>
        </w:rPr>
        <w:t>Harrison R, Walton M, Manias E</w:t>
      </w:r>
    </w:p>
    <w:p w:rsidR="00B74457" w:rsidRPr="00574FD8" w:rsidRDefault="00872B27" w:rsidP="00B74457">
      <w:pPr>
        <w:keepNext/>
        <w:keepLines/>
        <w:autoSpaceDE w:val="0"/>
        <w:autoSpaceDN w:val="0"/>
        <w:adjustRightInd w:val="0"/>
        <w:rPr>
          <w:lang w:val="en-AU"/>
        </w:rPr>
      </w:pPr>
      <w:r w:rsidRPr="00872B27">
        <w:rPr>
          <w:lang w:val="en-AU"/>
        </w:rPr>
        <w:t>Sydney: Sax Institute; 2015. p. 49.</w:t>
      </w:r>
    </w:p>
    <w:tbl>
      <w:tblPr>
        <w:tblStyle w:val="TableGrid"/>
        <w:tblW w:w="0" w:type="auto"/>
        <w:tblInd w:w="288" w:type="dxa"/>
        <w:tblLayout w:type="fixed"/>
        <w:tblLook w:val="01E0" w:firstRow="1" w:lastRow="1" w:firstColumn="1" w:lastColumn="1" w:noHBand="0" w:noVBand="0"/>
      </w:tblPr>
      <w:tblGrid>
        <w:gridCol w:w="1080"/>
        <w:gridCol w:w="8280"/>
      </w:tblGrid>
      <w:tr w:rsidR="00B74457"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4457" w:rsidRPr="00255EF8" w:rsidRDefault="00881EEB" w:rsidP="00872B27">
            <w:pPr>
              <w:rPr>
                <w:lang w:val="en-AU"/>
              </w:rPr>
            </w:pPr>
            <w:hyperlink r:id="rId19" w:history="1">
              <w:r w:rsidR="00872B27" w:rsidRPr="00A212F2">
                <w:rPr>
                  <w:rStyle w:val="Hyperlink"/>
                  <w:lang w:val="en-AU"/>
                </w:rPr>
                <w:t>http://www.saxinstitute.org.au/publications/evidence-check-library/patient-experiences-in-australian-hospitals/</w:t>
              </w:r>
            </w:hyperlink>
          </w:p>
        </w:tc>
      </w:tr>
      <w:tr w:rsidR="00B74457"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72B27" w:rsidRPr="00872B27" w:rsidRDefault="00872B27" w:rsidP="00872B27">
            <w:pPr>
              <w:rPr>
                <w:lang w:val="en-AU" w:eastAsia="en-AU"/>
              </w:rPr>
            </w:pPr>
            <w:r>
              <w:rPr>
                <w:lang w:val="en-AU" w:eastAsia="en-AU"/>
              </w:rPr>
              <w:t>This Evidence Check sought to identify</w:t>
            </w:r>
            <w:r w:rsidRPr="00872B27">
              <w:rPr>
                <w:lang w:val="en-AU" w:eastAsia="en-AU"/>
              </w:rPr>
              <w:t xml:space="preserve"> factors reported in primary research as relating to positive and negative experiences of patients in Australian hospitals</w:t>
            </w:r>
            <w:r>
              <w:rPr>
                <w:lang w:val="en-AU" w:eastAsia="en-AU"/>
              </w:rPr>
              <w:t xml:space="preserve">. From the 39 studies reviewed, the researchers identified 7 themes: </w:t>
            </w:r>
            <w:r w:rsidRPr="00872B27">
              <w:rPr>
                <w:lang w:val="en-AU" w:eastAsia="en-AU"/>
              </w:rPr>
              <w:t>‘The care environment’, ‘Reciprocal communication and information sharing’, ‘Correct treatment and physical outcomes’, ‘Emotional support’, ‘Comfort, pain and clinical care’, ‘Interpersonal skills and professionalism’, and ‘Discharge planning and process’.</w:t>
            </w:r>
          </w:p>
          <w:p w:rsidR="00A60FF3" w:rsidRPr="00B74457" w:rsidRDefault="00872B27" w:rsidP="00872B27">
            <w:pPr>
              <w:rPr>
                <w:lang w:val="en-AU" w:eastAsia="en-AU"/>
              </w:rPr>
            </w:pPr>
            <w:r>
              <w:rPr>
                <w:lang w:val="en-AU" w:eastAsia="en-AU"/>
              </w:rPr>
              <w:lastRenderedPageBreak/>
              <w:t>The authors’ concluded that “</w:t>
            </w:r>
            <w:r w:rsidRPr="00872B27">
              <w:rPr>
                <w:lang w:val="en-AU" w:eastAsia="en-AU"/>
              </w:rPr>
              <w:t xml:space="preserve">Tangible opportunities to enhance the patient experience are apparent. </w:t>
            </w:r>
            <w:r w:rsidRPr="00872B27">
              <w:rPr>
                <w:b/>
                <w:lang w:val="en-AU" w:eastAsia="en-AU"/>
              </w:rPr>
              <w:t>Small changes</w:t>
            </w:r>
            <w:r w:rsidRPr="00872B27">
              <w:rPr>
                <w:lang w:val="en-AU" w:eastAsia="en-AU"/>
              </w:rPr>
              <w:t xml:space="preserve"> to the way that the health system operates, is resourced, and the way that health professionals engage with patients </w:t>
            </w:r>
            <w:r w:rsidRPr="00872B27">
              <w:rPr>
                <w:b/>
                <w:lang w:val="en-AU" w:eastAsia="en-AU"/>
              </w:rPr>
              <w:t>could substantially improve care</w:t>
            </w:r>
            <w:r w:rsidRPr="00872B27">
              <w:rPr>
                <w:lang w:val="en-AU" w:eastAsia="en-AU"/>
              </w:rPr>
              <w:t>. Examples include inviting patients and carers to contribute to decision making and discussions about treatment options and care preferences.</w:t>
            </w:r>
            <w:r>
              <w:rPr>
                <w:lang w:val="en-AU" w:eastAsia="en-AU"/>
              </w:rPr>
              <w:t>”</w:t>
            </w:r>
          </w:p>
        </w:tc>
      </w:tr>
    </w:tbl>
    <w:p w:rsidR="00D21B25" w:rsidRDefault="00D21B25" w:rsidP="00EA36A4">
      <w:pPr>
        <w:keepNext/>
        <w:keepLines/>
        <w:autoSpaceDE w:val="0"/>
        <w:autoSpaceDN w:val="0"/>
        <w:adjustRightInd w:val="0"/>
        <w:rPr>
          <w:lang w:val="en-AU"/>
        </w:rPr>
      </w:pPr>
    </w:p>
    <w:p w:rsidR="00D21B25" w:rsidRDefault="00D21B25" w:rsidP="00EA36A4">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896ECF" w:rsidRPr="00896ECF" w:rsidRDefault="00896ECF" w:rsidP="00896ECF">
      <w:pPr>
        <w:keepNext/>
        <w:keepLines/>
        <w:autoSpaceDE w:val="0"/>
        <w:autoSpaceDN w:val="0"/>
        <w:adjustRightInd w:val="0"/>
        <w:rPr>
          <w:i/>
          <w:lang w:val="en-AU"/>
        </w:rPr>
      </w:pPr>
      <w:r w:rsidRPr="00896ECF">
        <w:rPr>
          <w:i/>
          <w:lang w:val="en-AU"/>
        </w:rPr>
        <w:t>Patient focused registries can improve health, care, and science</w:t>
      </w:r>
    </w:p>
    <w:p w:rsidR="00896ECF" w:rsidRDefault="00896ECF" w:rsidP="00DF6DFB">
      <w:pPr>
        <w:keepNext/>
        <w:keepLines/>
        <w:autoSpaceDE w:val="0"/>
        <w:autoSpaceDN w:val="0"/>
        <w:adjustRightInd w:val="0"/>
        <w:rPr>
          <w:lang w:val="en-AU"/>
        </w:rPr>
      </w:pPr>
      <w:r w:rsidRPr="00896ECF">
        <w:rPr>
          <w:lang w:val="en-AU"/>
        </w:rPr>
        <w:t>Nelson EC, Dixon-Woods M, Batalden PB, Homa K, Van Citters AD, Morgan TS, et al</w:t>
      </w:r>
    </w:p>
    <w:p w:rsidR="00DF6DFB" w:rsidRDefault="00896ECF" w:rsidP="00DF6DFB">
      <w:pPr>
        <w:keepNext/>
        <w:keepLines/>
        <w:autoSpaceDE w:val="0"/>
        <w:autoSpaceDN w:val="0"/>
        <w:adjustRightInd w:val="0"/>
        <w:rPr>
          <w:lang w:val="en-AU"/>
        </w:rPr>
      </w:pPr>
      <w:r w:rsidRPr="00896ECF">
        <w:rPr>
          <w:lang w:val="en-AU"/>
        </w:rPr>
        <w:t>BMJ. 2016;354:i3319.</w:t>
      </w:r>
    </w:p>
    <w:tbl>
      <w:tblPr>
        <w:tblStyle w:val="TableGrid"/>
        <w:tblW w:w="0" w:type="auto"/>
        <w:tblInd w:w="288" w:type="dxa"/>
        <w:tblLayout w:type="fixed"/>
        <w:tblLook w:val="01E0" w:firstRow="1" w:lastRow="1" w:firstColumn="1" w:lastColumn="1" w:noHBand="0" w:noVBand="0"/>
      </w:tblPr>
      <w:tblGrid>
        <w:gridCol w:w="1080"/>
        <w:gridCol w:w="8280"/>
      </w:tblGrid>
      <w:tr w:rsidR="00DF6DFB"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DF6DFB" w:rsidRPr="005B6694" w:rsidRDefault="00DF6DFB" w:rsidP="00B67F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F6DFB" w:rsidRPr="004B7AA3" w:rsidRDefault="00881EEB" w:rsidP="00B67F4B">
            <w:pPr>
              <w:rPr>
                <w:rStyle w:val="Hyperlink"/>
                <w:color w:val="auto"/>
                <w:u w:val="none"/>
              </w:rPr>
            </w:pPr>
            <w:hyperlink r:id="rId20" w:history="1">
              <w:r w:rsidR="00896ECF" w:rsidRPr="00CC1FBE">
                <w:rPr>
                  <w:rStyle w:val="Hyperlink"/>
                </w:rPr>
                <w:t>http://dx.doi.org/10.1136/bmj.i3319</w:t>
              </w:r>
            </w:hyperlink>
          </w:p>
        </w:tc>
      </w:tr>
      <w:tr w:rsidR="00DF6DFB"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DF6DFB" w:rsidRPr="00255EF8" w:rsidRDefault="00DF6DFB"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6DFB" w:rsidRDefault="00896ECF" w:rsidP="00896ECF">
            <w:pPr>
              <w:rPr>
                <w:lang w:val="en-AU" w:eastAsia="en-AU"/>
              </w:rPr>
            </w:pPr>
            <w:r>
              <w:rPr>
                <w:lang w:val="en-AU" w:eastAsia="en-AU"/>
              </w:rPr>
              <w:t xml:space="preserve">Over the last decade or so there has been a considerable effort to unlock the potential of clinical registries. </w:t>
            </w:r>
            <w:r w:rsidR="00202D71">
              <w:rPr>
                <w:lang w:val="en-AU" w:eastAsia="en-AU"/>
              </w:rPr>
              <w:t>As the authors of this paper note, “</w:t>
            </w:r>
            <w:r w:rsidR="00202D71" w:rsidRPr="00202D71">
              <w:rPr>
                <w:lang w:val="en-AU" w:eastAsia="en-AU"/>
              </w:rPr>
              <w:t>They facilitate public reporting, retrospective and prospective research, professional development, and service improvement. They reveal variations in practices, processes, and outcomes, and identify targets for improvement. In the UK</w:t>
            </w:r>
            <w:r w:rsidR="00202D71">
              <w:rPr>
                <w:lang w:val="en-AU" w:eastAsia="en-AU"/>
              </w:rPr>
              <w:t xml:space="preserve"> [and elsewhere]</w:t>
            </w:r>
            <w:r w:rsidR="00202D71" w:rsidRPr="00202D71">
              <w:rPr>
                <w:lang w:val="en-AU" w:eastAsia="en-AU"/>
              </w:rPr>
              <w:t>, they have been associated with many notable successes, including improvements in management of cardiovascular disease and stroke, cancer,</w:t>
            </w:r>
            <w:r w:rsidR="00202D71">
              <w:rPr>
                <w:lang w:val="en-AU" w:eastAsia="en-AU"/>
              </w:rPr>
              <w:t xml:space="preserve"> and joint replacement.” </w:t>
            </w:r>
            <w:r>
              <w:rPr>
                <w:lang w:val="en-AU" w:eastAsia="en-AU"/>
              </w:rPr>
              <w:t xml:space="preserve">This paper </w:t>
            </w:r>
            <w:r w:rsidR="00202D71">
              <w:rPr>
                <w:lang w:val="en-AU" w:eastAsia="en-AU"/>
              </w:rPr>
              <w:t xml:space="preserve">calls </w:t>
            </w:r>
            <w:r>
              <w:rPr>
                <w:lang w:val="en-AU" w:eastAsia="en-AU"/>
              </w:rPr>
              <w:t xml:space="preserve">for registries to become </w:t>
            </w:r>
            <w:r w:rsidR="00D40CDB">
              <w:rPr>
                <w:lang w:val="en-AU" w:eastAsia="en-AU"/>
              </w:rPr>
              <w:t>more patient-centric</w:t>
            </w:r>
            <w:r w:rsidR="00202D71">
              <w:rPr>
                <w:lang w:val="en-AU" w:eastAsia="en-AU"/>
              </w:rPr>
              <w:t xml:space="preserve"> and extend their relevance and application</w:t>
            </w:r>
            <w:r w:rsidR="00D40CDB">
              <w:rPr>
                <w:lang w:val="en-AU" w:eastAsia="en-AU"/>
              </w:rPr>
              <w:t>.</w:t>
            </w:r>
            <w:r w:rsidR="00202D71">
              <w:rPr>
                <w:lang w:val="en-AU" w:eastAsia="en-AU"/>
              </w:rPr>
              <w:t xml:space="preserve"> The paper’s key messages are:</w:t>
            </w:r>
          </w:p>
          <w:p w:rsidR="00202D71" w:rsidRPr="00202D71" w:rsidRDefault="00202D71" w:rsidP="00202D71">
            <w:pPr>
              <w:pStyle w:val="ListParagraph"/>
              <w:numPr>
                <w:ilvl w:val="0"/>
                <w:numId w:val="45"/>
              </w:numPr>
              <w:rPr>
                <w:lang w:val="en-AU" w:eastAsia="en-AU"/>
              </w:rPr>
            </w:pPr>
            <w:r w:rsidRPr="00202D71">
              <w:rPr>
                <w:lang w:val="en-AU" w:eastAsia="en-AU"/>
              </w:rPr>
              <w:t>Registries can evolve to become patient centred learning systems in which patients, clinicians, and scientists coproduce better health outcomes, improved services, and patient centred research</w:t>
            </w:r>
          </w:p>
          <w:p w:rsidR="00202D71" w:rsidRPr="00202D71" w:rsidRDefault="00202D71" w:rsidP="00202D71">
            <w:pPr>
              <w:pStyle w:val="ListParagraph"/>
              <w:numPr>
                <w:ilvl w:val="0"/>
                <w:numId w:val="45"/>
              </w:numPr>
              <w:rPr>
                <w:lang w:val="en-AU" w:eastAsia="en-AU"/>
              </w:rPr>
            </w:pPr>
            <w:r w:rsidRPr="00202D71">
              <w:rPr>
                <w:lang w:val="en-AU" w:eastAsia="en-AU"/>
              </w:rPr>
              <w:t>They can be used to make “dashboards” integrating patient reported and clinical data to support decisions about care</w:t>
            </w:r>
          </w:p>
          <w:p w:rsidR="00202D71" w:rsidRPr="00202D71" w:rsidRDefault="00202D71" w:rsidP="00202D71">
            <w:pPr>
              <w:pStyle w:val="ListParagraph"/>
              <w:numPr>
                <w:ilvl w:val="0"/>
                <w:numId w:val="45"/>
              </w:numPr>
              <w:rPr>
                <w:lang w:val="en-AU" w:eastAsia="en-AU"/>
              </w:rPr>
            </w:pPr>
            <w:r w:rsidRPr="00202D71">
              <w:rPr>
                <w:lang w:val="en-AU" w:eastAsia="en-AU"/>
              </w:rPr>
              <w:t>Registry data can be used to support practice based quality improvement, comparative benchmarking reports, and peer networks for clinicians and patients</w:t>
            </w:r>
          </w:p>
          <w:p w:rsidR="00D03501" w:rsidRPr="00CE7C9C" w:rsidRDefault="00D03501" w:rsidP="00896ECF">
            <w:pPr>
              <w:rPr>
                <w:lang w:val="en-AU" w:eastAsia="en-AU"/>
              </w:rPr>
            </w:pPr>
            <w:r>
              <w:rPr>
                <w:noProof/>
                <w:lang w:val="en-AU" w:eastAsia="en-AU"/>
              </w:rPr>
              <w:drawing>
                <wp:inline distT="0" distB="0" distL="0" distR="0" wp14:anchorId="28286361" wp14:editId="30793630">
                  <wp:extent cx="5143500" cy="302765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son registries F1.medium.gif"/>
                          <pic:cNvPicPr/>
                        </pic:nvPicPr>
                        <pic:blipFill>
                          <a:blip r:embed="rId21">
                            <a:extLst>
                              <a:ext uri="{28A0092B-C50C-407E-A947-70E740481C1C}">
                                <a14:useLocalDpi xmlns:a14="http://schemas.microsoft.com/office/drawing/2010/main" val="0"/>
                              </a:ext>
                            </a:extLst>
                          </a:blip>
                          <a:stretch>
                            <a:fillRect/>
                          </a:stretch>
                        </pic:blipFill>
                        <pic:spPr>
                          <a:xfrm>
                            <a:off x="0" y="0"/>
                            <a:ext cx="5150128" cy="3031553"/>
                          </a:xfrm>
                          <a:prstGeom prst="rect">
                            <a:avLst/>
                          </a:prstGeom>
                        </pic:spPr>
                      </pic:pic>
                    </a:graphicData>
                  </a:graphic>
                </wp:inline>
              </w:drawing>
            </w:r>
          </w:p>
        </w:tc>
      </w:tr>
    </w:tbl>
    <w:p w:rsidR="00D03501" w:rsidRDefault="00D03501" w:rsidP="00C5040B">
      <w:pPr>
        <w:keepNext/>
        <w:keepLines/>
        <w:autoSpaceDE w:val="0"/>
        <w:autoSpaceDN w:val="0"/>
        <w:adjustRightInd w:val="0"/>
        <w:rPr>
          <w:i/>
          <w:lang w:val="en-AU"/>
        </w:rPr>
      </w:pPr>
    </w:p>
    <w:p w:rsidR="00A973AA" w:rsidRDefault="00A973AA" w:rsidP="00C5040B">
      <w:pPr>
        <w:keepNext/>
        <w:keepLines/>
        <w:autoSpaceDE w:val="0"/>
        <w:autoSpaceDN w:val="0"/>
        <w:adjustRightInd w:val="0"/>
        <w:rPr>
          <w:lang w:val="en-AU"/>
        </w:rPr>
      </w:pPr>
      <w:r>
        <w:rPr>
          <w:lang w:val="en-AU"/>
        </w:rPr>
        <w:t xml:space="preserve">For information on the Commission’s work on clinical quality registries, see </w:t>
      </w:r>
      <w:hyperlink r:id="rId22" w:history="1">
        <w:r w:rsidRPr="00CC1FBE">
          <w:rPr>
            <w:rStyle w:val="Hyperlink"/>
            <w:lang w:val="en-AU"/>
          </w:rPr>
          <w:t>http://www.safetyandquality.gov.au/our-work/information-strategy/clinical-quality-registries/</w:t>
        </w:r>
      </w:hyperlink>
    </w:p>
    <w:p w:rsidR="00A973AA" w:rsidRDefault="00A973AA" w:rsidP="00C5040B">
      <w:pPr>
        <w:keepNext/>
        <w:keepLines/>
        <w:autoSpaceDE w:val="0"/>
        <w:autoSpaceDN w:val="0"/>
        <w:adjustRightInd w:val="0"/>
        <w:rPr>
          <w:lang w:val="en-AU"/>
        </w:rPr>
      </w:pPr>
    </w:p>
    <w:p w:rsidR="00D40CDB" w:rsidRPr="00D40CDB" w:rsidRDefault="00D40CDB" w:rsidP="00D40CDB">
      <w:pPr>
        <w:keepNext/>
        <w:keepLines/>
        <w:autoSpaceDE w:val="0"/>
        <w:autoSpaceDN w:val="0"/>
        <w:adjustRightInd w:val="0"/>
        <w:rPr>
          <w:i/>
          <w:lang w:val="en-AU"/>
        </w:rPr>
      </w:pPr>
      <w:r w:rsidRPr="00D40CDB">
        <w:rPr>
          <w:i/>
          <w:lang w:val="en-AU"/>
        </w:rPr>
        <w:t>Development of an Emergency Department Trigger Tool Using a Systematic Search and Modified Delphi Process</w:t>
      </w:r>
    </w:p>
    <w:p w:rsidR="00D40CDB" w:rsidRDefault="00D40CDB" w:rsidP="00936F26">
      <w:pPr>
        <w:keepNext/>
        <w:keepLines/>
        <w:autoSpaceDE w:val="0"/>
        <w:autoSpaceDN w:val="0"/>
        <w:adjustRightInd w:val="0"/>
        <w:rPr>
          <w:lang w:val="en-AU"/>
        </w:rPr>
      </w:pPr>
      <w:r w:rsidRPr="00D40CDB">
        <w:rPr>
          <w:lang w:val="en-AU"/>
        </w:rPr>
        <w:t>Griffey RT, Schneider RM, Adler LM, Capp R, Carpenter CR, Farmer BM, et al</w:t>
      </w:r>
    </w:p>
    <w:p w:rsidR="00936F26" w:rsidRDefault="00D40CDB" w:rsidP="00936F26">
      <w:pPr>
        <w:keepNext/>
        <w:keepLines/>
        <w:autoSpaceDE w:val="0"/>
        <w:autoSpaceDN w:val="0"/>
        <w:adjustRightInd w:val="0"/>
        <w:rPr>
          <w:lang w:val="en-AU"/>
        </w:rPr>
      </w:pPr>
      <w:r w:rsidRPr="00D40CDB">
        <w:rPr>
          <w:lang w:val="en-AU"/>
        </w:rPr>
        <w:t>Journal of Patient Safety. 2016</w:t>
      </w:r>
      <w:r>
        <w:rPr>
          <w:lang w:val="en-AU"/>
        </w:rPr>
        <w:t xml:space="preserve"> [epub]</w:t>
      </w:r>
      <w:r w:rsidRPr="00D40CDB">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36F26"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936F26" w:rsidRPr="005B6694" w:rsidRDefault="00936F26" w:rsidP="00B67F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6F26" w:rsidRPr="004B7AA3" w:rsidRDefault="00881EEB" w:rsidP="00B67F4B">
            <w:pPr>
              <w:rPr>
                <w:rStyle w:val="Hyperlink"/>
                <w:color w:val="auto"/>
                <w:u w:val="none"/>
              </w:rPr>
            </w:pPr>
            <w:hyperlink r:id="rId23" w:history="1">
              <w:r w:rsidR="00D40CDB" w:rsidRPr="00B86387">
                <w:rPr>
                  <w:rStyle w:val="Hyperlink"/>
                </w:rPr>
                <w:t>http://dx.doi.org/10.1097/pts.0000000000000243</w:t>
              </w:r>
            </w:hyperlink>
          </w:p>
        </w:tc>
      </w:tr>
      <w:tr w:rsidR="00936F26"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936F26" w:rsidRPr="00255EF8" w:rsidRDefault="00936F26"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6F26" w:rsidRPr="00CE7C9C" w:rsidRDefault="00D40CDB" w:rsidP="00D40CDB">
            <w:pPr>
              <w:rPr>
                <w:lang w:val="en-AU" w:eastAsia="en-AU"/>
              </w:rPr>
            </w:pPr>
            <w:r>
              <w:rPr>
                <w:lang w:val="en-AU" w:eastAsia="en-AU"/>
              </w:rPr>
              <w:t xml:space="preserve">Trigger tools for identifying adverse events have gained some popularity and have seen the development of some specific to certain contexts. This paper describes the development of </w:t>
            </w:r>
            <w:r w:rsidRPr="00D40CDB">
              <w:rPr>
                <w:lang w:val="en-AU" w:eastAsia="en-AU"/>
              </w:rPr>
              <w:t xml:space="preserve">an emergency department (ED) trigger tool to improve the identification of adverse events in the ED and </w:t>
            </w:r>
            <w:r>
              <w:rPr>
                <w:lang w:val="en-AU" w:eastAsia="en-AU"/>
              </w:rPr>
              <w:t xml:space="preserve">for use in </w:t>
            </w:r>
            <w:r w:rsidRPr="00D40CDB">
              <w:rPr>
                <w:lang w:val="en-AU" w:eastAsia="en-AU"/>
              </w:rPr>
              <w:t>direct</w:t>
            </w:r>
            <w:r>
              <w:rPr>
                <w:lang w:val="en-AU" w:eastAsia="en-AU"/>
              </w:rPr>
              <w:t>ing</w:t>
            </w:r>
            <w:r w:rsidRPr="00D40CDB">
              <w:rPr>
                <w:lang w:val="en-AU" w:eastAsia="en-AU"/>
              </w:rPr>
              <w:t xml:space="preserve"> patient safety and quality improvement. This </w:t>
            </w:r>
            <w:r>
              <w:rPr>
                <w:lang w:val="en-AU" w:eastAsia="en-AU"/>
              </w:rPr>
              <w:t xml:space="preserve">paper </w:t>
            </w:r>
            <w:r w:rsidRPr="00D40CDB">
              <w:rPr>
                <w:lang w:val="en-AU" w:eastAsia="en-AU"/>
              </w:rPr>
              <w:t>describes the first step</w:t>
            </w:r>
            <w:r>
              <w:rPr>
                <w:lang w:val="en-AU" w:eastAsia="en-AU"/>
              </w:rPr>
              <w:t>s</w:t>
            </w:r>
            <w:r w:rsidRPr="00D40CDB">
              <w:rPr>
                <w:lang w:val="en-AU" w:eastAsia="en-AU"/>
              </w:rPr>
              <w:t xml:space="preserve"> toward the development of an ED all-cause harm measurement tool.</w:t>
            </w:r>
            <w:r>
              <w:rPr>
                <w:lang w:val="en-AU" w:eastAsia="en-AU"/>
              </w:rPr>
              <w:t xml:space="preserve"> The team identified</w:t>
            </w:r>
            <w:r w:rsidRPr="00D40CDB">
              <w:rPr>
                <w:lang w:val="en-AU" w:eastAsia="en-AU"/>
              </w:rPr>
              <w:t xml:space="preserve"> 46 triggers for the detection of adverse events among ED patients</w:t>
            </w:r>
            <w:r>
              <w:rPr>
                <w:lang w:val="en-AU" w:eastAsia="en-AU"/>
              </w:rPr>
              <w:t xml:space="preserve"> and suggest that “</w:t>
            </w:r>
            <w:r w:rsidRPr="00D40CDB">
              <w:rPr>
                <w:lang w:val="en-AU" w:eastAsia="en-AU"/>
              </w:rPr>
              <w:t>These triggers should be pilot field tested to quantify their individual and collective performance in detecting all-cause harm to ED patients.</w:t>
            </w:r>
            <w:r>
              <w:rPr>
                <w:lang w:val="en-AU" w:eastAsia="en-AU"/>
              </w:rPr>
              <w:t>”</w:t>
            </w:r>
          </w:p>
        </w:tc>
      </w:tr>
    </w:tbl>
    <w:p w:rsidR="00936F26" w:rsidRDefault="00936F26" w:rsidP="00936F26">
      <w:pPr>
        <w:rPr>
          <w:lang w:val="en-AU"/>
        </w:rPr>
      </w:pPr>
    </w:p>
    <w:p w:rsidR="004948E2" w:rsidRPr="004948E2" w:rsidRDefault="004948E2" w:rsidP="004948E2">
      <w:pPr>
        <w:keepNext/>
        <w:keepLines/>
        <w:autoSpaceDE w:val="0"/>
        <w:autoSpaceDN w:val="0"/>
        <w:adjustRightInd w:val="0"/>
        <w:rPr>
          <w:i/>
          <w:lang w:val="en-AU"/>
        </w:rPr>
      </w:pPr>
      <w:r w:rsidRPr="004948E2">
        <w:rPr>
          <w:i/>
          <w:lang w:val="en-AU"/>
        </w:rPr>
        <w:t>Health Expectations</w:t>
      </w:r>
    </w:p>
    <w:p w:rsidR="00C22DEF" w:rsidRDefault="004948E2" w:rsidP="004948E2">
      <w:pPr>
        <w:keepNext/>
        <w:keepLines/>
        <w:autoSpaceDE w:val="0"/>
        <w:autoSpaceDN w:val="0"/>
        <w:adjustRightInd w:val="0"/>
        <w:rPr>
          <w:lang w:val="en-AU"/>
        </w:rPr>
      </w:pPr>
      <w:r w:rsidRPr="004948E2">
        <w:rPr>
          <w:lang w:val="en-AU"/>
        </w:rPr>
        <w:t>Volume 19, Issue 4, August 2016</w:t>
      </w:r>
    </w:p>
    <w:tbl>
      <w:tblPr>
        <w:tblStyle w:val="TableGrid"/>
        <w:tblW w:w="0" w:type="auto"/>
        <w:tblInd w:w="288" w:type="dxa"/>
        <w:tblLayout w:type="fixed"/>
        <w:tblLook w:val="01E0" w:firstRow="1" w:lastRow="1" w:firstColumn="1" w:lastColumn="1" w:noHBand="0" w:noVBand="0"/>
      </w:tblPr>
      <w:tblGrid>
        <w:gridCol w:w="1080"/>
        <w:gridCol w:w="8280"/>
      </w:tblGrid>
      <w:tr w:rsidR="00C22DEF"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C22DEF" w:rsidRPr="005B6694" w:rsidRDefault="004948E2" w:rsidP="00B67F4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22DEF" w:rsidRPr="004B7AA3" w:rsidRDefault="00881EEB" w:rsidP="00B67F4B">
            <w:pPr>
              <w:rPr>
                <w:rStyle w:val="Hyperlink"/>
                <w:color w:val="auto"/>
                <w:u w:val="none"/>
              </w:rPr>
            </w:pPr>
            <w:hyperlink r:id="rId24" w:history="1">
              <w:r w:rsidR="004948E2" w:rsidRPr="00CC1FBE">
                <w:rPr>
                  <w:rStyle w:val="Hyperlink"/>
                </w:rPr>
                <w:t>http://onlinelibrary.wiley.com/doi/10.1111/hex.2016.19.issue-4/issuetoc</w:t>
              </w:r>
            </w:hyperlink>
          </w:p>
        </w:tc>
      </w:tr>
      <w:tr w:rsidR="00C22DEF"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C22DEF" w:rsidRPr="00255EF8" w:rsidRDefault="00C22DEF"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2DEF" w:rsidRDefault="004948E2" w:rsidP="00B67F4B">
            <w:pPr>
              <w:rPr>
                <w:lang w:val="en-AU" w:eastAsia="en-AU"/>
              </w:rPr>
            </w:pPr>
            <w:r>
              <w:rPr>
                <w:lang w:val="en-AU" w:eastAsia="en-AU"/>
              </w:rPr>
              <w:t xml:space="preserve">A new issue of </w:t>
            </w:r>
            <w:r w:rsidRPr="004948E2">
              <w:rPr>
                <w:i/>
                <w:lang w:val="en-AU" w:eastAsia="en-AU"/>
              </w:rPr>
              <w:t>Health Expectations</w:t>
            </w:r>
            <w:r>
              <w:rPr>
                <w:lang w:val="en-AU" w:eastAsia="en-AU"/>
              </w:rPr>
              <w:t xml:space="preserve"> has been published. Articles in this issue of </w:t>
            </w:r>
            <w:r w:rsidRPr="004948E2">
              <w:rPr>
                <w:i/>
                <w:lang w:val="en-AU"/>
              </w:rPr>
              <w:t>Health Expectations</w:t>
            </w:r>
            <w:r>
              <w:rPr>
                <w:lang w:val="en-AU" w:eastAsia="en-AU"/>
              </w:rPr>
              <w:t xml:space="preserve"> include:</w:t>
            </w:r>
          </w:p>
          <w:p w:rsidR="004948E2" w:rsidRPr="004948E2" w:rsidRDefault="004948E2" w:rsidP="004948E2">
            <w:pPr>
              <w:pStyle w:val="ListParagraph"/>
              <w:numPr>
                <w:ilvl w:val="0"/>
                <w:numId w:val="43"/>
              </w:numPr>
              <w:rPr>
                <w:lang w:val="en-AU" w:eastAsia="en-AU"/>
              </w:rPr>
            </w:pPr>
            <w:r w:rsidRPr="004948E2">
              <w:rPr>
                <w:b/>
                <w:lang w:val="en-AU" w:eastAsia="en-AU"/>
              </w:rPr>
              <w:t>Patient participation</w:t>
            </w:r>
            <w:r w:rsidRPr="004948E2">
              <w:rPr>
                <w:lang w:val="en-AU" w:eastAsia="en-AU"/>
              </w:rPr>
              <w:t>: are we far from fulfilling the vision of patient-centred care? (Kyriakos Souliotis</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A structuration framework for bridging the macro–micro divide in </w:t>
            </w:r>
            <w:r w:rsidRPr="004948E2">
              <w:rPr>
                <w:b/>
                <w:lang w:val="en-AU" w:eastAsia="en-AU"/>
              </w:rPr>
              <w:t>health-care governance</w:t>
            </w:r>
            <w:r w:rsidRPr="004948E2">
              <w:rPr>
                <w:lang w:val="en-AU" w:eastAsia="en-AU"/>
              </w:rPr>
              <w:t xml:space="preserve"> (Virginia Bodolica, Martin Spraggon and Gabriela Tofan</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Supporting quality public and patient engagement in health system organizations: development and usability testing of the </w:t>
            </w:r>
            <w:r w:rsidRPr="004948E2">
              <w:rPr>
                <w:b/>
                <w:lang w:val="en-AU" w:eastAsia="en-AU"/>
              </w:rPr>
              <w:t>Public and Patient Engagement Evaluation Tool</w:t>
            </w:r>
            <w:r w:rsidRPr="004948E2">
              <w:rPr>
                <w:lang w:val="en-AU" w:eastAsia="en-AU"/>
              </w:rPr>
              <w:t xml:space="preserve"> (Julia Abelson, Kathy Li, Geoff Wilson, Kristin Shields, Colleen Schneider and Sarah Boesveld</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 ‘I'm a sick person, not a bad person’: </w:t>
            </w:r>
            <w:r w:rsidRPr="004948E2">
              <w:rPr>
                <w:b/>
                <w:lang w:val="en-AU" w:eastAsia="en-AU"/>
              </w:rPr>
              <w:t>patient experiences</w:t>
            </w:r>
            <w:r w:rsidRPr="004948E2">
              <w:rPr>
                <w:lang w:val="en-AU" w:eastAsia="en-AU"/>
              </w:rPr>
              <w:t xml:space="preserve"> of treatments for </w:t>
            </w:r>
            <w:r w:rsidRPr="004948E2">
              <w:rPr>
                <w:b/>
                <w:lang w:val="en-AU" w:eastAsia="en-AU"/>
              </w:rPr>
              <w:t>alcohol use disorders</w:t>
            </w:r>
            <w:r w:rsidRPr="004948E2">
              <w:rPr>
                <w:lang w:val="en-AU" w:eastAsia="en-AU"/>
              </w:rPr>
              <w:t xml:space="preserve"> (Stacey L McCallum, Antonina A Mikocka-Walus, Matthew D Gaughwin, Jane M Andrews and Deborah A Turnbull</w:t>
            </w:r>
            <w:r>
              <w:rPr>
                <w:lang w:val="en-AU" w:eastAsia="en-AU"/>
              </w:rPr>
              <w:t>)</w:t>
            </w:r>
          </w:p>
          <w:p w:rsidR="004948E2" w:rsidRPr="004948E2" w:rsidRDefault="004948E2" w:rsidP="004948E2">
            <w:pPr>
              <w:pStyle w:val="ListParagraph"/>
              <w:numPr>
                <w:ilvl w:val="0"/>
                <w:numId w:val="43"/>
              </w:numPr>
              <w:rPr>
                <w:lang w:val="en-AU" w:eastAsia="en-AU"/>
              </w:rPr>
            </w:pPr>
            <w:r w:rsidRPr="004948E2">
              <w:rPr>
                <w:b/>
                <w:lang w:val="en-AU" w:eastAsia="en-AU"/>
              </w:rPr>
              <w:t>Patient communication pattern scale</w:t>
            </w:r>
            <w:r w:rsidRPr="004948E2">
              <w:rPr>
                <w:lang w:val="en-AU" w:eastAsia="en-AU"/>
              </w:rPr>
              <w:t>: psychometric characteristics (Sara Ilan and Sara Carmel</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Collaborative learning framework for </w:t>
            </w:r>
            <w:r w:rsidRPr="004948E2">
              <w:rPr>
                <w:b/>
                <w:lang w:val="en-AU" w:eastAsia="en-AU"/>
              </w:rPr>
              <w:t>online stakeholder engagement</w:t>
            </w:r>
            <w:r w:rsidRPr="004948E2">
              <w:rPr>
                <w:lang w:val="en-AU" w:eastAsia="en-AU"/>
              </w:rPr>
              <w:t xml:space="preserve"> (Dmitry Khodyakov, Terrance D Savitsky and Siddhartha Dalal</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 ‘Talk to me’: a mixed methods study on preferred physician behaviours during </w:t>
            </w:r>
            <w:r w:rsidRPr="004948E2">
              <w:rPr>
                <w:b/>
                <w:lang w:val="en-AU" w:eastAsia="en-AU"/>
              </w:rPr>
              <w:t>end-of-life communication</w:t>
            </w:r>
            <w:r w:rsidRPr="004948E2">
              <w:rPr>
                <w:lang w:val="en-AU" w:eastAsia="en-AU"/>
              </w:rPr>
              <w:t xml:space="preserve"> from the patient perspective (Amane Abdul-Razzak, Diana Sherifali, John You, Jessica Simon and Kevin Brazil</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 ‘I just don't want to get bullied anymore, then I can lead a normal life’; Insights into life as an obese adolescent and their views on </w:t>
            </w:r>
            <w:r w:rsidRPr="004948E2">
              <w:rPr>
                <w:b/>
                <w:lang w:val="en-AU" w:eastAsia="en-AU"/>
              </w:rPr>
              <w:t>obesity treatment</w:t>
            </w:r>
            <w:r w:rsidRPr="004948E2">
              <w:rPr>
                <w:lang w:val="en-AU" w:eastAsia="en-AU"/>
              </w:rPr>
              <w:t xml:space="preserve"> (Lindsey J Reece, Paul Bissell and Robert J Copeland</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Getting it right! Enhancing </w:t>
            </w:r>
            <w:r w:rsidRPr="004948E2">
              <w:rPr>
                <w:b/>
                <w:lang w:val="en-AU" w:eastAsia="en-AU"/>
              </w:rPr>
              <w:t xml:space="preserve">youth involvement </w:t>
            </w:r>
            <w:r w:rsidRPr="004948E2">
              <w:rPr>
                <w:lang w:val="en-AU" w:eastAsia="en-AU"/>
              </w:rPr>
              <w:t>in</w:t>
            </w:r>
            <w:r w:rsidRPr="004948E2">
              <w:rPr>
                <w:b/>
                <w:lang w:val="en-AU" w:eastAsia="en-AU"/>
              </w:rPr>
              <w:t xml:space="preserve"> mental health research</w:t>
            </w:r>
            <w:r w:rsidRPr="004948E2">
              <w:rPr>
                <w:lang w:val="en-AU" w:eastAsia="en-AU"/>
              </w:rPr>
              <w:t xml:space="preserve"> (Lauren Mawn, P Welsh, L Kirkpatrick, L A</w:t>
            </w:r>
            <w:r>
              <w:rPr>
                <w:lang w:val="en-AU" w:eastAsia="en-AU"/>
              </w:rPr>
              <w:t xml:space="preserve"> </w:t>
            </w:r>
            <w:r w:rsidRPr="004948E2">
              <w:rPr>
                <w:lang w:val="en-AU" w:eastAsia="en-AU"/>
              </w:rPr>
              <w:t>D</w:t>
            </w:r>
            <w:r>
              <w:rPr>
                <w:lang w:val="en-AU" w:eastAsia="en-AU"/>
              </w:rPr>
              <w:t xml:space="preserve"> Webster and H J</w:t>
            </w:r>
            <w:r w:rsidRPr="004948E2">
              <w:rPr>
                <w:lang w:val="en-AU" w:eastAsia="en-AU"/>
              </w:rPr>
              <w:t xml:space="preserve"> Stain</w:t>
            </w:r>
            <w:r>
              <w:rPr>
                <w:lang w:val="en-AU" w:eastAsia="en-AU"/>
              </w:rPr>
              <w:t>)</w:t>
            </w:r>
          </w:p>
          <w:p w:rsidR="004948E2" w:rsidRPr="004948E2" w:rsidRDefault="004948E2" w:rsidP="004948E2">
            <w:pPr>
              <w:pStyle w:val="ListParagraph"/>
              <w:numPr>
                <w:ilvl w:val="0"/>
                <w:numId w:val="43"/>
              </w:numPr>
              <w:rPr>
                <w:lang w:val="en-AU" w:eastAsia="en-AU"/>
              </w:rPr>
            </w:pPr>
            <w:r w:rsidRPr="004948E2">
              <w:rPr>
                <w:b/>
                <w:lang w:val="en-AU" w:eastAsia="en-AU"/>
              </w:rPr>
              <w:t>Health literacy</w:t>
            </w:r>
            <w:r w:rsidRPr="006B13F1">
              <w:rPr>
                <w:lang w:val="en-AU" w:eastAsia="en-AU"/>
              </w:rPr>
              <w:t>–listening</w:t>
            </w:r>
            <w:r w:rsidRPr="004948E2">
              <w:rPr>
                <w:lang w:val="en-AU" w:eastAsia="en-AU"/>
              </w:rPr>
              <w:t xml:space="preserve"> skill and patient questions following cancer prevention and screening discussions (Kathleen M Mazor, Donald L Rubin, Douglas W Roblin, Andrew E Williams, Paul K J Han, Bridget Gaglio, </w:t>
            </w:r>
            <w:r w:rsidRPr="004948E2">
              <w:rPr>
                <w:lang w:val="en-AU" w:eastAsia="en-AU"/>
              </w:rPr>
              <w:lastRenderedPageBreak/>
              <w:t>Sarah L Cutrona, Mary E Costanza and Joann L Wagner</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‘It's all there in black and white’ – or is it? </w:t>
            </w:r>
            <w:r w:rsidRPr="00B91EDA">
              <w:rPr>
                <w:b/>
                <w:lang w:val="en-AU" w:eastAsia="en-AU"/>
              </w:rPr>
              <w:t>Consumer perspectives</w:t>
            </w:r>
            <w:r w:rsidRPr="004948E2">
              <w:rPr>
                <w:lang w:val="en-AU" w:eastAsia="en-AU"/>
              </w:rPr>
              <w:t xml:space="preserve"> on the proposed </w:t>
            </w:r>
            <w:r w:rsidRPr="00B91EDA">
              <w:rPr>
                <w:b/>
                <w:lang w:val="en-AU" w:eastAsia="en-AU"/>
              </w:rPr>
              <w:t>Australian Medicine Information Box</w:t>
            </w:r>
            <w:r w:rsidRPr="004948E2">
              <w:rPr>
                <w:lang w:val="en-AU" w:eastAsia="en-AU"/>
              </w:rPr>
              <w:t xml:space="preserve"> over-the-counter label format (</w:t>
            </w:r>
            <w:r>
              <w:rPr>
                <w:lang w:val="en-AU" w:eastAsia="en-AU"/>
              </w:rPr>
              <w:t>Vivien Tong, David K</w:t>
            </w:r>
            <w:r w:rsidRPr="004948E2">
              <w:rPr>
                <w:lang w:val="en-AU" w:eastAsia="en-AU"/>
              </w:rPr>
              <w:t xml:space="preserve"> Raynor and Parisa Aslani</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Development and psychometric evaluation of a measure to evaluate the </w:t>
            </w:r>
            <w:r w:rsidRPr="00B91EDA">
              <w:rPr>
                <w:b/>
                <w:lang w:val="en-AU" w:eastAsia="en-AU"/>
              </w:rPr>
              <w:t>quality of integrated care</w:t>
            </w:r>
            <w:r w:rsidRPr="004948E2">
              <w:rPr>
                <w:lang w:val="en-AU" w:eastAsia="en-AU"/>
              </w:rPr>
              <w:t xml:space="preserve">: the </w:t>
            </w:r>
            <w:r w:rsidRPr="00B91EDA">
              <w:rPr>
                <w:b/>
                <w:lang w:val="en-AU" w:eastAsia="en-AU"/>
              </w:rPr>
              <w:t>Patient Assessment of Integrated Elderly Care</w:t>
            </w:r>
            <w:r w:rsidRPr="004948E2">
              <w:rPr>
                <w:lang w:val="en-AU" w:eastAsia="en-AU"/>
              </w:rPr>
              <w:t xml:space="preserve"> (Ronald J Uittenbroek, Sijmen A Reijneveld, Roy E Stewart, Sophie L</w:t>
            </w:r>
            <w:r>
              <w:rPr>
                <w:lang w:val="en-AU" w:eastAsia="en-AU"/>
              </w:rPr>
              <w:t xml:space="preserve"> </w:t>
            </w:r>
            <w:r w:rsidRPr="004948E2">
              <w:rPr>
                <w:lang w:val="en-AU" w:eastAsia="en-AU"/>
              </w:rPr>
              <w:t>W Spoorenberg, Hubertus P</w:t>
            </w:r>
            <w:r>
              <w:rPr>
                <w:lang w:val="en-AU" w:eastAsia="en-AU"/>
              </w:rPr>
              <w:t xml:space="preserve"> </w:t>
            </w:r>
            <w:r w:rsidRPr="004948E2">
              <w:rPr>
                <w:lang w:val="en-AU" w:eastAsia="en-AU"/>
              </w:rPr>
              <w:t>H</w:t>
            </w:r>
            <w:r>
              <w:rPr>
                <w:lang w:val="en-AU" w:eastAsia="en-AU"/>
              </w:rPr>
              <w:t xml:space="preserve"> </w:t>
            </w:r>
            <w:r w:rsidRPr="004948E2">
              <w:rPr>
                <w:lang w:val="en-AU" w:eastAsia="en-AU"/>
              </w:rPr>
              <w:t>Kremer and Klaske Wynia</w:t>
            </w:r>
            <w:r>
              <w:rPr>
                <w:lang w:val="en-AU" w:eastAsia="en-AU"/>
              </w:rPr>
              <w:t>)</w:t>
            </w:r>
          </w:p>
          <w:p w:rsidR="004948E2" w:rsidRPr="004948E2" w:rsidRDefault="004948E2" w:rsidP="004948E2">
            <w:pPr>
              <w:pStyle w:val="ListParagraph"/>
              <w:numPr>
                <w:ilvl w:val="0"/>
                <w:numId w:val="43"/>
              </w:numPr>
              <w:rPr>
                <w:lang w:val="en-AU" w:eastAsia="en-AU"/>
              </w:rPr>
            </w:pPr>
            <w:r w:rsidRPr="004948E2">
              <w:rPr>
                <w:lang w:val="en-AU" w:eastAsia="en-AU"/>
              </w:rPr>
              <w:t xml:space="preserve">Defining </w:t>
            </w:r>
            <w:r w:rsidRPr="00B91EDA">
              <w:rPr>
                <w:b/>
                <w:lang w:val="en-AU" w:eastAsia="en-AU"/>
              </w:rPr>
              <w:t>continuity of care</w:t>
            </w:r>
            <w:r w:rsidRPr="004948E2">
              <w:rPr>
                <w:lang w:val="en-AU" w:eastAsia="en-AU"/>
              </w:rPr>
              <w:t xml:space="preserve"> from the perspectives of </w:t>
            </w:r>
            <w:r w:rsidRPr="00B91EDA">
              <w:rPr>
                <w:b/>
                <w:lang w:val="en-AU" w:eastAsia="en-AU"/>
              </w:rPr>
              <w:t>mental health</w:t>
            </w:r>
            <w:r w:rsidRPr="004948E2">
              <w:rPr>
                <w:lang w:val="en-AU" w:eastAsia="en-AU"/>
              </w:rPr>
              <w:t xml:space="preserve"> service users and professionals: an exploratory, comparative study (Angela Sweeney, Jonathon Davies, Susan McLaren, Margaret Whittock, Ferew Lemma, Ruth Belling, Sarah Clement, Tom Burns, Jocelyn Catty, Ian Rees Jones, Diana Rose and Til Wykes</w:t>
            </w:r>
            <w:r>
              <w:rPr>
                <w:lang w:val="en-AU" w:eastAsia="en-AU"/>
              </w:rPr>
              <w:t>)</w:t>
            </w:r>
          </w:p>
        </w:tc>
      </w:tr>
    </w:tbl>
    <w:p w:rsidR="00970EA0" w:rsidRDefault="00970EA0" w:rsidP="00970EA0">
      <w:pPr>
        <w:keepNext/>
        <w:keepLines/>
        <w:autoSpaceDE w:val="0"/>
        <w:autoSpaceDN w:val="0"/>
        <w:adjustRightInd w:val="0"/>
        <w:rPr>
          <w:i/>
          <w:lang w:val="en-AU"/>
        </w:rPr>
      </w:pPr>
    </w:p>
    <w:p w:rsidR="00970EA0" w:rsidRPr="00415487" w:rsidRDefault="00970EA0" w:rsidP="00970EA0">
      <w:pPr>
        <w:keepNext/>
        <w:keepLines/>
        <w:autoSpaceDE w:val="0"/>
        <w:autoSpaceDN w:val="0"/>
        <w:adjustRightInd w:val="0"/>
        <w:rPr>
          <w:i/>
          <w:lang w:val="en-AU"/>
        </w:rPr>
      </w:pPr>
      <w:r>
        <w:rPr>
          <w:i/>
          <w:lang w:val="en-AU"/>
        </w:rPr>
        <w:t xml:space="preserve">Public </w:t>
      </w:r>
      <w:r w:rsidRPr="00415487">
        <w:rPr>
          <w:i/>
          <w:lang w:val="en-AU"/>
        </w:rPr>
        <w:t xml:space="preserve">Health </w:t>
      </w:r>
      <w:r>
        <w:rPr>
          <w:i/>
          <w:lang w:val="en-AU"/>
        </w:rPr>
        <w:t>Research &amp; Practice</w:t>
      </w:r>
    </w:p>
    <w:p w:rsidR="00970EA0" w:rsidRPr="0095520C" w:rsidRDefault="00970EA0" w:rsidP="00970EA0">
      <w:pPr>
        <w:keepNext/>
        <w:keepLines/>
        <w:autoSpaceDE w:val="0"/>
        <w:autoSpaceDN w:val="0"/>
        <w:adjustRightInd w:val="0"/>
        <w:rPr>
          <w:lang w:val="en-AU"/>
        </w:rPr>
      </w:pPr>
      <w:r>
        <w:rPr>
          <w:lang w:val="en-AU"/>
        </w:rPr>
        <w:t>July 2016, Volume 26, Issue 3</w:t>
      </w:r>
    </w:p>
    <w:tbl>
      <w:tblPr>
        <w:tblStyle w:val="TableGrid"/>
        <w:tblW w:w="0" w:type="auto"/>
        <w:tblInd w:w="288" w:type="dxa"/>
        <w:tblLayout w:type="fixed"/>
        <w:tblLook w:val="01E0" w:firstRow="1" w:lastRow="1" w:firstColumn="1" w:lastColumn="1" w:noHBand="0" w:noVBand="0"/>
      </w:tblPr>
      <w:tblGrid>
        <w:gridCol w:w="1080"/>
        <w:gridCol w:w="8280"/>
      </w:tblGrid>
      <w:tr w:rsidR="00970EA0" w:rsidRPr="0095520C" w:rsidTr="008F3A58">
        <w:tc>
          <w:tcPr>
            <w:tcW w:w="1080" w:type="dxa"/>
            <w:tcBorders>
              <w:top w:val="single" w:sz="4" w:space="0" w:color="auto"/>
              <w:left w:val="single" w:sz="4" w:space="0" w:color="auto"/>
              <w:bottom w:val="single" w:sz="4" w:space="0" w:color="auto"/>
              <w:right w:val="single" w:sz="4" w:space="0" w:color="auto"/>
            </w:tcBorders>
            <w:vAlign w:val="center"/>
          </w:tcPr>
          <w:p w:rsidR="00970EA0" w:rsidRPr="0095520C" w:rsidRDefault="00970EA0" w:rsidP="008F3A5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0EA0" w:rsidRPr="0095520C" w:rsidRDefault="00881EEB" w:rsidP="00970EA0">
            <w:pPr>
              <w:rPr>
                <w:lang w:val="en-AU"/>
              </w:rPr>
            </w:pPr>
            <w:hyperlink r:id="rId25" w:history="1">
              <w:r w:rsidR="00970EA0" w:rsidRPr="00A212F2">
                <w:rPr>
                  <w:rStyle w:val="Hyperlink"/>
                  <w:lang w:val="en-AU"/>
                </w:rPr>
                <w:t>http://www.phrp.com.au/issues/july-2016-volume-26-issue-3/</w:t>
              </w:r>
            </w:hyperlink>
          </w:p>
        </w:tc>
      </w:tr>
      <w:tr w:rsidR="00970EA0" w:rsidRPr="00415487" w:rsidTr="008F3A58">
        <w:tc>
          <w:tcPr>
            <w:tcW w:w="1080" w:type="dxa"/>
            <w:tcBorders>
              <w:top w:val="single" w:sz="4" w:space="0" w:color="auto"/>
              <w:left w:val="single" w:sz="4" w:space="0" w:color="auto"/>
              <w:bottom w:val="single" w:sz="4" w:space="0" w:color="auto"/>
              <w:right w:val="single" w:sz="4" w:space="0" w:color="auto"/>
            </w:tcBorders>
            <w:vAlign w:val="center"/>
          </w:tcPr>
          <w:p w:rsidR="00970EA0" w:rsidRPr="0095520C" w:rsidRDefault="00970EA0" w:rsidP="008F3A58">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0EA0" w:rsidRDefault="00970EA0" w:rsidP="008F3A58">
            <w:pPr>
              <w:rPr>
                <w:lang w:val="en-AU" w:eastAsia="en-AU"/>
              </w:rPr>
            </w:pPr>
            <w:r>
              <w:rPr>
                <w:lang w:val="en-AU" w:eastAsia="en-AU"/>
              </w:rPr>
              <w:t xml:space="preserve">A new issue of </w:t>
            </w:r>
            <w:r>
              <w:rPr>
                <w:i/>
                <w:lang w:val="en-AU"/>
              </w:rPr>
              <w:t xml:space="preserve">Public </w:t>
            </w:r>
            <w:r w:rsidRPr="00415487">
              <w:rPr>
                <w:i/>
                <w:lang w:val="en-AU"/>
              </w:rPr>
              <w:t xml:space="preserve">Health </w:t>
            </w:r>
            <w:r>
              <w:rPr>
                <w:i/>
                <w:lang w:val="en-AU"/>
              </w:rPr>
              <w:t>Research &amp; Practice</w:t>
            </w:r>
            <w:r w:rsidRPr="00415487">
              <w:rPr>
                <w:i/>
                <w:lang w:val="en-AU" w:eastAsia="en-AU"/>
              </w:rPr>
              <w:t xml:space="preserve"> </w:t>
            </w:r>
            <w:r>
              <w:rPr>
                <w:lang w:val="en-AU" w:eastAsia="en-AU"/>
              </w:rPr>
              <w:t xml:space="preserve">has been published </w:t>
            </w:r>
            <w:r w:rsidRPr="000F7888">
              <w:rPr>
                <w:lang w:val="en-AU" w:eastAsia="en-AU"/>
              </w:rPr>
              <w:t xml:space="preserve">with a focus </w:t>
            </w:r>
            <w:r w:rsidRPr="00BE027C">
              <w:rPr>
                <w:lang w:val="en-AU" w:eastAsia="en-AU"/>
              </w:rPr>
              <w:t>on</w:t>
            </w:r>
            <w:r>
              <w:rPr>
                <w:lang w:val="en-AU" w:eastAsia="en-AU"/>
              </w:rPr>
              <w:t xml:space="preserve"> the </w:t>
            </w:r>
            <w:r w:rsidRPr="00970EA0">
              <w:rPr>
                <w:lang w:val="en-AU" w:eastAsia="en-AU"/>
              </w:rPr>
              <w:t>innovative use of cohort data to address emerging public health issues and inform heal</w:t>
            </w:r>
            <w:r>
              <w:rPr>
                <w:lang w:val="en-AU" w:eastAsia="en-AU"/>
              </w:rPr>
              <w:t>th services planning and policy</w:t>
            </w:r>
            <w:r w:rsidRPr="000F7888">
              <w:rPr>
                <w:lang w:val="en-AU" w:eastAsia="en-AU"/>
              </w:rPr>
              <w:t>.</w:t>
            </w:r>
            <w:r>
              <w:rPr>
                <w:lang w:val="en-AU" w:eastAsia="en-AU"/>
              </w:rPr>
              <w:t xml:space="preserve"> Articles in this issue of </w:t>
            </w:r>
            <w:r>
              <w:rPr>
                <w:i/>
                <w:lang w:val="en-AU"/>
              </w:rPr>
              <w:t xml:space="preserve">Public </w:t>
            </w:r>
            <w:r w:rsidRPr="00415487">
              <w:rPr>
                <w:i/>
                <w:lang w:val="en-AU"/>
              </w:rPr>
              <w:t xml:space="preserve">Health </w:t>
            </w:r>
            <w:r>
              <w:rPr>
                <w:i/>
                <w:lang w:val="en-AU"/>
              </w:rPr>
              <w:t>Research &amp; Practice</w:t>
            </w:r>
            <w:r>
              <w:rPr>
                <w:lang w:val="en-AU" w:eastAsia="en-AU"/>
              </w:rPr>
              <w:t xml:space="preserve"> include:</w:t>
            </w:r>
          </w:p>
          <w:p w:rsidR="00970EA0" w:rsidRPr="00970EA0" w:rsidRDefault="00970EA0" w:rsidP="00970EA0">
            <w:pPr>
              <w:pStyle w:val="ListParagraph"/>
              <w:numPr>
                <w:ilvl w:val="0"/>
                <w:numId w:val="44"/>
              </w:numPr>
              <w:rPr>
                <w:lang w:val="en-AU" w:eastAsia="en-AU"/>
              </w:rPr>
            </w:pPr>
            <w:r w:rsidRPr="00970EA0">
              <w:rPr>
                <w:lang w:val="en-AU" w:eastAsia="en-AU"/>
              </w:rPr>
              <w:t xml:space="preserve">Editorial: Making innovative use of </w:t>
            </w:r>
            <w:r w:rsidRPr="00970EA0">
              <w:rPr>
                <w:b/>
                <w:lang w:val="en-AU" w:eastAsia="en-AU"/>
              </w:rPr>
              <w:t>cohort data</w:t>
            </w:r>
            <w:r w:rsidRPr="00970EA0">
              <w:rPr>
                <w:lang w:val="en-AU" w:eastAsia="en-AU"/>
              </w:rPr>
              <w:t xml:space="preserve"> (</w:t>
            </w:r>
            <w:r>
              <w:rPr>
                <w:lang w:val="en-AU" w:eastAsia="en-AU"/>
              </w:rPr>
              <w:t>Byles J)</w:t>
            </w:r>
          </w:p>
          <w:p w:rsidR="00970EA0" w:rsidRPr="00970EA0" w:rsidRDefault="00970EA0" w:rsidP="00970EA0">
            <w:pPr>
              <w:pStyle w:val="ListParagraph"/>
              <w:numPr>
                <w:ilvl w:val="0"/>
                <w:numId w:val="44"/>
              </w:numPr>
              <w:rPr>
                <w:lang w:val="en-AU" w:eastAsia="en-AU"/>
              </w:rPr>
            </w:pPr>
            <w:r w:rsidRPr="00970EA0">
              <w:rPr>
                <w:b/>
                <w:lang w:val="en-AU" w:eastAsia="en-AU"/>
              </w:rPr>
              <w:t>Nurses’ Health Study</w:t>
            </w:r>
            <w:r w:rsidRPr="00970EA0">
              <w:rPr>
                <w:lang w:val="en-AU" w:eastAsia="en-AU"/>
              </w:rPr>
              <w:t>: demonstrating the impact of research, and adapting new measures and approaches to increase relevance and effect of cohort studies (Colditz, GA</w:t>
            </w:r>
            <w:r>
              <w:rPr>
                <w:lang w:val="en-AU" w:eastAsia="en-AU"/>
              </w:rPr>
              <w:t>)</w:t>
            </w:r>
          </w:p>
          <w:p w:rsidR="00970EA0" w:rsidRPr="00970EA0" w:rsidRDefault="00970EA0" w:rsidP="00970EA0">
            <w:pPr>
              <w:pStyle w:val="ListParagraph"/>
              <w:numPr>
                <w:ilvl w:val="0"/>
                <w:numId w:val="44"/>
              </w:numPr>
              <w:rPr>
                <w:lang w:val="en-AU" w:eastAsia="en-AU"/>
              </w:rPr>
            </w:pPr>
            <w:r w:rsidRPr="00970EA0">
              <w:rPr>
                <w:lang w:val="en-AU" w:eastAsia="en-AU"/>
              </w:rPr>
              <w:t xml:space="preserve">The </w:t>
            </w:r>
            <w:r w:rsidRPr="00970EA0">
              <w:rPr>
                <w:b/>
                <w:lang w:val="en-AU" w:eastAsia="en-AU"/>
              </w:rPr>
              <w:t>45 and Up Study</w:t>
            </w:r>
            <w:r w:rsidRPr="00970EA0">
              <w:rPr>
                <w:lang w:val="en-AU" w:eastAsia="en-AU"/>
              </w:rPr>
              <w:t xml:space="preserve">: a tool for local population health and health service planning to improve </w:t>
            </w:r>
            <w:r w:rsidRPr="00970EA0">
              <w:rPr>
                <w:b/>
                <w:lang w:val="en-AU" w:eastAsia="en-AU"/>
              </w:rPr>
              <w:t>integration of healthcare</w:t>
            </w:r>
            <w:r w:rsidRPr="00970EA0">
              <w:rPr>
                <w:lang w:val="en-AU" w:eastAsia="en-AU"/>
              </w:rPr>
              <w:t xml:space="preserve"> (Comino EJ, Harris E, Page J, McDonald J, Harris MF</w:t>
            </w:r>
            <w:r>
              <w:rPr>
                <w:lang w:val="en-AU" w:eastAsia="en-AU"/>
              </w:rPr>
              <w:t>)</w:t>
            </w:r>
          </w:p>
          <w:p w:rsidR="00970EA0" w:rsidRPr="00970EA0" w:rsidRDefault="00970EA0" w:rsidP="00970EA0">
            <w:pPr>
              <w:pStyle w:val="ListParagraph"/>
              <w:numPr>
                <w:ilvl w:val="0"/>
                <w:numId w:val="44"/>
              </w:numPr>
              <w:rPr>
                <w:lang w:val="en-AU" w:eastAsia="en-AU"/>
              </w:rPr>
            </w:pPr>
            <w:r w:rsidRPr="00970EA0">
              <w:rPr>
                <w:b/>
                <w:lang w:val="en-AU" w:eastAsia="en-AU"/>
              </w:rPr>
              <w:t>Life-history</w:t>
            </w:r>
            <w:r w:rsidRPr="00970EA0">
              <w:rPr>
                <w:lang w:val="en-AU" w:eastAsia="en-AU"/>
              </w:rPr>
              <w:t xml:space="preserve"> data (Vanhoutte B, Nazroo J</w:t>
            </w:r>
            <w:r>
              <w:rPr>
                <w:lang w:val="en-AU" w:eastAsia="en-AU"/>
              </w:rPr>
              <w:t>)</w:t>
            </w:r>
          </w:p>
          <w:p w:rsidR="00970EA0" w:rsidRPr="00970EA0" w:rsidRDefault="00970EA0" w:rsidP="00970EA0">
            <w:pPr>
              <w:pStyle w:val="ListParagraph"/>
              <w:numPr>
                <w:ilvl w:val="0"/>
                <w:numId w:val="44"/>
              </w:numPr>
              <w:rPr>
                <w:lang w:val="en-AU" w:eastAsia="en-AU"/>
              </w:rPr>
            </w:pPr>
            <w:r w:rsidRPr="00970EA0">
              <w:rPr>
                <w:lang w:val="en-AU" w:eastAsia="en-AU"/>
              </w:rPr>
              <w:t xml:space="preserve">Generating qualitative data by design: the </w:t>
            </w:r>
            <w:r w:rsidRPr="00970EA0">
              <w:rPr>
                <w:b/>
                <w:lang w:val="en-AU" w:eastAsia="en-AU"/>
              </w:rPr>
              <w:t>Australian Longitudinal Study on Women’s Health qualitative data</w:t>
            </w:r>
            <w:r w:rsidRPr="00970EA0">
              <w:rPr>
                <w:lang w:val="en-AU" w:eastAsia="en-AU"/>
              </w:rPr>
              <w:t xml:space="preserve"> collection (Tavener M, Chojenta C, Loxton D</w:t>
            </w:r>
            <w:r>
              <w:rPr>
                <w:lang w:val="en-AU" w:eastAsia="en-AU"/>
              </w:rPr>
              <w:t>)</w:t>
            </w:r>
          </w:p>
          <w:p w:rsidR="00970EA0" w:rsidRPr="00970EA0" w:rsidRDefault="00970EA0" w:rsidP="00970EA0">
            <w:pPr>
              <w:pStyle w:val="ListParagraph"/>
              <w:numPr>
                <w:ilvl w:val="0"/>
                <w:numId w:val="44"/>
              </w:numPr>
              <w:rPr>
                <w:lang w:val="en-AU" w:eastAsia="en-AU"/>
              </w:rPr>
            </w:pPr>
            <w:r w:rsidRPr="00970EA0">
              <w:rPr>
                <w:lang w:val="en-AU" w:eastAsia="en-AU"/>
              </w:rPr>
              <w:t xml:space="preserve">Systems approaches for </w:t>
            </w:r>
            <w:r w:rsidRPr="00970EA0">
              <w:rPr>
                <w:b/>
                <w:lang w:val="en-AU" w:eastAsia="en-AU"/>
              </w:rPr>
              <w:t>chronic disease prevention</w:t>
            </w:r>
            <w:r w:rsidRPr="00970EA0">
              <w:rPr>
                <w:lang w:val="en-AU" w:eastAsia="en-AU"/>
              </w:rPr>
              <w:t>: sound logic and empirical evidence, but is this view shared outside of academia? (Wutzke S, Morrice E, Benton M, Wilson A</w:t>
            </w:r>
            <w:r>
              <w:rPr>
                <w:lang w:val="en-AU" w:eastAsia="en-AU"/>
              </w:rPr>
              <w:t>)</w:t>
            </w:r>
          </w:p>
          <w:p w:rsidR="00970EA0" w:rsidRPr="00970EA0" w:rsidRDefault="00970EA0" w:rsidP="00970EA0">
            <w:pPr>
              <w:pStyle w:val="ListParagraph"/>
              <w:numPr>
                <w:ilvl w:val="0"/>
                <w:numId w:val="44"/>
              </w:numPr>
              <w:rPr>
                <w:lang w:val="en-AU" w:eastAsia="en-AU"/>
              </w:rPr>
            </w:pPr>
            <w:r w:rsidRPr="00970EA0">
              <w:rPr>
                <w:lang w:val="en-AU" w:eastAsia="en-AU"/>
              </w:rPr>
              <w:t xml:space="preserve">Towards </w:t>
            </w:r>
            <w:r w:rsidRPr="00970EA0">
              <w:rPr>
                <w:b/>
                <w:lang w:val="en-AU" w:eastAsia="en-AU"/>
              </w:rPr>
              <w:t xml:space="preserve">public health surveillance </w:t>
            </w:r>
            <w:r w:rsidRPr="00970EA0">
              <w:rPr>
                <w:lang w:val="en-AU" w:eastAsia="en-AU"/>
              </w:rPr>
              <w:t>of</w:t>
            </w:r>
            <w:r w:rsidRPr="00970EA0">
              <w:rPr>
                <w:b/>
                <w:lang w:val="en-AU" w:eastAsia="en-AU"/>
              </w:rPr>
              <w:t xml:space="preserve"> intensive care</w:t>
            </w:r>
            <w:r w:rsidRPr="00970EA0">
              <w:rPr>
                <w:lang w:val="en-AU" w:eastAsia="en-AU"/>
              </w:rPr>
              <w:t xml:space="preserve"> services in NSW, Australia (Norton S, Cordery DV, Abbenbroek BJ, Ryan AC, Muscatello DJ</w:t>
            </w:r>
            <w:r>
              <w:rPr>
                <w:lang w:val="en-AU" w:eastAsia="en-AU"/>
              </w:rPr>
              <w:t>)</w:t>
            </w:r>
          </w:p>
          <w:p w:rsidR="00970EA0" w:rsidRPr="00970EA0" w:rsidRDefault="00970EA0" w:rsidP="00970EA0">
            <w:pPr>
              <w:pStyle w:val="ListParagraph"/>
              <w:numPr>
                <w:ilvl w:val="0"/>
                <w:numId w:val="44"/>
              </w:numPr>
              <w:rPr>
                <w:lang w:val="en-AU" w:eastAsia="en-AU"/>
              </w:rPr>
            </w:pPr>
            <w:r w:rsidRPr="00970EA0">
              <w:rPr>
                <w:b/>
                <w:lang w:val="en-AU" w:eastAsia="en-AU"/>
              </w:rPr>
              <w:t>Tobacco smoking by adult emergency department patients</w:t>
            </w:r>
            <w:r w:rsidRPr="00970EA0">
              <w:rPr>
                <w:lang w:val="en-AU" w:eastAsia="en-AU"/>
              </w:rPr>
              <w:t xml:space="preserve"> in Australia: a point-prevalence study (Weiland TJ, Jelinek GA, Taylor SE, Taylor DMcD</w:t>
            </w:r>
            <w:r>
              <w:rPr>
                <w:lang w:val="en-AU" w:eastAsia="en-AU"/>
              </w:rPr>
              <w:t>)</w:t>
            </w:r>
          </w:p>
          <w:p w:rsidR="00970EA0" w:rsidRPr="00970EA0" w:rsidRDefault="00970EA0" w:rsidP="00970EA0">
            <w:pPr>
              <w:pStyle w:val="ListParagraph"/>
              <w:numPr>
                <w:ilvl w:val="0"/>
                <w:numId w:val="44"/>
              </w:numPr>
              <w:rPr>
                <w:lang w:val="en-AU" w:eastAsia="en-AU"/>
              </w:rPr>
            </w:pPr>
            <w:r w:rsidRPr="00970EA0">
              <w:rPr>
                <w:lang w:val="en-AU" w:eastAsia="en-AU"/>
              </w:rPr>
              <w:t xml:space="preserve">The </w:t>
            </w:r>
            <w:r w:rsidRPr="00970EA0">
              <w:rPr>
                <w:b/>
                <w:lang w:val="en-AU" w:eastAsia="en-AU"/>
              </w:rPr>
              <w:t>Study of Environment on Aboriginal Resilience and Child Health</w:t>
            </w:r>
            <w:r w:rsidRPr="00970EA0">
              <w:rPr>
                <w:lang w:val="en-AU" w:eastAsia="en-AU"/>
              </w:rPr>
              <w:t xml:space="preserve"> (SEARCH): a long-term platform for closing the gap (Wright D, Gordon R, Carr D, Craig JC, Banks E, Muthayya S, Wutzke S, Eades SJ, Redman S, on behalf of the SEARCH collaborators</w:t>
            </w:r>
            <w:r>
              <w:rPr>
                <w:lang w:val="en-AU" w:eastAsia="en-AU"/>
              </w:rPr>
              <w:t>)</w:t>
            </w:r>
          </w:p>
          <w:p w:rsidR="00970EA0" w:rsidRPr="00970EA0" w:rsidRDefault="00970EA0" w:rsidP="00970EA0">
            <w:pPr>
              <w:pStyle w:val="ListParagraph"/>
              <w:numPr>
                <w:ilvl w:val="0"/>
                <w:numId w:val="44"/>
              </w:numPr>
              <w:rPr>
                <w:lang w:val="en-AU" w:eastAsia="en-AU"/>
              </w:rPr>
            </w:pPr>
            <w:r w:rsidRPr="00970EA0">
              <w:rPr>
                <w:b/>
                <w:lang w:val="en-AU" w:eastAsia="en-AU"/>
              </w:rPr>
              <w:t>Data linkage</w:t>
            </w:r>
            <w:r w:rsidRPr="00970EA0">
              <w:rPr>
                <w:lang w:val="en-AU" w:eastAsia="en-AU"/>
              </w:rPr>
              <w:t xml:space="preserve"> in an established longitudinal cohort: the </w:t>
            </w:r>
            <w:r w:rsidRPr="00970EA0">
              <w:rPr>
                <w:b/>
                <w:lang w:val="en-AU" w:eastAsia="en-AU"/>
              </w:rPr>
              <w:t>Western Australian Pregnancy Cohort</w:t>
            </w:r>
            <w:r w:rsidRPr="00970EA0">
              <w:rPr>
                <w:lang w:val="en-AU" w:eastAsia="en-AU"/>
              </w:rPr>
              <w:t xml:space="preserve"> (Raine) Study (Mountain JA, Nyaradi A, Oddy WH, Glauert RA, de Klerk NH, Straker LM, Stanley FJ</w:t>
            </w:r>
            <w:r>
              <w:rPr>
                <w:lang w:val="en-AU" w:eastAsia="en-AU"/>
              </w:rPr>
              <w:t>)</w:t>
            </w:r>
          </w:p>
          <w:p w:rsidR="00970EA0" w:rsidRPr="00970EA0" w:rsidRDefault="00970EA0" w:rsidP="00970EA0">
            <w:pPr>
              <w:pStyle w:val="ListParagraph"/>
              <w:numPr>
                <w:ilvl w:val="0"/>
                <w:numId w:val="44"/>
              </w:numPr>
              <w:rPr>
                <w:lang w:val="en-AU" w:eastAsia="en-AU"/>
              </w:rPr>
            </w:pPr>
            <w:r w:rsidRPr="00970EA0">
              <w:rPr>
                <w:lang w:val="en-AU" w:eastAsia="en-AU"/>
              </w:rPr>
              <w:t xml:space="preserve">Action to identify and prevent </w:t>
            </w:r>
            <w:r w:rsidRPr="00970EA0">
              <w:rPr>
                <w:b/>
                <w:lang w:val="en-AU" w:eastAsia="en-AU"/>
              </w:rPr>
              <w:t>FASD</w:t>
            </w:r>
            <w:r w:rsidRPr="00970EA0">
              <w:rPr>
                <w:lang w:val="en-AU" w:eastAsia="en-AU"/>
              </w:rPr>
              <w:t xml:space="preserve"> in high-risk communities</w:t>
            </w:r>
            <w:r>
              <w:rPr>
                <w:lang w:val="en-AU" w:eastAsia="en-AU"/>
              </w:rPr>
              <w:t xml:space="preserve"> (Signy H)</w:t>
            </w:r>
          </w:p>
          <w:p w:rsidR="00970EA0" w:rsidRPr="00970EA0" w:rsidRDefault="00970EA0" w:rsidP="00970EA0">
            <w:pPr>
              <w:pStyle w:val="ListParagraph"/>
              <w:numPr>
                <w:ilvl w:val="0"/>
                <w:numId w:val="44"/>
              </w:numPr>
              <w:rPr>
                <w:lang w:val="en-AU" w:eastAsia="en-AU"/>
              </w:rPr>
            </w:pPr>
            <w:r w:rsidRPr="00970EA0">
              <w:rPr>
                <w:lang w:val="en-AU" w:eastAsia="en-AU"/>
              </w:rPr>
              <w:t xml:space="preserve">BEACH closure: what next for </w:t>
            </w:r>
            <w:r w:rsidRPr="000527B5">
              <w:rPr>
                <w:b/>
                <w:lang w:val="en-AU" w:eastAsia="en-AU"/>
              </w:rPr>
              <w:t>primary health care data</w:t>
            </w:r>
            <w:r w:rsidRPr="00970EA0">
              <w:rPr>
                <w:lang w:val="en-AU" w:eastAsia="en-AU"/>
              </w:rPr>
              <w:t>?</w:t>
            </w:r>
            <w:r>
              <w:rPr>
                <w:lang w:val="en-AU" w:eastAsia="en-AU"/>
              </w:rPr>
              <w:t xml:space="preserve"> (Skilton N)</w:t>
            </w:r>
          </w:p>
          <w:p w:rsidR="00970EA0" w:rsidRPr="00BE027C" w:rsidRDefault="00970EA0" w:rsidP="00970EA0">
            <w:pPr>
              <w:pStyle w:val="ListParagraph"/>
              <w:numPr>
                <w:ilvl w:val="0"/>
                <w:numId w:val="44"/>
              </w:numPr>
              <w:rPr>
                <w:lang w:val="en-AU" w:eastAsia="en-AU"/>
              </w:rPr>
            </w:pPr>
            <w:r w:rsidRPr="00970EA0">
              <w:rPr>
                <w:b/>
                <w:lang w:val="en-AU" w:eastAsia="en-AU"/>
              </w:rPr>
              <w:lastRenderedPageBreak/>
              <w:t>Engaging with cohorts</w:t>
            </w:r>
            <w:r w:rsidRPr="00970EA0">
              <w:rPr>
                <w:lang w:val="en-AU" w:eastAsia="en-AU"/>
              </w:rPr>
              <w:t>: opportunities and pitfalls in social media</w:t>
            </w:r>
            <w:r>
              <w:rPr>
                <w:lang w:val="en-AU" w:eastAsia="en-AU"/>
              </w:rPr>
              <w:t xml:space="preserve"> (Signy H)</w:t>
            </w:r>
          </w:p>
        </w:tc>
      </w:tr>
    </w:tbl>
    <w:p w:rsidR="00970EA0" w:rsidRDefault="00970EA0" w:rsidP="00970EA0">
      <w:pPr>
        <w:rPr>
          <w:i/>
          <w:lang w:val="en-AU"/>
        </w:rPr>
      </w:pPr>
    </w:p>
    <w:p w:rsidR="008D1D58" w:rsidRDefault="008D1D58" w:rsidP="00970EA0">
      <w:pPr>
        <w:rPr>
          <w:i/>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092493" w:rsidRPr="00E030C3" w:rsidRDefault="00092493" w:rsidP="00092493">
      <w:pPr>
        <w:rPr>
          <w:i/>
          <w:lang w:val="en-AU"/>
        </w:rPr>
      </w:pPr>
      <w:r w:rsidRPr="00E030C3">
        <w:rPr>
          <w:i/>
          <w:lang w:val="en-AU"/>
        </w:rPr>
        <w:t>[USA] Health Literacy and Patient Safety Events</w:t>
      </w:r>
    </w:p>
    <w:p w:rsidR="00092493" w:rsidRDefault="00881EEB" w:rsidP="00092493">
      <w:pPr>
        <w:rPr>
          <w:lang w:val="en-AU"/>
        </w:rPr>
      </w:pPr>
      <w:hyperlink r:id="rId26" w:history="1">
        <w:r w:rsidR="00092493" w:rsidRPr="00B86387">
          <w:rPr>
            <w:rStyle w:val="Hyperlink"/>
            <w:lang w:val="en-AU"/>
          </w:rPr>
          <w:t>http://patientsafetyauthority.org/ADVISORIES/AdvisoryLibrary/2016/jun;13(2)/Pages/58.aspx</w:t>
        </w:r>
      </w:hyperlink>
    </w:p>
    <w:p w:rsidR="00092493" w:rsidRDefault="00092493" w:rsidP="00092493">
      <w:pPr>
        <w:rPr>
          <w:lang w:val="en-AU"/>
        </w:rPr>
      </w:pPr>
      <w:r>
        <w:rPr>
          <w:lang w:val="en-AU"/>
        </w:rPr>
        <w:t xml:space="preserve">This item in the </w:t>
      </w:r>
      <w:r w:rsidRPr="00E030C3">
        <w:rPr>
          <w:lang w:val="en-AU"/>
        </w:rPr>
        <w:t xml:space="preserve">Pennsylvania Patient Safety </w:t>
      </w:r>
      <w:r>
        <w:rPr>
          <w:lang w:val="en-AU"/>
        </w:rPr>
        <w:t xml:space="preserve">Advisory </w:t>
      </w:r>
      <w:r w:rsidRPr="00E030C3">
        <w:rPr>
          <w:lang w:val="en-AU"/>
        </w:rPr>
        <w:t xml:space="preserve">reviews incidents submitted to </w:t>
      </w:r>
      <w:r>
        <w:rPr>
          <w:lang w:val="en-AU"/>
        </w:rPr>
        <w:t>the</w:t>
      </w:r>
      <w:r w:rsidRPr="00E030C3">
        <w:rPr>
          <w:lang w:val="en-AU"/>
        </w:rPr>
        <w:t xml:space="preserve"> state</w:t>
      </w:r>
      <w:r>
        <w:rPr>
          <w:lang w:val="en-AU"/>
        </w:rPr>
        <w:t>’s</w:t>
      </w:r>
      <w:r w:rsidRPr="00E030C3">
        <w:rPr>
          <w:lang w:val="en-AU"/>
        </w:rPr>
        <w:t xml:space="preserve"> reporting initiative where </w:t>
      </w:r>
      <w:r>
        <w:rPr>
          <w:lang w:val="en-AU"/>
        </w:rPr>
        <w:t xml:space="preserve">a lack of </w:t>
      </w:r>
      <w:r w:rsidRPr="00E030C3">
        <w:rPr>
          <w:lang w:val="en-AU"/>
        </w:rPr>
        <w:t xml:space="preserve">patient </w:t>
      </w:r>
      <w:r>
        <w:rPr>
          <w:lang w:val="en-AU"/>
        </w:rPr>
        <w:t xml:space="preserve">knowledge or comprehension </w:t>
      </w:r>
      <w:r w:rsidRPr="00E030C3">
        <w:rPr>
          <w:lang w:val="en-AU"/>
        </w:rPr>
        <w:t xml:space="preserve">may have </w:t>
      </w:r>
      <w:r>
        <w:rPr>
          <w:lang w:val="en-AU"/>
        </w:rPr>
        <w:t xml:space="preserve">contributed to </w:t>
      </w:r>
      <w:r w:rsidRPr="00E030C3">
        <w:rPr>
          <w:lang w:val="en-AU"/>
        </w:rPr>
        <w:t>delayed or missed care and describes a program to encourage adoption of teach-back and other strategies to help patients better comprehend their health care instructions.</w:t>
      </w:r>
    </w:p>
    <w:p w:rsidR="00092493" w:rsidRDefault="00092493" w:rsidP="00B52D0D">
      <w:pPr>
        <w:rPr>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881EEB" w:rsidP="00852CA0">
      <w:pPr>
        <w:keepNext/>
        <w:keepLines/>
        <w:rPr>
          <w:u w:val="single"/>
          <w:lang w:val="en-AU"/>
        </w:rPr>
      </w:pPr>
      <w:hyperlink r:id="rId27"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296473" w:rsidRDefault="00296473" w:rsidP="00C03527">
      <w:pPr>
        <w:pStyle w:val="ListParagraph"/>
        <w:keepNext/>
        <w:keepLines/>
        <w:numPr>
          <w:ilvl w:val="0"/>
          <w:numId w:val="14"/>
        </w:numPr>
        <w:rPr>
          <w:lang w:val="en-AU"/>
        </w:rPr>
      </w:pPr>
      <w:r>
        <w:rPr>
          <w:lang w:val="en-AU"/>
        </w:rPr>
        <w:t xml:space="preserve">NICE Guideline NG51 </w:t>
      </w:r>
      <w:r w:rsidR="00C03527" w:rsidRPr="00C03527">
        <w:rPr>
          <w:b/>
          <w:i/>
          <w:lang w:val="en-AU"/>
        </w:rPr>
        <w:t>Sepsis</w:t>
      </w:r>
      <w:r w:rsidR="00C03527" w:rsidRPr="00C03527">
        <w:rPr>
          <w:i/>
          <w:lang w:val="en-AU"/>
        </w:rPr>
        <w:t>: recognition, diagnosis and early management</w:t>
      </w:r>
      <w:r w:rsidR="00C03527">
        <w:rPr>
          <w:lang w:val="en-AU"/>
        </w:rPr>
        <w:t xml:space="preserve"> </w:t>
      </w:r>
      <w:hyperlink r:id="rId28" w:history="1">
        <w:r w:rsidR="00C03527" w:rsidRPr="0025574D">
          <w:rPr>
            <w:rStyle w:val="Hyperlink"/>
            <w:lang w:val="en-AU"/>
          </w:rPr>
          <w:t>https://www.nice.org.uk/guidance/ng51</w:t>
        </w:r>
      </w:hyperlink>
    </w:p>
    <w:p w:rsidR="00D21B25" w:rsidRPr="00C03527" w:rsidRDefault="00247DEF" w:rsidP="00896ECF">
      <w:pPr>
        <w:pStyle w:val="ListParagraph"/>
        <w:keepNext/>
        <w:keepLines/>
        <w:numPr>
          <w:ilvl w:val="0"/>
          <w:numId w:val="14"/>
        </w:numPr>
        <w:rPr>
          <w:rStyle w:val="Hyperlink"/>
          <w:color w:val="auto"/>
          <w:u w:val="none"/>
          <w:lang w:val="en-AU"/>
        </w:rPr>
      </w:pPr>
      <w:r>
        <w:rPr>
          <w:lang w:val="en-AU"/>
        </w:rPr>
        <w:t xml:space="preserve">NICE </w:t>
      </w:r>
      <w:r w:rsidR="00D21B25">
        <w:rPr>
          <w:lang w:val="en-AU"/>
        </w:rPr>
        <w:t xml:space="preserve">Clinical </w:t>
      </w:r>
      <w:r>
        <w:rPr>
          <w:lang w:val="en-AU"/>
        </w:rPr>
        <w:t xml:space="preserve">Guideline </w:t>
      </w:r>
      <w:r w:rsidR="00D21B25">
        <w:rPr>
          <w:lang w:val="en-AU"/>
        </w:rPr>
        <w:t>C</w:t>
      </w:r>
      <w:r>
        <w:rPr>
          <w:lang w:val="en-AU"/>
        </w:rPr>
        <w:t>G</w:t>
      </w:r>
      <w:r w:rsidR="00896ECF">
        <w:rPr>
          <w:lang w:val="en-AU"/>
        </w:rPr>
        <w:t xml:space="preserve">64 </w:t>
      </w:r>
      <w:r w:rsidR="00896ECF" w:rsidRPr="00896ECF">
        <w:rPr>
          <w:i/>
          <w:lang w:val="en-AU"/>
        </w:rPr>
        <w:t xml:space="preserve">Prophylaxis against </w:t>
      </w:r>
      <w:r w:rsidR="00896ECF" w:rsidRPr="00896ECF">
        <w:rPr>
          <w:b/>
          <w:i/>
          <w:lang w:val="en-AU"/>
        </w:rPr>
        <w:t>infective endocarditis</w:t>
      </w:r>
      <w:r w:rsidR="00896ECF" w:rsidRPr="00896ECF">
        <w:rPr>
          <w:i/>
          <w:lang w:val="en-AU"/>
        </w:rPr>
        <w:t>: antimicrobial prophylaxis against infective endocarditis in adults and children undergoing interventional procedures</w:t>
      </w:r>
      <w:r w:rsidR="00896ECF">
        <w:rPr>
          <w:lang w:val="en-AU"/>
        </w:rPr>
        <w:t xml:space="preserve"> </w:t>
      </w:r>
      <w:hyperlink r:id="rId29" w:history="1">
        <w:r w:rsidR="00896ECF" w:rsidRPr="00CC1FBE">
          <w:rPr>
            <w:rStyle w:val="Hyperlink"/>
            <w:lang w:val="en-AU"/>
          </w:rPr>
          <w:t>https://www.nice.org.uk/guidance/cg64</w:t>
        </w:r>
      </w:hyperlink>
    </w:p>
    <w:p w:rsidR="00C03527" w:rsidRDefault="00C03527" w:rsidP="00C03527">
      <w:pPr>
        <w:pStyle w:val="ListParagraph"/>
        <w:keepNext/>
        <w:keepLines/>
        <w:numPr>
          <w:ilvl w:val="0"/>
          <w:numId w:val="14"/>
        </w:numPr>
        <w:rPr>
          <w:lang w:val="en-AU"/>
        </w:rPr>
      </w:pPr>
      <w:r>
        <w:rPr>
          <w:lang w:val="en-AU"/>
        </w:rPr>
        <w:t xml:space="preserve">NICE Clinical Guideline CG181 </w:t>
      </w:r>
      <w:r w:rsidRPr="00C03527">
        <w:rPr>
          <w:b/>
          <w:i/>
          <w:lang w:val="en-AU"/>
        </w:rPr>
        <w:t>Cardiovascular disease</w:t>
      </w:r>
      <w:r w:rsidRPr="00C03527">
        <w:rPr>
          <w:i/>
          <w:lang w:val="en-AU"/>
        </w:rPr>
        <w:t>: risk assessment and reduction, including lipid modification</w:t>
      </w:r>
      <w:r>
        <w:rPr>
          <w:lang w:val="en-AU"/>
        </w:rPr>
        <w:t xml:space="preserve"> </w:t>
      </w:r>
      <w:hyperlink r:id="rId30" w:history="1">
        <w:r w:rsidRPr="0025574D">
          <w:rPr>
            <w:rStyle w:val="Hyperlink"/>
            <w:lang w:val="en-AU"/>
          </w:rPr>
          <w:t>https://www.nice.org.uk/guidance/cg181</w:t>
        </w:r>
      </w:hyperlink>
    </w:p>
    <w:p w:rsidR="000E249C" w:rsidRDefault="000E249C" w:rsidP="00B52D0D">
      <w:pPr>
        <w:rPr>
          <w:i/>
          <w:lang w:val="en-AU"/>
        </w:rPr>
      </w:pPr>
    </w:p>
    <w:p w:rsidR="00A7649C" w:rsidRPr="005223EE" w:rsidRDefault="00A7649C" w:rsidP="005223EE">
      <w:pPr>
        <w:keepNext/>
        <w:keepLines/>
        <w:rPr>
          <w:i/>
          <w:lang w:val="en-AU"/>
        </w:rPr>
      </w:pPr>
      <w:r w:rsidRPr="005223EE">
        <w:rPr>
          <w:i/>
          <w:lang w:val="en-AU"/>
        </w:rPr>
        <w:t>[USA] Effective Health Care Program reports</w:t>
      </w:r>
    </w:p>
    <w:p w:rsidR="00A7649C" w:rsidRPr="00BD0F1C" w:rsidRDefault="00881EEB" w:rsidP="00A7649C">
      <w:pPr>
        <w:keepNext/>
        <w:keepLines/>
        <w:rPr>
          <w:u w:val="single"/>
          <w:lang w:val="en-AU"/>
        </w:rPr>
      </w:pPr>
      <w:hyperlink r:id="rId31" w:history="1">
        <w:r w:rsidR="00A7649C" w:rsidRPr="00BD0F1C">
          <w:rPr>
            <w:rStyle w:val="Hyperlink"/>
            <w:lang w:val="en-AU"/>
          </w:rPr>
          <w:t>http://effectivehealthcare.ahrq.gov/</w:t>
        </w:r>
      </w:hyperlink>
    </w:p>
    <w:p w:rsidR="00A7649C" w:rsidRDefault="00A7649C" w:rsidP="00A7649C">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D21B25" w:rsidRPr="00296473" w:rsidRDefault="00296473" w:rsidP="00296473">
      <w:pPr>
        <w:pStyle w:val="ListParagraph"/>
        <w:numPr>
          <w:ilvl w:val="0"/>
          <w:numId w:val="23"/>
        </w:numPr>
        <w:rPr>
          <w:i/>
          <w:lang w:val="en-AU"/>
        </w:rPr>
      </w:pPr>
      <w:r w:rsidRPr="00296473">
        <w:rPr>
          <w:i/>
          <w:lang w:val="en-AU"/>
        </w:rPr>
        <w:t xml:space="preserve">Strategies To De-escalate </w:t>
      </w:r>
      <w:r w:rsidRPr="00296473">
        <w:rPr>
          <w:b/>
          <w:i/>
          <w:lang w:val="en-AU"/>
        </w:rPr>
        <w:t>Aggressive Behavior in Psychiatric Patients</w:t>
      </w:r>
      <w:r w:rsidRPr="00296473">
        <w:rPr>
          <w:i/>
          <w:lang w:val="en-AU"/>
        </w:rPr>
        <w:t xml:space="preserve"> </w:t>
      </w:r>
      <w:hyperlink r:id="rId32" w:history="1">
        <w:r w:rsidRPr="0025574D">
          <w:rPr>
            <w:rStyle w:val="Hyperlink"/>
            <w:lang w:val="en-AU"/>
          </w:rPr>
          <w:t>https://effectivehealthcare.ahrq.gov/search-for-guides-reviews-and-reports/?pageaction=displayproduct&amp;productID=2256</w:t>
        </w:r>
      </w:hyperlink>
    </w:p>
    <w:p w:rsidR="00296473" w:rsidRPr="00296473" w:rsidRDefault="00296473" w:rsidP="00296473">
      <w:pPr>
        <w:pStyle w:val="ListParagraph"/>
        <w:numPr>
          <w:ilvl w:val="0"/>
          <w:numId w:val="23"/>
        </w:numPr>
        <w:rPr>
          <w:i/>
          <w:lang w:val="en-AU"/>
        </w:rPr>
      </w:pPr>
      <w:r w:rsidRPr="00296473">
        <w:rPr>
          <w:i/>
          <w:lang w:val="en-AU"/>
        </w:rPr>
        <w:t xml:space="preserve">Management of </w:t>
      </w:r>
      <w:r w:rsidRPr="00296473">
        <w:rPr>
          <w:b/>
          <w:i/>
          <w:lang w:val="en-AU"/>
        </w:rPr>
        <w:t>Postpartum Hemorrhage</w:t>
      </w:r>
      <w:r w:rsidRPr="00296473">
        <w:rPr>
          <w:i/>
          <w:lang w:val="en-AU"/>
        </w:rPr>
        <w:t xml:space="preserve">: Current State of the Evidence </w:t>
      </w:r>
      <w:hyperlink r:id="rId33" w:history="1">
        <w:r w:rsidRPr="0025574D">
          <w:rPr>
            <w:rStyle w:val="Hyperlink"/>
            <w:lang w:val="en-AU"/>
          </w:rPr>
          <w:t>https://effectivehealthcare.ahrq.gov/search-for-guides-reviews-and-reports/?pageaction=displayproduct&amp;productID=2255</w:t>
        </w:r>
      </w:hyperlink>
    </w:p>
    <w:p w:rsidR="007B57E4" w:rsidRDefault="007B57E4" w:rsidP="00B52D0D">
      <w:pPr>
        <w:rPr>
          <w:lang w:val="en-AU"/>
        </w:rPr>
      </w:pPr>
    </w:p>
    <w:p w:rsidR="000E249C" w:rsidRPr="000C03B8" w:rsidRDefault="000E249C"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1E" w:rsidRDefault="000A731E">
      <w:r>
        <w:separator/>
      </w:r>
    </w:p>
  </w:endnote>
  <w:endnote w:type="continuationSeparator" w:id="0">
    <w:p w:rsidR="000A731E" w:rsidRDefault="000A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81EEB">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D21B25">
      <w:t xml:space="preserve"> Issue 282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1EEB">
      <w:rPr>
        <w:rStyle w:val="PageNumber"/>
        <w:noProof/>
      </w:rPr>
      <w:t>1</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D21B25">
      <w:t xml:space="preserve"> Issue 282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1E" w:rsidRDefault="000A731E">
      <w:r>
        <w:separator/>
      </w:r>
    </w:p>
  </w:footnote>
  <w:footnote w:type="continuationSeparator" w:id="0">
    <w:p w:rsidR="000A731E" w:rsidRDefault="000A7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9A640E"/>
    <w:multiLevelType w:val="hybridMultilevel"/>
    <w:tmpl w:val="9142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E53F67"/>
    <w:multiLevelType w:val="hybridMultilevel"/>
    <w:tmpl w:val="301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2E4FFA"/>
    <w:multiLevelType w:val="hybridMultilevel"/>
    <w:tmpl w:val="FD2A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C679EB"/>
    <w:multiLevelType w:val="hybridMultilevel"/>
    <w:tmpl w:val="1CEE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000D90"/>
    <w:multiLevelType w:val="hybridMultilevel"/>
    <w:tmpl w:val="DAE64F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486258"/>
    <w:multiLevelType w:val="hybridMultilevel"/>
    <w:tmpl w:val="3FD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2"/>
  </w:num>
  <w:num w:numId="15">
    <w:abstractNumId w:val="34"/>
  </w:num>
  <w:num w:numId="16">
    <w:abstractNumId w:val="20"/>
  </w:num>
  <w:num w:numId="17">
    <w:abstractNumId w:val="23"/>
  </w:num>
  <w:num w:numId="18">
    <w:abstractNumId w:val="43"/>
  </w:num>
  <w:num w:numId="19">
    <w:abstractNumId w:val="35"/>
  </w:num>
  <w:num w:numId="20">
    <w:abstractNumId w:val="16"/>
  </w:num>
  <w:num w:numId="21">
    <w:abstractNumId w:val="37"/>
  </w:num>
  <w:num w:numId="22">
    <w:abstractNumId w:val="17"/>
  </w:num>
  <w:num w:numId="23">
    <w:abstractNumId w:val="25"/>
  </w:num>
  <w:num w:numId="24">
    <w:abstractNumId w:val="30"/>
  </w:num>
  <w:num w:numId="25">
    <w:abstractNumId w:val="19"/>
  </w:num>
  <w:num w:numId="26">
    <w:abstractNumId w:val="15"/>
  </w:num>
  <w:num w:numId="27">
    <w:abstractNumId w:val="38"/>
  </w:num>
  <w:num w:numId="28">
    <w:abstractNumId w:val="10"/>
  </w:num>
  <w:num w:numId="29">
    <w:abstractNumId w:val="14"/>
  </w:num>
  <w:num w:numId="30">
    <w:abstractNumId w:val="13"/>
  </w:num>
  <w:num w:numId="31">
    <w:abstractNumId w:val="40"/>
  </w:num>
  <w:num w:numId="32">
    <w:abstractNumId w:val="33"/>
  </w:num>
  <w:num w:numId="33">
    <w:abstractNumId w:val="11"/>
  </w:num>
  <w:num w:numId="34">
    <w:abstractNumId w:val="32"/>
  </w:num>
  <w:num w:numId="35">
    <w:abstractNumId w:val="36"/>
  </w:num>
  <w:num w:numId="36">
    <w:abstractNumId w:val="41"/>
  </w:num>
  <w:num w:numId="37">
    <w:abstractNumId w:val="44"/>
  </w:num>
  <w:num w:numId="38">
    <w:abstractNumId w:val="18"/>
  </w:num>
  <w:num w:numId="39">
    <w:abstractNumId w:val="29"/>
  </w:num>
  <w:num w:numId="40">
    <w:abstractNumId w:val="42"/>
  </w:num>
  <w:num w:numId="41">
    <w:abstractNumId w:val="27"/>
  </w:num>
  <w:num w:numId="42">
    <w:abstractNumId w:val="28"/>
  </w:num>
  <w:num w:numId="43">
    <w:abstractNumId w:val="26"/>
  </w:num>
  <w:num w:numId="44">
    <w:abstractNumId w:val="12"/>
  </w:num>
  <w:num w:numId="4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60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5B1D"/>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381"/>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1EEB"/>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D58"/>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DA8"/>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6946"/>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A77"/>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787/9789264258211-en" TargetMode="External"/><Relationship Id="rId26" Type="http://schemas.openxmlformats.org/officeDocument/2006/relationships/hyperlink" Target="http://patientsafetyauthority.org/ADVISORIES/AdvisoryLibrary/2016/jun;13(2)/Pages/58.aspx" TargetMode="External"/><Relationship Id="rId3" Type="http://schemas.openxmlformats.org/officeDocument/2006/relationships/styles" Target="styles.xml"/><Relationship Id="rId21" Type="http://schemas.openxmlformats.org/officeDocument/2006/relationships/image" Target="media/image2.gi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clinical-care-standards/delirium-clinical-care-standard/" TargetMode="External"/><Relationship Id="rId25" Type="http://schemas.openxmlformats.org/officeDocument/2006/relationships/hyperlink" Target="http://www.phrp.com.au/issues/july-2016-volume-26-issue-3/" TargetMode="External"/><Relationship Id="rId33" Type="http://schemas.openxmlformats.org/officeDocument/2006/relationships/hyperlink" Target="https://effectivehealthcare.ahrq.gov/search-for-guides-reviews-and-reports/?pageaction=displayproduct&amp;productID=2255" TargetMode="Externa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hyperlink" Target="http://dx.doi.org/10.1136/bmj.i3319" TargetMode="External"/><Relationship Id="rId29" Type="http://schemas.openxmlformats.org/officeDocument/2006/relationships/hyperlink" Target="https://www.nice.org.uk/guidance/cg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onlinelibrary.wiley.com/doi/10.1111/hex.2016.19.issue-4/issuetoc" TargetMode="External"/><Relationship Id="rId32" Type="http://schemas.openxmlformats.org/officeDocument/2006/relationships/hyperlink" Target="https://effectivehealthcare.ahrq.gov/search-for-guides-reviews-and-reports/?pageaction=displayproduct&amp;productID=2256"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97/pts.0000000000000243" TargetMode="External"/><Relationship Id="rId28" Type="http://schemas.openxmlformats.org/officeDocument/2006/relationships/hyperlink" Target="https://www.nice.org.uk/guidance/ng51"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xinstitute.org.au/publications/evidence-check-library/patient-experiences-in-australian-hospitals/" TargetMode="External"/><Relationship Id="rId31" Type="http://schemas.openxmlformats.org/officeDocument/2006/relationships/hyperlink" Target="http://effectivehealthcare.ahrq.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information-strategy/clinical-quality-registries/" TargetMode="External"/><Relationship Id="rId27" Type="http://schemas.openxmlformats.org/officeDocument/2006/relationships/hyperlink" Target="http://www.nice.org.uk" TargetMode="External"/><Relationship Id="rId30" Type="http://schemas.openxmlformats.org/officeDocument/2006/relationships/hyperlink" Target="https://www.nice.org.uk/guidance/cg181"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3172-CFDB-41CC-B543-21A08BD1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17195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2016-07-17T06:21:00Z</dcterms:created>
  <dcterms:modified xsi:type="dcterms:W3CDTF">2016-07-17T06:21:00Z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