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D3F39">
        <w:rPr>
          <w:color w:val="000000"/>
          <w:lang w:val="en-AU"/>
        </w:rPr>
        <w:t>8</w:t>
      </w:r>
      <w:r w:rsidR="001A2741">
        <w:rPr>
          <w:color w:val="000000"/>
          <w:lang w:val="en-AU"/>
        </w:rPr>
        <w:t>7</w:t>
      </w:r>
    </w:p>
    <w:p w:rsidR="00755242" w:rsidRPr="002302EF" w:rsidRDefault="001A2741" w:rsidP="00B160EF">
      <w:pPr>
        <w:rPr>
          <w:lang w:val="en-AU"/>
        </w:rPr>
      </w:pPr>
      <w:r>
        <w:rPr>
          <w:lang w:val="en-AU"/>
        </w:rPr>
        <w:t>22</w:t>
      </w:r>
      <w:r w:rsidR="00650ACA">
        <w:rPr>
          <w:lang w:val="en-AU"/>
        </w:rPr>
        <w:t xml:space="preserve"> August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8544DE" w:rsidRDefault="008544DE" w:rsidP="00691DE3">
      <w:pPr>
        <w:keepLines/>
        <w:autoSpaceDE w:val="0"/>
        <w:autoSpaceDN w:val="0"/>
        <w:adjustRightInd w:val="0"/>
        <w:rPr>
          <w:lang w:val="en-AU"/>
        </w:rPr>
      </w:pPr>
    </w:p>
    <w:p w:rsidR="00D255B5" w:rsidRDefault="00D255B5" w:rsidP="00691DE3">
      <w:pPr>
        <w:keepLines/>
        <w:autoSpaceDE w:val="0"/>
        <w:autoSpaceDN w:val="0"/>
        <w:adjustRightInd w:val="0"/>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9B53E9" w:rsidRDefault="009B53E9" w:rsidP="009B53E9">
      <w:pPr>
        <w:rPr>
          <w:lang w:val="en-AU"/>
        </w:rPr>
      </w:pPr>
    </w:p>
    <w:p w:rsidR="001974AF" w:rsidRPr="0086209D" w:rsidRDefault="001974AF" w:rsidP="001974AF">
      <w:pPr>
        <w:keepNext/>
        <w:keepLines/>
        <w:autoSpaceDE w:val="0"/>
        <w:autoSpaceDN w:val="0"/>
        <w:adjustRightInd w:val="0"/>
        <w:rPr>
          <w:i/>
          <w:lang w:val="en-AU"/>
        </w:rPr>
      </w:pPr>
      <w:r w:rsidRPr="0086209D">
        <w:rPr>
          <w:i/>
          <w:lang w:val="en-AU"/>
        </w:rPr>
        <w:t>Safety of the Manchester Triage System to Detect Critically Ill Children at the Emergency Department</w:t>
      </w:r>
    </w:p>
    <w:p w:rsidR="001974AF" w:rsidRDefault="001974AF" w:rsidP="001974AF">
      <w:pPr>
        <w:keepNext/>
        <w:keepLines/>
        <w:autoSpaceDE w:val="0"/>
        <w:autoSpaceDN w:val="0"/>
        <w:adjustRightInd w:val="0"/>
        <w:rPr>
          <w:lang w:val="en-AU"/>
        </w:rPr>
      </w:pPr>
      <w:r w:rsidRPr="0086209D">
        <w:rPr>
          <w:lang w:val="en-AU"/>
        </w:rPr>
        <w:t>Zachariasse JM, Kuiper JW, de Hoog M, Moll HA, van Veen M</w:t>
      </w:r>
    </w:p>
    <w:p w:rsidR="001974AF" w:rsidRDefault="001974AF" w:rsidP="001974AF">
      <w:pPr>
        <w:keepNext/>
        <w:keepLines/>
        <w:autoSpaceDE w:val="0"/>
        <w:autoSpaceDN w:val="0"/>
        <w:adjustRightInd w:val="0"/>
        <w:rPr>
          <w:lang w:val="en-AU"/>
        </w:rPr>
      </w:pPr>
      <w:r w:rsidRPr="0086209D">
        <w:rPr>
          <w:lang w:val="en-AU"/>
        </w:rPr>
        <w:t>The Journal of Pediatrics. 2016.</w:t>
      </w:r>
    </w:p>
    <w:tbl>
      <w:tblPr>
        <w:tblStyle w:val="TableGrid"/>
        <w:tblW w:w="0" w:type="auto"/>
        <w:tblInd w:w="288" w:type="dxa"/>
        <w:tblLayout w:type="fixed"/>
        <w:tblLook w:val="01E0" w:firstRow="1" w:lastRow="1" w:firstColumn="1" w:lastColumn="1" w:noHBand="0" w:noVBand="0"/>
      </w:tblPr>
      <w:tblGrid>
        <w:gridCol w:w="1080"/>
        <w:gridCol w:w="8280"/>
      </w:tblGrid>
      <w:tr w:rsidR="001974AF" w:rsidRPr="00255EF8" w:rsidTr="00DF6CAF">
        <w:tc>
          <w:tcPr>
            <w:tcW w:w="1080" w:type="dxa"/>
            <w:tcBorders>
              <w:top w:val="single" w:sz="4" w:space="0" w:color="auto"/>
              <w:left w:val="single" w:sz="4" w:space="0" w:color="auto"/>
              <w:bottom w:val="single" w:sz="4" w:space="0" w:color="auto"/>
              <w:right w:val="single" w:sz="4" w:space="0" w:color="auto"/>
            </w:tcBorders>
            <w:vAlign w:val="center"/>
          </w:tcPr>
          <w:p w:rsidR="001974AF" w:rsidRPr="005B6694" w:rsidRDefault="001974AF" w:rsidP="00DF6CA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974AF" w:rsidRPr="004B7AA3" w:rsidRDefault="001974AF" w:rsidP="00DF6CAF">
            <w:pPr>
              <w:rPr>
                <w:rStyle w:val="Hyperlink"/>
                <w:color w:val="auto"/>
                <w:u w:val="none"/>
              </w:rPr>
            </w:pPr>
            <w:hyperlink r:id="rId16" w:history="1">
              <w:r w:rsidRPr="00A213F9">
                <w:rPr>
                  <w:rStyle w:val="Hyperlink"/>
                </w:rPr>
                <w:t>http://dx.doi.org/10.1016/j.jpeds.2016.06.068</w:t>
              </w:r>
            </w:hyperlink>
          </w:p>
        </w:tc>
      </w:tr>
      <w:tr w:rsidR="001974AF" w:rsidRPr="004147BB" w:rsidTr="00DF6CAF">
        <w:tc>
          <w:tcPr>
            <w:tcW w:w="1080" w:type="dxa"/>
            <w:tcBorders>
              <w:top w:val="single" w:sz="4" w:space="0" w:color="auto"/>
              <w:left w:val="single" w:sz="4" w:space="0" w:color="auto"/>
              <w:bottom w:val="single" w:sz="4" w:space="0" w:color="auto"/>
              <w:right w:val="single" w:sz="4" w:space="0" w:color="auto"/>
            </w:tcBorders>
            <w:vAlign w:val="center"/>
          </w:tcPr>
          <w:p w:rsidR="001974AF" w:rsidRPr="00255EF8" w:rsidRDefault="001974AF" w:rsidP="00DF6CA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974AF" w:rsidRPr="00CE7C9C" w:rsidRDefault="001974AF" w:rsidP="00DF6CAF">
            <w:pPr>
              <w:rPr>
                <w:lang w:val="en-AU" w:eastAsia="en-AU"/>
              </w:rPr>
            </w:pPr>
            <w:r>
              <w:rPr>
                <w:lang w:val="en-AU" w:eastAsia="en-AU"/>
              </w:rPr>
              <w:t xml:space="preserve">Paper reporting on a Dutch study that examined a widely used triaging system </w:t>
            </w:r>
            <w:r w:rsidRPr="0086209D">
              <w:rPr>
                <w:lang w:val="en-AU" w:eastAsia="en-AU"/>
              </w:rPr>
              <w:t>in p</w:t>
            </w:r>
            <w:r>
              <w:rPr>
                <w:lang w:val="en-AU" w:eastAsia="en-AU"/>
              </w:rPr>
              <w:t>a</w:t>
            </w:r>
            <w:r w:rsidRPr="0086209D">
              <w:rPr>
                <w:lang w:val="en-AU" w:eastAsia="en-AU"/>
              </w:rPr>
              <w:t>ediatric emergency care</w:t>
            </w:r>
            <w:r>
              <w:rPr>
                <w:lang w:val="en-AU" w:eastAsia="en-AU"/>
              </w:rPr>
              <w:t xml:space="preserve">. The study sought to determine if the Manchester Triage System appropriately identified </w:t>
            </w:r>
            <w:r w:rsidRPr="0086209D">
              <w:rPr>
                <w:lang w:val="en-AU" w:eastAsia="en-AU"/>
              </w:rPr>
              <w:t xml:space="preserve">children who </w:t>
            </w:r>
            <w:r>
              <w:rPr>
                <w:lang w:val="en-AU" w:eastAsia="en-AU"/>
              </w:rPr>
              <w:t xml:space="preserve">went on to </w:t>
            </w:r>
            <w:r w:rsidRPr="0086209D">
              <w:rPr>
                <w:lang w:val="en-AU" w:eastAsia="en-AU"/>
              </w:rPr>
              <w:t>require admission to the intensive care unit (ICU).</w:t>
            </w:r>
            <w:r>
              <w:rPr>
                <w:lang w:val="en-AU" w:eastAsia="en-AU"/>
              </w:rPr>
              <w:t xml:space="preserve"> Examining more than 50,000 consecutive </w:t>
            </w:r>
            <w:r w:rsidRPr="001974AF">
              <w:rPr>
                <w:lang w:val="en-AU" w:eastAsia="en-AU"/>
              </w:rPr>
              <w:t xml:space="preserve">emergency department visits of children younger than the age of 16 years </w:t>
            </w:r>
            <w:r>
              <w:rPr>
                <w:lang w:val="en-AU" w:eastAsia="en-AU"/>
              </w:rPr>
              <w:t xml:space="preserve"> in the period </w:t>
            </w:r>
            <w:r w:rsidRPr="001974AF">
              <w:rPr>
                <w:lang w:val="en-AU" w:eastAsia="en-AU"/>
              </w:rPr>
              <w:t xml:space="preserve">2006 </w:t>
            </w:r>
            <w:r>
              <w:rPr>
                <w:lang w:val="en-AU" w:eastAsia="en-AU"/>
              </w:rPr>
              <w:t xml:space="preserve">to </w:t>
            </w:r>
            <w:r w:rsidRPr="001974AF">
              <w:rPr>
                <w:lang w:val="en-AU" w:eastAsia="en-AU"/>
              </w:rPr>
              <w:t xml:space="preserve">2013, </w:t>
            </w:r>
            <w:r>
              <w:rPr>
                <w:lang w:val="en-AU" w:eastAsia="en-AU"/>
              </w:rPr>
              <w:t xml:space="preserve">the authors report that </w:t>
            </w:r>
            <w:r w:rsidRPr="001974AF">
              <w:rPr>
                <w:lang w:val="en-AU" w:eastAsia="en-AU"/>
              </w:rPr>
              <w:t>238 (28.7%) of the 830 children admitted to ICU during the study period were under</w:t>
            </w:r>
            <w:r>
              <w:rPr>
                <w:lang w:val="en-AU" w:eastAsia="en-AU"/>
              </w:rPr>
              <w:t>-</w:t>
            </w:r>
            <w:r w:rsidRPr="001974AF">
              <w:rPr>
                <w:lang w:val="en-AU" w:eastAsia="en-AU"/>
              </w:rPr>
              <w:t xml:space="preserve">triaged. </w:t>
            </w:r>
            <w:r>
              <w:rPr>
                <w:lang w:val="en-AU" w:eastAsia="en-AU"/>
              </w:rPr>
              <w:t>They determine the s</w:t>
            </w:r>
            <w:r w:rsidRPr="001974AF">
              <w:rPr>
                <w:lang w:val="en-AU" w:eastAsia="en-AU"/>
              </w:rPr>
              <w:t xml:space="preserve">ensitivity of high Manchester Triage System urgency levels to detect ICU admission </w:t>
            </w:r>
            <w:r>
              <w:rPr>
                <w:lang w:val="en-AU" w:eastAsia="en-AU"/>
              </w:rPr>
              <w:t xml:space="preserve">to be </w:t>
            </w:r>
            <w:r w:rsidRPr="001974AF">
              <w:rPr>
                <w:lang w:val="en-AU" w:eastAsia="en-AU"/>
              </w:rPr>
              <w:t>71% (95% CI 68%-74%) and specificity 85% (95% CI 85%-85%).</w:t>
            </w:r>
            <w:r>
              <w:rPr>
                <w:lang w:val="en-AU" w:eastAsia="en-AU"/>
              </w:rPr>
              <w:t xml:space="preserve"> The authors concluded that “</w:t>
            </w:r>
            <w:r w:rsidRPr="001974AF">
              <w:rPr>
                <w:lang w:val="en-AU" w:eastAsia="en-AU"/>
              </w:rPr>
              <w:t>The Manchester Triage System misclassifies a substantial number of children who require ICU admission. Modifications targeted at young children and children with a comorbid condition could possibly improve safety of the Manchester Triage System in pediatric emergency care.</w:t>
            </w:r>
            <w:r>
              <w:rPr>
                <w:lang w:val="en-AU" w:eastAsia="en-AU"/>
              </w:rPr>
              <w:t>”</w:t>
            </w:r>
          </w:p>
        </w:tc>
      </w:tr>
    </w:tbl>
    <w:p w:rsidR="00D44AB8" w:rsidRPr="00A2037E" w:rsidRDefault="00D44AB8" w:rsidP="00D44AB8">
      <w:pPr>
        <w:keepNext/>
        <w:keepLines/>
        <w:autoSpaceDE w:val="0"/>
        <w:autoSpaceDN w:val="0"/>
        <w:adjustRightInd w:val="0"/>
        <w:rPr>
          <w:i/>
          <w:lang w:val="en-AU"/>
        </w:rPr>
      </w:pPr>
      <w:r w:rsidRPr="00A2037E">
        <w:rPr>
          <w:i/>
          <w:lang w:val="en-AU"/>
        </w:rPr>
        <w:lastRenderedPageBreak/>
        <w:t>The global burden of diagnostic errors in primary care</w:t>
      </w:r>
    </w:p>
    <w:p w:rsidR="00D44AB8" w:rsidRDefault="00D44AB8" w:rsidP="00D44AB8">
      <w:pPr>
        <w:keepNext/>
        <w:keepLines/>
        <w:autoSpaceDE w:val="0"/>
        <w:autoSpaceDN w:val="0"/>
        <w:adjustRightInd w:val="0"/>
        <w:rPr>
          <w:lang w:val="en-AU"/>
        </w:rPr>
      </w:pPr>
      <w:r w:rsidRPr="00A2037E">
        <w:rPr>
          <w:lang w:val="en-AU"/>
        </w:rPr>
        <w:t>Singh H, Schiff GD, Graber ML, Onakpoya I, Thompson MJ</w:t>
      </w:r>
    </w:p>
    <w:p w:rsidR="00D44AB8" w:rsidRDefault="00D44AB8" w:rsidP="00D44AB8">
      <w:pPr>
        <w:keepNext/>
        <w:keepLines/>
        <w:autoSpaceDE w:val="0"/>
        <w:autoSpaceDN w:val="0"/>
        <w:adjustRightInd w:val="0"/>
        <w:rPr>
          <w:lang w:val="en-AU"/>
        </w:rPr>
      </w:pPr>
      <w:r w:rsidRPr="00A2037E">
        <w:rPr>
          <w:lang w:val="en-AU"/>
        </w:rPr>
        <w:t>BMJ Quality &amp; Safety. 2016 August 16, 2016.</w:t>
      </w:r>
    </w:p>
    <w:tbl>
      <w:tblPr>
        <w:tblStyle w:val="TableGrid"/>
        <w:tblW w:w="0" w:type="auto"/>
        <w:tblInd w:w="288" w:type="dxa"/>
        <w:tblLayout w:type="fixed"/>
        <w:tblLook w:val="01E0" w:firstRow="1" w:lastRow="1" w:firstColumn="1" w:lastColumn="1" w:noHBand="0" w:noVBand="0"/>
      </w:tblPr>
      <w:tblGrid>
        <w:gridCol w:w="1080"/>
        <w:gridCol w:w="8280"/>
      </w:tblGrid>
      <w:tr w:rsidR="00D44AB8" w:rsidRPr="00255EF8" w:rsidTr="005631C7">
        <w:tc>
          <w:tcPr>
            <w:tcW w:w="1080" w:type="dxa"/>
            <w:tcBorders>
              <w:top w:val="single" w:sz="4" w:space="0" w:color="auto"/>
              <w:left w:val="single" w:sz="4" w:space="0" w:color="auto"/>
              <w:bottom w:val="single" w:sz="4" w:space="0" w:color="auto"/>
              <w:right w:val="single" w:sz="4" w:space="0" w:color="auto"/>
            </w:tcBorders>
            <w:vAlign w:val="center"/>
          </w:tcPr>
          <w:p w:rsidR="00D44AB8" w:rsidRPr="005B6694" w:rsidRDefault="00D44AB8" w:rsidP="005631C7">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44AB8" w:rsidRPr="004B7AA3" w:rsidRDefault="003A5217" w:rsidP="005631C7">
            <w:pPr>
              <w:rPr>
                <w:rStyle w:val="Hyperlink"/>
                <w:color w:val="auto"/>
                <w:u w:val="none"/>
              </w:rPr>
            </w:pPr>
            <w:hyperlink r:id="rId17" w:history="1">
              <w:r w:rsidR="00D44AB8" w:rsidRPr="00B54FA3">
                <w:rPr>
                  <w:rStyle w:val="Hyperlink"/>
                </w:rPr>
                <w:t>http://dx.doi.org/10.1136/bmjqs-2016-005401</w:t>
              </w:r>
            </w:hyperlink>
          </w:p>
        </w:tc>
      </w:tr>
      <w:tr w:rsidR="00D44AB8" w:rsidRPr="004147BB" w:rsidTr="005631C7">
        <w:tc>
          <w:tcPr>
            <w:tcW w:w="1080" w:type="dxa"/>
            <w:tcBorders>
              <w:top w:val="single" w:sz="4" w:space="0" w:color="auto"/>
              <w:left w:val="single" w:sz="4" w:space="0" w:color="auto"/>
              <w:bottom w:val="single" w:sz="4" w:space="0" w:color="auto"/>
              <w:right w:val="single" w:sz="4" w:space="0" w:color="auto"/>
            </w:tcBorders>
            <w:vAlign w:val="center"/>
          </w:tcPr>
          <w:p w:rsidR="00D44AB8" w:rsidRPr="00255EF8" w:rsidRDefault="00D44AB8" w:rsidP="005631C7">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44AB8" w:rsidRDefault="00D44AB8" w:rsidP="005631C7">
            <w:pPr>
              <w:rPr>
                <w:lang w:val="en-AU" w:eastAsia="en-AU"/>
              </w:rPr>
            </w:pPr>
            <w:r>
              <w:rPr>
                <w:lang w:val="en-AU" w:eastAsia="en-AU"/>
              </w:rPr>
              <w:t>In this extensively referenced narrative review, Singh and colleagues remind us that “</w:t>
            </w:r>
            <w:r w:rsidRPr="00945B4D">
              <w:rPr>
                <w:lang w:val="en-AU" w:eastAsia="en-AU"/>
              </w:rPr>
              <w:t>Diagnostic errors are relatively frequent and harmful in primary care</w:t>
            </w:r>
            <w:r>
              <w:rPr>
                <w:lang w:val="en-AU" w:eastAsia="en-AU"/>
              </w:rPr>
              <w:t>” and that a diagnostic error occurs “</w:t>
            </w:r>
            <w:r w:rsidRPr="00945B4D">
              <w:rPr>
                <w:lang w:val="en-AU" w:eastAsia="en-AU"/>
              </w:rPr>
              <w:t>when a patient's diagnosis is missed altogether, inappropriately delayed and/or wrong</w:t>
            </w:r>
            <w:r>
              <w:rPr>
                <w:lang w:val="en-AU" w:eastAsia="en-AU"/>
              </w:rPr>
              <w:t>…</w:t>
            </w:r>
            <w:r w:rsidRPr="00945B4D">
              <w:rPr>
                <w:lang w:val="en-AU" w:eastAsia="en-AU"/>
              </w:rPr>
              <w:t>but these categories of missed, delayed and wrong overlap extensively</w:t>
            </w:r>
            <w:r>
              <w:rPr>
                <w:lang w:val="en-AU" w:eastAsia="en-AU"/>
              </w:rPr>
              <w:t>”.</w:t>
            </w:r>
          </w:p>
          <w:p w:rsidR="00D44AB8" w:rsidRDefault="00D44AB8" w:rsidP="005631C7">
            <w:pPr>
              <w:rPr>
                <w:lang w:val="en-AU" w:eastAsia="en-AU"/>
              </w:rPr>
            </w:pPr>
            <w:r>
              <w:rPr>
                <w:lang w:val="en-AU" w:eastAsia="en-AU"/>
              </w:rPr>
              <w:t>Noting that the (US) Institute of Medicine’s definition of diagnostic error (</w:t>
            </w:r>
            <w:r w:rsidRPr="00945B4D">
              <w:rPr>
                <w:lang w:val="en-AU" w:eastAsia="en-AU"/>
              </w:rPr>
              <w:t xml:space="preserve">“failure to establish an accurate and timely explanation of the patient's health problem or communicate </w:t>
            </w:r>
            <w:r>
              <w:rPr>
                <w:lang w:val="en-AU" w:eastAsia="en-AU"/>
              </w:rPr>
              <w:t>that explanation to the patient”) is one of a number of definitions, the authors move to look at interventions to reduce diagnostic errors. These include:</w:t>
            </w:r>
          </w:p>
          <w:p w:rsidR="00D44AB8" w:rsidRDefault="00D44AB8" w:rsidP="005631C7">
            <w:pPr>
              <w:pStyle w:val="ListParagraph"/>
              <w:numPr>
                <w:ilvl w:val="0"/>
                <w:numId w:val="50"/>
              </w:numPr>
              <w:rPr>
                <w:lang w:val="en-AU" w:eastAsia="en-AU"/>
              </w:rPr>
            </w:pPr>
            <w:r>
              <w:rPr>
                <w:lang w:val="en-AU" w:eastAsia="en-AU"/>
              </w:rPr>
              <w:t>Improving diagnostic reasoning</w:t>
            </w:r>
          </w:p>
          <w:p w:rsidR="00D44AB8" w:rsidRDefault="00D44AB8" w:rsidP="005631C7">
            <w:pPr>
              <w:pStyle w:val="ListParagraph"/>
              <w:numPr>
                <w:ilvl w:val="0"/>
                <w:numId w:val="50"/>
              </w:numPr>
              <w:rPr>
                <w:lang w:val="en-AU" w:eastAsia="en-AU"/>
              </w:rPr>
            </w:pPr>
            <w:r>
              <w:rPr>
                <w:lang w:val="en-AU" w:eastAsia="en-AU"/>
              </w:rPr>
              <w:t>Encouraging government policies that support primary care</w:t>
            </w:r>
          </w:p>
          <w:p w:rsidR="00D44AB8" w:rsidRDefault="00D44AB8" w:rsidP="005631C7">
            <w:pPr>
              <w:pStyle w:val="ListParagraph"/>
              <w:numPr>
                <w:ilvl w:val="0"/>
                <w:numId w:val="50"/>
              </w:numPr>
              <w:rPr>
                <w:lang w:val="en-AU" w:eastAsia="en-AU"/>
              </w:rPr>
            </w:pPr>
            <w:r>
              <w:rPr>
                <w:lang w:val="en-AU" w:eastAsia="en-AU"/>
              </w:rPr>
              <w:t>Involving patients</w:t>
            </w:r>
          </w:p>
          <w:p w:rsidR="00D44AB8" w:rsidRDefault="00D44AB8" w:rsidP="005631C7">
            <w:pPr>
              <w:pStyle w:val="ListParagraph"/>
              <w:numPr>
                <w:ilvl w:val="0"/>
                <w:numId w:val="50"/>
              </w:numPr>
              <w:rPr>
                <w:lang w:val="en-AU" w:eastAsia="en-AU"/>
              </w:rPr>
            </w:pPr>
            <w:r w:rsidRPr="005311E1">
              <w:rPr>
                <w:lang w:val="en-AU" w:eastAsia="en-AU"/>
              </w:rPr>
              <w:t>Improving information technology</w:t>
            </w:r>
          </w:p>
          <w:p w:rsidR="00D44AB8" w:rsidRDefault="00D44AB8" w:rsidP="005631C7">
            <w:pPr>
              <w:pStyle w:val="ListParagraph"/>
              <w:numPr>
                <w:ilvl w:val="0"/>
                <w:numId w:val="50"/>
              </w:numPr>
              <w:rPr>
                <w:lang w:val="en-AU" w:eastAsia="en-AU"/>
              </w:rPr>
            </w:pPr>
            <w:r>
              <w:rPr>
                <w:lang w:val="en-AU" w:eastAsia="en-AU"/>
              </w:rPr>
              <w:t>Developing methods to identify and learn from diagnostic errors</w:t>
            </w:r>
          </w:p>
          <w:p w:rsidR="00D44AB8" w:rsidRDefault="00D44AB8" w:rsidP="005631C7">
            <w:pPr>
              <w:pStyle w:val="ListParagraph"/>
              <w:numPr>
                <w:ilvl w:val="0"/>
                <w:numId w:val="50"/>
              </w:numPr>
              <w:rPr>
                <w:lang w:val="en-AU" w:eastAsia="en-AU"/>
              </w:rPr>
            </w:pPr>
            <w:r>
              <w:rPr>
                <w:lang w:val="en-AU" w:eastAsia="en-AU"/>
              </w:rPr>
              <w:t>Improving access to diagnostics tests</w:t>
            </w:r>
          </w:p>
          <w:p w:rsidR="00D44AB8" w:rsidRDefault="00D44AB8" w:rsidP="005631C7">
            <w:pPr>
              <w:pStyle w:val="ListParagraph"/>
              <w:numPr>
                <w:ilvl w:val="0"/>
                <w:numId w:val="50"/>
              </w:numPr>
              <w:rPr>
                <w:lang w:val="en-AU" w:eastAsia="en-AU"/>
              </w:rPr>
            </w:pPr>
            <w:r>
              <w:rPr>
                <w:lang w:val="en-AU" w:eastAsia="en-AU"/>
              </w:rPr>
              <w:t>Optimising diagnostic strategies for primary care</w:t>
            </w:r>
          </w:p>
          <w:p w:rsidR="00D44AB8" w:rsidRPr="005311E1" w:rsidRDefault="00D44AB8" w:rsidP="005631C7">
            <w:pPr>
              <w:pStyle w:val="ListParagraph"/>
              <w:numPr>
                <w:ilvl w:val="0"/>
                <w:numId w:val="50"/>
              </w:numPr>
              <w:rPr>
                <w:lang w:val="en-AU" w:eastAsia="en-AU"/>
              </w:rPr>
            </w:pPr>
            <w:r>
              <w:rPr>
                <w:lang w:val="en-AU" w:eastAsia="en-AU"/>
              </w:rPr>
              <w:t>Providing systematic feedback to clinicians about their diagnoses.</w:t>
            </w:r>
          </w:p>
          <w:p w:rsidR="00D44AB8" w:rsidRDefault="00D44AB8" w:rsidP="005631C7">
            <w:pPr>
              <w:rPr>
                <w:lang w:val="en-AU" w:eastAsia="en-AU"/>
              </w:rPr>
            </w:pPr>
          </w:p>
          <w:p w:rsidR="00D44AB8" w:rsidRPr="00CE7C9C" w:rsidRDefault="00D44AB8" w:rsidP="005631C7">
            <w:pPr>
              <w:rPr>
                <w:lang w:val="en-AU" w:eastAsia="en-AU"/>
              </w:rPr>
            </w:pPr>
            <w:r>
              <w:rPr>
                <w:noProof/>
                <w:lang w:val="en-AU" w:eastAsia="en-AU"/>
              </w:rPr>
              <w:drawing>
                <wp:inline distT="0" distB="0" distL="0" distR="0" wp14:anchorId="445F7A00" wp14:editId="1DD82FD0">
                  <wp:extent cx="5163545" cy="3581400"/>
                  <wp:effectExtent l="0" t="0" r="0" b="0"/>
                  <wp:docPr id="2" name="Picture 2" descr="D:\Users\johnni\AppData\Local\Temp\19\SNAGHTML5dcb2a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ohnni\AppData\Local\Temp\19\SNAGHTML5dcb2a8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3545" cy="3581400"/>
                          </a:xfrm>
                          <a:prstGeom prst="rect">
                            <a:avLst/>
                          </a:prstGeom>
                          <a:noFill/>
                          <a:ln>
                            <a:noFill/>
                          </a:ln>
                        </pic:spPr>
                      </pic:pic>
                    </a:graphicData>
                  </a:graphic>
                </wp:inline>
              </w:drawing>
            </w:r>
          </w:p>
        </w:tc>
      </w:tr>
    </w:tbl>
    <w:p w:rsidR="0047194D" w:rsidRDefault="0047194D">
      <w:pPr>
        <w:rPr>
          <w:i/>
          <w:lang w:val="en-AU"/>
        </w:rPr>
      </w:pPr>
    </w:p>
    <w:p w:rsidR="004E0D02" w:rsidRPr="004E0D02" w:rsidRDefault="004E0D02" w:rsidP="004E0D02">
      <w:pPr>
        <w:keepNext/>
        <w:keepLines/>
        <w:autoSpaceDE w:val="0"/>
        <w:autoSpaceDN w:val="0"/>
        <w:adjustRightInd w:val="0"/>
        <w:rPr>
          <w:i/>
          <w:lang w:val="en-AU"/>
        </w:rPr>
      </w:pPr>
      <w:r w:rsidRPr="004E0D02">
        <w:rPr>
          <w:i/>
          <w:lang w:val="en-AU"/>
        </w:rPr>
        <w:t>Worldwide Thyroid-Cancer Epidemic? The Increasing Impact of Overdiagnosis</w:t>
      </w:r>
    </w:p>
    <w:p w:rsidR="004E0D02" w:rsidRDefault="004E0D02" w:rsidP="004E0D02">
      <w:pPr>
        <w:keepNext/>
        <w:keepLines/>
        <w:autoSpaceDE w:val="0"/>
        <w:autoSpaceDN w:val="0"/>
        <w:adjustRightInd w:val="0"/>
        <w:rPr>
          <w:lang w:val="en-AU"/>
        </w:rPr>
      </w:pPr>
      <w:r w:rsidRPr="004E0D02">
        <w:rPr>
          <w:lang w:val="en-AU"/>
        </w:rPr>
        <w:t>Vaccarella S, Franceschi S, Bray F, Wild CP, Plummer M, Dal Maso L</w:t>
      </w:r>
    </w:p>
    <w:p w:rsidR="004E0D02" w:rsidRDefault="004E0D02" w:rsidP="004E0D02">
      <w:pPr>
        <w:keepNext/>
        <w:keepLines/>
        <w:autoSpaceDE w:val="0"/>
        <w:autoSpaceDN w:val="0"/>
        <w:adjustRightInd w:val="0"/>
        <w:rPr>
          <w:lang w:val="en-AU"/>
        </w:rPr>
      </w:pPr>
      <w:r w:rsidRPr="004E0D02">
        <w:rPr>
          <w:lang w:val="en-AU"/>
        </w:rPr>
        <w:t>New England Journal of Medicine. 2016;375(7):614-7.</w:t>
      </w:r>
    </w:p>
    <w:tbl>
      <w:tblPr>
        <w:tblStyle w:val="TableGrid"/>
        <w:tblW w:w="0" w:type="auto"/>
        <w:tblInd w:w="288" w:type="dxa"/>
        <w:tblLayout w:type="fixed"/>
        <w:tblLook w:val="01E0" w:firstRow="1" w:lastRow="1" w:firstColumn="1" w:lastColumn="1" w:noHBand="0" w:noVBand="0"/>
      </w:tblPr>
      <w:tblGrid>
        <w:gridCol w:w="1080"/>
        <w:gridCol w:w="8280"/>
      </w:tblGrid>
      <w:tr w:rsidR="004E0D02" w:rsidRPr="00255EF8" w:rsidTr="005631C7">
        <w:tc>
          <w:tcPr>
            <w:tcW w:w="1080" w:type="dxa"/>
            <w:tcBorders>
              <w:top w:val="single" w:sz="4" w:space="0" w:color="auto"/>
              <w:left w:val="single" w:sz="4" w:space="0" w:color="auto"/>
              <w:bottom w:val="single" w:sz="4" w:space="0" w:color="auto"/>
              <w:right w:val="single" w:sz="4" w:space="0" w:color="auto"/>
            </w:tcBorders>
            <w:vAlign w:val="center"/>
          </w:tcPr>
          <w:p w:rsidR="004E0D02" w:rsidRPr="005B6694" w:rsidRDefault="004E0D02" w:rsidP="005631C7">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E0D02" w:rsidRPr="004B7AA3" w:rsidRDefault="003A5217" w:rsidP="005631C7">
            <w:pPr>
              <w:rPr>
                <w:rStyle w:val="Hyperlink"/>
                <w:color w:val="auto"/>
                <w:u w:val="none"/>
              </w:rPr>
            </w:pPr>
            <w:hyperlink r:id="rId19" w:history="1">
              <w:r w:rsidR="004E0D02" w:rsidRPr="001B0E7A">
                <w:rPr>
                  <w:rStyle w:val="Hyperlink"/>
                </w:rPr>
                <w:t>http://dx.doi.org/10.1056/NEJMp1604412</w:t>
              </w:r>
            </w:hyperlink>
          </w:p>
        </w:tc>
      </w:tr>
      <w:tr w:rsidR="004E0D02" w:rsidRPr="004147BB" w:rsidTr="005631C7">
        <w:tc>
          <w:tcPr>
            <w:tcW w:w="1080" w:type="dxa"/>
            <w:tcBorders>
              <w:top w:val="single" w:sz="4" w:space="0" w:color="auto"/>
              <w:left w:val="single" w:sz="4" w:space="0" w:color="auto"/>
              <w:bottom w:val="single" w:sz="4" w:space="0" w:color="auto"/>
              <w:right w:val="single" w:sz="4" w:space="0" w:color="auto"/>
            </w:tcBorders>
            <w:vAlign w:val="center"/>
          </w:tcPr>
          <w:p w:rsidR="004E0D02" w:rsidRPr="00255EF8" w:rsidRDefault="004E0D02" w:rsidP="005631C7">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E0D02" w:rsidRPr="00CE7C9C" w:rsidRDefault="004E0D02" w:rsidP="005631C7">
            <w:pPr>
              <w:rPr>
                <w:lang w:val="en-AU" w:eastAsia="en-AU"/>
              </w:rPr>
            </w:pPr>
            <w:r>
              <w:rPr>
                <w:lang w:val="en-AU" w:eastAsia="en-AU"/>
              </w:rPr>
              <w:t xml:space="preserve">Questions of diagnosis revolve around other aspects than diagnostic error. One of these other dimensions is that of overdiagnosis. Overdiagnosis of various forms of cancer has particularly attracted interest and among these thyroid cancer has been </w:t>
            </w:r>
            <w:r>
              <w:rPr>
                <w:lang w:val="en-AU" w:eastAsia="en-AU"/>
              </w:rPr>
              <w:lastRenderedPageBreak/>
              <w:t xml:space="preserve">quite prominent. Recent decades have seen significant increases is diagnoses but no shift in mortality. This paper reports on a study examining </w:t>
            </w:r>
            <w:r w:rsidRPr="004E0D02">
              <w:rPr>
                <w:lang w:val="en-AU" w:eastAsia="en-AU"/>
              </w:rPr>
              <w:t>thyroid</w:t>
            </w:r>
            <w:r>
              <w:rPr>
                <w:lang w:val="en-AU" w:eastAsia="en-AU"/>
              </w:rPr>
              <w:t xml:space="preserve"> </w:t>
            </w:r>
            <w:r w:rsidRPr="004E0D02">
              <w:rPr>
                <w:lang w:val="en-AU" w:eastAsia="en-AU"/>
              </w:rPr>
              <w:t>cancer overdiagnosis over the past two decades in selected high-income countries, based on recently developed methods and high-quality cancer-registry data</w:t>
            </w:r>
            <w:r>
              <w:rPr>
                <w:lang w:val="en-AU" w:eastAsia="en-AU"/>
              </w:rPr>
              <w:t>. The authors found that levels of over diagnosis are indeed striking and “</w:t>
            </w:r>
            <w:r w:rsidRPr="004E0D02">
              <w:rPr>
                <w:lang w:val="en-AU" w:eastAsia="en-AU"/>
              </w:rPr>
              <w:t xml:space="preserve">estimate that </w:t>
            </w:r>
            <w:r w:rsidRPr="004E0D02">
              <w:rPr>
                <w:b/>
                <w:lang w:val="en-AU" w:eastAsia="en-AU"/>
              </w:rPr>
              <w:t>overdiagnosis in women accounts for 90% of thyroid-cancer cases in South Korea; 70 to 80% in the United States, Italy, France, and Australia; and 50% in Japan, the Nordic countries, and England and Scotland.</w:t>
            </w:r>
            <w:r>
              <w:rPr>
                <w:lang w:val="en-AU" w:eastAsia="en-AU"/>
              </w:rPr>
              <w:t>”</w:t>
            </w:r>
          </w:p>
        </w:tc>
      </w:tr>
    </w:tbl>
    <w:p w:rsidR="004E0D02" w:rsidRDefault="004E0D02" w:rsidP="004E0D02">
      <w:pPr>
        <w:rPr>
          <w:lang w:val="en-AU"/>
        </w:rPr>
      </w:pPr>
    </w:p>
    <w:p w:rsidR="00D54E44" w:rsidRPr="00995565" w:rsidRDefault="00D54E44" w:rsidP="00D54E44">
      <w:pPr>
        <w:keepNext/>
        <w:keepLines/>
        <w:autoSpaceDE w:val="0"/>
        <w:autoSpaceDN w:val="0"/>
        <w:adjustRightInd w:val="0"/>
        <w:rPr>
          <w:i/>
          <w:lang w:val="en-AU"/>
        </w:rPr>
      </w:pPr>
      <w:r w:rsidRPr="00995565">
        <w:rPr>
          <w:i/>
          <w:lang w:val="en-AU"/>
        </w:rPr>
        <w:t>Nurse workload and inexperienced medical staff members are associated with seasonal peaks in severe adverse events in the adult medical intensive care unit: A seven-year prospective study</w:t>
      </w:r>
    </w:p>
    <w:p w:rsidR="00D54E44" w:rsidRDefault="00D54E44" w:rsidP="00D54E44">
      <w:pPr>
        <w:keepNext/>
        <w:keepLines/>
        <w:autoSpaceDE w:val="0"/>
        <w:autoSpaceDN w:val="0"/>
        <w:adjustRightInd w:val="0"/>
        <w:rPr>
          <w:lang w:val="en-AU"/>
        </w:rPr>
      </w:pPr>
      <w:r w:rsidRPr="00995565">
        <w:rPr>
          <w:lang w:val="en-AU"/>
        </w:rPr>
        <w:t>Faisy C, Davagnar C, Ladiray D, Djadi-Prat</w:t>
      </w:r>
      <w:r>
        <w:rPr>
          <w:lang w:val="en-AU"/>
        </w:rPr>
        <w:t xml:space="preserve"> J, Esvan M, Lenain E, et al</w:t>
      </w:r>
    </w:p>
    <w:p w:rsidR="00D54E44" w:rsidRDefault="00D54E44" w:rsidP="00D54E44">
      <w:pPr>
        <w:keepNext/>
        <w:keepLines/>
        <w:autoSpaceDE w:val="0"/>
        <w:autoSpaceDN w:val="0"/>
        <w:adjustRightInd w:val="0"/>
        <w:rPr>
          <w:lang w:val="en-AU"/>
        </w:rPr>
      </w:pPr>
      <w:r w:rsidRPr="00995565">
        <w:rPr>
          <w:lang w:val="en-AU"/>
        </w:rPr>
        <w:t>International Journal of Nursing Studies. 2016;62:60-70.</w:t>
      </w:r>
    </w:p>
    <w:tbl>
      <w:tblPr>
        <w:tblStyle w:val="TableGrid"/>
        <w:tblW w:w="0" w:type="auto"/>
        <w:tblInd w:w="288" w:type="dxa"/>
        <w:tblLayout w:type="fixed"/>
        <w:tblLook w:val="01E0" w:firstRow="1" w:lastRow="1" w:firstColumn="1" w:lastColumn="1" w:noHBand="0" w:noVBand="0"/>
      </w:tblPr>
      <w:tblGrid>
        <w:gridCol w:w="1080"/>
        <w:gridCol w:w="8280"/>
      </w:tblGrid>
      <w:tr w:rsidR="00D54E44" w:rsidRPr="00255EF8" w:rsidTr="00B31D73">
        <w:tc>
          <w:tcPr>
            <w:tcW w:w="1080" w:type="dxa"/>
            <w:tcBorders>
              <w:top w:val="single" w:sz="4" w:space="0" w:color="auto"/>
              <w:left w:val="single" w:sz="4" w:space="0" w:color="auto"/>
              <w:bottom w:val="single" w:sz="4" w:space="0" w:color="auto"/>
              <w:right w:val="single" w:sz="4" w:space="0" w:color="auto"/>
            </w:tcBorders>
            <w:vAlign w:val="center"/>
          </w:tcPr>
          <w:p w:rsidR="00D54E44" w:rsidRPr="005B6694" w:rsidRDefault="00D54E44" w:rsidP="00B31D73">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54E44" w:rsidRPr="004B7AA3" w:rsidRDefault="003A5217" w:rsidP="00B31D73">
            <w:pPr>
              <w:rPr>
                <w:rStyle w:val="Hyperlink"/>
                <w:color w:val="auto"/>
                <w:u w:val="none"/>
              </w:rPr>
            </w:pPr>
            <w:hyperlink r:id="rId20" w:history="1">
              <w:r w:rsidR="00D54E44" w:rsidRPr="00313AA7">
                <w:rPr>
                  <w:rStyle w:val="Hyperlink"/>
                </w:rPr>
                <w:t>http://dx.doi.org/10.1016/j.ijnurstu.2016.07.013</w:t>
              </w:r>
            </w:hyperlink>
          </w:p>
        </w:tc>
      </w:tr>
      <w:tr w:rsidR="00D54E44" w:rsidRPr="004147BB" w:rsidTr="00B31D73">
        <w:tc>
          <w:tcPr>
            <w:tcW w:w="1080" w:type="dxa"/>
            <w:tcBorders>
              <w:top w:val="single" w:sz="4" w:space="0" w:color="auto"/>
              <w:left w:val="single" w:sz="4" w:space="0" w:color="auto"/>
              <w:bottom w:val="single" w:sz="4" w:space="0" w:color="auto"/>
              <w:right w:val="single" w:sz="4" w:space="0" w:color="auto"/>
            </w:tcBorders>
            <w:vAlign w:val="center"/>
          </w:tcPr>
          <w:p w:rsidR="00D54E44" w:rsidRPr="00255EF8" w:rsidRDefault="00D54E44" w:rsidP="00B31D73">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54E44" w:rsidRDefault="00D54E44" w:rsidP="00B31D73">
            <w:pPr>
              <w:rPr>
                <w:lang w:val="en-AU" w:eastAsia="en-AU"/>
              </w:rPr>
            </w:pPr>
            <w:r>
              <w:rPr>
                <w:lang w:val="en-AU" w:eastAsia="en-AU"/>
              </w:rPr>
              <w:t xml:space="preserve">Paper reporting a French study that sought to identify organizational factors that contributed to adverse events in an intensive care unit (ICU). This was a </w:t>
            </w:r>
            <w:r w:rsidRPr="00995565">
              <w:rPr>
                <w:lang w:val="en-AU" w:eastAsia="en-AU"/>
              </w:rPr>
              <w:t xml:space="preserve">prospective, observational, dynamic cohort study </w:t>
            </w:r>
            <w:r>
              <w:rPr>
                <w:lang w:val="en-AU" w:eastAsia="en-AU"/>
              </w:rPr>
              <w:t>conducted from</w:t>
            </w:r>
            <w:r w:rsidRPr="00995565">
              <w:rPr>
                <w:lang w:val="en-AU" w:eastAsia="en-AU"/>
              </w:rPr>
              <w:t xml:space="preserve"> January 2006 to December 2013 in a 20-bed adult medical </w:t>
            </w:r>
            <w:r>
              <w:rPr>
                <w:lang w:val="en-AU" w:eastAsia="en-AU"/>
              </w:rPr>
              <w:t>ICU</w:t>
            </w:r>
            <w:r w:rsidRPr="00995565">
              <w:rPr>
                <w:lang w:val="en-AU" w:eastAsia="en-AU"/>
              </w:rPr>
              <w:t xml:space="preserve">. </w:t>
            </w:r>
            <w:r>
              <w:rPr>
                <w:lang w:val="en-AU" w:eastAsia="en-AU"/>
              </w:rPr>
              <w:t>The study covered a</w:t>
            </w:r>
            <w:r w:rsidRPr="00995565">
              <w:rPr>
                <w:lang w:val="en-AU" w:eastAsia="en-AU"/>
              </w:rPr>
              <w:t xml:space="preserve">ll patients admitted to the </w:t>
            </w:r>
            <w:r>
              <w:rPr>
                <w:lang w:val="en-AU" w:eastAsia="en-AU"/>
              </w:rPr>
              <w:t>ICU</w:t>
            </w:r>
            <w:r w:rsidRPr="00995565">
              <w:rPr>
                <w:lang w:val="en-AU" w:eastAsia="en-AU"/>
              </w:rPr>
              <w:t xml:space="preserve"> and who experienced one or more selected life-threatening adverse events (mainly unexpected cardiac arrest, unplanned extubation, reintubation after planned extubation, and readmission within 48 h of intensive care unit discharge)</w:t>
            </w:r>
            <w:r>
              <w:rPr>
                <w:lang w:val="en-AU" w:eastAsia="en-AU"/>
              </w:rPr>
              <w:t>.</w:t>
            </w:r>
          </w:p>
          <w:p w:rsidR="00D54E44" w:rsidRPr="00CE7C9C" w:rsidRDefault="00D54E44" w:rsidP="00B31D73">
            <w:pPr>
              <w:rPr>
                <w:lang w:val="en-AU" w:eastAsia="en-AU"/>
              </w:rPr>
            </w:pPr>
            <w:r w:rsidRPr="00D54E44">
              <w:rPr>
                <w:lang w:val="en-AU" w:eastAsia="en-AU"/>
              </w:rPr>
              <w:t>638 severe adverse events involving 498 patients were recorded</w:t>
            </w:r>
            <w:r>
              <w:rPr>
                <w:lang w:val="en-AU" w:eastAsia="en-AU"/>
              </w:rPr>
              <w:t xml:space="preserve"> and these events </w:t>
            </w:r>
            <w:r w:rsidRPr="00D54E44">
              <w:rPr>
                <w:lang w:val="en-AU" w:eastAsia="en-AU"/>
              </w:rPr>
              <w:t>increased seasonally in May, November and December</w:t>
            </w:r>
            <w:r>
              <w:rPr>
                <w:lang w:val="en-AU" w:eastAsia="en-AU"/>
              </w:rPr>
              <w:t xml:space="preserve">. From the multivariate analysis, the authors </w:t>
            </w:r>
            <w:r w:rsidRPr="00D54E44">
              <w:rPr>
                <w:lang w:val="en-AU" w:eastAsia="en-AU"/>
              </w:rPr>
              <w:t xml:space="preserve">identified </w:t>
            </w:r>
            <w:r w:rsidRPr="00D54E44">
              <w:rPr>
                <w:b/>
                <w:lang w:val="en-AU" w:eastAsia="en-AU"/>
              </w:rPr>
              <w:t>bed-to-nurse ratio</w:t>
            </w:r>
            <w:r w:rsidRPr="00D54E44">
              <w:rPr>
                <w:lang w:val="en-AU" w:eastAsia="en-AU"/>
              </w:rPr>
              <w:t xml:space="preserve"> and the arrival of </w:t>
            </w:r>
            <w:r w:rsidRPr="00D54E44">
              <w:rPr>
                <w:b/>
                <w:lang w:val="en-AU" w:eastAsia="en-AU"/>
              </w:rPr>
              <w:t>inexperienced residents or senior registrars</w:t>
            </w:r>
            <w:r w:rsidRPr="00D54E44">
              <w:rPr>
                <w:lang w:val="en-AU" w:eastAsia="en-AU"/>
              </w:rPr>
              <w:t xml:space="preserve"> as being independently </w:t>
            </w:r>
            <w:r w:rsidRPr="00D54E44">
              <w:rPr>
                <w:b/>
                <w:lang w:val="en-AU" w:eastAsia="en-AU"/>
              </w:rPr>
              <w:t>associated with the rate of adverse events</w:t>
            </w:r>
            <w:r>
              <w:rPr>
                <w:lang w:val="en-AU" w:eastAsia="en-AU"/>
              </w:rPr>
              <w:t>. The authors suggest that “</w:t>
            </w:r>
            <w:r w:rsidRPr="00D54E44">
              <w:rPr>
                <w:lang w:val="en-AU" w:eastAsia="en-AU"/>
              </w:rPr>
              <w:t>Limiting fluctuations in bed-to-nurse ratio and providing inexperienced medical staff members with sufficient supervision may decrease severe adverse events in critically ill patients.</w:t>
            </w:r>
            <w:r>
              <w:rPr>
                <w:lang w:val="en-AU" w:eastAsia="en-AU"/>
              </w:rPr>
              <w:t>”</w:t>
            </w:r>
          </w:p>
        </w:tc>
      </w:tr>
    </w:tbl>
    <w:p w:rsidR="00D54E44" w:rsidRDefault="00D54E44" w:rsidP="00D54E44">
      <w:pPr>
        <w:rPr>
          <w:lang w:val="en-AU"/>
        </w:rPr>
      </w:pPr>
    </w:p>
    <w:p w:rsidR="002E6871" w:rsidRPr="00D22EC9" w:rsidRDefault="002E6871" w:rsidP="002E6871">
      <w:pPr>
        <w:keepNext/>
        <w:keepLines/>
        <w:autoSpaceDE w:val="0"/>
        <w:autoSpaceDN w:val="0"/>
        <w:adjustRightInd w:val="0"/>
        <w:rPr>
          <w:i/>
          <w:lang w:val="en-AU"/>
        </w:rPr>
      </w:pPr>
      <w:r w:rsidRPr="00D22EC9">
        <w:rPr>
          <w:i/>
          <w:lang w:val="en-AU"/>
        </w:rPr>
        <w:t>Can increased primary care access reduce demand for emergency care? Evidence from England's 7-day GP opening</w:t>
      </w:r>
    </w:p>
    <w:p w:rsidR="00D22EC9" w:rsidRDefault="00D22EC9" w:rsidP="00650ACA">
      <w:pPr>
        <w:keepNext/>
        <w:keepLines/>
        <w:autoSpaceDE w:val="0"/>
        <w:autoSpaceDN w:val="0"/>
        <w:adjustRightInd w:val="0"/>
        <w:rPr>
          <w:lang w:val="en-AU"/>
        </w:rPr>
      </w:pPr>
      <w:r w:rsidRPr="00D22EC9">
        <w:rPr>
          <w:lang w:val="en-AU"/>
        </w:rPr>
        <w:t>Dolton P, Pathania V</w:t>
      </w:r>
    </w:p>
    <w:p w:rsidR="00650ACA" w:rsidRDefault="00D22EC9" w:rsidP="00650ACA">
      <w:pPr>
        <w:keepNext/>
        <w:keepLines/>
        <w:autoSpaceDE w:val="0"/>
        <w:autoSpaceDN w:val="0"/>
        <w:adjustRightInd w:val="0"/>
        <w:rPr>
          <w:lang w:val="en-AU"/>
        </w:rPr>
      </w:pPr>
      <w:r w:rsidRPr="00D22EC9">
        <w:rPr>
          <w:lang w:val="en-AU"/>
        </w:rPr>
        <w:t>Journal of Health Economic</w:t>
      </w:r>
      <w:r w:rsidR="002E6871">
        <w:rPr>
          <w:lang w:val="en-AU"/>
        </w:rPr>
        <w:t>s. 2016.</w:t>
      </w:r>
      <w:r>
        <w:rPr>
          <w:lang w:val="en-AU"/>
        </w:rPr>
        <w:t xml:space="preserve"> [epub]</w:t>
      </w:r>
      <w:r w:rsidRPr="00D22EC9">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650ACA" w:rsidRPr="00255EF8"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5B6694" w:rsidRDefault="00650ACA" w:rsidP="00DC16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10E4" w:rsidRPr="002410E4" w:rsidRDefault="003A5217" w:rsidP="000F6787">
            <w:pPr>
              <w:rPr>
                <w:lang w:val="en-AU"/>
              </w:rPr>
            </w:pPr>
            <w:hyperlink r:id="rId21" w:history="1">
              <w:r w:rsidR="000F6787" w:rsidRPr="00313AA7">
                <w:rPr>
                  <w:rStyle w:val="Hyperlink"/>
                  <w:lang w:val="en-AU"/>
                </w:rPr>
                <w:t>http://dx.doi.org/10.1016/j.jhealeco.2016.05.002</w:t>
              </w:r>
            </w:hyperlink>
          </w:p>
        </w:tc>
      </w:tr>
      <w:tr w:rsidR="00650ACA" w:rsidRPr="004147BB"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255EF8" w:rsidRDefault="00650ACA" w:rsidP="00DC16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Pr="00CE7C9C" w:rsidRDefault="00D22EC9" w:rsidP="00971461">
            <w:pPr>
              <w:rPr>
                <w:lang w:val="en-AU"/>
              </w:rPr>
            </w:pPr>
            <w:r>
              <w:rPr>
                <w:lang w:val="en-AU"/>
              </w:rPr>
              <w:t>There has been debate as to how much of the ‘traffic’ in hospital emergency or (Accident &amp; Emergency (</w:t>
            </w:r>
            <w:r w:rsidR="00971461">
              <w:rPr>
                <w:lang w:val="en-AU"/>
              </w:rPr>
              <w:t>A&amp;E</w:t>
            </w:r>
            <w:r>
              <w:rPr>
                <w:lang w:val="en-AU"/>
              </w:rPr>
              <w:t>)</w:t>
            </w:r>
            <w:r w:rsidR="00971461">
              <w:rPr>
                <w:lang w:val="en-AU"/>
              </w:rPr>
              <w:t>)</w:t>
            </w:r>
            <w:r>
              <w:rPr>
                <w:lang w:val="en-AU"/>
              </w:rPr>
              <w:t xml:space="preserve"> departments could be appropriately seen in the primary care/general practice setting. This paper </w:t>
            </w:r>
            <w:r w:rsidR="00971461">
              <w:rPr>
                <w:lang w:val="en-AU"/>
              </w:rPr>
              <w:t xml:space="preserve">examined the effect </w:t>
            </w:r>
            <w:r w:rsidR="00971461" w:rsidRPr="00971461">
              <w:rPr>
                <w:lang w:val="en-AU"/>
              </w:rPr>
              <w:t>piloting 7-day opening of General Practitioner (GP) practices to improve primary care access for patients</w:t>
            </w:r>
            <w:r w:rsidR="00971461">
              <w:rPr>
                <w:lang w:val="en-AU"/>
              </w:rPr>
              <w:t xml:space="preserve"> in London. From their analyses the authors estimate that “</w:t>
            </w:r>
            <w:r w:rsidR="00971461" w:rsidRPr="00971461">
              <w:rPr>
                <w:lang w:val="en-AU"/>
              </w:rPr>
              <w:t xml:space="preserve">7-day GP opening has </w:t>
            </w:r>
            <w:r w:rsidR="00971461" w:rsidRPr="00971461">
              <w:rPr>
                <w:b/>
                <w:lang w:val="en-AU"/>
              </w:rPr>
              <w:t>reduced A&amp;E attendances</w:t>
            </w:r>
            <w:r w:rsidR="00971461" w:rsidRPr="00971461">
              <w:rPr>
                <w:lang w:val="en-AU"/>
              </w:rPr>
              <w:t xml:space="preserve"> by patients of pilot practices by 9.9% with most of the impact on weekends which see A&amp;E attendances fall by 17.9%. The effect is non-monotonic in case severity with most of the fall occurring in cases of moderate severity. An additional finding is that there is also a </w:t>
            </w:r>
            <w:r w:rsidR="00971461" w:rsidRPr="00971461">
              <w:rPr>
                <w:b/>
                <w:lang w:val="en-AU"/>
              </w:rPr>
              <w:t>9.9% fall in weekend hospital admissions</w:t>
            </w:r>
            <w:r w:rsidR="00971461" w:rsidRPr="00971461">
              <w:rPr>
                <w:lang w:val="en-AU"/>
              </w:rPr>
              <w:t xml:space="preserve"> (from A&amp;E) which is entirely driven by a fall in admissions of elderly patients. The impact on A&amp;E attendances appears to be bigger among wealthier patients.</w:t>
            </w:r>
            <w:r w:rsidR="00971461">
              <w:rPr>
                <w:lang w:val="en-AU"/>
              </w:rPr>
              <w:t>”</w:t>
            </w:r>
          </w:p>
        </w:tc>
      </w:tr>
    </w:tbl>
    <w:p w:rsidR="00650ACA" w:rsidRDefault="00650ACA" w:rsidP="00650ACA">
      <w:pPr>
        <w:rPr>
          <w:lang w:val="en-AU"/>
        </w:rPr>
      </w:pPr>
    </w:p>
    <w:p w:rsidR="000F6787" w:rsidRPr="000F6787" w:rsidRDefault="000F6787" w:rsidP="000F6787">
      <w:pPr>
        <w:keepNext/>
        <w:keepLines/>
        <w:autoSpaceDE w:val="0"/>
        <w:autoSpaceDN w:val="0"/>
        <w:adjustRightInd w:val="0"/>
        <w:rPr>
          <w:i/>
          <w:lang w:val="en-AU"/>
        </w:rPr>
      </w:pPr>
      <w:r w:rsidRPr="000F6787">
        <w:rPr>
          <w:i/>
          <w:lang w:val="en-AU"/>
        </w:rPr>
        <w:lastRenderedPageBreak/>
        <w:t>Association Between Hospital Performance on Patient Safety and 30</w:t>
      </w:r>
      <w:r w:rsidRPr="000F6787">
        <w:rPr>
          <w:rFonts w:ascii="Cambria Math" w:hAnsi="Cambria Math" w:cs="Cambria Math"/>
          <w:i/>
          <w:lang w:val="en-AU"/>
        </w:rPr>
        <w:t>‐</w:t>
      </w:r>
      <w:r w:rsidRPr="000F6787">
        <w:rPr>
          <w:i/>
          <w:lang w:val="en-AU"/>
        </w:rPr>
        <w:t>Day Mortality and Unplanned Readmission for Medicare Fee-for-Service Patients With Acute Myocardial Infarction</w:t>
      </w:r>
    </w:p>
    <w:p w:rsidR="000F6787" w:rsidRDefault="000F6787" w:rsidP="00650ACA">
      <w:pPr>
        <w:keepNext/>
        <w:keepLines/>
        <w:autoSpaceDE w:val="0"/>
        <w:autoSpaceDN w:val="0"/>
        <w:adjustRightInd w:val="0"/>
        <w:rPr>
          <w:lang w:val="en-AU"/>
        </w:rPr>
      </w:pPr>
      <w:r w:rsidRPr="000F6787">
        <w:rPr>
          <w:lang w:val="en-AU"/>
        </w:rPr>
        <w:t>Wang Y, Eldridge N, Metersky ML, Sonnenfeld N, Fine JM, Pandolfi MM, et al</w:t>
      </w:r>
    </w:p>
    <w:p w:rsidR="00650ACA" w:rsidRDefault="000F6787" w:rsidP="00650ACA">
      <w:pPr>
        <w:keepNext/>
        <w:keepLines/>
        <w:autoSpaceDE w:val="0"/>
        <w:autoSpaceDN w:val="0"/>
        <w:adjustRightInd w:val="0"/>
        <w:rPr>
          <w:lang w:val="en-AU"/>
        </w:rPr>
      </w:pPr>
      <w:r w:rsidRPr="000F6787">
        <w:rPr>
          <w:lang w:val="en-AU"/>
        </w:rPr>
        <w:t>Journal of the American Heart Association. 2016;5(7).</w:t>
      </w:r>
    </w:p>
    <w:tbl>
      <w:tblPr>
        <w:tblStyle w:val="TableGrid"/>
        <w:tblW w:w="0" w:type="auto"/>
        <w:tblInd w:w="288" w:type="dxa"/>
        <w:tblLayout w:type="fixed"/>
        <w:tblLook w:val="01E0" w:firstRow="1" w:lastRow="1" w:firstColumn="1" w:lastColumn="1" w:noHBand="0" w:noVBand="0"/>
      </w:tblPr>
      <w:tblGrid>
        <w:gridCol w:w="1080"/>
        <w:gridCol w:w="8280"/>
      </w:tblGrid>
      <w:tr w:rsidR="00650ACA" w:rsidRPr="00255EF8"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5B6694" w:rsidRDefault="00650ACA" w:rsidP="00DC16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Pr="004B7AA3" w:rsidRDefault="003A5217" w:rsidP="00DC162F">
            <w:pPr>
              <w:rPr>
                <w:rStyle w:val="Hyperlink"/>
                <w:color w:val="auto"/>
                <w:u w:val="none"/>
              </w:rPr>
            </w:pPr>
            <w:hyperlink r:id="rId22" w:history="1">
              <w:r w:rsidR="000F6787" w:rsidRPr="00313AA7">
                <w:rPr>
                  <w:rStyle w:val="Hyperlink"/>
                </w:rPr>
                <w:t>http://jaha.ahajournals.org/content/5/7/e003731</w:t>
              </w:r>
            </w:hyperlink>
          </w:p>
        </w:tc>
      </w:tr>
      <w:tr w:rsidR="00650ACA" w:rsidRPr="004147BB"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255EF8" w:rsidRDefault="00650ACA" w:rsidP="00DC16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Pr="00CE7C9C" w:rsidRDefault="000F6787" w:rsidP="0068571D">
            <w:pPr>
              <w:rPr>
                <w:lang w:val="en-AU" w:eastAsia="en-AU"/>
              </w:rPr>
            </w:pPr>
            <w:r>
              <w:rPr>
                <w:lang w:val="en-AU" w:eastAsia="en-AU"/>
              </w:rPr>
              <w:t xml:space="preserve">Readmissions tend to attract a deal of attention. Their significance and relationship to aspects of safety and quality are somewhat contentious. This US paper </w:t>
            </w:r>
            <w:r w:rsidRPr="000F6787">
              <w:rPr>
                <w:lang w:val="en-AU" w:eastAsia="en-AU"/>
              </w:rPr>
              <w:t xml:space="preserve">examined the link between rates of adverse events and rates of readmissions and 30-day mortality for patients treated for acute myocardial infarction in 793 </w:t>
            </w:r>
            <w:r>
              <w:rPr>
                <w:lang w:val="en-AU" w:eastAsia="en-AU"/>
              </w:rPr>
              <w:t xml:space="preserve">US </w:t>
            </w:r>
            <w:r w:rsidRPr="000F6787">
              <w:rPr>
                <w:lang w:val="en-AU" w:eastAsia="en-AU"/>
              </w:rPr>
              <w:t>hospitals</w:t>
            </w:r>
            <w:r>
              <w:rPr>
                <w:lang w:val="en-AU" w:eastAsia="en-AU"/>
              </w:rPr>
              <w:t xml:space="preserve"> in the period 2009–2013</w:t>
            </w:r>
            <w:r w:rsidRPr="000F6787">
              <w:rPr>
                <w:lang w:val="en-AU" w:eastAsia="en-AU"/>
              </w:rPr>
              <w:t>.</w:t>
            </w:r>
            <w:r w:rsidR="0068571D">
              <w:rPr>
                <w:lang w:val="en-AU" w:eastAsia="en-AU"/>
              </w:rPr>
              <w:t xml:space="preserve"> From their analyses the authors report that “</w:t>
            </w:r>
            <w:r w:rsidR="0068571D" w:rsidRPr="0068571D">
              <w:rPr>
                <w:lang w:val="en-AU" w:eastAsia="en-AU"/>
              </w:rPr>
              <w:t>The occurrence rate of adverse events for which patients were at risk was 3.8%. A 1% point change in the risk-standardized occurrence rate of adverse events was associated with average changes in the same direction of 4.86% points (95% CI, 0.79-8.94) and 3.44% points (95% CI, 0.19-6.68) for the risk-standardized mortality and unplanned readmission rates, respectively.</w:t>
            </w:r>
            <w:r w:rsidR="0068571D">
              <w:rPr>
                <w:lang w:val="en-AU" w:eastAsia="en-AU"/>
              </w:rPr>
              <w:t>” Their conclusion was that “</w:t>
            </w:r>
            <w:r w:rsidR="0068571D" w:rsidRPr="0068571D">
              <w:rPr>
                <w:lang w:val="en-AU" w:eastAsia="en-AU"/>
              </w:rPr>
              <w:t xml:space="preserve">For Medicare fee-for-service patients discharged with AMI, </w:t>
            </w:r>
            <w:r w:rsidR="0068571D" w:rsidRPr="0068571D">
              <w:rPr>
                <w:b/>
                <w:lang w:val="en-AU" w:eastAsia="en-AU"/>
              </w:rPr>
              <w:t>hospitals with poorer patient safety performance were also more likely to have poorer performance on 30-day all-cause mortality and on unplanned readmissions</w:t>
            </w:r>
            <w:r w:rsidR="0068571D" w:rsidRPr="0068571D">
              <w:rPr>
                <w:lang w:val="en-AU" w:eastAsia="en-AU"/>
              </w:rPr>
              <w:t>.</w:t>
            </w:r>
            <w:r w:rsidR="0068571D">
              <w:rPr>
                <w:lang w:val="en-AU" w:eastAsia="en-AU"/>
              </w:rPr>
              <w:t>”</w:t>
            </w:r>
          </w:p>
        </w:tc>
      </w:tr>
    </w:tbl>
    <w:p w:rsidR="00650ACA" w:rsidRDefault="00650ACA" w:rsidP="00650ACA">
      <w:pPr>
        <w:rPr>
          <w:lang w:val="en-AU"/>
        </w:rPr>
      </w:pPr>
    </w:p>
    <w:p w:rsidR="00B1581E" w:rsidRPr="00B1581E" w:rsidRDefault="00B1581E" w:rsidP="00B1581E">
      <w:pPr>
        <w:keepNext/>
        <w:keepLines/>
        <w:autoSpaceDE w:val="0"/>
        <w:autoSpaceDN w:val="0"/>
        <w:adjustRightInd w:val="0"/>
        <w:rPr>
          <w:i/>
          <w:lang w:val="en-AU"/>
        </w:rPr>
      </w:pPr>
      <w:r w:rsidRPr="00B1581E">
        <w:rPr>
          <w:i/>
          <w:lang w:val="en-AU"/>
        </w:rPr>
        <w:t>Potentially Preventable 30-Day Hospital Readmissions at a Children’s Hospital</w:t>
      </w:r>
    </w:p>
    <w:p w:rsidR="00B1581E" w:rsidRDefault="00B1581E" w:rsidP="00B1581E">
      <w:pPr>
        <w:keepNext/>
        <w:keepLines/>
        <w:autoSpaceDE w:val="0"/>
        <w:autoSpaceDN w:val="0"/>
        <w:adjustRightInd w:val="0"/>
        <w:rPr>
          <w:lang w:val="en-AU"/>
        </w:rPr>
      </w:pPr>
      <w:r w:rsidRPr="00B1581E">
        <w:rPr>
          <w:lang w:val="en-AU"/>
        </w:rPr>
        <w:t>Toomey SL, Peltz A, Loren S, Tracy M, Williams K, Pengeroth L, et al</w:t>
      </w:r>
    </w:p>
    <w:p w:rsidR="00B1581E" w:rsidRDefault="00B1581E" w:rsidP="00B1581E">
      <w:pPr>
        <w:keepNext/>
        <w:keepLines/>
        <w:autoSpaceDE w:val="0"/>
        <w:autoSpaceDN w:val="0"/>
        <w:adjustRightInd w:val="0"/>
        <w:rPr>
          <w:lang w:val="en-AU"/>
        </w:rPr>
      </w:pPr>
      <w:r w:rsidRPr="00B1581E">
        <w:rPr>
          <w:lang w:val="en-AU"/>
        </w:rPr>
        <w:t>Pediatrics. 2016;138(2).</w:t>
      </w:r>
    </w:p>
    <w:tbl>
      <w:tblPr>
        <w:tblStyle w:val="TableGrid"/>
        <w:tblW w:w="0" w:type="auto"/>
        <w:tblInd w:w="288" w:type="dxa"/>
        <w:tblLayout w:type="fixed"/>
        <w:tblLook w:val="01E0" w:firstRow="1" w:lastRow="1" w:firstColumn="1" w:lastColumn="1" w:noHBand="0" w:noVBand="0"/>
      </w:tblPr>
      <w:tblGrid>
        <w:gridCol w:w="1080"/>
        <w:gridCol w:w="8280"/>
      </w:tblGrid>
      <w:tr w:rsidR="00B1581E" w:rsidRPr="00255EF8" w:rsidTr="00B31D73">
        <w:tc>
          <w:tcPr>
            <w:tcW w:w="1080" w:type="dxa"/>
            <w:tcBorders>
              <w:top w:val="single" w:sz="4" w:space="0" w:color="auto"/>
              <w:left w:val="single" w:sz="4" w:space="0" w:color="auto"/>
              <w:bottom w:val="single" w:sz="4" w:space="0" w:color="auto"/>
              <w:right w:val="single" w:sz="4" w:space="0" w:color="auto"/>
            </w:tcBorders>
            <w:vAlign w:val="center"/>
          </w:tcPr>
          <w:p w:rsidR="00B1581E" w:rsidRPr="005B6694" w:rsidRDefault="00B1581E" w:rsidP="00B31D73">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1581E" w:rsidRPr="004B7AA3" w:rsidRDefault="003A5217" w:rsidP="00B31D73">
            <w:pPr>
              <w:rPr>
                <w:rStyle w:val="Hyperlink"/>
                <w:color w:val="auto"/>
                <w:u w:val="none"/>
              </w:rPr>
            </w:pPr>
            <w:hyperlink r:id="rId23" w:history="1">
              <w:r w:rsidR="00B1581E" w:rsidRPr="00313AA7">
                <w:rPr>
                  <w:rStyle w:val="Hyperlink"/>
                </w:rPr>
                <w:t>http://dx.doi.org/10.1542/peds.2015-4182</w:t>
              </w:r>
            </w:hyperlink>
          </w:p>
        </w:tc>
      </w:tr>
      <w:tr w:rsidR="00B1581E" w:rsidRPr="004147BB" w:rsidTr="00B31D73">
        <w:tc>
          <w:tcPr>
            <w:tcW w:w="1080" w:type="dxa"/>
            <w:tcBorders>
              <w:top w:val="single" w:sz="4" w:space="0" w:color="auto"/>
              <w:left w:val="single" w:sz="4" w:space="0" w:color="auto"/>
              <w:bottom w:val="single" w:sz="4" w:space="0" w:color="auto"/>
              <w:right w:val="single" w:sz="4" w:space="0" w:color="auto"/>
            </w:tcBorders>
            <w:vAlign w:val="center"/>
          </w:tcPr>
          <w:p w:rsidR="00B1581E" w:rsidRPr="00255EF8" w:rsidRDefault="00B1581E" w:rsidP="00B31D73">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581E" w:rsidRPr="00CE7C9C" w:rsidRDefault="00B1581E" w:rsidP="00995565">
            <w:pPr>
              <w:rPr>
                <w:lang w:val="en-AU" w:eastAsia="en-AU"/>
              </w:rPr>
            </w:pPr>
            <w:r>
              <w:rPr>
                <w:lang w:val="en-AU" w:eastAsia="en-AU"/>
              </w:rPr>
              <w:t xml:space="preserve">Also examining the issue of readmission is this paper. In this case, the focus is on readmissions of paediatric patients, specifically potentially preventable readmissions. This was a </w:t>
            </w:r>
            <w:r w:rsidRPr="00B1581E">
              <w:rPr>
                <w:lang w:val="en-AU" w:eastAsia="en-AU"/>
              </w:rPr>
              <w:t xml:space="preserve">cross-sectional study </w:t>
            </w:r>
            <w:r w:rsidR="00995565">
              <w:rPr>
                <w:lang w:val="en-AU" w:eastAsia="en-AU"/>
              </w:rPr>
              <w:t>covering 3</w:t>
            </w:r>
            <w:r w:rsidRPr="00B1581E">
              <w:rPr>
                <w:lang w:val="en-AU" w:eastAsia="en-AU"/>
              </w:rPr>
              <w:t xml:space="preserve">05 children readmitted within 30 days to a </w:t>
            </w:r>
            <w:r w:rsidR="00995565">
              <w:rPr>
                <w:lang w:val="en-AU" w:eastAsia="en-AU"/>
              </w:rPr>
              <w:t xml:space="preserve">single US </w:t>
            </w:r>
            <w:r w:rsidRPr="00B1581E">
              <w:rPr>
                <w:lang w:val="en-AU" w:eastAsia="en-AU"/>
              </w:rPr>
              <w:t>children’s hospital between December 2012 and February 2013.</w:t>
            </w:r>
            <w:r w:rsidR="00995565">
              <w:rPr>
                <w:lang w:val="en-AU" w:eastAsia="en-AU"/>
              </w:rPr>
              <w:t xml:space="preserve"> From reviews of </w:t>
            </w:r>
            <w:r w:rsidR="00995565" w:rsidRPr="00995565">
              <w:rPr>
                <w:lang w:val="en-AU" w:eastAsia="en-AU"/>
              </w:rPr>
              <w:t xml:space="preserve">medical records, interview summaries, and transcripts, </w:t>
            </w:r>
            <w:r w:rsidR="00995565">
              <w:rPr>
                <w:lang w:val="en-AU" w:eastAsia="en-AU"/>
              </w:rPr>
              <w:t xml:space="preserve">the authors estimate that </w:t>
            </w:r>
            <w:r w:rsidR="00995565" w:rsidRPr="00995565">
              <w:rPr>
                <w:b/>
                <w:lang w:val="en-AU" w:eastAsia="en-AU"/>
              </w:rPr>
              <w:t>29.5% of the readmissions were potentially preventable</w:t>
            </w:r>
            <w:r w:rsidR="00995565" w:rsidRPr="00995565">
              <w:rPr>
                <w:lang w:val="en-AU" w:eastAsia="en-AU"/>
              </w:rPr>
              <w:t xml:space="preserve">. </w:t>
            </w:r>
            <w:r w:rsidR="00995565">
              <w:rPr>
                <w:lang w:val="en-AU" w:eastAsia="en-AU"/>
              </w:rPr>
              <w:t>They also report that p</w:t>
            </w:r>
            <w:r w:rsidR="00995565" w:rsidRPr="00995565">
              <w:rPr>
                <w:lang w:val="en-AU" w:eastAsia="en-AU"/>
              </w:rPr>
              <w:t>otentially preventable readmissions occurred sooner after discharge than non–potentially preventable readmissions (5 vs 9 median days)</w:t>
            </w:r>
            <w:r w:rsidR="00995565">
              <w:rPr>
                <w:lang w:val="en-AU" w:eastAsia="en-AU"/>
              </w:rPr>
              <w:t xml:space="preserve">; </w:t>
            </w:r>
            <w:r w:rsidR="00995565" w:rsidRPr="00995565">
              <w:rPr>
                <w:lang w:val="en-AU" w:eastAsia="en-AU"/>
              </w:rPr>
              <w:t xml:space="preserve">patient-related factors </w:t>
            </w:r>
            <w:r w:rsidR="00995565">
              <w:rPr>
                <w:lang w:val="en-AU" w:eastAsia="en-AU"/>
              </w:rPr>
              <w:t>(</w:t>
            </w:r>
            <w:r w:rsidR="00995565" w:rsidRPr="00995565">
              <w:rPr>
                <w:lang w:val="en-AU" w:eastAsia="en-AU"/>
              </w:rPr>
              <w:t>such as parental anxiety</w:t>
            </w:r>
            <w:r w:rsidR="00995565">
              <w:rPr>
                <w:lang w:val="en-AU" w:eastAsia="en-AU"/>
              </w:rPr>
              <w:t>)</w:t>
            </w:r>
            <w:r w:rsidR="00995565" w:rsidRPr="00995565">
              <w:rPr>
                <w:lang w:val="en-AU" w:eastAsia="en-AU"/>
              </w:rPr>
              <w:t xml:space="preserve"> and hospital-related factors </w:t>
            </w:r>
            <w:r w:rsidR="00995565">
              <w:rPr>
                <w:lang w:val="en-AU" w:eastAsia="en-AU"/>
              </w:rPr>
              <w:t>(</w:t>
            </w:r>
            <w:r w:rsidR="00995565" w:rsidRPr="00995565">
              <w:rPr>
                <w:lang w:val="en-AU" w:eastAsia="en-AU"/>
              </w:rPr>
              <w:t>such as hospital-acquired conditions</w:t>
            </w:r>
            <w:r w:rsidR="00995565">
              <w:rPr>
                <w:lang w:val="en-AU" w:eastAsia="en-AU"/>
              </w:rPr>
              <w:t>) contribute</w:t>
            </w:r>
            <w:r w:rsidR="00995565" w:rsidRPr="00995565">
              <w:rPr>
                <w:lang w:val="en-AU" w:eastAsia="en-AU"/>
              </w:rPr>
              <w:t xml:space="preserve"> to preventable readmissions.</w:t>
            </w:r>
          </w:p>
        </w:tc>
      </w:tr>
    </w:tbl>
    <w:p w:rsidR="00B1581E" w:rsidRDefault="00B1581E" w:rsidP="00B1581E">
      <w:pPr>
        <w:rPr>
          <w:lang w:val="en-AU"/>
        </w:rPr>
      </w:pPr>
    </w:p>
    <w:p w:rsidR="00D54E44" w:rsidRPr="000905A0" w:rsidRDefault="00D54E44" w:rsidP="00D54E44">
      <w:pPr>
        <w:keepNext/>
        <w:keepLines/>
        <w:autoSpaceDE w:val="0"/>
        <w:autoSpaceDN w:val="0"/>
        <w:adjustRightInd w:val="0"/>
        <w:rPr>
          <w:i/>
          <w:lang w:val="en-AU"/>
        </w:rPr>
      </w:pPr>
      <w:r w:rsidRPr="000905A0">
        <w:rPr>
          <w:i/>
          <w:lang w:val="en-AU"/>
        </w:rPr>
        <w:t>Implementing Delivery Room Checklists and Communication Standards in a Multi-Neonatal ICU Quality Improvement Collaborative</w:t>
      </w:r>
    </w:p>
    <w:p w:rsidR="00D54E44" w:rsidRDefault="00D54E44" w:rsidP="00D54E44">
      <w:pPr>
        <w:keepNext/>
        <w:keepLines/>
        <w:autoSpaceDE w:val="0"/>
        <w:autoSpaceDN w:val="0"/>
        <w:adjustRightInd w:val="0"/>
        <w:rPr>
          <w:lang w:val="en-AU"/>
        </w:rPr>
      </w:pPr>
      <w:r w:rsidRPr="000905A0">
        <w:rPr>
          <w:lang w:val="en-AU"/>
        </w:rPr>
        <w:t>Bennett SC, Finer N, Halamek LP, Mickas N, Bennett MV, Nisbet CC, et al</w:t>
      </w:r>
    </w:p>
    <w:p w:rsidR="00D54E44" w:rsidRDefault="00D54E44" w:rsidP="00D54E44">
      <w:pPr>
        <w:keepNext/>
        <w:keepLines/>
        <w:autoSpaceDE w:val="0"/>
        <w:autoSpaceDN w:val="0"/>
        <w:adjustRightInd w:val="0"/>
        <w:rPr>
          <w:lang w:val="en-AU"/>
        </w:rPr>
      </w:pPr>
      <w:r w:rsidRPr="000905A0">
        <w:rPr>
          <w:lang w:val="en-AU"/>
        </w:rPr>
        <w:t>Joint Commission Journal on Quality and Patient Safety. 2016 Aug;42(8):369-76.</w:t>
      </w:r>
    </w:p>
    <w:tbl>
      <w:tblPr>
        <w:tblStyle w:val="TableGrid"/>
        <w:tblW w:w="0" w:type="auto"/>
        <w:tblInd w:w="288" w:type="dxa"/>
        <w:tblLayout w:type="fixed"/>
        <w:tblLook w:val="01E0" w:firstRow="1" w:lastRow="1" w:firstColumn="1" w:lastColumn="1" w:noHBand="0" w:noVBand="0"/>
      </w:tblPr>
      <w:tblGrid>
        <w:gridCol w:w="1080"/>
        <w:gridCol w:w="8280"/>
      </w:tblGrid>
      <w:tr w:rsidR="00D54E44" w:rsidRPr="00255EF8" w:rsidTr="00B31D73">
        <w:tc>
          <w:tcPr>
            <w:tcW w:w="1080" w:type="dxa"/>
            <w:tcBorders>
              <w:top w:val="single" w:sz="4" w:space="0" w:color="auto"/>
              <w:left w:val="single" w:sz="4" w:space="0" w:color="auto"/>
              <w:bottom w:val="single" w:sz="4" w:space="0" w:color="auto"/>
              <w:right w:val="single" w:sz="4" w:space="0" w:color="auto"/>
            </w:tcBorders>
            <w:vAlign w:val="center"/>
          </w:tcPr>
          <w:p w:rsidR="00D54E44" w:rsidRPr="005B6694" w:rsidRDefault="00D54E44" w:rsidP="00B31D73">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54E44" w:rsidRPr="004B7AA3" w:rsidRDefault="003A5217" w:rsidP="00B31D73">
            <w:pPr>
              <w:rPr>
                <w:rStyle w:val="Hyperlink"/>
                <w:color w:val="auto"/>
                <w:u w:val="none"/>
              </w:rPr>
            </w:pPr>
            <w:hyperlink r:id="rId24" w:history="1">
              <w:r w:rsidR="00D54E44" w:rsidRPr="00313AA7">
                <w:rPr>
                  <w:rStyle w:val="Hyperlink"/>
                </w:rPr>
                <w:t>http://www.ingentaconnect.com/content/jcaho/jcjqs/2016/00000042/00000008/art00006</w:t>
              </w:r>
            </w:hyperlink>
          </w:p>
        </w:tc>
      </w:tr>
      <w:tr w:rsidR="00D54E44" w:rsidRPr="004147BB" w:rsidTr="00B31D73">
        <w:tc>
          <w:tcPr>
            <w:tcW w:w="1080" w:type="dxa"/>
            <w:tcBorders>
              <w:top w:val="single" w:sz="4" w:space="0" w:color="auto"/>
              <w:left w:val="single" w:sz="4" w:space="0" w:color="auto"/>
              <w:bottom w:val="single" w:sz="4" w:space="0" w:color="auto"/>
              <w:right w:val="single" w:sz="4" w:space="0" w:color="auto"/>
            </w:tcBorders>
            <w:vAlign w:val="center"/>
          </w:tcPr>
          <w:p w:rsidR="00D54E44" w:rsidRPr="00255EF8" w:rsidRDefault="00D54E44" w:rsidP="00B31D73">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54E44" w:rsidRPr="00CE7C9C" w:rsidRDefault="00D54E44" w:rsidP="00B31D73">
            <w:pPr>
              <w:rPr>
                <w:lang w:val="en-AU" w:eastAsia="en-AU"/>
              </w:rPr>
            </w:pPr>
            <w:r>
              <w:rPr>
                <w:lang w:val="en-AU" w:eastAsia="en-AU"/>
              </w:rPr>
              <w:t xml:space="preserve">Paper describing the roll-out of a bundle promoting communications and checklists for </w:t>
            </w:r>
            <w:r w:rsidRPr="002E6871">
              <w:rPr>
                <w:lang w:val="en-AU" w:eastAsia="en-AU"/>
              </w:rPr>
              <w:t>neonatal resuscitation</w:t>
            </w:r>
            <w:r>
              <w:rPr>
                <w:lang w:val="en-AU" w:eastAsia="en-AU"/>
              </w:rPr>
              <w:t xml:space="preserve"> that </w:t>
            </w:r>
            <w:r w:rsidRPr="002E6871">
              <w:rPr>
                <w:lang w:val="en-AU" w:eastAsia="en-AU"/>
              </w:rPr>
              <w:t xml:space="preserve">was integrated within </w:t>
            </w:r>
            <w:r>
              <w:rPr>
                <w:lang w:val="en-AU" w:eastAsia="en-AU"/>
              </w:rPr>
              <w:t xml:space="preserve">a </w:t>
            </w:r>
            <w:r w:rsidRPr="002E6871">
              <w:rPr>
                <w:lang w:val="en-AU" w:eastAsia="en-AU"/>
              </w:rPr>
              <w:t>larger change package deployed in the California Perinatal Quality Care Collaborative's 12-month Delivery Room Management Quality Improvement Collaborative.</w:t>
            </w:r>
            <w:r>
              <w:rPr>
                <w:lang w:val="en-AU" w:eastAsia="en-AU"/>
              </w:rPr>
              <w:t xml:space="preserve"> </w:t>
            </w:r>
            <w:r w:rsidRPr="002E6871">
              <w:rPr>
                <w:lang w:val="en-AU" w:eastAsia="en-AU"/>
              </w:rPr>
              <w:t xml:space="preserve">Twenty-four neonatal intensive care units (NICUs) participated in the collaborative. </w:t>
            </w:r>
            <w:r>
              <w:rPr>
                <w:lang w:val="en-AU" w:eastAsia="en-AU"/>
              </w:rPr>
              <w:t>C</w:t>
            </w:r>
            <w:r w:rsidRPr="002E6871">
              <w:rPr>
                <w:lang w:val="en-AU" w:eastAsia="en-AU"/>
              </w:rPr>
              <w:t>ompliance with the resuscitation</w:t>
            </w:r>
            <w:r>
              <w:rPr>
                <w:lang w:val="en-AU" w:eastAsia="en-AU"/>
              </w:rPr>
              <w:t xml:space="preserve"> bundle </w:t>
            </w:r>
            <w:r w:rsidRPr="002E6871">
              <w:rPr>
                <w:lang w:val="en-AU" w:eastAsia="en-AU"/>
              </w:rPr>
              <w:t>improved to a median of 71%.</w:t>
            </w:r>
            <w:r>
              <w:rPr>
                <w:lang w:val="en-AU" w:eastAsia="en-AU"/>
              </w:rPr>
              <w:t xml:space="preserve"> Further, all </w:t>
            </w:r>
            <w:r w:rsidRPr="002E6871">
              <w:rPr>
                <w:lang w:val="en-AU" w:eastAsia="en-AU"/>
              </w:rPr>
              <w:t xml:space="preserve">responding NICUs would recommend the </w:t>
            </w:r>
            <w:r>
              <w:rPr>
                <w:lang w:val="en-AU" w:eastAsia="en-AU"/>
              </w:rPr>
              <w:t xml:space="preserve">bundle </w:t>
            </w:r>
            <w:r w:rsidRPr="002E6871">
              <w:rPr>
                <w:lang w:val="en-AU" w:eastAsia="en-AU"/>
              </w:rPr>
              <w:t xml:space="preserve">to other NICUs working on improving </w:t>
            </w:r>
            <w:r>
              <w:rPr>
                <w:lang w:val="en-AU" w:eastAsia="en-AU"/>
              </w:rPr>
              <w:t xml:space="preserve">delivery room </w:t>
            </w:r>
            <w:r w:rsidRPr="002E6871">
              <w:rPr>
                <w:lang w:val="en-AU" w:eastAsia="en-AU"/>
              </w:rPr>
              <w:t>management.</w:t>
            </w:r>
          </w:p>
        </w:tc>
      </w:tr>
    </w:tbl>
    <w:p w:rsidR="00F354E7" w:rsidRPr="0091691E" w:rsidRDefault="00F354E7" w:rsidP="00F354E7">
      <w:pPr>
        <w:keepNext/>
        <w:rPr>
          <w:i/>
          <w:lang w:val="en-AU"/>
        </w:rPr>
      </w:pPr>
      <w:r w:rsidRPr="0091691E">
        <w:rPr>
          <w:i/>
          <w:lang w:val="en-AU"/>
        </w:rPr>
        <w:lastRenderedPageBreak/>
        <w:t>BMJ Quality and Safety</w:t>
      </w:r>
    </w:p>
    <w:p w:rsidR="00F354E7" w:rsidRPr="0091691E" w:rsidRDefault="00F354E7" w:rsidP="00F354E7">
      <w:pPr>
        <w:keepNext/>
        <w:rPr>
          <w:lang w:val="en-AU"/>
        </w:rPr>
      </w:pPr>
      <w:r>
        <w:rPr>
          <w:lang w:val="en-AU"/>
        </w:rPr>
        <w:t>September 2016, Vol. 25, Issue 9</w:t>
      </w:r>
    </w:p>
    <w:tbl>
      <w:tblPr>
        <w:tblStyle w:val="TableGrid"/>
        <w:tblW w:w="9360" w:type="dxa"/>
        <w:tblInd w:w="288" w:type="dxa"/>
        <w:tblLayout w:type="fixed"/>
        <w:tblLook w:val="04A0" w:firstRow="1" w:lastRow="0" w:firstColumn="1" w:lastColumn="0" w:noHBand="0" w:noVBand="1"/>
      </w:tblPr>
      <w:tblGrid>
        <w:gridCol w:w="1080"/>
        <w:gridCol w:w="8280"/>
      </w:tblGrid>
      <w:tr w:rsidR="00F354E7" w:rsidRPr="0091691E" w:rsidTr="00DF6CAF">
        <w:tc>
          <w:tcPr>
            <w:tcW w:w="1080" w:type="dxa"/>
          </w:tcPr>
          <w:p w:rsidR="00F354E7" w:rsidRPr="0091691E" w:rsidRDefault="00F354E7" w:rsidP="00DF6CAF">
            <w:pPr>
              <w:rPr>
                <w:lang w:val="en-AU"/>
              </w:rPr>
            </w:pPr>
            <w:r w:rsidRPr="0091691E">
              <w:rPr>
                <w:lang w:val="en-AU"/>
              </w:rPr>
              <w:t>URL</w:t>
            </w:r>
          </w:p>
        </w:tc>
        <w:tc>
          <w:tcPr>
            <w:tcW w:w="8280" w:type="dxa"/>
          </w:tcPr>
          <w:p w:rsidR="00F354E7" w:rsidRPr="0091691E" w:rsidRDefault="00F354E7" w:rsidP="00F354E7">
            <w:pPr>
              <w:keepNext/>
              <w:rPr>
                <w:lang w:val="en-AU"/>
              </w:rPr>
            </w:pPr>
            <w:hyperlink r:id="rId25" w:history="1">
              <w:r w:rsidRPr="00A213F9">
                <w:rPr>
                  <w:rStyle w:val="Hyperlink"/>
                  <w:lang w:val="en-AU"/>
                </w:rPr>
                <w:t>http://qualitysafety.bmj.com/content/25/9</w:t>
              </w:r>
            </w:hyperlink>
          </w:p>
        </w:tc>
      </w:tr>
      <w:tr w:rsidR="00F354E7" w:rsidRPr="0091691E" w:rsidTr="00DF6CAF">
        <w:tblPrEx>
          <w:tblLook w:val="01E0" w:firstRow="1" w:lastRow="1" w:firstColumn="1" w:lastColumn="1" w:noHBand="0" w:noVBand="0"/>
        </w:tblPrEx>
        <w:tc>
          <w:tcPr>
            <w:tcW w:w="1080" w:type="dxa"/>
            <w:vAlign w:val="center"/>
          </w:tcPr>
          <w:p w:rsidR="00F354E7" w:rsidRPr="0091691E" w:rsidRDefault="00F354E7" w:rsidP="00DF6CAF">
            <w:pPr>
              <w:rPr>
                <w:lang w:val="en-AU"/>
              </w:rPr>
            </w:pPr>
            <w:r w:rsidRPr="0091691E">
              <w:rPr>
                <w:lang w:val="en-AU"/>
              </w:rPr>
              <w:t>Notes</w:t>
            </w:r>
          </w:p>
        </w:tc>
        <w:tc>
          <w:tcPr>
            <w:tcW w:w="8280" w:type="dxa"/>
            <w:vAlign w:val="center"/>
          </w:tcPr>
          <w:p w:rsidR="00F354E7" w:rsidRPr="0091691E" w:rsidRDefault="00F354E7" w:rsidP="00DF6CAF">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F354E7" w:rsidRPr="00F354E7" w:rsidRDefault="00F354E7" w:rsidP="00F354E7">
            <w:pPr>
              <w:numPr>
                <w:ilvl w:val="0"/>
                <w:numId w:val="32"/>
              </w:numPr>
              <w:rPr>
                <w:lang w:val="en-AU"/>
              </w:rPr>
            </w:pPr>
            <w:r w:rsidRPr="00F354E7">
              <w:rPr>
                <w:lang w:val="en-AU"/>
              </w:rPr>
              <w:t xml:space="preserve">Editorial: The case for </w:t>
            </w:r>
            <w:r w:rsidRPr="00F354E7">
              <w:rPr>
                <w:b/>
                <w:lang w:val="en-AU"/>
              </w:rPr>
              <w:t>routine goals-of-care documentation</w:t>
            </w:r>
            <w:r w:rsidRPr="00F354E7">
              <w:rPr>
                <w:lang w:val="en-AU"/>
              </w:rPr>
              <w:t xml:space="preserve"> </w:t>
            </w:r>
            <w:r w:rsidRPr="00F354E7">
              <w:rPr>
                <w:lang w:val="en-AU"/>
              </w:rPr>
              <w:t>(</w:t>
            </w:r>
            <w:r w:rsidRPr="00F354E7">
              <w:rPr>
                <w:lang w:val="en-AU"/>
              </w:rPr>
              <w:t>Chr</w:t>
            </w:r>
            <w:r>
              <w:rPr>
                <w:lang w:val="en-AU"/>
              </w:rPr>
              <w:t>istopher Yarnell, Robert Fowler)</w:t>
            </w:r>
          </w:p>
          <w:p w:rsidR="00F354E7" w:rsidRPr="00F354E7" w:rsidRDefault="00F354E7" w:rsidP="00F354E7">
            <w:pPr>
              <w:numPr>
                <w:ilvl w:val="0"/>
                <w:numId w:val="32"/>
              </w:numPr>
              <w:rPr>
                <w:lang w:val="en-AU"/>
              </w:rPr>
            </w:pPr>
            <w:r w:rsidRPr="00F354E7">
              <w:rPr>
                <w:lang w:val="en-AU"/>
              </w:rPr>
              <w:t xml:space="preserve">Editorial: </w:t>
            </w:r>
            <w:r w:rsidRPr="00F354E7">
              <w:rPr>
                <w:b/>
                <w:lang w:val="en-AU"/>
              </w:rPr>
              <w:t>Safety climate strength</w:t>
            </w:r>
            <w:r w:rsidRPr="00F354E7">
              <w:rPr>
                <w:lang w:val="en-AU"/>
              </w:rPr>
              <w:t xml:space="preserve">: a promising construct for safety research and practice </w:t>
            </w:r>
            <w:r w:rsidRPr="00F354E7">
              <w:rPr>
                <w:lang w:val="en-AU"/>
              </w:rPr>
              <w:t>(</w:t>
            </w:r>
            <w:r>
              <w:rPr>
                <w:lang w:val="en-AU"/>
              </w:rPr>
              <w:t>Timothy J Vogus)</w:t>
            </w:r>
          </w:p>
          <w:p w:rsidR="00F354E7" w:rsidRPr="00F354E7" w:rsidRDefault="00F354E7" w:rsidP="00F354E7">
            <w:pPr>
              <w:numPr>
                <w:ilvl w:val="0"/>
                <w:numId w:val="32"/>
              </w:numPr>
              <w:rPr>
                <w:lang w:val="en-AU"/>
              </w:rPr>
            </w:pPr>
            <w:r w:rsidRPr="00F354E7">
              <w:rPr>
                <w:lang w:val="en-AU"/>
              </w:rPr>
              <w:t xml:space="preserve">Editorial: Should doctors be able to </w:t>
            </w:r>
            <w:r w:rsidRPr="00F354E7">
              <w:rPr>
                <w:b/>
                <w:lang w:val="en-AU"/>
              </w:rPr>
              <w:t>exclude patients from pay-for-performance schemes</w:t>
            </w:r>
            <w:r w:rsidRPr="00F354E7">
              <w:rPr>
                <w:lang w:val="en-AU"/>
              </w:rPr>
              <w:t xml:space="preserve">? </w:t>
            </w:r>
            <w:r w:rsidRPr="00F354E7">
              <w:rPr>
                <w:lang w:val="en-AU"/>
              </w:rPr>
              <w:t>(</w:t>
            </w:r>
            <w:r>
              <w:rPr>
                <w:lang w:val="en-AU"/>
              </w:rPr>
              <w:t>Martin Roland)</w:t>
            </w:r>
          </w:p>
          <w:p w:rsidR="00F354E7" w:rsidRPr="00F354E7" w:rsidRDefault="00F354E7" w:rsidP="00F354E7">
            <w:pPr>
              <w:numPr>
                <w:ilvl w:val="0"/>
                <w:numId w:val="32"/>
              </w:numPr>
              <w:rPr>
                <w:lang w:val="en-AU"/>
              </w:rPr>
            </w:pPr>
            <w:r w:rsidRPr="00F354E7">
              <w:rPr>
                <w:lang w:val="en-AU"/>
              </w:rPr>
              <w:t xml:space="preserve">Associations between exemption and survival outcomes in the UK's </w:t>
            </w:r>
            <w:r w:rsidRPr="00F354E7">
              <w:rPr>
                <w:b/>
                <w:lang w:val="en-AU"/>
              </w:rPr>
              <w:t>primary care pay-for-performance</w:t>
            </w:r>
            <w:r w:rsidRPr="00F354E7">
              <w:rPr>
                <w:lang w:val="en-AU"/>
              </w:rPr>
              <w:t xml:space="preserve"> programme</w:t>
            </w:r>
            <w:r w:rsidRPr="00F354E7">
              <w:rPr>
                <w:lang w:val="en-AU"/>
              </w:rPr>
              <w:t>: a retrospective cohort study (</w:t>
            </w:r>
            <w:r w:rsidRPr="00F354E7">
              <w:rPr>
                <w:lang w:val="en-AU"/>
              </w:rPr>
              <w:t>Evangelos Kontopantelis, David A Springate, Darren M Ashcroft, Jose M Valderas, Sabine N van der Veer, D R</w:t>
            </w:r>
            <w:r>
              <w:rPr>
                <w:lang w:val="en-AU"/>
              </w:rPr>
              <w:t>eeves, B Guthrie, T Doran)</w:t>
            </w:r>
          </w:p>
          <w:p w:rsidR="00F354E7" w:rsidRPr="00F354E7" w:rsidRDefault="00F354E7" w:rsidP="00F354E7">
            <w:pPr>
              <w:numPr>
                <w:ilvl w:val="0"/>
                <w:numId w:val="32"/>
              </w:numPr>
              <w:rPr>
                <w:lang w:val="en-AU"/>
              </w:rPr>
            </w:pPr>
            <w:r w:rsidRPr="00F354E7">
              <w:rPr>
                <w:lang w:val="en-AU"/>
              </w:rPr>
              <w:t xml:space="preserve">The prevalence of </w:t>
            </w:r>
            <w:r w:rsidRPr="00F354E7">
              <w:rPr>
                <w:b/>
                <w:lang w:val="en-AU"/>
              </w:rPr>
              <w:t xml:space="preserve">medical error </w:t>
            </w:r>
            <w:r w:rsidRPr="00F354E7">
              <w:rPr>
                <w:lang w:val="en-AU"/>
              </w:rPr>
              <w:t>related to</w:t>
            </w:r>
            <w:r w:rsidRPr="00F354E7">
              <w:rPr>
                <w:b/>
                <w:lang w:val="en-AU"/>
              </w:rPr>
              <w:t xml:space="preserve"> end-of-life communication</w:t>
            </w:r>
            <w:r w:rsidRPr="00F354E7">
              <w:rPr>
                <w:lang w:val="en-AU"/>
              </w:rPr>
              <w:t xml:space="preserve"> in Canadian hospitals: results of a multicentre observational study </w:t>
            </w:r>
            <w:r w:rsidRPr="00F354E7">
              <w:rPr>
                <w:lang w:val="en-AU"/>
              </w:rPr>
              <w:t>(</w:t>
            </w:r>
            <w:r w:rsidRPr="00F354E7">
              <w:rPr>
                <w:lang w:val="en-AU"/>
              </w:rPr>
              <w:t>Daren K Heyland, Roy Ilan, Xuran</w:t>
            </w:r>
            <w:r>
              <w:rPr>
                <w:lang w:val="en-AU"/>
              </w:rPr>
              <w:t xml:space="preserve"> Jiang, John J You, Peter Dodek)</w:t>
            </w:r>
          </w:p>
          <w:p w:rsidR="00F354E7" w:rsidRPr="00F354E7" w:rsidRDefault="00F354E7" w:rsidP="00F354E7">
            <w:pPr>
              <w:numPr>
                <w:ilvl w:val="0"/>
                <w:numId w:val="32"/>
              </w:numPr>
              <w:rPr>
                <w:lang w:val="en-AU"/>
              </w:rPr>
            </w:pPr>
            <w:r w:rsidRPr="00F354E7">
              <w:rPr>
                <w:b/>
                <w:lang w:val="en-AU"/>
              </w:rPr>
              <w:t>Patient safety climate strength</w:t>
            </w:r>
            <w:r w:rsidRPr="00F354E7">
              <w:rPr>
                <w:lang w:val="en-AU"/>
              </w:rPr>
              <w:t>: a concep</w:t>
            </w:r>
            <w:r w:rsidRPr="00F354E7">
              <w:rPr>
                <w:lang w:val="en-AU"/>
              </w:rPr>
              <w:t>t that requires more attention (</w:t>
            </w:r>
            <w:r w:rsidRPr="00F354E7">
              <w:rPr>
                <w:lang w:val="en-AU"/>
              </w:rPr>
              <w:t>L</w:t>
            </w:r>
            <w:r>
              <w:rPr>
                <w:lang w:val="en-AU"/>
              </w:rPr>
              <w:t>iane Ginsburg, Debra Gilin Oore)</w:t>
            </w:r>
          </w:p>
          <w:p w:rsidR="00F354E7" w:rsidRPr="00F354E7" w:rsidRDefault="00F354E7" w:rsidP="00F354E7">
            <w:pPr>
              <w:numPr>
                <w:ilvl w:val="0"/>
                <w:numId w:val="32"/>
              </w:numPr>
              <w:rPr>
                <w:lang w:val="en-AU"/>
              </w:rPr>
            </w:pPr>
            <w:r w:rsidRPr="00F354E7">
              <w:rPr>
                <w:lang w:val="en-AU"/>
              </w:rPr>
              <w:t xml:space="preserve">A mixed-methods investigation of health professionals’ perceptions of a </w:t>
            </w:r>
            <w:r w:rsidRPr="00F354E7">
              <w:rPr>
                <w:b/>
                <w:lang w:val="en-AU"/>
              </w:rPr>
              <w:t>physiological track and trigger system</w:t>
            </w:r>
            <w:r w:rsidRPr="00F354E7">
              <w:rPr>
                <w:lang w:val="en-AU"/>
              </w:rPr>
              <w:t xml:space="preserve"> </w:t>
            </w:r>
            <w:r w:rsidRPr="00F354E7">
              <w:rPr>
                <w:lang w:val="en-AU"/>
              </w:rPr>
              <w:t>(</w:t>
            </w:r>
            <w:r w:rsidRPr="00F354E7">
              <w:rPr>
                <w:lang w:val="en-AU"/>
              </w:rPr>
              <w:t>Sinéad Lydon, Dara Byrne, Gozie Offiah, Louise Gleeson, Paul O'Connor</w:t>
            </w:r>
            <w:r>
              <w:rPr>
                <w:lang w:val="en-AU"/>
              </w:rPr>
              <w:t>)</w:t>
            </w:r>
          </w:p>
          <w:p w:rsidR="00F354E7" w:rsidRPr="00F354E7" w:rsidRDefault="00F354E7" w:rsidP="00F354E7">
            <w:pPr>
              <w:numPr>
                <w:ilvl w:val="0"/>
                <w:numId w:val="32"/>
              </w:numPr>
              <w:rPr>
                <w:lang w:val="en-AU"/>
              </w:rPr>
            </w:pPr>
            <w:r w:rsidRPr="00F354E7">
              <w:rPr>
                <w:lang w:val="en-AU"/>
              </w:rPr>
              <w:t xml:space="preserve">Do </w:t>
            </w:r>
            <w:r w:rsidRPr="00027144">
              <w:rPr>
                <w:b/>
                <w:lang w:val="en-AU"/>
              </w:rPr>
              <w:t>patients with gastrointestinal cancer</w:t>
            </w:r>
            <w:r w:rsidRPr="00F354E7">
              <w:rPr>
                <w:lang w:val="en-AU"/>
              </w:rPr>
              <w:t xml:space="preserve"> want to decide where they have tests and surgery? A questionnaire study of provider choice </w:t>
            </w:r>
            <w:r w:rsidRPr="00F354E7">
              <w:rPr>
                <w:lang w:val="en-AU"/>
              </w:rPr>
              <w:t>(</w:t>
            </w:r>
            <w:r w:rsidRPr="00F354E7">
              <w:rPr>
                <w:lang w:val="en-AU"/>
              </w:rPr>
              <w:t>Ben E Byrn</w:t>
            </w:r>
            <w:r>
              <w:rPr>
                <w:lang w:val="en-AU"/>
              </w:rPr>
              <w:t>e, Omar D Faiz, Charles Vincent)</w:t>
            </w:r>
          </w:p>
          <w:p w:rsidR="00F354E7" w:rsidRPr="00F354E7" w:rsidRDefault="00F354E7" w:rsidP="00F354E7">
            <w:pPr>
              <w:numPr>
                <w:ilvl w:val="0"/>
                <w:numId w:val="32"/>
              </w:numPr>
              <w:rPr>
                <w:lang w:val="en-AU"/>
              </w:rPr>
            </w:pPr>
            <w:r w:rsidRPr="00F354E7">
              <w:rPr>
                <w:lang w:val="en-AU"/>
              </w:rPr>
              <w:t xml:space="preserve">Underlying risk factors for </w:t>
            </w:r>
            <w:r w:rsidRPr="00027144">
              <w:rPr>
                <w:b/>
                <w:lang w:val="en-AU"/>
              </w:rPr>
              <w:t>prescribing errors in long-term aged care</w:t>
            </w:r>
            <w:r w:rsidRPr="00F354E7">
              <w:rPr>
                <w:lang w:val="en-AU"/>
              </w:rPr>
              <w:t xml:space="preserve">: a qualitative study </w:t>
            </w:r>
            <w:r w:rsidRPr="00F354E7">
              <w:rPr>
                <w:lang w:val="en-AU"/>
              </w:rPr>
              <w:t>(</w:t>
            </w:r>
            <w:r w:rsidRPr="00F354E7">
              <w:rPr>
                <w:lang w:val="en-AU"/>
              </w:rPr>
              <w:t>Amina Tariq, Andrew Georgiou, Magdalena Raban, Melissa The</w:t>
            </w:r>
            <w:r>
              <w:rPr>
                <w:lang w:val="en-AU"/>
              </w:rPr>
              <w:t>rese Baysari, Johanna Westbrook)</w:t>
            </w:r>
          </w:p>
          <w:p w:rsidR="00F354E7" w:rsidRPr="00F354E7" w:rsidRDefault="00F354E7" w:rsidP="00F354E7">
            <w:pPr>
              <w:numPr>
                <w:ilvl w:val="0"/>
                <w:numId w:val="32"/>
              </w:numPr>
              <w:rPr>
                <w:lang w:val="en-AU"/>
              </w:rPr>
            </w:pPr>
            <w:r w:rsidRPr="00F354E7">
              <w:rPr>
                <w:lang w:val="en-AU"/>
              </w:rPr>
              <w:t xml:space="preserve">Beyond clinical engagement: a pragmatic model for </w:t>
            </w:r>
            <w:r w:rsidRPr="00027144">
              <w:rPr>
                <w:b/>
                <w:lang w:val="en-AU"/>
              </w:rPr>
              <w:t>quality improvement interventions</w:t>
            </w:r>
            <w:r w:rsidRPr="00F354E7">
              <w:rPr>
                <w:lang w:val="en-AU"/>
              </w:rPr>
              <w:t>, aligning clin</w:t>
            </w:r>
            <w:r w:rsidRPr="00F354E7">
              <w:rPr>
                <w:lang w:val="en-AU"/>
              </w:rPr>
              <w:t>ical and managerial priorities (</w:t>
            </w:r>
            <w:r w:rsidRPr="00F354E7">
              <w:rPr>
                <w:lang w:val="en-AU"/>
              </w:rPr>
              <w:t>Samuel Pannick, N</w:t>
            </w:r>
            <w:r>
              <w:rPr>
                <w:lang w:val="en-AU"/>
              </w:rPr>
              <w:t>ick Sevdalis, Thanos Athanasiou)</w:t>
            </w:r>
          </w:p>
          <w:p w:rsidR="00F354E7" w:rsidRPr="00F354E7" w:rsidRDefault="00F354E7" w:rsidP="00F354E7">
            <w:pPr>
              <w:numPr>
                <w:ilvl w:val="0"/>
                <w:numId w:val="32"/>
              </w:numPr>
              <w:rPr>
                <w:lang w:val="en-AU"/>
              </w:rPr>
            </w:pPr>
            <w:r w:rsidRPr="00F354E7">
              <w:rPr>
                <w:lang w:val="en-AU"/>
              </w:rPr>
              <w:t xml:space="preserve">The problem with </w:t>
            </w:r>
            <w:r w:rsidRPr="00027144">
              <w:rPr>
                <w:b/>
                <w:lang w:val="en-AU"/>
              </w:rPr>
              <w:t>medication reconciliation</w:t>
            </w:r>
            <w:r w:rsidRPr="00F354E7">
              <w:rPr>
                <w:lang w:val="en-AU"/>
              </w:rPr>
              <w:t xml:space="preserve"> </w:t>
            </w:r>
            <w:r w:rsidRPr="00F354E7">
              <w:rPr>
                <w:lang w:val="en-AU"/>
              </w:rPr>
              <w:t>(</w:t>
            </w:r>
            <w:r w:rsidRPr="00F354E7">
              <w:rPr>
                <w:lang w:val="en-AU"/>
              </w:rPr>
              <w:t xml:space="preserve">Joshua M Pevnick, </w:t>
            </w:r>
            <w:r>
              <w:rPr>
                <w:lang w:val="en-AU"/>
              </w:rPr>
              <w:t>Rita Shane, Jeffrey L Schnipper)</w:t>
            </w:r>
          </w:p>
          <w:p w:rsidR="00F354E7" w:rsidRPr="0091691E" w:rsidRDefault="00F354E7" w:rsidP="00F354E7">
            <w:pPr>
              <w:numPr>
                <w:ilvl w:val="0"/>
                <w:numId w:val="32"/>
              </w:numPr>
              <w:rPr>
                <w:lang w:val="en-AU"/>
              </w:rPr>
            </w:pPr>
            <w:r w:rsidRPr="00F354E7">
              <w:rPr>
                <w:lang w:val="en-AU"/>
              </w:rPr>
              <w:t xml:space="preserve">Why ‘Universal Precautions’ are needed for </w:t>
            </w:r>
            <w:r w:rsidRPr="00027144">
              <w:rPr>
                <w:b/>
                <w:lang w:val="en-AU"/>
              </w:rPr>
              <w:t>medication lists</w:t>
            </w:r>
            <w:r w:rsidRPr="00F354E7">
              <w:rPr>
                <w:lang w:val="en-AU"/>
              </w:rPr>
              <w:t xml:space="preserve"> </w:t>
            </w:r>
            <w:r>
              <w:rPr>
                <w:lang w:val="en-AU"/>
              </w:rPr>
              <w:t>(</w:t>
            </w:r>
            <w:r w:rsidRPr="00F354E7">
              <w:rPr>
                <w:lang w:val="en-AU"/>
              </w:rPr>
              <w:t>Rita Shane</w:t>
            </w:r>
            <w:r>
              <w:rPr>
                <w:lang w:val="en-AU"/>
              </w:rPr>
              <w:t>)</w:t>
            </w:r>
          </w:p>
        </w:tc>
      </w:tr>
    </w:tbl>
    <w:p w:rsidR="00F354E7" w:rsidRDefault="00F354E7" w:rsidP="00B1581E">
      <w:pPr>
        <w:rPr>
          <w:lang w:val="en-AU"/>
        </w:rPr>
      </w:pPr>
    </w:p>
    <w:p w:rsidR="00BD3A75" w:rsidRDefault="00BD3A75" w:rsidP="00B1581E">
      <w:pPr>
        <w:rPr>
          <w:lang w:val="en-AU"/>
        </w:rPr>
      </w:pPr>
    </w:p>
    <w:p w:rsidR="00650ACA" w:rsidRPr="00016A17" w:rsidRDefault="00016A17" w:rsidP="00650ACA">
      <w:pPr>
        <w:keepNext/>
        <w:keepLines/>
        <w:autoSpaceDE w:val="0"/>
        <w:autoSpaceDN w:val="0"/>
        <w:adjustRightInd w:val="0"/>
        <w:rPr>
          <w:i/>
          <w:lang w:val="en-AU"/>
        </w:rPr>
      </w:pPr>
      <w:r w:rsidRPr="00016A17">
        <w:rPr>
          <w:i/>
          <w:lang w:val="en-AU"/>
        </w:rPr>
        <w:t>Seminars in Dialysis</w:t>
      </w:r>
    </w:p>
    <w:p w:rsidR="00016A17" w:rsidRPr="00016A17" w:rsidRDefault="00016A17" w:rsidP="00016A17">
      <w:pPr>
        <w:keepNext/>
        <w:keepLines/>
        <w:autoSpaceDE w:val="0"/>
        <w:autoSpaceDN w:val="0"/>
        <w:adjustRightInd w:val="0"/>
        <w:rPr>
          <w:lang w:val="en-AU"/>
        </w:rPr>
      </w:pPr>
      <w:r w:rsidRPr="00016A17">
        <w:rPr>
          <w:lang w:val="en-AU"/>
        </w:rPr>
        <w:t>July–August 2016</w:t>
      </w:r>
    </w:p>
    <w:p w:rsidR="00016A17" w:rsidRPr="00016A17" w:rsidRDefault="00016A17" w:rsidP="00016A17">
      <w:pPr>
        <w:keepNext/>
        <w:keepLines/>
        <w:autoSpaceDE w:val="0"/>
        <w:autoSpaceDN w:val="0"/>
        <w:adjustRightInd w:val="0"/>
        <w:rPr>
          <w:lang w:val="en-AU"/>
        </w:rPr>
      </w:pPr>
      <w:r w:rsidRPr="00016A17">
        <w:rPr>
          <w:lang w:val="en-AU"/>
        </w:rPr>
        <w:t>Volume 29, Issue 4</w:t>
      </w:r>
    </w:p>
    <w:tbl>
      <w:tblPr>
        <w:tblStyle w:val="TableGrid"/>
        <w:tblW w:w="0" w:type="auto"/>
        <w:tblInd w:w="288" w:type="dxa"/>
        <w:tblLayout w:type="fixed"/>
        <w:tblLook w:val="01E0" w:firstRow="1" w:lastRow="1" w:firstColumn="1" w:lastColumn="1" w:noHBand="0" w:noVBand="0"/>
      </w:tblPr>
      <w:tblGrid>
        <w:gridCol w:w="1080"/>
        <w:gridCol w:w="8280"/>
      </w:tblGrid>
      <w:tr w:rsidR="00650ACA" w:rsidRPr="00255EF8"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5B6694" w:rsidRDefault="00016A17" w:rsidP="00DC162F">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Pr="004B7AA3" w:rsidRDefault="003A5217" w:rsidP="00DC162F">
            <w:pPr>
              <w:rPr>
                <w:rStyle w:val="Hyperlink"/>
                <w:color w:val="auto"/>
                <w:u w:val="none"/>
              </w:rPr>
            </w:pPr>
            <w:hyperlink r:id="rId26" w:history="1">
              <w:r w:rsidR="00016A17" w:rsidRPr="00313AA7">
                <w:rPr>
                  <w:rStyle w:val="Hyperlink"/>
                </w:rPr>
                <w:t>http://onlinelibrary.wiley.com/doi/10.1111/sdi.2016.29.issue-4/issuetoc</w:t>
              </w:r>
            </w:hyperlink>
          </w:p>
        </w:tc>
      </w:tr>
      <w:tr w:rsidR="00650ACA" w:rsidRPr="004147BB"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255EF8" w:rsidRDefault="00650ACA" w:rsidP="00DC16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Default="00016A17" w:rsidP="00DC162F">
            <w:pPr>
              <w:rPr>
                <w:lang w:val="en-AU" w:eastAsia="en-AU"/>
              </w:rPr>
            </w:pPr>
            <w:r>
              <w:rPr>
                <w:lang w:val="en-AU" w:eastAsia="en-AU"/>
              </w:rPr>
              <w:t xml:space="preserve">This special issue of </w:t>
            </w:r>
            <w:r w:rsidRPr="00016A17">
              <w:rPr>
                <w:i/>
                <w:lang w:val="en-AU"/>
              </w:rPr>
              <w:t>Seminars in Dialysis</w:t>
            </w:r>
            <w:r>
              <w:rPr>
                <w:lang w:val="en-AU" w:eastAsia="en-AU"/>
              </w:rPr>
              <w:t xml:space="preserve"> has the theme ‘</w:t>
            </w:r>
            <w:r w:rsidRPr="00016A17">
              <w:rPr>
                <w:lang w:val="en-AU" w:eastAsia="en-AU"/>
              </w:rPr>
              <w:t>Mistakes We Make in Dialysis</w:t>
            </w:r>
            <w:r>
              <w:rPr>
                <w:lang w:val="en-AU" w:eastAsia="en-AU"/>
              </w:rPr>
              <w:t>’. Articles in this issue include:</w:t>
            </w:r>
          </w:p>
          <w:p w:rsidR="00016A17" w:rsidRPr="00016A17" w:rsidRDefault="00016A17" w:rsidP="00016A17">
            <w:pPr>
              <w:pStyle w:val="ListParagraph"/>
              <w:numPr>
                <w:ilvl w:val="0"/>
                <w:numId w:val="49"/>
              </w:numPr>
              <w:rPr>
                <w:lang w:val="en-AU" w:eastAsia="en-AU"/>
              </w:rPr>
            </w:pPr>
            <w:r w:rsidRPr="00016A17">
              <w:rPr>
                <w:b/>
                <w:lang w:val="en-AU" w:eastAsia="en-AU"/>
              </w:rPr>
              <w:t>Mistakes We Make in Dialysis</w:t>
            </w:r>
            <w:r w:rsidRPr="00016A17">
              <w:rPr>
                <w:lang w:val="en-AU" w:eastAsia="en-AU"/>
              </w:rPr>
              <w:t>: An Introduction (Roger A Rodby and Mark A Perazella</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Use </w:t>
            </w:r>
            <w:r w:rsidRPr="00016A17">
              <w:rPr>
                <w:b/>
                <w:lang w:val="en-AU" w:eastAsia="en-AU"/>
              </w:rPr>
              <w:t>Kt/V Urea as a Measure of Adequacy</w:t>
            </w:r>
            <w:r w:rsidRPr="00016A17">
              <w:rPr>
                <w:lang w:val="en-AU" w:eastAsia="en-AU"/>
              </w:rPr>
              <w:t xml:space="preserve"> of Peritoneal Dialysis (Joanne M Bargman</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Use Permcaths</w:t>
            </w:r>
            <w:r w:rsidRPr="00016A17">
              <w:rPr>
                <w:lang w:val="en-AU" w:eastAsia="en-AU"/>
              </w:rPr>
              <w:t xml:space="preserve"> Instead of Peritoneal Catheters for Acute Kidney Injury and Urgent-Start Dialysis (</w:t>
            </w:r>
            <w:r>
              <w:rPr>
                <w:lang w:val="en-AU" w:eastAsia="en-AU"/>
              </w:rPr>
              <w:t>Daniel Dean and Dinna N</w:t>
            </w:r>
            <w:r w:rsidRPr="00016A17">
              <w:rPr>
                <w:lang w:val="en-AU" w:eastAsia="en-AU"/>
              </w:rPr>
              <w:t xml:space="preserve"> Cruz</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lastRenderedPageBreak/>
              <w:t xml:space="preserve">We </w:t>
            </w:r>
            <w:r w:rsidRPr="00016A17">
              <w:rPr>
                <w:b/>
                <w:lang w:val="en-AU" w:eastAsia="en-AU"/>
              </w:rPr>
              <w:t>Use Bioincompatible Peritoneal Dialysis Solutions</w:t>
            </w:r>
            <w:r w:rsidRPr="00016A17">
              <w:rPr>
                <w:lang w:val="en-AU" w:eastAsia="en-AU"/>
              </w:rPr>
              <w:t xml:space="preserve"> (Laura Troidle, Joni Hansson, Peter Juergensen and Fredric O Finkelstein</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Avoid RAAS Inhibitors</w:t>
            </w:r>
            <w:r w:rsidRPr="00016A17">
              <w:rPr>
                <w:lang w:val="en-AU" w:eastAsia="en-AU"/>
              </w:rPr>
              <w:t xml:space="preserve"> in PD Patients with Residual Renal Function (Jeffrey M Turner</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Restrict CRRT</w:t>
            </w:r>
            <w:r w:rsidRPr="00016A17">
              <w:rPr>
                <w:lang w:val="en-AU" w:eastAsia="en-AU"/>
              </w:rPr>
              <w:t xml:space="preserve"> to Only the Most Hemodynamically Unstable Patients (Kianoush Kashani and Ravindra L Mehta</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Use Heparin</w:t>
            </w:r>
            <w:r w:rsidRPr="00016A17">
              <w:rPr>
                <w:lang w:val="en-AU" w:eastAsia="en-AU"/>
              </w:rPr>
              <w:t xml:space="preserve"> as the Anticoagulant for CRRT (Nithin Karakala and Ashita Tolwani</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use Continuous Renal Replacement Therapy</w:t>
            </w:r>
            <w:r w:rsidRPr="00016A17">
              <w:rPr>
                <w:lang w:val="en-AU" w:eastAsia="en-AU"/>
              </w:rPr>
              <w:t xml:space="preserve"> for Overdoses and Intoxications (Valer</w:t>
            </w:r>
            <w:r>
              <w:rPr>
                <w:lang w:val="en-AU" w:eastAsia="en-AU"/>
              </w:rPr>
              <w:t>ie Jorge Cabrera and Anushree C</w:t>
            </w:r>
            <w:r w:rsidRPr="00016A17">
              <w:rPr>
                <w:lang w:val="en-AU" w:eastAsia="en-AU"/>
              </w:rPr>
              <w:t xml:space="preserve"> Shirali</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Underdose Antibiotics</w:t>
            </w:r>
            <w:r w:rsidRPr="00016A17">
              <w:rPr>
                <w:lang w:val="en-AU" w:eastAsia="en-AU"/>
              </w:rPr>
              <w:t xml:space="preserve"> in Patients on CRRT (Alexander R Shaw, Weerachai Chaijamorn and Bruce A Mueller</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Underutilize the Leg Graft</w:t>
            </w:r>
            <w:r w:rsidRPr="00016A17">
              <w:rPr>
                <w:lang w:val="en-AU" w:eastAsia="en-AU"/>
              </w:rPr>
              <w:t xml:space="preserve"> (Michael Allon</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Refuse to Give up on </w:t>
            </w:r>
            <w:r w:rsidRPr="00016A17">
              <w:rPr>
                <w:b/>
                <w:lang w:val="en-AU" w:eastAsia="en-AU"/>
              </w:rPr>
              <w:t>Nonmaturing Fistulas</w:t>
            </w:r>
            <w:r w:rsidRPr="00016A17">
              <w:rPr>
                <w:lang w:val="en-AU" w:eastAsia="en-AU"/>
              </w:rPr>
              <w:t xml:space="preserve"> (Gerald A Beathard</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Perform </w:t>
            </w:r>
            <w:r w:rsidRPr="00016A17">
              <w:rPr>
                <w:b/>
                <w:lang w:val="en-AU" w:eastAsia="en-AU"/>
              </w:rPr>
              <w:t>Surveillance for Arteriovenous Graft Stenosis</w:t>
            </w:r>
            <w:r w:rsidRPr="00016A17">
              <w:rPr>
                <w:lang w:val="en-AU" w:eastAsia="en-AU"/>
              </w:rPr>
              <w:t xml:space="preserve"> (William L Whittier</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Avoid Antibiotic Lock Solutions</w:t>
            </w:r>
            <w:r w:rsidRPr="00016A17">
              <w:rPr>
                <w:lang w:val="en-AU" w:eastAsia="en-AU"/>
              </w:rPr>
              <w:t xml:space="preserve"> due to Fear of Antibiotic Resistance (Namrata Krishnan</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Send </w:t>
            </w:r>
            <w:r w:rsidRPr="00016A17">
              <w:rPr>
                <w:b/>
                <w:lang w:val="en-AU" w:eastAsia="en-AU"/>
              </w:rPr>
              <w:t>Thrombosed AV Accesses</w:t>
            </w:r>
            <w:r w:rsidRPr="00016A17">
              <w:rPr>
                <w:lang w:val="en-AU" w:eastAsia="en-AU"/>
              </w:rPr>
              <w:t xml:space="preserve"> to the Operating Room (Valerie Jorge Cabrera and Ursula C Brewster</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Lower Blood Flow</w:t>
            </w:r>
            <w:r w:rsidRPr="00016A17">
              <w:rPr>
                <w:lang w:val="en-AU" w:eastAsia="en-AU"/>
              </w:rPr>
              <w:t xml:space="preserve"> for Intradialytic Hypotension (Richard A Sherman</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Use Impure Water</w:t>
            </w:r>
            <w:r w:rsidRPr="00016A17">
              <w:rPr>
                <w:lang w:val="en-AU" w:eastAsia="en-AU"/>
              </w:rPr>
              <w:t xml:space="preserve"> to Make Dialysate for Hemodialysis (Ashish Upadhyay and Bertrand L Jaber</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Use Dialysate Potassium Levels That Are Too Low</w:t>
            </w:r>
            <w:r w:rsidRPr="00016A17">
              <w:rPr>
                <w:lang w:val="en-AU" w:eastAsia="en-AU"/>
              </w:rPr>
              <w:t xml:space="preserve"> in Hemodialysis (</w:t>
            </w:r>
            <w:r>
              <w:rPr>
                <w:lang w:val="en-AU" w:eastAsia="en-AU"/>
              </w:rPr>
              <w:t>Bryan Tucker and Dennis G</w:t>
            </w:r>
            <w:r w:rsidRPr="00016A17">
              <w:rPr>
                <w:lang w:val="en-AU" w:eastAsia="en-AU"/>
              </w:rPr>
              <w:t xml:space="preserve"> Moledina</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Underdialyze Women</w:t>
            </w:r>
            <w:r w:rsidRPr="00016A17">
              <w:rPr>
                <w:lang w:val="en-AU" w:eastAsia="en-AU"/>
              </w:rPr>
              <w:t xml:space="preserve"> and Smaller Patients (John T Daugirdas</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Offer Renal Replacement Therapy</w:t>
            </w:r>
            <w:r w:rsidRPr="00016A17">
              <w:rPr>
                <w:lang w:val="en-AU" w:eastAsia="en-AU"/>
              </w:rPr>
              <w:t xml:space="preserve"> to Patients Who Are Not Benefitted by It (Jean L Holley</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Give </w:t>
            </w:r>
            <w:r w:rsidRPr="00016A17">
              <w:rPr>
                <w:b/>
                <w:lang w:val="en-AU" w:eastAsia="en-AU"/>
              </w:rPr>
              <w:t>Too Much Intravenous Iron</w:t>
            </w:r>
            <w:r w:rsidRPr="00016A17">
              <w:rPr>
                <w:lang w:val="en-AU" w:eastAsia="en-AU"/>
              </w:rPr>
              <w:t xml:space="preserve"> (Jamie P Dwyer</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Do </w:t>
            </w:r>
            <w:r w:rsidRPr="00016A17">
              <w:rPr>
                <w:b/>
                <w:lang w:val="en-AU" w:eastAsia="en-AU"/>
              </w:rPr>
              <w:t>Too Many Parathyroidectomies</w:t>
            </w:r>
            <w:r w:rsidRPr="00016A17">
              <w:rPr>
                <w:lang w:val="en-AU" w:eastAsia="en-AU"/>
              </w:rPr>
              <w:t xml:space="preserve"> for Calciphylaxis (Sagar U Nigwekar and Stuart M Sprague</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Give Aminoglycoside Antibiotics</w:t>
            </w:r>
            <w:r w:rsidRPr="00016A17">
              <w:rPr>
                <w:lang w:val="en-AU" w:eastAsia="en-AU"/>
              </w:rPr>
              <w:t xml:space="preserve"> at the End of Hemodialysis (Rachel Eyler</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Wait Too Long</w:t>
            </w:r>
            <w:r w:rsidRPr="00016A17">
              <w:rPr>
                <w:lang w:val="en-AU" w:eastAsia="en-AU"/>
              </w:rPr>
              <w:t xml:space="preserve"> to Refer Patients for Transplantation (Vasil Peev</w:t>
            </w:r>
            <w:r>
              <w:rPr>
                <w:lang w:val="en-AU" w:eastAsia="en-AU"/>
              </w:rPr>
              <w:t>)</w:t>
            </w:r>
          </w:p>
          <w:p w:rsidR="00016A17" w:rsidRPr="00016A17" w:rsidRDefault="00016A17" w:rsidP="00016A17">
            <w:pPr>
              <w:pStyle w:val="ListParagraph"/>
              <w:numPr>
                <w:ilvl w:val="0"/>
                <w:numId w:val="49"/>
              </w:numPr>
              <w:rPr>
                <w:lang w:val="en-AU" w:eastAsia="en-AU"/>
              </w:rPr>
            </w:pPr>
            <w:r w:rsidRPr="00016A17">
              <w:rPr>
                <w:lang w:val="en-AU" w:eastAsia="en-AU"/>
              </w:rPr>
              <w:t xml:space="preserve">We </w:t>
            </w:r>
            <w:r w:rsidRPr="00016A17">
              <w:rPr>
                <w:b/>
                <w:lang w:val="en-AU" w:eastAsia="en-AU"/>
              </w:rPr>
              <w:t>Use Too Much Vitamin D</w:t>
            </w:r>
            <w:r w:rsidRPr="00016A17">
              <w:rPr>
                <w:lang w:val="en-AU" w:eastAsia="en-AU"/>
              </w:rPr>
              <w:t xml:space="preserve"> in Hemodialysis Patients (Robert F Reilly</w:t>
            </w:r>
            <w:r>
              <w:rPr>
                <w:lang w:val="en-AU" w:eastAsia="en-AU"/>
              </w:rPr>
              <w:t>)</w:t>
            </w:r>
          </w:p>
          <w:p w:rsidR="00016A17" w:rsidRPr="00016A17" w:rsidRDefault="00016A17" w:rsidP="00016A17">
            <w:pPr>
              <w:pStyle w:val="ListParagraph"/>
              <w:numPr>
                <w:ilvl w:val="0"/>
                <w:numId w:val="49"/>
              </w:numPr>
              <w:rPr>
                <w:lang w:val="en-AU" w:eastAsia="en-AU"/>
              </w:rPr>
            </w:pPr>
            <w:r w:rsidRPr="00016A17">
              <w:rPr>
                <w:b/>
                <w:lang w:val="en-AU" w:eastAsia="en-AU"/>
              </w:rPr>
              <w:t>Hold Antihypertensives</w:t>
            </w:r>
            <w:r w:rsidRPr="00016A17">
              <w:rPr>
                <w:lang w:val="en-AU" w:eastAsia="en-AU"/>
              </w:rPr>
              <w:t xml:space="preserve"> Prior To Dialysis (N</w:t>
            </w:r>
            <w:r>
              <w:rPr>
                <w:lang w:val="en-AU" w:eastAsia="en-AU"/>
              </w:rPr>
              <w:t>amrata Krishnan and Aldo J</w:t>
            </w:r>
            <w:r w:rsidRPr="00016A17">
              <w:rPr>
                <w:lang w:val="en-AU" w:eastAsia="en-AU"/>
              </w:rPr>
              <w:t xml:space="preserve"> Peixoto</w:t>
            </w:r>
            <w:r>
              <w:rPr>
                <w:lang w:val="en-AU" w:eastAsia="en-AU"/>
              </w:rPr>
              <w:t>)</w:t>
            </w:r>
          </w:p>
        </w:tc>
      </w:tr>
    </w:tbl>
    <w:p w:rsidR="00650ACA" w:rsidRDefault="00650ACA" w:rsidP="00650ACA">
      <w:pPr>
        <w:rPr>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3A5217" w:rsidP="00BE027C">
            <w:pPr>
              <w:keepNext/>
              <w:rPr>
                <w:lang w:val="en-AU"/>
              </w:rPr>
            </w:pPr>
            <w:hyperlink r:id="rId27"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3D04EA" w:rsidRDefault="00B7316D" w:rsidP="00B7316D">
            <w:pPr>
              <w:pStyle w:val="ListParagraph"/>
              <w:numPr>
                <w:ilvl w:val="0"/>
                <w:numId w:val="14"/>
              </w:numPr>
              <w:rPr>
                <w:lang w:val="en-AU"/>
              </w:rPr>
            </w:pPr>
            <w:r w:rsidRPr="00B7316D">
              <w:rPr>
                <w:lang w:val="en-AU"/>
              </w:rPr>
              <w:t xml:space="preserve">The global burden of </w:t>
            </w:r>
            <w:r w:rsidRPr="00B7316D">
              <w:rPr>
                <w:b/>
                <w:lang w:val="en-AU"/>
              </w:rPr>
              <w:t>diagnostic errors in primary care</w:t>
            </w:r>
            <w:r>
              <w:rPr>
                <w:lang w:val="en-AU"/>
              </w:rPr>
              <w:t xml:space="preserve"> (</w:t>
            </w:r>
            <w:r w:rsidRPr="00B7316D">
              <w:rPr>
                <w:lang w:val="en-AU"/>
              </w:rPr>
              <w:t>Hardeep Singh, Gordon D Schiff, Mark L Graber, Igho Onakpoya, Matthew J Thompso</w:t>
            </w:r>
            <w:r w:rsidR="0086209D">
              <w:rPr>
                <w:lang w:val="en-AU"/>
              </w:rPr>
              <w:t>n</w:t>
            </w:r>
            <w:r>
              <w:rPr>
                <w:lang w:val="en-AU"/>
              </w:rPr>
              <w:t>)</w:t>
            </w:r>
          </w:p>
          <w:p w:rsidR="0086209D" w:rsidRPr="00D755FC" w:rsidRDefault="0086209D" w:rsidP="0086209D">
            <w:pPr>
              <w:pStyle w:val="ListParagraph"/>
              <w:numPr>
                <w:ilvl w:val="0"/>
                <w:numId w:val="14"/>
              </w:numPr>
              <w:rPr>
                <w:lang w:val="en-AU"/>
              </w:rPr>
            </w:pPr>
            <w:r w:rsidRPr="0086209D">
              <w:rPr>
                <w:lang w:val="en-AU"/>
              </w:rPr>
              <w:t xml:space="preserve">Discerning quality: an analysis of </w:t>
            </w:r>
            <w:r w:rsidRPr="0086209D">
              <w:rPr>
                <w:b/>
                <w:lang w:val="en-AU"/>
              </w:rPr>
              <w:t>informed consent</w:t>
            </w:r>
            <w:r w:rsidRPr="0086209D">
              <w:rPr>
                <w:lang w:val="en-AU"/>
              </w:rPr>
              <w:t xml:space="preserve"> documents for common cardiovascular procedures</w:t>
            </w:r>
            <w:r>
              <w:rPr>
                <w:lang w:val="en-AU"/>
              </w:rPr>
              <w:t xml:space="preserve"> (</w:t>
            </w:r>
            <w:r w:rsidRPr="0086209D">
              <w:rPr>
                <w:lang w:val="en-AU"/>
              </w:rPr>
              <w:t>Andi Shahu, Jennifer Schwartz, Mallory Perez, Susannah M Bernheim, Harlan M Krumholz, Erica S Spatz</w:t>
            </w:r>
            <w:r>
              <w:rPr>
                <w:lang w:val="en-AU"/>
              </w:rPr>
              <w:t>)</w:t>
            </w:r>
          </w:p>
        </w:tc>
      </w:tr>
    </w:tbl>
    <w:p w:rsidR="00B02F6E" w:rsidRDefault="00B02F6E" w:rsidP="00B02F6E">
      <w:pPr>
        <w:keepLines/>
        <w:autoSpaceDE w:val="0"/>
        <w:autoSpaceDN w:val="0"/>
        <w:adjustRightInd w:val="0"/>
        <w:rPr>
          <w:lang w:val="en-AU"/>
        </w:rPr>
      </w:pPr>
    </w:p>
    <w:p w:rsidR="00852CA0" w:rsidRPr="002302EF" w:rsidRDefault="00852CA0" w:rsidP="00BD3A75">
      <w:pPr>
        <w:keepNext/>
        <w:rPr>
          <w:lang w:val="en-AU"/>
        </w:rPr>
      </w:pPr>
      <w:r w:rsidRPr="002302EF">
        <w:rPr>
          <w:i/>
          <w:lang w:val="en-AU"/>
        </w:rPr>
        <w:lastRenderedPageBreak/>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52CA0" w:rsidRPr="002302EF" w:rsidTr="00B67F4B">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BD3A75">
            <w:pPr>
              <w:keepNext/>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3A5217" w:rsidP="00BD3A75">
            <w:pPr>
              <w:keepNext/>
              <w:rPr>
                <w:lang w:val="en-AU"/>
              </w:rPr>
            </w:pPr>
            <w:hyperlink r:id="rId28" w:history="1">
              <w:r w:rsidR="00852CA0" w:rsidRPr="002302EF">
                <w:rPr>
                  <w:rStyle w:val="Hyperlink"/>
                  <w:lang w:val="en-AU"/>
                </w:rPr>
                <w:t>http://intqhc.oxfordjournals.org/content/early/recent?papetoc</w:t>
              </w:r>
            </w:hyperlink>
          </w:p>
        </w:tc>
      </w:tr>
      <w:tr w:rsidR="00852CA0" w:rsidRPr="002302EF" w:rsidTr="00B67F4B">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B67F4B">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Default="00852CA0" w:rsidP="00B67F4B">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E16946" w:rsidRPr="002302EF" w:rsidRDefault="006A0B70" w:rsidP="006A0B70">
            <w:pPr>
              <w:pStyle w:val="ListParagraph"/>
              <w:numPr>
                <w:ilvl w:val="0"/>
                <w:numId w:val="14"/>
              </w:numPr>
              <w:rPr>
                <w:lang w:val="en-AU"/>
              </w:rPr>
            </w:pPr>
            <w:r w:rsidRPr="006A0B70">
              <w:rPr>
                <w:lang w:val="en-AU"/>
              </w:rPr>
              <w:t xml:space="preserve">A multidisciplinary initiative to standardize </w:t>
            </w:r>
            <w:r w:rsidRPr="006A0B70">
              <w:rPr>
                <w:b/>
                <w:lang w:val="en-AU"/>
              </w:rPr>
              <w:t>intensive care to acute care transitions</w:t>
            </w:r>
            <w:r w:rsidRPr="006A0B70">
              <w:rPr>
                <w:lang w:val="en-AU"/>
              </w:rPr>
              <w:t xml:space="preserve"> </w:t>
            </w:r>
            <w:r>
              <w:rPr>
                <w:lang w:val="en-AU"/>
              </w:rPr>
              <w:t>(</w:t>
            </w:r>
            <w:r w:rsidRPr="006A0B70">
              <w:rPr>
                <w:lang w:val="en-AU"/>
              </w:rPr>
              <w:t>Stephanie Halvorson, Brian Wheeler, Marge Willis, Jennifer Watters, Jamie Eastman, Randy O'Donnell, Matthias Merkel</w:t>
            </w:r>
            <w:r>
              <w:rPr>
                <w:lang w:val="en-AU"/>
              </w:rPr>
              <w:t>)</w:t>
            </w:r>
          </w:p>
        </w:tc>
      </w:tr>
    </w:tbl>
    <w:p w:rsidR="008A725C" w:rsidRDefault="008A725C" w:rsidP="00122336">
      <w:pPr>
        <w:keepNext/>
        <w:rPr>
          <w:lang w:val="en-AU"/>
        </w:rPr>
      </w:pPr>
    </w:p>
    <w:p w:rsidR="008A725C" w:rsidRPr="008A725C" w:rsidRDefault="008A725C" w:rsidP="00122336">
      <w:pPr>
        <w:keepNext/>
        <w:rPr>
          <w:lang w:val="en-AU"/>
        </w:rPr>
      </w:pPr>
    </w:p>
    <w:p w:rsidR="00B02F6E" w:rsidRPr="002302EF" w:rsidRDefault="00B02F6E" w:rsidP="00122336">
      <w:pPr>
        <w:keepNext/>
        <w:rPr>
          <w:b/>
          <w:lang w:val="en-AU"/>
        </w:rPr>
      </w:pPr>
      <w:r w:rsidRPr="002302EF">
        <w:rPr>
          <w:b/>
          <w:lang w:val="en-AU"/>
        </w:rPr>
        <w:t>Online resources</w:t>
      </w:r>
    </w:p>
    <w:p w:rsidR="00312D50" w:rsidRDefault="00312D50" w:rsidP="00B52D0D">
      <w:pPr>
        <w:rPr>
          <w:lang w:val="en-AU"/>
        </w:rPr>
      </w:pPr>
    </w:p>
    <w:p w:rsidR="00104E85" w:rsidRPr="00FD1B9B" w:rsidRDefault="00104E85" w:rsidP="00104E85">
      <w:pPr>
        <w:keepNext/>
        <w:rPr>
          <w:i/>
          <w:lang w:val="en-AU"/>
        </w:rPr>
      </w:pPr>
      <w:r w:rsidRPr="00FD1B9B">
        <w:rPr>
          <w:i/>
          <w:lang w:val="en-AU"/>
        </w:rPr>
        <w:t>[USA] Appropriate Use of Medical Resources</w:t>
      </w:r>
      <w:r>
        <w:rPr>
          <w:i/>
          <w:lang w:val="en-AU"/>
        </w:rPr>
        <w:t xml:space="preserve"> Compendium</w:t>
      </w:r>
    </w:p>
    <w:p w:rsidR="00104E85" w:rsidRDefault="003A5217" w:rsidP="00104E85">
      <w:pPr>
        <w:keepNext/>
        <w:rPr>
          <w:lang w:val="en-AU"/>
        </w:rPr>
      </w:pPr>
      <w:hyperlink r:id="rId29" w:history="1">
        <w:r w:rsidR="00104E85" w:rsidRPr="00B54FA3">
          <w:rPr>
            <w:rStyle w:val="Hyperlink"/>
            <w:lang w:val="en-AU"/>
          </w:rPr>
          <w:t>http://www.ahaphysicianforum.org/resources/appropriate-use/index.shtml</w:t>
        </w:r>
      </w:hyperlink>
    </w:p>
    <w:p w:rsidR="00104E85" w:rsidRDefault="00104E85" w:rsidP="00104E85">
      <w:pPr>
        <w:rPr>
          <w:lang w:val="en-AU"/>
        </w:rPr>
      </w:pPr>
      <w:r w:rsidRPr="00FD1B9B">
        <w:rPr>
          <w:lang w:val="en-AU"/>
        </w:rPr>
        <w:t xml:space="preserve">The American Hospital Association’s Physician Leadership Forum </w:t>
      </w:r>
      <w:r>
        <w:rPr>
          <w:lang w:val="en-AU"/>
        </w:rPr>
        <w:t xml:space="preserve">has </w:t>
      </w:r>
      <w:r w:rsidRPr="00FD1B9B">
        <w:rPr>
          <w:lang w:val="en-AU"/>
        </w:rPr>
        <w:t xml:space="preserve">released a five-toolkit compendium to help facilities </w:t>
      </w:r>
      <w:r>
        <w:rPr>
          <w:lang w:val="en-AU"/>
        </w:rPr>
        <w:t xml:space="preserve">better understand the </w:t>
      </w:r>
      <w:r w:rsidRPr="00FD1B9B">
        <w:rPr>
          <w:lang w:val="en-AU"/>
        </w:rPr>
        <w:t xml:space="preserve">use of medical resources for the following procedures: </w:t>
      </w:r>
    </w:p>
    <w:p w:rsidR="00104E85" w:rsidRPr="00FD1B9B" w:rsidRDefault="00104E85" w:rsidP="00104E85">
      <w:pPr>
        <w:pStyle w:val="ListParagraph"/>
        <w:numPr>
          <w:ilvl w:val="0"/>
          <w:numId w:val="23"/>
        </w:numPr>
        <w:rPr>
          <w:b/>
          <w:lang w:val="en-AU"/>
        </w:rPr>
      </w:pPr>
      <w:r w:rsidRPr="00FD1B9B">
        <w:rPr>
          <w:b/>
          <w:lang w:val="en-AU"/>
        </w:rPr>
        <w:t>blood management</w:t>
      </w:r>
    </w:p>
    <w:p w:rsidR="00104E85" w:rsidRPr="00FD1B9B" w:rsidRDefault="00104E85" w:rsidP="00104E85">
      <w:pPr>
        <w:pStyle w:val="ListParagraph"/>
        <w:numPr>
          <w:ilvl w:val="0"/>
          <w:numId w:val="23"/>
        </w:numPr>
        <w:rPr>
          <w:b/>
          <w:lang w:val="en-AU"/>
        </w:rPr>
      </w:pPr>
      <w:r w:rsidRPr="00FD1B9B">
        <w:rPr>
          <w:b/>
          <w:lang w:val="en-AU"/>
        </w:rPr>
        <w:t>antimicrobial stewardship</w:t>
      </w:r>
    </w:p>
    <w:p w:rsidR="00104E85" w:rsidRPr="00FD1B9B" w:rsidRDefault="00104E85" w:rsidP="00104E85">
      <w:pPr>
        <w:pStyle w:val="ListParagraph"/>
        <w:numPr>
          <w:ilvl w:val="0"/>
          <w:numId w:val="23"/>
        </w:numPr>
        <w:rPr>
          <w:b/>
          <w:lang w:val="en-AU"/>
        </w:rPr>
      </w:pPr>
      <w:r w:rsidRPr="00FD1B9B">
        <w:rPr>
          <w:b/>
          <w:lang w:val="en-AU"/>
        </w:rPr>
        <w:t>ambulatory care sensitive conditions</w:t>
      </w:r>
    </w:p>
    <w:p w:rsidR="00104E85" w:rsidRDefault="00104E85" w:rsidP="00104E85">
      <w:pPr>
        <w:pStyle w:val="ListParagraph"/>
        <w:numPr>
          <w:ilvl w:val="0"/>
          <w:numId w:val="23"/>
        </w:numPr>
        <w:rPr>
          <w:lang w:val="en-AU"/>
        </w:rPr>
      </w:pPr>
      <w:r w:rsidRPr="00FD1B9B">
        <w:rPr>
          <w:lang w:val="en-AU"/>
        </w:rPr>
        <w:t xml:space="preserve">elective </w:t>
      </w:r>
      <w:r w:rsidRPr="00FD1B9B">
        <w:rPr>
          <w:b/>
          <w:lang w:val="en-AU"/>
        </w:rPr>
        <w:t>percutaneous coronary intervention</w:t>
      </w:r>
      <w:r w:rsidRPr="00FD1B9B">
        <w:rPr>
          <w:lang w:val="en-AU"/>
        </w:rPr>
        <w:t xml:space="preserve">, and </w:t>
      </w:r>
    </w:p>
    <w:p w:rsidR="00104E85" w:rsidRPr="00FD1B9B" w:rsidRDefault="00104E85" w:rsidP="00104E85">
      <w:pPr>
        <w:pStyle w:val="ListParagraph"/>
        <w:numPr>
          <w:ilvl w:val="0"/>
          <w:numId w:val="23"/>
        </w:numPr>
        <w:rPr>
          <w:lang w:val="en-AU"/>
        </w:rPr>
      </w:pPr>
      <w:r w:rsidRPr="00FD1B9B">
        <w:rPr>
          <w:lang w:val="en-AU"/>
        </w:rPr>
        <w:t xml:space="preserve">aligning treatment with patient priorities for use of the </w:t>
      </w:r>
      <w:r w:rsidRPr="00FD1B9B">
        <w:rPr>
          <w:b/>
          <w:lang w:val="en-AU"/>
        </w:rPr>
        <w:t>intensive care unit</w:t>
      </w:r>
      <w:r w:rsidRPr="00FD1B9B">
        <w:rPr>
          <w:lang w:val="en-AU"/>
        </w:rPr>
        <w:t>.</w:t>
      </w:r>
    </w:p>
    <w:p w:rsidR="00104E85" w:rsidRDefault="00104E85" w:rsidP="00104E85">
      <w:pPr>
        <w:rPr>
          <w:lang w:val="en-AU"/>
        </w:rPr>
      </w:pPr>
      <w:r w:rsidRPr="00FD1B9B">
        <w:rPr>
          <w:lang w:val="en-AU"/>
        </w:rPr>
        <w:t xml:space="preserve">The toolkits are an </w:t>
      </w:r>
      <w:r>
        <w:rPr>
          <w:lang w:val="en-AU"/>
        </w:rPr>
        <w:t xml:space="preserve">extension </w:t>
      </w:r>
      <w:r w:rsidRPr="00FD1B9B">
        <w:rPr>
          <w:lang w:val="en-AU"/>
        </w:rPr>
        <w:t xml:space="preserve">of </w:t>
      </w:r>
      <w:r>
        <w:rPr>
          <w:lang w:val="en-AU"/>
        </w:rPr>
        <w:t>the</w:t>
      </w:r>
      <w:r w:rsidRPr="00FD1B9B">
        <w:rPr>
          <w:lang w:val="en-AU"/>
        </w:rPr>
        <w:t xml:space="preserve"> AHA white paper, </w:t>
      </w:r>
      <w:r w:rsidRPr="00FD1B9B">
        <w:rPr>
          <w:i/>
          <w:lang w:val="en-AU"/>
        </w:rPr>
        <w:t>Appropriate Use of Medical Resources</w:t>
      </w:r>
      <w:r>
        <w:rPr>
          <w:i/>
          <w:lang w:val="en-AU"/>
        </w:rPr>
        <w:t xml:space="preserve">, </w:t>
      </w:r>
      <w:r>
        <w:rPr>
          <w:lang w:val="en-AU"/>
        </w:rPr>
        <w:t xml:space="preserve">that is available at </w:t>
      </w:r>
      <w:hyperlink r:id="rId30" w:history="1">
        <w:r w:rsidRPr="00B54FA3">
          <w:rPr>
            <w:rStyle w:val="Hyperlink"/>
            <w:lang w:val="en-AU"/>
          </w:rPr>
          <w:t>http://www.ahaphysicianforum.org/files/pdf/appropusewhiteppr.pdf</w:t>
        </w:r>
      </w:hyperlink>
      <w:r>
        <w:rPr>
          <w:lang w:val="en-AU"/>
        </w:rPr>
        <w:t>.</w:t>
      </w:r>
    </w:p>
    <w:p w:rsidR="00104E85" w:rsidRDefault="00104E85" w:rsidP="00B52D0D">
      <w:pPr>
        <w:rPr>
          <w:lang w:val="en-AU"/>
        </w:rPr>
      </w:pPr>
    </w:p>
    <w:p w:rsidR="00852CA0" w:rsidRPr="00BB6247" w:rsidRDefault="00852CA0" w:rsidP="00683D80">
      <w:pPr>
        <w:keepNext/>
        <w:keepLines/>
        <w:rPr>
          <w:i/>
          <w:lang w:val="en-AU"/>
        </w:rPr>
      </w:pPr>
      <w:r w:rsidRPr="00BB6247">
        <w:rPr>
          <w:i/>
          <w:lang w:val="en-AU"/>
        </w:rPr>
        <w:t>[UK] NICE Guidelines and Quality Standards</w:t>
      </w:r>
    </w:p>
    <w:p w:rsidR="00852CA0" w:rsidRPr="00BD0F1C" w:rsidRDefault="003A5217" w:rsidP="00852CA0">
      <w:pPr>
        <w:keepNext/>
        <w:keepLines/>
        <w:rPr>
          <w:u w:val="single"/>
          <w:lang w:val="en-AU"/>
        </w:rPr>
      </w:pPr>
      <w:hyperlink r:id="rId31"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86209D" w:rsidRDefault="0086209D" w:rsidP="0086209D">
      <w:pPr>
        <w:pStyle w:val="ListParagraph"/>
        <w:keepNext/>
        <w:keepLines/>
        <w:numPr>
          <w:ilvl w:val="0"/>
          <w:numId w:val="14"/>
        </w:numPr>
        <w:rPr>
          <w:lang w:val="en-AU"/>
        </w:rPr>
      </w:pPr>
      <w:r>
        <w:rPr>
          <w:lang w:val="en-AU"/>
        </w:rPr>
        <w:t xml:space="preserve">NICE Quality Standard QS6 </w:t>
      </w:r>
      <w:r w:rsidRPr="0086209D">
        <w:rPr>
          <w:b/>
          <w:i/>
          <w:lang w:val="en-AU"/>
        </w:rPr>
        <w:t>Diabetes</w:t>
      </w:r>
      <w:r w:rsidRPr="0086209D">
        <w:rPr>
          <w:i/>
          <w:lang w:val="en-AU"/>
        </w:rPr>
        <w:t xml:space="preserve"> in adults</w:t>
      </w:r>
      <w:r>
        <w:rPr>
          <w:lang w:val="en-AU"/>
        </w:rPr>
        <w:t xml:space="preserve"> </w:t>
      </w:r>
      <w:hyperlink r:id="rId32" w:history="1">
        <w:r w:rsidRPr="00A213F9">
          <w:rPr>
            <w:rStyle w:val="Hyperlink"/>
            <w:lang w:val="en-AU"/>
          </w:rPr>
          <w:t>https://www.nice.org.uk/guidance/qs6</w:t>
        </w:r>
      </w:hyperlink>
    </w:p>
    <w:p w:rsidR="0086209D" w:rsidRDefault="0086209D" w:rsidP="0086209D">
      <w:pPr>
        <w:pStyle w:val="ListParagraph"/>
        <w:keepNext/>
        <w:keepLines/>
        <w:numPr>
          <w:ilvl w:val="0"/>
          <w:numId w:val="14"/>
        </w:numPr>
        <w:rPr>
          <w:lang w:val="en-AU"/>
        </w:rPr>
      </w:pPr>
      <w:r>
        <w:rPr>
          <w:lang w:val="en-AU"/>
        </w:rPr>
        <w:t>NICE Clinical Guideline</w:t>
      </w:r>
      <w:r>
        <w:rPr>
          <w:lang w:val="en-AU"/>
        </w:rPr>
        <w:t xml:space="preserve"> CG142 </w:t>
      </w:r>
      <w:r w:rsidRPr="0086209D">
        <w:rPr>
          <w:b/>
          <w:i/>
          <w:lang w:val="en-AU"/>
        </w:rPr>
        <w:t>Autism spectrum disorder</w:t>
      </w:r>
      <w:r w:rsidRPr="0086209D">
        <w:rPr>
          <w:i/>
          <w:lang w:val="en-AU"/>
        </w:rPr>
        <w:t xml:space="preserve"> in adults: diagnosis and management</w:t>
      </w:r>
      <w:r>
        <w:rPr>
          <w:lang w:val="en-AU"/>
        </w:rPr>
        <w:t xml:space="preserve"> </w:t>
      </w:r>
      <w:hyperlink r:id="rId33" w:history="1">
        <w:r w:rsidRPr="00A213F9">
          <w:rPr>
            <w:rStyle w:val="Hyperlink"/>
            <w:lang w:val="en-AU"/>
          </w:rPr>
          <w:t>https://www.nice.org.uk/guidance/cg142</w:t>
        </w:r>
      </w:hyperlink>
    </w:p>
    <w:p w:rsidR="006A0B70" w:rsidRPr="0086209D" w:rsidRDefault="006A0B70" w:rsidP="006A0B70">
      <w:pPr>
        <w:pStyle w:val="ListParagraph"/>
        <w:keepNext/>
        <w:keepLines/>
        <w:numPr>
          <w:ilvl w:val="0"/>
          <w:numId w:val="14"/>
        </w:numPr>
        <w:rPr>
          <w:lang w:val="en-AU"/>
        </w:rPr>
      </w:pPr>
      <w:r w:rsidRPr="0086209D">
        <w:rPr>
          <w:lang w:val="en-AU"/>
        </w:rPr>
        <w:t xml:space="preserve">NICE Clinical Guideline CG156 </w:t>
      </w:r>
      <w:r w:rsidRPr="0086209D">
        <w:rPr>
          <w:b/>
          <w:i/>
          <w:lang w:val="en-AU"/>
        </w:rPr>
        <w:t>Fertility</w:t>
      </w:r>
      <w:r w:rsidRPr="0086209D">
        <w:rPr>
          <w:i/>
          <w:lang w:val="en-AU"/>
        </w:rPr>
        <w:t xml:space="preserve"> problems: assessment and treatment</w:t>
      </w:r>
      <w:r w:rsidRPr="0086209D">
        <w:rPr>
          <w:lang w:val="en-AU"/>
        </w:rPr>
        <w:t xml:space="preserve"> </w:t>
      </w:r>
      <w:hyperlink r:id="rId34" w:history="1">
        <w:r w:rsidRPr="0086209D">
          <w:rPr>
            <w:rStyle w:val="Hyperlink"/>
            <w:lang w:val="en-AU"/>
          </w:rPr>
          <w:t>https://www.nice.org.uk/guidance/cg156</w:t>
        </w:r>
      </w:hyperlink>
    </w:p>
    <w:p w:rsidR="000E249C" w:rsidRDefault="000E249C" w:rsidP="00B52D0D">
      <w:pPr>
        <w:rPr>
          <w:lang w:val="en-AU"/>
        </w:rPr>
      </w:pPr>
    </w:p>
    <w:p w:rsidR="00D272A0" w:rsidRPr="00B86839" w:rsidRDefault="00D272A0" w:rsidP="00D272A0">
      <w:pPr>
        <w:keepNext/>
        <w:keepLines/>
        <w:rPr>
          <w:i/>
          <w:lang w:val="en-AU"/>
        </w:rPr>
      </w:pPr>
      <w:r w:rsidRPr="00B86839">
        <w:rPr>
          <w:i/>
          <w:lang w:val="en-AU"/>
        </w:rPr>
        <w:t>[USA] Effective Health Care Program reports</w:t>
      </w:r>
    </w:p>
    <w:p w:rsidR="00D272A0" w:rsidRPr="00B86839" w:rsidRDefault="003A5217" w:rsidP="00D272A0">
      <w:pPr>
        <w:keepNext/>
        <w:keepLines/>
        <w:rPr>
          <w:u w:val="single"/>
          <w:lang w:val="en-AU"/>
        </w:rPr>
      </w:pPr>
      <w:hyperlink r:id="rId35" w:history="1">
        <w:r w:rsidR="00D272A0" w:rsidRPr="00B86839">
          <w:rPr>
            <w:rStyle w:val="Hyperlink"/>
            <w:lang w:val="en-AU"/>
          </w:rPr>
          <w:t>http://effectivehealthcare.ahrq.gov/</w:t>
        </w:r>
      </w:hyperlink>
    </w:p>
    <w:p w:rsidR="00D272A0" w:rsidRPr="00B86839" w:rsidRDefault="00D272A0" w:rsidP="00D272A0">
      <w:pPr>
        <w:keepNext/>
        <w:keepLines/>
        <w:rPr>
          <w:lang w:val="en-AU"/>
        </w:rPr>
      </w:pPr>
      <w:r w:rsidRPr="00B86839">
        <w:rPr>
          <w:lang w:val="en-AU"/>
        </w:rPr>
        <w:t>The US Agency for Healthcare Research and Quality (AHRQ) has an Effective Health Care (EHC) Program. The EHC has released the following final reports and updates:</w:t>
      </w:r>
    </w:p>
    <w:p w:rsidR="006A0B70" w:rsidRDefault="006A0B70" w:rsidP="006A0B70">
      <w:pPr>
        <w:pStyle w:val="ListParagraph"/>
        <w:keepNext/>
        <w:keepLines/>
        <w:numPr>
          <w:ilvl w:val="0"/>
          <w:numId w:val="23"/>
        </w:numPr>
        <w:rPr>
          <w:lang w:val="en-AU"/>
        </w:rPr>
      </w:pPr>
      <w:r w:rsidRPr="006A0B70">
        <w:rPr>
          <w:b/>
          <w:i/>
          <w:lang w:val="en-AU"/>
        </w:rPr>
        <w:t>Renal Artery Stenosis</w:t>
      </w:r>
      <w:r w:rsidRPr="006A0B70">
        <w:rPr>
          <w:i/>
          <w:lang w:val="en-AU"/>
        </w:rPr>
        <w:t xml:space="preserve"> Management Strategies</w:t>
      </w:r>
      <w:r>
        <w:rPr>
          <w:lang w:val="en-AU"/>
        </w:rPr>
        <w:t xml:space="preserve"> </w:t>
      </w:r>
      <w:hyperlink r:id="rId36" w:history="1">
        <w:r w:rsidRPr="001B0E7A">
          <w:rPr>
            <w:rStyle w:val="Hyperlink"/>
            <w:lang w:val="en-AU"/>
          </w:rPr>
          <w:t>https://www.effectivehealthcare.ahrq.gov/search-for-guides-reviews-and-reports/?pageaction=displayproduct&amp;productID=2276</w:t>
        </w:r>
      </w:hyperlink>
    </w:p>
    <w:p w:rsidR="00FD1B9B" w:rsidRDefault="00FD1B9B" w:rsidP="00B52D0D">
      <w:pPr>
        <w:rPr>
          <w:lang w:val="en-AU"/>
        </w:rPr>
      </w:pPr>
    </w:p>
    <w:p w:rsidR="00FD1B9B" w:rsidRPr="000C03B8" w:rsidRDefault="00FD1B9B"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29" w:rsidRDefault="006F1329">
      <w:r>
        <w:separator/>
      </w:r>
    </w:p>
  </w:endnote>
  <w:endnote w:type="continuationSeparator" w:id="0">
    <w:p w:rsidR="006F1329" w:rsidRDefault="006F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27BED">
      <w:rPr>
        <w:rStyle w:val="PageNumber"/>
        <w:noProof/>
      </w:rPr>
      <w:t>2</w:t>
    </w:r>
    <w:r>
      <w:rPr>
        <w:rStyle w:val="PageNumber"/>
      </w:rPr>
      <w:fldChar w:fldCharType="end"/>
    </w:r>
  </w:p>
  <w:p w:rsidR="00B67F4B" w:rsidRDefault="00B67F4B" w:rsidP="00F1532A">
    <w:pPr>
      <w:pStyle w:val="Footer"/>
      <w:tabs>
        <w:tab w:val="clear" w:pos="8306"/>
        <w:tab w:val="right" w:pos="9540"/>
      </w:tabs>
      <w:ind w:right="360"/>
    </w:pPr>
    <w:r>
      <w:tab/>
    </w:r>
    <w:r>
      <w:tab/>
    </w:r>
    <w:r w:rsidRPr="00942E61">
      <w:rPr>
        <w:i/>
      </w:rPr>
      <w:t>On the Radar</w:t>
    </w:r>
    <w:r w:rsidR="00E85A69">
      <w:t xml:space="preserve"> Issue 28</w:t>
    </w:r>
    <w:r w:rsidR="001A2741">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217">
      <w:rPr>
        <w:rStyle w:val="PageNumber"/>
        <w:noProof/>
      </w:rPr>
      <w:t>3</w:t>
    </w:r>
    <w:r>
      <w:rPr>
        <w:rStyle w:val="PageNumber"/>
      </w:rPr>
      <w:fldChar w:fldCharType="end"/>
    </w:r>
  </w:p>
  <w:p w:rsidR="00B67F4B" w:rsidRDefault="00B67F4B" w:rsidP="00AA7F1C">
    <w:pPr>
      <w:pStyle w:val="Footer"/>
      <w:tabs>
        <w:tab w:val="clear" w:pos="4153"/>
        <w:tab w:val="clear" w:pos="8306"/>
        <w:tab w:val="left" w:pos="2901"/>
      </w:tabs>
      <w:ind w:right="360"/>
    </w:pPr>
    <w:r w:rsidRPr="00942E61">
      <w:rPr>
        <w:i/>
      </w:rPr>
      <w:t>On the Radar</w:t>
    </w:r>
    <w:r w:rsidR="00E85A69">
      <w:t xml:space="preserve"> Issue 28</w:t>
    </w:r>
    <w:r w:rsidR="001A2741">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29" w:rsidRDefault="006F1329">
      <w:r>
        <w:separator/>
      </w:r>
    </w:p>
  </w:footnote>
  <w:footnote w:type="continuationSeparator" w:id="0">
    <w:p w:rsidR="006F1329" w:rsidRDefault="006F1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25E3A"/>
    <w:multiLevelType w:val="hybridMultilevel"/>
    <w:tmpl w:val="2E26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2C72F5"/>
    <w:multiLevelType w:val="hybridMultilevel"/>
    <w:tmpl w:val="03EC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BD75F0"/>
    <w:multiLevelType w:val="hybridMultilevel"/>
    <w:tmpl w:val="7112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990CB7"/>
    <w:multiLevelType w:val="hybridMultilevel"/>
    <w:tmpl w:val="8CB0D60C"/>
    <w:lvl w:ilvl="0" w:tplc="1B54E0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DF0358"/>
    <w:multiLevelType w:val="hybridMultilevel"/>
    <w:tmpl w:val="DF1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CA3952"/>
    <w:multiLevelType w:val="hybridMultilevel"/>
    <w:tmpl w:val="7DD61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2E6D3D"/>
    <w:multiLevelType w:val="hybridMultilevel"/>
    <w:tmpl w:val="2F74CC0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39A640E"/>
    <w:multiLevelType w:val="hybridMultilevel"/>
    <w:tmpl w:val="914213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4211F4B"/>
    <w:multiLevelType w:val="hybridMultilevel"/>
    <w:tmpl w:val="4BA6A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3D3A9E"/>
    <w:multiLevelType w:val="hybridMultilevel"/>
    <w:tmpl w:val="061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1E53F67"/>
    <w:multiLevelType w:val="hybridMultilevel"/>
    <w:tmpl w:val="3010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4E3D2A"/>
    <w:multiLevelType w:val="hybridMultilevel"/>
    <w:tmpl w:val="BBE6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2E4FFA"/>
    <w:multiLevelType w:val="hybridMultilevel"/>
    <w:tmpl w:val="FD2AF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097785"/>
    <w:multiLevelType w:val="hybridMultilevel"/>
    <w:tmpl w:val="F89E6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C679EB"/>
    <w:multiLevelType w:val="hybridMultilevel"/>
    <w:tmpl w:val="1CEE4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2000D90"/>
    <w:multiLevelType w:val="hybridMultilevel"/>
    <w:tmpl w:val="DAE64F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4FA3AE0"/>
    <w:multiLevelType w:val="hybridMultilevel"/>
    <w:tmpl w:val="D23C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6F130C8"/>
    <w:multiLevelType w:val="hybridMultilevel"/>
    <w:tmpl w:val="41AA8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A8180C"/>
    <w:multiLevelType w:val="hybridMultilevel"/>
    <w:tmpl w:val="2FD4660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6B50400"/>
    <w:multiLevelType w:val="hybridMultilevel"/>
    <w:tmpl w:val="3C3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8486258"/>
    <w:multiLevelType w:val="hybridMultilevel"/>
    <w:tmpl w:val="3FD8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DD7315F"/>
    <w:multiLevelType w:val="hybridMultilevel"/>
    <w:tmpl w:val="9180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2D2997"/>
    <w:multiLevelType w:val="hybridMultilevel"/>
    <w:tmpl w:val="6002A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913F47"/>
    <w:multiLevelType w:val="hybridMultilevel"/>
    <w:tmpl w:val="A084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25"/>
  </w:num>
  <w:num w:numId="15">
    <w:abstractNumId w:val="39"/>
  </w:num>
  <w:num w:numId="16">
    <w:abstractNumId w:val="23"/>
  </w:num>
  <w:num w:numId="17">
    <w:abstractNumId w:val="26"/>
  </w:num>
  <w:num w:numId="18">
    <w:abstractNumId w:val="48"/>
  </w:num>
  <w:num w:numId="19">
    <w:abstractNumId w:val="40"/>
  </w:num>
  <w:num w:numId="20">
    <w:abstractNumId w:val="16"/>
  </w:num>
  <w:num w:numId="21">
    <w:abstractNumId w:val="42"/>
  </w:num>
  <w:num w:numId="22">
    <w:abstractNumId w:val="19"/>
  </w:num>
  <w:num w:numId="23">
    <w:abstractNumId w:val="28"/>
  </w:num>
  <w:num w:numId="24">
    <w:abstractNumId w:val="34"/>
  </w:num>
  <w:num w:numId="25">
    <w:abstractNumId w:val="22"/>
  </w:num>
  <w:num w:numId="26">
    <w:abstractNumId w:val="15"/>
  </w:num>
  <w:num w:numId="27">
    <w:abstractNumId w:val="43"/>
  </w:num>
  <w:num w:numId="28">
    <w:abstractNumId w:val="10"/>
  </w:num>
  <w:num w:numId="29">
    <w:abstractNumId w:val="14"/>
  </w:num>
  <w:num w:numId="30">
    <w:abstractNumId w:val="13"/>
  </w:num>
  <w:num w:numId="31">
    <w:abstractNumId w:val="45"/>
  </w:num>
  <w:num w:numId="32">
    <w:abstractNumId w:val="38"/>
  </w:num>
  <w:num w:numId="33">
    <w:abstractNumId w:val="11"/>
  </w:num>
  <w:num w:numId="34">
    <w:abstractNumId w:val="37"/>
  </w:num>
  <w:num w:numId="35">
    <w:abstractNumId w:val="41"/>
  </w:num>
  <w:num w:numId="36">
    <w:abstractNumId w:val="46"/>
  </w:num>
  <w:num w:numId="37">
    <w:abstractNumId w:val="49"/>
  </w:num>
  <w:num w:numId="38">
    <w:abstractNumId w:val="20"/>
  </w:num>
  <w:num w:numId="39">
    <w:abstractNumId w:val="33"/>
  </w:num>
  <w:num w:numId="40">
    <w:abstractNumId w:val="47"/>
  </w:num>
  <w:num w:numId="41">
    <w:abstractNumId w:val="30"/>
  </w:num>
  <w:num w:numId="42">
    <w:abstractNumId w:val="32"/>
  </w:num>
  <w:num w:numId="43">
    <w:abstractNumId w:val="29"/>
  </w:num>
  <w:num w:numId="44">
    <w:abstractNumId w:val="12"/>
  </w:num>
  <w:num w:numId="45">
    <w:abstractNumId w:val="27"/>
  </w:num>
  <w:num w:numId="46">
    <w:abstractNumId w:val="31"/>
  </w:num>
  <w:num w:numId="47">
    <w:abstractNumId w:val="21"/>
  </w:num>
  <w:num w:numId="48">
    <w:abstractNumId w:val="18"/>
  </w:num>
  <w:num w:numId="49">
    <w:abstractNumId w:val="17"/>
  </w:num>
  <w:num w:numId="50">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6A17"/>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67F1"/>
    <w:rsid w:val="00026C9C"/>
    <w:rsid w:val="00026E16"/>
    <w:rsid w:val="00027059"/>
    <w:rsid w:val="00027144"/>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21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A3"/>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4101"/>
    <w:rsid w:val="00654120"/>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8D"/>
    <w:rsid w:val="006E05F2"/>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BED"/>
    <w:rsid w:val="00927CCB"/>
    <w:rsid w:val="00927D19"/>
    <w:rsid w:val="00927D9F"/>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1A1"/>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4EBA"/>
    <w:rsid w:val="00C2519F"/>
    <w:rsid w:val="00C2566D"/>
    <w:rsid w:val="00C258D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4FC"/>
    <w:rsid w:val="00E16946"/>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3A69"/>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A0D"/>
    <w:rsid w:val="00EB0C51"/>
    <w:rsid w:val="00EB0DD3"/>
    <w:rsid w:val="00EB1118"/>
    <w:rsid w:val="00EB116D"/>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png"/><Relationship Id="rId26" Type="http://schemas.openxmlformats.org/officeDocument/2006/relationships/hyperlink" Target="http://onlinelibrary.wiley.com/doi/10.1111/sdi.2016.29.issue-4/issuet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016/j.jhealeco.2016.05.002" TargetMode="External"/><Relationship Id="rId34" Type="http://schemas.openxmlformats.org/officeDocument/2006/relationships/hyperlink" Target="https://www.nice.org.uk/guidance/cg156"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136/bmjqs-2016-005401" TargetMode="External"/><Relationship Id="rId25" Type="http://schemas.openxmlformats.org/officeDocument/2006/relationships/hyperlink" Target="http://qualitysafety.bmj.com/content/25/9" TargetMode="External"/><Relationship Id="rId33" Type="http://schemas.openxmlformats.org/officeDocument/2006/relationships/hyperlink" Target="https://www.nice.org.uk/guidance/cg142"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x.doi.org/10.1016/j.jpeds.2016.06.068" TargetMode="External"/><Relationship Id="rId20" Type="http://schemas.openxmlformats.org/officeDocument/2006/relationships/hyperlink" Target="http://dx.doi.org/10.1016/j.ijnurstu.2016.07.013" TargetMode="External"/><Relationship Id="rId29" Type="http://schemas.openxmlformats.org/officeDocument/2006/relationships/hyperlink" Target="http://www.ahaphysicianforum.org/resources/appropriate-use/index.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ingentaconnect.com/content/jcaho/jcjqs/2016/00000042/00000008/art00006" TargetMode="External"/><Relationship Id="rId32" Type="http://schemas.openxmlformats.org/officeDocument/2006/relationships/hyperlink" Target="https://www.nice.org.uk/guidance/qs6"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542/peds.2015-4182" TargetMode="External"/><Relationship Id="rId28" Type="http://schemas.openxmlformats.org/officeDocument/2006/relationships/hyperlink" Target="http://intqhc.oxfordjournals.org/content/early/recent?papetoc" TargetMode="External"/><Relationship Id="rId36" Type="http://schemas.openxmlformats.org/officeDocument/2006/relationships/hyperlink" Target="https://www.effectivehealthcare.ahrq.gov/search-for-guides-reviews-and-reports/?pageaction=displayproduct&amp;productID=2276"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56/NEJMp1604412" TargetMode="External"/><Relationship Id="rId31" Type="http://schemas.openxmlformats.org/officeDocument/2006/relationships/hyperlink" Target="http://www.nice.org.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jaha.ahajournals.org/content/5/7/e003731" TargetMode="External"/><Relationship Id="rId27" Type="http://schemas.openxmlformats.org/officeDocument/2006/relationships/hyperlink" Target="http://qualitysafety.bmj.com/content/early/recent" TargetMode="External"/><Relationship Id="rId30" Type="http://schemas.openxmlformats.org/officeDocument/2006/relationships/hyperlink" Target="http://www.ahaphysicianforum.org/files/pdf/appropusewhiteppr.pdf" TargetMode="External"/><Relationship Id="rId35" Type="http://schemas.openxmlformats.org/officeDocument/2006/relationships/hyperlink" Target="http://effectivehealthcare.ahr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18E9-D94E-40D7-BFAE-7A9526DC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20318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2016-08-19T00:26:00Z</dcterms:created>
  <dcterms:modified xsi:type="dcterms:W3CDTF">2016-08-19T00:26:00Z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