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8267C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8267C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050FD37" wp14:editId="1E0F040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8267CF">
        <w:rPr>
          <w:rFonts w:ascii="Bookman Old Style" w:hAnsi="Bookman Old Style"/>
          <w:sz w:val="48"/>
          <w:szCs w:val="48"/>
          <w:lang w:val="en-AU"/>
        </w:rPr>
        <w:t>On the Radar</w:t>
      </w:r>
    </w:p>
    <w:p w:rsidR="00B160EF" w:rsidRPr="00EB0FFF" w:rsidRDefault="00715F47" w:rsidP="00B160EF">
      <w:pPr>
        <w:rPr>
          <w:rFonts w:ascii="Garamond" w:hAnsi="Garamond"/>
          <w:color w:val="000000"/>
          <w:lang w:val="en-AU"/>
        </w:rPr>
      </w:pPr>
      <w:r w:rsidRPr="00EB0FFF">
        <w:rPr>
          <w:rFonts w:ascii="Garamond" w:hAnsi="Garamond"/>
          <w:color w:val="000000"/>
          <w:lang w:val="en-AU"/>
        </w:rPr>
        <w:t xml:space="preserve">Issue </w:t>
      </w:r>
      <w:r w:rsidR="00755242" w:rsidRPr="00EB0FFF">
        <w:rPr>
          <w:rFonts w:ascii="Garamond" w:hAnsi="Garamond"/>
          <w:color w:val="000000"/>
          <w:lang w:val="en-AU"/>
        </w:rPr>
        <w:t>2</w:t>
      </w:r>
      <w:r w:rsidR="004B23F8" w:rsidRPr="00EB0FFF">
        <w:rPr>
          <w:rFonts w:ascii="Garamond" w:hAnsi="Garamond"/>
          <w:color w:val="000000"/>
          <w:lang w:val="en-AU"/>
        </w:rPr>
        <w:t>9</w:t>
      </w:r>
      <w:r w:rsidR="004B7E0F" w:rsidRPr="00EB0FFF">
        <w:rPr>
          <w:rFonts w:ascii="Garamond" w:hAnsi="Garamond"/>
          <w:color w:val="000000"/>
          <w:lang w:val="en-AU"/>
        </w:rPr>
        <w:t>3</w:t>
      </w:r>
    </w:p>
    <w:p w:rsidR="00755242" w:rsidRPr="00EB0FFF" w:rsidRDefault="004B7E0F" w:rsidP="00B160EF">
      <w:pPr>
        <w:rPr>
          <w:rFonts w:ascii="Garamond" w:hAnsi="Garamond"/>
          <w:lang w:val="en-AU"/>
        </w:rPr>
      </w:pPr>
      <w:r w:rsidRPr="00EB0FFF">
        <w:rPr>
          <w:rFonts w:ascii="Garamond" w:hAnsi="Garamond"/>
          <w:lang w:val="en-AU"/>
        </w:rPr>
        <w:t>Tuesday 4 October</w:t>
      </w:r>
      <w:r w:rsidR="00650ACA" w:rsidRPr="00EB0FFF">
        <w:rPr>
          <w:rFonts w:ascii="Garamond" w:hAnsi="Garamond"/>
          <w:lang w:val="en-AU"/>
        </w:rPr>
        <w:t xml:space="preserve"> </w:t>
      </w:r>
      <w:r w:rsidR="00AA7F1C" w:rsidRPr="00EB0FFF">
        <w:rPr>
          <w:rFonts w:ascii="Garamond" w:hAnsi="Garamond"/>
          <w:lang w:val="en-AU"/>
        </w:rPr>
        <w:t>2016</w:t>
      </w:r>
    </w:p>
    <w:p w:rsidR="00566895" w:rsidRPr="00EB0FFF" w:rsidRDefault="00566895" w:rsidP="00B160EF">
      <w:pPr>
        <w:rPr>
          <w:rFonts w:ascii="Garamond" w:hAnsi="Garamond"/>
          <w:lang w:val="en-AU"/>
        </w:rPr>
      </w:pPr>
    </w:p>
    <w:p w:rsidR="00B160EF" w:rsidRPr="00EB0FFF" w:rsidRDefault="00B160EF" w:rsidP="00B160EF">
      <w:pPr>
        <w:rPr>
          <w:rFonts w:ascii="Garamond" w:hAnsi="Garamond"/>
          <w:b/>
          <w:lang w:val="en-AU"/>
        </w:rPr>
      </w:pPr>
      <w:r w:rsidRPr="00EB0FFF">
        <w:rPr>
          <w:rFonts w:ascii="Garamond" w:hAnsi="Garamond"/>
          <w:i/>
          <w:lang w:val="en-AU"/>
        </w:rPr>
        <w:t>On the Radar</w:t>
      </w:r>
      <w:r w:rsidRPr="00EB0FFF">
        <w:rPr>
          <w:rFonts w:ascii="Garamond" w:hAnsi="Garamond"/>
          <w:lang w:val="en-AU"/>
        </w:rPr>
        <w:t xml:space="preserve"> is a summary of some of the recent publications in </w:t>
      </w:r>
      <w:r w:rsidR="000025DB" w:rsidRPr="00EB0FFF">
        <w:rPr>
          <w:rFonts w:ascii="Garamond" w:hAnsi="Garamond"/>
          <w:lang w:val="en-AU"/>
        </w:rPr>
        <w:t>the</w:t>
      </w:r>
      <w:r w:rsidRPr="00EB0FFF">
        <w:rPr>
          <w:rFonts w:ascii="Garamond" w:hAnsi="Garamond"/>
          <w:lang w:val="en-AU"/>
        </w:rPr>
        <w:t xml:space="preserve"> areas of safety and quality in health care. Inclusion in this document is not an endorsement or recommendation of any publication or provider.</w:t>
      </w:r>
      <w:r w:rsidR="00594E21" w:rsidRPr="00EB0FFF">
        <w:rPr>
          <w:rFonts w:ascii="Garamond" w:hAnsi="Garamond"/>
          <w:lang w:val="en-AU"/>
        </w:rPr>
        <w:t xml:space="preserve"> </w:t>
      </w:r>
      <w:r w:rsidRPr="00EB0FFF">
        <w:rPr>
          <w:rFonts w:ascii="Garamond" w:hAnsi="Garamond"/>
          <w:lang w:val="en-AU"/>
        </w:rPr>
        <w:t>Access to particular documents may depend on whether they are Open Access or not, and/or your individual or institutional access to subscription sites/services.</w:t>
      </w:r>
      <w:r w:rsidR="00F460A7" w:rsidRPr="00EB0FFF">
        <w:rPr>
          <w:rFonts w:ascii="Garamond" w:hAnsi="Garamond"/>
          <w:lang w:val="en-AU"/>
        </w:rPr>
        <w:t xml:space="preserve"> Material that may require subscription is included as it is considered relevant.</w:t>
      </w:r>
    </w:p>
    <w:p w:rsidR="00B160EF" w:rsidRPr="00EB0FFF" w:rsidRDefault="00B160EF" w:rsidP="00B160EF">
      <w:pPr>
        <w:rPr>
          <w:rFonts w:ascii="Garamond" w:hAnsi="Garamond"/>
          <w:lang w:val="en-AU"/>
        </w:rPr>
      </w:pPr>
    </w:p>
    <w:p w:rsidR="00230D83" w:rsidRPr="00EB0FFF" w:rsidRDefault="00B160EF" w:rsidP="0045757F">
      <w:pPr>
        <w:autoSpaceDE w:val="0"/>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available </w:t>
      </w:r>
      <w:r w:rsidR="003D1E7A" w:rsidRPr="00EB0FFF">
        <w:rPr>
          <w:rFonts w:ascii="Garamond" w:hAnsi="Garamond"/>
          <w:lang w:val="en-AU"/>
        </w:rPr>
        <w:t xml:space="preserve">online, </w:t>
      </w:r>
      <w:r w:rsidRPr="00EB0FFF">
        <w:rPr>
          <w:rFonts w:ascii="Garamond" w:hAnsi="Garamond"/>
          <w:lang w:val="en-AU"/>
        </w:rPr>
        <w:t xml:space="preserve">via email or as a PDF document from </w:t>
      </w:r>
      <w:hyperlink r:id="rId10" w:history="1">
        <w:r w:rsidR="00230D83" w:rsidRPr="00EB0FFF">
          <w:rPr>
            <w:rStyle w:val="Hyperlink"/>
            <w:rFonts w:ascii="Garamond" w:hAnsi="Garamond"/>
            <w:lang w:val="en-AU"/>
          </w:rPr>
          <w:t>http://www.safetyandquality.gov.au/publications-resources/on-the-radar/</w:t>
        </w:r>
      </w:hyperlink>
    </w:p>
    <w:p w:rsidR="0090536C" w:rsidRPr="00EB0FFF" w:rsidRDefault="0090536C" w:rsidP="0045757F">
      <w:pPr>
        <w:autoSpaceDE w:val="0"/>
        <w:rPr>
          <w:rFonts w:ascii="Garamond" w:hAnsi="Garamond"/>
          <w:lang w:val="en-AU"/>
        </w:rPr>
      </w:pPr>
    </w:p>
    <w:p w:rsidR="00B160EF" w:rsidRPr="00EB0FFF" w:rsidRDefault="00B160EF" w:rsidP="0045757F">
      <w:pPr>
        <w:autoSpaceDE w:val="0"/>
        <w:rPr>
          <w:rFonts w:ascii="Garamond" w:hAnsi="Garamond"/>
          <w:lang w:val="en-AU"/>
        </w:rPr>
      </w:pPr>
      <w:r w:rsidRPr="00EB0FFF">
        <w:rPr>
          <w:rFonts w:ascii="Garamond" w:hAnsi="Garamond"/>
          <w:lang w:val="en-AU"/>
        </w:rPr>
        <w:t xml:space="preserve">If you would like to receive </w:t>
      </w:r>
      <w:r w:rsidRPr="00EB0FFF">
        <w:rPr>
          <w:rFonts w:ascii="Garamond" w:hAnsi="Garamond"/>
          <w:i/>
          <w:lang w:val="en-AU"/>
        </w:rPr>
        <w:t>On the Radar</w:t>
      </w:r>
      <w:r w:rsidRPr="00EB0FFF">
        <w:rPr>
          <w:rFonts w:ascii="Garamond" w:hAnsi="Garamond"/>
          <w:lang w:val="en-AU"/>
        </w:rPr>
        <w:t xml:space="preserve"> via email</w:t>
      </w:r>
      <w:r w:rsidR="003D7B9E" w:rsidRPr="00EB0FFF">
        <w:rPr>
          <w:rFonts w:ascii="Garamond" w:hAnsi="Garamond"/>
          <w:lang w:val="en-AU"/>
        </w:rPr>
        <w:t>, you can</w:t>
      </w:r>
      <w:r w:rsidR="00F24F60" w:rsidRPr="00EB0FFF">
        <w:rPr>
          <w:rFonts w:ascii="Garamond" w:hAnsi="Garamond"/>
          <w:lang w:val="en-AU"/>
        </w:rPr>
        <w:t xml:space="preserve"> subscribe on our website </w:t>
      </w:r>
      <w:hyperlink r:id="rId11" w:history="1">
        <w:r w:rsidR="00F24F60" w:rsidRPr="00EB0FFF">
          <w:rPr>
            <w:rStyle w:val="Hyperlink"/>
            <w:rFonts w:ascii="Garamond" w:hAnsi="Garamond"/>
            <w:lang w:val="en-AU"/>
          </w:rPr>
          <w:t>http://www.safetyandquality.gov.au/</w:t>
        </w:r>
      </w:hyperlink>
      <w:r w:rsidR="003D7B9E" w:rsidRPr="00EB0FFF">
        <w:rPr>
          <w:rFonts w:ascii="Garamond" w:hAnsi="Garamond"/>
          <w:lang w:val="en-AU"/>
        </w:rPr>
        <w:t xml:space="preserve"> or by emailing us at </w:t>
      </w:r>
      <w:r w:rsidR="003D7B9E" w:rsidRPr="00EB0FFF">
        <w:rPr>
          <w:rFonts w:ascii="Garamond" w:hAnsi="Garamond" w:cs="ZWAdobeF"/>
          <w:sz w:val="2"/>
          <w:szCs w:val="2"/>
          <w:lang w:val="en-AU"/>
        </w:rPr>
        <w:t>H</w:t>
      </w:r>
      <w:hyperlink r:id="rId12"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 xml:space="preserve">. </w:t>
      </w:r>
      <w:r w:rsidR="00E51D23" w:rsidRPr="00EB0FFF">
        <w:rPr>
          <w:rFonts w:ascii="Garamond" w:hAnsi="Garamond"/>
          <w:lang w:val="en-AU"/>
        </w:rPr>
        <w:br/>
      </w:r>
      <w:r w:rsidR="003D7B9E" w:rsidRPr="00EB0FFF">
        <w:rPr>
          <w:rFonts w:ascii="Garamond" w:hAnsi="Garamond"/>
          <w:lang w:val="en-AU"/>
        </w:rPr>
        <w:t xml:space="preserve">You can also send feedback and comments to </w:t>
      </w:r>
      <w:r w:rsidR="003D7B9E" w:rsidRPr="00EB0FFF">
        <w:rPr>
          <w:rFonts w:ascii="Garamond" w:hAnsi="Garamond" w:cs="ZWAdobeF"/>
          <w:sz w:val="2"/>
          <w:szCs w:val="2"/>
          <w:lang w:val="en-AU"/>
        </w:rPr>
        <w:t>H</w:t>
      </w:r>
      <w:hyperlink r:id="rId13" w:history="1">
        <w:r w:rsidR="003D7B9E" w:rsidRPr="00EB0FFF">
          <w:rPr>
            <w:rFonts w:ascii="Garamond" w:hAnsi="Garamond" w:cs="ZWAdobeF"/>
            <w:sz w:val="2"/>
            <w:szCs w:val="2"/>
            <w:lang w:val="en-AU"/>
          </w:rPr>
          <w:t>U</w:t>
        </w:r>
        <w:r w:rsidR="003D7B9E" w:rsidRPr="00EB0FFF">
          <w:rPr>
            <w:rStyle w:val="Hyperlink"/>
            <w:rFonts w:ascii="Garamond" w:hAnsi="Garamond"/>
            <w:lang w:val="en-AU"/>
          </w:rPr>
          <w:t>mail@safetyandquality.gov.au</w:t>
        </w:r>
        <w:r w:rsidR="003D7B9E" w:rsidRPr="00EB0FFF">
          <w:rPr>
            <w:rStyle w:val="Hyperlink"/>
            <w:rFonts w:ascii="Garamond" w:hAnsi="Garamond" w:cs="ZWAdobeF"/>
            <w:color w:val="auto"/>
            <w:sz w:val="2"/>
            <w:szCs w:val="2"/>
            <w:u w:val="none"/>
            <w:lang w:val="en-AU"/>
          </w:rPr>
          <w:t>U</w:t>
        </w:r>
      </w:hyperlink>
      <w:r w:rsidR="003D7B9E" w:rsidRPr="00EB0FFF">
        <w:rPr>
          <w:rFonts w:ascii="Garamond" w:hAnsi="Garamond"/>
          <w:lang w:val="en-AU"/>
        </w:rPr>
        <w:t>.</w:t>
      </w:r>
    </w:p>
    <w:p w:rsidR="00B160EF" w:rsidRPr="00EB0FFF" w:rsidRDefault="00B160EF" w:rsidP="00837FC4">
      <w:pPr>
        <w:tabs>
          <w:tab w:val="left" w:pos="7773"/>
        </w:tabs>
        <w:rPr>
          <w:rFonts w:ascii="Garamond" w:hAnsi="Garamond"/>
          <w:lang w:val="en-AU"/>
        </w:rPr>
      </w:pPr>
    </w:p>
    <w:p w:rsidR="00837FC4" w:rsidRPr="00EB0FFF" w:rsidRDefault="00B160EF" w:rsidP="004554DB">
      <w:pPr>
        <w:autoSpaceDE w:val="0"/>
        <w:rPr>
          <w:rFonts w:ascii="Garamond" w:hAnsi="Garamond"/>
          <w:lang w:val="en-AU"/>
        </w:rPr>
      </w:pPr>
      <w:bookmarkStart w:id="1" w:name="OLE_LINK1"/>
      <w:r w:rsidRPr="00EB0FFF">
        <w:rPr>
          <w:rFonts w:ascii="Garamond" w:hAnsi="Garamond"/>
          <w:lang w:val="en-AU"/>
        </w:rPr>
        <w:t xml:space="preserve">For information about the Commission and its programs and publications, please visit </w:t>
      </w:r>
      <w:hyperlink r:id="rId14" w:history="1">
        <w:r w:rsidR="00837FC4" w:rsidRPr="00EB0FFF">
          <w:rPr>
            <w:rStyle w:val="Hyperlink"/>
            <w:rFonts w:ascii="Garamond" w:hAnsi="Garamond"/>
            <w:lang w:val="en-AU"/>
          </w:rPr>
          <w:t>http://www.safetyandquality.gov.au</w:t>
        </w:r>
      </w:hyperlink>
    </w:p>
    <w:p w:rsidR="0054703F" w:rsidRPr="00EB0FFF" w:rsidRDefault="004554DB" w:rsidP="004554DB">
      <w:pPr>
        <w:autoSpaceDE w:val="0"/>
        <w:rPr>
          <w:rFonts w:ascii="Garamond" w:hAnsi="Garamond"/>
          <w:lang w:val="en-AU"/>
        </w:rPr>
      </w:pPr>
      <w:r w:rsidRPr="00EB0FFF">
        <w:rPr>
          <w:rFonts w:ascii="Garamond" w:hAnsi="Garamond"/>
          <w:lang w:val="en-AU"/>
        </w:rPr>
        <w:t>You can also follow us on Twitter @ACSQHC.</w:t>
      </w:r>
    </w:p>
    <w:p w:rsidR="00210235" w:rsidRPr="00EB0FFF" w:rsidRDefault="00210235" w:rsidP="00210235">
      <w:pPr>
        <w:keepNext/>
        <w:pBdr>
          <w:top w:val="single" w:sz="4" w:space="1" w:color="auto"/>
        </w:pBdr>
        <w:rPr>
          <w:rFonts w:ascii="Garamond" w:hAnsi="Garamond"/>
          <w:b/>
          <w:lang w:val="en-AU"/>
        </w:rPr>
      </w:pPr>
      <w:r w:rsidRPr="00EB0FFF">
        <w:rPr>
          <w:rFonts w:ascii="Garamond" w:hAnsi="Garamond"/>
          <w:b/>
          <w:lang w:val="en-AU"/>
        </w:rPr>
        <w:t>On the Radar</w:t>
      </w:r>
    </w:p>
    <w:p w:rsidR="00340157" w:rsidRPr="00EB0FFF" w:rsidRDefault="00340157" w:rsidP="00210235">
      <w:pPr>
        <w:keepNext/>
        <w:pBdr>
          <w:top w:val="single" w:sz="4" w:space="1" w:color="auto"/>
        </w:pBdr>
        <w:rPr>
          <w:rFonts w:ascii="Garamond" w:hAnsi="Garamond"/>
          <w:bCs/>
          <w:lang w:val="en-AU"/>
        </w:rPr>
      </w:pPr>
      <w:r w:rsidRPr="00EB0FFF">
        <w:rPr>
          <w:rFonts w:ascii="Garamond" w:hAnsi="Garamond"/>
          <w:bCs/>
          <w:lang w:val="en-AU"/>
        </w:rPr>
        <w:t xml:space="preserve">Editor: </w:t>
      </w:r>
      <w:r w:rsidR="00C8085B" w:rsidRPr="00EB0FFF">
        <w:rPr>
          <w:rFonts w:ascii="Garamond" w:hAnsi="Garamond"/>
          <w:bCs/>
          <w:lang w:val="en-AU"/>
        </w:rPr>
        <w:t xml:space="preserve">Dr </w:t>
      </w:r>
      <w:r w:rsidRPr="00EB0FFF">
        <w:rPr>
          <w:rFonts w:ascii="Garamond" w:hAnsi="Garamond"/>
          <w:bCs/>
          <w:lang w:val="en-AU"/>
        </w:rPr>
        <w:t xml:space="preserve">Niall Johnson </w:t>
      </w:r>
      <w:hyperlink r:id="rId15" w:history="1">
        <w:r w:rsidRPr="00EB0FFF">
          <w:rPr>
            <w:rStyle w:val="Hyperlink"/>
            <w:rFonts w:ascii="Garamond" w:hAnsi="Garamond"/>
            <w:bCs/>
            <w:lang w:val="en-AU"/>
          </w:rPr>
          <w:t>niall.johnson@safetyandquality.gov.au</w:t>
        </w:r>
      </w:hyperlink>
    </w:p>
    <w:p w:rsidR="009A35BE" w:rsidRPr="00EB0FFF" w:rsidRDefault="00210235" w:rsidP="00A8296D">
      <w:pPr>
        <w:keepNext/>
        <w:pBdr>
          <w:top w:val="single" w:sz="4" w:space="1" w:color="auto"/>
        </w:pBdr>
        <w:rPr>
          <w:rFonts w:ascii="Garamond" w:hAnsi="Garamond"/>
          <w:shd w:val="clear" w:color="auto" w:fill="FFFFFF"/>
          <w:lang w:val="en-AU"/>
        </w:rPr>
      </w:pPr>
      <w:r w:rsidRPr="00EB0FFF">
        <w:rPr>
          <w:rFonts w:ascii="Garamond" w:hAnsi="Garamond"/>
          <w:bCs/>
          <w:lang w:val="en-AU"/>
        </w:rPr>
        <w:t xml:space="preserve">Contributors: </w:t>
      </w:r>
      <w:r w:rsidR="0056339A" w:rsidRPr="00EB0FFF">
        <w:rPr>
          <w:rFonts w:ascii="Garamond" w:hAnsi="Garamond"/>
          <w:bCs/>
          <w:lang w:val="en-AU"/>
        </w:rPr>
        <w:t>Niall Johnson</w:t>
      </w:r>
      <w:bookmarkEnd w:id="1"/>
      <w:r w:rsidR="002958CD">
        <w:rPr>
          <w:rFonts w:ascii="Garamond" w:hAnsi="Garamond"/>
          <w:bCs/>
          <w:lang w:val="en-AU"/>
        </w:rPr>
        <w:t>, Lucia Tapsall</w:t>
      </w:r>
    </w:p>
    <w:p w:rsidR="008544DE" w:rsidRPr="00EB0FFF" w:rsidRDefault="008544DE" w:rsidP="00691DE3">
      <w:pPr>
        <w:keepLines/>
        <w:autoSpaceDE w:val="0"/>
        <w:autoSpaceDN w:val="0"/>
        <w:adjustRightInd w:val="0"/>
        <w:rPr>
          <w:rFonts w:ascii="Garamond" w:hAnsi="Garamond"/>
          <w:lang w:val="en-AU"/>
        </w:rPr>
      </w:pPr>
    </w:p>
    <w:p w:rsidR="006C1E40" w:rsidRPr="00EB0FFF" w:rsidRDefault="006C1E40" w:rsidP="00691DE3">
      <w:pPr>
        <w:keepLines/>
        <w:autoSpaceDE w:val="0"/>
        <w:autoSpaceDN w:val="0"/>
        <w:adjustRightInd w:val="0"/>
        <w:rPr>
          <w:rFonts w:ascii="Garamond" w:hAnsi="Garamond"/>
          <w:lang w:val="en-AU"/>
        </w:rPr>
      </w:pPr>
    </w:p>
    <w:p w:rsidR="007D7A6D" w:rsidRPr="00EB0FFF" w:rsidRDefault="007D7A6D" w:rsidP="004F47AC">
      <w:pPr>
        <w:keepNext/>
        <w:keepLines/>
        <w:autoSpaceDE w:val="0"/>
        <w:autoSpaceDN w:val="0"/>
        <w:adjustRightInd w:val="0"/>
        <w:rPr>
          <w:rFonts w:ascii="Garamond" w:hAnsi="Garamond"/>
          <w:b/>
          <w:lang w:val="en-AU"/>
        </w:rPr>
      </w:pPr>
      <w:r w:rsidRPr="00EB0FFF">
        <w:rPr>
          <w:rFonts w:ascii="Garamond" w:hAnsi="Garamond"/>
          <w:b/>
          <w:lang w:val="en-AU"/>
        </w:rPr>
        <w:t>Reports</w:t>
      </w:r>
    </w:p>
    <w:p w:rsidR="007D7A6D" w:rsidRPr="00EB0FFF" w:rsidRDefault="007D7A6D" w:rsidP="007D7A6D">
      <w:pPr>
        <w:keepNext/>
        <w:keepLines/>
        <w:autoSpaceDE w:val="0"/>
        <w:autoSpaceDN w:val="0"/>
        <w:adjustRightInd w:val="0"/>
        <w:rPr>
          <w:rFonts w:ascii="Garamond" w:hAnsi="Garamond"/>
          <w:lang w:val="en-AU"/>
        </w:rPr>
      </w:pPr>
    </w:p>
    <w:p w:rsidR="00643F5E" w:rsidRPr="00EB0FFF" w:rsidRDefault="00643F5E" w:rsidP="00643F5E">
      <w:pPr>
        <w:keepNext/>
        <w:rPr>
          <w:rFonts w:ascii="Garamond" w:hAnsi="Garamond"/>
          <w:i/>
          <w:lang w:val="en-AU"/>
        </w:rPr>
      </w:pPr>
      <w:r w:rsidRPr="00EB0FFF">
        <w:rPr>
          <w:rFonts w:ascii="Garamond" w:hAnsi="Garamond"/>
          <w:i/>
          <w:lang w:val="en-AU"/>
        </w:rPr>
        <w:t>Who knows best? Older people’s contribution to understanding and preventing avoidable hospital admissions</w:t>
      </w:r>
    </w:p>
    <w:p w:rsidR="00643F5E" w:rsidRPr="00EB0FFF" w:rsidRDefault="00643F5E" w:rsidP="00643F5E">
      <w:pPr>
        <w:keepNext/>
        <w:rPr>
          <w:rFonts w:ascii="Garamond" w:hAnsi="Garamond"/>
          <w:lang w:val="en-AU"/>
        </w:rPr>
      </w:pPr>
      <w:r w:rsidRPr="00EB0FFF">
        <w:rPr>
          <w:rFonts w:ascii="Garamond" w:hAnsi="Garamond"/>
          <w:lang w:val="en-AU"/>
        </w:rPr>
        <w:t>Glasby J, Littlechild R, Le Mesurier N, Thwaites R, Oliver D, Jones S, et al. Who knows best? Older people’s contribution to understanding and preventing avoidable hospital admissions. Birmingham: Health Services Management Centre, Department of Social Policy and Social Work, University of Birmingham; 2016. p. 64.</w:t>
      </w:r>
    </w:p>
    <w:tbl>
      <w:tblPr>
        <w:tblStyle w:val="TableGrid"/>
        <w:tblW w:w="0" w:type="auto"/>
        <w:tblInd w:w="288" w:type="dxa"/>
        <w:tblLayout w:type="fixed"/>
        <w:tblLook w:val="01E0" w:firstRow="1" w:lastRow="1" w:firstColumn="1" w:lastColumn="1" w:noHBand="0" w:noVBand="0"/>
      </w:tblPr>
      <w:tblGrid>
        <w:gridCol w:w="1080"/>
        <w:gridCol w:w="8280"/>
      </w:tblGrid>
      <w:tr w:rsidR="00643F5E" w:rsidRPr="00EB0FFF" w:rsidTr="0058224C">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58224C">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43F5E" w:rsidRPr="00EB0FFF" w:rsidRDefault="00FF1579" w:rsidP="0058224C">
            <w:pPr>
              <w:shd w:val="clear" w:color="auto" w:fill="FFFFFF"/>
              <w:rPr>
                <w:rStyle w:val="Hyperlink"/>
                <w:rFonts w:ascii="Garamond" w:hAnsi="Garamond"/>
                <w:color w:val="auto"/>
                <w:u w:val="none"/>
                <w:lang w:val="en-AU"/>
              </w:rPr>
            </w:pPr>
            <w:hyperlink r:id="rId16" w:history="1">
              <w:r w:rsidR="00643F5E" w:rsidRPr="00EB0FFF">
                <w:rPr>
                  <w:rStyle w:val="Hyperlink"/>
                  <w:rFonts w:ascii="Garamond" w:hAnsi="Garamond"/>
                  <w:lang w:val="en-AU"/>
                </w:rPr>
                <w:t>http://www.birmingham.ac.uk/Documents/college-social-sciences/social-policy/HSMC/publications/2016/who-knows-best.pdf</w:t>
              </w:r>
            </w:hyperlink>
          </w:p>
        </w:tc>
      </w:tr>
      <w:tr w:rsidR="00643F5E" w:rsidRPr="00EB0FFF" w:rsidTr="0058224C">
        <w:tc>
          <w:tcPr>
            <w:tcW w:w="1080" w:type="dxa"/>
            <w:tcBorders>
              <w:top w:val="single" w:sz="4" w:space="0" w:color="auto"/>
              <w:left w:val="single" w:sz="4" w:space="0" w:color="auto"/>
              <w:bottom w:val="single" w:sz="4" w:space="0" w:color="auto"/>
              <w:right w:val="single" w:sz="4" w:space="0" w:color="auto"/>
            </w:tcBorders>
            <w:vAlign w:val="center"/>
          </w:tcPr>
          <w:p w:rsidR="00643F5E" w:rsidRPr="00EB0FFF" w:rsidRDefault="00643F5E" w:rsidP="0058224C">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43F5E" w:rsidRPr="00EB0FFF" w:rsidRDefault="00BC7A60" w:rsidP="00BC7A60">
            <w:pPr>
              <w:rPr>
                <w:rFonts w:ascii="Garamond" w:hAnsi="Garamond"/>
                <w:lang w:val="en-AU" w:eastAsia="en-AU"/>
              </w:rPr>
            </w:pPr>
            <w:r w:rsidRPr="00EB0FFF">
              <w:rPr>
                <w:rFonts w:ascii="Garamond" w:hAnsi="Garamond"/>
                <w:lang w:val="en-AU" w:eastAsia="en-AU"/>
              </w:rPr>
              <w:t>Report of a study that interviewed or surveyed older people and their GPs or hospital doctors to examine whether the older people felt it was appropriate to be admitted to hospital and whether they thought anything could have prevented their admission.</w:t>
            </w:r>
          </w:p>
          <w:p w:rsidR="00BC7A60" w:rsidRPr="00EB0FFF" w:rsidRDefault="00BC7A60" w:rsidP="00BC7A60">
            <w:pPr>
              <w:rPr>
                <w:rFonts w:ascii="Garamond" w:hAnsi="Garamond"/>
                <w:lang w:val="en-AU" w:eastAsia="en-AU"/>
              </w:rPr>
            </w:pPr>
            <w:r w:rsidRPr="00EB0FFF">
              <w:rPr>
                <w:rFonts w:ascii="Garamond" w:hAnsi="Garamond"/>
                <w:lang w:val="en-AU" w:eastAsia="en-AU"/>
              </w:rPr>
              <w:t>A number of themes for good practice emerged from the key findings:</w:t>
            </w:r>
          </w:p>
          <w:p w:rsidR="00BC7A60" w:rsidRPr="00EB0FFF" w:rsidRDefault="00BC7A60" w:rsidP="00BC7A60">
            <w:pPr>
              <w:pStyle w:val="ListParagraph"/>
              <w:numPr>
                <w:ilvl w:val="0"/>
                <w:numId w:val="38"/>
              </w:numPr>
              <w:rPr>
                <w:rFonts w:ascii="Garamond" w:hAnsi="Garamond"/>
                <w:lang w:val="en-AU" w:eastAsia="en-AU"/>
              </w:rPr>
            </w:pPr>
            <w:r w:rsidRPr="00EB0FFF">
              <w:rPr>
                <w:rFonts w:ascii="Garamond" w:hAnsi="Garamond"/>
                <w:lang w:val="en-AU" w:eastAsia="en-AU"/>
              </w:rPr>
              <w:t>Conditions where older people don’t feel a ‘burden’ need to be created. The study did not find large numbers of older people being inappropriately admitted to hospital; rather evidence was found of older people doing their best to stay out of hospital.</w:t>
            </w:r>
          </w:p>
          <w:p w:rsidR="00BC7A60" w:rsidRPr="00EB0FFF" w:rsidRDefault="00BC7A60" w:rsidP="00BC7A60">
            <w:pPr>
              <w:pStyle w:val="ListParagraph"/>
              <w:numPr>
                <w:ilvl w:val="0"/>
                <w:numId w:val="38"/>
              </w:numPr>
              <w:rPr>
                <w:rFonts w:ascii="Garamond" w:hAnsi="Garamond"/>
                <w:lang w:val="en-AU" w:eastAsia="en-AU"/>
              </w:rPr>
            </w:pPr>
            <w:r w:rsidRPr="00EB0FFF">
              <w:rPr>
                <w:rFonts w:ascii="Garamond" w:hAnsi="Garamond"/>
                <w:lang w:val="en-AU" w:eastAsia="en-AU"/>
              </w:rPr>
              <w:t>Community services which could prevent hospital admissions and/or ensure a speedy discharge should be accessible and timely. Both hospital and community services need to be clear with staff and patients about their priorities and criteria for access.</w:t>
            </w:r>
          </w:p>
          <w:p w:rsidR="00BC7A60" w:rsidRPr="00EB0FFF" w:rsidRDefault="00BC7A60" w:rsidP="00BC7A60">
            <w:pPr>
              <w:pStyle w:val="ListParagraph"/>
              <w:numPr>
                <w:ilvl w:val="0"/>
                <w:numId w:val="38"/>
              </w:numPr>
              <w:rPr>
                <w:rFonts w:ascii="Garamond" w:hAnsi="Garamond"/>
                <w:lang w:val="en-AU" w:eastAsia="en-AU"/>
              </w:rPr>
            </w:pPr>
            <w:r w:rsidRPr="00EB0FFF">
              <w:rPr>
                <w:rFonts w:ascii="Garamond" w:hAnsi="Garamond"/>
                <w:lang w:val="en-AU" w:eastAsia="en-AU"/>
              </w:rPr>
              <w:lastRenderedPageBreak/>
              <w:t>Avoiding admissions needs experienced, timely assessment – GPs, paramedics and hospital staff have a key role to play.</w:t>
            </w:r>
          </w:p>
          <w:p w:rsidR="00BC7A60" w:rsidRPr="00EB0FFF" w:rsidRDefault="00BC7A60" w:rsidP="00BC7A60">
            <w:pPr>
              <w:pStyle w:val="ListParagraph"/>
              <w:numPr>
                <w:ilvl w:val="0"/>
                <w:numId w:val="38"/>
              </w:numPr>
              <w:rPr>
                <w:rFonts w:ascii="Garamond" w:hAnsi="Garamond"/>
                <w:lang w:val="en-AU" w:eastAsia="en-AU"/>
              </w:rPr>
            </w:pPr>
            <w:r w:rsidRPr="00EB0FFF">
              <w:rPr>
                <w:rFonts w:ascii="Garamond" w:hAnsi="Garamond"/>
                <w:lang w:val="en-AU" w:eastAsia="en-AU"/>
              </w:rPr>
              <w:t>Issues of capacity and funding in social care services need to be addressed if they are to play an active role in preventing hospital admissions.</w:t>
            </w:r>
          </w:p>
          <w:p w:rsidR="00BC7A60" w:rsidRPr="00EB0FFF" w:rsidRDefault="00BC7A60" w:rsidP="00BC7A60">
            <w:pPr>
              <w:pStyle w:val="ListParagraph"/>
              <w:numPr>
                <w:ilvl w:val="0"/>
                <w:numId w:val="38"/>
              </w:numPr>
              <w:rPr>
                <w:rFonts w:ascii="Garamond" w:hAnsi="Garamond"/>
                <w:lang w:val="en-AU" w:eastAsia="en-AU"/>
              </w:rPr>
            </w:pPr>
            <w:r w:rsidRPr="00EB0FFF">
              <w:rPr>
                <w:rFonts w:ascii="Garamond" w:hAnsi="Garamond"/>
                <w:lang w:val="en-AU" w:eastAsia="en-AU"/>
              </w:rPr>
              <w:t>Increased dementia training for hospital staff and dementia-friendly environments are important considerations.</w:t>
            </w:r>
          </w:p>
          <w:p w:rsidR="00BC7A60" w:rsidRPr="00EB0FFF" w:rsidRDefault="00BC7A60" w:rsidP="00BC7A60">
            <w:pPr>
              <w:rPr>
                <w:rFonts w:ascii="Garamond" w:hAnsi="Garamond"/>
                <w:lang w:val="en-AU" w:eastAsia="en-AU"/>
              </w:rPr>
            </w:pPr>
            <w:r w:rsidRPr="00EB0FFF">
              <w:rPr>
                <w:rFonts w:ascii="Garamond" w:hAnsi="Garamond"/>
                <w:lang w:val="en-AU" w:eastAsia="en-AU"/>
              </w:rPr>
              <w:t xml:space="preserve">The key themes and other ‘top tips’ appear in a national guide to good practice (available at </w:t>
            </w:r>
            <w:hyperlink r:id="rId17" w:history="1">
              <w:r w:rsidRPr="00EB0FFF">
                <w:rPr>
                  <w:rStyle w:val="Hyperlink"/>
                  <w:rFonts w:ascii="Garamond" w:hAnsi="Garamond"/>
                  <w:lang w:val="en-AU" w:eastAsia="en-AU"/>
                </w:rPr>
                <w:t>http://www.birmingham.ac.uk/documents/college-social-sciences/social-policy/SPSW/2016/good-practice-guide.pdf</w:t>
              </w:r>
            </w:hyperlink>
            <w:r w:rsidRPr="00EB0FFF">
              <w:rPr>
                <w:rFonts w:ascii="Garamond" w:hAnsi="Garamond"/>
                <w:lang w:val="en-AU" w:eastAsia="en-AU"/>
              </w:rPr>
              <w:t xml:space="preserve">). </w:t>
            </w:r>
          </w:p>
          <w:p w:rsidR="00BC7A60" w:rsidRPr="00EB0FFF" w:rsidRDefault="00BC7A60" w:rsidP="00BC7A60">
            <w:pPr>
              <w:rPr>
                <w:rFonts w:ascii="Garamond" w:hAnsi="Garamond"/>
                <w:lang w:val="en-AU" w:eastAsia="en-AU"/>
              </w:rPr>
            </w:pPr>
            <w:r w:rsidRPr="00EB0FFF">
              <w:rPr>
                <w:rFonts w:ascii="Garamond" w:hAnsi="Garamond"/>
                <w:lang w:val="en-AU" w:eastAsia="en-AU"/>
              </w:rPr>
              <w:t>The ten top tips were:</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Create conditions where older people don’t feel they are a ‘burden’</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Community alternatives need to be easier to access</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This a two-way process, and hospitals need to play their part</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Language matters – there’s a difference between ‘inappropriate’ and preventable admissions</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Don’t leave it too late to explore alternatives</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Every contact counts</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GPs and paramedics have a key role to play</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Don’t neglect adult social care</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Ensure services are set up to work well with people with dementia</w:t>
            </w:r>
          </w:p>
          <w:p w:rsidR="00BC7A60" w:rsidRPr="00EB0FFF" w:rsidRDefault="00BC7A60" w:rsidP="00BC7A60">
            <w:pPr>
              <w:pStyle w:val="ListParagraph"/>
              <w:numPr>
                <w:ilvl w:val="0"/>
                <w:numId w:val="37"/>
              </w:numPr>
              <w:rPr>
                <w:rFonts w:ascii="Garamond" w:hAnsi="Garamond"/>
                <w:lang w:val="en-AU" w:eastAsia="en-AU"/>
              </w:rPr>
            </w:pPr>
            <w:r w:rsidRPr="00EB0FFF">
              <w:rPr>
                <w:rFonts w:ascii="Garamond" w:hAnsi="Garamond"/>
                <w:lang w:val="en-AU" w:eastAsia="en-AU"/>
              </w:rPr>
              <w:t>Older people are experts by experience – and we neglect this expertise at our peril.</w:t>
            </w:r>
          </w:p>
        </w:tc>
      </w:tr>
    </w:tbl>
    <w:p w:rsidR="00643F5E" w:rsidRPr="00EB0FFF" w:rsidRDefault="00643F5E" w:rsidP="00643F5E">
      <w:pPr>
        <w:autoSpaceDE w:val="0"/>
        <w:autoSpaceDN w:val="0"/>
        <w:adjustRightInd w:val="0"/>
        <w:rPr>
          <w:rFonts w:ascii="Garamond" w:hAnsi="Garamond"/>
          <w:lang w:val="en-AU" w:eastAsia="en-AU"/>
        </w:rPr>
      </w:pPr>
    </w:p>
    <w:p w:rsidR="005C71F8" w:rsidRPr="00EB0FFF" w:rsidRDefault="005C71F8" w:rsidP="005C71F8">
      <w:pPr>
        <w:autoSpaceDE w:val="0"/>
        <w:autoSpaceDN w:val="0"/>
        <w:adjustRightInd w:val="0"/>
        <w:rPr>
          <w:rFonts w:ascii="Garamond" w:hAnsi="Garamond"/>
          <w:lang w:val="en-AU" w:eastAsia="en-AU"/>
        </w:rPr>
      </w:pPr>
      <w:r w:rsidRPr="00EB0FFF">
        <w:rPr>
          <w:rFonts w:ascii="Garamond" w:hAnsi="Garamond"/>
          <w:lang w:val="en-AU" w:eastAsia="en-AU"/>
        </w:rPr>
        <w:t xml:space="preserve">For information on the Commission’s work on patient and consumer centred care, see </w:t>
      </w:r>
      <w:hyperlink r:id="rId18" w:history="1">
        <w:r w:rsidRPr="00EB0FFF">
          <w:rPr>
            <w:rStyle w:val="Hyperlink"/>
            <w:rFonts w:ascii="Garamond" w:hAnsi="Garamond"/>
            <w:lang w:val="en-AU" w:eastAsia="en-AU"/>
          </w:rPr>
          <w:t>www.safetyandquality.gov.au/our-work/patient-and-consumer-centred-care/</w:t>
        </w:r>
      </w:hyperlink>
    </w:p>
    <w:p w:rsidR="00643F5E" w:rsidRPr="00EB0FFF" w:rsidRDefault="00643F5E" w:rsidP="007D7A6D">
      <w:pPr>
        <w:keepNext/>
        <w:keepLines/>
        <w:autoSpaceDE w:val="0"/>
        <w:autoSpaceDN w:val="0"/>
        <w:adjustRightInd w:val="0"/>
        <w:rPr>
          <w:rFonts w:ascii="Garamond" w:hAnsi="Garamond"/>
          <w:lang w:val="en-AU"/>
        </w:rPr>
      </w:pPr>
    </w:p>
    <w:p w:rsidR="00F875BF" w:rsidRPr="00EB0FFF" w:rsidRDefault="001453FE" w:rsidP="00F875BF">
      <w:pPr>
        <w:keepNext/>
        <w:rPr>
          <w:rFonts w:ascii="Garamond" w:hAnsi="Garamond"/>
          <w:i/>
          <w:lang w:val="en-AU"/>
        </w:rPr>
      </w:pPr>
      <w:r w:rsidRPr="00EB0FFF">
        <w:rPr>
          <w:rFonts w:ascii="Garamond" w:hAnsi="Garamond"/>
          <w:i/>
          <w:lang w:val="en-AU"/>
        </w:rPr>
        <w:t>Fairer decisions, better health for all: Health equity and cost-effectiveness analysis</w:t>
      </w:r>
    </w:p>
    <w:p w:rsidR="001453FE" w:rsidRPr="00EB0FFF" w:rsidRDefault="001453FE" w:rsidP="00F875BF">
      <w:pPr>
        <w:keepNext/>
        <w:rPr>
          <w:rFonts w:ascii="Garamond" w:hAnsi="Garamond"/>
          <w:lang w:val="en-AU"/>
        </w:rPr>
      </w:pPr>
      <w:r w:rsidRPr="00EB0FFF">
        <w:rPr>
          <w:rFonts w:ascii="Garamond" w:hAnsi="Garamond"/>
          <w:lang w:val="en-AU"/>
        </w:rPr>
        <w:t>Cookson RA, Mirelman A, Asaria M, Dawkins B, Griffin S</w:t>
      </w:r>
    </w:p>
    <w:p w:rsidR="001453FE" w:rsidRPr="00EB0FFF" w:rsidRDefault="001453FE" w:rsidP="00F875BF">
      <w:pPr>
        <w:keepNext/>
        <w:rPr>
          <w:rFonts w:ascii="Garamond" w:hAnsi="Garamond"/>
          <w:lang w:val="en-AU"/>
        </w:rPr>
      </w:pPr>
      <w:r w:rsidRPr="00EB0FFF">
        <w:rPr>
          <w:rFonts w:ascii="Garamond" w:hAnsi="Garamond"/>
          <w:lang w:val="en-AU"/>
        </w:rPr>
        <w:t>Centre for Health Economics, University of York. 2016 Sep, p. 1-43. (CHE Research Paper; 135).</w:t>
      </w:r>
    </w:p>
    <w:tbl>
      <w:tblPr>
        <w:tblStyle w:val="TableGrid"/>
        <w:tblW w:w="0" w:type="auto"/>
        <w:tblInd w:w="288" w:type="dxa"/>
        <w:tblLayout w:type="fixed"/>
        <w:tblLook w:val="01E0" w:firstRow="1" w:lastRow="1" w:firstColumn="1" w:lastColumn="1" w:noHBand="0" w:noVBand="0"/>
      </w:tblPr>
      <w:tblGrid>
        <w:gridCol w:w="1080"/>
        <w:gridCol w:w="8280"/>
      </w:tblGrid>
      <w:tr w:rsidR="00F875BF" w:rsidRPr="00EB0FFF" w:rsidTr="007066C9">
        <w:tc>
          <w:tcPr>
            <w:tcW w:w="1080" w:type="dxa"/>
            <w:tcBorders>
              <w:top w:val="single" w:sz="4" w:space="0" w:color="auto"/>
              <w:left w:val="single" w:sz="4" w:space="0" w:color="auto"/>
              <w:bottom w:val="single" w:sz="4" w:space="0" w:color="auto"/>
              <w:right w:val="single" w:sz="4" w:space="0" w:color="auto"/>
            </w:tcBorders>
            <w:vAlign w:val="center"/>
          </w:tcPr>
          <w:p w:rsidR="00F875BF" w:rsidRPr="00EB0FFF" w:rsidRDefault="00F875BF" w:rsidP="007066C9">
            <w:pPr>
              <w:rPr>
                <w:rStyle w:val="Hyperlink"/>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453FE" w:rsidRPr="00EB0FFF" w:rsidRDefault="00FF1579" w:rsidP="001453FE">
            <w:pPr>
              <w:shd w:val="clear" w:color="auto" w:fill="FFFFFF"/>
              <w:rPr>
                <w:rStyle w:val="Hyperlink"/>
                <w:rFonts w:ascii="Garamond" w:hAnsi="Garamond"/>
                <w:color w:val="auto"/>
                <w:u w:val="none"/>
                <w:lang w:val="en-AU"/>
              </w:rPr>
            </w:pPr>
            <w:hyperlink r:id="rId19" w:history="1">
              <w:r w:rsidR="001453FE" w:rsidRPr="00EB0FFF">
                <w:rPr>
                  <w:rStyle w:val="Hyperlink"/>
                  <w:rFonts w:ascii="Garamond" w:hAnsi="Garamond"/>
                  <w:lang w:val="en-AU"/>
                </w:rPr>
                <w:t>http://www.york.ac.uk/media/che/documents/papers/researchpapers/CHERP135_fairer_decisions_health_equity_cost-effectiveness.pdf</w:t>
              </w:r>
            </w:hyperlink>
          </w:p>
        </w:tc>
      </w:tr>
      <w:tr w:rsidR="00F875BF" w:rsidRPr="00EB0FFF" w:rsidTr="007066C9">
        <w:tc>
          <w:tcPr>
            <w:tcW w:w="1080" w:type="dxa"/>
            <w:tcBorders>
              <w:top w:val="single" w:sz="4" w:space="0" w:color="auto"/>
              <w:left w:val="single" w:sz="4" w:space="0" w:color="auto"/>
              <w:bottom w:val="single" w:sz="4" w:space="0" w:color="auto"/>
              <w:right w:val="single" w:sz="4" w:space="0" w:color="auto"/>
            </w:tcBorders>
            <w:vAlign w:val="center"/>
          </w:tcPr>
          <w:p w:rsidR="00F875BF" w:rsidRPr="00EB0FFF" w:rsidRDefault="00F875BF" w:rsidP="007066C9">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53FE" w:rsidRPr="00EB0FFF" w:rsidRDefault="001453FE" w:rsidP="001453FE">
            <w:pPr>
              <w:rPr>
                <w:rFonts w:ascii="Garamond" w:hAnsi="Garamond"/>
                <w:lang w:val="en-AU" w:eastAsia="en-AU"/>
              </w:rPr>
            </w:pPr>
            <w:r w:rsidRPr="00EB0FFF">
              <w:rPr>
                <w:rFonts w:ascii="Garamond" w:hAnsi="Garamond"/>
                <w:lang w:val="en-AU" w:eastAsia="en-AU"/>
              </w:rPr>
              <w:t xml:space="preserve">This report from the Centre for Health Economics at the University of York in England offers an introduction to cost-effectiveness analysis to address health equity concerns. Such methods can help understand possible impacts of health policy on inequalities in health, financial risk protection and other health-related outcomes. The authors describe three ways of using cost-effectiveness analysis to address health equity concerns: </w:t>
            </w:r>
          </w:p>
          <w:p w:rsidR="001453FE" w:rsidRPr="00EB0FFF" w:rsidRDefault="001453FE" w:rsidP="001453FE">
            <w:pPr>
              <w:pStyle w:val="ListParagraph"/>
              <w:numPr>
                <w:ilvl w:val="0"/>
                <w:numId w:val="35"/>
              </w:numPr>
              <w:rPr>
                <w:rFonts w:ascii="Garamond" w:hAnsi="Garamond"/>
                <w:lang w:val="en-AU" w:eastAsia="en-AU"/>
              </w:rPr>
            </w:pPr>
            <w:r w:rsidRPr="00EB0FFF">
              <w:rPr>
                <w:rFonts w:ascii="Garamond" w:hAnsi="Garamond"/>
                <w:b/>
                <w:lang w:val="en-AU" w:eastAsia="en-AU"/>
              </w:rPr>
              <w:t>equity impact analysis</w:t>
            </w:r>
            <w:r w:rsidRPr="00EB0FFF">
              <w:rPr>
                <w:rFonts w:ascii="Garamond" w:hAnsi="Garamond"/>
                <w:lang w:val="en-AU" w:eastAsia="en-AU"/>
              </w:rPr>
              <w:t xml:space="preserve"> – which quantifies the distribution of costs and effects across a population by equity-relevant variables such as socioeconomic status, ethnicity, location, gender, age and severity of illness</w:t>
            </w:r>
          </w:p>
          <w:p w:rsidR="001453FE" w:rsidRPr="00EB0FFF" w:rsidRDefault="001453FE" w:rsidP="001453FE">
            <w:pPr>
              <w:pStyle w:val="ListParagraph"/>
              <w:numPr>
                <w:ilvl w:val="0"/>
                <w:numId w:val="35"/>
              </w:numPr>
              <w:rPr>
                <w:rFonts w:ascii="Garamond" w:hAnsi="Garamond"/>
                <w:lang w:val="en-AU" w:eastAsia="en-AU"/>
              </w:rPr>
            </w:pPr>
            <w:r w:rsidRPr="00EB0FFF">
              <w:rPr>
                <w:rFonts w:ascii="Garamond" w:hAnsi="Garamond"/>
                <w:b/>
                <w:lang w:val="en-AU" w:eastAsia="en-AU"/>
              </w:rPr>
              <w:t>equity constraint analysis</w:t>
            </w:r>
            <w:r w:rsidRPr="00EB0FFF">
              <w:rPr>
                <w:rFonts w:ascii="Garamond" w:hAnsi="Garamond"/>
                <w:lang w:val="en-AU" w:eastAsia="en-AU"/>
              </w:rPr>
              <w:t xml:space="preserve"> –  which counts the cost of choosing fairer but less cost-effective options</w:t>
            </w:r>
          </w:p>
          <w:p w:rsidR="001453FE" w:rsidRPr="00EB0FFF" w:rsidRDefault="001453FE" w:rsidP="004468A1">
            <w:pPr>
              <w:pStyle w:val="ListParagraph"/>
              <w:numPr>
                <w:ilvl w:val="0"/>
                <w:numId w:val="35"/>
              </w:numPr>
              <w:rPr>
                <w:rFonts w:ascii="Garamond" w:hAnsi="Garamond"/>
                <w:lang w:val="en-AU" w:eastAsia="en-AU"/>
              </w:rPr>
            </w:pPr>
            <w:r w:rsidRPr="00EB0FFF">
              <w:rPr>
                <w:rFonts w:ascii="Garamond" w:hAnsi="Garamond"/>
                <w:b/>
                <w:lang w:val="en-AU" w:eastAsia="en-AU"/>
              </w:rPr>
              <w:t>equity weighting analysis</w:t>
            </w:r>
            <w:r w:rsidR="004468A1" w:rsidRPr="00EB0FFF">
              <w:rPr>
                <w:rFonts w:ascii="Garamond" w:hAnsi="Garamond"/>
                <w:b/>
                <w:lang w:val="en-AU" w:eastAsia="en-AU"/>
              </w:rPr>
              <w:t xml:space="preserve"> </w:t>
            </w:r>
            <w:r w:rsidR="004468A1" w:rsidRPr="00EB0FFF">
              <w:rPr>
                <w:rFonts w:ascii="Garamond" w:hAnsi="Garamond"/>
                <w:lang w:val="en-AU" w:eastAsia="en-AU"/>
              </w:rPr>
              <w:t xml:space="preserve">– </w:t>
            </w:r>
            <w:r w:rsidRPr="00EB0FFF">
              <w:rPr>
                <w:rFonts w:ascii="Garamond" w:hAnsi="Garamond"/>
                <w:lang w:val="en-AU" w:eastAsia="en-AU"/>
              </w:rPr>
              <w:t xml:space="preserve"> which uses equity weights or parameters to explore how much concern for equity is required to choose fairer but less cost-effective options.</w:t>
            </w:r>
          </w:p>
        </w:tc>
      </w:tr>
    </w:tbl>
    <w:p w:rsidR="006C1E40" w:rsidRPr="00EB0FFF" w:rsidRDefault="006C1E40" w:rsidP="006C1E40">
      <w:pPr>
        <w:autoSpaceDE w:val="0"/>
        <w:autoSpaceDN w:val="0"/>
        <w:adjustRightInd w:val="0"/>
        <w:rPr>
          <w:rFonts w:ascii="Garamond" w:hAnsi="Garamond"/>
          <w:lang w:val="en-AU" w:eastAsia="en-AU"/>
        </w:rPr>
      </w:pPr>
    </w:p>
    <w:p w:rsidR="0003042C" w:rsidRPr="00EB0FFF" w:rsidRDefault="0003042C" w:rsidP="007D7A6D">
      <w:pPr>
        <w:keepNext/>
        <w:rPr>
          <w:rFonts w:ascii="Garamond" w:hAnsi="Garamond"/>
          <w:i/>
          <w:lang w:val="en-AU"/>
        </w:rPr>
      </w:pPr>
    </w:p>
    <w:p w:rsidR="00C14383" w:rsidRDefault="00C14383">
      <w:pPr>
        <w:rPr>
          <w:rFonts w:ascii="Garamond" w:hAnsi="Garamond"/>
          <w:b/>
          <w:lang w:val="en-AU"/>
        </w:rPr>
      </w:pPr>
      <w:r>
        <w:rPr>
          <w:rFonts w:ascii="Garamond" w:hAnsi="Garamond"/>
          <w:b/>
          <w:lang w:val="en-AU"/>
        </w:rPr>
        <w:br w:type="page"/>
      </w:r>
    </w:p>
    <w:p w:rsidR="00BF1006" w:rsidRPr="00EB0FFF" w:rsidRDefault="005F52C2" w:rsidP="004F47AC">
      <w:pPr>
        <w:keepNext/>
        <w:keepLines/>
        <w:autoSpaceDE w:val="0"/>
        <w:autoSpaceDN w:val="0"/>
        <w:adjustRightInd w:val="0"/>
        <w:rPr>
          <w:rFonts w:ascii="Garamond" w:hAnsi="Garamond"/>
          <w:b/>
          <w:lang w:val="en-AU"/>
        </w:rPr>
      </w:pPr>
      <w:r w:rsidRPr="00EB0FFF">
        <w:rPr>
          <w:rFonts w:ascii="Garamond" w:hAnsi="Garamond"/>
          <w:b/>
          <w:lang w:val="en-AU"/>
        </w:rPr>
        <w:lastRenderedPageBreak/>
        <w:t>Journal articles</w:t>
      </w:r>
    </w:p>
    <w:p w:rsidR="009B53E9" w:rsidRPr="00EB0FFF" w:rsidRDefault="009B53E9" w:rsidP="009B53E9">
      <w:pPr>
        <w:rPr>
          <w:rFonts w:ascii="Garamond" w:hAnsi="Garamond"/>
          <w:lang w:val="en-AU"/>
        </w:rPr>
      </w:pPr>
    </w:p>
    <w:p w:rsidR="00F04F10" w:rsidRPr="00EB0FFF" w:rsidRDefault="009E433C" w:rsidP="00EE4AE7">
      <w:pPr>
        <w:keepNext/>
        <w:keepLines/>
        <w:autoSpaceDE w:val="0"/>
        <w:autoSpaceDN w:val="0"/>
        <w:adjustRightInd w:val="0"/>
        <w:rPr>
          <w:rFonts w:ascii="Garamond" w:hAnsi="Garamond"/>
          <w:i/>
          <w:lang w:val="en-AU"/>
        </w:rPr>
      </w:pPr>
      <w:r w:rsidRPr="00EB0FFF">
        <w:rPr>
          <w:rFonts w:ascii="Garamond" w:hAnsi="Garamond"/>
          <w:i/>
          <w:lang w:val="en-AU"/>
        </w:rPr>
        <w:t>Characterising the nature of primary care patient safety incident reports in the England and Wales National Reporting and Learning System: a mixed-methods agenda-setting study for general practice</w:t>
      </w:r>
    </w:p>
    <w:p w:rsidR="006957C0" w:rsidRPr="00EB0FFF" w:rsidRDefault="006957C0" w:rsidP="00EE4AE7">
      <w:pPr>
        <w:keepNext/>
        <w:keepLines/>
        <w:autoSpaceDE w:val="0"/>
        <w:autoSpaceDN w:val="0"/>
        <w:adjustRightInd w:val="0"/>
        <w:rPr>
          <w:rFonts w:ascii="Garamond" w:hAnsi="Garamond"/>
          <w:lang w:val="en-AU"/>
        </w:rPr>
      </w:pPr>
      <w:r w:rsidRPr="00EB0FFF">
        <w:rPr>
          <w:rFonts w:ascii="Garamond" w:hAnsi="Garamond"/>
          <w:lang w:val="en-AU"/>
        </w:rPr>
        <w:t xml:space="preserve">Carson-Stevens A, Hibbert P, Williams H, Evans HP, Cooper A, Rees P, et al. </w:t>
      </w:r>
    </w:p>
    <w:p w:rsidR="009E433C" w:rsidRPr="00EB0FFF" w:rsidRDefault="006957C0" w:rsidP="00EE4AE7">
      <w:pPr>
        <w:keepNext/>
        <w:keepLines/>
        <w:autoSpaceDE w:val="0"/>
        <w:autoSpaceDN w:val="0"/>
        <w:adjustRightInd w:val="0"/>
        <w:rPr>
          <w:rFonts w:ascii="Garamond" w:hAnsi="Garamond"/>
          <w:lang w:val="en-AU"/>
        </w:rPr>
      </w:pPr>
      <w:r w:rsidRPr="00EB0FFF">
        <w:rPr>
          <w:rFonts w:ascii="Garamond" w:hAnsi="Garamond"/>
          <w:lang w:val="en-AU"/>
        </w:rPr>
        <w:t>Health Services and Delivery Research. 2016;4(27).</w:t>
      </w:r>
    </w:p>
    <w:tbl>
      <w:tblPr>
        <w:tblStyle w:val="TableGrid"/>
        <w:tblW w:w="0" w:type="auto"/>
        <w:tblInd w:w="288" w:type="dxa"/>
        <w:tblLayout w:type="fixed"/>
        <w:tblLook w:val="01E0" w:firstRow="1" w:lastRow="1" w:firstColumn="1" w:lastColumn="1" w:noHBand="0" w:noVBand="0"/>
      </w:tblPr>
      <w:tblGrid>
        <w:gridCol w:w="1080"/>
        <w:gridCol w:w="8280"/>
      </w:tblGrid>
      <w:tr w:rsidR="00EE4AE7" w:rsidRPr="00EB0FFF" w:rsidTr="0020765C">
        <w:tc>
          <w:tcPr>
            <w:tcW w:w="1080" w:type="dxa"/>
            <w:tcBorders>
              <w:top w:val="single" w:sz="4" w:space="0" w:color="auto"/>
              <w:left w:val="single" w:sz="4" w:space="0" w:color="auto"/>
              <w:bottom w:val="single" w:sz="4" w:space="0" w:color="auto"/>
              <w:right w:val="single" w:sz="4" w:space="0" w:color="auto"/>
            </w:tcBorders>
            <w:vAlign w:val="center"/>
          </w:tcPr>
          <w:p w:rsidR="00EE4AE7" w:rsidRPr="00EB0FFF" w:rsidRDefault="00EE4AE7" w:rsidP="0020765C">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4AE7" w:rsidRPr="00EB0FFF" w:rsidRDefault="00FF1579" w:rsidP="00E05FB9">
            <w:pPr>
              <w:rPr>
                <w:rStyle w:val="Hyperlink"/>
                <w:rFonts w:ascii="Garamond" w:hAnsi="Garamond"/>
                <w:color w:val="auto"/>
                <w:u w:val="none"/>
                <w:lang w:val="en-AU"/>
              </w:rPr>
            </w:pPr>
            <w:hyperlink r:id="rId20" w:history="1">
              <w:r w:rsidR="009E433C" w:rsidRPr="00EB0FFF">
                <w:rPr>
                  <w:rStyle w:val="Hyperlink"/>
                  <w:rFonts w:ascii="Garamond" w:hAnsi="Garamond"/>
                  <w:lang w:val="en-AU"/>
                </w:rPr>
                <w:t>http://dx.doi.org/10.3310/hsdr04270</w:t>
              </w:r>
            </w:hyperlink>
          </w:p>
        </w:tc>
      </w:tr>
      <w:tr w:rsidR="00E05FB9" w:rsidRPr="00EB0FFF" w:rsidTr="0020765C">
        <w:tc>
          <w:tcPr>
            <w:tcW w:w="1080" w:type="dxa"/>
            <w:tcBorders>
              <w:top w:val="single" w:sz="4" w:space="0" w:color="auto"/>
              <w:left w:val="single" w:sz="4" w:space="0" w:color="auto"/>
              <w:bottom w:val="single" w:sz="4" w:space="0" w:color="auto"/>
              <w:right w:val="single" w:sz="4" w:space="0" w:color="auto"/>
            </w:tcBorders>
            <w:vAlign w:val="center"/>
          </w:tcPr>
          <w:p w:rsidR="00E05FB9" w:rsidRPr="00EB0FFF" w:rsidRDefault="00E05FB9" w:rsidP="0020765C">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957C0" w:rsidRPr="00EB0FFF" w:rsidRDefault="00643F5E" w:rsidP="006957C0">
            <w:pPr>
              <w:rPr>
                <w:rStyle w:val="Hyperlink"/>
                <w:rFonts w:ascii="Garamond" w:hAnsi="Garamond"/>
                <w:color w:val="auto"/>
                <w:u w:val="none"/>
                <w:lang w:val="en-AU"/>
              </w:rPr>
            </w:pPr>
            <w:r w:rsidRPr="00EB0FFF">
              <w:rPr>
                <w:rStyle w:val="Hyperlink"/>
                <w:rFonts w:ascii="Garamond" w:hAnsi="Garamond"/>
                <w:color w:val="auto"/>
                <w:u w:val="none"/>
                <w:lang w:val="en-AU"/>
              </w:rPr>
              <w:t xml:space="preserve">The extent and nature of incidents and harms in primary care is something of a problem of unknown extent. In England and Wales a </w:t>
            </w:r>
            <w:r w:rsidR="006957C0" w:rsidRPr="00EB0FFF">
              <w:rPr>
                <w:rStyle w:val="Hyperlink"/>
                <w:rFonts w:ascii="Garamond" w:hAnsi="Garamond"/>
                <w:color w:val="auto"/>
                <w:u w:val="none"/>
                <w:lang w:val="en-AU"/>
              </w:rPr>
              <w:t xml:space="preserve">National Reporting and Learning System </w:t>
            </w:r>
            <w:r w:rsidRPr="00EB0FFF">
              <w:rPr>
                <w:rStyle w:val="Hyperlink"/>
                <w:rFonts w:ascii="Garamond" w:hAnsi="Garamond"/>
                <w:color w:val="auto"/>
                <w:u w:val="none"/>
                <w:lang w:val="en-AU"/>
              </w:rPr>
              <w:t xml:space="preserve">was instituted </w:t>
            </w:r>
            <w:r w:rsidR="006957C0" w:rsidRPr="00EB0FFF">
              <w:rPr>
                <w:rStyle w:val="Hyperlink"/>
                <w:rFonts w:ascii="Garamond" w:hAnsi="Garamond"/>
                <w:color w:val="auto"/>
                <w:u w:val="none"/>
                <w:lang w:val="en-AU"/>
              </w:rPr>
              <w:t xml:space="preserve">to better understand patient safety incidents. This </w:t>
            </w:r>
            <w:r w:rsidRPr="00EB0FFF">
              <w:rPr>
                <w:rStyle w:val="Hyperlink"/>
                <w:rFonts w:ascii="Garamond" w:hAnsi="Garamond"/>
                <w:color w:val="auto"/>
                <w:u w:val="none"/>
                <w:lang w:val="en-AU"/>
              </w:rPr>
              <w:t xml:space="preserve">system now contains more than </w:t>
            </w:r>
            <w:r w:rsidR="006957C0" w:rsidRPr="00EB0FFF">
              <w:rPr>
                <w:rStyle w:val="Hyperlink"/>
                <w:rFonts w:ascii="Garamond" w:hAnsi="Garamond"/>
                <w:color w:val="auto"/>
                <w:u w:val="none"/>
                <w:lang w:val="en-AU"/>
              </w:rPr>
              <w:t xml:space="preserve">40,000 safety incident reports </w:t>
            </w:r>
            <w:r w:rsidRPr="00EB0FFF">
              <w:rPr>
                <w:rStyle w:val="Hyperlink"/>
                <w:rFonts w:ascii="Garamond" w:hAnsi="Garamond"/>
                <w:color w:val="auto"/>
                <w:u w:val="none"/>
                <w:lang w:val="en-AU"/>
              </w:rPr>
              <w:t xml:space="preserve">that </w:t>
            </w:r>
            <w:r w:rsidR="006957C0" w:rsidRPr="00EB0FFF">
              <w:rPr>
                <w:rStyle w:val="Hyperlink"/>
                <w:rFonts w:ascii="Garamond" w:hAnsi="Garamond"/>
                <w:color w:val="auto"/>
                <w:u w:val="none"/>
                <w:lang w:val="en-AU"/>
              </w:rPr>
              <w:t xml:space="preserve">have arisen from general practice. </w:t>
            </w:r>
            <w:r w:rsidRPr="00EB0FFF">
              <w:rPr>
                <w:rStyle w:val="Hyperlink"/>
                <w:rFonts w:ascii="Garamond" w:hAnsi="Garamond"/>
                <w:color w:val="auto"/>
                <w:u w:val="none"/>
                <w:lang w:val="en-AU"/>
              </w:rPr>
              <w:t xml:space="preserve">This </w:t>
            </w:r>
            <w:r w:rsidR="00204482" w:rsidRPr="00EB0FFF">
              <w:rPr>
                <w:rStyle w:val="Hyperlink"/>
                <w:rFonts w:ascii="Garamond" w:hAnsi="Garamond"/>
                <w:color w:val="auto"/>
                <w:u w:val="none"/>
                <w:lang w:val="en-AU"/>
              </w:rPr>
              <w:t xml:space="preserve">extensive </w:t>
            </w:r>
            <w:r w:rsidRPr="00EB0FFF">
              <w:rPr>
                <w:rStyle w:val="Hyperlink"/>
                <w:rFonts w:ascii="Garamond" w:hAnsi="Garamond"/>
                <w:color w:val="auto"/>
                <w:u w:val="none"/>
                <w:lang w:val="en-AU"/>
              </w:rPr>
              <w:t xml:space="preserve">study </w:t>
            </w:r>
            <w:r w:rsidR="00204482" w:rsidRPr="00EB0FFF">
              <w:rPr>
                <w:rStyle w:val="Hyperlink"/>
                <w:rFonts w:ascii="Garamond" w:hAnsi="Garamond"/>
                <w:color w:val="auto"/>
                <w:u w:val="none"/>
                <w:lang w:val="en-AU"/>
              </w:rPr>
              <w:t xml:space="preserve">(106 pages) </w:t>
            </w:r>
            <w:r w:rsidRPr="00EB0FFF">
              <w:rPr>
                <w:rStyle w:val="Hyperlink"/>
                <w:rFonts w:ascii="Garamond" w:hAnsi="Garamond"/>
                <w:color w:val="auto"/>
                <w:u w:val="none"/>
                <w:lang w:val="en-AU"/>
              </w:rPr>
              <w:t xml:space="preserve">examined these reports so as </w:t>
            </w:r>
            <w:r w:rsidR="006957C0" w:rsidRPr="00EB0FFF">
              <w:rPr>
                <w:rStyle w:val="Hyperlink"/>
                <w:rFonts w:ascii="Garamond" w:hAnsi="Garamond"/>
                <w:color w:val="auto"/>
                <w:u w:val="none"/>
                <w:lang w:val="en-AU"/>
              </w:rPr>
              <w:t>to identify the most frequent and most harmful patient safety incidents, and relevant contributory issues, to inform recommendations for improving the safety of primary care provision in key strategic areas.</w:t>
            </w:r>
          </w:p>
          <w:p w:rsidR="003B251D" w:rsidRPr="00EB0FFF" w:rsidRDefault="00643F5E" w:rsidP="00643F5E">
            <w:pPr>
              <w:rPr>
                <w:rStyle w:val="Hyperlink"/>
                <w:rFonts w:ascii="Garamond" w:hAnsi="Garamond"/>
                <w:color w:val="auto"/>
                <w:u w:val="none"/>
                <w:lang w:val="en-AU"/>
              </w:rPr>
            </w:pPr>
            <w:r w:rsidRPr="00EB0FFF">
              <w:rPr>
                <w:rStyle w:val="Hyperlink"/>
                <w:rFonts w:ascii="Garamond" w:hAnsi="Garamond"/>
                <w:color w:val="auto"/>
                <w:u w:val="none"/>
                <w:lang w:val="en-AU"/>
              </w:rPr>
              <w:t>One of the authors’ observation is that there is “</w:t>
            </w:r>
            <w:r w:rsidR="006957C0" w:rsidRPr="00EB0FFF">
              <w:rPr>
                <w:rStyle w:val="Hyperlink"/>
                <w:rFonts w:ascii="Garamond" w:hAnsi="Garamond"/>
                <w:color w:val="auto"/>
                <w:u w:val="none"/>
                <w:lang w:val="en-AU"/>
              </w:rPr>
              <w:t>considerable variation in reporting culture across England and Wales between organisations</w:t>
            </w:r>
            <w:r w:rsidR="003B251D" w:rsidRPr="00EB0FFF">
              <w:rPr>
                <w:rStyle w:val="Hyperlink"/>
                <w:rFonts w:ascii="Garamond" w:hAnsi="Garamond"/>
                <w:color w:val="auto"/>
                <w:u w:val="none"/>
                <w:lang w:val="en-AU"/>
              </w:rPr>
              <w:t xml:space="preserve">” with the majority of reports not describing </w:t>
            </w:r>
            <w:r w:rsidR="006957C0" w:rsidRPr="00EB0FFF">
              <w:rPr>
                <w:rStyle w:val="Hyperlink"/>
                <w:rFonts w:ascii="Garamond" w:hAnsi="Garamond"/>
                <w:color w:val="auto"/>
                <w:u w:val="none"/>
                <w:lang w:val="en-AU"/>
              </w:rPr>
              <w:t xml:space="preserve">explicit reasons why an incident occurred. </w:t>
            </w:r>
          </w:p>
          <w:p w:rsidR="006957C0" w:rsidRPr="00EB0FFF" w:rsidRDefault="003B251D" w:rsidP="00643F5E">
            <w:pPr>
              <w:rPr>
                <w:rStyle w:val="Hyperlink"/>
                <w:rFonts w:ascii="Garamond" w:hAnsi="Garamond"/>
                <w:color w:val="auto"/>
                <w:u w:val="none"/>
                <w:lang w:val="en-AU"/>
              </w:rPr>
            </w:pPr>
            <w:r w:rsidRPr="00EB0FFF">
              <w:rPr>
                <w:rStyle w:val="Hyperlink"/>
                <w:rFonts w:ascii="Garamond" w:hAnsi="Garamond"/>
                <w:color w:val="auto"/>
                <w:u w:val="none"/>
                <w:lang w:val="en-AU"/>
              </w:rPr>
              <w:t>The authors found that “</w:t>
            </w:r>
            <w:r w:rsidR="006957C0" w:rsidRPr="00EB0FFF">
              <w:rPr>
                <w:rStyle w:val="Hyperlink"/>
                <w:rFonts w:ascii="Garamond" w:hAnsi="Garamond"/>
                <w:b/>
                <w:color w:val="auto"/>
                <w:u w:val="none"/>
                <w:lang w:val="en-AU"/>
              </w:rPr>
              <w:t>Diagnosis- and assessment-related incidents</w:t>
            </w:r>
            <w:r w:rsidR="006957C0" w:rsidRPr="00EB0FFF">
              <w:rPr>
                <w:rStyle w:val="Hyperlink"/>
                <w:rFonts w:ascii="Garamond" w:hAnsi="Garamond"/>
                <w:color w:val="auto"/>
                <w:u w:val="none"/>
                <w:lang w:val="en-AU"/>
              </w:rPr>
              <w:t xml:space="preserve"> described the highest proportion of harm to patients; over three-quarters of these reports (79%) described a harmful outcome, and half of the total reports described serious harm or death (n</w:t>
            </w:r>
            <w:r w:rsidR="006957C0" w:rsidRPr="00EB0FFF">
              <w:rPr>
                <w:rStyle w:val="Hyperlink"/>
                <w:color w:val="auto"/>
                <w:u w:val="none"/>
                <w:lang w:val="en-AU"/>
              </w:rPr>
              <w:t> </w:t>
            </w:r>
            <w:r w:rsidR="006957C0" w:rsidRPr="00EB0FFF">
              <w:rPr>
                <w:rStyle w:val="Hyperlink"/>
                <w:rFonts w:ascii="Garamond" w:hAnsi="Garamond"/>
                <w:color w:val="auto"/>
                <w:u w:val="none"/>
                <w:lang w:val="en-AU"/>
              </w:rPr>
              <w:t>=</w:t>
            </w:r>
            <w:r w:rsidR="006957C0" w:rsidRPr="00EB0FFF">
              <w:rPr>
                <w:rStyle w:val="Hyperlink"/>
                <w:color w:val="auto"/>
                <w:u w:val="none"/>
                <w:lang w:val="en-AU"/>
              </w:rPr>
              <w:t> </w:t>
            </w:r>
            <w:r w:rsidR="006957C0" w:rsidRPr="00EB0FFF">
              <w:rPr>
                <w:rStyle w:val="Hyperlink"/>
                <w:rFonts w:ascii="Garamond" w:hAnsi="Garamond"/>
                <w:color w:val="auto"/>
                <w:u w:val="none"/>
                <w:lang w:val="en-AU"/>
              </w:rPr>
              <w:t>366, 50%). Nine hundred and ninety-six reports described serious harm or death of a patient. Four main contributory themes underpinned serious harm- and death-related incidents: (1)</w:t>
            </w:r>
            <w:r w:rsidR="006957C0" w:rsidRPr="00EB0FFF">
              <w:rPr>
                <w:rStyle w:val="Hyperlink"/>
                <w:rFonts w:ascii="Garamond" w:hAnsi="Garamond"/>
                <w:b/>
                <w:color w:val="auto"/>
                <w:u w:val="none"/>
                <w:lang w:val="en-AU"/>
              </w:rPr>
              <w:t xml:space="preserve"> communication errors</w:t>
            </w:r>
            <w:r w:rsidR="006957C0" w:rsidRPr="00EB0FFF">
              <w:rPr>
                <w:rStyle w:val="Hyperlink"/>
                <w:rFonts w:ascii="Garamond" w:hAnsi="Garamond"/>
                <w:color w:val="auto"/>
                <w:u w:val="none"/>
                <w:lang w:val="en-AU"/>
              </w:rPr>
              <w:t xml:space="preserve"> in the referral and discharge of patients; (2) </w:t>
            </w:r>
            <w:r w:rsidR="006957C0" w:rsidRPr="00EB0FFF">
              <w:rPr>
                <w:rStyle w:val="Hyperlink"/>
                <w:rFonts w:ascii="Garamond" w:hAnsi="Garamond"/>
                <w:b/>
                <w:color w:val="auto"/>
                <w:u w:val="none"/>
                <w:lang w:val="en-AU"/>
              </w:rPr>
              <w:t>physician decision-making</w:t>
            </w:r>
            <w:r w:rsidR="006957C0" w:rsidRPr="00EB0FFF">
              <w:rPr>
                <w:rStyle w:val="Hyperlink"/>
                <w:rFonts w:ascii="Garamond" w:hAnsi="Garamond"/>
                <w:color w:val="auto"/>
                <w:u w:val="none"/>
                <w:lang w:val="en-AU"/>
              </w:rPr>
              <w:t xml:space="preserve">; (3) </w:t>
            </w:r>
            <w:r w:rsidR="006957C0" w:rsidRPr="00EB0FFF">
              <w:rPr>
                <w:rStyle w:val="Hyperlink"/>
                <w:rFonts w:ascii="Garamond" w:hAnsi="Garamond"/>
                <w:b/>
                <w:color w:val="auto"/>
                <w:u w:val="none"/>
                <w:lang w:val="en-AU"/>
              </w:rPr>
              <w:t>unfamiliar symptom</w:t>
            </w:r>
            <w:r w:rsidR="006957C0" w:rsidRPr="00EB0FFF">
              <w:rPr>
                <w:rStyle w:val="Hyperlink"/>
                <w:rFonts w:ascii="Garamond" w:hAnsi="Garamond"/>
                <w:color w:val="auto"/>
                <w:u w:val="none"/>
                <w:lang w:val="en-AU"/>
              </w:rPr>
              <w:t xml:space="preserve"> presentation and </w:t>
            </w:r>
            <w:r w:rsidR="006957C0" w:rsidRPr="00EB0FFF">
              <w:rPr>
                <w:rStyle w:val="Hyperlink"/>
                <w:rFonts w:ascii="Garamond" w:hAnsi="Garamond"/>
                <w:b/>
                <w:color w:val="auto"/>
                <w:u w:val="none"/>
                <w:lang w:val="en-AU"/>
              </w:rPr>
              <w:t>inadequate administration</w:t>
            </w:r>
            <w:r w:rsidR="006957C0" w:rsidRPr="00EB0FFF">
              <w:rPr>
                <w:rStyle w:val="Hyperlink"/>
                <w:rFonts w:ascii="Garamond" w:hAnsi="Garamond"/>
                <w:color w:val="auto"/>
                <w:u w:val="none"/>
                <w:lang w:val="en-AU"/>
              </w:rPr>
              <w:t xml:space="preserve"> delaying cancer diagnoses; and (4) </w:t>
            </w:r>
            <w:r w:rsidR="006957C0" w:rsidRPr="00EB0FFF">
              <w:rPr>
                <w:rStyle w:val="Hyperlink"/>
                <w:rFonts w:ascii="Garamond" w:hAnsi="Garamond"/>
                <w:b/>
                <w:color w:val="auto"/>
                <w:u w:val="none"/>
                <w:lang w:val="en-AU"/>
              </w:rPr>
              <w:t>delayed management or mismanagement</w:t>
            </w:r>
            <w:r w:rsidR="006957C0" w:rsidRPr="00EB0FFF">
              <w:rPr>
                <w:rStyle w:val="Hyperlink"/>
                <w:rFonts w:ascii="Garamond" w:hAnsi="Garamond"/>
                <w:color w:val="auto"/>
                <w:u w:val="none"/>
                <w:lang w:val="en-AU"/>
              </w:rPr>
              <w:t xml:space="preserve"> following failures to recognise signs of clinical (medical, surgical and mental health) deterioration.</w:t>
            </w:r>
            <w:r w:rsidRPr="00EB0FFF">
              <w:rPr>
                <w:rStyle w:val="Hyperlink"/>
                <w:rFonts w:ascii="Garamond" w:hAnsi="Garamond"/>
                <w:color w:val="auto"/>
                <w:u w:val="none"/>
                <w:lang w:val="en-AU"/>
              </w:rPr>
              <w:t>”</w:t>
            </w:r>
          </w:p>
          <w:p w:rsidR="006957C0" w:rsidRPr="00EB0FFF" w:rsidRDefault="003B251D" w:rsidP="003B251D">
            <w:pPr>
              <w:rPr>
                <w:rStyle w:val="Hyperlink"/>
                <w:rFonts w:ascii="Garamond" w:hAnsi="Garamond"/>
                <w:color w:val="auto"/>
                <w:u w:val="none"/>
                <w:lang w:val="en-AU"/>
              </w:rPr>
            </w:pPr>
            <w:r w:rsidRPr="00EB0FFF">
              <w:rPr>
                <w:rStyle w:val="Hyperlink"/>
                <w:rFonts w:ascii="Garamond" w:hAnsi="Garamond"/>
                <w:color w:val="auto"/>
                <w:u w:val="none"/>
                <w:lang w:val="en-AU"/>
              </w:rPr>
              <w:t>The authors recommendations include “</w:t>
            </w:r>
            <w:r w:rsidR="006957C0" w:rsidRPr="00EB0FFF">
              <w:rPr>
                <w:rStyle w:val="Hyperlink"/>
                <w:rFonts w:ascii="Garamond" w:hAnsi="Garamond"/>
                <w:color w:val="auto"/>
                <w:u w:val="none"/>
                <w:lang w:val="en-AU"/>
              </w:rPr>
              <w:t>maximising opportunities to learn from patient safety incidents; building information technology infrastructure to enable details of all health-care encounters to be recorded in one system; developing and testing methods to identify and manage vulnerable patients at risk of deterioration, unscheduled hospital admission or readmission following discharge from hospital; and identifying ways patients, parents and carers can help prevent safety incidents.</w:t>
            </w:r>
            <w:r w:rsidRPr="00EB0FFF">
              <w:rPr>
                <w:rStyle w:val="Hyperlink"/>
                <w:rFonts w:ascii="Garamond" w:hAnsi="Garamond"/>
                <w:color w:val="auto"/>
                <w:u w:val="none"/>
                <w:lang w:val="en-AU"/>
              </w:rPr>
              <w:t>”</w:t>
            </w:r>
          </w:p>
        </w:tc>
      </w:tr>
    </w:tbl>
    <w:p w:rsidR="00167EC5" w:rsidRPr="00EB0FFF" w:rsidRDefault="00167EC5">
      <w:pPr>
        <w:rPr>
          <w:rFonts w:ascii="Garamond" w:hAnsi="Garamond"/>
          <w:i/>
          <w:lang w:val="en-AU"/>
        </w:rPr>
      </w:pPr>
    </w:p>
    <w:p w:rsidR="005C71F8" w:rsidRPr="00EB0FFF" w:rsidRDefault="005C71F8" w:rsidP="005C71F8">
      <w:pPr>
        <w:keepNext/>
        <w:keepLines/>
        <w:autoSpaceDE w:val="0"/>
        <w:autoSpaceDN w:val="0"/>
        <w:adjustRightInd w:val="0"/>
        <w:rPr>
          <w:rFonts w:ascii="Garamond" w:hAnsi="Garamond"/>
          <w:i/>
          <w:lang w:val="en-AU"/>
        </w:rPr>
      </w:pPr>
      <w:r w:rsidRPr="00EB0FFF">
        <w:rPr>
          <w:rFonts w:ascii="Garamond" w:hAnsi="Garamond"/>
          <w:i/>
          <w:lang w:val="en-AU"/>
        </w:rPr>
        <w:t>Calibrating how doctors think and seek information to minimise errors in diagnosis</w:t>
      </w:r>
    </w:p>
    <w:p w:rsidR="005C71F8" w:rsidRPr="00EB0FFF" w:rsidRDefault="005C71F8" w:rsidP="005C71F8">
      <w:pPr>
        <w:keepNext/>
        <w:keepLines/>
        <w:autoSpaceDE w:val="0"/>
        <w:autoSpaceDN w:val="0"/>
        <w:adjustRightInd w:val="0"/>
        <w:rPr>
          <w:rFonts w:ascii="Garamond" w:hAnsi="Garamond"/>
          <w:lang w:val="en-AU"/>
        </w:rPr>
      </w:pPr>
      <w:r w:rsidRPr="00EB0FFF">
        <w:rPr>
          <w:rFonts w:ascii="Garamond" w:hAnsi="Garamond"/>
          <w:lang w:val="en-AU"/>
        </w:rPr>
        <w:t>Meyer AND, Singh H</w:t>
      </w:r>
    </w:p>
    <w:p w:rsidR="005C71F8" w:rsidRPr="00EB0FFF" w:rsidRDefault="005C71F8" w:rsidP="005C71F8">
      <w:pPr>
        <w:keepNext/>
        <w:keepLines/>
        <w:autoSpaceDE w:val="0"/>
        <w:autoSpaceDN w:val="0"/>
        <w:adjustRightInd w:val="0"/>
        <w:rPr>
          <w:rFonts w:ascii="Garamond" w:hAnsi="Garamond"/>
          <w:lang w:val="en-AU"/>
        </w:rPr>
      </w:pPr>
      <w:r w:rsidRPr="00EB0FFF">
        <w:rPr>
          <w:rFonts w:ascii="Garamond" w:hAnsi="Garamond"/>
          <w:lang w:val="en-AU"/>
        </w:rPr>
        <w:t>BMJ Quality &amp; Safety. 2016 [epub].</w:t>
      </w:r>
    </w:p>
    <w:tbl>
      <w:tblPr>
        <w:tblStyle w:val="TableGrid"/>
        <w:tblW w:w="0" w:type="auto"/>
        <w:tblInd w:w="288" w:type="dxa"/>
        <w:tblLayout w:type="fixed"/>
        <w:tblLook w:val="01E0" w:firstRow="1" w:lastRow="1" w:firstColumn="1" w:lastColumn="1" w:noHBand="0" w:noVBand="0"/>
      </w:tblPr>
      <w:tblGrid>
        <w:gridCol w:w="1080"/>
        <w:gridCol w:w="8280"/>
      </w:tblGrid>
      <w:tr w:rsidR="005C71F8" w:rsidRPr="00EB0FFF" w:rsidTr="0058224C">
        <w:tc>
          <w:tcPr>
            <w:tcW w:w="1080" w:type="dxa"/>
            <w:tcBorders>
              <w:top w:val="single" w:sz="4" w:space="0" w:color="auto"/>
              <w:left w:val="single" w:sz="4" w:space="0" w:color="auto"/>
              <w:bottom w:val="single" w:sz="4" w:space="0" w:color="auto"/>
              <w:right w:val="single" w:sz="4" w:space="0" w:color="auto"/>
            </w:tcBorders>
            <w:vAlign w:val="center"/>
          </w:tcPr>
          <w:p w:rsidR="005C71F8" w:rsidRPr="00EB0FFF" w:rsidRDefault="005C71F8" w:rsidP="0058224C">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C71F8" w:rsidRPr="00EB0FFF" w:rsidRDefault="00FF1579" w:rsidP="0058224C">
            <w:pPr>
              <w:rPr>
                <w:rStyle w:val="Hyperlink"/>
                <w:rFonts w:ascii="Garamond" w:hAnsi="Garamond"/>
                <w:color w:val="auto"/>
                <w:u w:val="none"/>
                <w:lang w:val="en-AU"/>
              </w:rPr>
            </w:pPr>
            <w:hyperlink r:id="rId21" w:history="1">
              <w:r w:rsidR="005C71F8" w:rsidRPr="00EB0FFF">
                <w:rPr>
                  <w:rStyle w:val="Hyperlink"/>
                  <w:rFonts w:ascii="Garamond" w:hAnsi="Garamond"/>
                  <w:lang w:val="en-AU"/>
                </w:rPr>
                <w:t>http://dx.doi.org/10.1136/bmjqs-2016-006071</w:t>
              </w:r>
            </w:hyperlink>
          </w:p>
        </w:tc>
      </w:tr>
      <w:tr w:rsidR="005C71F8" w:rsidRPr="00EB0FFF" w:rsidTr="0058224C">
        <w:tc>
          <w:tcPr>
            <w:tcW w:w="1080" w:type="dxa"/>
            <w:tcBorders>
              <w:top w:val="single" w:sz="4" w:space="0" w:color="auto"/>
              <w:left w:val="single" w:sz="4" w:space="0" w:color="auto"/>
              <w:bottom w:val="single" w:sz="4" w:space="0" w:color="auto"/>
              <w:right w:val="single" w:sz="4" w:space="0" w:color="auto"/>
            </w:tcBorders>
            <w:vAlign w:val="center"/>
          </w:tcPr>
          <w:p w:rsidR="005C71F8" w:rsidRPr="00EB0FFF" w:rsidRDefault="005C71F8" w:rsidP="0058224C">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C71F8" w:rsidRPr="00EB0FFF" w:rsidRDefault="005C71F8" w:rsidP="004468A1">
            <w:pPr>
              <w:rPr>
                <w:rStyle w:val="Hyperlink"/>
                <w:rFonts w:ascii="Garamond" w:hAnsi="Garamond"/>
                <w:color w:val="auto"/>
                <w:u w:val="none"/>
                <w:lang w:val="en-AU"/>
              </w:rPr>
            </w:pPr>
            <w:r w:rsidRPr="00EB0FFF">
              <w:rPr>
                <w:rStyle w:val="Hyperlink"/>
                <w:rFonts w:ascii="Garamond" w:hAnsi="Garamond"/>
                <w:color w:val="auto"/>
                <w:u w:val="none"/>
                <w:lang w:val="en-AU"/>
              </w:rPr>
              <w:t xml:space="preserve">In this piece the authors note that along with insufficient time, cognitive biases and failures of clinical reasoning that a ‘lack of calibration’ (“when physicians' confidence in the accuracy of their decisions is not properly aligned with their actual accuracy”) can contribute to errors in diagnosis. This miscalibration of metacognition can manifest as either overconfidence or as underconfidence. It is suggested that </w:t>
            </w:r>
            <w:r w:rsidRPr="00EB0FFF">
              <w:rPr>
                <w:rStyle w:val="Hyperlink"/>
                <w:rFonts w:ascii="Garamond" w:hAnsi="Garamond"/>
                <w:b/>
                <w:color w:val="auto"/>
                <w:u w:val="none"/>
                <w:lang w:val="en-AU"/>
              </w:rPr>
              <w:t>learning fr</w:t>
            </w:r>
            <w:r w:rsidR="004468A1" w:rsidRPr="00EB0FFF">
              <w:rPr>
                <w:rStyle w:val="Hyperlink"/>
                <w:rFonts w:ascii="Garamond" w:hAnsi="Garamond"/>
                <w:b/>
                <w:color w:val="auto"/>
                <w:u w:val="none"/>
                <w:lang w:val="en-AU"/>
              </w:rPr>
              <w:t>o</w:t>
            </w:r>
            <w:r w:rsidRPr="00EB0FFF">
              <w:rPr>
                <w:rStyle w:val="Hyperlink"/>
                <w:rFonts w:ascii="Garamond" w:hAnsi="Garamond"/>
                <w:b/>
                <w:color w:val="auto"/>
                <w:u w:val="none"/>
                <w:lang w:val="en-AU"/>
              </w:rPr>
              <w:t>m errors</w:t>
            </w:r>
            <w:r w:rsidRPr="00EB0FFF">
              <w:rPr>
                <w:rStyle w:val="Hyperlink"/>
                <w:rFonts w:ascii="Garamond" w:hAnsi="Garamond"/>
                <w:color w:val="auto"/>
                <w:u w:val="none"/>
                <w:lang w:val="en-AU"/>
              </w:rPr>
              <w:t xml:space="preserve">, obtaining </w:t>
            </w:r>
            <w:r w:rsidRPr="00EB0FFF">
              <w:rPr>
                <w:rStyle w:val="Hyperlink"/>
                <w:rFonts w:ascii="Garamond" w:hAnsi="Garamond"/>
                <w:b/>
                <w:color w:val="auto"/>
                <w:u w:val="none"/>
                <w:lang w:val="en-AU"/>
              </w:rPr>
              <w:t>feedback</w:t>
            </w:r>
            <w:r w:rsidRPr="00EB0FFF">
              <w:rPr>
                <w:rStyle w:val="Hyperlink"/>
                <w:rFonts w:ascii="Garamond" w:hAnsi="Garamond"/>
                <w:color w:val="auto"/>
                <w:u w:val="none"/>
                <w:lang w:val="en-AU"/>
              </w:rPr>
              <w:t xml:space="preserve">, the use of </w:t>
            </w:r>
            <w:r w:rsidRPr="00EB0FFF">
              <w:rPr>
                <w:rStyle w:val="Hyperlink"/>
                <w:rFonts w:ascii="Garamond" w:hAnsi="Garamond"/>
                <w:b/>
                <w:color w:val="auto"/>
                <w:u w:val="none"/>
                <w:lang w:val="en-AU"/>
              </w:rPr>
              <w:t>diagnostic decision support</w:t>
            </w:r>
            <w:r w:rsidRPr="00EB0FFF">
              <w:rPr>
                <w:rStyle w:val="Hyperlink"/>
                <w:rFonts w:ascii="Garamond" w:hAnsi="Garamond"/>
                <w:color w:val="auto"/>
                <w:u w:val="none"/>
                <w:lang w:val="en-AU"/>
              </w:rPr>
              <w:t xml:space="preserve"> could all contribute to better calibration, better use of information and avoiding diagnostic errors and consequent poor outcomes.</w:t>
            </w:r>
          </w:p>
        </w:tc>
      </w:tr>
    </w:tbl>
    <w:p w:rsidR="005C71F8" w:rsidRPr="00EB0FFF" w:rsidRDefault="005C71F8" w:rsidP="005C71F8">
      <w:pPr>
        <w:rPr>
          <w:rFonts w:ascii="Garamond" w:hAnsi="Garamond"/>
          <w:i/>
          <w:lang w:val="en-AU"/>
        </w:rPr>
      </w:pPr>
    </w:p>
    <w:p w:rsidR="00C14383" w:rsidRDefault="00C14383">
      <w:pPr>
        <w:rPr>
          <w:rFonts w:ascii="Garamond" w:hAnsi="Garamond"/>
          <w:i/>
          <w:lang w:val="en-AU"/>
        </w:rPr>
      </w:pPr>
      <w:r>
        <w:rPr>
          <w:rFonts w:ascii="Garamond" w:hAnsi="Garamond"/>
          <w:i/>
          <w:lang w:val="en-AU"/>
        </w:rPr>
        <w:br w:type="page"/>
      </w:r>
    </w:p>
    <w:p w:rsidR="00204482" w:rsidRPr="00EB0FFF" w:rsidRDefault="00204482" w:rsidP="00204482">
      <w:pPr>
        <w:keepNext/>
        <w:keepLines/>
        <w:autoSpaceDE w:val="0"/>
        <w:autoSpaceDN w:val="0"/>
        <w:adjustRightInd w:val="0"/>
        <w:rPr>
          <w:rFonts w:ascii="Garamond" w:hAnsi="Garamond"/>
          <w:i/>
          <w:lang w:val="en-AU"/>
        </w:rPr>
      </w:pPr>
      <w:r w:rsidRPr="00EB0FFF">
        <w:rPr>
          <w:rFonts w:ascii="Garamond" w:hAnsi="Garamond"/>
          <w:i/>
          <w:lang w:val="en-AU"/>
        </w:rPr>
        <w:lastRenderedPageBreak/>
        <w:t>When patient-centred care is worth doing well: informed consent or shared decision-making</w:t>
      </w:r>
    </w:p>
    <w:p w:rsidR="00204482" w:rsidRPr="00EB0FFF" w:rsidRDefault="00204482" w:rsidP="004B7E0F">
      <w:pPr>
        <w:keepNext/>
        <w:keepLines/>
        <w:autoSpaceDE w:val="0"/>
        <w:autoSpaceDN w:val="0"/>
        <w:adjustRightInd w:val="0"/>
        <w:rPr>
          <w:rFonts w:ascii="Garamond" w:hAnsi="Garamond"/>
          <w:lang w:val="en-AU"/>
        </w:rPr>
      </w:pPr>
      <w:r w:rsidRPr="00EB0FFF">
        <w:rPr>
          <w:rFonts w:ascii="Garamond" w:hAnsi="Garamond"/>
          <w:lang w:val="en-AU"/>
        </w:rPr>
        <w:t>Kunneman M, Montori VM</w:t>
      </w:r>
    </w:p>
    <w:p w:rsidR="004B7E0F" w:rsidRPr="00EB0FFF" w:rsidRDefault="00204482" w:rsidP="004B7E0F">
      <w:pPr>
        <w:keepNext/>
        <w:keepLines/>
        <w:autoSpaceDE w:val="0"/>
        <w:autoSpaceDN w:val="0"/>
        <w:adjustRightInd w:val="0"/>
        <w:rPr>
          <w:rFonts w:ascii="Garamond" w:hAnsi="Garamond"/>
          <w:lang w:val="en-AU"/>
        </w:rPr>
      </w:pPr>
      <w:r w:rsidRPr="00EB0FFF">
        <w:rPr>
          <w:rFonts w:ascii="Garamond" w:hAnsi="Garamond"/>
          <w:lang w:val="en-AU"/>
        </w:rPr>
        <w:t>BMJ Quality &amp; Safety. 2016 [epub]</w:t>
      </w:r>
    </w:p>
    <w:tbl>
      <w:tblPr>
        <w:tblStyle w:val="TableGrid"/>
        <w:tblW w:w="0" w:type="auto"/>
        <w:tblInd w:w="288" w:type="dxa"/>
        <w:tblLayout w:type="fixed"/>
        <w:tblLook w:val="01E0" w:firstRow="1" w:lastRow="1" w:firstColumn="1" w:lastColumn="1" w:noHBand="0" w:noVBand="0"/>
      </w:tblPr>
      <w:tblGrid>
        <w:gridCol w:w="1080"/>
        <w:gridCol w:w="8280"/>
      </w:tblGrid>
      <w:tr w:rsidR="004B7E0F" w:rsidRPr="00EB0FFF" w:rsidTr="00155625">
        <w:tc>
          <w:tcPr>
            <w:tcW w:w="1080" w:type="dxa"/>
            <w:tcBorders>
              <w:top w:val="single" w:sz="4" w:space="0" w:color="auto"/>
              <w:left w:val="single" w:sz="4" w:space="0" w:color="auto"/>
              <w:bottom w:val="single" w:sz="4" w:space="0" w:color="auto"/>
              <w:right w:val="single" w:sz="4" w:space="0" w:color="auto"/>
            </w:tcBorders>
            <w:vAlign w:val="center"/>
          </w:tcPr>
          <w:p w:rsidR="004B7E0F" w:rsidRPr="00EB0FFF" w:rsidRDefault="004B7E0F" w:rsidP="00155625">
            <w:pPr>
              <w:rPr>
                <w:rStyle w:val="Hyperlink"/>
                <w:rFonts w:ascii="Garamond" w:hAnsi="Garamond"/>
                <w:lang w:val="en-AU"/>
              </w:rPr>
            </w:pPr>
            <w:r w:rsidRPr="00EB0FFF">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B7E0F" w:rsidRPr="00EB0FFF" w:rsidRDefault="00FF1579" w:rsidP="00155625">
            <w:pPr>
              <w:rPr>
                <w:rStyle w:val="Hyperlink"/>
                <w:rFonts w:ascii="Garamond" w:hAnsi="Garamond"/>
                <w:color w:val="auto"/>
                <w:u w:val="none"/>
                <w:lang w:val="en-AU"/>
              </w:rPr>
            </w:pPr>
            <w:hyperlink r:id="rId22" w:history="1">
              <w:r w:rsidR="00204482" w:rsidRPr="00EB0FFF">
                <w:rPr>
                  <w:rStyle w:val="Hyperlink"/>
                  <w:rFonts w:ascii="Garamond" w:hAnsi="Garamond"/>
                  <w:lang w:val="en-AU"/>
                </w:rPr>
                <w:t>http://dx.doi.org/10.1136/bmjqs-2016-005969</w:t>
              </w:r>
            </w:hyperlink>
          </w:p>
        </w:tc>
      </w:tr>
      <w:tr w:rsidR="004B7E0F" w:rsidRPr="00EB0FFF" w:rsidTr="00155625">
        <w:tc>
          <w:tcPr>
            <w:tcW w:w="1080" w:type="dxa"/>
            <w:tcBorders>
              <w:top w:val="single" w:sz="4" w:space="0" w:color="auto"/>
              <w:left w:val="single" w:sz="4" w:space="0" w:color="auto"/>
              <w:bottom w:val="single" w:sz="4" w:space="0" w:color="auto"/>
              <w:right w:val="single" w:sz="4" w:space="0" w:color="auto"/>
            </w:tcBorders>
            <w:vAlign w:val="center"/>
          </w:tcPr>
          <w:p w:rsidR="004B7E0F" w:rsidRPr="00EB0FFF" w:rsidRDefault="004B7E0F" w:rsidP="00155625">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31C3" w:rsidRPr="006D31C3" w:rsidRDefault="006D31C3" w:rsidP="006D31C3">
            <w:pPr>
              <w:rPr>
                <w:rStyle w:val="Hyperlink"/>
                <w:rFonts w:ascii="Garamond" w:hAnsi="Garamond"/>
                <w:color w:val="auto"/>
                <w:u w:val="none"/>
                <w:lang w:val="en-AU"/>
              </w:rPr>
            </w:pPr>
            <w:r w:rsidRPr="006D31C3">
              <w:rPr>
                <w:rStyle w:val="Hyperlink"/>
                <w:rFonts w:ascii="Garamond" w:hAnsi="Garamond"/>
                <w:color w:val="auto"/>
                <w:u w:val="none"/>
                <w:lang w:val="en-AU"/>
              </w:rPr>
              <w:t>This editorial piece explores the differences between informed consent and shared decision making in the pursuit of high quality, patient-centred care.</w:t>
            </w:r>
          </w:p>
          <w:p w:rsidR="006D31C3" w:rsidRPr="006D31C3" w:rsidRDefault="006D31C3" w:rsidP="006D31C3">
            <w:pPr>
              <w:rPr>
                <w:rStyle w:val="Hyperlink"/>
                <w:rFonts w:ascii="Garamond" w:hAnsi="Garamond"/>
                <w:color w:val="auto"/>
                <w:u w:val="none"/>
                <w:lang w:val="en-AU"/>
              </w:rPr>
            </w:pPr>
            <w:r w:rsidRPr="006D31C3">
              <w:rPr>
                <w:rStyle w:val="Hyperlink"/>
                <w:rFonts w:ascii="Garamond" w:hAnsi="Garamond"/>
                <w:b/>
                <w:color w:val="auto"/>
                <w:u w:val="none"/>
                <w:lang w:val="en-AU"/>
              </w:rPr>
              <w:t>Informed consent</w:t>
            </w:r>
            <w:r w:rsidRPr="006D31C3">
              <w:rPr>
                <w:rStyle w:val="Hyperlink"/>
                <w:rFonts w:ascii="Garamond" w:hAnsi="Garamond"/>
                <w:color w:val="auto"/>
                <w:u w:val="none"/>
                <w:lang w:val="en-AU"/>
              </w:rPr>
              <w:t xml:space="preserve"> is described as a process motivated by meeting a minimum legal standard. Often one relevant option is identified by the clinician for the patient to accept or reject.  Limitations in the patient-centeredness of this approach are that other reasonable options may be available, the option is often presented to the patient late in the trajectory of their care and the decision to move forward may have been made without active patient involvement.</w:t>
            </w:r>
          </w:p>
          <w:p w:rsidR="004B7E0F" w:rsidRPr="00EB0FFF" w:rsidRDefault="006D31C3" w:rsidP="006D31C3">
            <w:pPr>
              <w:rPr>
                <w:rStyle w:val="Hyperlink"/>
                <w:rFonts w:ascii="Garamond" w:hAnsi="Garamond"/>
                <w:color w:val="auto"/>
                <w:u w:val="none"/>
                <w:lang w:val="en-AU"/>
              </w:rPr>
            </w:pPr>
            <w:r w:rsidRPr="006D31C3">
              <w:rPr>
                <w:rStyle w:val="Hyperlink"/>
                <w:rFonts w:ascii="Garamond" w:hAnsi="Garamond"/>
                <w:color w:val="auto"/>
                <w:u w:val="none"/>
                <w:lang w:val="en-AU"/>
              </w:rPr>
              <w:t xml:space="preserve">By way of contrast, the authors argue that </w:t>
            </w:r>
            <w:r w:rsidRPr="006D31C3">
              <w:rPr>
                <w:rStyle w:val="Hyperlink"/>
                <w:rFonts w:ascii="Garamond" w:hAnsi="Garamond"/>
                <w:b/>
                <w:color w:val="auto"/>
                <w:u w:val="none"/>
                <w:lang w:val="en-AU"/>
              </w:rPr>
              <w:t>shared decision making</w:t>
            </w:r>
            <w:r w:rsidRPr="006D31C3">
              <w:rPr>
                <w:rStyle w:val="Hyperlink"/>
                <w:rFonts w:ascii="Garamond" w:hAnsi="Garamond"/>
                <w:color w:val="auto"/>
                <w:u w:val="none"/>
                <w:lang w:val="en-AU"/>
              </w:rPr>
              <w:t xml:space="preserve"> represents a more evolved response to the need for patient centeredness.  “In a conversational dance, clinicians and patients work together to think, talk and feel through the situation of the patient and identify sensible ways to address this situation”.  This approach advocates the two-way sharing of information that is relevant to the particular patient, enabling options to be compared and the best solution for the patient being chosen.</w:t>
            </w:r>
          </w:p>
        </w:tc>
      </w:tr>
    </w:tbl>
    <w:p w:rsidR="004B7E0F" w:rsidRPr="00EB0FFF" w:rsidRDefault="004B7E0F" w:rsidP="004B7E0F">
      <w:pPr>
        <w:rPr>
          <w:rFonts w:ascii="Garamond" w:hAnsi="Garamond"/>
          <w:i/>
          <w:lang w:val="en-AU"/>
        </w:rPr>
      </w:pPr>
    </w:p>
    <w:p w:rsidR="005C71F8" w:rsidRPr="00EB0FFF" w:rsidRDefault="005C71F8" w:rsidP="004B7E0F">
      <w:pPr>
        <w:rPr>
          <w:rFonts w:ascii="Garamond" w:hAnsi="Garamond"/>
          <w:i/>
          <w:lang w:val="en-AU"/>
        </w:rPr>
      </w:pPr>
      <w:r w:rsidRPr="00EB0FFF">
        <w:rPr>
          <w:rFonts w:ascii="Garamond" w:hAnsi="Garamond"/>
          <w:lang w:val="en-AU" w:eastAsia="en-AU"/>
        </w:rPr>
        <w:t xml:space="preserve">For information on the Commission’s work on shared decision making, see </w:t>
      </w:r>
      <w:hyperlink r:id="rId23" w:history="1">
        <w:r w:rsidRPr="00EB0FFF">
          <w:rPr>
            <w:rStyle w:val="Hyperlink"/>
            <w:rFonts w:ascii="Garamond" w:hAnsi="Garamond"/>
            <w:lang w:val="en-AU" w:eastAsia="en-AU"/>
          </w:rPr>
          <w:t>https://www.safetyandquality.gov.au/our-work/shared-decision-making/</w:t>
        </w:r>
      </w:hyperlink>
    </w:p>
    <w:p w:rsidR="00C14383" w:rsidRPr="00C14383" w:rsidRDefault="00C14383" w:rsidP="00C14383">
      <w:pPr>
        <w:keepNext/>
        <w:keepLines/>
        <w:autoSpaceDE w:val="0"/>
        <w:autoSpaceDN w:val="0"/>
        <w:adjustRightInd w:val="0"/>
        <w:rPr>
          <w:rFonts w:ascii="Garamond" w:hAnsi="Garamond"/>
          <w:lang w:val="en-AU"/>
        </w:rPr>
      </w:pPr>
    </w:p>
    <w:p w:rsidR="00C14383" w:rsidRPr="00C14383" w:rsidRDefault="00C14383" w:rsidP="00C14383">
      <w:pPr>
        <w:keepNext/>
        <w:keepLines/>
        <w:autoSpaceDE w:val="0"/>
        <w:autoSpaceDN w:val="0"/>
        <w:adjustRightInd w:val="0"/>
        <w:rPr>
          <w:rFonts w:ascii="Garamond" w:hAnsi="Garamond"/>
          <w:i/>
          <w:lang w:val="en-AU"/>
        </w:rPr>
      </w:pPr>
      <w:r w:rsidRPr="00C14383">
        <w:rPr>
          <w:rFonts w:ascii="Garamond" w:hAnsi="Garamond"/>
          <w:i/>
          <w:lang w:val="en-AU"/>
        </w:rPr>
        <w:t>Performing the Wrong Procedure</w:t>
      </w:r>
    </w:p>
    <w:p w:rsidR="00C14383" w:rsidRPr="00C14383" w:rsidRDefault="00C14383" w:rsidP="00C14383">
      <w:pPr>
        <w:keepNext/>
        <w:keepLines/>
        <w:autoSpaceDE w:val="0"/>
        <w:autoSpaceDN w:val="0"/>
        <w:adjustRightInd w:val="0"/>
        <w:rPr>
          <w:rFonts w:ascii="Garamond" w:hAnsi="Garamond"/>
          <w:lang w:val="en-AU"/>
        </w:rPr>
      </w:pPr>
      <w:r w:rsidRPr="00C14383">
        <w:rPr>
          <w:rFonts w:ascii="Garamond" w:hAnsi="Garamond"/>
          <w:lang w:val="en-AU"/>
        </w:rPr>
        <w:t>Minnier T, Phrampus P, Waddell L</w:t>
      </w:r>
    </w:p>
    <w:p w:rsidR="00C14383" w:rsidRPr="00C14383" w:rsidRDefault="00C14383" w:rsidP="00C14383">
      <w:pPr>
        <w:keepNext/>
        <w:keepLines/>
        <w:autoSpaceDE w:val="0"/>
        <w:autoSpaceDN w:val="0"/>
        <w:adjustRightInd w:val="0"/>
        <w:rPr>
          <w:rFonts w:ascii="Garamond" w:hAnsi="Garamond"/>
          <w:lang w:val="en-AU"/>
        </w:rPr>
      </w:pPr>
      <w:r w:rsidRPr="00C14383">
        <w:rPr>
          <w:rFonts w:ascii="Garamond" w:hAnsi="Garamond"/>
          <w:lang w:val="en-AU"/>
        </w:rPr>
        <w:t>Journal of the American Medical Association. 2016;316(11):1207-8.</w:t>
      </w:r>
    </w:p>
    <w:tbl>
      <w:tblPr>
        <w:tblStyle w:val="TableGrid"/>
        <w:tblW w:w="0" w:type="auto"/>
        <w:tblInd w:w="288" w:type="dxa"/>
        <w:tblLayout w:type="fixed"/>
        <w:tblLook w:val="01E0" w:firstRow="1" w:lastRow="1" w:firstColumn="1" w:lastColumn="1" w:noHBand="0" w:noVBand="0"/>
      </w:tblPr>
      <w:tblGrid>
        <w:gridCol w:w="1080"/>
        <w:gridCol w:w="8280"/>
      </w:tblGrid>
      <w:tr w:rsidR="00C14383" w:rsidRPr="00C14383" w:rsidTr="00B74191">
        <w:tc>
          <w:tcPr>
            <w:tcW w:w="1080" w:type="dxa"/>
            <w:tcBorders>
              <w:top w:val="single" w:sz="4" w:space="0" w:color="auto"/>
              <w:left w:val="single" w:sz="4" w:space="0" w:color="auto"/>
              <w:bottom w:val="single" w:sz="4" w:space="0" w:color="auto"/>
              <w:right w:val="single" w:sz="4" w:space="0" w:color="auto"/>
            </w:tcBorders>
            <w:vAlign w:val="center"/>
          </w:tcPr>
          <w:p w:rsidR="00C14383" w:rsidRPr="00C14383" w:rsidRDefault="00C14383" w:rsidP="00B74191">
            <w:pPr>
              <w:rPr>
                <w:rStyle w:val="Hyperlink"/>
                <w:rFonts w:ascii="Garamond" w:hAnsi="Garamond"/>
              </w:rPr>
            </w:pPr>
            <w:r w:rsidRPr="00C1438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14383" w:rsidRPr="00C14383" w:rsidRDefault="00FF1579" w:rsidP="00B74191">
            <w:pPr>
              <w:rPr>
                <w:rStyle w:val="Hyperlink"/>
                <w:rFonts w:ascii="Garamond" w:hAnsi="Garamond"/>
                <w:color w:val="auto"/>
                <w:u w:val="none"/>
              </w:rPr>
            </w:pPr>
            <w:hyperlink r:id="rId24" w:history="1">
              <w:r w:rsidR="00C14383" w:rsidRPr="00C14383">
                <w:rPr>
                  <w:rStyle w:val="Hyperlink"/>
                  <w:rFonts w:ascii="Garamond" w:hAnsi="Garamond"/>
                </w:rPr>
                <w:t>http://dx.doi.org/10.1001/jama.2016.9134</w:t>
              </w:r>
            </w:hyperlink>
          </w:p>
        </w:tc>
      </w:tr>
      <w:tr w:rsidR="00C14383" w:rsidRPr="00C14383" w:rsidTr="00B74191">
        <w:tc>
          <w:tcPr>
            <w:tcW w:w="1080" w:type="dxa"/>
            <w:tcBorders>
              <w:top w:val="single" w:sz="4" w:space="0" w:color="auto"/>
              <w:left w:val="single" w:sz="4" w:space="0" w:color="auto"/>
              <w:bottom w:val="single" w:sz="4" w:space="0" w:color="auto"/>
              <w:right w:val="single" w:sz="4" w:space="0" w:color="auto"/>
            </w:tcBorders>
            <w:vAlign w:val="center"/>
          </w:tcPr>
          <w:p w:rsidR="00C14383" w:rsidRPr="00C14383" w:rsidRDefault="00C14383" w:rsidP="00B74191">
            <w:pPr>
              <w:rPr>
                <w:rFonts w:ascii="Garamond" w:hAnsi="Garamond"/>
                <w:lang w:val="en-AU" w:eastAsia="en-AU"/>
              </w:rPr>
            </w:pPr>
            <w:r w:rsidRPr="00C1438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14383" w:rsidRPr="00C14383" w:rsidRDefault="00C14383" w:rsidP="00C14383">
            <w:pPr>
              <w:rPr>
                <w:rFonts w:ascii="Garamond" w:hAnsi="Garamond"/>
                <w:lang w:val="en-AU" w:eastAsia="en-AU"/>
              </w:rPr>
            </w:pPr>
            <w:r w:rsidRPr="00C14383">
              <w:rPr>
                <w:rFonts w:ascii="Garamond" w:hAnsi="Garamond"/>
                <w:lang w:val="en-AU" w:eastAsia="en-AU"/>
              </w:rPr>
              <w:t xml:space="preserve">In the first of a new section or department within </w:t>
            </w:r>
            <w:r w:rsidRPr="00C14383">
              <w:rPr>
                <w:rFonts w:ascii="Garamond" w:hAnsi="Garamond"/>
                <w:i/>
                <w:lang w:val="en-AU" w:eastAsia="en-AU"/>
              </w:rPr>
              <w:t>JAMA</w:t>
            </w:r>
            <w:r w:rsidRPr="00C14383">
              <w:rPr>
                <w:rFonts w:ascii="Garamond" w:hAnsi="Garamond"/>
                <w:lang w:val="en-AU" w:eastAsia="en-AU"/>
              </w:rPr>
              <w:t>, JAMA Performance Improvement, this article looks a case study of the performance of a wrong procedure. Each article in the JAMA Performance Improvement series “</w:t>
            </w:r>
            <w:r w:rsidR="00C22431">
              <w:rPr>
                <w:rFonts w:ascii="Garamond" w:hAnsi="Garamond"/>
                <w:lang w:val="en-AU" w:eastAsia="en-AU"/>
              </w:rPr>
              <w:t xml:space="preserve">will </w:t>
            </w:r>
            <w:r w:rsidRPr="00C14383">
              <w:rPr>
                <w:rFonts w:ascii="Garamond" w:hAnsi="Garamond"/>
                <w:lang w:val="en-AU" w:eastAsia="en-AU"/>
              </w:rPr>
              <w:t xml:space="preserve">be case-based and will summarize the results of investigations of clinical care gone awry. Based on these experiences and how physicians and other health care practitioners have successfully addressed the problems, recommendations will be provided about how to improve the quality of care in ways that JAMA readers can adopt in their own clinical practices.” </w:t>
            </w:r>
          </w:p>
          <w:p w:rsidR="00C14383" w:rsidRPr="00C14383" w:rsidRDefault="00C14383" w:rsidP="00C14383">
            <w:pPr>
              <w:rPr>
                <w:rFonts w:ascii="Garamond" w:hAnsi="Garamond"/>
                <w:lang w:val="en-AU" w:eastAsia="en-AU"/>
              </w:rPr>
            </w:pPr>
            <w:r w:rsidRPr="00C14383">
              <w:rPr>
                <w:rFonts w:ascii="Garamond" w:hAnsi="Garamond"/>
                <w:lang w:val="en-AU" w:eastAsia="en-AU"/>
              </w:rPr>
              <w:t>The first article in this series describes an incident involving the placement of a dialysis catheter instead of a central line, before considering options, root causes ways of correcting the error and the outcomes of the case.</w:t>
            </w:r>
          </w:p>
          <w:p w:rsidR="00C14383" w:rsidRPr="00C14383" w:rsidRDefault="00C14383" w:rsidP="00C14383">
            <w:pPr>
              <w:rPr>
                <w:rFonts w:ascii="Garamond" w:hAnsi="Garamond"/>
                <w:lang w:val="en-AU" w:eastAsia="en-AU"/>
              </w:rPr>
            </w:pPr>
            <w:r w:rsidRPr="00C14383">
              <w:rPr>
                <w:rFonts w:ascii="Garamond" w:hAnsi="Garamond"/>
                <w:lang w:val="en-AU" w:eastAsia="en-AU"/>
              </w:rPr>
              <w:t xml:space="preserve">The article “Introducing JAMA Performance Improvement” is available at </w:t>
            </w:r>
            <w:hyperlink r:id="rId25" w:history="1">
              <w:r w:rsidRPr="00C14383">
                <w:rPr>
                  <w:rStyle w:val="Hyperlink"/>
                  <w:rFonts w:ascii="Garamond" w:hAnsi="Garamond"/>
                  <w:lang w:val="en-AU" w:eastAsia="en-AU"/>
                </w:rPr>
                <w:t>http://dx.doi.org/10.1001/jama.2016.13808</w:t>
              </w:r>
            </w:hyperlink>
          </w:p>
        </w:tc>
      </w:tr>
    </w:tbl>
    <w:p w:rsidR="00C14383" w:rsidRPr="00C14383" w:rsidRDefault="00C14383" w:rsidP="00C14383">
      <w:pPr>
        <w:keepNext/>
        <w:keepLines/>
        <w:autoSpaceDE w:val="0"/>
        <w:autoSpaceDN w:val="0"/>
        <w:adjustRightInd w:val="0"/>
        <w:rPr>
          <w:rFonts w:ascii="Garamond" w:hAnsi="Garamond"/>
          <w:i/>
          <w:lang w:val="en-AU"/>
        </w:rPr>
      </w:pPr>
    </w:p>
    <w:p w:rsidR="00C14383" w:rsidRPr="00C14383" w:rsidRDefault="00C14383" w:rsidP="00C14383">
      <w:pPr>
        <w:keepNext/>
        <w:keepLines/>
        <w:autoSpaceDE w:val="0"/>
        <w:autoSpaceDN w:val="0"/>
        <w:adjustRightInd w:val="0"/>
        <w:rPr>
          <w:rFonts w:ascii="Garamond" w:hAnsi="Garamond"/>
          <w:lang w:val="en-AU" w:eastAsia="en-AU"/>
        </w:rPr>
      </w:pPr>
      <w:r w:rsidRPr="00C14383">
        <w:rPr>
          <w:rFonts w:ascii="Garamond" w:hAnsi="Garamond"/>
          <w:lang w:val="en-AU" w:eastAsia="en-AU"/>
        </w:rPr>
        <w:t xml:space="preserve">For information on the Commission’s work on open disclosure, including the </w:t>
      </w:r>
      <w:r w:rsidRPr="00C14383">
        <w:rPr>
          <w:rFonts w:ascii="Garamond" w:hAnsi="Garamond"/>
          <w:i/>
          <w:lang w:val="en-AU" w:eastAsia="en-AU"/>
        </w:rPr>
        <w:t>Australian Open Disclosure Framework</w:t>
      </w:r>
      <w:r w:rsidRPr="00C14383">
        <w:rPr>
          <w:rFonts w:ascii="Garamond" w:hAnsi="Garamond"/>
          <w:lang w:val="en-AU" w:eastAsia="en-AU"/>
        </w:rPr>
        <w:t xml:space="preserve">, see </w:t>
      </w:r>
      <w:hyperlink r:id="rId26" w:history="1">
        <w:r w:rsidRPr="00C14383">
          <w:rPr>
            <w:rStyle w:val="Hyperlink"/>
            <w:rFonts w:ascii="Garamond" w:hAnsi="Garamond"/>
            <w:lang w:val="en-AU" w:eastAsia="en-AU"/>
          </w:rPr>
          <w:t>http://www.safetyandquality.gov.au/our-work/open-disclosure/</w:t>
        </w:r>
      </w:hyperlink>
    </w:p>
    <w:p w:rsidR="006D31C3" w:rsidRDefault="006D31C3" w:rsidP="004B7E0F">
      <w:pPr>
        <w:keepNext/>
        <w:keepLines/>
        <w:autoSpaceDE w:val="0"/>
        <w:autoSpaceDN w:val="0"/>
        <w:adjustRightInd w:val="0"/>
        <w:rPr>
          <w:rFonts w:ascii="Garamond" w:hAnsi="Garamond"/>
          <w:i/>
          <w:lang w:val="en-AU"/>
        </w:rPr>
      </w:pPr>
    </w:p>
    <w:p w:rsidR="006D31C3" w:rsidRDefault="006D31C3" w:rsidP="004B7E0F">
      <w:pPr>
        <w:keepNext/>
        <w:keepLines/>
        <w:autoSpaceDE w:val="0"/>
        <w:autoSpaceDN w:val="0"/>
        <w:adjustRightInd w:val="0"/>
        <w:rPr>
          <w:rFonts w:ascii="Garamond" w:hAnsi="Garamond"/>
          <w:i/>
          <w:lang w:val="en-AU"/>
        </w:rPr>
      </w:pPr>
    </w:p>
    <w:p w:rsidR="004B7E0F" w:rsidRPr="00EB0FFF" w:rsidRDefault="00A932E3" w:rsidP="004B7E0F">
      <w:pPr>
        <w:keepNext/>
        <w:keepLines/>
        <w:autoSpaceDE w:val="0"/>
        <w:autoSpaceDN w:val="0"/>
        <w:adjustRightInd w:val="0"/>
        <w:rPr>
          <w:rFonts w:ascii="Garamond" w:hAnsi="Garamond"/>
          <w:i/>
          <w:lang w:val="en-AU"/>
        </w:rPr>
      </w:pPr>
      <w:r w:rsidRPr="00EB0FFF">
        <w:rPr>
          <w:rFonts w:ascii="Garamond" w:hAnsi="Garamond"/>
          <w:i/>
          <w:lang w:val="en-AU"/>
        </w:rPr>
        <w:t>Health Expectations</w:t>
      </w:r>
    </w:p>
    <w:p w:rsidR="00A932E3" w:rsidRPr="00EB0FFF" w:rsidRDefault="00A932E3" w:rsidP="00A932E3">
      <w:pPr>
        <w:keepNext/>
        <w:keepLines/>
        <w:autoSpaceDE w:val="0"/>
        <w:autoSpaceDN w:val="0"/>
        <w:adjustRightInd w:val="0"/>
        <w:rPr>
          <w:rFonts w:ascii="Garamond" w:hAnsi="Garamond"/>
          <w:lang w:val="en-AU"/>
        </w:rPr>
      </w:pPr>
      <w:r w:rsidRPr="00EB0FFF">
        <w:rPr>
          <w:rFonts w:ascii="Garamond" w:hAnsi="Garamond"/>
          <w:lang w:val="en-AU"/>
        </w:rPr>
        <w:t>October 2016. Volume 19, Issue 5</w:t>
      </w:r>
    </w:p>
    <w:tbl>
      <w:tblPr>
        <w:tblStyle w:val="TableGrid"/>
        <w:tblW w:w="0" w:type="auto"/>
        <w:tblInd w:w="288" w:type="dxa"/>
        <w:tblLayout w:type="fixed"/>
        <w:tblLook w:val="01E0" w:firstRow="1" w:lastRow="1" w:firstColumn="1" w:lastColumn="1" w:noHBand="0" w:noVBand="0"/>
      </w:tblPr>
      <w:tblGrid>
        <w:gridCol w:w="1080"/>
        <w:gridCol w:w="8280"/>
      </w:tblGrid>
      <w:tr w:rsidR="004B7E0F" w:rsidRPr="00EB0FFF" w:rsidTr="00155625">
        <w:tc>
          <w:tcPr>
            <w:tcW w:w="1080" w:type="dxa"/>
            <w:tcBorders>
              <w:top w:val="single" w:sz="4" w:space="0" w:color="auto"/>
              <w:left w:val="single" w:sz="4" w:space="0" w:color="auto"/>
              <w:bottom w:val="single" w:sz="4" w:space="0" w:color="auto"/>
              <w:right w:val="single" w:sz="4" w:space="0" w:color="auto"/>
            </w:tcBorders>
            <w:vAlign w:val="center"/>
          </w:tcPr>
          <w:p w:rsidR="004B7E0F" w:rsidRPr="00EB0FFF" w:rsidRDefault="00117076" w:rsidP="001556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B7E0F" w:rsidRPr="00EB0FFF" w:rsidRDefault="00FF1579" w:rsidP="00155625">
            <w:pPr>
              <w:rPr>
                <w:rStyle w:val="Hyperlink"/>
                <w:rFonts w:ascii="Garamond" w:hAnsi="Garamond"/>
                <w:color w:val="auto"/>
                <w:u w:val="none"/>
                <w:lang w:val="en-AU"/>
              </w:rPr>
            </w:pPr>
            <w:hyperlink r:id="rId27" w:history="1">
              <w:r w:rsidR="00A932E3" w:rsidRPr="00EB0FFF">
                <w:rPr>
                  <w:rStyle w:val="Hyperlink"/>
                  <w:rFonts w:ascii="Garamond" w:hAnsi="Garamond"/>
                  <w:lang w:val="en-AU"/>
                </w:rPr>
                <w:t>http://onlinelibrary.wiley.com/doi/10.1111/hex.2016.19.issue-5/issuetoc</w:t>
              </w:r>
            </w:hyperlink>
          </w:p>
        </w:tc>
      </w:tr>
      <w:tr w:rsidR="004B7E0F" w:rsidRPr="00EB0FFF" w:rsidTr="00155625">
        <w:tc>
          <w:tcPr>
            <w:tcW w:w="1080" w:type="dxa"/>
            <w:tcBorders>
              <w:top w:val="single" w:sz="4" w:space="0" w:color="auto"/>
              <w:left w:val="single" w:sz="4" w:space="0" w:color="auto"/>
              <w:bottom w:val="single" w:sz="4" w:space="0" w:color="auto"/>
              <w:right w:val="single" w:sz="4" w:space="0" w:color="auto"/>
            </w:tcBorders>
            <w:vAlign w:val="center"/>
          </w:tcPr>
          <w:p w:rsidR="004B7E0F" w:rsidRPr="00EB0FFF" w:rsidRDefault="004B7E0F" w:rsidP="00155625">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32E3" w:rsidRPr="00EB0FFF" w:rsidRDefault="00A932E3" w:rsidP="00A932E3">
            <w:pPr>
              <w:rPr>
                <w:rFonts w:ascii="Garamond" w:hAnsi="Garamond"/>
                <w:lang w:val="en-AU"/>
              </w:rPr>
            </w:pPr>
            <w:r w:rsidRPr="00EB0FFF">
              <w:rPr>
                <w:rFonts w:ascii="Garamond" w:hAnsi="Garamond"/>
                <w:lang w:val="en-AU"/>
              </w:rPr>
              <w:t xml:space="preserve">A new issue of </w:t>
            </w:r>
            <w:r w:rsidRPr="00EB0FFF">
              <w:rPr>
                <w:rFonts w:ascii="Garamond" w:hAnsi="Garamond"/>
                <w:i/>
                <w:lang w:val="en-AU"/>
              </w:rPr>
              <w:t>Health Expectations</w:t>
            </w:r>
            <w:r w:rsidRPr="00EB0FFF">
              <w:rPr>
                <w:rFonts w:ascii="Garamond" w:hAnsi="Garamond"/>
                <w:lang w:val="en-AU"/>
              </w:rPr>
              <w:t xml:space="preserve"> has</w:t>
            </w:r>
            <w:r w:rsidRPr="00EB0FFF">
              <w:rPr>
                <w:rFonts w:ascii="Garamond" w:hAnsi="Garamond"/>
                <w:i/>
                <w:lang w:val="en-AU"/>
              </w:rPr>
              <w:t xml:space="preserve"> </w:t>
            </w:r>
            <w:r w:rsidRPr="00EB0FFF">
              <w:rPr>
                <w:rFonts w:ascii="Garamond" w:hAnsi="Garamond"/>
                <w:lang w:val="en-AU"/>
              </w:rPr>
              <w:t xml:space="preserve">been published. Articles in this issue of </w:t>
            </w:r>
            <w:r w:rsidRPr="00EB0FFF">
              <w:rPr>
                <w:rFonts w:ascii="Garamond" w:hAnsi="Garamond"/>
                <w:i/>
                <w:lang w:val="en-AU"/>
              </w:rPr>
              <w:t>Health Expectations</w:t>
            </w:r>
            <w:r w:rsidRPr="00EB0FFF">
              <w:rPr>
                <w:rFonts w:ascii="Garamond" w:hAnsi="Garamond"/>
                <w:lang w:val="en-AU"/>
              </w:rPr>
              <w:t xml:space="preserve"> include:</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Editorial Briefing: The </w:t>
            </w:r>
            <w:r w:rsidRPr="00EB0FFF">
              <w:rPr>
                <w:rStyle w:val="Hyperlink"/>
                <w:rFonts w:ascii="Garamond" w:hAnsi="Garamond"/>
                <w:b/>
                <w:color w:val="auto"/>
                <w:u w:val="none"/>
                <w:lang w:val="en-AU"/>
              </w:rPr>
              <w:t>patient voice in ‘shared decision making’</w:t>
            </w:r>
            <w:r w:rsidRPr="00EB0FFF">
              <w:rPr>
                <w:rStyle w:val="Hyperlink"/>
                <w:rFonts w:ascii="Garamond" w:hAnsi="Garamond"/>
                <w:color w:val="auto"/>
                <w:u w:val="none"/>
                <w:lang w:val="en-AU"/>
              </w:rPr>
              <w:t xml:space="preserve"> in clinical practice and research (pages 991–992)</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lastRenderedPageBreak/>
              <w:t xml:space="preserve">Measurement challenges in </w:t>
            </w:r>
            <w:r w:rsidRPr="00EB0FFF">
              <w:rPr>
                <w:rStyle w:val="Hyperlink"/>
                <w:rFonts w:ascii="Garamond" w:hAnsi="Garamond"/>
                <w:b/>
                <w:color w:val="auto"/>
                <w:u w:val="none"/>
                <w:lang w:val="en-AU"/>
              </w:rPr>
              <w:t>shared decision making</w:t>
            </w:r>
            <w:r w:rsidRPr="00EB0FFF">
              <w:rPr>
                <w:rStyle w:val="Hyperlink"/>
                <w:rFonts w:ascii="Garamond" w:hAnsi="Garamond"/>
                <w:color w:val="auto"/>
                <w:u w:val="none"/>
                <w:lang w:val="en-AU"/>
              </w:rPr>
              <w:t xml:space="preserve">: putting the ‘patient’ in </w:t>
            </w:r>
            <w:r w:rsidRPr="00EB0FFF">
              <w:rPr>
                <w:rStyle w:val="Hyperlink"/>
                <w:rFonts w:ascii="Garamond" w:hAnsi="Garamond"/>
                <w:b/>
                <w:color w:val="auto"/>
                <w:u w:val="none"/>
                <w:lang w:val="en-AU"/>
              </w:rPr>
              <w:t>patient-reported measures</w:t>
            </w:r>
            <w:r w:rsidRPr="00EB0FFF">
              <w:rPr>
                <w:rStyle w:val="Hyperlink"/>
                <w:rFonts w:ascii="Garamond" w:hAnsi="Garamond"/>
                <w:color w:val="auto"/>
                <w:u w:val="none"/>
                <w:lang w:val="en-AU"/>
              </w:rPr>
              <w:t xml:space="preserve"> (Paul J Barr and Glyn Elwyn)</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b/>
                <w:color w:val="auto"/>
                <w:u w:val="none"/>
                <w:lang w:val="en-AU"/>
              </w:rPr>
              <w:t xml:space="preserve">Shared decision making </w:t>
            </w:r>
            <w:r w:rsidRPr="00EB0FFF">
              <w:rPr>
                <w:rStyle w:val="Hyperlink"/>
                <w:rFonts w:ascii="Garamond" w:hAnsi="Garamond"/>
                <w:color w:val="auto"/>
                <w:u w:val="none"/>
                <w:lang w:val="en-AU"/>
              </w:rPr>
              <w:t>for</w:t>
            </w:r>
            <w:r w:rsidRPr="00EB0FFF">
              <w:rPr>
                <w:rStyle w:val="Hyperlink"/>
                <w:rFonts w:ascii="Garamond" w:hAnsi="Garamond"/>
                <w:b/>
                <w:color w:val="auto"/>
                <w:u w:val="none"/>
                <w:lang w:val="en-AU"/>
              </w:rPr>
              <w:t xml:space="preserve"> psychiatric medication management</w:t>
            </w:r>
            <w:r w:rsidRPr="00EB0FFF">
              <w:rPr>
                <w:rStyle w:val="Hyperlink"/>
                <w:rFonts w:ascii="Garamond" w:hAnsi="Garamond"/>
                <w:color w:val="auto"/>
                <w:u w:val="none"/>
                <w:lang w:val="en-AU"/>
              </w:rPr>
              <w:t>: beyond the micro-social (Nicola Morant, Emma Kaminskiy and S Ramon)</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Do consumer voices in </w:t>
            </w:r>
            <w:r w:rsidRPr="00EB0FFF">
              <w:rPr>
                <w:rStyle w:val="Hyperlink"/>
                <w:rFonts w:ascii="Garamond" w:hAnsi="Garamond"/>
                <w:b/>
                <w:color w:val="auto"/>
                <w:u w:val="none"/>
                <w:lang w:val="en-AU"/>
              </w:rPr>
              <w:t>health-care citizens’ juries</w:t>
            </w:r>
            <w:r w:rsidRPr="00EB0FFF">
              <w:rPr>
                <w:rStyle w:val="Hyperlink"/>
                <w:rFonts w:ascii="Garamond" w:hAnsi="Garamond"/>
                <w:color w:val="auto"/>
                <w:u w:val="none"/>
                <w:lang w:val="en-AU"/>
              </w:rPr>
              <w:t xml:space="preserve"> matter? (Rachael Krinks, Elizabeth Kendall, Jennifer A Whitty and Paul A Scuffham)</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b/>
                <w:color w:val="auto"/>
                <w:u w:val="none"/>
                <w:lang w:val="en-AU"/>
              </w:rPr>
              <w:t>Disclosure of research results</w:t>
            </w:r>
            <w:r w:rsidRPr="00EB0FFF">
              <w:rPr>
                <w:rStyle w:val="Hyperlink"/>
                <w:rFonts w:ascii="Garamond" w:hAnsi="Garamond"/>
                <w:color w:val="auto"/>
                <w:u w:val="none"/>
                <w:lang w:val="en-AU"/>
              </w:rPr>
              <w:t>: a randomized study on GENEPSO-PS cohort participants (Julien Mancini, Elodie Le Cozannet, Anne-Déborah Bouhnik, Noémie Resseguier, Christine Lasset, Emmanuelle Mouret-Fourme, Catherine Noguès and Claire Julian-Reynier)</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b/>
                <w:color w:val="auto"/>
                <w:u w:val="none"/>
                <w:lang w:val="en-AU"/>
              </w:rPr>
              <w:t>Patient-defined goals</w:t>
            </w:r>
            <w:r w:rsidRPr="00EB0FFF">
              <w:rPr>
                <w:rStyle w:val="Hyperlink"/>
                <w:rFonts w:ascii="Garamond" w:hAnsi="Garamond"/>
                <w:color w:val="auto"/>
                <w:u w:val="none"/>
                <w:lang w:val="en-AU"/>
              </w:rPr>
              <w:t xml:space="preserve"> for the treatment of </w:t>
            </w:r>
            <w:r w:rsidRPr="00EB0FFF">
              <w:rPr>
                <w:rStyle w:val="Hyperlink"/>
                <w:rFonts w:ascii="Garamond" w:hAnsi="Garamond"/>
                <w:b/>
                <w:color w:val="auto"/>
                <w:u w:val="none"/>
                <w:lang w:val="en-AU"/>
              </w:rPr>
              <w:t>severe aortic stenosis</w:t>
            </w:r>
            <w:r w:rsidRPr="00EB0FFF">
              <w:rPr>
                <w:rStyle w:val="Hyperlink"/>
                <w:rFonts w:ascii="Garamond" w:hAnsi="Garamond"/>
                <w:color w:val="auto"/>
                <w:u w:val="none"/>
                <w:lang w:val="en-AU"/>
              </w:rPr>
              <w:t>: a qualitative analysis (Megan Coylewrigh</w:t>
            </w:r>
            <w:r w:rsidR="00745A58" w:rsidRPr="00EB0FFF">
              <w:rPr>
                <w:rStyle w:val="Hyperlink"/>
                <w:rFonts w:ascii="Garamond" w:hAnsi="Garamond"/>
                <w:color w:val="auto"/>
                <w:u w:val="none"/>
                <w:lang w:val="en-AU"/>
              </w:rPr>
              <w:t>t, Roseanne Palmer, Elizabeth S</w:t>
            </w:r>
            <w:r w:rsidRPr="00EB0FFF">
              <w:rPr>
                <w:rStyle w:val="Hyperlink"/>
                <w:rFonts w:ascii="Garamond" w:hAnsi="Garamond"/>
                <w:color w:val="auto"/>
                <w:u w:val="none"/>
                <w:lang w:val="en-AU"/>
              </w:rPr>
              <w:t xml:space="preserve"> O'Neill, John F Robb and Terri R Fried</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Evolving </w:t>
            </w:r>
            <w:r w:rsidRPr="00EB0FFF">
              <w:rPr>
                <w:rStyle w:val="Hyperlink"/>
                <w:rFonts w:ascii="Garamond" w:hAnsi="Garamond"/>
                <w:b/>
                <w:color w:val="auto"/>
                <w:u w:val="none"/>
                <w:lang w:val="en-AU"/>
              </w:rPr>
              <w:t>‘self’-management</w:t>
            </w:r>
            <w:r w:rsidRPr="00EB0FFF">
              <w:rPr>
                <w:rStyle w:val="Hyperlink"/>
                <w:rFonts w:ascii="Garamond" w:hAnsi="Garamond"/>
                <w:color w:val="auto"/>
                <w:u w:val="none"/>
                <w:lang w:val="en-AU"/>
              </w:rPr>
              <w:t>: exploring the role of social network typologies on individual long-term condition management (Rebecca L Morris, Anne Kennedy and Caroline Sanders</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b/>
                <w:color w:val="auto"/>
                <w:u w:val="none"/>
                <w:lang w:val="en-AU"/>
              </w:rPr>
              <w:t>Rights and duties policy</w:t>
            </w:r>
            <w:r w:rsidRPr="00EB0FFF">
              <w:rPr>
                <w:rStyle w:val="Hyperlink"/>
                <w:rFonts w:ascii="Garamond" w:hAnsi="Garamond"/>
                <w:color w:val="auto"/>
                <w:u w:val="none"/>
                <w:lang w:val="en-AU"/>
              </w:rPr>
              <w:t xml:space="preserve"> implementation in Chile: health-care professionals’ perceptions (</w:t>
            </w:r>
            <w:r w:rsidR="00745A58" w:rsidRPr="00EB0FFF">
              <w:rPr>
                <w:rStyle w:val="Hyperlink"/>
                <w:rFonts w:ascii="Garamond" w:hAnsi="Garamond"/>
                <w:color w:val="auto"/>
                <w:u w:val="none"/>
                <w:lang w:val="en-AU"/>
              </w:rPr>
              <w:t>Constanza R</w:t>
            </w:r>
            <w:r w:rsidRPr="00EB0FFF">
              <w:rPr>
                <w:rStyle w:val="Hyperlink"/>
                <w:rFonts w:ascii="Garamond" w:hAnsi="Garamond"/>
                <w:color w:val="auto"/>
                <w:u w:val="none"/>
                <w:lang w:val="en-AU"/>
              </w:rPr>
              <w:t xml:space="preserve"> Barrera, Camila P Negrón, R Mauricio Bar</w:t>
            </w:r>
            <w:r w:rsidR="00745A58" w:rsidRPr="00EB0FFF">
              <w:rPr>
                <w:rStyle w:val="Hyperlink"/>
                <w:rFonts w:ascii="Garamond" w:hAnsi="Garamond"/>
                <w:color w:val="auto"/>
                <w:u w:val="none"/>
                <w:lang w:val="en-AU"/>
              </w:rPr>
              <w:t>ría and Claudio A</w:t>
            </w:r>
            <w:r w:rsidRPr="00EB0FFF">
              <w:rPr>
                <w:rStyle w:val="Hyperlink"/>
                <w:rFonts w:ascii="Garamond" w:hAnsi="Garamond"/>
                <w:color w:val="auto"/>
                <w:u w:val="none"/>
                <w:lang w:val="en-AU"/>
              </w:rPr>
              <w:t xml:space="preserve"> Méndez</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Health e-mavens: identifying active </w:t>
            </w:r>
            <w:r w:rsidRPr="00EB0FFF">
              <w:rPr>
                <w:rStyle w:val="Hyperlink"/>
                <w:rFonts w:ascii="Garamond" w:hAnsi="Garamond"/>
                <w:b/>
                <w:color w:val="auto"/>
                <w:u w:val="none"/>
                <w:lang w:val="en-AU"/>
              </w:rPr>
              <w:t>online health information users</w:t>
            </w:r>
            <w:r w:rsidRPr="00EB0FFF">
              <w:rPr>
                <w:rStyle w:val="Hyperlink"/>
                <w:rFonts w:ascii="Garamond" w:hAnsi="Garamond"/>
                <w:color w:val="auto"/>
                <w:u w:val="none"/>
                <w:lang w:val="en-AU"/>
              </w:rPr>
              <w:t xml:space="preserve"> (Ye Sun, Miao Liu and Melinda Krakow</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End-user involvement in a systematic review of quantitative and qualitative research of non-pharmacological interventions for </w:t>
            </w:r>
            <w:r w:rsidRPr="00EB0FFF">
              <w:rPr>
                <w:rStyle w:val="Hyperlink"/>
                <w:rFonts w:ascii="Garamond" w:hAnsi="Garamond"/>
                <w:b/>
                <w:color w:val="auto"/>
                <w:u w:val="none"/>
                <w:lang w:val="en-AU"/>
              </w:rPr>
              <w:t>attention deficit hyperactivity disorder</w:t>
            </w:r>
            <w:r w:rsidRPr="00EB0FFF">
              <w:rPr>
                <w:rStyle w:val="Hyperlink"/>
                <w:rFonts w:ascii="Garamond" w:hAnsi="Garamond"/>
                <w:color w:val="auto"/>
                <w:u w:val="none"/>
                <w:lang w:val="en-AU"/>
              </w:rPr>
              <w:t xml:space="preserve"> delivered in school settings: reflections on the impacts and challenges (Jo Thompson Coon, Ruth Gwernan-Jones, Darren Moore, Michelle Richardson, C Shotton, W Pritchard, C Morris, K Stein and T Ford</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Utilization of </w:t>
            </w:r>
            <w:r w:rsidRPr="00EB0FFF">
              <w:rPr>
                <w:rStyle w:val="Hyperlink"/>
                <w:rFonts w:ascii="Garamond" w:hAnsi="Garamond"/>
                <w:b/>
                <w:color w:val="auto"/>
                <w:u w:val="none"/>
                <w:lang w:val="en-AU"/>
              </w:rPr>
              <w:t xml:space="preserve">community pharmacy </w:t>
            </w:r>
            <w:r w:rsidRPr="00EB0FFF">
              <w:rPr>
                <w:rStyle w:val="Hyperlink"/>
                <w:rFonts w:ascii="Garamond" w:hAnsi="Garamond"/>
                <w:color w:val="auto"/>
                <w:u w:val="none"/>
                <w:lang w:val="en-AU"/>
              </w:rPr>
              <w:t>space to enhance</w:t>
            </w:r>
            <w:r w:rsidRPr="00EB0FFF">
              <w:rPr>
                <w:rStyle w:val="Hyperlink"/>
                <w:rFonts w:ascii="Garamond" w:hAnsi="Garamond"/>
                <w:b/>
                <w:color w:val="auto"/>
                <w:u w:val="none"/>
                <w:lang w:val="en-AU"/>
              </w:rPr>
              <w:t xml:space="preserve"> privacy</w:t>
            </w:r>
            <w:r w:rsidRPr="00EB0FFF">
              <w:rPr>
                <w:rStyle w:val="Hyperlink"/>
                <w:rFonts w:ascii="Garamond" w:hAnsi="Garamond"/>
                <w:color w:val="auto"/>
                <w:u w:val="none"/>
                <w:lang w:val="en-AU"/>
              </w:rPr>
              <w:t>: a qualitative study (H Laetitia Hattingh, Lynne Emmerton, P Ng Cheong Tin and C Green</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Investigating client perception and attitude to decentralization of </w:t>
            </w:r>
            <w:r w:rsidRPr="00EB0FFF">
              <w:rPr>
                <w:rStyle w:val="Hyperlink"/>
                <w:rFonts w:ascii="Garamond" w:hAnsi="Garamond"/>
                <w:b/>
                <w:color w:val="auto"/>
                <w:u w:val="none"/>
                <w:lang w:val="en-AU"/>
              </w:rPr>
              <w:t>HIV/AIDS treatment services</w:t>
            </w:r>
            <w:r w:rsidRPr="00EB0FFF">
              <w:rPr>
                <w:rStyle w:val="Hyperlink"/>
                <w:rFonts w:ascii="Garamond" w:hAnsi="Garamond"/>
                <w:color w:val="auto"/>
                <w:u w:val="none"/>
                <w:lang w:val="en-AU"/>
              </w:rPr>
              <w:t xml:space="preserve"> to primary health centres in three Nigerian states (Obinna Onwujekwe, Ifeanyi Chikezie, Chinyere Mbachu, Robert Chiegil, Kwasi Torpey and Benjamin Uzochukwu</w:t>
            </w:r>
            <w:r w:rsidR="00745A58" w:rsidRPr="00EB0FFF">
              <w:rPr>
                <w:rStyle w:val="Hyperlink"/>
                <w:rFonts w:ascii="Garamond" w:hAnsi="Garamond"/>
                <w:color w:val="auto"/>
                <w:u w:val="none"/>
                <w:lang w:val="en-AU"/>
              </w:rPr>
              <w:t>)</w:t>
            </w:r>
          </w:p>
          <w:p w:rsidR="00A932E3" w:rsidRPr="00EB0FFF" w:rsidRDefault="00745A58"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 </w:t>
            </w:r>
            <w:r w:rsidR="00A932E3" w:rsidRPr="00EB0FFF">
              <w:rPr>
                <w:rStyle w:val="Hyperlink"/>
                <w:rFonts w:ascii="Garamond" w:hAnsi="Garamond"/>
                <w:color w:val="auto"/>
                <w:u w:val="none"/>
                <w:lang w:val="en-AU"/>
              </w:rPr>
              <w:t xml:space="preserve">‘I should have taken that further’ – missed opportunities during </w:t>
            </w:r>
            <w:r w:rsidR="00A932E3" w:rsidRPr="00EB0FFF">
              <w:rPr>
                <w:rStyle w:val="Hyperlink"/>
                <w:rFonts w:ascii="Garamond" w:hAnsi="Garamond"/>
                <w:b/>
                <w:color w:val="auto"/>
                <w:u w:val="none"/>
                <w:lang w:val="en-AU"/>
              </w:rPr>
              <w:t>cardiovascular risk assessment</w:t>
            </w:r>
            <w:r w:rsidR="00A932E3" w:rsidRPr="00EB0FFF">
              <w:rPr>
                <w:rStyle w:val="Hyperlink"/>
                <w:rFonts w:ascii="Garamond" w:hAnsi="Garamond"/>
                <w:color w:val="auto"/>
                <w:u w:val="none"/>
                <w:lang w:val="en-AU"/>
              </w:rPr>
              <w:t xml:space="preserve"> in patients with psoriasis in UK primary care settings: a mixed-methods study (Pauline A Nelson, Karen Kane, Anna Chisholm, Christina J Pearce, Christopher Keyworth, Martin K Rutter, C </w:t>
            </w:r>
            <w:r w:rsidRPr="00EB0FFF">
              <w:rPr>
                <w:rStyle w:val="Hyperlink"/>
                <w:rFonts w:ascii="Garamond" w:hAnsi="Garamond"/>
                <w:color w:val="auto"/>
                <w:u w:val="none"/>
                <w:lang w:val="en-AU"/>
              </w:rPr>
              <w:t>A Chew-Graham, C E M</w:t>
            </w:r>
            <w:r w:rsidR="00A932E3" w:rsidRPr="00EB0FFF">
              <w:rPr>
                <w:rStyle w:val="Hyperlink"/>
                <w:rFonts w:ascii="Garamond" w:hAnsi="Garamond"/>
                <w:color w:val="auto"/>
                <w:u w:val="none"/>
                <w:lang w:val="en-AU"/>
              </w:rPr>
              <w:t xml:space="preserve"> Griffiths, L Cordingley and On behalf of the IMPACT Team (Identification and Management of Psoriasis-Associated Co-morbidiTy)</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A concept mapping study evaluating the UK's first NHS </w:t>
            </w:r>
            <w:r w:rsidRPr="00EB0FFF">
              <w:rPr>
                <w:rStyle w:val="Hyperlink"/>
                <w:rFonts w:ascii="Garamond" w:hAnsi="Garamond"/>
                <w:b/>
                <w:color w:val="auto"/>
                <w:u w:val="none"/>
                <w:lang w:val="en-AU"/>
              </w:rPr>
              <w:t>generic fatigue clinic</w:t>
            </w:r>
            <w:r w:rsidRPr="00EB0FFF">
              <w:rPr>
                <w:rStyle w:val="Hyperlink"/>
                <w:rFonts w:ascii="Garamond" w:hAnsi="Garamond"/>
                <w:color w:val="auto"/>
                <w:u w:val="none"/>
                <w:lang w:val="en-AU"/>
              </w:rPr>
              <w:t xml:space="preserve"> (Katie L Hackett, Rebecca L Lambson, Victoria Strassheim, Zoe Gotts, Vincent Deary and Julia L</w:t>
            </w:r>
            <w:r w:rsidR="00745A58" w:rsidRPr="00EB0FFF">
              <w:rPr>
                <w:rStyle w:val="Hyperlink"/>
                <w:rFonts w:ascii="Garamond" w:hAnsi="Garamond"/>
                <w:color w:val="auto"/>
                <w:u w:val="none"/>
                <w:lang w:val="en-AU"/>
              </w:rPr>
              <w:t xml:space="preserve"> </w:t>
            </w:r>
            <w:r w:rsidRPr="00EB0FFF">
              <w:rPr>
                <w:rStyle w:val="Hyperlink"/>
                <w:rFonts w:ascii="Garamond" w:hAnsi="Garamond"/>
                <w:color w:val="auto"/>
                <w:u w:val="none"/>
                <w:lang w:val="en-AU"/>
              </w:rPr>
              <w:t>Newton</w:t>
            </w:r>
            <w:r w:rsidR="00745A58" w:rsidRPr="00EB0FFF">
              <w:rPr>
                <w:rStyle w:val="Hyperlink"/>
                <w:rFonts w:ascii="Garamond" w:hAnsi="Garamond"/>
                <w:color w:val="auto"/>
                <w:u w:val="none"/>
                <w:lang w:val="en-AU"/>
              </w:rPr>
              <w:t>)</w:t>
            </w:r>
          </w:p>
          <w:p w:rsidR="00A932E3" w:rsidRPr="00EB0FFF" w:rsidRDefault="00A932E3" w:rsidP="00A932E3">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An exploration of strategies used by older people to obtain information about </w:t>
            </w:r>
            <w:r w:rsidRPr="00EB0FFF">
              <w:rPr>
                <w:rStyle w:val="Hyperlink"/>
                <w:rFonts w:ascii="Garamond" w:hAnsi="Garamond"/>
                <w:b/>
                <w:color w:val="auto"/>
                <w:u w:val="none"/>
                <w:lang w:val="en-AU"/>
              </w:rPr>
              <w:t>health- and social care services in the community</w:t>
            </w:r>
            <w:r w:rsidRPr="00EB0FFF">
              <w:rPr>
                <w:rStyle w:val="Hyperlink"/>
                <w:rFonts w:ascii="Garamond" w:hAnsi="Garamond"/>
                <w:color w:val="auto"/>
                <w:u w:val="none"/>
                <w:lang w:val="en-AU"/>
              </w:rPr>
              <w:t xml:space="preserve"> (Margaret Mc Grath, Kathleen Clancy and Anne Kenny</w:t>
            </w:r>
            <w:r w:rsidR="00745A58" w:rsidRPr="00EB0FFF">
              <w:rPr>
                <w:rStyle w:val="Hyperlink"/>
                <w:rFonts w:ascii="Garamond" w:hAnsi="Garamond"/>
                <w:color w:val="auto"/>
                <w:u w:val="none"/>
                <w:lang w:val="en-AU"/>
              </w:rPr>
              <w:t>)</w:t>
            </w:r>
          </w:p>
          <w:p w:rsidR="004B7E0F" w:rsidRPr="00EB0FFF" w:rsidRDefault="00A932E3" w:rsidP="00745A58">
            <w:pPr>
              <w:pStyle w:val="ListParagraph"/>
              <w:numPr>
                <w:ilvl w:val="0"/>
                <w:numId w:val="36"/>
              </w:numPr>
              <w:rPr>
                <w:rStyle w:val="Hyperlink"/>
                <w:rFonts w:ascii="Garamond" w:hAnsi="Garamond"/>
                <w:color w:val="auto"/>
                <w:u w:val="none"/>
                <w:lang w:val="en-AU"/>
              </w:rPr>
            </w:pPr>
            <w:r w:rsidRPr="00EB0FFF">
              <w:rPr>
                <w:rStyle w:val="Hyperlink"/>
                <w:rFonts w:ascii="Garamond" w:hAnsi="Garamond"/>
                <w:color w:val="auto"/>
                <w:u w:val="none"/>
                <w:lang w:val="en-AU"/>
              </w:rPr>
              <w:t xml:space="preserve">Can consumers learn to ask </w:t>
            </w:r>
            <w:r w:rsidRPr="00EB0FFF">
              <w:rPr>
                <w:rStyle w:val="Hyperlink"/>
                <w:rFonts w:ascii="Garamond" w:hAnsi="Garamond"/>
                <w:b/>
                <w:color w:val="auto"/>
                <w:u w:val="none"/>
                <w:lang w:val="en-AU"/>
              </w:rPr>
              <w:t>three questions to improve shared decision making</w:t>
            </w:r>
            <w:r w:rsidRPr="00EB0FFF">
              <w:rPr>
                <w:rStyle w:val="Hyperlink"/>
                <w:rFonts w:ascii="Garamond" w:hAnsi="Garamond"/>
                <w:color w:val="auto"/>
                <w:u w:val="none"/>
                <w:lang w:val="en-AU"/>
              </w:rPr>
              <w:t>? A feasibility study of the ASK (AskShareKnow) Patient–Clinician Communication Model® intervention in a primary health-care setting (Heather L Shepherd, Alexandra Barratt, Anna Jones, Deborah Bateson, Karen Carey, Lyndal J Trevena, Kevin McGeechan, Chris B Del Mar, Phyllis N Butow, Ronald M Epstein, Vikki Entwistle and Edith Weisberg</w:t>
            </w:r>
            <w:r w:rsidR="00745A58" w:rsidRPr="00EB0FFF">
              <w:rPr>
                <w:rStyle w:val="Hyperlink"/>
                <w:rFonts w:ascii="Garamond" w:hAnsi="Garamond"/>
                <w:color w:val="auto"/>
                <w:u w:val="none"/>
                <w:lang w:val="en-AU"/>
              </w:rPr>
              <w:t>)</w:t>
            </w:r>
          </w:p>
        </w:tc>
      </w:tr>
    </w:tbl>
    <w:p w:rsidR="006C3B97" w:rsidRPr="00EB0FFF" w:rsidRDefault="006C3B97" w:rsidP="006C3B97">
      <w:pPr>
        <w:keepNext/>
        <w:keepLines/>
        <w:autoSpaceDE w:val="0"/>
        <w:autoSpaceDN w:val="0"/>
        <w:adjustRightInd w:val="0"/>
        <w:rPr>
          <w:rFonts w:ascii="Garamond" w:hAnsi="Garamond"/>
          <w:i/>
          <w:lang w:val="en-AU"/>
        </w:rPr>
      </w:pPr>
      <w:r w:rsidRPr="00EB0FFF">
        <w:rPr>
          <w:rFonts w:ascii="Garamond" w:hAnsi="Garamond"/>
          <w:i/>
          <w:lang w:val="en-AU"/>
        </w:rPr>
        <w:lastRenderedPageBreak/>
        <w:t>Public Health Research &amp; Practice</w:t>
      </w:r>
    </w:p>
    <w:p w:rsidR="006C3B97" w:rsidRPr="00EB0FFF" w:rsidRDefault="006C3B97" w:rsidP="006C3B97">
      <w:pPr>
        <w:keepNext/>
        <w:keepLines/>
        <w:autoSpaceDE w:val="0"/>
        <w:autoSpaceDN w:val="0"/>
        <w:adjustRightInd w:val="0"/>
        <w:rPr>
          <w:rFonts w:ascii="Garamond" w:hAnsi="Garamond"/>
          <w:lang w:val="en-AU"/>
        </w:rPr>
      </w:pPr>
      <w:r w:rsidRPr="00EB0FFF">
        <w:rPr>
          <w:rFonts w:ascii="Garamond" w:hAnsi="Garamond"/>
          <w:lang w:val="en-AU"/>
        </w:rPr>
        <w:t>September 2016, Volume 26, Issue 4</w:t>
      </w:r>
    </w:p>
    <w:tbl>
      <w:tblPr>
        <w:tblStyle w:val="TableGrid"/>
        <w:tblW w:w="0" w:type="auto"/>
        <w:tblInd w:w="288" w:type="dxa"/>
        <w:tblLayout w:type="fixed"/>
        <w:tblLook w:val="01E0" w:firstRow="1" w:lastRow="1" w:firstColumn="1" w:lastColumn="1" w:noHBand="0" w:noVBand="0"/>
      </w:tblPr>
      <w:tblGrid>
        <w:gridCol w:w="1080"/>
        <w:gridCol w:w="8280"/>
      </w:tblGrid>
      <w:tr w:rsidR="006C3B97" w:rsidRPr="00EB0FFF" w:rsidTr="00B74191">
        <w:tc>
          <w:tcPr>
            <w:tcW w:w="1080" w:type="dxa"/>
            <w:tcBorders>
              <w:top w:val="single" w:sz="4" w:space="0" w:color="auto"/>
              <w:left w:val="single" w:sz="4" w:space="0" w:color="auto"/>
              <w:bottom w:val="single" w:sz="4" w:space="0" w:color="auto"/>
              <w:right w:val="single" w:sz="4" w:space="0" w:color="auto"/>
            </w:tcBorders>
            <w:vAlign w:val="center"/>
          </w:tcPr>
          <w:p w:rsidR="006C3B97" w:rsidRPr="00EB0FFF" w:rsidRDefault="006C3B97" w:rsidP="00B74191">
            <w:pPr>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3B97" w:rsidRPr="00EB0FFF" w:rsidRDefault="00FF1579" w:rsidP="00B74191">
            <w:pPr>
              <w:rPr>
                <w:rFonts w:ascii="Garamond" w:hAnsi="Garamond"/>
                <w:lang w:val="en-AU"/>
              </w:rPr>
            </w:pPr>
            <w:hyperlink r:id="rId28" w:history="1">
              <w:r w:rsidR="006C3B97" w:rsidRPr="00EB0FFF">
                <w:rPr>
                  <w:rStyle w:val="Hyperlink"/>
                  <w:rFonts w:ascii="Garamond" w:hAnsi="Garamond"/>
                  <w:lang w:val="en-AU"/>
                </w:rPr>
                <w:t>http://www.phrp.com.au/issues/september-2016-volume-26-issue-4/</w:t>
              </w:r>
            </w:hyperlink>
          </w:p>
        </w:tc>
      </w:tr>
      <w:tr w:rsidR="006C3B97" w:rsidRPr="00EB0FFF" w:rsidTr="00B74191">
        <w:tc>
          <w:tcPr>
            <w:tcW w:w="1080" w:type="dxa"/>
            <w:tcBorders>
              <w:top w:val="single" w:sz="4" w:space="0" w:color="auto"/>
              <w:left w:val="single" w:sz="4" w:space="0" w:color="auto"/>
              <w:bottom w:val="single" w:sz="4" w:space="0" w:color="auto"/>
              <w:right w:val="single" w:sz="4" w:space="0" w:color="auto"/>
            </w:tcBorders>
            <w:vAlign w:val="center"/>
          </w:tcPr>
          <w:p w:rsidR="006C3B97" w:rsidRPr="00EB0FFF" w:rsidRDefault="006C3B97" w:rsidP="00B74191">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3B97" w:rsidRPr="00EB0FFF" w:rsidRDefault="006C3B97" w:rsidP="00B74191">
            <w:pPr>
              <w:rPr>
                <w:rFonts w:ascii="Garamond" w:hAnsi="Garamond"/>
                <w:lang w:val="en-AU" w:eastAsia="en-AU"/>
              </w:rPr>
            </w:pPr>
            <w:r w:rsidRPr="00EB0FFF">
              <w:rPr>
                <w:rFonts w:ascii="Garamond" w:hAnsi="Garamond"/>
                <w:lang w:val="en-AU" w:eastAsia="en-AU"/>
              </w:rPr>
              <w:t xml:space="preserve">A new issue of </w:t>
            </w:r>
            <w:r w:rsidRPr="00EB0FFF">
              <w:rPr>
                <w:rFonts w:ascii="Garamond" w:hAnsi="Garamond"/>
                <w:i/>
                <w:lang w:val="en-AU"/>
              </w:rPr>
              <w:t>Public Health Research &amp; Practice</w:t>
            </w:r>
            <w:r w:rsidRPr="00EB0FFF">
              <w:rPr>
                <w:rFonts w:ascii="Garamond" w:hAnsi="Garamond"/>
                <w:i/>
                <w:lang w:val="en-AU" w:eastAsia="en-AU"/>
              </w:rPr>
              <w:t xml:space="preserve"> </w:t>
            </w:r>
            <w:r w:rsidRPr="00EB0FFF">
              <w:rPr>
                <w:rFonts w:ascii="Garamond" w:hAnsi="Garamond"/>
                <w:lang w:val="en-AU" w:eastAsia="en-AU"/>
              </w:rPr>
              <w:t xml:space="preserve">has been published with a focus on the monitoring, regulation and impact of alcohol consumption. Articles in this issue of </w:t>
            </w:r>
            <w:r w:rsidRPr="00EB0FFF">
              <w:rPr>
                <w:rFonts w:ascii="Garamond" w:hAnsi="Garamond"/>
                <w:i/>
                <w:lang w:val="en-AU"/>
              </w:rPr>
              <w:t>Public Health Research &amp; Practice</w:t>
            </w:r>
            <w:r w:rsidRPr="00EB0FFF">
              <w:rPr>
                <w:rFonts w:ascii="Garamond" w:hAnsi="Garamond"/>
                <w:lang w:val="en-AU" w:eastAsia="en-AU"/>
              </w:rPr>
              <w:t xml:space="preserve"> include:</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Editorial: </w:t>
            </w:r>
            <w:r w:rsidRPr="00EB0FFF">
              <w:rPr>
                <w:rFonts w:ascii="Garamond" w:hAnsi="Garamond"/>
                <w:b/>
                <w:lang w:val="en-AU" w:eastAsia="en-AU"/>
              </w:rPr>
              <w:t>Alcohol consumption</w:t>
            </w:r>
            <w:r w:rsidRPr="00EB0FFF">
              <w:rPr>
                <w:rFonts w:ascii="Garamond" w:hAnsi="Garamond"/>
                <w:lang w:val="en-AU" w:eastAsia="en-AU"/>
              </w:rPr>
              <w:t>: monitoring, regulation and impact on public health (Mitchell J, Dunlop A)</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The </w:t>
            </w:r>
            <w:r w:rsidRPr="00EB0FFF">
              <w:rPr>
                <w:rFonts w:ascii="Garamond" w:hAnsi="Garamond"/>
                <w:b/>
                <w:lang w:val="en-AU" w:eastAsia="en-AU"/>
              </w:rPr>
              <w:t>drinking habits of youth</w:t>
            </w:r>
            <w:r w:rsidRPr="00EB0FFF">
              <w:rPr>
                <w:rFonts w:ascii="Garamond" w:hAnsi="Garamond"/>
                <w:lang w:val="en-AU" w:eastAsia="en-AU"/>
              </w:rPr>
              <w:t xml:space="preserve"> in NSW, Australia: latest data and influencing factors (Moore R, Whitlam G, Harrold T, Lewis N)</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Estimating prevalence of </w:t>
            </w:r>
            <w:r w:rsidRPr="00EB0FFF">
              <w:rPr>
                <w:rFonts w:ascii="Garamond" w:hAnsi="Garamond"/>
                <w:b/>
                <w:lang w:val="en-AU" w:eastAsia="en-AU"/>
              </w:rPr>
              <w:t>drug and alcohol presentations to hospital emergency departments</w:t>
            </w:r>
            <w:r w:rsidRPr="00EB0FFF">
              <w:rPr>
                <w:rFonts w:ascii="Garamond" w:hAnsi="Garamond"/>
                <w:lang w:val="en-AU" w:eastAsia="en-AU"/>
              </w:rPr>
              <w:t xml:space="preserve"> in NSW, Australia: impact of hospital consultation liaison services (Butler K, Reeve R, Viney R, Burns L)</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The impact </w:t>
            </w:r>
            <w:r w:rsidRPr="00EB0FFF">
              <w:rPr>
                <w:rFonts w:ascii="Garamond" w:hAnsi="Garamond"/>
                <w:b/>
                <w:lang w:val="en-AU" w:eastAsia="en-AU"/>
              </w:rPr>
              <w:t>of alcohol pharmacotherapies</w:t>
            </w:r>
            <w:r w:rsidRPr="00EB0FFF">
              <w:rPr>
                <w:rFonts w:ascii="Garamond" w:hAnsi="Garamond"/>
                <w:lang w:val="en-AU" w:eastAsia="en-AU"/>
              </w:rPr>
              <w:t xml:space="preserve"> on public health in Australia is limited by low prescribing rates (Haber PS, Morley KC)</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Impacts of </w:t>
            </w:r>
            <w:r w:rsidRPr="00EB0FFF">
              <w:rPr>
                <w:rFonts w:ascii="Garamond" w:hAnsi="Garamond"/>
                <w:b/>
                <w:lang w:val="en-AU" w:eastAsia="en-AU"/>
              </w:rPr>
              <w:t>changes to trading hours of liquor licences</w:t>
            </w:r>
            <w:r w:rsidRPr="00EB0FFF">
              <w:rPr>
                <w:rFonts w:ascii="Garamond" w:hAnsi="Garamond"/>
                <w:lang w:val="en-AU" w:eastAsia="en-AU"/>
              </w:rPr>
              <w:t xml:space="preserve"> on alcohol-related harm: a systematic review 2005–2015 (Wilkinson C, Livingston M, Room R)</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b/>
                <w:lang w:val="en-AU" w:eastAsia="en-AU"/>
              </w:rPr>
              <w:t>Genetic feedback to reduce alcohol consumption</w:t>
            </w:r>
            <w:r w:rsidRPr="00EB0FFF">
              <w:rPr>
                <w:rFonts w:ascii="Garamond" w:hAnsi="Garamond"/>
                <w:lang w:val="en-AU" w:eastAsia="en-AU"/>
              </w:rPr>
              <w:t xml:space="preserve"> in hospital outpatients with risky drinking: feasibility and acceptability (Johnson N, Kypri K, Latter J, Attia J, McEvoy M, Dunlop A, Scott R)</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b/>
                <w:lang w:val="en-AU" w:eastAsia="en-AU"/>
              </w:rPr>
              <w:t>Mesothelioma</w:t>
            </w:r>
            <w:r w:rsidRPr="00EB0FFF">
              <w:rPr>
                <w:rFonts w:ascii="Garamond" w:hAnsi="Garamond"/>
                <w:lang w:val="en-AU" w:eastAsia="en-AU"/>
              </w:rPr>
              <w:t xml:space="preserve"> trends in the ACT and comparisons with the rest of Australia (Korda RJ, Clements MS, Armstrong BK, Trevenar SM, Chalker EB, Newman LA, Kirk MD)</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Developing a new Get Healthy Service program on </w:t>
            </w:r>
            <w:r w:rsidRPr="00EB0FFF">
              <w:rPr>
                <w:rFonts w:ascii="Garamond" w:hAnsi="Garamond"/>
                <w:b/>
                <w:lang w:val="en-AU" w:eastAsia="en-AU"/>
              </w:rPr>
              <w:t>reducing risky alcohol consumption</w:t>
            </w:r>
            <w:r w:rsidRPr="00EB0FFF">
              <w:rPr>
                <w:rFonts w:ascii="Garamond" w:hAnsi="Garamond"/>
                <w:lang w:val="en-AU" w:eastAsia="en-AU"/>
              </w:rPr>
              <w:t xml:space="preserve"> (Moore R, Ahmed N, Russell L, Rissel C)</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Public health advocacy in action: the case of </w:t>
            </w:r>
            <w:r w:rsidRPr="001C5474">
              <w:rPr>
                <w:rFonts w:ascii="Garamond" w:hAnsi="Garamond"/>
                <w:b/>
                <w:lang w:val="en-AU" w:eastAsia="en-AU"/>
              </w:rPr>
              <w:t>unproven</w:t>
            </w:r>
            <w:r w:rsidRPr="00EB0FFF">
              <w:rPr>
                <w:rFonts w:ascii="Garamond" w:hAnsi="Garamond"/>
                <w:lang w:val="en-AU" w:eastAsia="en-AU"/>
              </w:rPr>
              <w:t xml:space="preserve"> </w:t>
            </w:r>
            <w:r w:rsidRPr="00EB0FFF">
              <w:rPr>
                <w:rFonts w:ascii="Garamond" w:hAnsi="Garamond"/>
                <w:b/>
                <w:lang w:val="en-AU" w:eastAsia="en-AU"/>
              </w:rPr>
              <w:t>breast cancer screening</w:t>
            </w:r>
            <w:r w:rsidRPr="00EB0FFF">
              <w:rPr>
                <w:rFonts w:ascii="Garamond" w:hAnsi="Garamond"/>
                <w:lang w:val="en-AU" w:eastAsia="en-AU"/>
              </w:rPr>
              <w:t xml:space="preserve"> in Australia (Johnson RS, Croager EJ, Kameron CB, Pratt IS Vreugdenburg TD, Slevin T)</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Development of a multiple risk factor </w:t>
            </w:r>
            <w:r w:rsidRPr="00EB0FFF">
              <w:rPr>
                <w:rFonts w:ascii="Garamond" w:hAnsi="Garamond"/>
                <w:b/>
                <w:lang w:val="en-AU" w:eastAsia="en-AU"/>
              </w:rPr>
              <w:t>Brief Health Check for workplaces</w:t>
            </w:r>
            <w:r w:rsidRPr="00EB0FFF">
              <w:rPr>
                <w:rFonts w:ascii="Garamond" w:hAnsi="Garamond"/>
                <w:lang w:val="en-AU" w:eastAsia="en-AU"/>
              </w:rPr>
              <w:t xml:space="preserve"> (Lloyd B, Khanal S, Macoun E, Rissel C)</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Sporting clubs to tackle </w:t>
            </w:r>
            <w:r w:rsidRPr="00EB0FFF">
              <w:rPr>
                <w:rFonts w:ascii="Garamond" w:hAnsi="Garamond"/>
                <w:b/>
                <w:lang w:val="en-AU" w:eastAsia="en-AU"/>
              </w:rPr>
              <w:t>illegal drug use</w:t>
            </w:r>
            <w:r w:rsidRPr="00EB0FFF">
              <w:rPr>
                <w:rFonts w:ascii="Garamond" w:hAnsi="Garamond"/>
                <w:lang w:val="en-AU" w:eastAsia="en-AU"/>
              </w:rPr>
              <w:t xml:space="preserve"> (Skilton N)</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Applications due to open soon for </w:t>
            </w:r>
            <w:r w:rsidRPr="00EB0FFF">
              <w:rPr>
                <w:rFonts w:ascii="Garamond" w:hAnsi="Garamond"/>
                <w:b/>
                <w:lang w:val="en-AU" w:eastAsia="en-AU"/>
              </w:rPr>
              <w:t>medical homes trial</w:t>
            </w:r>
            <w:r w:rsidRPr="00EB0FFF">
              <w:rPr>
                <w:rFonts w:ascii="Garamond" w:hAnsi="Garamond"/>
                <w:lang w:val="en-AU" w:eastAsia="en-AU"/>
              </w:rPr>
              <w:t xml:space="preserve"> (Messenger A)</w:t>
            </w:r>
          </w:p>
          <w:p w:rsidR="006C3B97" w:rsidRPr="00EB0FFF" w:rsidRDefault="006C3B97" w:rsidP="00B74191">
            <w:pPr>
              <w:pStyle w:val="ListParagraph"/>
              <w:numPr>
                <w:ilvl w:val="0"/>
                <w:numId w:val="39"/>
              </w:numPr>
              <w:rPr>
                <w:rFonts w:ascii="Garamond" w:hAnsi="Garamond"/>
                <w:lang w:val="en-AU" w:eastAsia="en-AU"/>
              </w:rPr>
            </w:pPr>
            <w:r w:rsidRPr="00EB0FFF">
              <w:rPr>
                <w:rFonts w:ascii="Garamond" w:hAnsi="Garamond"/>
                <w:lang w:val="en-AU" w:eastAsia="en-AU"/>
              </w:rPr>
              <w:t xml:space="preserve">No safe level: public health message targets </w:t>
            </w:r>
            <w:r w:rsidRPr="00EB0FFF">
              <w:rPr>
                <w:rFonts w:ascii="Garamond" w:hAnsi="Garamond"/>
                <w:b/>
                <w:lang w:val="en-AU" w:eastAsia="en-AU"/>
              </w:rPr>
              <w:t>moderate drinkers</w:t>
            </w:r>
            <w:r w:rsidRPr="00EB0FFF">
              <w:rPr>
                <w:rFonts w:ascii="Garamond" w:hAnsi="Garamond"/>
                <w:lang w:val="en-AU" w:eastAsia="en-AU"/>
              </w:rPr>
              <w:t xml:space="preserve"> (Skilton N)</w:t>
            </w:r>
          </w:p>
        </w:tc>
      </w:tr>
    </w:tbl>
    <w:p w:rsidR="006C3B97" w:rsidRDefault="006C3B97" w:rsidP="006C3B97">
      <w:pPr>
        <w:keepNext/>
        <w:rPr>
          <w:rFonts w:ascii="Garamond" w:hAnsi="Garamond"/>
          <w:i/>
          <w:lang w:val="en-AU"/>
        </w:rPr>
      </w:pPr>
    </w:p>
    <w:p w:rsidR="00117076" w:rsidRPr="00117076" w:rsidRDefault="00117076" w:rsidP="00117076">
      <w:pPr>
        <w:keepNext/>
        <w:rPr>
          <w:rFonts w:ascii="Garamond" w:hAnsi="Garamond"/>
          <w:i/>
          <w:lang w:val="en-AU"/>
        </w:rPr>
      </w:pPr>
      <w:r w:rsidRPr="00117076">
        <w:rPr>
          <w:rFonts w:ascii="Garamond" w:hAnsi="Garamond"/>
          <w:i/>
          <w:lang w:val="en-AU"/>
        </w:rPr>
        <w:t>Journal of Health Services Research &amp; Policy</w:t>
      </w:r>
    </w:p>
    <w:p w:rsidR="00117076" w:rsidRPr="00117076" w:rsidRDefault="00117076" w:rsidP="00117076">
      <w:pPr>
        <w:keepNext/>
        <w:rPr>
          <w:rFonts w:ascii="Garamond" w:hAnsi="Garamond"/>
          <w:lang w:val="en-AU"/>
        </w:rPr>
      </w:pPr>
      <w:r w:rsidRPr="00117076">
        <w:rPr>
          <w:rFonts w:ascii="Garamond" w:hAnsi="Garamond"/>
          <w:lang w:val="en-AU"/>
        </w:rPr>
        <w:t>October 2016; Vol. 21, No. 4</w:t>
      </w:r>
    </w:p>
    <w:tbl>
      <w:tblPr>
        <w:tblStyle w:val="TableGrid"/>
        <w:tblW w:w="0" w:type="auto"/>
        <w:tblInd w:w="288" w:type="dxa"/>
        <w:tblLayout w:type="fixed"/>
        <w:tblLook w:val="01E0" w:firstRow="1" w:lastRow="1" w:firstColumn="1" w:lastColumn="1" w:noHBand="0" w:noVBand="0"/>
      </w:tblPr>
      <w:tblGrid>
        <w:gridCol w:w="1080"/>
        <w:gridCol w:w="8280"/>
      </w:tblGrid>
      <w:tr w:rsidR="00117076" w:rsidRPr="00EB0FFF" w:rsidTr="00B74191">
        <w:tc>
          <w:tcPr>
            <w:tcW w:w="1080" w:type="dxa"/>
            <w:tcBorders>
              <w:top w:val="single" w:sz="4" w:space="0" w:color="auto"/>
              <w:left w:val="single" w:sz="4" w:space="0" w:color="auto"/>
              <w:bottom w:val="single" w:sz="4" w:space="0" w:color="auto"/>
              <w:right w:val="single" w:sz="4" w:space="0" w:color="auto"/>
            </w:tcBorders>
            <w:vAlign w:val="center"/>
          </w:tcPr>
          <w:p w:rsidR="00117076" w:rsidRPr="00EB0FFF" w:rsidRDefault="00117076" w:rsidP="00B7419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17076" w:rsidRPr="00EB0FFF" w:rsidRDefault="00FF1579" w:rsidP="00B74191">
            <w:pPr>
              <w:rPr>
                <w:rStyle w:val="Hyperlink"/>
                <w:rFonts w:ascii="Garamond" w:hAnsi="Garamond"/>
                <w:color w:val="auto"/>
                <w:u w:val="none"/>
                <w:lang w:val="en-AU"/>
              </w:rPr>
            </w:pPr>
            <w:hyperlink r:id="rId29" w:history="1">
              <w:r w:rsidR="001C5474" w:rsidRPr="008D6332">
                <w:rPr>
                  <w:rStyle w:val="Hyperlink"/>
                  <w:rFonts w:ascii="Garamond" w:hAnsi="Garamond"/>
                  <w:lang w:val="en-AU"/>
                </w:rPr>
                <w:t>http://hsr.sagepub.com/content/21/4?etoc</w:t>
              </w:r>
            </w:hyperlink>
          </w:p>
        </w:tc>
      </w:tr>
      <w:tr w:rsidR="00117076" w:rsidRPr="00EB0FFF" w:rsidTr="00B74191">
        <w:tc>
          <w:tcPr>
            <w:tcW w:w="1080" w:type="dxa"/>
            <w:tcBorders>
              <w:top w:val="single" w:sz="4" w:space="0" w:color="auto"/>
              <w:left w:val="single" w:sz="4" w:space="0" w:color="auto"/>
              <w:bottom w:val="single" w:sz="4" w:space="0" w:color="auto"/>
              <w:right w:val="single" w:sz="4" w:space="0" w:color="auto"/>
            </w:tcBorders>
            <w:vAlign w:val="center"/>
          </w:tcPr>
          <w:p w:rsidR="00117076" w:rsidRPr="00EB0FFF" w:rsidRDefault="00117076" w:rsidP="00B74191">
            <w:pPr>
              <w:rPr>
                <w:rFonts w:ascii="Garamond" w:hAnsi="Garamond"/>
                <w:lang w:val="en-AU" w:eastAsia="en-AU"/>
              </w:rPr>
            </w:pPr>
            <w:r w:rsidRPr="00EB0FF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7076" w:rsidRPr="00EB0FFF" w:rsidRDefault="00117076" w:rsidP="00117076">
            <w:pPr>
              <w:rPr>
                <w:rFonts w:ascii="Garamond" w:hAnsi="Garamond"/>
                <w:lang w:val="en-AU"/>
              </w:rPr>
            </w:pPr>
            <w:r w:rsidRPr="00EB0FFF">
              <w:rPr>
                <w:rFonts w:ascii="Garamond" w:hAnsi="Garamond"/>
                <w:lang w:val="en-AU"/>
              </w:rPr>
              <w:t xml:space="preserve">A new issue of </w:t>
            </w:r>
            <w:r w:rsidR="001C5474">
              <w:rPr>
                <w:rFonts w:ascii="Garamond" w:hAnsi="Garamond"/>
                <w:lang w:val="en-AU"/>
              </w:rPr>
              <w:t xml:space="preserve">the </w:t>
            </w:r>
            <w:r w:rsidR="001C5474" w:rsidRPr="00117076">
              <w:rPr>
                <w:rFonts w:ascii="Garamond" w:hAnsi="Garamond"/>
                <w:i/>
                <w:lang w:val="en-AU"/>
              </w:rPr>
              <w:t>Journal of Health Services Research &amp; Policy</w:t>
            </w:r>
            <w:r w:rsidR="001C5474" w:rsidRPr="00EB0FFF">
              <w:rPr>
                <w:rFonts w:ascii="Garamond" w:hAnsi="Garamond"/>
                <w:i/>
                <w:lang w:val="en-AU"/>
              </w:rPr>
              <w:t xml:space="preserve"> </w:t>
            </w:r>
            <w:r w:rsidRPr="00EB0FFF">
              <w:rPr>
                <w:rFonts w:ascii="Garamond" w:hAnsi="Garamond"/>
                <w:lang w:val="en-AU"/>
              </w:rPr>
              <w:t>has</w:t>
            </w:r>
            <w:r w:rsidRPr="00EB0FFF">
              <w:rPr>
                <w:rFonts w:ascii="Garamond" w:hAnsi="Garamond"/>
                <w:i/>
                <w:lang w:val="en-AU"/>
              </w:rPr>
              <w:t xml:space="preserve"> </w:t>
            </w:r>
            <w:r w:rsidRPr="00EB0FFF">
              <w:rPr>
                <w:rFonts w:ascii="Garamond" w:hAnsi="Garamond"/>
                <w:lang w:val="en-AU"/>
              </w:rPr>
              <w:t xml:space="preserve">been published. Articles in this issue of the </w:t>
            </w:r>
            <w:r w:rsidR="001C5474" w:rsidRPr="00117076">
              <w:rPr>
                <w:rFonts w:ascii="Garamond" w:hAnsi="Garamond"/>
                <w:i/>
                <w:lang w:val="en-AU"/>
              </w:rPr>
              <w:t>Journal of Health Services Research &amp; Policy</w:t>
            </w:r>
            <w:r w:rsidRPr="00EB0FFF">
              <w:rPr>
                <w:rFonts w:ascii="Garamond" w:hAnsi="Garamond"/>
                <w:lang w:val="en-AU"/>
              </w:rPr>
              <w:t xml:space="preserve"> include:</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Editorial: Challenges, solutions and future directions in </w:t>
            </w:r>
            <w:r w:rsidRPr="00BE79D9">
              <w:rPr>
                <w:rStyle w:val="Hyperlink"/>
                <w:rFonts w:ascii="Garamond" w:hAnsi="Garamond"/>
                <w:b/>
                <w:color w:val="auto"/>
                <w:u w:val="none"/>
                <w:lang w:val="en-AU"/>
              </w:rPr>
              <w:t>evaluative research</w:t>
            </w:r>
            <w:r w:rsidRPr="00117076">
              <w:rPr>
                <w:rStyle w:val="Hyperlink"/>
                <w:rFonts w:ascii="Garamond" w:hAnsi="Garamond"/>
                <w:color w:val="auto"/>
                <w:u w:val="none"/>
                <w:lang w:val="en-AU"/>
              </w:rPr>
              <w:t xml:space="preserve"> (Rosalind Raine, Ray Fitzpatrick, and John de Pury</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Unpacking </w:t>
            </w:r>
            <w:r w:rsidRPr="00BE79D9">
              <w:rPr>
                <w:rStyle w:val="Hyperlink"/>
                <w:rFonts w:ascii="Garamond" w:hAnsi="Garamond"/>
                <w:b/>
                <w:color w:val="auto"/>
                <w:u w:val="none"/>
                <w:lang w:val="en-AU"/>
              </w:rPr>
              <w:t>knowledge translation in participatory research</w:t>
            </w:r>
            <w:r w:rsidRPr="00117076">
              <w:rPr>
                <w:rStyle w:val="Hyperlink"/>
                <w:rFonts w:ascii="Garamond" w:hAnsi="Garamond"/>
                <w:color w:val="auto"/>
                <w:u w:val="none"/>
                <w:lang w:val="en-AU"/>
              </w:rPr>
              <w:t>: a micro-level study (Ida Lillehagen, Kristin Heggen, and Eivind Engebretsen</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Harmonizing </w:t>
            </w:r>
            <w:r w:rsidRPr="00BE79D9">
              <w:rPr>
                <w:rStyle w:val="Hyperlink"/>
                <w:rFonts w:ascii="Garamond" w:hAnsi="Garamond"/>
                <w:b/>
                <w:color w:val="auto"/>
                <w:u w:val="none"/>
                <w:lang w:val="en-AU"/>
              </w:rPr>
              <w:t xml:space="preserve">routinely collected health information </w:t>
            </w:r>
            <w:r w:rsidRPr="00BE79D9">
              <w:rPr>
                <w:rStyle w:val="Hyperlink"/>
                <w:rFonts w:ascii="Garamond" w:hAnsi="Garamond"/>
                <w:color w:val="auto"/>
                <w:u w:val="none"/>
                <w:lang w:val="en-AU"/>
              </w:rPr>
              <w:t>for strengthening</w:t>
            </w:r>
            <w:r w:rsidRPr="00BE79D9">
              <w:rPr>
                <w:rStyle w:val="Hyperlink"/>
                <w:rFonts w:ascii="Garamond" w:hAnsi="Garamond"/>
                <w:b/>
                <w:color w:val="auto"/>
                <w:u w:val="none"/>
                <w:lang w:val="en-AU"/>
              </w:rPr>
              <w:t xml:space="preserve"> quality management</w:t>
            </w:r>
            <w:r w:rsidRPr="00117076">
              <w:rPr>
                <w:rStyle w:val="Hyperlink"/>
                <w:rFonts w:ascii="Garamond" w:hAnsi="Garamond"/>
                <w:color w:val="auto"/>
                <w:u w:val="none"/>
                <w:lang w:val="en-AU"/>
              </w:rPr>
              <w:t xml:space="preserve"> in health systems: requirements and practice (Birgit Prodinger, Alan Tennant, Gerold Stucki, Alarcos Cieza, and Tevfik Bedirhan Üstün</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Does the ‘</w:t>
            </w:r>
            <w:r w:rsidRPr="00BE79D9">
              <w:rPr>
                <w:rStyle w:val="Hyperlink"/>
                <w:rFonts w:ascii="Garamond" w:hAnsi="Garamond"/>
                <w:b/>
                <w:color w:val="auto"/>
                <w:u w:val="none"/>
                <w:lang w:val="en-AU"/>
              </w:rPr>
              <w:t>diffusion of innovations</w:t>
            </w:r>
            <w:r w:rsidRPr="00117076">
              <w:rPr>
                <w:rStyle w:val="Hyperlink"/>
                <w:rFonts w:ascii="Garamond" w:hAnsi="Garamond"/>
                <w:color w:val="auto"/>
                <w:u w:val="none"/>
                <w:lang w:val="en-AU"/>
              </w:rPr>
              <w:t xml:space="preserve">’ model enrich understanding of research use? Case studies of the implementation of </w:t>
            </w:r>
            <w:r w:rsidRPr="00BE79D9">
              <w:rPr>
                <w:rStyle w:val="Hyperlink"/>
                <w:rFonts w:ascii="Garamond" w:hAnsi="Garamond"/>
                <w:b/>
                <w:color w:val="auto"/>
                <w:u w:val="none"/>
                <w:lang w:val="en-AU"/>
              </w:rPr>
              <w:t xml:space="preserve">thrombolysis services for stroke </w:t>
            </w:r>
            <w:r w:rsidRPr="00117076">
              <w:rPr>
                <w:rStyle w:val="Hyperlink"/>
                <w:rFonts w:ascii="Garamond" w:hAnsi="Garamond"/>
                <w:color w:val="auto"/>
                <w:u w:val="none"/>
                <w:lang w:val="en-AU"/>
              </w:rPr>
              <w:lastRenderedPageBreak/>
              <w:t>(Annette Boaz, Juan Baeza, and Alec Fraser</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Attitudes towards </w:t>
            </w:r>
            <w:r w:rsidRPr="00BE79D9">
              <w:rPr>
                <w:rStyle w:val="Hyperlink"/>
                <w:rFonts w:ascii="Garamond" w:hAnsi="Garamond"/>
                <w:b/>
                <w:color w:val="auto"/>
                <w:u w:val="none"/>
                <w:lang w:val="en-AU"/>
              </w:rPr>
              <w:t>reforming primary care</w:t>
            </w:r>
            <w:r w:rsidRPr="00117076">
              <w:rPr>
                <w:rStyle w:val="Hyperlink"/>
                <w:rFonts w:ascii="Garamond" w:hAnsi="Garamond"/>
                <w:color w:val="auto"/>
                <w:u w:val="none"/>
                <w:lang w:val="en-AU"/>
              </w:rPr>
              <w:t xml:space="preserve"> in Belgium: social network analysis in a pluralist context (Vincent Lorant, Benoît Rihoux, and Pablo Nicaise</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Evaluating the inclusivity of </w:t>
            </w:r>
            <w:r w:rsidRPr="00BE79D9">
              <w:rPr>
                <w:rStyle w:val="Hyperlink"/>
                <w:rFonts w:ascii="Garamond" w:hAnsi="Garamond"/>
                <w:b/>
                <w:color w:val="auto"/>
                <w:u w:val="none"/>
                <w:lang w:val="en-AU"/>
              </w:rPr>
              <w:t>hospital wayfinding systems</w:t>
            </w:r>
            <w:r w:rsidRPr="00117076">
              <w:rPr>
                <w:rStyle w:val="Hyperlink"/>
                <w:rFonts w:ascii="Garamond" w:hAnsi="Garamond"/>
                <w:color w:val="auto"/>
                <w:u w:val="none"/>
                <w:lang w:val="en-AU"/>
              </w:rPr>
              <w:t xml:space="preserve"> for people with diverse needs and abilities (Ido Morag, Ann Heylighen, and Liliane Pintelon</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Rethinking the </w:t>
            </w:r>
            <w:r w:rsidRPr="00BE79D9">
              <w:rPr>
                <w:rStyle w:val="Hyperlink"/>
                <w:rFonts w:ascii="Garamond" w:hAnsi="Garamond"/>
                <w:b/>
                <w:color w:val="auto"/>
                <w:u w:val="none"/>
                <w:lang w:val="en-AU"/>
              </w:rPr>
              <w:t>private–public mix in health care</w:t>
            </w:r>
            <w:r w:rsidRPr="00117076">
              <w:rPr>
                <w:rStyle w:val="Hyperlink"/>
                <w:rFonts w:ascii="Garamond" w:hAnsi="Garamond"/>
                <w:color w:val="auto"/>
                <w:u w:val="none"/>
                <w:lang w:val="en-AU"/>
              </w:rPr>
              <w:t>: analysis of health reforms in Israel during the last three decades (Dani Filc and Nadav Davidovitch</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Implementing </w:t>
            </w:r>
            <w:r w:rsidRPr="00BE79D9">
              <w:rPr>
                <w:rStyle w:val="Hyperlink"/>
                <w:rFonts w:ascii="Garamond" w:hAnsi="Garamond"/>
                <w:b/>
                <w:color w:val="auto"/>
                <w:u w:val="none"/>
                <w:lang w:val="en-AU"/>
              </w:rPr>
              <w:t>climate change mitigation</w:t>
            </w:r>
            <w:r w:rsidRPr="00117076">
              <w:rPr>
                <w:rStyle w:val="Hyperlink"/>
                <w:rFonts w:ascii="Garamond" w:hAnsi="Garamond"/>
                <w:color w:val="auto"/>
                <w:u w:val="none"/>
                <w:lang w:val="en-AU"/>
              </w:rPr>
              <w:t xml:space="preserve"> in health services: the importance of context (Sharon Desmond</w:t>
            </w:r>
            <w:r>
              <w:rPr>
                <w:rStyle w:val="Hyperlink"/>
                <w:rFonts w:ascii="Garamond" w:hAnsi="Garamond"/>
                <w:color w:val="auto"/>
                <w:u w:val="none"/>
                <w:lang w:val="en-AU"/>
              </w:rPr>
              <w:t>)</w:t>
            </w:r>
          </w:p>
          <w:p w:rsidR="00117076" w:rsidRPr="00117076" w:rsidRDefault="00117076" w:rsidP="00117076">
            <w:pPr>
              <w:pStyle w:val="ListParagraph"/>
              <w:numPr>
                <w:ilvl w:val="0"/>
                <w:numId w:val="36"/>
              </w:numPr>
              <w:rPr>
                <w:rStyle w:val="Hyperlink"/>
                <w:rFonts w:ascii="Garamond" w:hAnsi="Garamond"/>
                <w:color w:val="auto"/>
                <w:u w:val="none"/>
                <w:lang w:val="en-AU"/>
              </w:rPr>
            </w:pPr>
            <w:r w:rsidRPr="00117076">
              <w:rPr>
                <w:rStyle w:val="Hyperlink"/>
                <w:rFonts w:ascii="Garamond" w:hAnsi="Garamond"/>
                <w:color w:val="auto"/>
                <w:u w:val="none"/>
                <w:lang w:val="en-AU"/>
              </w:rPr>
              <w:t xml:space="preserve">The role of cost-effectiveness analysis in the development of indicators to support </w:t>
            </w:r>
            <w:r w:rsidRPr="00BE79D9">
              <w:rPr>
                <w:rStyle w:val="Hyperlink"/>
                <w:rFonts w:ascii="Garamond" w:hAnsi="Garamond"/>
                <w:b/>
                <w:color w:val="auto"/>
                <w:u w:val="none"/>
                <w:lang w:val="en-AU"/>
              </w:rPr>
              <w:t>incentive-based behaviour in primary care</w:t>
            </w:r>
            <w:r w:rsidRPr="00117076">
              <w:rPr>
                <w:rStyle w:val="Hyperlink"/>
                <w:rFonts w:ascii="Garamond" w:hAnsi="Garamond"/>
                <w:color w:val="auto"/>
                <w:u w:val="none"/>
                <w:lang w:val="en-AU"/>
              </w:rPr>
              <w:t xml:space="preserve"> in England (Nadeem Qureshi, Stephen Weng, and Nick Hex</w:t>
            </w:r>
            <w:r>
              <w:rPr>
                <w:rStyle w:val="Hyperlink"/>
                <w:rFonts w:ascii="Garamond" w:hAnsi="Garamond"/>
                <w:color w:val="auto"/>
                <w:u w:val="none"/>
                <w:lang w:val="en-AU"/>
              </w:rPr>
              <w:t>)</w:t>
            </w:r>
          </w:p>
          <w:p w:rsidR="00117076" w:rsidRPr="00EB0FFF" w:rsidRDefault="00117076" w:rsidP="00BE79D9">
            <w:pPr>
              <w:pStyle w:val="ListParagraph"/>
              <w:numPr>
                <w:ilvl w:val="0"/>
                <w:numId w:val="36"/>
              </w:numPr>
              <w:rPr>
                <w:rStyle w:val="Hyperlink"/>
                <w:rFonts w:ascii="Garamond" w:hAnsi="Garamond"/>
                <w:color w:val="auto"/>
                <w:u w:val="none"/>
                <w:lang w:val="en-AU"/>
              </w:rPr>
            </w:pPr>
            <w:r w:rsidRPr="00BE79D9">
              <w:rPr>
                <w:rStyle w:val="Hyperlink"/>
                <w:rFonts w:ascii="Garamond" w:hAnsi="Garamond"/>
                <w:b/>
                <w:color w:val="auto"/>
                <w:u w:val="none"/>
                <w:lang w:val="en-AU"/>
              </w:rPr>
              <w:t>Integrated care</w:t>
            </w:r>
            <w:r w:rsidRPr="00BE79D9">
              <w:rPr>
                <w:rStyle w:val="Hyperlink"/>
                <w:rFonts w:ascii="Garamond" w:hAnsi="Garamond"/>
                <w:color w:val="auto"/>
                <w:u w:val="none"/>
                <w:lang w:val="en-AU"/>
              </w:rPr>
              <w:t>: theory to practice</w:t>
            </w:r>
            <w:r w:rsidR="00BE79D9" w:rsidRPr="00BE79D9">
              <w:rPr>
                <w:rStyle w:val="Hyperlink"/>
                <w:rFonts w:ascii="Garamond" w:hAnsi="Garamond"/>
                <w:color w:val="auto"/>
                <w:u w:val="none"/>
                <w:lang w:val="en-AU"/>
              </w:rPr>
              <w:t xml:space="preserve"> (</w:t>
            </w:r>
            <w:r w:rsidRPr="00BE79D9">
              <w:rPr>
                <w:rStyle w:val="Hyperlink"/>
                <w:rFonts w:ascii="Garamond" w:hAnsi="Garamond"/>
                <w:color w:val="auto"/>
                <w:u w:val="none"/>
                <w:lang w:val="en-AU"/>
              </w:rPr>
              <w:t>Jonathan Stokes, Kath Checkland, and Søren Rud Kristensen</w:t>
            </w:r>
            <w:r w:rsidR="00BE79D9">
              <w:rPr>
                <w:rStyle w:val="Hyperlink"/>
                <w:rFonts w:ascii="Garamond" w:hAnsi="Garamond"/>
                <w:color w:val="auto"/>
                <w:u w:val="none"/>
                <w:lang w:val="en-AU"/>
              </w:rPr>
              <w:t>)</w:t>
            </w:r>
          </w:p>
        </w:tc>
      </w:tr>
    </w:tbl>
    <w:p w:rsidR="00117076" w:rsidRPr="00117076" w:rsidRDefault="00117076" w:rsidP="00117076">
      <w:pPr>
        <w:keepNext/>
        <w:rPr>
          <w:rFonts w:ascii="Garamond" w:hAnsi="Garamond"/>
          <w:lang w:val="en-AU"/>
        </w:rPr>
      </w:pPr>
    </w:p>
    <w:p w:rsidR="00B02F6E" w:rsidRPr="00EB0FFF" w:rsidRDefault="00B02F6E" w:rsidP="00BE027C">
      <w:pPr>
        <w:keepNext/>
        <w:rPr>
          <w:rFonts w:ascii="Garamond" w:hAnsi="Garamond"/>
          <w:lang w:val="en-AU"/>
        </w:rPr>
      </w:pPr>
      <w:r w:rsidRPr="00EB0FFF">
        <w:rPr>
          <w:rFonts w:ascii="Garamond" w:hAnsi="Garamond"/>
          <w:i/>
          <w:lang w:val="en-AU"/>
        </w:rPr>
        <w:t xml:space="preserve">BMJ Quality and Safety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E027C">
            <w:pPr>
              <w:keepNext/>
              <w:rPr>
                <w:rFonts w:ascii="Garamond" w:hAnsi="Garamond"/>
                <w:lang w:val="en-AU"/>
              </w:rPr>
            </w:pPr>
            <w:r w:rsidRPr="00EB0FFF">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FF1579" w:rsidP="00BE027C">
            <w:pPr>
              <w:keepNext/>
              <w:rPr>
                <w:rFonts w:ascii="Garamond" w:hAnsi="Garamond"/>
                <w:lang w:val="en-AU"/>
              </w:rPr>
            </w:pPr>
            <w:hyperlink r:id="rId30" w:history="1">
              <w:r w:rsidR="00B02F6E" w:rsidRPr="00EB0FFF">
                <w:rPr>
                  <w:rStyle w:val="Hyperlink"/>
                  <w:rFonts w:ascii="Garamond" w:hAnsi="Garamond"/>
                  <w:lang w:val="en-AU"/>
                </w:rPr>
                <w:t>http://qualitysafety.bmj.com/content/early/recent</w:t>
              </w:r>
            </w:hyperlink>
          </w:p>
        </w:tc>
      </w:tr>
      <w:tr w:rsidR="00B02F6E" w:rsidRPr="00EB0FF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EB0FFF" w:rsidRDefault="00B02F6E" w:rsidP="00B47D6E">
            <w:pPr>
              <w:rPr>
                <w:rFonts w:ascii="Garamond" w:hAnsi="Garamond"/>
                <w:lang w:val="en-AU"/>
              </w:rPr>
            </w:pPr>
            <w:r w:rsidRPr="00EB0FFF">
              <w:rPr>
                <w:rFonts w:ascii="Garamond" w:hAnsi="Garamond"/>
                <w:i/>
                <w:lang w:val="en-AU"/>
              </w:rPr>
              <w:t>BMJ Quality and Safety</w:t>
            </w:r>
            <w:r w:rsidRPr="00EB0FFF">
              <w:rPr>
                <w:rFonts w:ascii="Garamond" w:hAnsi="Garamond"/>
                <w:lang w:val="en-AU"/>
              </w:rPr>
              <w:t xml:space="preserve"> has published a number of ‘online first’ articles, including:</w:t>
            </w:r>
          </w:p>
          <w:p w:rsidR="00643F5E" w:rsidRPr="00EB0FFF" w:rsidRDefault="00643F5E" w:rsidP="00643F5E">
            <w:pPr>
              <w:pStyle w:val="ListParagraph"/>
              <w:numPr>
                <w:ilvl w:val="0"/>
                <w:numId w:val="14"/>
              </w:numPr>
              <w:rPr>
                <w:rFonts w:ascii="Garamond" w:hAnsi="Garamond"/>
                <w:lang w:val="en-AU"/>
              </w:rPr>
            </w:pPr>
            <w:r w:rsidRPr="00EB0FFF">
              <w:rPr>
                <w:rFonts w:ascii="Garamond" w:hAnsi="Garamond"/>
                <w:lang w:val="en-AU"/>
              </w:rPr>
              <w:t xml:space="preserve">Calibrating how doctors think and seek information to minimise </w:t>
            </w:r>
            <w:r w:rsidRPr="00EB0FFF">
              <w:rPr>
                <w:rFonts w:ascii="Garamond" w:hAnsi="Garamond"/>
                <w:b/>
                <w:lang w:val="en-AU"/>
              </w:rPr>
              <w:t>errors in diagnosis</w:t>
            </w:r>
            <w:r w:rsidRPr="00EB0FFF">
              <w:rPr>
                <w:rFonts w:ascii="Garamond" w:hAnsi="Garamond"/>
                <w:lang w:val="en-AU"/>
              </w:rPr>
              <w:t xml:space="preserve"> (Ashley N D Meyer, Hardeep Singh)</w:t>
            </w:r>
          </w:p>
          <w:p w:rsidR="001319C3" w:rsidRPr="00EB0FFF" w:rsidRDefault="00643F5E" w:rsidP="00643F5E">
            <w:pPr>
              <w:pStyle w:val="ListParagraph"/>
              <w:numPr>
                <w:ilvl w:val="0"/>
                <w:numId w:val="14"/>
              </w:numPr>
              <w:rPr>
                <w:rFonts w:ascii="Garamond" w:hAnsi="Garamond"/>
                <w:lang w:val="en-AU"/>
              </w:rPr>
            </w:pPr>
            <w:r w:rsidRPr="00EB0FFF">
              <w:rPr>
                <w:rFonts w:ascii="Garamond" w:hAnsi="Garamond"/>
                <w:lang w:val="en-AU"/>
              </w:rPr>
              <w:t xml:space="preserve">When </w:t>
            </w:r>
            <w:r w:rsidRPr="00EB0FFF">
              <w:rPr>
                <w:rFonts w:ascii="Garamond" w:hAnsi="Garamond"/>
                <w:b/>
                <w:lang w:val="en-AU"/>
              </w:rPr>
              <w:t>patient-centred care</w:t>
            </w:r>
            <w:r w:rsidRPr="00EB0FFF">
              <w:rPr>
                <w:rFonts w:ascii="Garamond" w:hAnsi="Garamond"/>
                <w:lang w:val="en-AU"/>
              </w:rPr>
              <w:t xml:space="preserve"> is worth doing well: </w:t>
            </w:r>
            <w:r w:rsidRPr="00EB0FFF">
              <w:rPr>
                <w:rFonts w:ascii="Garamond" w:hAnsi="Garamond"/>
                <w:b/>
                <w:lang w:val="en-AU"/>
              </w:rPr>
              <w:t>informed consent</w:t>
            </w:r>
            <w:r w:rsidRPr="00EB0FFF">
              <w:rPr>
                <w:rFonts w:ascii="Garamond" w:hAnsi="Garamond"/>
                <w:lang w:val="en-AU"/>
              </w:rPr>
              <w:t xml:space="preserve"> or </w:t>
            </w:r>
            <w:r w:rsidRPr="00EB0FFF">
              <w:rPr>
                <w:rFonts w:ascii="Garamond" w:hAnsi="Garamond"/>
                <w:b/>
                <w:lang w:val="en-AU"/>
              </w:rPr>
              <w:t>shared decision-making</w:t>
            </w:r>
            <w:r w:rsidRPr="00EB0FFF">
              <w:rPr>
                <w:rFonts w:ascii="Garamond" w:hAnsi="Garamond"/>
                <w:lang w:val="en-AU"/>
              </w:rPr>
              <w:t xml:space="preserve"> (Marleen Kunneman, Victor M Montor)</w:t>
            </w:r>
          </w:p>
        </w:tc>
      </w:tr>
    </w:tbl>
    <w:p w:rsidR="00025ED6" w:rsidRPr="00EB0FFF" w:rsidRDefault="00025ED6" w:rsidP="00025ED6">
      <w:pPr>
        <w:keepLines/>
        <w:autoSpaceDE w:val="0"/>
        <w:autoSpaceDN w:val="0"/>
        <w:adjustRightInd w:val="0"/>
        <w:rPr>
          <w:rFonts w:ascii="Garamond" w:hAnsi="Garamond"/>
          <w:lang w:val="en-AU"/>
        </w:rPr>
      </w:pPr>
    </w:p>
    <w:p w:rsidR="00025ED6" w:rsidRPr="00EB0FFF" w:rsidRDefault="00025ED6" w:rsidP="00025ED6">
      <w:pPr>
        <w:keepNext/>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5ED6" w:rsidRPr="00EB0FF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EB0FFF" w:rsidRDefault="00025ED6" w:rsidP="0020765C">
            <w:pPr>
              <w:keepNext/>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EB0FFF" w:rsidRDefault="00FF1579" w:rsidP="0020765C">
            <w:pPr>
              <w:keepNext/>
              <w:rPr>
                <w:rFonts w:ascii="Garamond" w:hAnsi="Garamond"/>
                <w:lang w:val="en-AU"/>
              </w:rPr>
            </w:pPr>
            <w:hyperlink r:id="rId31" w:history="1">
              <w:r w:rsidR="00025ED6" w:rsidRPr="00EB0FFF">
                <w:rPr>
                  <w:rStyle w:val="Hyperlink"/>
                  <w:rFonts w:ascii="Garamond" w:hAnsi="Garamond"/>
                  <w:lang w:val="en-AU"/>
                </w:rPr>
                <w:t>http://intqhc.oxfordjournals.org/content/early/recent?papetoc</w:t>
              </w:r>
            </w:hyperlink>
          </w:p>
        </w:tc>
      </w:tr>
      <w:tr w:rsidR="00025ED6" w:rsidRPr="00EB0FFF" w:rsidTr="0020765C">
        <w:tc>
          <w:tcPr>
            <w:tcW w:w="1080" w:type="dxa"/>
            <w:tcBorders>
              <w:top w:val="single" w:sz="4" w:space="0" w:color="auto"/>
              <w:left w:val="single" w:sz="4" w:space="0" w:color="auto"/>
              <w:bottom w:val="single" w:sz="4" w:space="0" w:color="auto"/>
              <w:right w:val="single" w:sz="4" w:space="0" w:color="auto"/>
            </w:tcBorders>
            <w:vAlign w:val="center"/>
          </w:tcPr>
          <w:p w:rsidR="00025ED6" w:rsidRPr="00EB0FFF" w:rsidRDefault="00025ED6" w:rsidP="0020765C">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5ED6" w:rsidRPr="00EB0FFF" w:rsidRDefault="00025ED6" w:rsidP="0020765C">
            <w:pPr>
              <w:rPr>
                <w:rFonts w:ascii="Garamond" w:hAnsi="Garamond"/>
                <w:lang w:val="en-AU"/>
              </w:rPr>
            </w:pPr>
            <w:r w:rsidRPr="00EB0FFF">
              <w:rPr>
                <w:rFonts w:ascii="Garamond" w:hAnsi="Garamond"/>
                <w:i/>
                <w:lang w:val="en-AU"/>
              </w:rPr>
              <w:t xml:space="preserve">International Journal for Quality in Health Care </w:t>
            </w:r>
            <w:r w:rsidRPr="00EB0FFF">
              <w:rPr>
                <w:rFonts w:ascii="Garamond" w:hAnsi="Garamond"/>
                <w:lang w:val="en-AU"/>
              </w:rPr>
              <w:t>has published a number of ‘online first’ articles, including:</w:t>
            </w:r>
          </w:p>
          <w:p w:rsidR="0092774B" w:rsidRPr="00EB0FFF" w:rsidRDefault="0092774B" w:rsidP="0092774B">
            <w:pPr>
              <w:pStyle w:val="ListParagraph"/>
              <w:numPr>
                <w:ilvl w:val="0"/>
                <w:numId w:val="14"/>
              </w:numPr>
              <w:rPr>
                <w:rFonts w:ascii="Garamond" w:hAnsi="Garamond"/>
                <w:lang w:val="en-AU"/>
              </w:rPr>
            </w:pPr>
            <w:r w:rsidRPr="00EB0FFF">
              <w:rPr>
                <w:rFonts w:ascii="Garamond" w:hAnsi="Garamond"/>
                <w:lang w:val="en-AU"/>
              </w:rPr>
              <w:t xml:space="preserve">The application of the </w:t>
            </w:r>
            <w:r w:rsidRPr="00EB0FFF">
              <w:rPr>
                <w:rFonts w:ascii="Garamond" w:hAnsi="Garamond"/>
                <w:b/>
                <w:lang w:val="en-AU"/>
              </w:rPr>
              <w:t>Global Trigger Tool</w:t>
            </w:r>
            <w:r w:rsidRPr="00EB0FFF">
              <w:rPr>
                <w:rFonts w:ascii="Garamond" w:hAnsi="Garamond"/>
                <w:lang w:val="en-AU"/>
              </w:rPr>
              <w:t>: a systematic review (Peter D. Hibbert, Charlotte J. Molloy, Tamara D. Hooper, Louise K. Wiles, William B. Runciman, Peter Lachman, Stephen E. Muething, Jeffrey Braithwaite)</w:t>
            </w:r>
          </w:p>
          <w:p w:rsidR="0092774B" w:rsidRPr="00EB0FFF" w:rsidRDefault="0092774B" w:rsidP="0092774B">
            <w:pPr>
              <w:pStyle w:val="ListParagraph"/>
              <w:numPr>
                <w:ilvl w:val="0"/>
                <w:numId w:val="14"/>
              </w:numPr>
              <w:rPr>
                <w:rFonts w:ascii="Garamond" w:hAnsi="Garamond"/>
                <w:lang w:val="en-AU"/>
              </w:rPr>
            </w:pPr>
            <w:r w:rsidRPr="00EB0FFF">
              <w:rPr>
                <w:rFonts w:ascii="Garamond" w:hAnsi="Garamond"/>
                <w:lang w:val="en-AU"/>
              </w:rPr>
              <w:t xml:space="preserve">The effect of a short educational intervention on the use of </w:t>
            </w:r>
            <w:r w:rsidRPr="00EB0FFF">
              <w:rPr>
                <w:rFonts w:ascii="Garamond" w:hAnsi="Garamond"/>
                <w:b/>
                <w:lang w:val="en-AU"/>
              </w:rPr>
              <w:t>urinary catheters</w:t>
            </w:r>
            <w:r w:rsidRPr="00EB0FFF">
              <w:rPr>
                <w:rFonts w:ascii="Garamond" w:hAnsi="Garamond"/>
                <w:lang w:val="en-AU"/>
              </w:rPr>
              <w:t>: a prospective cohort study (Katrin Blondal, Brynja Ingadottir, Hildur Einarsdottir, Dorothea Bergs, Ingunn Steingrimsdottir, Sigrun Steindorsdottir, Gudbjorg Gudmundsdottir, Elin Hafsteinsdottir)</w:t>
            </w:r>
          </w:p>
          <w:p w:rsidR="001319C3" w:rsidRPr="00EB0FFF" w:rsidRDefault="0092774B" w:rsidP="0092774B">
            <w:pPr>
              <w:pStyle w:val="ListParagraph"/>
              <w:numPr>
                <w:ilvl w:val="0"/>
                <w:numId w:val="14"/>
              </w:numPr>
              <w:rPr>
                <w:rFonts w:ascii="Garamond" w:hAnsi="Garamond"/>
                <w:lang w:val="en-AU"/>
              </w:rPr>
            </w:pPr>
            <w:r w:rsidRPr="00EB0FFF">
              <w:rPr>
                <w:rFonts w:ascii="Garamond" w:hAnsi="Garamond"/>
                <w:lang w:val="en-AU"/>
              </w:rPr>
              <w:t xml:space="preserve">Usefulness of </w:t>
            </w:r>
            <w:r w:rsidRPr="00EB0FFF">
              <w:rPr>
                <w:rFonts w:ascii="Garamond" w:hAnsi="Garamond"/>
                <w:b/>
                <w:lang w:val="en-AU"/>
              </w:rPr>
              <w:t xml:space="preserve">quality indicators </w:t>
            </w:r>
            <w:r w:rsidRPr="00EB0FFF">
              <w:rPr>
                <w:rFonts w:ascii="Garamond" w:hAnsi="Garamond"/>
                <w:lang w:val="en-AU"/>
              </w:rPr>
              <w:t>for</w:t>
            </w:r>
            <w:r w:rsidRPr="00EB0FFF">
              <w:rPr>
                <w:rFonts w:ascii="Garamond" w:hAnsi="Garamond"/>
                <w:b/>
                <w:lang w:val="en-AU"/>
              </w:rPr>
              <w:t xml:space="preserve"> antibiotic use</w:t>
            </w:r>
            <w:r w:rsidRPr="00EB0FFF">
              <w:rPr>
                <w:rFonts w:ascii="Garamond" w:hAnsi="Garamond"/>
                <w:lang w:val="en-AU"/>
              </w:rPr>
              <w:t>: case study for the Netherlands (Alike W. van der Velden, Monique Roukens, Ewoudt van de Garde, Marco Lourens, Stephanie Natsch on behalf of SWAB's working group on surveillance of antimicrobial use)</w:t>
            </w:r>
          </w:p>
          <w:p w:rsidR="004468A1" w:rsidRPr="00EB0FFF" w:rsidRDefault="004468A1" w:rsidP="004468A1">
            <w:pPr>
              <w:pStyle w:val="ListParagraph"/>
              <w:numPr>
                <w:ilvl w:val="0"/>
                <w:numId w:val="14"/>
              </w:numPr>
              <w:rPr>
                <w:rFonts w:ascii="Garamond" w:hAnsi="Garamond"/>
                <w:lang w:val="en-AU"/>
              </w:rPr>
            </w:pPr>
            <w:r w:rsidRPr="00EB0FFF">
              <w:rPr>
                <w:rFonts w:ascii="Garamond" w:hAnsi="Garamond"/>
                <w:lang w:val="en-AU"/>
              </w:rPr>
              <w:t xml:space="preserve">Associations between </w:t>
            </w:r>
            <w:r w:rsidRPr="00EB0FFF">
              <w:rPr>
                <w:rFonts w:ascii="Garamond" w:hAnsi="Garamond"/>
                <w:b/>
                <w:lang w:val="en-AU"/>
              </w:rPr>
              <w:t>job demands, work-related strain and perceived quality of care</w:t>
            </w:r>
            <w:r w:rsidRPr="00EB0FFF">
              <w:rPr>
                <w:rFonts w:ascii="Garamond" w:hAnsi="Garamond"/>
                <w:lang w:val="en-AU"/>
              </w:rPr>
              <w:t>: a longitudinal study among hospital physicians (Tanya Krämer, Anna Schneider, Erika Spieß, Peter Angerer, Matthias Weigl)</w:t>
            </w:r>
          </w:p>
          <w:p w:rsidR="004468A1" w:rsidRPr="00EB0FFF" w:rsidRDefault="004468A1" w:rsidP="004468A1">
            <w:pPr>
              <w:pStyle w:val="ListParagraph"/>
              <w:numPr>
                <w:ilvl w:val="0"/>
                <w:numId w:val="14"/>
              </w:numPr>
              <w:rPr>
                <w:rFonts w:ascii="Garamond" w:hAnsi="Garamond"/>
                <w:lang w:val="en-AU"/>
              </w:rPr>
            </w:pPr>
            <w:r w:rsidRPr="00EB0FFF">
              <w:rPr>
                <w:rFonts w:ascii="Garamond" w:hAnsi="Garamond"/>
                <w:lang w:val="en-AU"/>
              </w:rPr>
              <w:t xml:space="preserve">The influence of </w:t>
            </w:r>
            <w:r w:rsidRPr="00EB0FFF">
              <w:rPr>
                <w:rFonts w:ascii="Garamond" w:hAnsi="Garamond"/>
                <w:b/>
                <w:lang w:val="en-AU"/>
              </w:rPr>
              <w:t>emergency department crowding</w:t>
            </w:r>
            <w:r w:rsidRPr="00EB0FFF">
              <w:rPr>
                <w:rFonts w:ascii="Garamond" w:hAnsi="Garamond"/>
                <w:lang w:val="en-AU"/>
              </w:rPr>
              <w:t xml:space="preserve"> on the efficiency of care for </w:t>
            </w:r>
            <w:r w:rsidRPr="00EB0FFF">
              <w:rPr>
                <w:rFonts w:ascii="Garamond" w:hAnsi="Garamond"/>
                <w:b/>
                <w:lang w:val="en-AU"/>
              </w:rPr>
              <w:t>acute stroke</w:t>
            </w:r>
            <w:r w:rsidRPr="00EB0FFF">
              <w:rPr>
                <w:rFonts w:ascii="Garamond" w:hAnsi="Garamond"/>
                <w:lang w:val="en-AU"/>
              </w:rPr>
              <w:t xml:space="preserve"> patients (Ming-Ta Tsai, Yung-Lin Yen, Chih-Min Su, Chih-Wei Hung, Chia-Te Kung, Kuan-Han Wu, Hsien-Hung Cheng)</w:t>
            </w:r>
          </w:p>
        </w:tc>
      </w:tr>
    </w:tbl>
    <w:p w:rsidR="006957C0" w:rsidRPr="00EB0FFF" w:rsidRDefault="006957C0" w:rsidP="005C71F8">
      <w:pPr>
        <w:rPr>
          <w:rFonts w:ascii="Garamond" w:hAnsi="Garamond"/>
          <w:lang w:val="en-AU"/>
        </w:rPr>
      </w:pPr>
    </w:p>
    <w:p w:rsidR="006957C0" w:rsidRPr="00EB0FFF" w:rsidRDefault="006957C0" w:rsidP="005C71F8">
      <w:pPr>
        <w:rPr>
          <w:rFonts w:ascii="Garamond" w:hAnsi="Garamond"/>
          <w:lang w:val="en-AU"/>
        </w:rPr>
      </w:pPr>
    </w:p>
    <w:p w:rsidR="006957C0" w:rsidRPr="00EB0FFF" w:rsidRDefault="006957C0" w:rsidP="005C71F8">
      <w:pPr>
        <w:rPr>
          <w:rFonts w:ascii="Garamond" w:hAnsi="Garamond"/>
          <w:lang w:val="en-AU"/>
        </w:rPr>
      </w:pPr>
    </w:p>
    <w:p w:rsidR="00B02F6E" w:rsidRPr="00EB0FFF" w:rsidRDefault="00B02F6E" w:rsidP="0063087B">
      <w:pPr>
        <w:keepNext/>
        <w:rPr>
          <w:rFonts w:ascii="Garamond" w:hAnsi="Garamond"/>
          <w:b/>
          <w:lang w:val="en-AU"/>
        </w:rPr>
      </w:pPr>
      <w:r w:rsidRPr="00EB0FFF">
        <w:rPr>
          <w:rFonts w:ascii="Garamond" w:hAnsi="Garamond"/>
          <w:b/>
          <w:lang w:val="en-AU"/>
        </w:rPr>
        <w:lastRenderedPageBreak/>
        <w:t>Online resources</w:t>
      </w:r>
    </w:p>
    <w:p w:rsidR="00BB12F9" w:rsidRPr="00EB0FFF" w:rsidRDefault="00BB12F9" w:rsidP="00BB12F9">
      <w:pPr>
        <w:keepNext/>
        <w:keepLines/>
        <w:rPr>
          <w:rFonts w:ascii="Garamond" w:hAnsi="Garamond"/>
          <w:i/>
          <w:lang w:val="en-AU"/>
        </w:rPr>
      </w:pPr>
    </w:p>
    <w:p w:rsidR="006957C0" w:rsidRPr="00EB0FFF" w:rsidRDefault="006957C0" w:rsidP="006957C0">
      <w:pPr>
        <w:keepNext/>
        <w:rPr>
          <w:rFonts w:ascii="Garamond" w:hAnsi="Garamond"/>
          <w:i/>
          <w:lang w:val="en-AU"/>
        </w:rPr>
      </w:pPr>
      <w:r w:rsidRPr="00EB0FFF">
        <w:rPr>
          <w:rFonts w:ascii="Garamond" w:hAnsi="Garamond"/>
          <w:i/>
          <w:lang w:val="en-AU"/>
        </w:rPr>
        <w:t>Clinical Communiqué</w:t>
      </w:r>
    </w:p>
    <w:p w:rsidR="006957C0" w:rsidRPr="00EB0FFF" w:rsidRDefault="006957C0" w:rsidP="006957C0">
      <w:pPr>
        <w:keepNext/>
        <w:rPr>
          <w:rFonts w:ascii="Garamond" w:hAnsi="Garamond"/>
          <w:lang w:val="en-AU"/>
        </w:rPr>
      </w:pPr>
      <w:r w:rsidRPr="00EB0FFF">
        <w:rPr>
          <w:rFonts w:ascii="Garamond" w:hAnsi="Garamond"/>
          <w:lang w:val="en-AU"/>
        </w:rPr>
        <w:t>Victorian Institute of Forensic Medicine</w:t>
      </w:r>
    </w:p>
    <w:p w:rsidR="006957C0" w:rsidRPr="00EB0FFF" w:rsidRDefault="006957C0" w:rsidP="006957C0">
      <w:pPr>
        <w:keepNext/>
        <w:rPr>
          <w:rFonts w:ascii="Garamond" w:hAnsi="Garamond"/>
          <w:lang w:val="en-AU"/>
        </w:rPr>
      </w:pPr>
      <w:r w:rsidRPr="00EB0FFF">
        <w:rPr>
          <w:rFonts w:ascii="Garamond" w:hAnsi="Garamond"/>
          <w:lang w:val="en-AU"/>
        </w:rPr>
        <w:t>Volume 3 Issue 3 September 2016</w:t>
      </w:r>
    </w:p>
    <w:p w:rsidR="006957C0" w:rsidRPr="00EB0FFF" w:rsidRDefault="00FF1579" w:rsidP="006957C0">
      <w:pPr>
        <w:keepNext/>
        <w:rPr>
          <w:rFonts w:ascii="Garamond" w:hAnsi="Garamond"/>
          <w:lang w:val="en-AU"/>
        </w:rPr>
      </w:pPr>
      <w:hyperlink r:id="rId32" w:history="1">
        <w:r w:rsidR="006957C0" w:rsidRPr="00EB0FFF">
          <w:rPr>
            <w:rStyle w:val="Hyperlink"/>
            <w:rFonts w:ascii="Garamond" w:hAnsi="Garamond"/>
            <w:lang w:val="en-AU"/>
          </w:rPr>
          <w:t>http://www.vifmcommuniques.org/?p=4564</w:t>
        </w:r>
      </w:hyperlink>
    </w:p>
    <w:p w:rsidR="006957C0" w:rsidRPr="00EB0FFF" w:rsidRDefault="006957C0" w:rsidP="006957C0">
      <w:pPr>
        <w:keepNext/>
        <w:rPr>
          <w:rFonts w:ascii="Garamond" w:hAnsi="Garamond"/>
          <w:lang w:val="en-AU"/>
        </w:rPr>
      </w:pPr>
      <w:r w:rsidRPr="00EB0FFF">
        <w:rPr>
          <w:rFonts w:ascii="Garamond" w:hAnsi="Garamond"/>
          <w:i/>
          <w:lang w:val="en-AU"/>
        </w:rPr>
        <w:t>Clinical Communiqué</w:t>
      </w:r>
      <w:r w:rsidRPr="00EB0FFF">
        <w:rPr>
          <w:rFonts w:ascii="Garamond" w:hAnsi="Garamond"/>
          <w:lang w:val="en-AU"/>
        </w:rPr>
        <w:t xml:space="preserve"> is a newsletter written by clinicians, using a case-study approach to report on lessons learned from deaths investigated by the Coroners’ Court.</w:t>
      </w:r>
    </w:p>
    <w:p w:rsidR="006957C0" w:rsidRPr="00EB0FFF" w:rsidRDefault="006957C0" w:rsidP="006957C0">
      <w:pPr>
        <w:rPr>
          <w:rFonts w:ascii="Garamond" w:hAnsi="Garamond"/>
          <w:lang w:val="en-AU"/>
        </w:rPr>
      </w:pPr>
      <w:r w:rsidRPr="00EB0FFF">
        <w:rPr>
          <w:rFonts w:ascii="Garamond" w:hAnsi="Garamond"/>
          <w:lang w:val="en-AU"/>
        </w:rPr>
        <w:t xml:space="preserve">This edition focuses on three tragic cases involving </w:t>
      </w:r>
      <w:r w:rsidRPr="00EB0FFF">
        <w:rPr>
          <w:rFonts w:ascii="Garamond" w:hAnsi="Garamond"/>
          <w:b/>
          <w:lang w:val="en-AU"/>
        </w:rPr>
        <w:t>young children</w:t>
      </w:r>
      <w:r w:rsidRPr="00EB0FFF">
        <w:rPr>
          <w:rFonts w:ascii="Garamond" w:hAnsi="Garamond"/>
          <w:lang w:val="en-AU"/>
        </w:rPr>
        <w:t xml:space="preserve"> who all had relatively </w:t>
      </w:r>
      <w:r w:rsidRPr="00EB0FFF">
        <w:rPr>
          <w:rFonts w:ascii="Garamond" w:hAnsi="Garamond"/>
          <w:b/>
          <w:lang w:val="en-AU"/>
        </w:rPr>
        <w:t>uncommon conditions</w:t>
      </w:r>
      <w:r w:rsidRPr="00EB0FFF">
        <w:rPr>
          <w:rFonts w:ascii="Garamond" w:hAnsi="Garamond"/>
          <w:lang w:val="en-AU"/>
        </w:rPr>
        <w:t xml:space="preserve">. </w:t>
      </w:r>
    </w:p>
    <w:p w:rsidR="00F118B6" w:rsidRPr="00EB0FFF" w:rsidRDefault="00F118B6" w:rsidP="00F118B6">
      <w:pPr>
        <w:rPr>
          <w:rFonts w:ascii="Garamond" w:hAnsi="Garamond"/>
          <w:lang w:val="en-AU"/>
        </w:rPr>
      </w:pPr>
      <w:r w:rsidRPr="00EB0FFF">
        <w:rPr>
          <w:rFonts w:ascii="Garamond" w:hAnsi="Garamond"/>
          <w:lang w:val="en-AU"/>
        </w:rPr>
        <w:t xml:space="preserve">The expert commentary in this issue explores “the importance of a </w:t>
      </w:r>
      <w:r w:rsidRPr="00EB0FFF">
        <w:rPr>
          <w:rFonts w:ascii="Garamond" w:hAnsi="Garamond"/>
          <w:b/>
          <w:lang w:val="en-AU"/>
        </w:rPr>
        <w:t>framework</w:t>
      </w:r>
      <w:r w:rsidRPr="00EB0FFF">
        <w:rPr>
          <w:rFonts w:ascii="Garamond" w:hAnsi="Garamond"/>
          <w:lang w:val="en-AU"/>
        </w:rPr>
        <w:t xml:space="preserve"> that every clinician should have for </w:t>
      </w:r>
      <w:r w:rsidRPr="00EB0FFF">
        <w:rPr>
          <w:rFonts w:ascii="Garamond" w:hAnsi="Garamond"/>
          <w:b/>
          <w:lang w:val="en-AU"/>
        </w:rPr>
        <w:t>safely managing the undifferentiated patient</w:t>
      </w:r>
      <w:r w:rsidRPr="00EB0FFF">
        <w:rPr>
          <w:rFonts w:ascii="Garamond" w:hAnsi="Garamond"/>
          <w:lang w:val="en-AU"/>
        </w:rPr>
        <w:t>. …there are ways in which we should approach the situation… Being cognisant of the physiological changes that are occurring, even without a clear picture of the prevailing disease process, allows for specific measures to be put in place to manage acute complications and possibly avoid a catastrophic event. The trigger points do not need to be complex. …</w:t>
      </w:r>
      <w:r w:rsidRPr="00EB0FFF">
        <w:rPr>
          <w:rFonts w:ascii="Garamond" w:hAnsi="Garamond"/>
          <w:b/>
          <w:lang w:val="en-AU"/>
        </w:rPr>
        <w:t>Focus on the warning signs</w:t>
      </w:r>
      <w:r w:rsidRPr="00EB0FFF">
        <w:rPr>
          <w:rFonts w:ascii="Garamond" w:hAnsi="Garamond"/>
          <w:lang w:val="en-AU"/>
        </w:rPr>
        <w:t xml:space="preserve"> – pain out of keeping with appearance, repeat presentations, family concerns, abnormal vital signs – and effect a plan that is simply and safe.”</w:t>
      </w:r>
    </w:p>
    <w:p w:rsidR="005C71F8" w:rsidRPr="00EB0FFF" w:rsidRDefault="005C71F8" w:rsidP="00F118B6">
      <w:pPr>
        <w:rPr>
          <w:rFonts w:ascii="Garamond" w:hAnsi="Garamond"/>
          <w:lang w:val="en-AU"/>
        </w:rPr>
      </w:pPr>
    </w:p>
    <w:p w:rsidR="006957C0" w:rsidRPr="00EB0FFF" w:rsidRDefault="00F118B6" w:rsidP="00BB12F9">
      <w:pPr>
        <w:keepNext/>
        <w:keepLines/>
        <w:rPr>
          <w:rFonts w:ascii="Garamond" w:hAnsi="Garamond"/>
          <w:lang w:val="en-AU"/>
        </w:rPr>
      </w:pPr>
      <w:r w:rsidRPr="00EB0FFF">
        <w:rPr>
          <w:rFonts w:ascii="Garamond" w:hAnsi="Garamond"/>
          <w:lang w:val="en-AU"/>
        </w:rPr>
        <w:t xml:space="preserve">For information on the Commission’s work on recognising and responding to clinical deterioration, see </w:t>
      </w:r>
      <w:hyperlink r:id="rId33" w:history="1">
        <w:r w:rsidRPr="00EB0FFF">
          <w:rPr>
            <w:rStyle w:val="Hyperlink"/>
            <w:rFonts w:ascii="Garamond" w:hAnsi="Garamond"/>
            <w:lang w:val="en-AU"/>
          </w:rPr>
          <w:t>https://www.safetyandquality.gov.au/our-work/recognising-and-responding-to-clinical-deterioration/</w:t>
        </w:r>
      </w:hyperlink>
    </w:p>
    <w:p w:rsidR="00F118B6" w:rsidRPr="00EB0FFF" w:rsidRDefault="00F118B6" w:rsidP="00BB12F9">
      <w:pPr>
        <w:keepNext/>
        <w:keepLines/>
        <w:rPr>
          <w:rFonts w:ascii="Garamond" w:hAnsi="Garamond"/>
          <w:lang w:val="en-AU"/>
        </w:rPr>
      </w:pPr>
    </w:p>
    <w:p w:rsidR="00852CA0" w:rsidRPr="00EB0FFF" w:rsidRDefault="00852CA0" w:rsidP="00654E3D">
      <w:pPr>
        <w:keepNext/>
        <w:keepLines/>
        <w:rPr>
          <w:rFonts w:ascii="Garamond" w:hAnsi="Garamond"/>
          <w:i/>
          <w:lang w:val="en-AU"/>
        </w:rPr>
      </w:pPr>
      <w:r w:rsidRPr="00EB0FFF">
        <w:rPr>
          <w:rFonts w:ascii="Garamond" w:hAnsi="Garamond"/>
          <w:i/>
          <w:lang w:val="en-AU"/>
        </w:rPr>
        <w:t>[UK] NICE Guidelines and Quality Standards</w:t>
      </w:r>
    </w:p>
    <w:p w:rsidR="00852CA0" w:rsidRPr="00EB0FFF" w:rsidRDefault="00FF1579" w:rsidP="00654E3D">
      <w:pPr>
        <w:keepNext/>
        <w:keepLines/>
        <w:rPr>
          <w:rFonts w:ascii="Garamond" w:hAnsi="Garamond"/>
          <w:u w:val="single"/>
          <w:lang w:val="en-AU"/>
        </w:rPr>
      </w:pPr>
      <w:hyperlink r:id="rId34" w:history="1">
        <w:r w:rsidR="00852CA0" w:rsidRPr="00EB0FFF">
          <w:rPr>
            <w:rStyle w:val="Hyperlink"/>
            <w:rFonts w:ascii="Garamond" w:hAnsi="Garamond"/>
            <w:lang w:val="en-AU"/>
          </w:rPr>
          <w:t>http://www.nice.org.uk</w:t>
        </w:r>
      </w:hyperlink>
    </w:p>
    <w:p w:rsidR="00852CA0" w:rsidRPr="00EB0FFF" w:rsidRDefault="00852CA0" w:rsidP="00654E3D">
      <w:pPr>
        <w:keepNext/>
        <w:keepLines/>
        <w:rPr>
          <w:rFonts w:ascii="Garamond" w:hAnsi="Garamond"/>
          <w:lang w:val="en-AU"/>
        </w:rPr>
      </w:pPr>
      <w:r w:rsidRPr="00EB0FFF">
        <w:rPr>
          <w:rFonts w:ascii="Garamond" w:hAnsi="Garamond"/>
          <w:lang w:val="en-AU"/>
        </w:rPr>
        <w:t>The UK’s National Institute for Health and Care Excellence (NICE) has published new (or updated) guidelines and quality standards. The latest updates are:</w:t>
      </w:r>
    </w:p>
    <w:p w:rsidR="004468A1" w:rsidRPr="00EB0FFF" w:rsidRDefault="004468A1" w:rsidP="004468A1">
      <w:pPr>
        <w:pStyle w:val="ListParagraph"/>
        <w:keepLines/>
        <w:numPr>
          <w:ilvl w:val="0"/>
          <w:numId w:val="14"/>
        </w:numPr>
        <w:rPr>
          <w:rFonts w:ascii="Garamond" w:hAnsi="Garamond"/>
          <w:lang w:val="en-AU"/>
        </w:rPr>
      </w:pPr>
      <w:r w:rsidRPr="00EB0FFF">
        <w:rPr>
          <w:rFonts w:ascii="Garamond" w:hAnsi="Garamond"/>
          <w:lang w:val="en-AU"/>
        </w:rPr>
        <w:t xml:space="preserve">NICE Clinical Guideline CG181 </w:t>
      </w:r>
      <w:r w:rsidRPr="00EB0FFF">
        <w:rPr>
          <w:rFonts w:ascii="Garamond" w:hAnsi="Garamond"/>
          <w:b/>
          <w:i/>
          <w:lang w:val="en-AU"/>
        </w:rPr>
        <w:t>Cardiovascular disease</w:t>
      </w:r>
      <w:r w:rsidRPr="00EB0FFF">
        <w:rPr>
          <w:rFonts w:ascii="Garamond" w:hAnsi="Garamond"/>
          <w:i/>
          <w:lang w:val="en-AU"/>
        </w:rPr>
        <w:t>: risk assessment and reduction, including lipid modification</w:t>
      </w:r>
      <w:r w:rsidRPr="00EB0FFF">
        <w:rPr>
          <w:rFonts w:ascii="Garamond" w:hAnsi="Garamond"/>
          <w:lang w:val="en-AU"/>
        </w:rPr>
        <w:t xml:space="preserve"> </w:t>
      </w:r>
      <w:hyperlink r:id="rId35" w:history="1">
        <w:r w:rsidRPr="00EB0FFF">
          <w:rPr>
            <w:rStyle w:val="Hyperlink"/>
            <w:rFonts w:ascii="Garamond" w:hAnsi="Garamond"/>
            <w:lang w:val="en-AU"/>
          </w:rPr>
          <w:t>https://www.nice.org.uk/guidance/cg181</w:t>
        </w:r>
      </w:hyperlink>
    </w:p>
    <w:p w:rsidR="00654E3D" w:rsidRPr="00EB0FFF" w:rsidRDefault="00654E3D" w:rsidP="009A5D58">
      <w:pPr>
        <w:keepLines/>
        <w:rPr>
          <w:rFonts w:ascii="Garamond" w:hAnsi="Garamond"/>
          <w:lang w:val="en-AU"/>
        </w:rPr>
      </w:pPr>
    </w:p>
    <w:p w:rsidR="00EB0FFF" w:rsidRPr="00EB0FFF" w:rsidRDefault="00EB0FFF" w:rsidP="00EB0FFF">
      <w:pPr>
        <w:keepNext/>
        <w:keepLines/>
        <w:rPr>
          <w:rFonts w:ascii="Garamond" w:hAnsi="Garamond"/>
          <w:i/>
          <w:lang w:val="en-AU"/>
        </w:rPr>
      </w:pPr>
      <w:r w:rsidRPr="00EB0FFF">
        <w:rPr>
          <w:rFonts w:ascii="Garamond" w:hAnsi="Garamond"/>
          <w:i/>
          <w:lang w:val="en-AU"/>
        </w:rPr>
        <w:t>[UK] National Institute for Health Research</w:t>
      </w:r>
    </w:p>
    <w:p w:rsidR="00EB0FFF" w:rsidRPr="00EB0FFF" w:rsidRDefault="00FF1579" w:rsidP="00EB0FFF">
      <w:pPr>
        <w:keepNext/>
        <w:keepLines/>
        <w:rPr>
          <w:rStyle w:val="Hyperlink"/>
          <w:rFonts w:ascii="Garamond" w:hAnsi="Garamond"/>
          <w:lang w:val="en-AU"/>
        </w:rPr>
      </w:pPr>
      <w:hyperlink r:id="rId36" w:history="1">
        <w:r w:rsidR="00EB0FFF" w:rsidRPr="00EB0FFF">
          <w:rPr>
            <w:rStyle w:val="Hyperlink"/>
            <w:rFonts w:ascii="Garamond" w:hAnsi="Garamond"/>
            <w:lang w:val="en-AU"/>
          </w:rPr>
          <w:t>https://discover.dc.nihr.ac.uk/portal/home</w:t>
        </w:r>
      </w:hyperlink>
    </w:p>
    <w:p w:rsidR="00EB0FFF" w:rsidRPr="00EB0FFF" w:rsidRDefault="00EB0FFF" w:rsidP="00EB0FFF">
      <w:pPr>
        <w:keepNext/>
        <w:keepLines/>
        <w:rPr>
          <w:rFonts w:ascii="Garamond" w:hAnsi="Garamond"/>
          <w:lang w:val="en-AU"/>
        </w:rPr>
      </w:pPr>
      <w:r w:rsidRPr="00EB0FFF">
        <w:rPr>
          <w:rFonts w:ascii="Garamond" w:hAnsi="Garamond"/>
          <w:lang w:val="en-AU"/>
        </w:rPr>
        <w:t>The UK’s National Institute for Health Research (NIHR) Dissemination Centre has released the latest ‘Signals’ research summaries. This latest release includes:</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Potential alternative to painful blood tests in people with flare-ups of </w:t>
      </w:r>
      <w:r w:rsidRPr="00EB0FFF">
        <w:rPr>
          <w:rFonts w:ascii="Garamond" w:hAnsi="Garamond"/>
          <w:b/>
          <w:lang w:val="en-AU"/>
        </w:rPr>
        <w:t>COPD</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Epidural anaesthesia helps return of bowel function after </w:t>
      </w:r>
      <w:r w:rsidRPr="00EB0FFF">
        <w:rPr>
          <w:rFonts w:ascii="Garamond" w:hAnsi="Garamond"/>
          <w:b/>
          <w:lang w:val="en-AU"/>
        </w:rPr>
        <w:t>abdominal surgery</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Rhythm control drugs after </w:t>
      </w:r>
      <w:r w:rsidRPr="00EB0FFF">
        <w:rPr>
          <w:rFonts w:ascii="Garamond" w:hAnsi="Garamond"/>
          <w:b/>
          <w:lang w:val="en-AU"/>
        </w:rPr>
        <w:t>catheter ablation for atrial fibrillation</w:t>
      </w:r>
      <w:r w:rsidRPr="00EB0FFF">
        <w:rPr>
          <w:rFonts w:ascii="Garamond" w:hAnsi="Garamond"/>
          <w:lang w:val="en-AU"/>
        </w:rPr>
        <w:t xml:space="preserve"> give short-term but not long term benefits</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A third of people with </w:t>
      </w:r>
      <w:r w:rsidRPr="00EB0FFF">
        <w:rPr>
          <w:rFonts w:ascii="Garamond" w:hAnsi="Garamond"/>
          <w:b/>
          <w:lang w:val="en-AU"/>
        </w:rPr>
        <w:t>dementia</w:t>
      </w:r>
      <w:r w:rsidRPr="00EB0FFF">
        <w:rPr>
          <w:rFonts w:ascii="Garamond" w:hAnsi="Garamond"/>
          <w:lang w:val="en-AU"/>
        </w:rPr>
        <w:t xml:space="preserve"> have treatable vision problems</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Vomiting is the most common adverse effect among children and young people </w:t>
      </w:r>
      <w:r w:rsidRPr="00EB0FFF">
        <w:rPr>
          <w:rFonts w:ascii="Garamond" w:hAnsi="Garamond"/>
          <w:b/>
          <w:lang w:val="en-AU"/>
        </w:rPr>
        <w:t>sedated for emergency procedures</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Bone-targeting drugs improve quality of life, but not survival in </w:t>
      </w:r>
      <w:r w:rsidRPr="00EB0FFF">
        <w:rPr>
          <w:rFonts w:ascii="Garamond" w:hAnsi="Garamond"/>
          <w:b/>
          <w:lang w:val="en-AU"/>
        </w:rPr>
        <w:t>prostate cancer</w:t>
      </w:r>
      <w:r w:rsidRPr="00EB0FFF">
        <w:rPr>
          <w:rFonts w:ascii="Garamond" w:hAnsi="Garamond"/>
          <w:lang w:val="en-AU"/>
        </w:rPr>
        <w:t xml:space="preserve"> that has spread to bone</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Moderate exercise does not increase risk of </w:t>
      </w:r>
      <w:r w:rsidRPr="00EB0FFF">
        <w:rPr>
          <w:rFonts w:ascii="Garamond" w:hAnsi="Garamond"/>
          <w:b/>
          <w:lang w:val="en-AU"/>
        </w:rPr>
        <w:t>preterm birth</w:t>
      </w:r>
      <w:r w:rsidRPr="00EB0FFF">
        <w:rPr>
          <w:rFonts w:ascii="Garamond" w:hAnsi="Garamond"/>
          <w:lang w:val="en-AU"/>
        </w:rPr>
        <w:t xml:space="preserve"> in healthy pregnant women</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Little or no benefit from progesterone to prevent </w:t>
      </w:r>
      <w:r w:rsidRPr="00EB0FFF">
        <w:rPr>
          <w:rFonts w:ascii="Garamond" w:hAnsi="Garamond"/>
          <w:b/>
          <w:lang w:val="en-AU"/>
        </w:rPr>
        <w:t>preterm birth</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Large ten-year trial on treatment of </w:t>
      </w:r>
      <w:r w:rsidRPr="00EB0FFF">
        <w:rPr>
          <w:rFonts w:ascii="Garamond" w:hAnsi="Garamond"/>
          <w:b/>
          <w:lang w:val="en-AU"/>
        </w:rPr>
        <w:t>localised prostate cancer</w:t>
      </w:r>
      <w:r w:rsidRPr="00EB0FFF">
        <w:rPr>
          <w:rFonts w:ascii="Garamond" w:hAnsi="Garamond"/>
          <w:lang w:val="en-AU"/>
        </w:rPr>
        <w:t xml:space="preserve"> will aid management decisions</w:t>
      </w:r>
    </w:p>
    <w:p w:rsidR="00EB0FFF" w:rsidRPr="00EB0FFF" w:rsidRDefault="00EB0FFF" w:rsidP="00EB0FFF">
      <w:pPr>
        <w:pStyle w:val="ListParagraph"/>
        <w:keepNext/>
        <w:keepLines/>
        <w:numPr>
          <w:ilvl w:val="0"/>
          <w:numId w:val="21"/>
        </w:numPr>
        <w:rPr>
          <w:rFonts w:ascii="Garamond" w:hAnsi="Garamond"/>
          <w:lang w:val="en-AU"/>
        </w:rPr>
      </w:pPr>
      <w:r w:rsidRPr="00EB0FFF">
        <w:rPr>
          <w:rFonts w:ascii="Garamond" w:hAnsi="Garamond"/>
          <w:lang w:val="en-AU"/>
        </w:rPr>
        <w:t xml:space="preserve">“Triptans” can relieve </w:t>
      </w:r>
      <w:r w:rsidRPr="00EB0FFF">
        <w:rPr>
          <w:rFonts w:ascii="Garamond" w:hAnsi="Garamond"/>
          <w:b/>
          <w:lang w:val="en-AU"/>
        </w:rPr>
        <w:t>migraines</w:t>
      </w:r>
      <w:r w:rsidRPr="00EB0FFF">
        <w:rPr>
          <w:rFonts w:ascii="Garamond" w:hAnsi="Garamond"/>
          <w:lang w:val="en-AU"/>
        </w:rPr>
        <w:t xml:space="preserve"> in children and adolescents</w:t>
      </w:r>
    </w:p>
    <w:p w:rsidR="00EB0FFF" w:rsidRPr="00EB0FFF" w:rsidRDefault="00EB0FFF" w:rsidP="009A5D58">
      <w:pPr>
        <w:keepLines/>
        <w:rPr>
          <w:rFonts w:ascii="Garamond" w:hAnsi="Garamond"/>
          <w:lang w:val="en-AU"/>
        </w:rPr>
      </w:pPr>
    </w:p>
    <w:p w:rsidR="00D716E3" w:rsidRPr="00EB0FFF" w:rsidRDefault="00D716E3" w:rsidP="00BE79D9">
      <w:pPr>
        <w:keepNext/>
        <w:keepLines/>
        <w:rPr>
          <w:rFonts w:ascii="Garamond" w:hAnsi="Garamond"/>
          <w:i/>
          <w:lang w:val="en-AU"/>
        </w:rPr>
      </w:pPr>
      <w:r w:rsidRPr="00EB0FFF">
        <w:rPr>
          <w:rFonts w:ascii="Garamond" w:hAnsi="Garamond"/>
          <w:i/>
          <w:lang w:val="en-AU"/>
        </w:rPr>
        <w:lastRenderedPageBreak/>
        <w:t>[USA] Making Dialysis Safer for Patients Coalition</w:t>
      </w:r>
    </w:p>
    <w:p w:rsidR="00D716E3" w:rsidRPr="00EB0FFF" w:rsidRDefault="00FF1579" w:rsidP="00BE79D9">
      <w:pPr>
        <w:keepNext/>
        <w:keepLines/>
        <w:rPr>
          <w:rFonts w:ascii="Garamond" w:hAnsi="Garamond"/>
          <w:lang w:val="en-AU"/>
        </w:rPr>
      </w:pPr>
      <w:hyperlink r:id="rId37" w:history="1">
        <w:r w:rsidR="00D716E3" w:rsidRPr="00EB0FFF">
          <w:rPr>
            <w:rStyle w:val="Hyperlink"/>
            <w:rFonts w:ascii="Garamond" w:hAnsi="Garamond"/>
            <w:lang w:val="en-AU"/>
          </w:rPr>
          <w:t>http://www.cdc.gov/dialysis/coalition/index.html</w:t>
        </w:r>
      </w:hyperlink>
    </w:p>
    <w:p w:rsidR="00D716E3" w:rsidRPr="00EB0FFF" w:rsidRDefault="00D716E3" w:rsidP="00D716E3">
      <w:pPr>
        <w:keepLines/>
        <w:rPr>
          <w:rFonts w:ascii="Garamond" w:hAnsi="Garamond"/>
          <w:lang w:val="en-AU"/>
        </w:rPr>
      </w:pPr>
      <w:r w:rsidRPr="00EB0FFF">
        <w:rPr>
          <w:rFonts w:ascii="Garamond" w:hAnsi="Garamond"/>
          <w:lang w:val="en-AU"/>
        </w:rPr>
        <w:t xml:space="preserve">The US Centers for Disease Control and Prevention has teamed up with a broad coalition of American kidney and dialysis organizations to reduce the number of </w:t>
      </w:r>
      <w:r w:rsidRPr="00EB0FFF">
        <w:rPr>
          <w:rFonts w:ascii="Garamond" w:hAnsi="Garamond"/>
          <w:b/>
          <w:lang w:val="en-AU"/>
        </w:rPr>
        <w:t>bloodstream infections in dialysis patients</w:t>
      </w:r>
      <w:r w:rsidRPr="00EB0FFF">
        <w:rPr>
          <w:rFonts w:ascii="Garamond" w:hAnsi="Garamond"/>
          <w:lang w:val="en-AU"/>
        </w:rPr>
        <w:t xml:space="preserve">. It is estimated that bloodstream infections in dialysis patients could be cut in half if dialysis facilities implement CDC recommendations. For several years, facilities that have followed CDC recommendations have been successful in reducing bloodstream infections in dialysis patients. The new </w:t>
      </w:r>
      <w:r w:rsidR="005C3C51" w:rsidRPr="00EB0FFF">
        <w:rPr>
          <w:rFonts w:ascii="Garamond" w:hAnsi="Garamond"/>
          <w:lang w:val="en-AU"/>
        </w:rPr>
        <w:t xml:space="preserve">Making Dialysis Safer for Patients Coalition </w:t>
      </w:r>
      <w:r w:rsidRPr="00EB0FFF">
        <w:rPr>
          <w:rFonts w:ascii="Garamond" w:hAnsi="Garamond"/>
          <w:lang w:val="en-AU"/>
        </w:rPr>
        <w:t>initiative</w:t>
      </w:r>
      <w:r w:rsidR="005C3C51" w:rsidRPr="00EB0FFF">
        <w:rPr>
          <w:rFonts w:ascii="Garamond" w:hAnsi="Garamond"/>
          <w:lang w:val="en-AU"/>
        </w:rPr>
        <w:t xml:space="preserve"> </w:t>
      </w:r>
      <w:r w:rsidRPr="00EB0FFF">
        <w:rPr>
          <w:rFonts w:ascii="Garamond" w:hAnsi="Garamond"/>
          <w:lang w:val="en-AU"/>
        </w:rPr>
        <w:t>aims to significantly expand the use of CDC recommendations and tools to improve dia</w:t>
      </w:r>
      <w:r w:rsidR="005C3C51" w:rsidRPr="00EB0FFF">
        <w:rPr>
          <w:rFonts w:ascii="Garamond" w:hAnsi="Garamond"/>
          <w:lang w:val="en-AU"/>
        </w:rPr>
        <w:t xml:space="preserve">lysis patient safety. The initiative’s web site includes a Resources section </w:t>
      </w:r>
      <w:r w:rsidR="003547D2" w:rsidRPr="00EB0FFF">
        <w:rPr>
          <w:rFonts w:ascii="Garamond" w:hAnsi="Garamond"/>
          <w:lang w:val="en-AU"/>
        </w:rPr>
        <w:t>with posters, checklists and fact sheets for use in provider's offices, dialysis clinics, training sessions, and work areas.</w:t>
      </w:r>
    </w:p>
    <w:p w:rsidR="00157574" w:rsidRPr="00EB0FFF" w:rsidRDefault="00157574" w:rsidP="00D716E3">
      <w:pPr>
        <w:keepLines/>
        <w:rPr>
          <w:rFonts w:ascii="Garamond" w:hAnsi="Garamond"/>
          <w:lang w:val="en-AU"/>
        </w:rPr>
      </w:pPr>
    </w:p>
    <w:p w:rsidR="00157574" w:rsidRPr="00EB0FFF" w:rsidRDefault="00157574" w:rsidP="00157574">
      <w:pPr>
        <w:keepNext/>
        <w:keepLines/>
        <w:rPr>
          <w:rFonts w:ascii="Garamond" w:hAnsi="Garamond"/>
          <w:i/>
          <w:lang w:val="en-AU"/>
        </w:rPr>
      </w:pPr>
      <w:r w:rsidRPr="00EB0FFF">
        <w:rPr>
          <w:rFonts w:ascii="Garamond" w:hAnsi="Garamond"/>
          <w:i/>
          <w:lang w:val="en-AU"/>
        </w:rPr>
        <w:t>[USA] Effective Health Care Program reports</w:t>
      </w:r>
    </w:p>
    <w:p w:rsidR="00157574" w:rsidRPr="00EB0FFF" w:rsidRDefault="00FF1579" w:rsidP="00157574">
      <w:pPr>
        <w:keepNext/>
        <w:keepLines/>
        <w:rPr>
          <w:rFonts w:ascii="Garamond" w:hAnsi="Garamond"/>
          <w:u w:val="single"/>
          <w:lang w:val="en-AU"/>
        </w:rPr>
      </w:pPr>
      <w:hyperlink r:id="rId38" w:history="1">
        <w:r w:rsidR="00157574" w:rsidRPr="00EB0FFF">
          <w:rPr>
            <w:rStyle w:val="Hyperlink"/>
            <w:rFonts w:ascii="Garamond" w:hAnsi="Garamond"/>
            <w:lang w:val="en-AU"/>
          </w:rPr>
          <w:t>http://effectivehealthcare.ahrq.gov/</w:t>
        </w:r>
      </w:hyperlink>
    </w:p>
    <w:p w:rsidR="00157574" w:rsidRPr="00EB0FFF" w:rsidRDefault="00157574" w:rsidP="00157574">
      <w:pPr>
        <w:keepNext/>
        <w:keepLines/>
        <w:rPr>
          <w:rFonts w:ascii="Garamond" w:hAnsi="Garamond"/>
          <w:lang w:val="en-AU"/>
        </w:rPr>
      </w:pPr>
      <w:r w:rsidRPr="00EB0FFF">
        <w:rPr>
          <w:rFonts w:ascii="Garamond" w:hAnsi="Garamond"/>
          <w:lang w:val="en-AU"/>
        </w:rPr>
        <w:t>The US Agency for Healthcare Research and Quality (AHRQ) has an Effective Health Care (EHC) Program. The EHC has released the following final reports and updates:</w:t>
      </w:r>
    </w:p>
    <w:p w:rsidR="00157574" w:rsidRPr="00EB0FFF" w:rsidRDefault="00157574" w:rsidP="00157574">
      <w:pPr>
        <w:pStyle w:val="ListParagraph"/>
        <w:numPr>
          <w:ilvl w:val="0"/>
          <w:numId w:val="15"/>
        </w:numPr>
        <w:rPr>
          <w:rFonts w:ascii="Garamond" w:hAnsi="Garamond"/>
          <w:lang w:val="en-AU"/>
        </w:rPr>
      </w:pPr>
      <w:r w:rsidRPr="00EB0FFF">
        <w:rPr>
          <w:rFonts w:ascii="Garamond" w:hAnsi="Garamond"/>
          <w:i/>
          <w:lang w:val="en-AU"/>
        </w:rPr>
        <w:t>Outcome Measures Framework: Literature Review Findings and Implications</w:t>
      </w:r>
      <w:r w:rsidRPr="00EB0FFF">
        <w:rPr>
          <w:rFonts w:ascii="Garamond" w:hAnsi="Garamond"/>
          <w:lang w:val="en-AU"/>
        </w:rPr>
        <w:t xml:space="preserve"> </w:t>
      </w:r>
      <w:hyperlink r:id="rId39" w:history="1">
        <w:r w:rsidRPr="00EB0FFF">
          <w:rPr>
            <w:rStyle w:val="Hyperlink"/>
            <w:rFonts w:ascii="Garamond" w:hAnsi="Garamond"/>
            <w:lang w:val="en-AU"/>
          </w:rPr>
          <w:t>https://www.effectivehealthcare.ahrq.gov/search-for-guides-reviews-and-reports/?pageaction=displayproduct&amp;productID=2310</w:t>
        </w:r>
      </w:hyperlink>
    </w:p>
    <w:p w:rsidR="00A932E3" w:rsidRPr="00EB0FFF" w:rsidRDefault="00A932E3" w:rsidP="009A5D58">
      <w:pPr>
        <w:keepLines/>
        <w:rPr>
          <w:rFonts w:ascii="Garamond" w:hAnsi="Garamond"/>
          <w:lang w:val="en-AU"/>
        </w:rPr>
      </w:pPr>
    </w:p>
    <w:p w:rsidR="004468A1" w:rsidRPr="00EB0FFF" w:rsidRDefault="004468A1" w:rsidP="009A5D58">
      <w:pPr>
        <w:keepLines/>
        <w:rPr>
          <w:rFonts w:ascii="Garamond" w:hAnsi="Garamond"/>
          <w:lang w:val="en-AU"/>
        </w:rPr>
      </w:pPr>
    </w:p>
    <w:p w:rsidR="00B02F6E" w:rsidRPr="00EB0FFF" w:rsidRDefault="00B02F6E" w:rsidP="00B02F6E">
      <w:pPr>
        <w:keepNext/>
        <w:pBdr>
          <w:top w:val="single" w:sz="4" w:space="1" w:color="auto"/>
        </w:pBdr>
        <w:rPr>
          <w:rFonts w:ascii="Garamond" w:hAnsi="Garamond"/>
          <w:b/>
          <w:lang w:val="en-AU"/>
        </w:rPr>
      </w:pPr>
      <w:r w:rsidRPr="00EB0FFF">
        <w:rPr>
          <w:rFonts w:ascii="Garamond" w:hAnsi="Garamond"/>
          <w:b/>
          <w:lang w:val="en-AU"/>
        </w:rPr>
        <w:t>Disclaimer</w:t>
      </w:r>
    </w:p>
    <w:p w:rsidR="00B02F6E" w:rsidRPr="00EB0FFF" w:rsidRDefault="00B02F6E" w:rsidP="00B17406">
      <w:pPr>
        <w:rPr>
          <w:rFonts w:ascii="Garamond" w:hAnsi="Garamond"/>
          <w:lang w:val="en-AU"/>
        </w:rPr>
      </w:pPr>
      <w:r w:rsidRPr="00EB0FFF">
        <w:rPr>
          <w:rFonts w:ascii="Garamond" w:hAnsi="Garamond"/>
          <w:i/>
          <w:lang w:val="en-AU"/>
        </w:rPr>
        <w:t>On the Radar</w:t>
      </w:r>
      <w:r w:rsidRPr="00EB0FFF">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r w:rsidRPr="00EB0FFF">
        <w:rPr>
          <w:rFonts w:ascii="Garamond" w:hAnsi="Garamond"/>
          <w:lang w:val="en-AU"/>
        </w:rPr>
        <w:fldChar w:fldCharType="begin"/>
      </w:r>
      <w:r w:rsidRPr="00EB0FFF">
        <w:rPr>
          <w:rFonts w:ascii="Garamond" w:hAnsi="Garamond"/>
          <w:lang w:val="en-AU"/>
        </w:rPr>
        <w:instrText xml:space="preserve"> ADDIN </w:instrText>
      </w:r>
      <w:r w:rsidRPr="00EB0FFF">
        <w:rPr>
          <w:rFonts w:ascii="Garamond" w:hAnsi="Garamond"/>
          <w:lang w:val="en-AU"/>
        </w:rPr>
        <w:fldChar w:fldCharType="end"/>
      </w:r>
    </w:p>
    <w:sectPr w:rsidR="00B02F6E" w:rsidRPr="00EB0FFF"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7C" w:rsidRDefault="0016757C">
      <w:r>
        <w:separator/>
      </w:r>
    </w:p>
  </w:endnote>
  <w:endnote w:type="continuationSeparator" w:id="0">
    <w:p w:rsidR="0016757C" w:rsidRDefault="0016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F1579">
      <w:rPr>
        <w:rStyle w:val="PageNumber"/>
        <w:noProof/>
      </w:rPr>
      <w:t>4</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B7E0F">
      <w:rPr>
        <w:rFonts w:ascii="Garamond" w:hAnsi="Garamond"/>
      </w:rPr>
      <w:t xml:space="preserve"> Issue 293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FF1579">
      <w:rPr>
        <w:rStyle w:val="PageNumber"/>
        <w:rFonts w:ascii="Garamond" w:hAnsi="Garamond"/>
        <w:noProof/>
      </w:rPr>
      <w:t>3</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B7E0F">
      <w:rPr>
        <w:rFonts w:ascii="Garamond" w:hAnsi="Garamond"/>
      </w:rPr>
      <w:t xml:space="preserve"> Issue 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7C" w:rsidRDefault="0016757C">
      <w:r>
        <w:separator/>
      </w:r>
    </w:p>
  </w:footnote>
  <w:footnote w:type="continuationSeparator" w:id="0">
    <w:p w:rsidR="0016757C" w:rsidRDefault="00167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BF657B"/>
    <w:multiLevelType w:val="hybridMultilevel"/>
    <w:tmpl w:val="B5B8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646C04"/>
    <w:multiLevelType w:val="hybridMultilevel"/>
    <w:tmpl w:val="2862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D9291D"/>
    <w:multiLevelType w:val="hybridMultilevel"/>
    <w:tmpl w:val="EF16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3A302D"/>
    <w:multiLevelType w:val="hybridMultilevel"/>
    <w:tmpl w:val="C6BE0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22C11C4"/>
    <w:multiLevelType w:val="hybridMultilevel"/>
    <w:tmpl w:val="76EA6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D048F3"/>
    <w:multiLevelType w:val="hybridMultilevel"/>
    <w:tmpl w:val="8D381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AC3FC5"/>
    <w:multiLevelType w:val="hybridMultilevel"/>
    <w:tmpl w:val="59AA5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DA3D12"/>
    <w:multiLevelType w:val="hybridMultilevel"/>
    <w:tmpl w:val="4C8AC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EE510E"/>
    <w:multiLevelType w:val="hybridMultilevel"/>
    <w:tmpl w:val="88DAA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B275A8A"/>
    <w:multiLevelType w:val="hybridMultilevel"/>
    <w:tmpl w:val="610CA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9C05A4"/>
    <w:multiLevelType w:val="hybridMultilevel"/>
    <w:tmpl w:val="42C8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B051EA"/>
    <w:multiLevelType w:val="hybridMultilevel"/>
    <w:tmpl w:val="8C24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4"/>
  </w:num>
  <w:num w:numId="15">
    <w:abstractNumId w:val="26"/>
  </w:num>
  <w:num w:numId="16">
    <w:abstractNumId w:val="20"/>
  </w:num>
  <w:num w:numId="17">
    <w:abstractNumId w:val="33"/>
  </w:num>
  <w:num w:numId="18">
    <w:abstractNumId w:val="21"/>
  </w:num>
  <w:num w:numId="19">
    <w:abstractNumId w:val="19"/>
  </w:num>
  <w:num w:numId="20">
    <w:abstractNumId w:val="10"/>
  </w:num>
  <w:num w:numId="21">
    <w:abstractNumId w:val="16"/>
  </w:num>
  <w:num w:numId="22">
    <w:abstractNumId w:val="27"/>
  </w:num>
  <w:num w:numId="23">
    <w:abstractNumId w:val="25"/>
  </w:num>
  <w:num w:numId="24">
    <w:abstractNumId w:val="14"/>
  </w:num>
  <w:num w:numId="25">
    <w:abstractNumId w:val="22"/>
  </w:num>
  <w:num w:numId="26">
    <w:abstractNumId w:val="38"/>
  </w:num>
  <w:num w:numId="27">
    <w:abstractNumId w:val="34"/>
  </w:num>
  <w:num w:numId="28">
    <w:abstractNumId w:val="13"/>
  </w:num>
  <w:num w:numId="29">
    <w:abstractNumId w:val="28"/>
  </w:num>
  <w:num w:numId="30">
    <w:abstractNumId w:val="36"/>
  </w:num>
  <w:num w:numId="31">
    <w:abstractNumId w:val="37"/>
  </w:num>
  <w:num w:numId="32">
    <w:abstractNumId w:val="17"/>
  </w:num>
  <w:num w:numId="33">
    <w:abstractNumId w:val="29"/>
  </w:num>
  <w:num w:numId="34">
    <w:abstractNumId w:val="31"/>
  </w:num>
  <w:num w:numId="35">
    <w:abstractNumId w:val="18"/>
  </w:num>
  <w:num w:numId="36">
    <w:abstractNumId w:val="11"/>
  </w:num>
  <w:num w:numId="37">
    <w:abstractNumId w:val="30"/>
  </w:num>
  <w:num w:numId="38">
    <w:abstractNumId w:val="15"/>
  </w:num>
  <w:num w:numId="3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74C"/>
    <w:rsid w:val="006C0D20"/>
    <w:rsid w:val="006C10E8"/>
    <w:rsid w:val="006C16B5"/>
    <w:rsid w:val="006C184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43C"/>
    <w:rsid w:val="00C07AF7"/>
    <w:rsid w:val="00C07DBC"/>
    <w:rsid w:val="00C1003B"/>
    <w:rsid w:val="00C10076"/>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30B"/>
    <w:rsid w:val="00DD4609"/>
    <w:rsid w:val="00DD4DDE"/>
    <w:rsid w:val="00DD5DFA"/>
    <w:rsid w:val="00DD5E6F"/>
    <w:rsid w:val="00DD609D"/>
    <w:rsid w:val="00DD6CC8"/>
    <w:rsid w:val="00DD6D12"/>
    <w:rsid w:val="00DD6E3D"/>
    <w:rsid w:val="00DD6F2B"/>
    <w:rsid w:val="00DD6FF7"/>
    <w:rsid w:val="00DD7168"/>
    <w:rsid w:val="00DD7503"/>
    <w:rsid w:val="00DD762A"/>
    <w:rsid w:val="00DD78B0"/>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5FB9"/>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8B6"/>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579"/>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patient-and-consumer-centred-care/" TargetMode="External"/><Relationship Id="rId26" Type="http://schemas.openxmlformats.org/officeDocument/2006/relationships/hyperlink" Target="http://www.safetyandquality.gov.au/our-work/open-disclosure/" TargetMode="External"/><Relationship Id="rId39" Type="http://schemas.openxmlformats.org/officeDocument/2006/relationships/hyperlink" Target="https://www.effectivehealthcare.ahrq.gov/search-for-guides-reviews-and-reports/?pageaction=displayproduct&amp;productID=2310" TargetMode="External"/><Relationship Id="rId3" Type="http://schemas.openxmlformats.org/officeDocument/2006/relationships/styles" Target="styles.xml"/><Relationship Id="rId21" Type="http://schemas.openxmlformats.org/officeDocument/2006/relationships/hyperlink" Target="http://dx.doi.org/10.1136/bmjqs-2016-006071" TargetMode="External"/><Relationship Id="rId34" Type="http://schemas.openxmlformats.org/officeDocument/2006/relationships/hyperlink" Target="http://www.nice.org.u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birmingham.ac.uk/documents/college-social-sciences/social-policy/SPSW/2016/good-practice-guide.pdf" TargetMode="External"/><Relationship Id="rId25" Type="http://schemas.openxmlformats.org/officeDocument/2006/relationships/hyperlink" Target="http://dx.doi.org/10.1001/jama.2016.13808" TargetMode="External"/><Relationship Id="rId33" Type="http://schemas.openxmlformats.org/officeDocument/2006/relationships/hyperlink" Target="https://www.safetyandquality.gov.au/our-work/recognising-and-responding-to-clinical-deterioration/" TargetMode="External"/><Relationship Id="rId38" Type="http://schemas.openxmlformats.org/officeDocument/2006/relationships/hyperlink" Target="http://effectivehealthcare.ahrq.gov/" TargetMode="External"/><Relationship Id="rId2" Type="http://schemas.openxmlformats.org/officeDocument/2006/relationships/numbering" Target="numbering.xml"/><Relationship Id="rId16" Type="http://schemas.openxmlformats.org/officeDocument/2006/relationships/hyperlink" Target="http://www.birmingham.ac.uk/Documents/college-social-sciences/social-policy/HSMC/publications/2016/who-knows-best.pdf" TargetMode="External"/><Relationship Id="rId20" Type="http://schemas.openxmlformats.org/officeDocument/2006/relationships/hyperlink" Target="http://dx.doi.org/10.3310/hsdr04270" TargetMode="External"/><Relationship Id="rId29" Type="http://schemas.openxmlformats.org/officeDocument/2006/relationships/hyperlink" Target="http://hsr.sagepub.com/content/21/4?et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01/jama.2016.9134" TargetMode="External"/><Relationship Id="rId32" Type="http://schemas.openxmlformats.org/officeDocument/2006/relationships/hyperlink" Target="http://www.vifmcommuniques.org/?p=4564" TargetMode="External"/><Relationship Id="rId37" Type="http://schemas.openxmlformats.org/officeDocument/2006/relationships/hyperlink" Target="http://www.cdc.gov/dialysis/coalition/index.htm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shared-decision-making/" TargetMode="External"/><Relationship Id="rId28" Type="http://schemas.openxmlformats.org/officeDocument/2006/relationships/hyperlink" Target="http://www.phrp.com.au/issues/september-2016-volume-26-issue-4/" TargetMode="External"/><Relationship Id="rId36" Type="http://schemas.openxmlformats.org/officeDocument/2006/relationships/hyperlink" Target="https://discover.dc.nihr.ac.uk/portal/home"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york.ac.uk/media/che/documents/papers/researchpapers/CHERP135_fairer_decisions_health_equity_cost-effectiveness.pdf" TargetMode="External"/><Relationship Id="rId31" Type="http://schemas.openxmlformats.org/officeDocument/2006/relationships/hyperlink" Target="http://intqhc.oxfordjournals.org/content/early/recent?papetoc"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qs-2016-005969" TargetMode="External"/><Relationship Id="rId27" Type="http://schemas.openxmlformats.org/officeDocument/2006/relationships/hyperlink" Target="http://onlinelibrary.wiley.com/doi/10.1111/hex.2016.19.issue-5/issuetoc" TargetMode="External"/><Relationship Id="rId30" Type="http://schemas.openxmlformats.org/officeDocument/2006/relationships/hyperlink" Target="http://qualitysafety.bmj.com/content/early/recent" TargetMode="External"/><Relationship Id="rId35" Type="http://schemas.openxmlformats.org/officeDocument/2006/relationships/hyperlink" Target="https://www.nice.org.uk/guidance/cg18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6A85-A58D-407D-9F3F-8BEBFCEB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4118</Words>
  <Characters>23474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27537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2016-09-30T07:32:00Z</dcterms:created>
  <dcterms:modified xsi:type="dcterms:W3CDTF">2016-09-30T07:32:00Z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