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972CA" w:rsidRDefault="00824B99" w:rsidP="00597B4F">
      <w:pPr>
        <w:pStyle w:val="Heading1"/>
        <w:ind w:left="1440" w:hanging="1440"/>
        <w:jc w:val="both"/>
        <w:rPr>
          <w:rFonts w:ascii="Bookman Old Style" w:hAnsi="Bookman Old Style"/>
          <w:sz w:val="48"/>
          <w:szCs w:val="48"/>
          <w:lang w:val="en-AU"/>
        </w:rPr>
      </w:pPr>
      <w:bookmarkStart w:id="0" w:name="_GoBack"/>
      <w:bookmarkEnd w:id="0"/>
      <w:r w:rsidRPr="000972C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9F3AE" wp14:editId="17E65B2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972CA">
        <w:rPr>
          <w:rFonts w:ascii="Bookman Old Style" w:hAnsi="Bookman Old Style"/>
          <w:sz w:val="48"/>
          <w:szCs w:val="48"/>
          <w:lang w:val="en-AU"/>
        </w:rPr>
        <w:t>On the Radar</w:t>
      </w:r>
    </w:p>
    <w:p w:rsidR="00B160EF" w:rsidRPr="000972CA" w:rsidRDefault="00715F47" w:rsidP="00B160EF">
      <w:pPr>
        <w:rPr>
          <w:rFonts w:ascii="Garamond" w:hAnsi="Garamond"/>
          <w:color w:val="000000"/>
          <w:lang w:val="en-AU"/>
        </w:rPr>
      </w:pPr>
      <w:r w:rsidRPr="000972CA">
        <w:rPr>
          <w:rFonts w:ascii="Garamond" w:hAnsi="Garamond"/>
          <w:color w:val="000000"/>
          <w:lang w:val="en-AU"/>
        </w:rPr>
        <w:t xml:space="preserve">Issue </w:t>
      </w:r>
      <w:r w:rsidR="00BA7F94">
        <w:rPr>
          <w:rFonts w:ascii="Garamond" w:hAnsi="Garamond"/>
          <w:color w:val="000000"/>
          <w:lang w:val="en-AU"/>
        </w:rPr>
        <w:t>303</w:t>
      </w:r>
    </w:p>
    <w:p w:rsidR="00755242" w:rsidRPr="000972CA" w:rsidRDefault="00BA7F94" w:rsidP="00B160EF">
      <w:pPr>
        <w:rPr>
          <w:rFonts w:ascii="Garamond" w:hAnsi="Garamond"/>
          <w:lang w:val="en-AU"/>
        </w:rPr>
      </w:pPr>
      <w:r>
        <w:rPr>
          <w:rFonts w:ascii="Garamond" w:hAnsi="Garamond"/>
          <w:lang w:val="en-AU"/>
        </w:rPr>
        <w:t>12</w:t>
      </w:r>
      <w:r w:rsidR="00B47E3A">
        <w:rPr>
          <w:rFonts w:ascii="Garamond" w:hAnsi="Garamond"/>
          <w:lang w:val="en-AU"/>
        </w:rPr>
        <w:t xml:space="preserve"> Dece</w:t>
      </w:r>
      <w:r w:rsidR="00452EE3" w:rsidRPr="000972CA">
        <w:rPr>
          <w:rFonts w:ascii="Garamond" w:hAnsi="Garamond"/>
          <w:lang w:val="en-AU"/>
        </w:rPr>
        <w:t>m</w:t>
      </w:r>
      <w:r w:rsidR="004B7E0F" w:rsidRPr="000972CA">
        <w:rPr>
          <w:rFonts w:ascii="Garamond" w:hAnsi="Garamond"/>
          <w:lang w:val="en-AU"/>
        </w:rPr>
        <w:t>ber</w:t>
      </w:r>
      <w:r w:rsidR="00650ACA" w:rsidRPr="000972CA">
        <w:rPr>
          <w:rFonts w:ascii="Garamond" w:hAnsi="Garamond"/>
          <w:lang w:val="en-AU"/>
        </w:rPr>
        <w:t xml:space="preserve"> </w:t>
      </w:r>
      <w:r w:rsidR="00AA7F1C" w:rsidRPr="000972CA">
        <w:rPr>
          <w:rFonts w:ascii="Garamond" w:hAnsi="Garamond"/>
          <w:lang w:val="en-AU"/>
        </w:rPr>
        <w:t>2016</w:t>
      </w:r>
    </w:p>
    <w:p w:rsidR="00566895" w:rsidRPr="000972CA" w:rsidRDefault="00566895" w:rsidP="00B160EF">
      <w:pPr>
        <w:rPr>
          <w:rFonts w:ascii="Garamond" w:hAnsi="Garamond"/>
          <w:lang w:val="en-AU"/>
        </w:rPr>
      </w:pPr>
    </w:p>
    <w:p w:rsidR="00B160EF" w:rsidRPr="000972CA" w:rsidRDefault="00B160EF" w:rsidP="00B160EF">
      <w:pPr>
        <w:rPr>
          <w:rFonts w:ascii="Garamond" w:hAnsi="Garamond"/>
          <w:b/>
          <w:lang w:val="en-AU"/>
        </w:rPr>
      </w:pPr>
      <w:r w:rsidRPr="000972CA">
        <w:rPr>
          <w:rFonts w:ascii="Garamond" w:hAnsi="Garamond"/>
          <w:i/>
          <w:lang w:val="en-AU"/>
        </w:rPr>
        <w:t>On the Radar</w:t>
      </w:r>
      <w:r w:rsidRPr="000972CA">
        <w:rPr>
          <w:rFonts w:ascii="Garamond" w:hAnsi="Garamond"/>
          <w:lang w:val="en-AU"/>
        </w:rPr>
        <w:t xml:space="preserve"> is a summary of some of the recent publications in </w:t>
      </w:r>
      <w:r w:rsidR="000025DB" w:rsidRPr="000972CA">
        <w:rPr>
          <w:rFonts w:ascii="Garamond" w:hAnsi="Garamond"/>
          <w:lang w:val="en-AU"/>
        </w:rPr>
        <w:t>the</w:t>
      </w:r>
      <w:r w:rsidRPr="000972CA">
        <w:rPr>
          <w:rFonts w:ascii="Garamond" w:hAnsi="Garamond"/>
          <w:lang w:val="en-AU"/>
        </w:rPr>
        <w:t xml:space="preserve"> areas of safety and quality in health care. Inclusion in this document is not an endorsement or recommendation of any publication or provider.</w:t>
      </w:r>
      <w:r w:rsidR="00594E21" w:rsidRPr="000972CA">
        <w:rPr>
          <w:rFonts w:ascii="Garamond" w:hAnsi="Garamond"/>
          <w:lang w:val="en-AU"/>
        </w:rPr>
        <w:t xml:space="preserve"> </w:t>
      </w:r>
      <w:r w:rsidRPr="000972CA">
        <w:rPr>
          <w:rFonts w:ascii="Garamond" w:hAnsi="Garamond"/>
          <w:lang w:val="en-AU"/>
        </w:rPr>
        <w:t>Access to particular documents may depend on whether they are Open Access or not, and/or your individual or institutional access to subscription sites/services.</w:t>
      </w:r>
      <w:r w:rsidR="00F460A7" w:rsidRPr="000972CA">
        <w:rPr>
          <w:rFonts w:ascii="Garamond" w:hAnsi="Garamond"/>
          <w:lang w:val="en-AU"/>
        </w:rPr>
        <w:t xml:space="preserve"> Material that may require subscription is included as it is considered relevant.</w:t>
      </w:r>
    </w:p>
    <w:p w:rsidR="00B160EF" w:rsidRPr="000972CA" w:rsidRDefault="00B160EF" w:rsidP="00B160EF">
      <w:pPr>
        <w:rPr>
          <w:rFonts w:ascii="Garamond" w:hAnsi="Garamond"/>
          <w:lang w:val="en-AU"/>
        </w:rPr>
      </w:pPr>
    </w:p>
    <w:p w:rsidR="00230D83" w:rsidRPr="000972CA" w:rsidRDefault="00B160EF" w:rsidP="0045757F">
      <w:pPr>
        <w:autoSpaceDE w:val="0"/>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available </w:t>
      </w:r>
      <w:r w:rsidR="003D1E7A" w:rsidRPr="000972CA">
        <w:rPr>
          <w:rFonts w:ascii="Garamond" w:hAnsi="Garamond"/>
          <w:lang w:val="en-AU"/>
        </w:rPr>
        <w:t xml:space="preserve">online, </w:t>
      </w:r>
      <w:r w:rsidRPr="000972CA">
        <w:rPr>
          <w:rFonts w:ascii="Garamond" w:hAnsi="Garamond"/>
          <w:lang w:val="en-AU"/>
        </w:rPr>
        <w:t xml:space="preserve">via email or as a PDF </w:t>
      </w:r>
      <w:r w:rsidR="006F34BB">
        <w:rPr>
          <w:rFonts w:ascii="Garamond" w:hAnsi="Garamond"/>
          <w:lang w:val="en-AU"/>
        </w:rPr>
        <w:t xml:space="preserve">or Word </w:t>
      </w:r>
      <w:r w:rsidRPr="000972CA">
        <w:rPr>
          <w:rFonts w:ascii="Garamond" w:hAnsi="Garamond"/>
          <w:lang w:val="en-AU"/>
        </w:rPr>
        <w:t xml:space="preserve">document from </w:t>
      </w:r>
      <w:hyperlink r:id="rId10" w:history="1">
        <w:r w:rsidR="00230D83" w:rsidRPr="000972CA">
          <w:rPr>
            <w:rStyle w:val="Hyperlink"/>
            <w:rFonts w:ascii="Garamond" w:hAnsi="Garamond"/>
            <w:lang w:val="en-AU"/>
          </w:rPr>
          <w:t>http://www.safetyandquality.gov.au/publications-resources/on-the-radar/</w:t>
        </w:r>
      </w:hyperlink>
    </w:p>
    <w:p w:rsidR="0090536C" w:rsidRPr="000972CA" w:rsidRDefault="0090536C" w:rsidP="0045757F">
      <w:pPr>
        <w:autoSpaceDE w:val="0"/>
        <w:rPr>
          <w:rFonts w:ascii="Garamond" w:hAnsi="Garamond"/>
          <w:lang w:val="en-AU"/>
        </w:rPr>
      </w:pPr>
    </w:p>
    <w:p w:rsidR="00B160EF" w:rsidRPr="000972CA" w:rsidRDefault="00B160EF" w:rsidP="0045757F">
      <w:pPr>
        <w:autoSpaceDE w:val="0"/>
        <w:rPr>
          <w:rFonts w:ascii="Garamond" w:hAnsi="Garamond"/>
          <w:lang w:val="en-AU"/>
        </w:rPr>
      </w:pPr>
      <w:r w:rsidRPr="000972CA">
        <w:rPr>
          <w:rFonts w:ascii="Garamond" w:hAnsi="Garamond"/>
          <w:lang w:val="en-AU"/>
        </w:rPr>
        <w:t xml:space="preserve">If you would like to receive </w:t>
      </w:r>
      <w:r w:rsidRPr="000972CA">
        <w:rPr>
          <w:rFonts w:ascii="Garamond" w:hAnsi="Garamond"/>
          <w:i/>
          <w:lang w:val="en-AU"/>
        </w:rPr>
        <w:t>On the Radar</w:t>
      </w:r>
      <w:r w:rsidRPr="000972CA">
        <w:rPr>
          <w:rFonts w:ascii="Garamond" w:hAnsi="Garamond"/>
          <w:lang w:val="en-AU"/>
        </w:rPr>
        <w:t xml:space="preserve"> via email</w:t>
      </w:r>
      <w:r w:rsidR="003D7B9E" w:rsidRPr="000972CA">
        <w:rPr>
          <w:rFonts w:ascii="Garamond" w:hAnsi="Garamond"/>
          <w:lang w:val="en-AU"/>
        </w:rPr>
        <w:t>, you can</w:t>
      </w:r>
      <w:r w:rsidR="00F24F60" w:rsidRPr="000972CA">
        <w:rPr>
          <w:rFonts w:ascii="Garamond" w:hAnsi="Garamond"/>
          <w:lang w:val="en-AU"/>
        </w:rPr>
        <w:t xml:space="preserve"> subscribe on our website </w:t>
      </w:r>
      <w:hyperlink r:id="rId11" w:history="1">
        <w:r w:rsidR="00F24F60" w:rsidRPr="000972CA">
          <w:rPr>
            <w:rStyle w:val="Hyperlink"/>
            <w:rFonts w:ascii="Garamond" w:hAnsi="Garamond"/>
            <w:lang w:val="en-AU"/>
          </w:rPr>
          <w:t>http://www.safetyandquality.gov.au/</w:t>
        </w:r>
      </w:hyperlink>
      <w:r w:rsidR="003D7B9E" w:rsidRPr="000972CA">
        <w:rPr>
          <w:rFonts w:ascii="Garamond" w:hAnsi="Garamond"/>
          <w:lang w:val="en-AU"/>
        </w:rPr>
        <w:t xml:space="preserve"> or by emailing us at </w:t>
      </w:r>
      <w:r w:rsidR="003D7B9E" w:rsidRPr="000972CA">
        <w:rPr>
          <w:rFonts w:ascii="Garamond" w:hAnsi="Garamond" w:cs="ZWAdobeF"/>
          <w:sz w:val="2"/>
          <w:szCs w:val="2"/>
          <w:lang w:val="en-AU"/>
        </w:rPr>
        <w:t>H</w:t>
      </w:r>
      <w:hyperlink r:id="rId12"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 xml:space="preserve">. </w:t>
      </w:r>
      <w:r w:rsidR="00E51D23" w:rsidRPr="000972CA">
        <w:rPr>
          <w:rFonts w:ascii="Garamond" w:hAnsi="Garamond"/>
          <w:lang w:val="en-AU"/>
        </w:rPr>
        <w:br/>
      </w:r>
      <w:r w:rsidR="003D7B9E" w:rsidRPr="000972CA">
        <w:rPr>
          <w:rFonts w:ascii="Garamond" w:hAnsi="Garamond"/>
          <w:lang w:val="en-AU"/>
        </w:rPr>
        <w:t xml:space="preserve">You can also send feedback and comments to </w:t>
      </w:r>
      <w:r w:rsidR="003D7B9E" w:rsidRPr="000972CA">
        <w:rPr>
          <w:rFonts w:ascii="Garamond" w:hAnsi="Garamond" w:cs="ZWAdobeF"/>
          <w:sz w:val="2"/>
          <w:szCs w:val="2"/>
          <w:lang w:val="en-AU"/>
        </w:rPr>
        <w:t>H</w:t>
      </w:r>
      <w:hyperlink r:id="rId13"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w:t>
      </w:r>
    </w:p>
    <w:p w:rsidR="00B160EF" w:rsidRPr="000972CA" w:rsidRDefault="00B160EF" w:rsidP="00837FC4">
      <w:pPr>
        <w:tabs>
          <w:tab w:val="left" w:pos="7773"/>
        </w:tabs>
        <w:rPr>
          <w:rFonts w:ascii="Garamond" w:hAnsi="Garamond"/>
          <w:lang w:val="en-AU"/>
        </w:rPr>
      </w:pPr>
    </w:p>
    <w:p w:rsidR="00837FC4" w:rsidRPr="000972CA" w:rsidRDefault="00B160EF" w:rsidP="004554DB">
      <w:pPr>
        <w:autoSpaceDE w:val="0"/>
        <w:rPr>
          <w:rFonts w:ascii="Garamond" w:hAnsi="Garamond"/>
          <w:lang w:val="en-AU"/>
        </w:rPr>
      </w:pPr>
      <w:bookmarkStart w:id="1" w:name="OLE_LINK1"/>
      <w:r w:rsidRPr="000972CA">
        <w:rPr>
          <w:rFonts w:ascii="Garamond" w:hAnsi="Garamond"/>
          <w:lang w:val="en-AU"/>
        </w:rPr>
        <w:t xml:space="preserve">For information about the Commission and its programs and publications, please visit </w:t>
      </w:r>
      <w:hyperlink r:id="rId14" w:history="1">
        <w:r w:rsidR="00837FC4" w:rsidRPr="000972CA">
          <w:rPr>
            <w:rStyle w:val="Hyperlink"/>
            <w:rFonts w:ascii="Garamond" w:hAnsi="Garamond"/>
            <w:lang w:val="en-AU"/>
          </w:rPr>
          <w:t>http://www.safetyandquality.gov.au</w:t>
        </w:r>
      </w:hyperlink>
    </w:p>
    <w:p w:rsidR="0054703F" w:rsidRPr="000972CA" w:rsidRDefault="004554DB" w:rsidP="004554DB">
      <w:pPr>
        <w:autoSpaceDE w:val="0"/>
        <w:rPr>
          <w:rFonts w:ascii="Garamond" w:hAnsi="Garamond"/>
          <w:lang w:val="en-AU"/>
        </w:rPr>
      </w:pPr>
      <w:r w:rsidRPr="000972CA">
        <w:rPr>
          <w:rFonts w:ascii="Garamond" w:hAnsi="Garamond"/>
          <w:lang w:val="en-AU"/>
        </w:rPr>
        <w:t>You can also follow us on Twitter @ACSQHC.</w:t>
      </w:r>
    </w:p>
    <w:p w:rsidR="00210235" w:rsidRPr="000972CA" w:rsidRDefault="00210235" w:rsidP="00210235">
      <w:pPr>
        <w:keepNext/>
        <w:pBdr>
          <w:top w:val="single" w:sz="4" w:space="1" w:color="auto"/>
        </w:pBdr>
        <w:rPr>
          <w:rFonts w:ascii="Garamond" w:hAnsi="Garamond"/>
          <w:b/>
          <w:lang w:val="en-AU"/>
        </w:rPr>
      </w:pPr>
      <w:r w:rsidRPr="000972CA">
        <w:rPr>
          <w:rFonts w:ascii="Garamond" w:hAnsi="Garamond"/>
          <w:b/>
          <w:lang w:val="en-AU"/>
        </w:rPr>
        <w:t>On the Radar</w:t>
      </w:r>
    </w:p>
    <w:p w:rsidR="00340157" w:rsidRPr="000972CA" w:rsidRDefault="00340157" w:rsidP="00210235">
      <w:pPr>
        <w:keepNext/>
        <w:pBdr>
          <w:top w:val="single" w:sz="4" w:space="1" w:color="auto"/>
        </w:pBdr>
        <w:rPr>
          <w:rFonts w:ascii="Garamond" w:hAnsi="Garamond"/>
          <w:bCs/>
          <w:lang w:val="en-AU"/>
        </w:rPr>
      </w:pPr>
      <w:r w:rsidRPr="000972CA">
        <w:rPr>
          <w:rFonts w:ascii="Garamond" w:hAnsi="Garamond"/>
          <w:bCs/>
          <w:lang w:val="en-AU"/>
        </w:rPr>
        <w:t xml:space="preserve">Editor: </w:t>
      </w:r>
      <w:r w:rsidR="00C8085B" w:rsidRPr="000972CA">
        <w:rPr>
          <w:rFonts w:ascii="Garamond" w:hAnsi="Garamond"/>
          <w:bCs/>
          <w:lang w:val="en-AU"/>
        </w:rPr>
        <w:t xml:space="preserve">Dr </w:t>
      </w:r>
      <w:r w:rsidRPr="000972CA">
        <w:rPr>
          <w:rFonts w:ascii="Garamond" w:hAnsi="Garamond"/>
          <w:bCs/>
          <w:lang w:val="en-AU"/>
        </w:rPr>
        <w:t xml:space="preserve">Niall Johnson </w:t>
      </w:r>
      <w:hyperlink r:id="rId15" w:history="1">
        <w:r w:rsidRPr="000972CA">
          <w:rPr>
            <w:rStyle w:val="Hyperlink"/>
            <w:rFonts w:ascii="Garamond" w:hAnsi="Garamond"/>
            <w:bCs/>
            <w:lang w:val="en-AU"/>
          </w:rPr>
          <w:t>niall.johnson@safetyandquality.gov.au</w:t>
        </w:r>
      </w:hyperlink>
    </w:p>
    <w:p w:rsidR="009A35BE" w:rsidRPr="000972CA" w:rsidRDefault="00210235" w:rsidP="00A8296D">
      <w:pPr>
        <w:keepNext/>
        <w:pBdr>
          <w:top w:val="single" w:sz="4" w:space="1" w:color="auto"/>
        </w:pBdr>
        <w:rPr>
          <w:rFonts w:ascii="Garamond" w:hAnsi="Garamond"/>
          <w:shd w:val="clear" w:color="auto" w:fill="FFFFFF"/>
          <w:lang w:val="en-AU"/>
        </w:rPr>
      </w:pPr>
      <w:r w:rsidRPr="000972CA">
        <w:rPr>
          <w:rFonts w:ascii="Garamond" w:hAnsi="Garamond"/>
          <w:bCs/>
          <w:lang w:val="en-AU"/>
        </w:rPr>
        <w:t xml:space="preserve">Contributors: </w:t>
      </w:r>
      <w:r w:rsidR="0056339A" w:rsidRPr="000972CA">
        <w:rPr>
          <w:rFonts w:ascii="Garamond" w:hAnsi="Garamond"/>
          <w:bCs/>
          <w:lang w:val="en-AU"/>
        </w:rPr>
        <w:t>Niall Johnson</w:t>
      </w:r>
      <w:bookmarkEnd w:id="1"/>
    </w:p>
    <w:p w:rsidR="008544DE" w:rsidRDefault="008544DE" w:rsidP="00691DE3">
      <w:pPr>
        <w:keepLines/>
        <w:autoSpaceDE w:val="0"/>
        <w:autoSpaceDN w:val="0"/>
        <w:adjustRightInd w:val="0"/>
        <w:rPr>
          <w:rFonts w:ascii="Garamond" w:hAnsi="Garamond"/>
          <w:lang w:val="en-AU"/>
        </w:rPr>
      </w:pPr>
    </w:p>
    <w:p w:rsidR="004D2AB8" w:rsidRDefault="004D2AB8" w:rsidP="00691DE3">
      <w:pPr>
        <w:keepLines/>
        <w:autoSpaceDE w:val="0"/>
        <w:autoSpaceDN w:val="0"/>
        <w:adjustRightInd w:val="0"/>
        <w:rPr>
          <w:rFonts w:ascii="Garamond" w:hAnsi="Garamond"/>
          <w:lang w:val="en-AU"/>
        </w:rPr>
      </w:pPr>
    </w:p>
    <w:p w:rsidR="00452EE3" w:rsidRPr="000972CA" w:rsidRDefault="00452EE3" w:rsidP="004F47AC">
      <w:pPr>
        <w:keepNext/>
        <w:keepLines/>
        <w:autoSpaceDE w:val="0"/>
        <w:autoSpaceDN w:val="0"/>
        <w:adjustRightInd w:val="0"/>
        <w:rPr>
          <w:rFonts w:ascii="Garamond" w:hAnsi="Garamond"/>
          <w:b/>
          <w:lang w:val="en-AU"/>
        </w:rPr>
      </w:pPr>
      <w:r w:rsidRPr="000972CA">
        <w:rPr>
          <w:rFonts w:ascii="Garamond" w:hAnsi="Garamond"/>
          <w:b/>
          <w:lang w:val="en-AU"/>
        </w:rPr>
        <w:t>Books</w:t>
      </w:r>
    </w:p>
    <w:p w:rsidR="00EE4A8B" w:rsidRDefault="00EE4A8B" w:rsidP="00EE4A8B">
      <w:pPr>
        <w:rPr>
          <w:rFonts w:ascii="Garamond" w:hAnsi="Garamond"/>
          <w:lang w:val="en-AU"/>
        </w:rPr>
      </w:pPr>
    </w:p>
    <w:p w:rsidR="00C45FF4" w:rsidRDefault="00EE4A8B" w:rsidP="00EE4A8B">
      <w:pPr>
        <w:rPr>
          <w:rFonts w:ascii="Garamond" w:hAnsi="Garamond"/>
          <w:lang w:val="en-AU"/>
        </w:rPr>
      </w:pPr>
      <w:r w:rsidRPr="00C81E70">
        <w:rPr>
          <w:rFonts w:ascii="Garamond" w:hAnsi="Garamond"/>
          <w:i/>
          <w:lang w:val="en-AU"/>
        </w:rPr>
        <w:t>Getting the Board on Board: What Your Board Needs to Know About Quality and Safety</w:t>
      </w:r>
    </w:p>
    <w:p w:rsidR="00C45FF4" w:rsidRDefault="00C45FF4" w:rsidP="00EE4A8B">
      <w:pPr>
        <w:rPr>
          <w:rFonts w:ascii="Garamond" w:hAnsi="Garamond"/>
          <w:lang w:val="en-AU"/>
        </w:rPr>
      </w:pPr>
      <w:r>
        <w:rPr>
          <w:rFonts w:ascii="Garamond" w:hAnsi="Garamond"/>
          <w:lang w:val="en-AU"/>
        </w:rPr>
        <w:t xml:space="preserve">Third </w:t>
      </w:r>
      <w:proofErr w:type="gramStart"/>
      <w:r>
        <w:rPr>
          <w:rFonts w:ascii="Garamond" w:hAnsi="Garamond"/>
          <w:lang w:val="en-AU"/>
        </w:rPr>
        <w:t>ed</w:t>
      </w:r>
      <w:proofErr w:type="gramEnd"/>
      <w:r>
        <w:rPr>
          <w:rFonts w:ascii="Garamond" w:hAnsi="Garamond"/>
          <w:lang w:val="en-AU"/>
        </w:rPr>
        <w:t>.</w:t>
      </w:r>
    </w:p>
    <w:p w:rsidR="00EE4A8B" w:rsidRDefault="00EE4A8B" w:rsidP="00EE4A8B">
      <w:pPr>
        <w:rPr>
          <w:rFonts w:ascii="Garamond" w:hAnsi="Garamond"/>
          <w:lang w:val="en-AU"/>
        </w:rPr>
      </w:pPr>
      <w:r w:rsidRPr="00C81E70">
        <w:rPr>
          <w:rFonts w:ascii="Garamond" w:hAnsi="Garamond"/>
          <w:lang w:val="en-AU"/>
        </w:rPr>
        <w:t>The Joint Commission</w:t>
      </w:r>
    </w:p>
    <w:p w:rsidR="00EE4A8B" w:rsidRDefault="00EE4A8B" w:rsidP="00EE4A8B">
      <w:pPr>
        <w:rPr>
          <w:rFonts w:ascii="Garamond" w:hAnsi="Garamond"/>
          <w:lang w:val="en-AU"/>
        </w:rPr>
      </w:pPr>
      <w:r w:rsidRPr="00C81E70">
        <w:rPr>
          <w:rFonts w:ascii="Garamond" w:hAnsi="Garamond"/>
          <w:lang w:val="en-AU"/>
        </w:rPr>
        <w:t>Oak Brook: The Joint Commission; 2016.</w:t>
      </w:r>
    </w:p>
    <w:tbl>
      <w:tblPr>
        <w:tblStyle w:val="TableGrid"/>
        <w:tblW w:w="0" w:type="auto"/>
        <w:tblInd w:w="288" w:type="dxa"/>
        <w:tblLayout w:type="fixed"/>
        <w:tblLook w:val="01E0" w:firstRow="1" w:lastRow="1" w:firstColumn="1" w:lastColumn="1" w:noHBand="0" w:noVBand="0"/>
      </w:tblPr>
      <w:tblGrid>
        <w:gridCol w:w="1080"/>
        <w:gridCol w:w="8280"/>
      </w:tblGrid>
      <w:tr w:rsidR="00EE4A8B" w:rsidRPr="000972CA" w:rsidTr="003602CE">
        <w:tc>
          <w:tcPr>
            <w:tcW w:w="1080" w:type="dxa"/>
            <w:tcBorders>
              <w:top w:val="single" w:sz="4" w:space="0" w:color="auto"/>
              <w:left w:val="single" w:sz="4" w:space="0" w:color="auto"/>
              <w:bottom w:val="single" w:sz="4" w:space="0" w:color="auto"/>
              <w:right w:val="single" w:sz="4" w:space="0" w:color="auto"/>
            </w:tcBorders>
            <w:vAlign w:val="center"/>
          </w:tcPr>
          <w:p w:rsidR="00EE4A8B" w:rsidRPr="000972CA" w:rsidRDefault="00EE4A8B" w:rsidP="003602C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E4A8B" w:rsidRPr="000972CA" w:rsidRDefault="003C6FFA" w:rsidP="003602CE">
            <w:pPr>
              <w:rPr>
                <w:rStyle w:val="Hyperlink"/>
                <w:rFonts w:ascii="Garamond" w:hAnsi="Garamond"/>
                <w:color w:val="auto"/>
                <w:u w:val="none"/>
                <w:lang w:val="en-AU"/>
              </w:rPr>
            </w:pPr>
            <w:hyperlink r:id="rId16" w:history="1">
              <w:r w:rsidR="00EE4A8B" w:rsidRPr="00DA1BF5">
                <w:rPr>
                  <w:rStyle w:val="Hyperlink"/>
                  <w:rFonts w:ascii="Garamond" w:hAnsi="Garamond"/>
                  <w:lang w:val="en-AU"/>
                </w:rPr>
                <w:t>http://www.jcrinc.com/getting-the-board-on-board-what-your-board-needs-to-know-about-quality-and-patient-safety-third-edition/</w:t>
              </w:r>
            </w:hyperlink>
          </w:p>
        </w:tc>
      </w:tr>
      <w:tr w:rsidR="00EE4A8B" w:rsidRPr="000972CA" w:rsidTr="003602CE">
        <w:tc>
          <w:tcPr>
            <w:tcW w:w="1080" w:type="dxa"/>
            <w:tcBorders>
              <w:top w:val="single" w:sz="4" w:space="0" w:color="auto"/>
              <w:left w:val="single" w:sz="4" w:space="0" w:color="auto"/>
              <w:bottom w:val="single" w:sz="4" w:space="0" w:color="auto"/>
              <w:right w:val="single" w:sz="4" w:space="0" w:color="auto"/>
            </w:tcBorders>
            <w:vAlign w:val="center"/>
          </w:tcPr>
          <w:p w:rsidR="00EE4A8B" w:rsidRPr="000972CA" w:rsidRDefault="00EE4A8B" w:rsidP="003602CE">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4A8B" w:rsidRDefault="00EE4A8B" w:rsidP="003602CE">
            <w:pPr>
              <w:rPr>
                <w:rStyle w:val="Hyperlink"/>
                <w:rFonts w:ascii="Garamond" w:hAnsi="Garamond"/>
                <w:color w:val="auto"/>
                <w:u w:val="none"/>
                <w:lang w:val="en-AU"/>
              </w:rPr>
            </w:pPr>
            <w:r>
              <w:rPr>
                <w:rStyle w:val="Hyperlink"/>
                <w:rFonts w:ascii="Garamond" w:hAnsi="Garamond"/>
                <w:color w:val="auto"/>
                <w:u w:val="none"/>
                <w:lang w:val="en-AU"/>
              </w:rPr>
              <w:t xml:space="preserve">The Joint Commission in the USA have published this third edition of this guide for </w:t>
            </w:r>
            <w:r w:rsidRPr="00EE4A8B">
              <w:rPr>
                <w:rStyle w:val="Hyperlink"/>
                <w:rFonts w:ascii="Garamond" w:hAnsi="Garamond"/>
                <w:color w:val="auto"/>
                <w:u w:val="none"/>
                <w:lang w:val="en-AU"/>
              </w:rPr>
              <w:t xml:space="preserve">board members </w:t>
            </w:r>
            <w:r>
              <w:rPr>
                <w:rStyle w:val="Hyperlink"/>
                <w:rFonts w:ascii="Garamond" w:hAnsi="Garamond"/>
                <w:color w:val="auto"/>
                <w:u w:val="none"/>
                <w:lang w:val="en-AU"/>
              </w:rPr>
              <w:t xml:space="preserve">that introduce </w:t>
            </w:r>
            <w:r w:rsidRPr="00EE4A8B">
              <w:rPr>
                <w:rStyle w:val="Hyperlink"/>
                <w:rFonts w:ascii="Garamond" w:hAnsi="Garamond"/>
                <w:color w:val="auto"/>
                <w:u w:val="none"/>
                <w:lang w:val="en-AU"/>
              </w:rPr>
              <w:t xml:space="preserve">key concepts in patient safety and quality improvement. </w:t>
            </w:r>
            <w:r>
              <w:rPr>
                <w:rStyle w:val="Hyperlink"/>
                <w:rFonts w:ascii="Garamond" w:hAnsi="Garamond"/>
                <w:color w:val="auto"/>
                <w:u w:val="none"/>
                <w:lang w:val="en-AU"/>
              </w:rPr>
              <w:t>Key topics include:</w:t>
            </w:r>
          </w:p>
          <w:p w:rsidR="00EE4A8B" w:rsidRPr="00EE4A8B" w:rsidRDefault="00EE4A8B" w:rsidP="003602CE">
            <w:pPr>
              <w:pStyle w:val="ListParagraph"/>
              <w:numPr>
                <w:ilvl w:val="0"/>
                <w:numId w:val="37"/>
              </w:numPr>
              <w:rPr>
                <w:rStyle w:val="Hyperlink"/>
                <w:rFonts w:ascii="Garamond" w:hAnsi="Garamond"/>
                <w:color w:val="auto"/>
                <w:u w:val="none"/>
                <w:lang w:val="en-AU"/>
              </w:rPr>
            </w:pPr>
            <w:r w:rsidRPr="00EE4A8B">
              <w:rPr>
                <w:rStyle w:val="Hyperlink"/>
                <w:rFonts w:ascii="Garamond" w:hAnsi="Garamond"/>
                <w:color w:val="auto"/>
                <w:u w:val="none"/>
                <w:lang w:val="en-AU"/>
              </w:rPr>
              <w:t>An overview of patient safety and quality issues and players</w:t>
            </w:r>
          </w:p>
          <w:p w:rsidR="00EE4A8B" w:rsidRPr="00EE4A8B" w:rsidRDefault="00EE4A8B" w:rsidP="003602CE">
            <w:pPr>
              <w:pStyle w:val="ListParagraph"/>
              <w:numPr>
                <w:ilvl w:val="0"/>
                <w:numId w:val="37"/>
              </w:numPr>
              <w:rPr>
                <w:rStyle w:val="Hyperlink"/>
                <w:rFonts w:ascii="Garamond" w:hAnsi="Garamond"/>
                <w:color w:val="auto"/>
                <w:u w:val="none"/>
                <w:lang w:val="en-AU"/>
              </w:rPr>
            </w:pPr>
            <w:r w:rsidRPr="00EE4A8B">
              <w:rPr>
                <w:rStyle w:val="Hyperlink"/>
                <w:rFonts w:ascii="Garamond" w:hAnsi="Garamond"/>
                <w:color w:val="auto"/>
                <w:u w:val="none"/>
                <w:lang w:val="en-AU"/>
              </w:rPr>
              <w:t>How accreditation supports high quality patient care and patient safety</w:t>
            </w:r>
          </w:p>
          <w:p w:rsidR="00EE4A8B" w:rsidRPr="00EE4A8B" w:rsidRDefault="00EE4A8B" w:rsidP="003602CE">
            <w:pPr>
              <w:pStyle w:val="ListParagraph"/>
              <w:numPr>
                <w:ilvl w:val="0"/>
                <w:numId w:val="37"/>
              </w:numPr>
              <w:rPr>
                <w:rStyle w:val="Hyperlink"/>
                <w:rFonts w:ascii="Garamond" w:hAnsi="Garamond"/>
                <w:color w:val="auto"/>
                <w:u w:val="none"/>
                <w:lang w:val="en-AU"/>
              </w:rPr>
            </w:pPr>
            <w:r w:rsidRPr="00EE4A8B">
              <w:rPr>
                <w:rStyle w:val="Hyperlink"/>
                <w:rFonts w:ascii="Garamond" w:hAnsi="Garamond"/>
                <w:color w:val="auto"/>
                <w:u w:val="none"/>
                <w:lang w:val="en-AU"/>
              </w:rPr>
              <w:t>High reliability and zero patient harm</w:t>
            </w:r>
          </w:p>
          <w:p w:rsidR="00EE4A8B" w:rsidRPr="00EE4A8B" w:rsidRDefault="00EE4A8B" w:rsidP="003602CE">
            <w:pPr>
              <w:pStyle w:val="ListParagraph"/>
              <w:numPr>
                <w:ilvl w:val="0"/>
                <w:numId w:val="37"/>
              </w:numPr>
              <w:rPr>
                <w:rStyle w:val="Hyperlink"/>
                <w:rFonts w:ascii="Garamond" w:hAnsi="Garamond"/>
                <w:color w:val="auto"/>
                <w:u w:val="none"/>
                <w:lang w:val="en-AU"/>
              </w:rPr>
            </w:pPr>
            <w:r w:rsidRPr="00EE4A8B">
              <w:rPr>
                <w:rStyle w:val="Hyperlink"/>
                <w:rFonts w:ascii="Garamond" w:hAnsi="Garamond"/>
                <w:color w:val="auto"/>
                <w:u w:val="none"/>
                <w:lang w:val="en-AU"/>
              </w:rPr>
              <w:t>Restructuring the board to prioritize safety</w:t>
            </w:r>
          </w:p>
          <w:p w:rsidR="00EE4A8B" w:rsidRPr="00EE4A8B" w:rsidRDefault="00EE4A8B" w:rsidP="003602CE">
            <w:pPr>
              <w:pStyle w:val="ListParagraph"/>
              <w:numPr>
                <w:ilvl w:val="0"/>
                <w:numId w:val="37"/>
              </w:numPr>
              <w:rPr>
                <w:rStyle w:val="Hyperlink"/>
                <w:rFonts w:ascii="Garamond" w:hAnsi="Garamond"/>
                <w:color w:val="auto"/>
                <w:u w:val="none"/>
                <w:lang w:val="en-AU"/>
              </w:rPr>
            </w:pPr>
            <w:r w:rsidRPr="00EE4A8B">
              <w:rPr>
                <w:rStyle w:val="Hyperlink"/>
                <w:rFonts w:ascii="Garamond" w:hAnsi="Garamond"/>
                <w:color w:val="auto"/>
                <w:u w:val="none"/>
                <w:lang w:val="en-AU"/>
              </w:rPr>
              <w:t>Measurement and improvement to reduce safety risks and ensure high quality care</w:t>
            </w:r>
            <w:r>
              <w:rPr>
                <w:rStyle w:val="Hyperlink"/>
                <w:rFonts w:ascii="Garamond" w:hAnsi="Garamond"/>
                <w:color w:val="auto"/>
                <w:u w:val="none"/>
                <w:lang w:val="en-AU"/>
              </w:rPr>
              <w:t>.</w:t>
            </w:r>
          </w:p>
        </w:tc>
      </w:tr>
    </w:tbl>
    <w:p w:rsidR="00EE4A8B" w:rsidRDefault="00EE4A8B" w:rsidP="00EE4A8B">
      <w:pPr>
        <w:rPr>
          <w:rFonts w:ascii="Garamond" w:hAnsi="Garamond"/>
          <w:lang w:val="en-AU"/>
        </w:rPr>
      </w:pPr>
    </w:p>
    <w:p w:rsidR="00FA6D8D" w:rsidRDefault="00FA6D8D">
      <w:pPr>
        <w:rPr>
          <w:rFonts w:ascii="Garamond" w:hAnsi="Garamond"/>
          <w:i/>
          <w:lang w:val="en-AU"/>
        </w:rPr>
      </w:pPr>
      <w:r>
        <w:rPr>
          <w:rFonts w:ascii="Garamond" w:hAnsi="Garamond"/>
          <w:i/>
          <w:lang w:val="en-AU"/>
        </w:rPr>
        <w:br w:type="page"/>
      </w:r>
    </w:p>
    <w:p w:rsidR="00D00350" w:rsidRPr="006D22BC" w:rsidRDefault="006D22BC" w:rsidP="00452EE3">
      <w:pPr>
        <w:keepNext/>
        <w:keepLines/>
        <w:autoSpaceDE w:val="0"/>
        <w:autoSpaceDN w:val="0"/>
        <w:adjustRightInd w:val="0"/>
        <w:rPr>
          <w:rFonts w:ascii="Garamond" w:hAnsi="Garamond"/>
          <w:i/>
          <w:lang w:val="en-AU"/>
        </w:rPr>
      </w:pPr>
      <w:r w:rsidRPr="006D22BC">
        <w:rPr>
          <w:rFonts w:ascii="Garamond" w:hAnsi="Garamond"/>
          <w:i/>
          <w:lang w:val="en-AU"/>
        </w:rPr>
        <w:lastRenderedPageBreak/>
        <w:t>Patient Engagement: Catalyzing Improvement and Innovation in Healthcare</w:t>
      </w:r>
    </w:p>
    <w:p w:rsidR="004D2AB8" w:rsidRDefault="004D2AB8" w:rsidP="00452EE3">
      <w:pPr>
        <w:keepNext/>
        <w:keepLines/>
        <w:autoSpaceDE w:val="0"/>
        <w:autoSpaceDN w:val="0"/>
        <w:adjustRightInd w:val="0"/>
        <w:rPr>
          <w:rFonts w:ascii="Garamond" w:hAnsi="Garamond"/>
          <w:lang w:val="en-AU"/>
        </w:rPr>
      </w:pPr>
      <w:r w:rsidRPr="004D2AB8">
        <w:rPr>
          <w:rFonts w:ascii="Garamond" w:hAnsi="Garamond"/>
          <w:lang w:val="en-AU"/>
        </w:rPr>
        <w:t>Baker GR, Judd M, Maika C, editors</w:t>
      </w:r>
    </w:p>
    <w:p w:rsidR="006D22BC" w:rsidRPr="000972CA" w:rsidRDefault="004D2AB8" w:rsidP="00452EE3">
      <w:pPr>
        <w:keepNext/>
        <w:keepLines/>
        <w:autoSpaceDE w:val="0"/>
        <w:autoSpaceDN w:val="0"/>
        <w:adjustRightInd w:val="0"/>
        <w:rPr>
          <w:rFonts w:ascii="Garamond" w:hAnsi="Garamond"/>
          <w:lang w:val="en-AU"/>
        </w:rPr>
      </w:pPr>
      <w:r w:rsidRPr="004D2AB8">
        <w:rPr>
          <w:rFonts w:ascii="Garamond" w:hAnsi="Garamond"/>
          <w:lang w:val="en-AU"/>
        </w:rPr>
        <w:t>Toronto: Longwoods; 2016.</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0972CA" w:rsidRDefault="003C6FFA" w:rsidP="00E40917">
            <w:pPr>
              <w:rPr>
                <w:rStyle w:val="Hyperlink"/>
                <w:rFonts w:ascii="Garamond" w:hAnsi="Garamond"/>
                <w:color w:val="auto"/>
                <w:u w:val="none"/>
                <w:lang w:val="en-AU"/>
              </w:rPr>
            </w:pPr>
            <w:hyperlink r:id="rId17" w:history="1">
              <w:r w:rsidR="006D22BC" w:rsidRPr="00DA1BF5">
                <w:rPr>
                  <w:rStyle w:val="Hyperlink"/>
                  <w:rFonts w:ascii="Garamond" w:hAnsi="Garamond"/>
                  <w:lang w:val="en-AU"/>
                </w:rPr>
                <w:t>http://www.longwoods.com/publications/books/24716</w:t>
              </w:r>
            </w:hyperlink>
          </w:p>
        </w:tc>
      </w:tr>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7263" w:rsidRDefault="006D22BC" w:rsidP="006D22BC">
            <w:pPr>
              <w:rPr>
                <w:rStyle w:val="Hyperlink"/>
                <w:rFonts w:ascii="Garamond" w:hAnsi="Garamond"/>
                <w:color w:val="auto"/>
                <w:u w:val="none"/>
                <w:lang w:val="en-AU"/>
              </w:rPr>
            </w:pPr>
            <w:r>
              <w:rPr>
                <w:rStyle w:val="Hyperlink"/>
                <w:rFonts w:ascii="Garamond" w:hAnsi="Garamond"/>
                <w:color w:val="auto"/>
                <w:u w:val="none"/>
                <w:lang w:val="en-AU"/>
              </w:rPr>
              <w:t>This recently released book includes 10 case studies of (mostly) Canadian healthcare organis</w:t>
            </w:r>
            <w:r w:rsidRPr="006D22BC">
              <w:rPr>
                <w:rStyle w:val="Hyperlink"/>
                <w:rFonts w:ascii="Garamond" w:hAnsi="Garamond"/>
                <w:color w:val="auto"/>
                <w:u w:val="none"/>
                <w:lang w:val="en-AU"/>
              </w:rPr>
              <w:t>ations</w:t>
            </w:r>
            <w:r w:rsidR="004D2AB8">
              <w:rPr>
                <w:rStyle w:val="Hyperlink"/>
                <w:rFonts w:ascii="Garamond" w:hAnsi="Garamond"/>
                <w:color w:val="auto"/>
                <w:u w:val="none"/>
                <w:lang w:val="en-AU"/>
              </w:rPr>
              <w:t xml:space="preserve"> (not just hospitals)</w:t>
            </w:r>
            <w:r w:rsidRPr="006D22BC">
              <w:rPr>
                <w:rStyle w:val="Hyperlink"/>
                <w:rFonts w:ascii="Garamond" w:hAnsi="Garamond"/>
                <w:color w:val="auto"/>
                <w:u w:val="none"/>
                <w:lang w:val="en-AU"/>
              </w:rPr>
              <w:t xml:space="preserve"> </w:t>
            </w:r>
            <w:r>
              <w:rPr>
                <w:rStyle w:val="Hyperlink"/>
                <w:rFonts w:ascii="Garamond" w:hAnsi="Garamond"/>
                <w:color w:val="auto"/>
                <w:u w:val="none"/>
                <w:lang w:val="en-AU"/>
              </w:rPr>
              <w:t xml:space="preserve">describing their experience in developing </w:t>
            </w:r>
            <w:r w:rsidRPr="006D22BC">
              <w:rPr>
                <w:rStyle w:val="Hyperlink"/>
                <w:rFonts w:ascii="Garamond" w:hAnsi="Garamond"/>
                <w:color w:val="auto"/>
                <w:u w:val="none"/>
                <w:lang w:val="en-AU"/>
              </w:rPr>
              <w:t>patient and family engagement in healthcare delivery</w:t>
            </w:r>
            <w:r>
              <w:rPr>
                <w:rStyle w:val="Hyperlink"/>
                <w:rFonts w:ascii="Garamond" w:hAnsi="Garamond"/>
                <w:color w:val="auto"/>
                <w:u w:val="none"/>
                <w:lang w:val="en-AU"/>
              </w:rPr>
              <w:t>. These were organisations facing various challenges – moving into new facilities, poor performance, low morale and confidence,</w:t>
            </w:r>
            <w:r w:rsidR="004D2AB8">
              <w:rPr>
                <w:rStyle w:val="Hyperlink"/>
                <w:rFonts w:ascii="Garamond" w:hAnsi="Garamond"/>
                <w:color w:val="auto"/>
                <w:u w:val="none"/>
                <w:lang w:val="en-AU"/>
              </w:rPr>
              <w:t xml:space="preserve"> etc. – as well as some who were already seen as leaders in patient engagement. </w:t>
            </w:r>
            <w:r>
              <w:rPr>
                <w:rStyle w:val="Hyperlink"/>
                <w:rFonts w:ascii="Garamond" w:hAnsi="Garamond"/>
                <w:color w:val="auto"/>
                <w:u w:val="none"/>
                <w:lang w:val="en-AU"/>
              </w:rPr>
              <w:t>The collection also includes introductory and ‘afterwords’ from significant authors in this area. The book includes</w:t>
            </w:r>
            <w:r w:rsidR="004D2AB8">
              <w:rPr>
                <w:rStyle w:val="Hyperlink"/>
                <w:rFonts w:ascii="Garamond" w:hAnsi="Garamond"/>
                <w:color w:val="auto"/>
                <w:u w:val="none"/>
                <w:lang w:val="en-AU"/>
              </w:rPr>
              <w:t xml:space="preserve"> the following</w:t>
            </w:r>
            <w:r>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Foreword: Organizational and Network Initiatives on Patient and Family Engagement that Accelerate Healthcare Improvement (Glenn Robert)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Introduction : Creating “Engagement-Capable Environments” in Healthcare (G. Ross Baker, Maria Judd, Carol Fancott and Christine Maika)</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Chapter 1. McGill University Health Centre (Patricia O’Connor, Alain Biron, Brenda MacGibbon and Carol Fancott)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Chapter 2. Kingston General Hospital (Maria Judd, Eleanor Rivoire and Christine Maika)</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Chapter 3. Augusta University Health System (Anu MacIntosh-Murray and Carol Fancott)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4. </w:t>
            </w:r>
            <w:r w:rsidRPr="004D2AB8">
              <w:rPr>
                <w:rStyle w:val="Hyperlink"/>
                <w:rFonts w:ascii="Garamond" w:hAnsi="Garamond"/>
                <w:color w:val="auto"/>
                <w:u w:val="none"/>
                <w:lang w:val="en-AU"/>
              </w:rPr>
              <w:t>Cincinnati Children’s Hospital Medical Center</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Maria Judd, Anu MacIntosh-Murray and G. Ross Baker</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5. </w:t>
            </w:r>
            <w:r w:rsidRPr="004D2AB8">
              <w:rPr>
                <w:rStyle w:val="Hyperlink"/>
                <w:rFonts w:ascii="Garamond" w:hAnsi="Garamond"/>
                <w:color w:val="auto"/>
                <w:u w:val="none"/>
                <w:lang w:val="en-AU"/>
              </w:rPr>
              <w:t>Whittington Health Respiratory Service</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Jocelyn Cornwell, Louise Restrick and G. Ross Baker</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6. </w:t>
            </w:r>
            <w:r w:rsidRPr="004D2AB8">
              <w:rPr>
                <w:rStyle w:val="Hyperlink"/>
                <w:rFonts w:ascii="Garamond" w:hAnsi="Garamond"/>
                <w:color w:val="auto"/>
                <w:u w:val="none"/>
                <w:lang w:val="en-AU"/>
              </w:rPr>
              <w:t>Northumbria Healthcare Trust</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Jocelyn Cornwell, Annie Laverty, Jean-Louis Denis and G. Ross Baker</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7. </w:t>
            </w:r>
            <w:r w:rsidRPr="004D2AB8">
              <w:rPr>
                <w:rStyle w:val="Hyperlink"/>
                <w:rFonts w:ascii="Garamond" w:hAnsi="Garamond"/>
                <w:color w:val="auto"/>
                <w:u w:val="none"/>
                <w:lang w:val="en-AU"/>
              </w:rPr>
              <w:t>Patients as Partners</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Christine Maika, Caryl Harper and Maria Judd</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8. </w:t>
            </w:r>
            <w:r w:rsidRPr="004D2AB8">
              <w:rPr>
                <w:rStyle w:val="Hyperlink"/>
                <w:rFonts w:ascii="Garamond" w:hAnsi="Garamond"/>
                <w:color w:val="auto"/>
                <w:u w:val="none"/>
                <w:lang w:val="en-AU"/>
              </w:rPr>
              <w:t>Northumberland Community Partnership</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Carol Fancott</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9. </w:t>
            </w:r>
            <w:r w:rsidRPr="004D2AB8">
              <w:rPr>
                <w:rStyle w:val="Hyperlink"/>
                <w:rFonts w:ascii="Garamond" w:hAnsi="Garamond"/>
                <w:color w:val="auto"/>
                <w:u w:val="none"/>
                <w:lang w:val="en-AU"/>
              </w:rPr>
              <w:t>Collaborative Chronic Care Network (C3N)</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Elina Farmanova, Maria Judd, Peter Margolis, Justin Vandergrift and Michael Seid</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C</w:t>
            </w:r>
            <w:r w:rsidR="004D2AB8" w:rsidRPr="004D2AB8">
              <w:rPr>
                <w:rStyle w:val="Hyperlink"/>
                <w:rFonts w:ascii="Garamond" w:hAnsi="Garamond"/>
                <w:color w:val="auto"/>
                <w:u w:val="none"/>
                <w:lang w:val="en-AU"/>
              </w:rPr>
              <w:t xml:space="preserve">hapter </w:t>
            </w:r>
            <w:r w:rsidRPr="004D2AB8">
              <w:rPr>
                <w:rStyle w:val="Hyperlink"/>
                <w:rFonts w:ascii="Garamond" w:hAnsi="Garamond"/>
                <w:color w:val="auto"/>
                <w:u w:val="none"/>
                <w:lang w:val="en-AU"/>
              </w:rPr>
              <w:t>10</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Saskatchewan Health Quality Council and Saskatoon Health Region</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Carol Fancott, Malori Keller and G. Ross Baker</w:t>
            </w:r>
            <w:r w:rsidR="004D2AB8" w:rsidRPr="004D2AB8">
              <w:rPr>
                <w:rStyle w:val="Hyperlink"/>
                <w:rFonts w:ascii="Garamond" w:hAnsi="Garamond"/>
                <w:color w:val="auto"/>
                <w:u w:val="none"/>
                <w:lang w:val="en-AU"/>
              </w:rPr>
              <w:t>)</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A</w:t>
            </w:r>
            <w:r w:rsidR="004D2AB8" w:rsidRPr="004D2AB8">
              <w:rPr>
                <w:rStyle w:val="Hyperlink"/>
                <w:rFonts w:ascii="Garamond" w:hAnsi="Garamond"/>
                <w:color w:val="auto"/>
                <w:u w:val="none"/>
                <w:lang w:val="en-AU"/>
              </w:rPr>
              <w:t xml:space="preserve">fterword: </w:t>
            </w:r>
            <w:r w:rsidRPr="004D2AB8">
              <w:rPr>
                <w:rStyle w:val="Hyperlink"/>
                <w:rFonts w:ascii="Garamond" w:hAnsi="Garamond"/>
                <w:color w:val="auto"/>
                <w:u w:val="none"/>
                <w:lang w:val="en-AU"/>
              </w:rPr>
              <w:t>Patient Partnerships: Three Levels of Change</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Vincent Dumez</w:t>
            </w:r>
            <w:r w:rsidR="004D2AB8" w:rsidRPr="004D2AB8">
              <w:rPr>
                <w:rStyle w:val="Hyperlink"/>
                <w:rFonts w:ascii="Garamond" w:hAnsi="Garamond"/>
                <w:color w:val="auto"/>
                <w:u w:val="none"/>
                <w:lang w:val="en-AU"/>
              </w:rPr>
              <w:t>)</w:t>
            </w:r>
            <w:r w:rsidR="004D2AB8">
              <w:rPr>
                <w:rStyle w:val="Hyperlink"/>
                <w:rFonts w:ascii="Garamond" w:hAnsi="Garamond"/>
                <w:color w:val="auto"/>
                <w:u w:val="none"/>
                <w:lang w:val="en-AU"/>
              </w:rPr>
              <w:br/>
            </w:r>
            <w:r w:rsidRPr="004D2AB8">
              <w:rPr>
                <w:rStyle w:val="Hyperlink"/>
                <w:rFonts w:ascii="Garamond" w:hAnsi="Garamond"/>
                <w:color w:val="auto"/>
                <w:u w:val="none"/>
                <w:lang w:val="en-AU"/>
              </w:rPr>
              <w:t>The 10 patient engagement case studies presented in this volume underscore the critical importance of implementing change on three levels simultaneously – governance and leadership, integration of patients and families into projects as equal partners, and training to support providers as well as patients and their families.</w:t>
            </w:r>
          </w:p>
          <w:p w:rsidR="006D22BC" w:rsidRPr="004D2AB8" w:rsidRDefault="006D22BC" w:rsidP="004D2AB8">
            <w:pPr>
              <w:pStyle w:val="ListParagraph"/>
              <w:numPr>
                <w:ilvl w:val="0"/>
                <w:numId w:val="36"/>
              </w:numPr>
              <w:rPr>
                <w:rStyle w:val="Hyperlink"/>
                <w:rFonts w:ascii="Garamond" w:hAnsi="Garamond"/>
                <w:color w:val="auto"/>
                <w:u w:val="none"/>
                <w:lang w:val="en-AU"/>
              </w:rPr>
            </w:pPr>
            <w:r w:rsidRPr="004D2AB8">
              <w:rPr>
                <w:rStyle w:val="Hyperlink"/>
                <w:rFonts w:ascii="Garamond" w:hAnsi="Garamond"/>
                <w:color w:val="auto"/>
                <w:u w:val="none"/>
                <w:lang w:val="en-AU"/>
              </w:rPr>
              <w:t>A</w:t>
            </w:r>
            <w:r w:rsidR="004D2AB8" w:rsidRPr="004D2AB8">
              <w:rPr>
                <w:rStyle w:val="Hyperlink"/>
                <w:rFonts w:ascii="Garamond" w:hAnsi="Garamond"/>
                <w:color w:val="auto"/>
                <w:u w:val="none"/>
                <w:lang w:val="en-AU"/>
              </w:rPr>
              <w:t xml:space="preserve">fterword: </w:t>
            </w:r>
            <w:r w:rsidRPr="004D2AB8">
              <w:rPr>
                <w:rStyle w:val="Hyperlink"/>
                <w:rFonts w:ascii="Garamond" w:hAnsi="Garamond"/>
                <w:color w:val="auto"/>
                <w:u w:val="none"/>
                <w:lang w:val="en-AU"/>
              </w:rPr>
              <w:t>Improving Care with Those We Are Privileged to Serve: Not If but When and How</w:t>
            </w:r>
            <w:r w:rsidR="004D2AB8" w:rsidRPr="004D2AB8">
              <w:rPr>
                <w:rStyle w:val="Hyperlink"/>
                <w:rFonts w:ascii="Garamond" w:hAnsi="Garamond"/>
                <w:color w:val="auto"/>
                <w:u w:val="none"/>
                <w:lang w:val="en-AU"/>
              </w:rPr>
              <w:t xml:space="preserve"> (</w:t>
            </w:r>
            <w:r w:rsidRPr="004D2AB8">
              <w:rPr>
                <w:rStyle w:val="Hyperlink"/>
                <w:rFonts w:ascii="Garamond" w:hAnsi="Garamond"/>
                <w:color w:val="auto"/>
                <w:u w:val="none"/>
                <w:lang w:val="en-AU"/>
              </w:rPr>
              <w:t>Jim Conway</w:t>
            </w:r>
            <w:r w:rsidR="004D2AB8" w:rsidRPr="004D2AB8">
              <w:rPr>
                <w:rStyle w:val="Hyperlink"/>
                <w:rFonts w:ascii="Garamond" w:hAnsi="Garamond"/>
                <w:color w:val="auto"/>
                <w:u w:val="none"/>
                <w:lang w:val="en-AU"/>
              </w:rPr>
              <w:t xml:space="preserve">) </w:t>
            </w:r>
            <w:r w:rsidR="004D2AB8">
              <w:rPr>
                <w:rStyle w:val="Hyperlink"/>
                <w:rFonts w:ascii="Garamond" w:hAnsi="Garamond"/>
                <w:color w:val="auto"/>
                <w:u w:val="none"/>
                <w:lang w:val="en-AU"/>
              </w:rPr>
              <w:br/>
            </w:r>
            <w:r w:rsidRPr="004D2AB8">
              <w:rPr>
                <w:rStyle w:val="Hyperlink"/>
                <w:rFonts w:ascii="Garamond" w:hAnsi="Garamond"/>
                <w:color w:val="auto"/>
                <w:u w:val="none"/>
                <w:lang w:val="en-AU"/>
              </w:rPr>
              <w:t>One of the important shifts in the past decade has been the transition of patient- and family-centred care from a push to a pull initiative.  Organizations with great outcomes have a high level of patient and family engagement which is recognized both internally and externally as a hallmark of success and continuous improvement.</w:t>
            </w:r>
          </w:p>
        </w:tc>
      </w:tr>
    </w:tbl>
    <w:p w:rsidR="00C81E70" w:rsidRDefault="00C81E70" w:rsidP="00452EE3">
      <w:pPr>
        <w:rPr>
          <w:rFonts w:ascii="Garamond" w:hAnsi="Garamond"/>
          <w:lang w:val="en-AU"/>
        </w:rPr>
      </w:pPr>
    </w:p>
    <w:p w:rsidR="00C45FF4" w:rsidRDefault="00C45FF4">
      <w:pPr>
        <w:rPr>
          <w:rFonts w:ascii="Garamond" w:hAnsi="Garamond"/>
          <w:lang w:val="en-AU" w:eastAsia="en-AU"/>
        </w:rPr>
      </w:pPr>
      <w:r w:rsidRPr="000972CA">
        <w:rPr>
          <w:rFonts w:ascii="Garamond" w:hAnsi="Garamond"/>
          <w:lang w:val="en-AU" w:eastAsia="en-AU"/>
        </w:rPr>
        <w:t>For information about the Commission’s work on</w:t>
      </w:r>
      <w:r>
        <w:rPr>
          <w:rFonts w:ascii="Garamond" w:hAnsi="Garamond"/>
          <w:lang w:val="en-AU" w:eastAsia="en-AU"/>
        </w:rPr>
        <w:t xml:space="preserve"> </w:t>
      </w:r>
      <w:r>
        <w:rPr>
          <w:rFonts w:ascii="Garamond" w:hAnsi="Garamond"/>
          <w:lang w:val="en-AU" w:eastAsia="en-AU"/>
        </w:rPr>
        <w:t xml:space="preserve">patient and consumer centred care, see </w:t>
      </w:r>
      <w:hyperlink r:id="rId18" w:history="1">
        <w:r w:rsidRPr="000F0F2B">
          <w:rPr>
            <w:rStyle w:val="Hyperlink"/>
            <w:rFonts w:ascii="Garamond" w:hAnsi="Garamond"/>
            <w:lang w:val="en-AU" w:eastAsia="en-AU"/>
          </w:rPr>
          <w:t>www.safetyandquality.gov.au/our-work/patient-and-consumer-centred-care/</w:t>
        </w:r>
      </w:hyperlink>
    </w:p>
    <w:p w:rsidR="00FA6D8D" w:rsidRDefault="00FA6D8D">
      <w:pPr>
        <w:rPr>
          <w:rFonts w:ascii="Garamond" w:hAnsi="Garamond"/>
          <w:i/>
          <w:lang w:val="en-AU"/>
        </w:rPr>
      </w:pPr>
    </w:p>
    <w:p w:rsidR="00FA6D8D" w:rsidRPr="00FA6D8D" w:rsidRDefault="00FA6D8D" w:rsidP="00452EE3">
      <w:pPr>
        <w:rPr>
          <w:rFonts w:ascii="Garamond" w:hAnsi="Garamond"/>
          <w:i/>
          <w:lang w:val="en-AU"/>
        </w:rPr>
      </w:pPr>
      <w:r w:rsidRPr="00FA6D8D">
        <w:rPr>
          <w:rFonts w:ascii="Garamond" w:hAnsi="Garamond"/>
          <w:i/>
          <w:lang w:val="en-AU"/>
        </w:rPr>
        <w:lastRenderedPageBreak/>
        <w:t>Economic evaluation of clinical quality registries: Final report</w:t>
      </w:r>
    </w:p>
    <w:p w:rsidR="00FA6D8D" w:rsidRDefault="00FA6D8D" w:rsidP="00452EE3">
      <w:pPr>
        <w:rPr>
          <w:rFonts w:ascii="Garamond" w:hAnsi="Garamond"/>
          <w:lang w:val="en-AU"/>
        </w:rPr>
      </w:pPr>
      <w:r w:rsidRPr="00FA6D8D">
        <w:rPr>
          <w:rFonts w:ascii="Garamond" w:hAnsi="Garamond"/>
          <w:lang w:val="en-AU"/>
        </w:rPr>
        <w:t>Australian Commission on Safety and Quality in Health Care</w:t>
      </w:r>
    </w:p>
    <w:p w:rsidR="00FA6D8D" w:rsidRDefault="00FA6D8D" w:rsidP="00452EE3">
      <w:pPr>
        <w:rPr>
          <w:rFonts w:ascii="Garamond" w:hAnsi="Garamond"/>
          <w:lang w:val="en-AU"/>
        </w:rPr>
      </w:pPr>
      <w:r w:rsidRPr="00FA6D8D">
        <w:rPr>
          <w:rFonts w:ascii="Garamond" w:hAnsi="Garamond"/>
          <w:lang w:val="en-AU"/>
        </w:rPr>
        <w:t xml:space="preserve">Sydney: ACSQHC; 2016. </w:t>
      </w:r>
      <w:proofErr w:type="gramStart"/>
      <w:r w:rsidRPr="00FA6D8D">
        <w:rPr>
          <w:rFonts w:ascii="Garamond" w:hAnsi="Garamond"/>
          <w:lang w:val="en-AU"/>
        </w:rPr>
        <w:t>79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A6D8D" w:rsidRPr="000972CA" w:rsidTr="003602CE">
        <w:tc>
          <w:tcPr>
            <w:tcW w:w="1080" w:type="dxa"/>
            <w:tcBorders>
              <w:top w:val="single" w:sz="4" w:space="0" w:color="auto"/>
              <w:left w:val="single" w:sz="4" w:space="0" w:color="auto"/>
              <w:bottom w:val="single" w:sz="4" w:space="0" w:color="auto"/>
              <w:right w:val="single" w:sz="4" w:space="0" w:color="auto"/>
            </w:tcBorders>
            <w:vAlign w:val="center"/>
          </w:tcPr>
          <w:p w:rsidR="00FA6D8D" w:rsidRPr="000972CA" w:rsidRDefault="00FA6D8D" w:rsidP="003602C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6D8D" w:rsidRPr="000972CA" w:rsidRDefault="003C6FFA" w:rsidP="00FA6D8D">
            <w:pPr>
              <w:rPr>
                <w:rStyle w:val="Hyperlink"/>
                <w:rFonts w:ascii="Garamond" w:hAnsi="Garamond"/>
                <w:color w:val="auto"/>
                <w:u w:val="none"/>
                <w:lang w:val="en-AU"/>
              </w:rPr>
            </w:pPr>
            <w:hyperlink r:id="rId19" w:history="1">
              <w:r w:rsidR="00FA6D8D" w:rsidRPr="00DA1BF5">
                <w:rPr>
                  <w:rStyle w:val="Hyperlink"/>
                  <w:rFonts w:ascii="Garamond" w:hAnsi="Garamond"/>
                  <w:lang w:val="en-AU"/>
                </w:rPr>
                <w:t>https://www.safetyandquality.gov.au/our-work/information-strategy/clinical-quality-registries/</w:t>
              </w:r>
            </w:hyperlink>
          </w:p>
        </w:tc>
      </w:tr>
      <w:tr w:rsidR="00FA6D8D" w:rsidRPr="000972CA" w:rsidTr="003602CE">
        <w:tc>
          <w:tcPr>
            <w:tcW w:w="1080" w:type="dxa"/>
            <w:tcBorders>
              <w:top w:val="single" w:sz="4" w:space="0" w:color="auto"/>
              <w:left w:val="single" w:sz="4" w:space="0" w:color="auto"/>
              <w:bottom w:val="single" w:sz="4" w:space="0" w:color="auto"/>
              <w:right w:val="single" w:sz="4" w:space="0" w:color="auto"/>
            </w:tcBorders>
            <w:vAlign w:val="center"/>
          </w:tcPr>
          <w:p w:rsidR="00FA6D8D" w:rsidRPr="000972CA" w:rsidRDefault="00FA6D8D" w:rsidP="003602CE">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6D8D" w:rsidRPr="00FA6D8D" w:rsidRDefault="00FA6D8D" w:rsidP="00FA6D8D">
            <w:pPr>
              <w:rPr>
                <w:rStyle w:val="Hyperlink"/>
                <w:rFonts w:ascii="Garamond" w:hAnsi="Garamond"/>
                <w:color w:val="auto"/>
                <w:u w:val="none"/>
                <w:lang w:val="en-AU"/>
              </w:rPr>
            </w:pPr>
            <w:r w:rsidRPr="00FA6D8D">
              <w:rPr>
                <w:rStyle w:val="Hyperlink"/>
                <w:rFonts w:ascii="Garamond" w:hAnsi="Garamond"/>
                <w:color w:val="auto"/>
                <w:u w:val="none"/>
                <w:lang w:val="en-AU"/>
              </w:rPr>
              <w:t xml:space="preserve">The </w:t>
            </w:r>
            <w:r w:rsidRPr="00FA6D8D">
              <w:rPr>
                <w:rFonts w:ascii="Garamond" w:hAnsi="Garamond"/>
                <w:lang w:val="en-AU"/>
              </w:rPr>
              <w:t>Australian Commission on Safety and Quality in Health Care</w:t>
            </w:r>
            <w:r>
              <w:rPr>
                <w:rStyle w:val="Hyperlink"/>
                <w:rFonts w:ascii="Garamond" w:hAnsi="Garamond"/>
                <w:color w:val="auto"/>
                <w:u w:val="none"/>
                <w:lang w:val="en-AU"/>
              </w:rPr>
              <w:t xml:space="preserve"> </w:t>
            </w:r>
            <w:r w:rsidRPr="00FA6D8D">
              <w:rPr>
                <w:rStyle w:val="Hyperlink"/>
                <w:rFonts w:ascii="Garamond" w:hAnsi="Garamond"/>
                <w:color w:val="auto"/>
                <w:u w:val="none"/>
                <w:lang w:val="en-AU"/>
              </w:rPr>
              <w:t xml:space="preserve">engaged Monash University and Health Outcomes Australia to evaluate the economic impact of five Australian clinical quality registries. </w:t>
            </w:r>
            <w:r>
              <w:rPr>
                <w:rStyle w:val="Hyperlink"/>
                <w:rFonts w:ascii="Garamond" w:hAnsi="Garamond"/>
                <w:color w:val="auto"/>
                <w:u w:val="none"/>
                <w:lang w:val="en-AU"/>
              </w:rPr>
              <w:t>T</w:t>
            </w:r>
            <w:r w:rsidRPr="00FA6D8D">
              <w:rPr>
                <w:rStyle w:val="Hyperlink"/>
                <w:rFonts w:ascii="Garamond" w:hAnsi="Garamond"/>
                <w:color w:val="auto"/>
                <w:u w:val="none"/>
                <w:lang w:val="en-AU"/>
              </w:rPr>
              <w:t>he study showed that Australian clinical quality registries have delivered significant value for money, when correctly implemented and sufficiently mature. Each of the five clinical quality registries included in the study had an influence on clinical practice and improved the value of healthcare delivery at relatively low cost. Substantial benefits were measured, including greater survival for patients, improvements in quality of life after treatment and avoided costs of treatment or hospital stay.</w:t>
            </w:r>
          </w:p>
          <w:p w:rsidR="00FA6D8D" w:rsidRPr="00B47E3A" w:rsidRDefault="00FA6D8D" w:rsidP="00FA6D8D">
            <w:pPr>
              <w:rPr>
                <w:rStyle w:val="Hyperlink"/>
                <w:rFonts w:ascii="Garamond" w:hAnsi="Garamond"/>
                <w:color w:val="auto"/>
                <w:u w:val="none"/>
                <w:lang w:val="en-AU"/>
              </w:rPr>
            </w:pPr>
            <w:r w:rsidRPr="00FA6D8D">
              <w:rPr>
                <w:rStyle w:val="Hyperlink"/>
                <w:rFonts w:ascii="Garamond" w:hAnsi="Garamond"/>
                <w:color w:val="auto"/>
                <w:u w:val="none"/>
                <w:lang w:val="en-AU"/>
              </w:rPr>
              <w:t>Benefit to cost ratios ranged from 2:1 to 7:1 – meaning that for every dollar spent, the return on that investment ranged from $2 to as much as $7. The study suggested that the return on investment would range from $4 if national coverage were achieved by all five clinical quality registries. However, the study noted that not every clinical quality registry will be cost-effective. Problems such as low coverage, inadequate reporting and inadequate collection of information about patient outcomes will limit the effect of clinical quality registries, and their value to the health system.</w:t>
            </w:r>
          </w:p>
        </w:tc>
      </w:tr>
    </w:tbl>
    <w:p w:rsidR="00FA6D8D" w:rsidRPr="000972CA" w:rsidRDefault="00FA6D8D" w:rsidP="00452EE3">
      <w:pPr>
        <w:rPr>
          <w:rFonts w:ascii="Garamond" w:hAnsi="Garamond"/>
          <w:lang w:val="en-AU"/>
        </w:rPr>
      </w:pPr>
    </w:p>
    <w:p w:rsidR="007D7A6D" w:rsidRPr="000972CA" w:rsidRDefault="007D7A6D" w:rsidP="004F47AC">
      <w:pPr>
        <w:keepNext/>
        <w:keepLines/>
        <w:autoSpaceDE w:val="0"/>
        <w:autoSpaceDN w:val="0"/>
        <w:adjustRightInd w:val="0"/>
        <w:rPr>
          <w:rFonts w:ascii="Garamond" w:hAnsi="Garamond"/>
          <w:b/>
          <w:lang w:val="en-AU"/>
        </w:rPr>
      </w:pPr>
      <w:r w:rsidRPr="000972CA">
        <w:rPr>
          <w:rFonts w:ascii="Garamond" w:hAnsi="Garamond"/>
          <w:b/>
          <w:lang w:val="en-AU"/>
        </w:rPr>
        <w:t>Reports</w:t>
      </w:r>
    </w:p>
    <w:p w:rsidR="00F24A6D" w:rsidRPr="000972CA" w:rsidRDefault="00F24A6D" w:rsidP="007D7A6D">
      <w:pPr>
        <w:keepNext/>
        <w:keepLines/>
        <w:autoSpaceDE w:val="0"/>
        <w:autoSpaceDN w:val="0"/>
        <w:adjustRightInd w:val="0"/>
        <w:rPr>
          <w:rFonts w:ascii="Garamond" w:hAnsi="Garamond"/>
          <w:lang w:val="en-AU"/>
        </w:rPr>
      </w:pPr>
    </w:p>
    <w:p w:rsidR="00FA6D8D" w:rsidRPr="000B2027" w:rsidRDefault="00FA6D8D" w:rsidP="00FA6D8D">
      <w:pPr>
        <w:keepNext/>
        <w:keepLines/>
        <w:autoSpaceDE w:val="0"/>
        <w:autoSpaceDN w:val="0"/>
        <w:adjustRightInd w:val="0"/>
        <w:rPr>
          <w:rFonts w:ascii="Garamond" w:hAnsi="Garamond"/>
          <w:i/>
          <w:lang w:val="en-AU"/>
        </w:rPr>
      </w:pPr>
      <w:r w:rsidRPr="000B2027">
        <w:rPr>
          <w:rFonts w:ascii="Garamond" w:hAnsi="Garamond"/>
          <w:i/>
          <w:lang w:val="en-AU"/>
        </w:rPr>
        <w:t>Developing People – Improving Care: A national framework for action on improvement and leadership development in NHS-funded services</w:t>
      </w:r>
    </w:p>
    <w:p w:rsidR="00FA6D8D" w:rsidRDefault="00FA6D8D" w:rsidP="00FA6D8D">
      <w:pPr>
        <w:keepNext/>
        <w:keepLines/>
        <w:autoSpaceDE w:val="0"/>
        <w:autoSpaceDN w:val="0"/>
        <w:adjustRightInd w:val="0"/>
        <w:rPr>
          <w:rFonts w:ascii="Garamond" w:hAnsi="Garamond"/>
          <w:lang w:val="en-AU"/>
        </w:rPr>
      </w:pPr>
      <w:r w:rsidRPr="0001173C">
        <w:rPr>
          <w:rFonts w:ascii="Garamond" w:hAnsi="Garamond"/>
          <w:lang w:val="en-AU"/>
        </w:rPr>
        <w:t>NHS National Improvement and Development Leadership Board</w:t>
      </w:r>
    </w:p>
    <w:p w:rsidR="00FA6D8D" w:rsidRPr="000972CA" w:rsidRDefault="00FA6D8D" w:rsidP="00FA6D8D">
      <w:pPr>
        <w:keepNext/>
        <w:keepLines/>
        <w:autoSpaceDE w:val="0"/>
        <w:autoSpaceDN w:val="0"/>
        <w:adjustRightInd w:val="0"/>
        <w:rPr>
          <w:rFonts w:ascii="Garamond" w:hAnsi="Garamond"/>
          <w:lang w:val="en-AU"/>
        </w:rPr>
      </w:pPr>
      <w:r w:rsidRPr="00C713C5">
        <w:rPr>
          <w:rFonts w:ascii="Garamond" w:hAnsi="Garamond"/>
          <w:lang w:val="en-AU"/>
        </w:rPr>
        <w:t>2016. p. 49.</w:t>
      </w:r>
    </w:p>
    <w:tbl>
      <w:tblPr>
        <w:tblStyle w:val="TableGrid"/>
        <w:tblW w:w="0" w:type="auto"/>
        <w:tblInd w:w="288" w:type="dxa"/>
        <w:tblLayout w:type="fixed"/>
        <w:tblLook w:val="01E0" w:firstRow="1" w:lastRow="1" w:firstColumn="1" w:lastColumn="1" w:noHBand="0" w:noVBand="0"/>
      </w:tblPr>
      <w:tblGrid>
        <w:gridCol w:w="1080"/>
        <w:gridCol w:w="8280"/>
      </w:tblGrid>
      <w:tr w:rsidR="00FA6D8D" w:rsidRPr="000972CA" w:rsidTr="003602CE">
        <w:tc>
          <w:tcPr>
            <w:tcW w:w="1080" w:type="dxa"/>
            <w:tcBorders>
              <w:top w:val="single" w:sz="4" w:space="0" w:color="auto"/>
              <w:left w:val="single" w:sz="4" w:space="0" w:color="auto"/>
              <w:bottom w:val="single" w:sz="4" w:space="0" w:color="auto"/>
              <w:right w:val="single" w:sz="4" w:space="0" w:color="auto"/>
            </w:tcBorders>
            <w:vAlign w:val="center"/>
          </w:tcPr>
          <w:p w:rsidR="00FA6D8D" w:rsidRPr="000972CA" w:rsidRDefault="00FA6D8D" w:rsidP="003602CE">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6D8D" w:rsidRPr="000972CA" w:rsidRDefault="003C6FFA" w:rsidP="003602CE">
            <w:pPr>
              <w:rPr>
                <w:rStyle w:val="Hyperlink"/>
                <w:rFonts w:ascii="Garamond" w:hAnsi="Garamond"/>
                <w:color w:val="auto"/>
                <w:u w:val="none"/>
                <w:lang w:val="en-AU"/>
              </w:rPr>
            </w:pPr>
            <w:hyperlink r:id="rId20" w:history="1">
              <w:r w:rsidR="00FA6D8D" w:rsidRPr="00080831">
                <w:rPr>
                  <w:rStyle w:val="Hyperlink"/>
                  <w:rFonts w:ascii="Garamond" w:hAnsi="Garamond"/>
                  <w:lang w:val="en-AU"/>
                </w:rPr>
                <w:t>http://www.nhscc.org/latest-news/5466/</w:t>
              </w:r>
            </w:hyperlink>
          </w:p>
        </w:tc>
      </w:tr>
      <w:tr w:rsidR="00FA6D8D" w:rsidRPr="000972CA" w:rsidTr="003602CE">
        <w:tc>
          <w:tcPr>
            <w:tcW w:w="1080" w:type="dxa"/>
            <w:tcBorders>
              <w:top w:val="single" w:sz="4" w:space="0" w:color="auto"/>
              <w:left w:val="single" w:sz="4" w:space="0" w:color="auto"/>
              <w:bottom w:val="single" w:sz="4" w:space="0" w:color="auto"/>
              <w:right w:val="single" w:sz="4" w:space="0" w:color="auto"/>
            </w:tcBorders>
            <w:vAlign w:val="center"/>
          </w:tcPr>
          <w:p w:rsidR="00FA6D8D" w:rsidRPr="000972CA" w:rsidRDefault="00FA6D8D" w:rsidP="003602CE">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6D8D" w:rsidRPr="000972CA" w:rsidRDefault="00FA6D8D" w:rsidP="003602CE">
            <w:pPr>
              <w:rPr>
                <w:rStyle w:val="Hyperlink"/>
                <w:rFonts w:ascii="Garamond" w:hAnsi="Garamond"/>
                <w:color w:val="auto"/>
                <w:u w:val="none"/>
                <w:lang w:val="en-AU"/>
              </w:rPr>
            </w:pPr>
            <w:r>
              <w:rPr>
                <w:rStyle w:val="Hyperlink"/>
                <w:rFonts w:ascii="Garamond" w:hAnsi="Garamond"/>
                <w:color w:val="auto"/>
                <w:u w:val="none"/>
                <w:lang w:val="en-AU"/>
              </w:rPr>
              <w:t xml:space="preserve">The NHS in the UK has developed this framework </w:t>
            </w:r>
            <w:r w:rsidRPr="00A465EC">
              <w:rPr>
                <w:rStyle w:val="Hyperlink"/>
                <w:rFonts w:ascii="Garamond" w:hAnsi="Garamond"/>
                <w:color w:val="auto"/>
                <w:u w:val="none"/>
                <w:lang w:val="en-AU"/>
              </w:rPr>
              <w:t xml:space="preserve">to help team leaders at every level to develop improvement and leadership capabilities among their employees and themselves. The framework focuses on helping </w:t>
            </w:r>
            <w:r>
              <w:rPr>
                <w:rStyle w:val="Hyperlink"/>
                <w:rFonts w:ascii="Garamond" w:hAnsi="Garamond"/>
                <w:color w:val="auto"/>
                <w:u w:val="none"/>
                <w:lang w:val="en-AU"/>
              </w:rPr>
              <w:t xml:space="preserve">people </w:t>
            </w:r>
            <w:r w:rsidRPr="00A465EC">
              <w:rPr>
                <w:rStyle w:val="Hyperlink"/>
                <w:rFonts w:ascii="Garamond" w:hAnsi="Garamond"/>
                <w:color w:val="auto"/>
                <w:u w:val="none"/>
                <w:lang w:val="en-AU"/>
              </w:rPr>
              <w:t>to develop four critical capabilities: systems leadership; quality improvement methods; inclusive and compassionate leadership; and talent management</w:t>
            </w:r>
            <w:r>
              <w:rPr>
                <w:rStyle w:val="Hyperlink"/>
                <w:rFonts w:ascii="Garamond" w:hAnsi="Garamond"/>
                <w:color w:val="auto"/>
                <w:u w:val="none"/>
                <w:lang w:val="en-AU"/>
              </w:rPr>
              <w:t>.</w:t>
            </w:r>
          </w:p>
        </w:tc>
      </w:tr>
    </w:tbl>
    <w:p w:rsidR="00FA6D8D" w:rsidRPr="000972CA" w:rsidRDefault="00FA6D8D" w:rsidP="00FA6D8D">
      <w:pPr>
        <w:rPr>
          <w:rFonts w:ascii="Garamond" w:hAnsi="Garamond"/>
          <w:lang w:val="en-AU"/>
        </w:rPr>
      </w:pPr>
    </w:p>
    <w:p w:rsidR="00950356" w:rsidRPr="00950356" w:rsidRDefault="00950356" w:rsidP="00950356">
      <w:pPr>
        <w:keepNext/>
        <w:keepLines/>
        <w:autoSpaceDE w:val="0"/>
        <w:autoSpaceDN w:val="0"/>
        <w:adjustRightInd w:val="0"/>
        <w:rPr>
          <w:rFonts w:ascii="Garamond" w:hAnsi="Garamond"/>
          <w:i/>
          <w:lang w:val="en-AU"/>
        </w:rPr>
      </w:pPr>
      <w:r w:rsidRPr="00950356">
        <w:rPr>
          <w:rFonts w:ascii="Garamond" w:hAnsi="Garamond"/>
          <w:i/>
          <w:lang w:val="en-AU"/>
        </w:rPr>
        <w:t>English surveillance programme for antimicrobial utilisation and resistance (ESPAUR) Report 2016</w:t>
      </w:r>
    </w:p>
    <w:p w:rsidR="00950356" w:rsidRDefault="00950356" w:rsidP="00C87848">
      <w:pPr>
        <w:keepNext/>
        <w:keepLines/>
        <w:autoSpaceDE w:val="0"/>
        <w:autoSpaceDN w:val="0"/>
        <w:adjustRightInd w:val="0"/>
        <w:rPr>
          <w:rFonts w:ascii="Garamond" w:hAnsi="Garamond"/>
          <w:lang w:val="en-AU"/>
        </w:rPr>
      </w:pPr>
      <w:r w:rsidRPr="00950356">
        <w:rPr>
          <w:rFonts w:ascii="Garamond" w:hAnsi="Garamond"/>
          <w:lang w:val="en-AU"/>
        </w:rPr>
        <w:t>Public Health England</w:t>
      </w:r>
    </w:p>
    <w:p w:rsidR="00950356" w:rsidRDefault="00950356" w:rsidP="00C87848">
      <w:pPr>
        <w:keepNext/>
        <w:keepLines/>
        <w:autoSpaceDE w:val="0"/>
        <w:autoSpaceDN w:val="0"/>
        <w:adjustRightInd w:val="0"/>
        <w:rPr>
          <w:rFonts w:ascii="Garamond" w:hAnsi="Garamond"/>
          <w:lang w:val="en-AU"/>
        </w:rPr>
      </w:pPr>
      <w:r w:rsidRPr="00950356">
        <w:rPr>
          <w:rFonts w:ascii="Garamond" w:hAnsi="Garamond"/>
          <w:lang w:val="en-AU"/>
        </w:rPr>
        <w:t xml:space="preserve">London: Public Health England; 2016. </w:t>
      </w:r>
      <w:proofErr w:type="gramStart"/>
      <w:r w:rsidRPr="00950356">
        <w:rPr>
          <w:rFonts w:ascii="Garamond" w:hAnsi="Garamond"/>
          <w:lang w:val="en-AU"/>
        </w:rPr>
        <w:t>p. 181.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24A6D" w:rsidRPr="000972CA"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0972CA" w:rsidRDefault="00F24A6D" w:rsidP="00947F5B">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4A6D" w:rsidRPr="000972CA" w:rsidRDefault="003C6FFA" w:rsidP="00947F5B">
            <w:pPr>
              <w:rPr>
                <w:rStyle w:val="Hyperlink"/>
                <w:rFonts w:ascii="Garamond" w:hAnsi="Garamond"/>
                <w:color w:val="auto"/>
                <w:u w:val="none"/>
                <w:lang w:val="en-AU"/>
              </w:rPr>
            </w:pPr>
            <w:hyperlink r:id="rId21" w:history="1">
              <w:r w:rsidR="00950356" w:rsidRPr="00934F36">
                <w:rPr>
                  <w:rStyle w:val="Hyperlink"/>
                  <w:rFonts w:ascii="Garamond" w:hAnsi="Garamond"/>
                  <w:lang w:val="en-AU"/>
                </w:rPr>
                <w:t>https://www.gov.uk/government/publications/english-surveillance-programme-antimicrobial-utilisation-and-resistance-espaur-report</w:t>
              </w:r>
            </w:hyperlink>
          </w:p>
        </w:tc>
      </w:tr>
      <w:tr w:rsidR="00F24A6D" w:rsidRPr="000972CA"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0972CA" w:rsidRDefault="00F24A6D" w:rsidP="00947F5B">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096B" w:rsidRPr="00A0057D" w:rsidRDefault="00950356" w:rsidP="00950356">
            <w:pPr>
              <w:rPr>
                <w:rStyle w:val="Hyperlink"/>
                <w:rFonts w:ascii="Garamond" w:hAnsi="Garamond"/>
                <w:color w:val="auto"/>
                <w:u w:val="none"/>
                <w:lang w:val="en-AU"/>
              </w:rPr>
            </w:pPr>
            <w:r>
              <w:rPr>
                <w:rStyle w:val="Hyperlink"/>
                <w:rFonts w:ascii="Garamond" w:hAnsi="Garamond"/>
                <w:color w:val="auto"/>
                <w:u w:val="none"/>
                <w:lang w:val="en-AU"/>
              </w:rPr>
              <w:t xml:space="preserve">The notable aspect to this year’s report of the English antimicrobial surveillance programme is that it reports </w:t>
            </w:r>
            <w:r w:rsidRPr="00950356">
              <w:rPr>
                <w:rStyle w:val="Hyperlink"/>
                <w:rFonts w:ascii="Garamond" w:hAnsi="Garamond"/>
                <w:color w:val="auto"/>
                <w:u w:val="none"/>
                <w:lang w:val="en-AU"/>
              </w:rPr>
              <w:t xml:space="preserve">that </w:t>
            </w:r>
            <w:r>
              <w:rPr>
                <w:rStyle w:val="Hyperlink"/>
                <w:rFonts w:ascii="Garamond" w:hAnsi="Garamond"/>
                <w:color w:val="auto"/>
                <w:u w:val="none"/>
                <w:lang w:val="en-AU"/>
              </w:rPr>
              <w:t xml:space="preserve">in England </w:t>
            </w:r>
            <w:r w:rsidRPr="00950356">
              <w:rPr>
                <w:rStyle w:val="Hyperlink"/>
                <w:rFonts w:ascii="Garamond" w:hAnsi="Garamond"/>
                <w:b/>
                <w:color w:val="auto"/>
                <w:u w:val="none"/>
                <w:lang w:val="en-AU"/>
              </w:rPr>
              <w:t>antibiotic use has decreased across all healthcare settings</w:t>
            </w:r>
            <w:r w:rsidRPr="00950356">
              <w:rPr>
                <w:rStyle w:val="Hyperlink"/>
                <w:rFonts w:ascii="Garamond" w:hAnsi="Garamond"/>
                <w:color w:val="auto"/>
                <w:u w:val="none"/>
                <w:lang w:val="en-AU"/>
              </w:rPr>
              <w:t xml:space="preserve"> for the first time, and broad-spectrum antibiotic use has fallen in primary care settings for the second consecutive year.</w:t>
            </w:r>
            <w:r>
              <w:rPr>
                <w:rStyle w:val="Hyperlink"/>
                <w:rFonts w:ascii="Garamond" w:hAnsi="Garamond"/>
                <w:color w:val="auto"/>
                <w:u w:val="none"/>
                <w:lang w:val="en-AU"/>
              </w:rPr>
              <w:t xml:space="preserve"> The reduction in inappropriate prescribing of </w:t>
            </w:r>
            <w:r w:rsidRPr="00950356">
              <w:rPr>
                <w:rStyle w:val="Hyperlink"/>
                <w:rFonts w:ascii="Garamond" w:hAnsi="Garamond"/>
                <w:color w:val="auto"/>
                <w:u w:val="none"/>
                <w:lang w:val="en-AU"/>
              </w:rPr>
              <w:t xml:space="preserve">antibiotics </w:t>
            </w:r>
            <w:r>
              <w:rPr>
                <w:rStyle w:val="Hyperlink"/>
                <w:rFonts w:ascii="Garamond" w:hAnsi="Garamond"/>
                <w:color w:val="auto"/>
                <w:u w:val="none"/>
                <w:lang w:val="en-AU"/>
              </w:rPr>
              <w:t xml:space="preserve">is a key facet of antimicrobial stewardship. </w:t>
            </w:r>
            <w:r w:rsidRPr="00950356">
              <w:rPr>
                <w:rStyle w:val="Hyperlink"/>
                <w:rFonts w:ascii="Garamond" w:hAnsi="Garamond"/>
                <w:color w:val="auto"/>
                <w:u w:val="none"/>
                <w:lang w:val="en-AU"/>
              </w:rPr>
              <w:t xml:space="preserve">In </w:t>
            </w:r>
            <w:r>
              <w:rPr>
                <w:rStyle w:val="Hyperlink"/>
                <w:rFonts w:ascii="Garamond" w:hAnsi="Garamond"/>
                <w:color w:val="auto"/>
                <w:u w:val="none"/>
                <w:lang w:val="en-AU"/>
              </w:rPr>
              <w:t xml:space="preserve">England in </w:t>
            </w:r>
            <w:r w:rsidRPr="00950356">
              <w:rPr>
                <w:rStyle w:val="Hyperlink"/>
                <w:rFonts w:ascii="Garamond" w:hAnsi="Garamond"/>
                <w:color w:val="auto"/>
                <w:u w:val="none"/>
                <w:lang w:val="en-AU"/>
              </w:rPr>
              <w:t>2015, 2.2 million fewer antibiotic prescriptions were dispensed in the community compared to 2014. This equates to 6% of all prescriptions.</w:t>
            </w:r>
          </w:p>
        </w:tc>
      </w:tr>
    </w:tbl>
    <w:p w:rsidR="00F24A6D" w:rsidRDefault="00F24A6D" w:rsidP="00F24A6D">
      <w:pPr>
        <w:rPr>
          <w:rFonts w:ascii="Garamond" w:hAnsi="Garamond"/>
          <w:lang w:val="en-AU"/>
        </w:rPr>
      </w:pPr>
    </w:p>
    <w:p w:rsidR="00B477F3" w:rsidRDefault="00B477F3" w:rsidP="00B477F3">
      <w:pPr>
        <w:rPr>
          <w:rFonts w:ascii="Garamond" w:hAnsi="Garamond"/>
          <w:lang w:val="en-AU"/>
        </w:rPr>
      </w:pPr>
      <w:r>
        <w:rPr>
          <w:rFonts w:ascii="Garamond" w:hAnsi="Garamond"/>
          <w:lang w:val="en-AU"/>
        </w:rPr>
        <w:t xml:space="preserve">For information about the </w:t>
      </w:r>
      <w:r w:rsidRPr="00B477F3">
        <w:rPr>
          <w:rFonts w:ascii="Garamond" w:hAnsi="Garamond"/>
          <w:lang w:val="en-AU"/>
        </w:rPr>
        <w:t>Antimicrobial Use and Resistance in Australia (AURA) project</w:t>
      </w:r>
      <w:r>
        <w:rPr>
          <w:rFonts w:ascii="Garamond" w:hAnsi="Garamond"/>
          <w:lang w:val="en-AU"/>
        </w:rPr>
        <w:t xml:space="preserve">, see </w:t>
      </w:r>
      <w:hyperlink r:id="rId22" w:history="1">
        <w:r w:rsidRPr="00934F36">
          <w:rPr>
            <w:rStyle w:val="Hyperlink"/>
            <w:rFonts w:ascii="Garamond" w:hAnsi="Garamond"/>
            <w:lang w:val="en-AU"/>
          </w:rPr>
          <w:t>https://www.safetyandquality.gov.au/antimicrobial-use-and-resistance-in-australia/</w:t>
        </w:r>
      </w:hyperlink>
    </w:p>
    <w:p w:rsidR="00B477F3" w:rsidRPr="000972CA" w:rsidRDefault="00B477F3" w:rsidP="00B477F3">
      <w:pPr>
        <w:rPr>
          <w:rFonts w:ascii="Garamond" w:hAnsi="Garamond"/>
          <w:lang w:val="en-AU"/>
        </w:rPr>
      </w:pPr>
    </w:p>
    <w:p w:rsidR="00B477F3" w:rsidRPr="000972CA" w:rsidRDefault="00B477F3" w:rsidP="00B477F3">
      <w:pPr>
        <w:rPr>
          <w:rFonts w:ascii="Garamond" w:hAnsi="Garamond"/>
          <w:lang w:val="en-AU" w:eastAsia="en-AU"/>
        </w:rPr>
      </w:pPr>
      <w:r w:rsidRPr="000972CA">
        <w:rPr>
          <w:rFonts w:ascii="Garamond" w:hAnsi="Garamond"/>
          <w:lang w:val="en-AU" w:eastAsia="en-AU"/>
        </w:rPr>
        <w:lastRenderedPageBreak/>
        <w:t xml:space="preserve">For information about the Commission’s work on healthcare associated infection, </w:t>
      </w:r>
      <w:r>
        <w:rPr>
          <w:rFonts w:ascii="Garamond" w:hAnsi="Garamond"/>
          <w:lang w:val="en-AU" w:eastAsia="en-AU"/>
        </w:rPr>
        <w:t xml:space="preserve">including antimicrobial stewardship, </w:t>
      </w:r>
      <w:r w:rsidRPr="000972CA">
        <w:rPr>
          <w:rFonts w:ascii="Garamond" w:hAnsi="Garamond"/>
          <w:lang w:val="en-AU" w:eastAsia="en-AU"/>
        </w:rPr>
        <w:t xml:space="preserve">see </w:t>
      </w:r>
      <w:hyperlink r:id="rId23" w:history="1">
        <w:r w:rsidRPr="000972CA">
          <w:rPr>
            <w:rStyle w:val="Hyperlink"/>
            <w:rFonts w:ascii="Garamond" w:hAnsi="Garamond"/>
            <w:lang w:val="en-AU" w:eastAsia="en-AU"/>
          </w:rPr>
          <w:t>www.safetyandquality.gov.au/our-work/healthcare-associated-infection/</w:t>
        </w:r>
      </w:hyperlink>
    </w:p>
    <w:p w:rsidR="00B477F3" w:rsidRDefault="00B477F3" w:rsidP="00F24A6D">
      <w:pPr>
        <w:rPr>
          <w:rFonts w:ascii="Garamond" w:hAnsi="Garamond"/>
          <w:lang w:val="en-AU"/>
        </w:rPr>
      </w:pPr>
    </w:p>
    <w:p w:rsidR="000E0E9C" w:rsidRPr="000B2027" w:rsidRDefault="000B2027" w:rsidP="000B2027">
      <w:pPr>
        <w:keepNext/>
        <w:keepLines/>
        <w:autoSpaceDE w:val="0"/>
        <w:autoSpaceDN w:val="0"/>
        <w:adjustRightInd w:val="0"/>
        <w:rPr>
          <w:rFonts w:ascii="Garamond" w:hAnsi="Garamond"/>
          <w:i/>
          <w:lang w:val="en-AU"/>
        </w:rPr>
      </w:pPr>
      <w:r w:rsidRPr="000B2027">
        <w:rPr>
          <w:rFonts w:ascii="Garamond" w:hAnsi="Garamond"/>
          <w:i/>
          <w:lang w:val="en-AU"/>
        </w:rPr>
        <w:t>The challenge and potential of whole system flow: Improving the flow of people, information and resources across whole health and social care economies</w:t>
      </w:r>
    </w:p>
    <w:p w:rsidR="00A465EC" w:rsidRDefault="000B2027" w:rsidP="000B2027">
      <w:pPr>
        <w:keepNext/>
        <w:keepLines/>
        <w:autoSpaceDE w:val="0"/>
        <w:autoSpaceDN w:val="0"/>
        <w:adjustRightInd w:val="0"/>
        <w:rPr>
          <w:rFonts w:ascii="Garamond" w:hAnsi="Garamond"/>
          <w:lang w:val="en-AU"/>
        </w:rPr>
      </w:pPr>
      <w:r w:rsidRPr="000B2027">
        <w:rPr>
          <w:rFonts w:ascii="Garamond" w:hAnsi="Garamond"/>
          <w:lang w:val="en-AU"/>
        </w:rPr>
        <w:t>Fillingham D, Jones B, Pereira P</w:t>
      </w:r>
    </w:p>
    <w:p w:rsidR="000B2027" w:rsidRDefault="000B2027" w:rsidP="000B2027">
      <w:pPr>
        <w:keepNext/>
        <w:keepLines/>
        <w:autoSpaceDE w:val="0"/>
        <w:autoSpaceDN w:val="0"/>
        <w:adjustRightInd w:val="0"/>
        <w:rPr>
          <w:rFonts w:ascii="Garamond" w:hAnsi="Garamond"/>
          <w:lang w:val="en-AU"/>
        </w:rPr>
      </w:pPr>
      <w:r w:rsidRPr="000B2027">
        <w:rPr>
          <w:rFonts w:ascii="Garamond" w:hAnsi="Garamond"/>
          <w:lang w:val="en-AU"/>
        </w:rPr>
        <w:t xml:space="preserve">London: Health Foundation; 2016. </w:t>
      </w:r>
      <w:proofErr w:type="gramStart"/>
      <w:r w:rsidRPr="000B2027">
        <w:rPr>
          <w:rFonts w:ascii="Garamond" w:hAnsi="Garamond"/>
          <w:lang w:val="en-AU"/>
        </w:rPr>
        <w:t>p. 80.</w:t>
      </w:r>
      <w:proofErr w:type="gramEnd"/>
    </w:p>
    <w:tbl>
      <w:tblPr>
        <w:tblStyle w:val="TableGrid"/>
        <w:tblW w:w="0" w:type="auto"/>
        <w:tblInd w:w="288" w:type="dxa"/>
        <w:tblLook w:val="01E0" w:firstRow="1" w:lastRow="1" w:firstColumn="1" w:lastColumn="1" w:noHBand="0" w:noVBand="0"/>
      </w:tblPr>
      <w:tblGrid>
        <w:gridCol w:w="1080"/>
        <w:gridCol w:w="8280"/>
      </w:tblGrid>
      <w:tr w:rsidR="00E739F8" w:rsidRPr="000972CA" w:rsidTr="00786FB7">
        <w:tc>
          <w:tcPr>
            <w:tcW w:w="1080" w:type="dxa"/>
            <w:tcBorders>
              <w:top w:val="single" w:sz="4" w:space="0" w:color="auto"/>
              <w:left w:val="single" w:sz="4" w:space="0" w:color="auto"/>
              <w:bottom w:val="single" w:sz="4" w:space="0" w:color="auto"/>
              <w:right w:val="single" w:sz="4" w:space="0" w:color="auto"/>
            </w:tcBorders>
            <w:vAlign w:val="center"/>
          </w:tcPr>
          <w:p w:rsidR="00E739F8" w:rsidRPr="000972CA" w:rsidRDefault="00E739F8" w:rsidP="00D56A96">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Pr="000972CA" w:rsidRDefault="003C6FFA" w:rsidP="00607792">
            <w:pPr>
              <w:rPr>
                <w:rStyle w:val="Hyperlink"/>
                <w:rFonts w:ascii="Garamond" w:hAnsi="Garamond"/>
                <w:color w:val="auto"/>
                <w:u w:val="none"/>
                <w:lang w:val="en-AU"/>
              </w:rPr>
            </w:pPr>
            <w:hyperlink r:id="rId24" w:history="1">
              <w:r w:rsidR="000B2027" w:rsidRPr="00080831">
                <w:rPr>
                  <w:rStyle w:val="Hyperlink"/>
                  <w:rFonts w:ascii="Garamond" w:hAnsi="Garamond"/>
                  <w:lang w:val="en-AU"/>
                </w:rPr>
                <w:t>http://www.health.org.uk/publication/challenge-and-potential-whole-system-flow</w:t>
              </w:r>
            </w:hyperlink>
          </w:p>
        </w:tc>
      </w:tr>
      <w:tr w:rsidR="00E739F8" w:rsidRPr="000972CA" w:rsidTr="00786FB7">
        <w:tc>
          <w:tcPr>
            <w:tcW w:w="1080" w:type="dxa"/>
            <w:tcBorders>
              <w:top w:val="single" w:sz="4" w:space="0" w:color="auto"/>
              <w:left w:val="single" w:sz="4" w:space="0" w:color="auto"/>
              <w:bottom w:val="single" w:sz="4" w:space="0" w:color="auto"/>
              <w:right w:val="single" w:sz="4" w:space="0" w:color="auto"/>
            </w:tcBorders>
            <w:vAlign w:val="center"/>
          </w:tcPr>
          <w:p w:rsidR="00E739F8" w:rsidRPr="000972CA" w:rsidRDefault="00E739F8" w:rsidP="00D56A96">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65EC" w:rsidRPr="000972CA" w:rsidRDefault="000B2027" w:rsidP="00A465EC">
            <w:pPr>
              <w:keepNext/>
              <w:keepLine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 xml:space="preserve">The UK’s Health Foundation has published this report looking at the </w:t>
            </w:r>
            <w:r w:rsidR="00A465EC">
              <w:rPr>
                <w:rStyle w:val="Hyperlink"/>
                <w:rFonts w:ascii="Garamond" w:hAnsi="Garamond"/>
                <w:color w:val="auto"/>
                <w:u w:val="none"/>
                <w:lang w:val="en-AU"/>
              </w:rPr>
              <w:t xml:space="preserve">issue of ‘whole system flow’. </w:t>
            </w:r>
            <w:r w:rsidR="00A465EC" w:rsidRPr="00A465EC">
              <w:rPr>
                <w:rStyle w:val="Hyperlink"/>
                <w:rFonts w:ascii="Garamond" w:hAnsi="Garamond"/>
                <w:color w:val="auto"/>
                <w:u w:val="none"/>
                <w:lang w:val="en-AU"/>
              </w:rPr>
              <w:t xml:space="preserve">Whole system flow is </w:t>
            </w:r>
            <w:r w:rsidR="00A465EC">
              <w:rPr>
                <w:rStyle w:val="Hyperlink"/>
                <w:rFonts w:ascii="Garamond" w:hAnsi="Garamond"/>
                <w:color w:val="auto"/>
                <w:u w:val="none"/>
                <w:lang w:val="en-AU"/>
              </w:rPr>
              <w:t xml:space="preserve">defined as </w:t>
            </w:r>
            <w:r w:rsidR="00A465EC" w:rsidRPr="00A465EC">
              <w:rPr>
                <w:rStyle w:val="Hyperlink"/>
                <w:rFonts w:ascii="Garamond" w:hAnsi="Garamond"/>
                <w:color w:val="auto"/>
                <w:u w:val="none"/>
                <w:lang w:val="en-AU"/>
              </w:rPr>
              <w:t>the coordination of all systems and resources, across a health and social care economy, to deliver effective, efficient, person-centred care in the right setting at the right time and by the right person</w:t>
            </w:r>
            <w:r w:rsidR="00A465EC">
              <w:rPr>
                <w:rStyle w:val="Hyperlink"/>
                <w:rFonts w:ascii="Garamond" w:hAnsi="Garamond"/>
                <w:color w:val="auto"/>
                <w:u w:val="none"/>
                <w:lang w:val="en-AU"/>
              </w:rPr>
              <w:t>. According to the authors, i</w:t>
            </w:r>
            <w:r w:rsidR="00A465EC" w:rsidRPr="00A465EC">
              <w:rPr>
                <w:rStyle w:val="Hyperlink"/>
                <w:rFonts w:ascii="Garamond" w:hAnsi="Garamond"/>
                <w:color w:val="auto"/>
                <w:u w:val="none"/>
                <w:lang w:val="en-AU"/>
              </w:rPr>
              <w:t>mproving flow is seen as having a crucial role to play in driving up service quality and productivity, as well as improving the experience of care for patients and service users.</w:t>
            </w:r>
            <w:r w:rsidR="00A465EC">
              <w:rPr>
                <w:rStyle w:val="Hyperlink"/>
                <w:rFonts w:ascii="Garamond" w:hAnsi="Garamond"/>
                <w:color w:val="auto"/>
                <w:u w:val="none"/>
                <w:lang w:val="en-AU"/>
              </w:rPr>
              <w:t xml:space="preserve"> This report discusses </w:t>
            </w:r>
            <w:r w:rsidR="00A465EC" w:rsidRPr="00A465EC">
              <w:rPr>
                <w:rStyle w:val="Hyperlink"/>
                <w:rFonts w:ascii="Garamond" w:hAnsi="Garamond"/>
                <w:color w:val="auto"/>
                <w:u w:val="none"/>
                <w:lang w:val="en-AU"/>
              </w:rPr>
              <w:t>methods that local health and social care leaders can use to improve whole system flow</w:t>
            </w:r>
            <w:r w:rsidR="00A465EC">
              <w:rPr>
                <w:rStyle w:val="Hyperlink"/>
                <w:rFonts w:ascii="Garamond" w:hAnsi="Garamond"/>
                <w:color w:val="auto"/>
                <w:u w:val="none"/>
                <w:lang w:val="en-AU"/>
              </w:rPr>
              <w:t xml:space="preserve"> and </w:t>
            </w:r>
            <w:r w:rsidR="00A465EC" w:rsidRPr="00A465EC">
              <w:rPr>
                <w:rStyle w:val="Hyperlink"/>
                <w:rFonts w:ascii="Garamond" w:hAnsi="Garamond"/>
                <w:color w:val="auto"/>
                <w:u w:val="none"/>
                <w:lang w:val="en-AU"/>
              </w:rPr>
              <w:t>describes steps policymakers and regulators can take to create an environment conducive to change at this scale</w:t>
            </w:r>
            <w:r w:rsidR="00A465EC">
              <w:rPr>
                <w:rStyle w:val="Hyperlink"/>
                <w:rFonts w:ascii="Garamond" w:hAnsi="Garamond"/>
                <w:color w:val="auto"/>
                <w:u w:val="none"/>
                <w:lang w:val="en-AU"/>
              </w:rPr>
              <w:t>.</w:t>
            </w:r>
          </w:p>
        </w:tc>
      </w:tr>
    </w:tbl>
    <w:p w:rsidR="00960C09" w:rsidRPr="000972CA" w:rsidRDefault="00960C09">
      <w:pPr>
        <w:rPr>
          <w:rFonts w:ascii="Garamond" w:hAnsi="Garamond"/>
          <w:lang w:val="en-AU"/>
        </w:rPr>
      </w:pPr>
    </w:p>
    <w:p w:rsidR="00EE4A8B" w:rsidRDefault="00EE4A8B">
      <w:pPr>
        <w:rPr>
          <w:rFonts w:ascii="Garamond" w:hAnsi="Garamond"/>
          <w:b/>
          <w:lang w:val="en-AU"/>
        </w:rPr>
      </w:pPr>
    </w:p>
    <w:p w:rsidR="00BF1006" w:rsidRPr="000972CA" w:rsidRDefault="005F52C2" w:rsidP="004F47AC">
      <w:pPr>
        <w:keepNext/>
        <w:keepLines/>
        <w:autoSpaceDE w:val="0"/>
        <w:autoSpaceDN w:val="0"/>
        <w:adjustRightInd w:val="0"/>
        <w:rPr>
          <w:rFonts w:ascii="Garamond" w:hAnsi="Garamond"/>
          <w:b/>
          <w:lang w:val="en-AU"/>
        </w:rPr>
      </w:pPr>
      <w:r w:rsidRPr="000972CA">
        <w:rPr>
          <w:rFonts w:ascii="Garamond" w:hAnsi="Garamond"/>
          <w:b/>
          <w:lang w:val="en-AU"/>
        </w:rPr>
        <w:t>Journal articles</w:t>
      </w:r>
    </w:p>
    <w:p w:rsidR="009B53E9" w:rsidRDefault="009B53E9" w:rsidP="009B53E9">
      <w:pPr>
        <w:rPr>
          <w:rFonts w:ascii="Garamond" w:hAnsi="Garamond"/>
          <w:lang w:val="en-AU"/>
        </w:rPr>
      </w:pPr>
    </w:p>
    <w:p w:rsidR="00FA47B5" w:rsidRPr="00AC5352" w:rsidRDefault="00FA47B5" w:rsidP="00FA47B5">
      <w:pPr>
        <w:rPr>
          <w:rFonts w:ascii="Garamond" w:hAnsi="Garamond"/>
          <w:i/>
          <w:lang w:val="en-AU"/>
        </w:rPr>
      </w:pPr>
      <w:r w:rsidRPr="00AC5352">
        <w:rPr>
          <w:rFonts w:ascii="Garamond" w:hAnsi="Garamond"/>
          <w:i/>
          <w:lang w:val="en-AU"/>
        </w:rPr>
        <w:t>Economic evaluation of quality improvement interventions for bloodstream infections related to central catheters: A systematic review</w:t>
      </w:r>
    </w:p>
    <w:p w:rsidR="00FA47B5" w:rsidRPr="00AC5352" w:rsidRDefault="00FA47B5" w:rsidP="000972CA">
      <w:pPr>
        <w:rPr>
          <w:rFonts w:ascii="Garamond" w:hAnsi="Garamond"/>
          <w:lang w:val="en-AU"/>
        </w:rPr>
      </w:pPr>
      <w:r w:rsidRPr="00AC5352">
        <w:rPr>
          <w:rFonts w:ascii="Garamond" w:hAnsi="Garamond"/>
          <w:lang w:val="en-AU"/>
        </w:rPr>
        <w:t>Nuckols TK, Keeler E, Morton SC, Anderson L, Doyle B, Booth M, et al</w:t>
      </w:r>
    </w:p>
    <w:p w:rsidR="000972CA" w:rsidRPr="00AC5352" w:rsidRDefault="00FA47B5" w:rsidP="000972CA">
      <w:pPr>
        <w:rPr>
          <w:rFonts w:ascii="Garamond" w:hAnsi="Garamond"/>
          <w:lang w:val="en-AU"/>
        </w:rPr>
      </w:pPr>
      <w:proofErr w:type="gramStart"/>
      <w:r w:rsidRPr="00AC5352">
        <w:rPr>
          <w:rFonts w:ascii="Garamond" w:hAnsi="Garamond"/>
          <w:lang w:val="en-AU"/>
        </w:rPr>
        <w:t>JAMA Internal Medicine.</w:t>
      </w:r>
      <w:proofErr w:type="gramEnd"/>
      <w:r w:rsidRPr="00AC5352">
        <w:rPr>
          <w:rFonts w:ascii="Garamond" w:hAnsi="Garamond"/>
          <w:lang w:val="en-AU"/>
        </w:rPr>
        <w:t xml:space="preserve"> 2016</w:t>
      </w:r>
      <w:proofErr w:type="gramStart"/>
      <w:r w:rsidRPr="00AC5352">
        <w:rPr>
          <w:rFonts w:ascii="Garamond" w:hAnsi="Garamond"/>
          <w:lang w:val="en-AU"/>
        </w:rPr>
        <w:t>;176</w:t>
      </w:r>
      <w:proofErr w:type="gramEnd"/>
      <w:r w:rsidRPr="00AC5352">
        <w:rPr>
          <w:rFonts w:ascii="Garamond" w:hAnsi="Garamond"/>
          <w:lang w:val="en-AU"/>
        </w:rPr>
        <w:t>(12):1843-54.</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AC5352"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AC5352" w:rsidRDefault="000972CA" w:rsidP="00344E74">
            <w:pPr>
              <w:rPr>
                <w:rStyle w:val="Hyperlink"/>
                <w:rFonts w:ascii="Garamond" w:hAnsi="Garamond"/>
                <w:lang w:val="en-AU"/>
              </w:rPr>
            </w:pPr>
            <w:r w:rsidRPr="00AC535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972CA" w:rsidRPr="00AC5352" w:rsidRDefault="003C6FFA" w:rsidP="00344E74">
            <w:pPr>
              <w:rPr>
                <w:rStyle w:val="Hyperlink"/>
                <w:rFonts w:ascii="Garamond" w:hAnsi="Garamond"/>
                <w:color w:val="auto"/>
                <w:u w:val="none"/>
                <w:lang w:val="en-AU"/>
              </w:rPr>
            </w:pPr>
            <w:hyperlink r:id="rId25" w:history="1">
              <w:r w:rsidR="00FA47B5" w:rsidRPr="00AC5352">
                <w:rPr>
                  <w:rStyle w:val="Hyperlink"/>
                  <w:rFonts w:ascii="Garamond" w:hAnsi="Garamond"/>
                  <w:lang w:val="en-AU"/>
                </w:rPr>
                <w:t>http://dx.doi.org/10.1001/jamainternmed.2016.6610</w:t>
              </w:r>
            </w:hyperlink>
          </w:p>
        </w:tc>
      </w:tr>
      <w:tr w:rsidR="000972CA" w:rsidRPr="00AC5352"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AC5352" w:rsidRDefault="000972CA" w:rsidP="00344E74">
            <w:pPr>
              <w:rPr>
                <w:rFonts w:ascii="Garamond" w:hAnsi="Garamond"/>
                <w:lang w:val="en-AU" w:eastAsia="en-AU"/>
              </w:rPr>
            </w:pPr>
            <w:r w:rsidRPr="00AC535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47B5" w:rsidRPr="00AC5352" w:rsidRDefault="00FA47B5" w:rsidP="00FA47B5">
            <w:pPr>
              <w:rPr>
                <w:rFonts w:ascii="Garamond" w:hAnsi="Garamond"/>
              </w:rPr>
            </w:pPr>
            <w:r w:rsidRPr="00AC5352">
              <w:rPr>
                <w:rFonts w:ascii="Garamond" w:hAnsi="Garamond"/>
              </w:rPr>
              <w:t xml:space="preserve">Paper reporting on a systematic review of economic evaluations of QI interventions designed to prevent central–line-associated bloodstream infections (CLABSI) and/or catheter-related bloodstream infections (CRBSI) in acute care hospitals. Using 15 studies covering 113 hospitals the authors report finding that “, on average, </w:t>
            </w:r>
            <w:r w:rsidRPr="00AC5352">
              <w:rPr>
                <w:rFonts w:ascii="Garamond" w:hAnsi="Garamond"/>
                <w:b/>
              </w:rPr>
              <w:t>bloodstream infections declined by more than half</w:t>
            </w:r>
            <w:r w:rsidRPr="00AC5352">
              <w:rPr>
                <w:rFonts w:ascii="Garamond" w:hAnsi="Garamond"/>
              </w:rPr>
              <w:t xml:space="preserve"> and </w:t>
            </w:r>
            <w:r w:rsidRPr="00AC5352">
              <w:rPr>
                <w:rFonts w:ascii="Garamond" w:hAnsi="Garamond"/>
                <w:b/>
              </w:rPr>
              <w:t>hospitals achieved net savings of $1.85 million over 3 years</w:t>
            </w:r>
            <w:r w:rsidRPr="00AC5352">
              <w:rPr>
                <w:rFonts w:ascii="Garamond" w:hAnsi="Garamond"/>
              </w:rPr>
              <w:t xml:space="preserve">. Larger investments in the interventions were associated with greater net savings, and </w:t>
            </w:r>
            <w:r w:rsidRPr="00AC5352">
              <w:rPr>
                <w:rFonts w:ascii="Garamond" w:hAnsi="Garamond"/>
                <w:b/>
              </w:rPr>
              <w:t>infections and costs declined even when checklists were already in use</w:t>
            </w:r>
            <w:r w:rsidRPr="00AC5352">
              <w:rPr>
                <w:rFonts w:ascii="Garamond" w:hAnsi="Garamond"/>
              </w:rPr>
              <w:t>, and when baseline infection rates were as low as 1.7 to 3.7 per 1000 catheter-days.”</w:t>
            </w:r>
          </w:p>
        </w:tc>
      </w:tr>
    </w:tbl>
    <w:p w:rsidR="00AC5352" w:rsidRDefault="00AC5352" w:rsidP="00FA47B5">
      <w:pPr>
        <w:rPr>
          <w:rFonts w:ascii="Garamond" w:hAnsi="Garamond"/>
          <w:lang w:val="en-AU" w:eastAsia="en-AU"/>
        </w:rPr>
      </w:pPr>
    </w:p>
    <w:p w:rsidR="00FA47B5" w:rsidRPr="000972CA" w:rsidRDefault="00FA47B5" w:rsidP="00FA47B5">
      <w:pPr>
        <w:rPr>
          <w:rFonts w:ascii="Garamond" w:hAnsi="Garamond"/>
          <w:lang w:val="en-AU" w:eastAsia="en-AU"/>
        </w:rPr>
      </w:pPr>
      <w:r w:rsidRPr="000972CA">
        <w:rPr>
          <w:rFonts w:ascii="Garamond" w:hAnsi="Garamond"/>
          <w:lang w:val="en-AU" w:eastAsia="en-AU"/>
        </w:rPr>
        <w:t xml:space="preserve">For information about the Commission’s work on healthcare associated infection, see </w:t>
      </w:r>
      <w:hyperlink r:id="rId26" w:history="1">
        <w:r w:rsidRPr="000972CA">
          <w:rPr>
            <w:rStyle w:val="Hyperlink"/>
            <w:rFonts w:ascii="Garamond" w:hAnsi="Garamond"/>
            <w:lang w:val="en-AU" w:eastAsia="en-AU"/>
          </w:rPr>
          <w:t>www.safetyandquality.gov.au/our-work/healthcare-associated-infection/</w:t>
        </w:r>
      </w:hyperlink>
    </w:p>
    <w:p w:rsidR="000972CA" w:rsidRDefault="000972CA" w:rsidP="000972CA">
      <w:pPr>
        <w:rPr>
          <w:rFonts w:ascii="Garamond" w:hAnsi="Garamond"/>
          <w:lang w:val="en-AU"/>
        </w:rPr>
      </w:pPr>
    </w:p>
    <w:p w:rsidR="00711B2C" w:rsidRPr="00711B2C" w:rsidRDefault="00711B2C" w:rsidP="00711B2C">
      <w:pPr>
        <w:keepNext/>
        <w:keepLines/>
        <w:autoSpaceDE w:val="0"/>
        <w:autoSpaceDN w:val="0"/>
        <w:adjustRightInd w:val="0"/>
        <w:rPr>
          <w:rFonts w:ascii="Garamond" w:hAnsi="Garamond"/>
          <w:i/>
          <w:lang w:val="en-AU"/>
        </w:rPr>
      </w:pPr>
      <w:r w:rsidRPr="00711B2C">
        <w:rPr>
          <w:rFonts w:ascii="Garamond" w:hAnsi="Garamond"/>
          <w:i/>
          <w:lang w:val="en-AU"/>
        </w:rPr>
        <w:t>Systematic review of the prevalence of medication errors resulting in hospitalization and death of nursing home residents</w:t>
      </w:r>
    </w:p>
    <w:p w:rsidR="00711B2C" w:rsidRDefault="00711B2C" w:rsidP="00711B2C">
      <w:pPr>
        <w:keepNext/>
        <w:keepLines/>
        <w:autoSpaceDE w:val="0"/>
        <w:autoSpaceDN w:val="0"/>
        <w:adjustRightInd w:val="0"/>
        <w:rPr>
          <w:rFonts w:ascii="Garamond" w:hAnsi="Garamond"/>
          <w:lang w:val="en-AU"/>
        </w:rPr>
      </w:pPr>
      <w:r w:rsidRPr="00711B2C">
        <w:rPr>
          <w:rFonts w:ascii="Garamond" w:hAnsi="Garamond"/>
          <w:lang w:val="en-AU"/>
        </w:rPr>
        <w:t>Ferrah N, Lovell JJ, Ibrahim JE</w:t>
      </w:r>
    </w:p>
    <w:p w:rsidR="00711B2C" w:rsidRPr="000972CA" w:rsidRDefault="00711B2C" w:rsidP="00711B2C">
      <w:pPr>
        <w:keepNext/>
        <w:keepLines/>
        <w:autoSpaceDE w:val="0"/>
        <w:autoSpaceDN w:val="0"/>
        <w:adjustRightInd w:val="0"/>
        <w:rPr>
          <w:rFonts w:ascii="Garamond" w:hAnsi="Garamond"/>
          <w:lang w:val="en-AU"/>
        </w:rPr>
      </w:pPr>
      <w:proofErr w:type="gramStart"/>
      <w:r w:rsidRPr="00711B2C">
        <w:rPr>
          <w:rFonts w:ascii="Garamond" w:hAnsi="Garamond"/>
          <w:lang w:val="en-AU"/>
        </w:rPr>
        <w:t>Journal of the American Geriatrics Society.</w:t>
      </w:r>
      <w:proofErr w:type="gramEnd"/>
      <w:r w:rsidRPr="00711B2C">
        <w:rPr>
          <w:rFonts w:ascii="Garamond" w:hAnsi="Garamond"/>
          <w:lang w:val="en-AU"/>
        </w:rPr>
        <w:t xml:space="preserve"> </w:t>
      </w:r>
      <w:proofErr w:type="gramStart"/>
      <w:r w:rsidRPr="00711B2C">
        <w:rPr>
          <w:rFonts w:ascii="Garamond" w:hAnsi="Garamond"/>
          <w:lang w:val="en-AU"/>
        </w:rPr>
        <w:t>2016</w:t>
      </w:r>
      <w:r>
        <w:rPr>
          <w:rFonts w:ascii="Garamond" w:hAnsi="Garamond"/>
          <w:lang w:val="en-AU"/>
        </w:rPr>
        <w:t xml:space="preserve"> [epub]</w:t>
      </w:r>
      <w:r w:rsidRPr="00711B2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11B2C" w:rsidRPr="000972CA" w:rsidTr="00CA29D1">
        <w:tc>
          <w:tcPr>
            <w:tcW w:w="1080" w:type="dxa"/>
            <w:tcBorders>
              <w:top w:val="single" w:sz="4" w:space="0" w:color="auto"/>
              <w:left w:val="single" w:sz="4" w:space="0" w:color="auto"/>
              <w:bottom w:val="single" w:sz="4" w:space="0" w:color="auto"/>
              <w:right w:val="single" w:sz="4" w:space="0" w:color="auto"/>
            </w:tcBorders>
            <w:vAlign w:val="center"/>
          </w:tcPr>
          <w:p w:rsidR="00711B2C" w:rsidRPr="000972CA" w:rsidRDefault="00711B2C" w:rsidP="00CA29D1">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1B2C" w:rsidRPr="000972CA" w:rsidRDefault="00711B2C" w:rsidP="00CA29D1">
            <w:pPr>
              <w:rPr>
                <w:rStyle w:val="Hyperlink"/>
                <w:rFonts w:ascii="Garamond" w:hAnsi="Garamond"/>
                <w:color w:val="auto"/>
                <w:u w:val="none"/>
                <w:lang w:val="en-AU"/>
              </w:rPr>
            </w:pPr>
            <w:hyperlink r:id="rId27" w:history="1">
              <w:r w:rsidRPr="000F0F2B">
                <w:rPr>
                  <w:rStyle w:val="Hyperlink"/>
                  <w:rFonts w:ascii="Garamond" w:hAnsi="Garamond"/>
                  <w:lang w:val="en-AU"/>
                </w:rPr>
                <w:t>http://dx.doi.org/10.1111/jgs.14683</w:t>
              </w:r>
            </w:hyperlink>
            <w:r>
              <w:rPr>
                <w:rStyle w:val="Hyperlink"/>
                <w:rFonts w:ascii="Garamond" w:hAnsi="Garamond"/>
                <w:color w:val="auto"/>
                <w:u w:val="none"/>
                <w:lang w:val="en-AU"/>
              </w:rPr>
              <w:t xml:space="preserve"> </w:t>
            </w:r>
          </w:p>
        </w:tc>
      </w:tr>
      <w:tr w:rsidR="00711B2C" w:rsidRPr="000972CA" w:rsidTr="00CA29D1">
        <w:tc>
          <w:tcPr>
            <w:tcW w:w="1080" w:type="dxa"/>
            <w:tcBorders>
              <w:top w:val="single" w:sz="4" w:space="0" w:color="auto"/>
              <w:left w:val="single" w:sz="4" w:space="0" w:color="auto"/>
              <w:bottom w:val="single" w:sz="4" w:space="0" w:color="auto"/>
              <w:right w:val="single" w:sz="4" w:space="0" w:color="auto"/>
            </w:tcBorders>
            <w:vAlign w:val="center"/>
          </w:tcPr>
          <w:p w:rsidR="00711B2C" w:rsidRPr="000972CA" w:rsidRDefault="00711B2C" w:rsidP="00CA29D1">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1B2C" w:rsidRPr="00B47E3A" w:rsidRDefault="00711B2C" w:rsidP="00CA29D1">
            <w:pPr>
              <w:rPr>
                <w:rStyle w:val="Hyperlink"/>
                <w:rFonts w:ascii="Garamond" w:hAnsi="Garamond"/>
                <w:color w:val="auto"/>
                <w:u w:val="none"/>
                <w:lang w:val="en-AU"/>
              </w:rPr>
            </w:pPr>
            <w:r>
              <w:rPr>
                <w:rStyle w:val="Hyperlink"/>
                <w:rFonts w:ascii="Garamond" w:hAnsi="Garamond"/>
                <w:color w:val="auto"/>
                <w:u w:val="none"/>
                <w:lang w:val="en-AU"/>
              </w:rPr>
              <w:t>This Australian study examined the issue of medication errors in long-term care by reviewing the literature in m</w:t>
            </w:r>
            <w:r w:rsidRPr="00711B2C">
              <w:rPr>
                <w:rStyle w:val="Hyperlink"/>
                <w:rFonts w:ascii="Garamond" w:hAnsi="Garamond"/>
                <w:color w:val="auto"/>
                <w:u w:val="none"/>
                <w:lang w:val="en-AU"/>
              </w:rPr>
              <w:t xml:space="preserve">edication errors </w:t>
            </w:r>
            <w:r>
              <w:rPr>
                <w:rStyle w:val="Hyperlink"/>
                <w:rFonts w:ascii="Garamond" w:hAnsi="Garamond"/>
                <w:color w:val="auto"/>
                <w:u w:val="none"/>
                <w:lang w:val="en-AU"/>
              </w:rPr>
              <w:t xml:space="preserve">among </w:t>
            </w:r>
            <w:r w:rsidRPr="00711B2C">
              <w:rPr>
                <w:rStyle w:val="Hyperlink"/>
                <w:rFonts w:ascii="Garamond" w:hAnsi="Garamond"/>
                <w:color w:val="auto"/>
                <w:u w:val="none"/>
                <w:lang w:val="en-AU"/>
              </w:rPr>
              <w:t xml:space="preserve">nursing home residents published between </w:t>
            </w:r>
            <w:r>
              <w:rPr>
                <w:rStyle w:val="Hyperlink"/>
                <w:rFonts w:ascii="Garamond" w:hAnsi="Garamond"/>
                <w:color w:val="auto"/>
                <w:u w:val="none"/>
                <w:lang w:val="en-AU"/>
              </w:rPr>
              <w:t xml:space="preserve">1 </w:t>
            </w:r>
            <w:r w:rsidRPr="00711B2C">
              <w:rPr>
                <w:rStyle w:val="Hyperlink"/>
                <w:rFonts w:ascii="Garamond" w:hAnsi="Garamond"/>
                <w:color w:val="auto"/>
                <w:u w:val="none"/>
                <w:lang w:val="en-AU"/>
              </w:rPr>
              <w:t xml:space="preserve">January 2000 and </w:t>
            </w:r>
            <w:r>
              <w:rPr>
                <w:rStyle w:val="Hyperlink"/>
                <w:rFonts w:ascii="Garamond" w:hAnsi="Garamond"/>
                <w:color w:val="auto"/>
                <w:u w:val="none"/>
                <w:lang w:val="en-AU"/>
              </w:rPr>
              <w:t xml:space="preserve">1 </w:t>
            </w:r>
            <w:r w:rsidRPr="00711B2C">
              <w:rPr>
                <w:rStyle w:val="Hyperlink"/>
                <w:rFonts w:ascii="Garamond" w:hAnsi="Garamond"/>
                <w:color w:val="auto"/>
                <w:u w:val="none"/>
                <w:lang w:val="en-AU"/>
              </w:rPr>
              <w:t>October 2015, in English, French, German, or Spanish.</w:t>
            </w:r>
            <w:r>
              <w:rPr>
                <w:rStyle w:val="Hyperlink"/>
                <w:rFonts w:ascii="Garamond" w:hAnsi="Garamond"/>
                <w:color w:val="auto"/>
                <w:u w:val="none"/>
                <w:lang w:val="en-AU"/>
              </w:rPr>
              <w:t xml:space="preserve"> Focussing on 11 studies, the authors repot finding </w:t>
            </w:r>
            <w:r w:rsidRPr="00711B2C">
              <w:rPr>
                <w:rStyle w:val="Hyperlink"/>
                <w:rFonts w:ascii="Garamond" w:hAnsi="Garamond"/>
                <w:color w:val="auto"/>
                <w:u w:val="none"/>
                <w:lang w:val="en-AU"/>
              </w:rPr>
              <w:t xml:space="preserve">a high prevalence of </w:t>
            </w:r>
            <w:r>
              <w:rPr>
                <w:rStyle w:val="Hyperlink"/>
                <w:rFonts w:ascii="Garamond" w:hAnsi="Garamond"/>
                <w:color w:val="auto"/>
                <w:u w:val="none"/>
                <w:lang w:val="en-AU"/>
              </w:rPr>
              <w:t xml:space="preserve">medication </w:t>
            </w:r>
            <w:r w:rsidRPr="00711B2C">
              <w:rPr>
                <w:rStyle w:val="Hyperlink"/>
                <w:rFonts w:ascii="Garamond" w:hAnsi="Garamond"/>
                <w:color w:val="auto"/>
                <w:u w:val="none"/>
                <w:lang w:val="en-AU"/>
              </w:rPr>
              <w:t xml:space="preserve">errors </w:t>
            </w:r>
            <w:r>
              <w:rPr>
                <w:rStyle w:val="Hyperlink"/>
                <w:rFonts w:ascii="Garamond" w:hAnsi="Garamond"/>
                <w:color w:val="auto"/>
                <w:u w:val="none"/>
                <w:lang w:val="en-AU"/>
              </w:rPr>
              <w:t xml:space="preserve">– including handover/handoff errors </w:t>
            </w:r>
            <w:r w:rsidRPr="00711B2C">
              <w:rPr>
                <w:rStyle w:val="Hyperlink"/>
                <w:rFonts w:ascii="Garamond" w:hAnsi="Garamond"/>
                <w:color w:val="auto"/>
                <w:u w:val="none"/>
                <w:lang w:val="en-AU"/>
              </w:rPr>
              <w:t>and that 75% of patients received at least one potentially inappropriate medication</w:t>
            </w:r>
            <w:r>
              <w:rPr>
                <w:rStyle w:val="Hyperlink"/>
                <w:rFonts w:ascii="Garamond" w:hAnsi="Garamond"/>
                <w:color w:val="auto"/>
                <w:u w:val="none"/>
                <w:lang w:val="en-AU"/>
              </w:rPr>
              <w:t xml:space="preserve"> –</w:t>
            </w:r>
            <w:r w:rsidRPr="00711B2C">
              <w:rPr>
                <w:rStyle w:val="Hyperlink"/>
                <w:rFonts w:ascii="Garamond" w:hAnsi="Garamond"/>
                <w:color w:val="auto"/>
                <w:u w:val="none"/>
                <w:lang w:val="en-AU"/>
              </w:rPr>
              <w:t xml:space="preserve"> </w:t>
            </w:r>
            <w:r>
              <w:rPr>
                <w:rStyle w:val="Hyperlink"/>
                <w:rFonts w:ascii="Garamond" w:hAnsi="Garamond"/>
                <w:color w:val="auto"/>
                <w:u w:val="none"/>
                <w:lang w:val="en-AU"/>
              </w:rPr>
              <w:t>but “</w:t>
            </w:r>
            <w:r w:rsidRPr="00711B2C">
              <w:rPr>
                <w:rStyle w:val="Hyperlink"/>
                <w:rFonts w:ascii="Garamond" w:hAnsi="Garamond"/>
                <w:color w:val="auto"/>
                <w:u w:val="none"/>
                <w:lang w:val="en-AU"/>
              </w:rPr>
              <w:t xml:space="preserve">serious effects of </w:t>
            </w:r>
            <w:r>
              <w:rPr>
                <w:rStyle w:val="Hyperlink"/>
                <w:rFonts w:ascii="Garamond" w:hAnsi="Garamond"/>
                <w:color w:val="auto"/>
                <w:u w:val="none"/>
                <w:lang w:val="en-AU"/>
              </w:rPr>
              <w:t xml:space="preserve">MEs [medication errors] </w:t>
            </w:r>
            <w:r w:rsidRPr="00711B2C">
              <w:rPr>
                <w:rStyle w:val="Hyperlink"/>
                <w:rFonts w:ascii="Garamond" w:hAnsi="Garamond"/>
                <w:color w:val="auto"/>
                <w:u w:val="none"/>
                <w:lang w:val="en-AU"/>
              </w:rPr>
              <w:t>were surprisingly low and were reported in only a small proportion of errors (0–1% of MEs), with death being rare</w:t>
            </w:r>
            <w:r>
              <w:rPr>
                <w:rStyle w:val="Hyperlink"/>
                <w:rFonts w:ascii="Garamond" w:hAnsi="Garamond"/>
                <w:color w:val="auto"/>
                <w:u w:val="none"/>
                <w:lang w:val="en-AU"/>
              </w:rPr>
              <w:t>.”</w:t>
            </w:r>
          </w:p>
        </w:tc>
      </w:tr>
    </w:tbl>
    <w:p w:rsidR="00711B2C" w:rsidRDefault="00711B2C" w:rsidP="00711B2C">
      <w:pPr>
        <w:rPr>
          <w:rFonts w:ascii="Garamond" w:hAnsi="Garamond"/>
          <w:lang w:val="en-AU" w:eastAsia="en-AU"/>
        </w:rPr>
      </w:pPr>
      <w:r w:rsidRPr="000972CA">
        <w:rPr>
          <w:rFonts w:ascii="Garamond" w:hAnsi="Garamond"/>
          <w:lang w:val="en-AU" w:eastAsia="en-AU"/>
        </w:rPr>
        <w:lastRenderedPageBreak/>
        <w:t>For information about the Commission’s work on</w:t>
      </w:r>
      <w:r>
        <w:rPr>
          <w:rFonts w:ascii="Garamond" w:hAnsi="Garamond"/>
          <w:lang w:val="en-AU" w:eastAsia="en-AU"/>
        </w:rPr>
        <w:t xml:space="preserve"> medication </w:t>
      </w:r>
      <w:proofErr w:type="gramStart"/>
      <w:r>
        <w:rPr>
          <w:rFonts w:ascii="Garamond" w:hAnsi="Garamond"/>
          <w:lang w:val="en-AU" w:eastAsia="en-AU"/>
        </w:rPr>
        <w:t xml:space="preserve">safety, including the </w:t>
      </w:r>
      <w:r w:rsidRPr="00711B2C">
        <w:rPr>
          <w:rFonts w:ascii="Garamond" w:hAnsi="Garamond"/>
          <w:lang w:val="en-AU" w:eastAsia="en-AU"/>
        </w:rPr>
        <w:t>National Residential Medication Chart (NRMC)</w:t>
      </w:r>
      <w:r>
        <w:rPr>
          <w:rFonts w:ascii="Garamond" w:hAnsi="Garamond"/>
          <w:lang w:val="en-AU" w:eastAsia="en-AU"/>
        </w:rPr>
        <w:t>, see</w:t>
      </w:r>
      <w:proofErr w:type="gramEnd"/>
      <w:r>
        <w:rPr>
          <w:rFonts w:ascii="Garamond" w:hAnsi="Garamond"/>
          <w:lang w:val="en-AU" w:eastAsia="en-AU"/>
        </w:rPr>
        <w:t xml:space="preserve"> </w:t>
      </w:r>
      <w:hyperlink r:id="rId28" w:history="1">
        <w:r w:rsidRPr="00DC5161">
          <w:rPr>
            <w:rStyle w:val="Hyperlink"/>
            <w:rFonts w:ascii="Garamond" w:hAnsi="Garamond"/>
            <w:lang w:val="en-AU" w:eastAsia="en-AU"/>
          </w:rPr>
          <w:t>www.safetyandquality.gov.au/our-work/medication-safety/</w:t>
        </w:r>
      </w:hyperlink>
    </w:p>
    <w:p w:rsidR="00711B2C" w:rsidRDefault="00711B2C" w:rsidP="00711B2C">
      <w:pPr>
        <w:rPr>
          <w:rFonts w:ascii="Garamond" w:hAnsi="Garamond"/>
          <w:lang w:val="en-AU"/>
        </w:rPr>
      </w:pPr>
    </w:p>
    <w:p w:rsidR="00FA47B5" w:rsidRPr="00FA47B5" w:rsidRDefault="00FA47B5" w:rsidP="00FA47B5">
      <w:pPr>
        <w:keepNext/>
        <w:keepLines/>
        <w:autoSpaceDE w:val="0"/>
        <w:autoSpaceDN w:val="0"/>
        <w:adjustRightInd w:val="0"/>
        <w:rPr>
          <w:rFonts w:ascii="Garamond" w:hAnsi="Garamond"/>
          <w:i/>
          <w:lang w:val="en-AU"/>
        </w:rPr>
      </w:pPr>
      <w:r w:rsidRPr="00FA47B5">
        <w:rPr>
          <w:rFonts w:ascii="Garamond" w:hAnsi="Garamond"/>
          <w:i/>
          <w:lang w:val="en-AU"/>
        </w:rPr>
        <w:t>The quest to improve quality: Measurement is necessary but not sufficient</w:t>
      </w:r>
    </w:p>
    <w:p w:rsidR="00FA47B5" w:rsidRDefault="00FA47B5" w:rsidP="00676796">
      <w:pPr>
        <w:keepNext/>
        <w:keepLines/>
        <w:autoSpaceDE w:val="0"/>
        <w:autoSpaceDN w:val="0"/>
        <w:adjustRightInd w:val="0"/>
        <w:rPr>
          <w:rFonts w:ascii="Garamond" w:hAnsi="Garamond"/>
          <w:lang w:val="en-AU"/>
        </w:rPr>
      </w:pPr>
      <w:r w:rsidRPr="00FA47B5">
        <w:rPr>
          <w:rFonts w:ascii="Garamond" w:hAnsi="Garamond"/>
          <w:lang w:val="en-AU"/>
        </w:rPr>
        <w:t>McGlynn EA, Adams JL, Kerr EA</w:t>
      </w:r>
    </w:p>
    <w:p w:rsidR="00452EE3" w:rsidRDefault="00FA47B5" w:rsidP="00676796">
      <w:pPr>
        <w:keepNext/>
        <w:keepLines/>
        <w:autoSpaceDE w:val="0"/>
        <w:autoSpaceDN w:val="0"/>
        <w:adjustRightInd w:val="0"/>
        <w:rPr>
          <w:rFonts w:ascii="Garamond" w:hAnsi="Garamond"/>
          <w:lang w:val="en-AU"/>
        </w:rPr>
      </w:pPr>
      <w:proofErr w:type="gramStart"/>
      <w:r w:rsidRPr="00FA47B5">
        <w:rPr>
          <w:rFonts w:ascii="Garamond" w:hAnsi="Garamond"/>
          <w:lang w:val="en-AU"/>
        </w:rPr>
        <w:t>JAMA Internal Medicine.</w:t>
      </w:r>
      <w:proofErr w:type="gramEnd"/>
      <w:r w:rsidRPr="00FA47B5">
        <w:rPr>
          <w:rFonts w:ascii="Garamond" w:hAnsi="Garamond"/>
          <w:lang w:val="en-AU"/>
        </w:rPr>
        <w:t xml:space="preserve"> 2016</w:t>
      </w:r>
      <w:proofErr w:type="gramStart"/>
      <w:r w:rsidRPr="00FA47B5">
        <w:rPr>
          <w:rFonts w:ascii="Garamond" w:hAnsi="Garamond"/>
          <w:lang w:val="en-AU"/>
        </w:rPr>
        <w:t>;176</w:t>
      </w:r>
      <w:proofErr w:type="gramEnd"/>
      <w:r w:rsidRPr="00FA47B5">
        <w:rPr>
          <w:rFonts w:ascii="Garamond" w:hAnsi="Garamond"/>
          <w:lang w:val="en-AU"/>
        </w:rPr>
        <w:t>(12):1790-1.</w:t>
      </w:r>
    </w:p>
    <w:p w:rsidR="008C1E7A" w:rsidRDefault="008C1E7A" w:rsidP="00676796">
      <w:pPr>
        <w:keepNext/>
        <w:keepLines/>
        <w:autoSpaceDE w:val="0"/>
        <w:autoSpaceDN w:val="0"/>
        <w:adjustRightInd w:val="0"/>
        <w:rPr>
          <w:rFonts w:ascii="Garamond" w:hAnsi="Garamond"/>
          <w:lang w:val="en-AU"/>
        </w:rPr>
      </w:pPr>
    </w:p>
    <w:p w:rsidR="008C1E7A" w:rsidRPr="008C1E7A" w:rsidRDefault="008C1E7A" w:rsidP="008C1E7A">
      <w:pPr>
        <w:keepNext/>
        <w:keepLines/>
        <w:autoSpaceDE w:val="0"/>
        <w:autoSpaceDN w:val="0"/>
        <w:adjustRightInd w:val="0"/>
        <w:rPr>
          <w:rFonts w:ascii="Garamond" w:hAnsi="Garamond"/>
          <w:i/>
          <w:lang w:val="en-AU"/>
        </w:rPr>
      </w:pPr>
      <w:r w:rsidRPr="008C1E7A">
        <w:rPr>
          <w:rFonts w:ascii="Garamond" w:hAnsi="Garamond"/>
          <w:i/>
          <w:lang w:val="en-AU"/>
        </w:rPr>
        <w:t xml:space="preserve">The quality of outpatient care delivered to adults in the </w:t>
      </w:r>
      <w:r w:rsidR="007A0A84">
        <w:rPr>
          <w:rFonts w:ascii="Garamond" w:hAnsi="Garamond"/>
          <w:i/>
          <w:lang w:val="en-AU"/>
        </w:rPr>
        <w:t>U</w:t>
      </w:r>
      <w:r w:rsidRPr="008C1E7A">
        <w:rPr>
          <w:rFonts w:ascii="Garamond" w:hAnsi="Garamond"/>
          <w:i/>
          <w:lang w:val="en-AU"/>
        </w:rPr>
        <w:t xml:space="preserve">nited </w:t>
      </w:r>
      <w:r w:rsidR="007A0A84">
        <w:rPr>
          <w:rFonts w:ascii="Garamond" w:hAnsi="Garamond"/>
          <w:i/>
          <w:lang w:val="en-AU"/>
        </w:rPr>
        <w:t>S</w:t>
      </w:r>
      <w:r w:rsidRPr="008C1E7A">
        <w:rPr>
          <w:rFonts w:ascii="Garamond" w:hAnsi="Garamond"/>
          <w:i/>
          <w:lang w:val="en-AU"/>
        </w:rPr>
        <w:t>tates, 2002 to 2013</w:t>
      </w:r>
    </w:p>
    <w:p w:rsidR="008C1E7A" w:rsidRDefault="008C1E7A" w:rsidP="00676796">
      <w:pPr>
        <w:keepNext/>
        <w:keepLines/>
        <w:autoSpaceDE w:val="0"/>
        <w:autoSpaceDN w:val="0"/>
        <w:adjustRightInd w:val="0"/>
        <w:rPr>
          <w:rFonts w:ascii="Garamond" w:hAnsi="Garamond"/>
          <w:lang w:val="en-AU"/>
        </w:rPr>
      </w:pPr>
      <w:r w:rsidRPr="008C1E7A">
        <w:rPr>
          <w:rFonts w:ascii="Garamond" w:hAnsi="Garamond"/>
          <w:lang w:val="en-AU"/>
        </w:rPr>
        <w:t>Levine DM, Linder JA, Landon BE</w:t>
      </w:r>
    </w:p>
    <w:p w:rsidR="008C1E7A" w:rsidRPr="000972CA" w:rsidRDefault="008C1E7A" w:rsidP="00676796">
      <w:pPr>
        <w:keepNext/>
        <w:keepLines/>
        <w:autoSpaceDE w:val="0"/>
        <w:autoSpaceDN w:val="0"/>
        <w:adjustRightInd w:val="0"/>
        <w:rPr>
          <w:rFonts w:ascii="Garamond" w:hAnsi="Garamond"/>
          <w:lang w:val="en-AU"/>
        </w:rPr>
      </w:pPr>
      <w:proofErr w:type="gramStart"/>
      <w:r w:rsidRPr="008C1E7A">
        <w:rPr>
          <w:rFonts w:ascii="Garamond" w:hAnsi="Garamond"/>
          <w:lang w:val="en-AU"/>
        </w:rPr>
        <w:t>JAMA Internal Medicine.</w:t>
      </w:r>
      <w:proofErr w:type="gramEnd"/>
      <w:r w:rsidRPr="008C1E7A">
        <w:rPr>
          <w:rFonts w:ascii="Garamond" w:hAnsi="Garamond"/>
          <w:lang w:val="en-AU"/>
        </w:rPr>
        <w:t xml:space="preserve"> 2016</w:t>
      </w:r>
      <w:proofErr w:type="gramStart"/>
      <w:r w:rsidRPr="008C1E7A">
        <w:rPr>
          <w:rFonts w:ascii="Garamond" w:hAnsi="Garamond"/>
          <w:lang w:val="en-AU"/>
        </w:rPr>
        <w:t>;176</w:t>
      </w:r>
      <w:proofErr w:type="gramEnd"/>
      <w:r w:rsidRPr="008C1E7A">
        <w:rPr>
          <w:rFonts w:ascii="Garamond" w:hAnsi="Garamond"/>
          <w:lang w:val="en-AU"/>
        </w:rPr>
        <w:t>(12):1778-90.</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Default="008C1E7A" w:rsidP="003B2C28">
            <w:pPr>
              <w:rPr>
                <w:rStyle w:val="Hyperlink"/>
                <w:rFonts w:ascii="Garamond" w:hAnsi="Garamond"/>
                <w:lang w:val="en-AU"/>
              </w:rPr>
            </w:pPr>
            <w:r w:rsidRPr="008C1E7A">
              <w:rPr>
                <w:rFonts w:ascii="Garamond" w:hAnsi="Garamond"/>
              </w:rPr>
              <w:t xml:space="preserve">McGlynn et al </w:t>
            </w:r>
            <w:hyperlink r:id="rId29" w:history="1">
              <w:r w:rsidR="00FA47B5" w:rsidRPr="00080831">
                <w:rPr>
                  <w:rStyle w:val="Hyperlink"/>
                  <w:rFonts w:ascii="Garamond" w:hAnsi="Garamond"/>
                  <w:lang w:val="en-AU"/>
                </w:rPr>
                <w:t>http://dx.doi.org/10.1001/jamainternmed.2016.6233</w:t>
              </w:r>
            </w:hyperlink>
          </w:p>
          <w:p w:rsidR="008C1E7A" w:rsidRPr="000972CA" w:rsidRDefault="008C1E7A" w:rsidP="008C1E7A">
            <w:pPr>
              <w:rPr>
                <w:rStyle w:val="Hyperlink"/>
                <w:rFonts w:ascii="Garamond" w:hAnsi="Garamond"/>
                <w:color w:val="auto"/>
                <w:u w:val="none"/>
                <w:lang w:val="en-AU"/>
              </w:rPr>
            </w:pPr>
            <w:r>
              <w:rPr>
                <w:rStyle w:val="Hyperlink"/>
                <w:rFonts w:ascii="Garamond" w:hAnsi="Garamond"/>
                <w:color w:val="auto"/>
                <w:u w:val="none"/>
                <w:lang w:val="en-AU"/>
              </w:rPr>
              <w:t xml:space="preserve">Levine at al </w:t>
            </w:r>
            <w:hyperlink r:id="rId30" w:history="1">
              <w:r w:rsidRPr="00DA1BF5">
                <w:rPr>
                  <w:rStyle w:val="Hyperlink"/>
                  <w:rFonts w:ascii="Garamond" w:hAnsi="Garamond"/>
                  <w:lang w:val="en-AU"/>
                </w:rPr>
                <w:t>http://dx.doi.org/10.1001/jamainternmed.2016.6217</w:t>
              </w:r>
            </w:hyperlink>
          </w:p>
        </w:tc>
      </w:tr>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897" w:rsidRDefault="00FA47B5" w:rsidP="008C1E7A">
            <w:pPr>
              <w:rPr>
                <w:rStyle w:val="Hyperlink"/>
                <w:rFonts w:ascii="Garamond" w:hAnsi="Garamond"/>
                <w:color w:val="auto"/>
                <w:u w:val="none"/>
                <w:lang w:val="en-AU"/>
              </w:rPr>
            </w:pPr>
            <w:r>
              <w:rPr>
                <w:rStyle w:val="Hyperlink"/>
                <w:rFonts w:ascii="Garamond" w:hAnsi="Garamond"/>
                <w:color w:val="auto"/>
                <w:u w:val="none"/>
                <w:lang w:val="en-AU"/>
              </w:rPr>
              <w:t xml:space="preserve">In this invited commentary piece in </w:t>
            </w:r>
            <w:r w:rsidRPr="00D64A4A">
              <w:rPr>
                <w:rStyle w:val="Hyperlink"/>
                <w:rFonts w:ascii="Garamond" w:hAnsi="Garamond"/>
                <w:i/>
                <w:color w:val="auto"/>
                <w:u w:val="none"/>
                <w:lang w:val="en-AU"/>
              </w:rPr>
              <w:t>JAMA Internal Medicine</w:t>
            </w:r>
            <w:r>
              <w:rPr>
                <w:rStyle w:val="Hyperlink"/>
                <w:rFonts w:ascii="Garamond" w:hAnsi="Garamond"/>
                <w:color w:val="auto"/>
                <w:u w:val="none"/>
                <w:lang w:val="en-AU"/>
              </w:rPr>
              <w:t xml:space="preserve"> </w:t>
            </w:r>
            <w:r w:rsidR="00F52928">
              <w:rPr>
                <w:rStyle w:val="Hyperlink"/>
                <w:rFonts w:ascii="Garamond" w:hAnsi="Garamond"/>
                <w:color w:val="auto"/>
                <w:u w:val="none"/>
                <w:lang w:val="en-AU"/>
              </w:rPr>
              <w:t>three of the authors of the influential 2003 ‘</w:t>
            </w:r>
            <w:r w:rsidR="00F52928" w:rsidRPr="00F52928">
              <w:rPr>
                <w:rStyle w:val="Hyperlink"/>
                <w:rFonts w:ascii="Garamond" w:hAnsi="Garamond"/>
                <w:color w:val="auto"/>
                <w:u w:val="none"/>
                <w:lang w:val="en-AU"/>
              </w:rPr>
              <w:t>The quality of care delivered to adults in the United States</w:t>
            </w:r>
            <w:r w:rsidR="00F52928">
              <w:rPr>
                <w:rStyle w:val="Hyperlink"/>
                <w:rFonts w:ascii="Garamond" w:hAnsi="Garamond"/>
                <w:color w:val="auto"/>
                <w:u w:val="none"/>
                <w:lang w:val="en-AU"/>
              </w:rPr>
              <w:t>’ paper (</w:t>
            </w:r>
            <w:hyperlink r:id="rId31" w:history="1">
              <w:r w:rsidR="00F52928" w:rsidRPr="00DA1BF5">
                <w:rPr>
                  <w:rStyle w:val="Hyperlink"/>
                  <w:rFonts w:ascii="Garamond" w:hAnsi="Garamond"/>
                  <w:lang w:val="en-AU"/>
                </w:rPr>
                <w:t>http://dx.doi.org/10.1056/NEJMsa022615</w:t>
              </w:r>
            </w:hyperlink>
            <w:r w:rsidR="00F52928">
              <w:rPr>
                <w:rStyle w:val="Hyperlink"/>
                <w:rFonts w:ascii="Garamond" w:hAnsi="Garamond"/>
                <w:color w:val="auto"/>
                <w:u w:val="none"/>
                <w:lang w:val="en-AU"/>
              </w:rPr>
              <w:t>)</w:t>
            </w:r>
            <w:r w:rsidR="007A0A84">
              <w:rPr>
                <w:rStyle w:val="Hyperlink"/>
                <w:rFonts w:ascii="Garamond" w:hAnsi="Garamond"/>
                <w:color w:val="auto"/>
                <w:u w:val="none"/>
                <w:lang w:val="en-AU"/>
              </w:rPr>
              <w:t xml:space="preserve"> </w:t>
            </w:r>
            <w:r w:rsidR="00F52928">
              <w:rPr>
                <w:rStyle w:val="Hyperlink"/>
                <w:rFonts w:ascii="Garamond" w:hAnsi="Garamond"/>
                <w:color w:val="auto"/>
                <w:u w:val="none"/>
                <w:lang w:val="en-AU"/>
              </w:rPr>
              <w:t xml:space="preserve">reflect on the issues of quality and measurement. The commentary is a response to </w:t>
            </w:r>
            <w:r w:rsidR="008C1E7A">
              <w:rPr>
                <w:rStyle w:val="Hyperlink"/>
                <w:rFonts w:ascii="Garamond" w:hAnsi="Garamond"/>
                <w:color w:val="auto"/>
                <w:u w:val="none"/>
                <w:lang w:val="en-AU"/>
              </w:rPr>
              <w:t xml:space="preserve">Levine et al’s </w:t>
            </w:r>
            <w:r w:rsidR="00F52928" w:rsidRPr="00F52928">
              <w:rPr>
                <w:rStyle w:val="Hyperlink"/>
                <w:rFonts w:ascii="Garamond" w:hAnsi="Garamond"/>
                <w:color w:val="auto"/>
                <w:u w:val="none"/>
                <w:lang w:val="en-AU"/>
              </w:rPr>
              <w:t>‘The Quality of Outpatient Care Delivered to Adults in the United States, 2002 to 2013’</w:t>
            </w:r>
            <w:r w:rsidR="008C1E7A">
              <w:rPr>
                <w:rStyle w:val="Hyperlink"/>
                <w:rFonts w:ascii="Garamond" w:hAnsi="Garamond"/>
                <w:color w:val="auto"/>
                <w:u w:val="none"/>
                <w:lang w:val="en-AU"/>
              </w:rPr>
              <w:t xml:space="preserve">. This newer paper used a smaller range of indicators </w:t>
            </w:r>
            <w:r w:rsidR="001C6360">
              <w:rPr>
                <w:rStyle w:val="Hyperlink"/>
                <w:rFonts w:ascii="Garamond" w:hAnsi="Garamond"/>
                <w:color w:val="auto"/>
                <w:u w:val="none"/>
                <w:lang w:val="en-AU"/>
              </w:rPr>
              <w:t xml:space="preserve">than the 2003 study </w:t>
            </w:r>
            <w:r w:rsidR="008C1E7A">
              <w:rPr>
                <w:rStyle w:val="Hyperlink"/>
                <w:rFonts w:ascii="Garamond" w:hAnsi="Garamond"/>
                <w:color w:val="auto"/>
                <w:u w:val="none"/>
                <w:lang w:val="en-AU"/>
              </w:rPr>
              <w:t>and concluded that “</w:t>
            </w:r>
            <w:r w:rsidR="008C1E7A" w:rsidRPr="008C1E7A">
              <w:rPr>
                <w:rStyle w:val="Hyperlink"/>
                <w:rFonts w:ascii="Garamond" w:hAnsi="Garamond"/>
                <w:color w:val="auto"/>
                <w:u w:val="none"/>
                <w:lang w:val="en-AU"/>
              </w:rPr>
              <w:t>Despite more than a decade of efforts, the clinical quality of</w:t>
            </w:r>
            <w:r w:rsidR="008C1E7A">
              <w:rPr>
                <w:rStyle w:val="Hyperlink"/>
                <w:rFonts w:ascii="Garamond" w:hAnsi="Garamond"/>
                <w:color w:val="auto"/>
                <w:u w:val="none"/>
                <w:lang w:val="en-AU"/>
              </w:rPr>
              <w:t xml:space="preserve"> </w:t>
            </w:r>
            <w:r w:rsidR="008C1E7A" w:rsidRPr="008C1E7A">
              <w:rPr>
                <w:rStyle w:val="Hyperlink"/>
                <w:rFonts w:ascii="Garamond" w:hAnsi="Garamond"/>
                <w:color w:val="auto"/>
                <w:u w:val="none"/>
                <w:lang w:val="en-AU"/>
              </w:rPr>
              <w:t>outpatient care delivered to American adults has not consistently improved. Patient</w:t>
            </w:r>
            <w:r w:rsidR="008C1E7A">
              <w:rPr>
                <w:rStyle w:val="Hyperlink"/>
                <w:rFonts w:ascii="Garamond" w:hAnsi="Garamond"/>
                <w:color w:val="auto"/>
                <w:u w:val="none"/>
                <w:lang w:val="en-AU"/>
              </w:rPr>
              <w:t xml:space="preserve"> </w:t>
            </w:r>
            <w:r w:rsidR="008C1E7A" w:rsidRPr="008C1E7A">
              <w:rPr>
                <w:rStyle w:val="Hyperlink"/>
                <w:rFonts w:ascii="Garamond" w:hAnsi="Garamond"/>
                <w:color w:val="auto"/>
                <w:u w:val="none"/>
                <w:lang w:val="en-AU"/>
              </w:rPr>
              <w:t>experience has improved. Deficits in care continue to pose serious hazards to the health of</w:t>
            </w:r>
            <w:r w:rsidR="008C1E7A">
              <w:rPr>
                <w:rStyle w:val="Hyperlink"/>
                <w:rFonts w:ascii="Garamond" w:hAnsi="Garamond"/>
                <w:color w:val="auto"/>
                <w:u w:val="none"/>
                <w:lang w:val="en-AU"/>
              </w:rPr>
              <w:t xml:space="preserve"> </w:t>
            </w:r>
            <w:r w:rsidR="008C1E7A" w:rsidRPr="008C1E7A">
              <w:rPr>
                <w:rStyle w:val="Hyperlink"/>
                <w:rFonts w:ascii="Garamond" w:hAnsi="Garamond"/>
                <w:color w:val="auto"/>
                <w:u w:val="none"/>
                <w:lang w:val="en-AU"/>
              </w:rPr>
              <w:t>the American public.</w:t>
            </w:r>
            <w:r w:rsidR="008C1E7A">
              <w:rPr>
                <w:rStyle w:val="Hyperlink"/>
                <w:rFonts w:ascii="Garamond" w:hAnsi="Garamond"/>
                <w:color w:val="auto"/>
                <w:u w:val="none"/>
                <w:lang w:val="en-AU"/>
              </w:rPr>
              <w:t>”</w:t>
            </w:r>
          </w:p>
          <w:p w:rsidR="008775DF" w:rsidRDefault="008C1E7A" w:rsidP="008C1E7A">
            <w:pPr>
              <w:rPr>
                <w:rStyle w:val="Hyperlink"/>
                <w:rFonts w:ascii="Garamond" w:hAnsi="Garamond"/>
                <w:color w:val="auto"/>
                <w:u w:val="none"/>
                <w:lang w:val="en-AU"/>
              </w:rPr>
            </w:pPr>
            <w:r>
              <w:rPr>
                <w:rStyle w:val="Hyperlink"/>
                <w:rFonts w:ascii="Garamond" w:hAnsi="Garamond"/>
                <w:color w:val="auto"/>
                <w:u w:val="none"/>
                <w:lang w:val="en-AU"/>
              </w:rPr>
              <w:t>McGlynn and colleagues ma</w:t>
            </w:r>
            <w:r w:rsidR="001C6360">
              <w:rPr>
                <w:rStyle w:val="Hyperlink"/>
                <w:rFonts w:ascii="Garamond" w:hAnsi="Garamond"/>
                <w:color w:val="auto"/>
                <w:u w:val="none"/>
                <w:lang w:val="en-AU"/>
              </w:rPr>
              <w:t>d</w:t>
            </w:r>
            <w:r>
              <w:rPr>
                <w:rStyle w:val="Hyperlink"/>
                <w:rFonts w:ascii="Garamond" w:hAnsi="Garamond"/>
                <w:color w:val="auto"/>
                <w:u w:val="none"/>
                <w:lang w:val="en-AU"/>
              </w:rPr>
              <w:t>e a number of observations</w:t>
            </w:r>
            <w:r w:rsidR="001C6360">
              <w:rPr>
                <w:rStyle w:val="Hyperlink"/>
                <w:rFonts w:ascii="Garamond" w:hAnsi="Garamond"/>
                <w:color w:val="auto"/>
                <w:u w:val="none"/>
                <w:lang w:val="en-AU"/>
              </w:rPr>
              <w:t xml:space="preserve"> about the newer study but also more broadly</w:t>
            </w:r>
            <w:r>
              <w:rPr>
                <w:rStyle w:val="Hyperlink"/>
                <w:rFonts w:ascii="Garamond" w:hAnsi="Garamond"/>
                <w:color w:val="auto"/>
                <w:u w:val="none"/>
                <w:lang w:val="en-AU"/>
              </w:rPr>
              <w:t>, including:</w:t>
            </w:r>
          </w:p>
          <w:p w:rsidR="008C1E7A" w:rsidRPr="00D64A4A" w:rsidRDefault="008C1E7A" w:rsidP="00D64A4A">
            <w:pPr>
              <w:pStyle w:val="ListParagraph"/>
              <w:numPr>
                <w:ilvl w:val="0"/>
                <w:numId w:val="38"/>
              </w:numPr>
              <w:rPr>
                <w:rStyle w:val="Hyperlink"/>
                <w:rFonts w:ascii="Garamond" w:hAnsi="Garamond"/>
                <w:color w:val="auto"/>
                <w:u w:val="none"/>
                <w:lang w:val="en-AU"/>
              </w:rPr>
            </w:pPr>
            <w:r w:rsidRPr="00D64A4A">
              <w:rPr>
                <w:rStyle w:val="Hyperlink"/>
                <w:rFonts w:ascii="Garamond" w:hAnsi="Garamond"/>
                <w:color w:val="auto"/>
                <w:u w:val="none"/>
                <w:lang w:val="en-AU"/>
              </w:rPr>
              <w:t>“Measurement combined with public reporting can draw attention to particular areas of concern and stimulate improvement efforts, but measurement in the absence of other changes will not produce results.”</w:t>
            </w:r>
          </w:p>
          <w:p w:rsidR="008C1E7A" w:rsidRPr="00D64A4A" w:rsidRDefault="00D64A4A" w:rsidP="00D64A4A">
            <w:pPr>
              <w:pStyle w:val="ListParagraph"/>
              <w:numPr>
                <w:ilvl w:val="0"/>
                <w:numId w:val="38"/>
              </w:numPr>
              <w:rPr>
                <w:rStyle w:val="Hyperlink"/>
                <w:rFonts w:ascii="Garamond" w:hAnsi="Garamond"/>
                <w:color w:val="auto"/>
                <w:u w:val="none"/>
                <w:lang w:val="en-AU"/>
              </w:rPr>
            </w:pPr>
            <w:r w:rsidRPr="00D64A4A">
              <w:rPr>
                <w:rStyle w:val="Hyperlink"/>
                <w:rFonts w:ascii="Garamond" w:hAnsi="Garamond"/>
                <w:color w:val="auto"/>
                <w:u w:val="none"/>
                <w:lang w:val="en-AU"/>
              </w:rPr>
              <w:t>“Health care systems that have achieved substantial and sustained improvements in health care quality have devoted time, people, and resources to creating more reliable systems. High-performing systems require leadership that sets priorities and creates a culture committed to continuous improvement, engagement of all members of the health services delivery team, capacity building that enables staff to execute plans effectively and consistently, and a mechanism for ongoing learning from efforts to improve care at all levels.”</w:t>
            </w:r>
          </w:p>
          <w:p w:rsidR="00D64A4A" w:rsidRPr="00D64A4A" w:rsidRDefault="00D64A4A" w:rsidP="00D64A4A">
            <w:pPr>
              <w:pStyle w:val="ListParagraph"/>
              <w:numPr>
                <w:ilvl w:val="0"/>
                <w:numId w:val="38"/>
              </w:numPr>
              <w:rPr>
                <w:rStyle w:val="Hyperlink"/>
                <w:rFonts w:ascii="Garamond" w:hAnsi="Garamond"/>
                <w:color w:val="auto"/>
                <w:u w:val="none"/>
                <w:lang w:val="en-AU"/>
              </w:rPr>
            </w:pPr>
            <w:r w:rsidRPr="00D64A4A">
              <w:rPr>
                <w:rStyle w:val="Hyperlink"/>
                <w:rFonts w:ascii="Garamond" w:hAnsi="Garamond"/>
                <w:color w:val="auto"/>
                <w:u w:val="none"/>
                <w:lang w:val="en-AU"/>
              </w:rPr>
              <w:t>“We need to find a more effective way to transform the delivery of health care so that physicians and patients can achieve the outcome that both desire. This will be hard work and will require engagement on the ground and not simply exhortations from those paying the bills.”</w:t>
            </w:r>
          </w:p>
        </w:tc>
      </w:tr>
    </w:tbl>
    <w:p w:rsidR="00452EE3" w:rsidRDefault="00452EE3" w:rsidP="00452EE3">
      <w:pPr>
        <w:rPr>
          <w:rFonts w:ascii="Garamond" w:hAnsi="Garamond"/>
          <w:lang w:val="en-AU"/>
        </w:rPr>
      </w:pPr>
    </w:p>
    <w:p w:rsidR="00E26FDC" w:rsidRPr="00DB584A" w:rsidRDefault="00E26FDC" w:rsidP="00E26FDC">
      <w:pPr>
        <w:keepNext/>
        <w:keepLines/>
        <w:autoSpaceDE w:val="0"/>
        <w:autoSpaceDN w:val="0"/>
        <w:adjustRightInd w:val="0"/>
        <w:rPr>
          <w:rFonts w:ascii="Garamond" w:hAnsi="Garamond"/>
          <w:i/>
          <w:lang w:val="en-AU"/>
        </w:rPr>
      </w:pPr>
      <w:r w:rsidRPr="00DB584A">
        <w:rPr>
          <w:rFonts w:ascii="Garamond" w:hAnsi="Garamond"/>
          <w:i/>
          <w:lang w:val="en-AU"/>
        </w:rPr>
        <w:t>Health Affairs</w:t>
      </w:r>
    </w:p>
    <w:p w:rsidR="00E26FDC" w:rsidRPr="006C05BC" w:rsidRDefault="00E26FDC" w:rsidP="00E26FDC">
      <w:pPr>
        <w:keepNext/>
        <w:keepLines/>
        <w:autoSpaceDE w:val="0"/>
        <w:autoSpaceDN w:val="0"/>
        <w:adjustRightInd w:val="0"/>
        <w:rPr>
          <w:rFonts w:ascii="Garamond" w:hAnsi="Garamond"/>
          <w:lang w:val="en-AU"/>
        </w:rPr>
      </w:pPr>
      <w:r w:rsidRPr="006C05BC">
        <w:rPr>
          <w:rFonts w:ascii="Garamond" w:hAnsi="Garamond"/>
          <w:lang w:val="en-AU"/>
        </w:rPr>
        <w:t xml:space="preserve">1 </w:t>
      </w:r>
      <w:r>
        <w:rPr>
          <w:rFonts w:ascii="Garamond" w:hAnsi="Garamond"/>
          <w:lang w:val="en-AU"/>
        </w:rPr>
        <w:t>Decem</w:t>
      </w:r>
      <w:r w:rsidRPr="006C05BC">
        <w:rPr>
          <w:rFonts w:ascii="Garamond" w:hAnsi="Garamond"/>
          <w:lang w:val="en-AU"/>
        </w:rPr>
        <w:t xml:space="preserve">ber 2016; Vol. 35, No. </w:t>
      </w:r>
      <w:r>
        <w:rPr>
          <w:rFonts w:ascii="Garamond" w:hAnsi="Garamond"/>
          <w:lang w:val="en-AU"/>
        </w:rPr>
        <w:t>12</w:t>
      </w:r>
    </w:p>
    <w:tbl>
      <w:tblPr>
        <w:tblStyle w:val="TableGrid"/>
        <w:tblW w:w="0" w:type="auto"/>
        <w:tblInd w:w="288" w:type="dxa"/>
        <w:tblLayout w:type="fixed"/>
        <w:tblLook w:val="01E0" w:firstRow="1" w:lastRow="1" w:firstColumn="1" w:lastColumn="1" w:noHBand="0" w:noVBand="0"/>
      </w:tblPr>
      <w:tblGrid>
        <w:gridCol w:w="1080"/>
        <w:gridCol w:w="8280"/>
      </w:tblGrid>
      <w:tr w:rsidR="00E26FDC" w:rsidRPr="006C05BC" w:rsidTr="001922B2">
        <w:tc>
          <w:tcPr>
            <w:tcW w:w="1080" w:type="dxa"/>
            <w:tcBorders>
              <w:top w:val="single" w:sz="4" w:space="0" w:color="auto"/>
              <w:left w:val="single" w:sz="4" w:space="0" w:color="auto"/>
              <w:bottom w:val="single" w:sz="4" w:space="0" w:color="auto"/>
              <w:right w:val="single" w:sz="4" w:space="0" w:color="auto"/>
            </w:tcBorders>
            <w:vAlign w:val="center"/>
          </w:tcPr>
          <w:p w:rsidR="00E26FDC" w:rsidRPr="006C05BC" w:rsidRDefault="00E26FDC" w:rsidP="001922B2">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6FDC" w:rsidRPr="006C05BC" w:rsidRDefault="003C6FFA" w:rsidP="001922B2">
            <w:pPr>
              <w:shd w:val="clear" w:color="auto" w:fill="FFFFFF"/>
              <w:rPr>
                <w:rStyle w:val="Hyperlink"/>
                <w:rFonts w:ascii="Garamond" w:hAnsi="Garamond"/>
                <w:color w:val="auto"/>
                <w:u w:val="none"/>
              </w:rPr>
            </w:pPr>
            <w:hyperlink r:id="rId32" w:history="1">
              <w:r w:rsidR="00E26FDC" w:rsidRPr="007C321B">
                <w:rPr>
                  <w:rStyle w:val="Hyperlink"/>
                  <w:rFonts w:ascii="Garamond" w:hAnsi="Garamond"/>
                </w:rPr>
                <w:t>http://content.healthaffairs.org/content/35/12.toc</w:t>
              </w:r>
            </w:hyperlink>
          </w:p>
        </w:tc>
      </w:tr>
      <w:tr w:rsidR="00E26FDC" w:rsidRPr="006C05BC" w:rsidTr="001922B2">
        <w:tc>
          <w:tcPr>
            <w:tcW w:w="1080" w:type="dxa"/>
            <w:tcBorders>
              <w:top w:val="single" w:sz="4" w:space="0" w:color="auto"/>
              <w:left w:val="single" w:sz="4" w:space="0" w:color="auto"/>
              <w:bottom w:val="single" w:sz="4" w:space="0" w:color="auto"/>
              <w:right w:val="single" w:sz="4" w:space="0" w:color="auto"/>
            </w:tcBorders>
            <w:vAlign w:val="center"/>
          </w:tcPr>
          <w:p w:rsidR="00E26FDC" w:rsidRPr="006C05BC" w:rsidRDefault="00E26FDC" w:rsidP="001922B2">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6FDC" w:rsidRPr="006C05BC" w:rsidRDefault="00E26FDC" w:rsidP="001922B2">
            <w:pPr>
              <w:rPr>
                <w:rFonts w:ascii="Garamond" w:hAnsi="Garamond"/>
                <w:lang w:val="en-AU" w:eastAsia="en-AU"/>
              </w:rPr>
            </w:pPr>
            <w:r w:rsidRPr="006C05BC">
              <w:rPr>
                <w:rFonts w:ascii="Garamond" w:hAnsi="Garamond"/>
                <w:lang w:val="en-AU" w:eastAsia="en-AU"/>
              </w:rPr>
              <w:t xml:space="preserve">A new issue of </w:t>
            </w:r>
            <w:r w:rsidRPr="006C05BC">
              <w:rPr>
                <w:rFonts w:ascii="Garamond" w:hAnsi="Garamond"/>
                <w:i/>
                <w:lang w:val="en-AU"/>
              </w:rPr>
              <w:t>Health Affairs</w:t>
            </w:r>
            <w:r w:rsidRPr="006C05BC">
              <w:rPr>
                <w:rFonts w:ascii="Garamond" w:hAnsi="Garamond"/>
                <w:lang w:val="en-AU" w:eastAsia="en-AU"/>
              </w:rPr>
              <w:t xml:space="preserve"> has been published. This issue has the theme ‘</w:t>
            </w:r>
            <w:r w:rsidRPr="00E26FDC">
              <w:rPr>
                <w:rFonts w:ascii="Garamond" w:hAnsi="Garamond"/>
                <w:lang w:val="en-AU" w:eastAsia="en-AU"/>
              </w:rPr>
              <w:t>Oral Health &amp; More</w:t>
            </w:r>
            <w:r w:rsidRPr="006C05BC">
              <w:rPr>
                <w:rFonts w:ascii="Garamond" w:hAnsi="Garamond"/>
                <w:lang w:val="en-AU" w:eastAsia="en-AU"/>
              </w:rPr>
              <w:t xml:space="preserve">’. Articles in this issue of </w:t>
            </w:r>
            <w:r w:rsidRPr="006C05BC">
              <w:rPr>
                <w:rFonts w:ascii="Garamond" w:hAnsi="Garamond"/>
                <w:i/>
                <w:lang w:val="en-AU"/>
              </w:rPr>
              <w:t>Health Affairs</w:t>
            </w:r>
            <w:r w:rsidRPr="006C05BC">
              <w:rPr>
                <w:rFonts w:ascii="Garamond" w:hAnsi="Garamond"/>
                <w:lang w:val="en-AU" w:eastAsia="en-AU"/>
              </w:rPr>
              <w:t xml:space="preserve"> include:</w:t>
            </w:r>
          </w:p>
          <w:p w:rsidR="00E26FDC" w:rsidRPr="00E26FDC" w:rsidRDefault="00E26FDC" w:rsidP="00E26FDC">
            <w:pPr>
              <w:pStyle w:val="ListParagraph"/>
              <w:numPr>
                <w:ilvl w:val="0"/>
                <w:numId w:val="35"/>
              </w:numPr>
              <w:rPr>
                <w:rFonts w:ascii="Garamond" w:hAnsi="Garamond"/>
                <w:lang w:val="en-AU" w:eastAsia="en-AU"/>
              </w:rPr>
            </w:pPr>
            <w:r w:rsidRPr="00AC5352">
              <w:rPr>
                <w:rFonts w:ascii="Garamond" w:hAnsi="Garamond"/>
                <w:b/>
                <w:lang w:val="en-AU" w:eastAsia="en-AU"/>
              </w:rPr>
              <w:t>Oral Health</w:t>
            </w:r>
            <w:r w:rsidRPr="00E26FDC">
              <w:rPr>
                <w:rFonts w:ascii="Garamond" w:hAnsi="Garamond"/>
                <w:lang w:val="en-AU" w:eastAsia="en-AU"/>
              </w:rPr>
              <w:t xml:space="preserve"> (Alan R Weil</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Seeking </w:t>
            </w:r>
            <w:r w:rsidRPr="00AC5352">
              <w:rPr>
                <w:rFonts w:ascii="Garamond" w:hAnsi="Garamond"/>
                <w:b/>
                <w:lang w:val="en-AU" w:eastAsia="en-AU"/>
              </w:rPr>
              <w:t>Dental Care For Older Americans</w:t>
            </w:r>
            <w:r w:rsidRPr="00E26FDC">
              <w:rPr>
                <w:rFonts w:ascii="Garamond" w:hAnsi="Garamond"/>
                <w:lang w:val="en-AU" w:eastAsia="en-AU"/>
              </w:rPr>
              <w:t xml:space="preserve"> (Susan Jaffe</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The </w:t>
            </w:r>
            <w:r w:rsidRPr="00AC5352">
              <w:rPr>
                <w:rFonts w:ascii="Garamond" w:hAnsi="Garamond"/>
                <w:b/>
                <w:lang w:val="en-AU" w:eastAsia="en-AU"/>
              </w:rPr>
              <w:t>Dental–Medical Divide</w:t>
            </w:r>
            <w:r w:rsidRPr="00E26FDC">
              <w:rPr>
                <w:rFonts w:ascii="Garamond" w:hAnsi="Garamond"/>
                <w:lang w:val="en-AU" w:eastAsia="en-AU"/>
              </w:rPr>
              <w:t xml:space="preserve"> (Elizabeth A Mertz</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AC5352">
              <w:rPr>
                <w:rFonts w:ascii="Garamond" w:hAnsi="Garamond"/>
                <w:b/>
                <w:lang w:val="en-AU" w:eastAsia="en-AU"/>
              </w:rPr>
              <w:t>Dental Care</w:t>
            </w:r>
            <w:r w:rsidRPr="00E26FDC">
              <w:rPr>
                <w:rFonts w:ascii="Garamond" w:hAnsi="Garamond"/>
                <w:lang w:val="en-AU" w:eastAsia="en-AU"/>
              </w:rPr>
              <w:t xml:space="preserve"> Presents The Highest Level Of </w:t>
            </w:r>
            <w:r w:rsidRPr="00AC5352">
              <w:rPr>
                <w:rFonts w:ascii="Garamond" w:hAnsi="Garamond"/>
                <w:b/>
                <w:lang w:val="en-AU" w:eastAsia="en-AU"/>
              </w:rPr>
              <w:t>Financial Barriers</w:t>
            </w:r>
            <w:r w:rsidRPr="00E26FDC">
              <w:rPr>
                <w:rFonts w:ascii="Garamond" w:hAnsi="Garamond"/>
                <w:lang w:val="en-AU" w:eastAsia="en-AU"/>
              </w:rPr>
              <w:t>, Compared To Other Types Of Health Care Services (Marko Vujicic, Thomas Buchmueller, and Rachel Klein</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lastRenderedPageBreak/>
              <w:t xml:space="preserve">Projections Of </w:t>
            </w:r>
            <w:r w:rsidRPr="00AC5352">
              <w:rPr>
                <w:rFonts w:ascii="Garamond" w:hAnsi="Garamond"/>
                <w:b/>
                <w:lang w:val="en-AU" w:eastAsia="en-AU"/>
              </w:rPr>
              <w:t>Dental Care Use</w:t>
            </w:r>
            <w:r w:rsidRPr="00E26FDC">
              <w:rPr>
                <w:rFonts w:ascii="Garamond" w:hAnsi="Garamond"/>
                <w:lang w:val="en-AU" w:eastAsia="en-AU"/>
              </w:rPr>
              <w:t xml:space="preserve"> Through 2026: Preventive Care To Increase While Treatment Will Decline (C D Meyerhoefer, I Panovska, and R J Manski</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AC5352">
              <w:rPr>
                <w:rFonts w:ascii="Garamond" w:hAnsi="Garamond"/>
                <w:b/>
                <w:lang w:val="en-AU" w:eastAsia="en-AU"/>
              </w:rPr>
              <w:t>Underrepresented Minority Dentists</w:t>
            </w:r>
            <w:r w:rsidRPr="00E26FDC">
              <w:rPr>
                <w:rFonts w:ascii="Garamond" w:hAnsi="Garamond"/>
                <w:lang w:val="en-AU" w:eastAsia="en-AU"/>
              </w:rPr>
              <w:t>: Quantifying Their Numbers And Characterizing The Communities They Serve (Elizabeth A</w:t>
            </w:r>
            <w:r>
              <w:rPr>
                <w:rFonts w:ascii="Garamond" w:hAnsi="Garamond"/>
                <w:lang w:val="en-AU" w:eastAsia="en-AU"/>
              </w:rPr>
              <w:t xml:space="preserve"> Mertz, Cynthia D</w:t>
            </w:r>
            <w:r w:rsidRPr="00E26FDC">
              <w:rPr>
                <w:rFonts w:ascii="Garamond" w:hAnsi="Garamond"/>
                <w:lang w:val="en-AU" w:eastAsia="en-AU"/>
              </w:rPr>
              <w:t xml:space="preserve"> Wides, Aubri M Kotte</w:t>
            </w:r>
            <w:r>
              <w:rPr>
                <w:rFonts w:ascii="Garamond" w:hAnsi="Garamond"/>
                <w:lang w:val="en-AU" w:eastAsia="en-AU"/>
              </w:rPr>
              <w:t>k, Jean Marie Calvo, and Paul E</w:t>
            </w:r>
            <w:r w:rsidRPr="00E26FDC">
              <w:rPr>
                <w:rFonts w:ascii="Garamond" w:hAnsi="Garamond"/>
                <w:lang w:val="en-AU" w:eastAsia="en-AU"/>
              </w:rPr>
              <w:t xml:space="preserve"> Gates</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Expanding Where Dental Therapists Can Practice Could Increase Americans’ </w:t>
            </w:r>
            <w:r w:rsidRPr="00AC5352">
              <w:rPr>
                <w:rFonts w:ascii="Garamond" w:hAnsi="Garamond"/>
                <w:b/>
                <w:lang w:val="en-AU" w:eastAsia="en-AU"/>
              </w:rPr>
              <w:t>Access To Cost-Efficient Care</w:t>
            </w:r>
            <w:r w:rsidRPr="00E26FDC">
              <w:rPr>
                <w:rFonts w:ascii="Garamond" w:hAnsi="Garamond"/>
                <w:lang w:val="en-AU" w:eastAsia="en-AU"/>
              </w:rPr>
              <w:t xml:space="preserve"> (J Koppelman, K Vitzthum, and L Simon</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Expanded </w:t>
            </w:r>
            <w:r w:rsidRPr="00AC5352">
              <w:rPr>
                <w:rFonts w:ascii="Garamond" w:hAnsi="Garamond"/>
                <w:b/>
                <w:lang w:val="en-AU" w:eastAsia="en-AU"/>
              </w:rPr>
              <w:t xml:space="preserve">Scopes Of Practice </w:t>
            </w:r>
            <w:r w:rsidRPr="00AC5352">
              <w:rPr>
                <w:rFonts w:ascii="Garamond" w:hAnsi="Garamond"/>
                <w:lang w:val="en-AU" w:eastAsia="en-AU"/>
              </w:rPr>
              <w:t>For</w:t>
            </w:r>
            <w:r w:rsidRPr="00AC5352">
              <w:rPr>
                <w:rFonts w:ascii="Garamond" w:hAnsi="Garamond"/>
                <w:b/>
                <w:lang w:val="en-AU" w:eastAsia="en-AU"/>
              </w:rPr>
              <w:t xml:space="preserve"> Dental Hygienists</w:t>
            </w:r>
            <w:r w:rsidRPr="00E26FDC">
              <w:rPr>
                <w:rFonts w:ascii="Garamond" w:hAnsi="Garamond"/>
                <w:lang w:val="en-AU" w:eastAsia="en-AU"/>
              </w:rPr>
              <w:t xml:space="preserve"> Associated With Improved Oral Health Outcomes For Adults (Margaret Langelier, Tracey Continelli, Jean Moore, Bridget Baker, and Simona Surdu</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Costs And Savings Associated With </w:t>
            </w:r>
            <w:r w:rsidRPr="00AC5352">
              <w:rPr>
                <w:rFonts w:ascii="Garamond" w:hAnsi="Garamond"/>
                <w:b/>
                <w:lang w:val="en-AU" w:eastAsia="en-AU"/>
              </w:rPr>
              <w:t>Community Water Fluoridation</w:t>
            </w:r>
            <w:r w:rsidRPr="00E26FDC">
              <w:rPr>
                <w:rFonts w:ascii="Garamond" w:hAnsi="Garamond"/>
                <w:lang w:val="en-AU" w:eastAsia="en-AU"/>
              </w:rPr>
              <w:t xml:space="preserve"> In The United States (Joan O’Connell, J R</w:t>
            </w:r>
            <w:r>
              <w:rPr>
                <w:rFonts w:ascii="Garamond" w:hAnsi="Garamond"/>
                <w:lang w:val="en-AU" w:eastAsia="en-AU"/>
              </w:rPr>
              <w:t>ockell, J Ouellet, S L</w:t>
            </w:r>
            <w:r w:rsidRPr="00E26FDC">
              <w:rPr>
                <w:rFonts w:ascii="Garamond" w:hAnsi="Garamond"/>
                <w:lang w:val="en-AU" w:eastAsia="en-AU"/>
              </w:rPr>
              <w:t xml:space="preserve"> Tomar, and W Maas</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AC5352">
              <w:rPr>
                <w:rFonts w:ascii="Garamond" w:hAnsi="Garamond"/>
                <w:b/>
                <w:lang w:val="en-AU" w:eastAsia="en-AU"/>
              </w:rPr>
              <w:t>School-Based Dental Sealant Programs</w:t>
            </w:r>
            <w:r w:rsidRPr="00E26FDC">
              <w:rPr>
                <w:rFonts w:ascii="Garamond" w:hAnsi="Garamond"/>
                <w:lang w:val="en-AU" w:eastAsia="en-AU"/>
              </w:rPr>
              <w:t xml:space="preserve"> Prevent Cavities And Are Cost-Effective (Susan Griffin, Shillpa Naav</w:t>
            </w:r>
            <w:r>
              <w:rPr>
                <w:rFonts w:ascii="Garamond" w:hAnsi="Garamond"/>
                <w:lang w:val="en-AU" w:eastAsia="en-AU"/>
              </w:rPr>
              <w:t>aal, Christina Scherrer, Paul M</w:t>
            </w:r>
            <w:r w:rsidRPr="00E26FDC">
              <w:rPr>
                <w:rFonts w:ascii="Garamond" w:hAnsi="Garamond"/>
                <w:lang w:val="en-AU" w:eastAsia="en-AU"/>
              </w:rPr>
              <w:t xml:space="preserve"> Griffin, Kate Harris, and Sajal Chattopadhyay</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AC5352">
              <w:rPr>
                <w:rFonts w:ascii="Garamond" w:hAnsi="Garamond"/>
                <w:b/>
                <w:lang w:val="en-AU" w:eastAsia="en-AU"/>
              </w:rPr>
              <w:t>Dental Care And Medicare Beneficiaries</w:t>
            </w:r>
            <w:r w:rsidRPr="00E26FDC">
              <w:rPr>
                <w:rFonts w:ascii="Garamond" w:hAnsi="Garamond"/>
                <w:lang w:val="en-AU" w:eastAsia="en-AU"/>
              </w:rPr>
              <w:t>: Access Gaps, Cost Burdens, And Policy Options (Amber Willink, Cathy Schoen, and Karen Davis</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Previous </w:t>
            </w:r>
            <w:r w:rsidRPr="00AC5352">
              <w:rPr>
                <w:rFonts w:ascii="Garamond" w:hAnsi="Garamond"/>
                <w:b/>
                <w:lang w:val="en-AU" w:eastAsia="en-AU"/>
              </w:rPr>
              <w:t>Medicaid Expansion</w:t>
            </w:r>
            <w:r w:rsidRPr="00E26FDC">
              <w:rPr>
                <w:rFonts w:ascii="Garamond" w:hAnsi="Garamond"/>
                <w:lang w:val="en-AU" w:eastAsia="en-AU"/>
              </w:rPr>
              <w:t xml:space="preserve"> May Have Had Lasting Positive Effects On </w:t>
            </w:r>
            <w:r w:rsidRPr="00AC5352">
              <w:rPr>
                <w:rFonts w:ascii="Garamond" w:hAnsi="Garamond"/>
                <w:b/>
                <w:lang w:val="en-AU" w:eastAsia="en-AU"/>
              </w:rPr>
              <w:t>Oral Health</w:t>
            </w:r>
            <w:r w:rsidRPr="00E26FDC">
              <w:rPr>
                <w:rFonts w:ascii="Garamond" w:hAnsi="Garamond"/>
                <w:lang w:val="en-AU" w:eastAsia="en-AU"/>
              </w:rPr>
              <w:t xml:space="preserve"> Of Non-Hispanic Black Children (Brandy J</w:t>
            </w:r>
            <w:r>
              <w:rPr>
                <w:rFonts w:ascii="Garamond" w:hAnsi="Garamond"/>
                <w:lang w:val="en-AU" w:eastAsia="en-AU"/>
              </w:rPr>
              <w:t xml:space="preserve"> Lipton, Laura R</w:t>
            </w:r>
            <w:r w:rsidRPr="00E26FDC">
              <w:rPr>
                <w:rFonts w:ascii="Garamond" w:hAnsi="Garamond"/>
                <w:lang w:val="en-AU" w:eastAsia="en-AU"/>
              </w:rPr>
              <w:t xml:space="preserve"> Wherry, Sarah Miller, Genevieve M Kenney, and Sandra Decker</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AC5352">
              <w:rPr>
                <w:rFonts w:ascii="Garamond" w:hAnsi="Garamond"/>
                <w:b/>
                <w:lang w:val="en-AU" w:eastAsia="en-AU"/>
              </w:rPr>
              <w:t>Medicaid</w:t>
            </w:r>
            <w:r w:rsidRPr="00E26FDC">
              <w:rPr>
                <w:rFonts w:ascii="Garamond" w:hAnsi="Garamond"/>
                <w:lang w:val="en-AU" w:eastAsia="en-AU"/>
              </w:rPr>
              <w:t xml:space="preserve"> Meets Its Equal Access Requirement For Dental Care, But </w:t>
            </w:r>
            <w:r w:rsidRPr="00AC5352">
              <w:rPr>
                <w:rFonts w:ascii="Garamond" w:hAnsi="Garamond"/>
                <w:b/>
                <w:lang w:val="en-AU" w:eastAsia="en-AU"/>
              </w:rPr>
              <w:t>Oral Health Disparities</w:t>
            </w:r>
            <w:r w:rsidRPr="00E26FDC">
              <w:rPr>
                <w:rFonts w:ascii="Garamond" w:hAnsi="Garamond"/>
                <w:lang w:val="en-AU" w:eastAsia="en-AU"/>
              </w:rPr>
              <w:t xml:space="preserve"> Remain (Jaffer A Shariff and Burton L Edelstein</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Many </w:t>
            </w:r>
            <w:r w:rsidRPr="009E66F3">
              <w:rPr>
                <w:rFonts w:ascii="Garamond" w:hAnsi="Garamond"/>
                <w:b/>
                <w:lang w:val="en-AU" w:eastAsia="en-AU"/>
              </w:rPr>
              <w:t>Mobile Health Apps</w:t>
            </w:r>
            <w:r w:rsidRPr="00E26FDC">
              <w:rPr>
                <w:rFonts w:ascii="Garamond" w:hAnsi="Garamond"/>
                <w:lang w:val="en-AU" w:eastAsia="en-AU"/>
              </w:rPr>
              <w:t xml:space="preserve"> Target High-Need, High-Cost Populations, But Gaps Remain (Karandeep Singh, Kaitlin Drouin, Lisa P Newmark, JaeHo Lee, A Faxvaag, R Rozenblum, E A Pabo, A Landman, E Klinger, and D W Bates</w:t>
            </w:r>
            <w:r>
              <w:rPr>
                <w:rFonts w:ascii="Garamond" w:hAnsi="Garamond"/>
                <w:lang w:val="en-AU" w:eastAsia="en-AU"/>
              </w:rPr>
              <w:t>)</w:t>
            </w:r>
          </w:p>
          <w:p w:rsidR="00E26FDC" w:rsidRPr="00E26FD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In New Survey Of Eleven Countries, US Adults Still Struggle With </w:t>
            </w:r>
            <w:r w:rsidRPr="009E66F3">
              <w:rPr>
                <w:rFonts w:ascii="Garamond" w:hAnsi="Garamond"/>
                <w:b/>
                <w:lang w:val="en-AU" w:eastAsia="en-AU"/>
              </w:rPr>
              <w:t>Access To And Affordability Of Health Care</w:t>
            </w:r>
            <w:r w:rsidRPr="00E26FDC">
              <w:rPr>
                <w:rFonts w:ascii="Garamond" w:hAnsi="Garamond"/>
                <w:lang w:val="en-AU" w:eastAsia="en-AU"/>
              </w:rPr>
              <w:t xml:space="preserve"> (Robin Osborn, David Squires, Michelle M Doty, Dana O Sarnak, and Eric C Schneider</w:t>
            </w:r>
            <w:r>
              <w:rPr>
                <w:rFonts w:ascii="Garamond" w:hAnsi="Garamond"/>
                <w:lang w:val="en-AU" w:eastAsia="en-AU"/>
              </w:rPr>
              <w:t>)</w:t>
            </w:r>
          </w:p>
          <w:p w:rsidR="00E26FDC" w:rsidRPr="006C05BC" w:rsidRDefault="00E26FDC" w:rsidP="00E26FDC">
            <w:pPr>
              <w:pStyle w:val="ListParagraph"/>
              <w:numPr>
                <w:ilvl w:val="0"/>
                <w:numId w:val="35"/>
              </w:numPr>
              <w:rPr>
                <w:rFonts w:ascii="Garamond" w:hAnsi="Garamond"/>
                <w:lang w:val="en-AU" w:eastAsia="en-AU"/>
              </w:rPr>
            </w:pPr>
            <w:r w:rsidRPr="00E26FDC">
              <w:rPr>
                <w:rFonts w:ascii="Garamond" w:hAnsi="Garamond"/>
                <w:lang w:val="en-AU" w:eastAsia="en-AU"/>
              </w:rPr>
              <w:t xml:space="preserve">Bridging The </w:t>
            </w:r>
            <w:r w:rsidRPr="009E66F3">
              <w:rPr>
                <w:rFonts w:ascii="Garamond" w:hAnsi="Garamond"/>
                <w:b/>
                <w:lang w:val="en-AU" w:eastAsia="en-AU"/>
              </w:rPr>
              <w:t>Divide Between Dental And Medical Care</w:t>
            </w:r>
            <w:r>
              <w:rPr>
                <w:rFonts w:ascii="Garamond" w:hAnsi="Garamond"/>
                <w:lang w:val="en-AU" w:eastAsia="en-AU"/>
              </w:rPr>
              <w:t xml:space="preserve"> (</w:t>
            </w:r>
            <w:r w:rsidRPr="00E26FDC">
              <w:rPr>
                <w:rFonts w:ascii="Garamond" w:hAnsi="Garamond"/>
                <w:lang w:val="en-AU" w:eastAsia="en-AU"/>
              </w:rPr>
              <w:t>Gayathri Subramanian</w:t>
            </w:r>
            <w:r>
              <w:rPr>
                <w:rFonts w:ascii="Garamond" w:hAnsi="Garamond"/>
                <w:lang w:val="en-AU" w:eastAsia="en-AU"/>
              </w:rPr>
              <w:t>)</w:t>
            </w:r>
          </w:p>
        </w:tc>
      </w:tr>
    </w:tbl>
    <w:p w:rsidR="00E26FDC" w:rsidRDefault="00E26FDC" w:rsidP="00E26FDC">
      <w:pPr>
        <w:rPr>
          <w:rFonts w:ascii="Garamond" w:hAnsi="Garamond"/>
          <w:lang w:val="en-AU" w:eastAsia="en-AU"/>
        </w:rPr>
      </w:pPr>
    </w:p>
    <w:p w:rsidR="005367E0" w:rsidRDefault="005367E0" w:rsidP="00E26FDC">
      <w:pPr>
        <w:rPr>
          <w:rFonts w:ascii="Garamond" w:hAnsi="Garamond"/>
          <w:lang w:val="en-AU" w:eastAsia="en-AU"/>
        </w:rPr>
      </w:pPr>
    </w:p>
    <w:p w:rsidR="00B02F6E" w:rsidRPr="000972CA" w:rsidRDefault="00B02F6E" w:rsidP="00BE027C">
      <w:pPr>
        <w:keepNext/>
        <w:rPr>
          <w:rFonts w:ascii="Garamond" w:hAnsi="Garamond"/>
          <w:lang w:val="en-AU"/>
        </w:rPr>
      </w:pPr>
      <w:r w:rsidRPr="000972CA">
        <w:rPr>
          <w:rFonts w:ascii="Garamond" w:hAnsi="Garamond"/>
          <w:i/>
          <w:lang w:val="en-AU"/>
        </w:rPr>
        <w:t xml:space="preserve">BMJ Quality and Safety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E027C">
            <w:pPr>
              <w:keepNext/>
              <w:rPr>
                <w:rFonts w:ascii="Garamond" w:hAnsi="Garamond"/>
                <w:lang w:val="en-AU"/>
              </w:rPr>
            </w:pPr>
            <w:r w:rsidRPr="000972C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3C6FFA" w:rsidP="00BE027C">
            <w:pPr>
              <w:keepNext/>
              <w:rPr>
                <w:rFonts w:ascii="Garamond" w:hAnsi="Garamond"/>
                <w:lang w:val="en-AU"/>
              </w:rPr>
            </w:pPr>
            <w:hyperlink r:id="rId33" w:history="1">
              <w:r w:rsidR="00B02F6E" w:rsidRPr="000972CA">
                <w:rPr>
                  <w:rStyle w:val="Hyperlink"/>
                  <w:rFonts w:ascii="Garamond" w:hAnsi="Garamond"/>
                  <w:lang w:val="en-AU"/>
                </w:rPr>
                <w:t>http://qualitysafety.bmj.com/content/early/recent</w:t>
              </w:r>
            </w:hyperlink>
          </w:p>
        </w:tc>
      </w:tr>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i/>
                <w:lang w:val="en-AU"/>
              </w:rPr>
              <w:t>BMJ Quality and Safety</w:t>
            </w:r>
            <w:r w:rsidRPr="000972CA">
              <w:rPr>
                <w:rFonts w:ascii="Garamond" w:hAnsi="Garamond"/>
                <w:lang w:val="en-AU"/>
              </w:rPr>
              <w:t xml:space="preserve"> has published a number of ‘online first’ articles, including:</w:t>
            </w:r>
          </w:p>
          <w:p w:rsidR="001319C3" w:rsidRPr="000972CA" w:rsidRDefault="00525530" w:rsidP="00525530">
            <w:pPr>
              <w:pStyle w:val="ListParagraph"/>
              <w:numPr>
                <w:ilvl w:val="0"/>
                <w:numId w:val="14"/>
              </w:numPr>
              <w:rPr>
                <w:rFonts w:ascii="Garamond" w:hAnsi="Garamond"/>
                <w:lang w:val="en-AU"/>
              </w:rPr>
            </w:pPr>
            <w:r w:rsidRPr="00525530">
              <w:rPr>
                <w:rStyle w:val="Hyperlink"/>
                <w:rFonts w:ascii="Garamond" w:hAnsi="Garamond"/>
                <w:color w:val="auto"/>
                <w:u w:val="none"/>
                <w:lang w:val="en-AU"/>
              </w:rPr>
              <w:t xml:space="preserve">What can a </w:t>
            </w:r>
            <w:r w:rsidRPr="00525530">
              <w:rPr>
                <w:rStyle w:val="Hyperlink"/>
                <w:rFonts w:ascii="Garamond" w:hAnsi="Garamond"/>
                <w:b/>
                <w:color w:val="auto"/>
                <w:u w:val="none"/>
                <w:lang w:val="en-AU"/>
              </w:rPr>
              <w:t>participatory</w:t>
            </w:r>
            <w:r w:rsidRPr="00525530">
              <w:rPr>
                <w:rStyle w:val="Hyperlink"/>
                <w:rFonts w:ascii="Garamond" w:hAnsi="Garamond"/>
                <w:color w:val="auto"/>
                <w:u w:val="none"/>
                <w:lang w:val="en-AU"/>
              </w:rPr>
              <w:t xml:space="preserve"> approach to </w:t>
            </w:r>
            <w:r w:rsidRPr="00525530">
              <w:rPr>
                <w:rStyle w:val="Hyperlink"/>
                <w:rFonts w:ascii="Garamond" w:hAnsi="Garamond"/>
                <w:b/>
                <w:color w:val="auto"/>
                <w:u w:val="none"/>
                <w:lang w:val="en-AU"/>
              </w:rPr>
              <w:t>evaluation</w:t>
            </w:r>
            <w:r w:rsidRPr="00525530">
              <w:rPr>
                <w:rStyle w:val="Hyperlink"/>
                <w:rFonts w:ascii="Garamond" w:hAnsi="Garamond"/>
                <w:color w:val="auto"/>
                <w:u w:val="none"/>
                <w:lang w:val="en-AU"/>
              </w:rPr>
              <w:t xml:space="preserve"> contribute to the field of </w:t>
            </w:r>
            <w:r w:rsidRPr="00525530">
              <w:rPr>
                <w:rStyle w:val="Hyperlink"/>
                <w:rFonts w:ascii="Garamond" w:hAnsi="Garamond"/>
                <w:b/>
                <w:color w:val="auto"/>
                <w:u w:val="none"/>
                <w:lang w:val="en-AU"/>
              </w:rPr>
              <w:t>integrated care</w:t>
            </w:r>
            <w:r w:rsidRPr="00525530">
              <w:rPr>
                <w:rStyle w:val="Hyperlink"/>
                <w:rFonts w:ascii="Garamond" w:hAnsi="Garamond"/>
                <w:color w:val="auto"/>
                <w:u w:val="none"/>
                <w:lang w:val="en-AU"/>
              </w:rPr>
              <w:t>?</w:t>
            </w:r>
            <w:r>
              <w:rPr>
                <w:rStyle w:val="Hyperlink"/>
                <w:rFonts w:ascii="Garamond" w:hAnsi="Garamond"/>
                <w:color w:val="auto"/>
                <w:u w:val="none"/>
                <w:lang w:val="en-AU"/>
              </w:rPr>
              <w:t xml:space="preserve"> (</w:t>
            </w:r>
            <w:r w:rsidRPr="00525530">
              <w:rPr>
                <w:rStyle w:val="Hyperlink"/>
                <w:rFonts w:ascii="Garamond" w:hAnsi="Garamond"/>
                <w:color w:val="auto"/>
                <w:u w:val="none"/>
                <w:lang w:val="en-AU"/>
              </w:rPr>
              <w:t>Laura Eyre, Michael Farrelly, Martin Marshall</w:t>
            </w:r>
            <w:r>
              <w:rPr>
                <w:rStyle w:val="Hyperlink"/>
                <w:rFonts w:ascii="Garamond" w:hAnsi="Garamond"/>
                <w:color w:val="auto"/>
                <w:u w:val="none"/>
                <w:lang w:val="en-AU"/>
              </w:rPr>
              <w:t>)</w:t>
            </w:r>
          </w:p>
        </w:tc>
      </w:tr>
    </w:tbl>
    <w:p w:rsidR="00025ED6" w:rsidRPr="000972CA" w:rsidRDefault="00025ED6" w:rsidP="00025ED6">
      <w:pPr>
        <w:keepLines/>
        <w:autoSpaceDE w:val="0"/>
        <w:autoSpaceDN w:val="0"/>
        <w:adjustRightInd w:val="0"/>
        <w:rPr>
          <w:rFonts w:ascii="Garamond" w:hAnsi="Garamond"/>
          <w:lang w:val="en-AU"/>
        </w:rPr>
      </w:pPr>
    </w:p>
    <w:p w:rsidR="006F2F21" w:rsidRPr="000972CA" w:rsidRDefault="006F2F21" w:rsidP="006F2F21">
      <w:pPr>
        <w:keepNext/>
        <w:rPr>
          <w:rFonts w:ascii="Garamond" w:hAnsi="Garamond"/>
          <w:lang w:val="en-AU"/>
        </w:rPr>
      </w:pPr>
      <w:r w:rsidRPr="000972CA">
        <w:rPr>
          <w:rFonts w:ascii="Garamond" w:hAnsi="Garamond"/>
          <w:i/>
          <w:lang w:val="en-AU"/>
        </w:rPr>
        <w:t xml:space="preserve">International Journal for Quality in Health Care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keepNext/>
              <w:rPr>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0972CA" w:rsidRDefault="003C6FFA" w:rsidP="003B2C28">
            <w:pPr>
              <w:keepNext/>
              <w:rPr>
                <w:rFonts w:ascii="Garamond" w:hAnsi="Garamond"/>
                <w:lang w:val="en-AU"/>
              </w:rPr>
            </w:pPr>
            <w:hyperlink r:id="rId34" w:history="1">
              <w:r w:rsidR="006F2F21" w:rsidRPr="000972CA">
                <w:rPr>
                  <w:rStyle w:val="Hyperlink"/>
                  <w:rFonts w:ascii="Garamond" w:hAnsi="Garamond"/>
                  <w:lang w:val="en-AU"/>
                </w:rPr>
                <w:t>http://intqhc.oxfordjournals.org/content/early/recent?papetoc</w:t>
              </w:r>
            </w:hyperlink>
          </w:p>
        </w:tc>
      </w:tr>
      <w:tr w:rsidR="006F2F21"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rPr>
                <w:rFonts w:ascii="Garamond" w:hAnsi="Garamond"/>
                <w:lang w:val="en-AU"/>
              </w:rPr>
            </w:pPr>
            <w:r w:rsidRPr="000972C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rPr>
                <w:rFonts w:ascii="Garamond" w:hAnsi="Garamond"/>
                <w:lang w:val="en-AU"/>
              </w:rPr>
            </w:pPr>
            <w:r w:rsidRPr="000972CA">
              <w:rPr>
                <w:rFonts w:ascii="Garamond" w:hAnsi="Garamond"/>
                <w:i/>
                <w:lang w:val="en-AU"/>
              </w:rPr>
              <w:t xml:space="preserve">International Journal for Quality in Health Care </w:t>
            </w:r>
            <w:r w:rsidRPr="000972CA">
              <w:rPr>
                <w:rFonts w:ascii="Garamond" w:hAnsi="Garamond"/>
                <w:lang w:val="en-AU"/>
              </w:rPr>
              <w:t>has published a number of ‘online first’ articles, including:</w:t>
            </w:r>
          </w:p>
          <w:p w:rsidR="001C6360" w:rsidRDefault="001C6360" w:rsidP="00693A7F">
            <w:pPr>
              <w:pStyle w:val="ListParagraph"/>
              <w:numPr>
                <w:ilvl w:val="0"/>
                <w:numId w:val="14"/>
              </w:numPr>
              <w:rPr>
                <w:rFonts w:ascii="Garamond" w:hAnsi="Garamond"/>
                <w:lang w:val="en-AU"/>
              </w:rPr>
            </w:pPr>
            <w:r w:rsidRPr="00693A7F">
              <w:rPr>
                <w:rFonts w:ascii="Garamond" w:hAnsi="Garamond"/>
                <w:lang w:val="en-AU"/>
              </w:rPr>
              <w:t xml:space="preserve">Between the flags: implementing a safety-net system at scale to </w:t>
            </w:r>
            <w:r w:rsidRPr="00E84EC1">
              <w:rPr>
                <w:rFonts w:ascii="Garamond" w:hAnsi="Garamond"/>
                <w:b/>
                <w:lang w:val="en-AU"/>
              </w:rPr>
              <w:t>recognise and manage deteriorating patients</w:t>
            </w:r>
            <w:r w:rsidRPr="00693A7F">
              <w:rPr>
                <w:rFonts w:ascii="Garamond" w:hAnsi="Garamond"/>
                <w:lang w:val="en-AU"/>
              </w:rPr>
              <w:t xml:space="preserve"> in the New South Wales Public Health System </w:t>
            </w:r>
            <w:r>
              <w:rPr>
                <w:rFonts w:ascii="Garamond" w:hAnsi="Garamond"/>
                <w:lang w:val="en-AU"/>
              </w:rPr>
              <w:t>(</w:t>
            </w:r>
            <w:r w:rsidRPr="00693A7F">
              <w:rPr>
                <w:rFonts w:ascii="Garamond" w:hAnsi="Garamond"/>
                <w:lang w:val="en-AU"/>
              </w:rPr>
              <w:t>Charles Pain, Malcolm Green, Colette Duff, Deborah Hyland, Annette Pantle, Kimberley Fitzpatrick, Cliff Hughes</w:t>
            </w:r>
            <w:r>
              <w:rPr>
                <w:rFonts w:ascii="Garamond" w:hAnsi="Garamond"/>
                <w:lang w:val="en-AU"/>
              </w:rPr>
              <w:t>)</w:t>
            </w:r>
          </w:p>
          <w:p w:rsidR="00693A7F" w:rsidRPr="00693A7F" w:rsidRDefault="00693A7F" w:rsidP="00693A7F">
            <w:pPr>
              <w:pStyle w:val="ListParagraph"/>
              <w:numPr>
                <w:ilvl w:val="0"/>
                <w:numId w:val="14"/>
              </w:numPr>
              <w:rPr>
                <w:rFonts w:ascii="Garamond" w:hAnsi="Garamond"/>
                <w:lang w:val="en-AU"/>
              </w:rPr>
            </w:pPr>
            <w:r w:rsidRPr="00693A7F">
              <w:rPr>
                <w:rFonts w:ascii="Garamond" w:hAnsi="Garamond"/>
                <w:lang w:val="en-AU"/>
              </w:rPr>
              <w:t xml:space="preserve">What </w:t>
            </w:r>
            <w:r w:rsidRPr="00E84EC1">
              <w:rPr>
                <w:rFonts w:ascii="Garamond" w:hAnsi="Garamond"/>
                <w:b/>
                <w:lang w:val="en-AU"/>
              </w:rPr>
              <w:t>patients’ complaints and praise</w:t>
            </w:r>
            <w:r w:rsidRPr="00693A7F">
              <w:rPr>
                <w:rFonts w:ascii="Garamond" w:hAnsi="Garamond"/>
                <w:lang w:val="en-AU"/>
              </w:rPr>
              <w:t xml:space="preserve"> tell the health practitioner: implications for </w:t>
            </w:r>
            <w:r w:rsidRPr="00E84EC1">
              <w:rPr>
                <w:rFonts w:ascii="Garamond" w:hAnsi="Garamond"/>
                <w:b/>
                <w:lang w:val="en-AU"/>
              </w:rPr>
              <w:t>health care quality</w:t>
            </w:r>
            <w:r w:rsidRPr="00693A7F">
              <w:rPr>
                <w:rFonts w:ascii="Garamond" w:hAnsi="Garamond"/>
                <w:lang w:val="en-AU"/>
              </w:rPr>
              <w:t>. A qualitative research study (Katia Mattarozzi, Fiamma Sfrisi, Filippo Caniglia, Alessandra De Palma, Monica Martoni</w:t>
            </w:r>
            <w:r>
              <w:rPr>
                <w:rFonts w:ascii="Garamond" w:hAnsi="Garamond"/>
                <w:lang w:val="en-AU"/>
              </w:rPr>
              <w:t>)</w:t>
            </w:r>
          </w:p>
          <w:p w:rsidR="00693A7F" w:rsidRPr="00693A7F" w:rsidRDefault="00693A7F" w:rsidP="00693A7F">
            <w:pPr>
              <w:pStyle w:val="ListParagraph"/>
              <w:numPr>
                <w:ilvl w:val="0"/>
                <w:numId w:val="14"/>
              </w:numPr>
              <w:rPr>
                <w:rFonts w:ascii="Garamond" w:hAnsi="Garamond"/>
                <w:lang w:val="en-AU"/>
              </w:rPr>
            </w:pPr>
            <w:r w:rsidRPr="00693A7F">
              <w:rPr>
                <w:rFonts w:ascii="Garamond" w:hAnsi="Garamond"/>
                <w:lang w:val="en-AU"/>
              </w:rPr>
              <w:lastRenderedPageBreak/>
              <w:t xml:space="preserve">Use of proton pump inhibitors among older Australians: </w:t>
            </w:r>
            <w:r w:rsidRPr="00E84EC1">
              <w:rPr>
                <w:rFonts w:ascii="Garamond" w:hAnsi="Garamond"/>
                <w:b/>
                <w:lang w:val="en-AU"/>
              </w:rPr>
              <w:t>national quality improvement programmes</w:t>
            </w:r>
            <w:r w:rsidRPr="00693A7F">
              <w:rPr>
                <w:rFonts w:ascii="Garamond" w:hAnsi="Garamond"/>
                <w:lang w:val="en-AU"/>
              </w:rPr>
              <w:t xml:space="preserve"> have led to </w:t>
            </w:r>
            <w:r w:rsidRPr="00E84EC1">
              <w:rPr>
                <w:rFonts w:ascii="Garamond" w:hAnsi="Garamond"/>
                <w:b/>
                <w:lang w:val="en-AU"/>
              </w:rPr>
              <w:t>sustained practice change</w:t>
            </w:r>
            <w:r w:rsidRPr="00693A7F">
              <w:rPr>
                <w:rFonts w:ascii="Garamond" w:hAnsi="Garamond"/>
                <w:lang w:val="en-AU"/>
              </w:rPr>
              <w:t xml:space="preserve"> (Nicole L Pratt, Lisa M Kalisch Ellett, Janet K Sluggett, Svetla V Gadzhanova, Emmae N Ramsay, Mhairi Kerr, Vanessa T LeBlanc, John D Barratt, Elizabeth E Roughead</w:t>
            </w:r>
            <w:r>
              <w:rPr>
                <w:rFonts w:ascii="Garamond" w:hAnsi="Garamond"/>
                <w:lang w:val="en-AU"/>
              </w:rPr>
              <w:t>)</w:t>
            </w:r>
          </w:p>
          <w:p w:rsidR="00693A7F" w:rsidRPr="00693A7F" w:rsidRDefault="00693A7F" w:rsidP="00693A7F">
            <w:pPr>
              <w:pStyle w:val="ListParagraph"/>
              <w:numPr>
                <w:ilvl w:val="0"/>
                <w:numId w:val="14"/>
              </w:numPr>
              <w:rPr>
                <w:rFonts w:ascii="Garamond" w:hAnsi="Garamond"/>
                <w:lang w:val="en-AU"/>
              </w:rPr>
            </w:pPr>
            <w:r w:rsidRPr="00693A7F">
              <w:rPr>
                <w:rFonts w:ascii="Garamond" w:hAnsi="Garamond"/>
                <w:lang w:val="en-AU"/>
              </w:rPr>
              <w:t xml:space="preserve">Evaluating the impact of </w:t>
            </w:r>
            <w:r w:rsidRPr="00E84EC1">
              <w:rPr>
                <w:rFonts w:ascii="Garamond" w:hAnsi="Garamond"/>
                <w:b/>
                <w:lang w:val="en-AU"/>
              </w:rPr>
              <w:t>continuous quality improvement methods</w:t>
            </w:r>
            <w:r w:rsidRPr="00693A7F">
              <w:rPr>
                <w:rFonts w:ascii="Garamond" w:hAnsi="Garamond"/>
                <w:lang w:val="en-AU"/>
              </w:rPr>
              <w:t xml:space="preserve"> at hospitals in Tanzania: a cluster-randomized trial (Yusuke Kamiya, Hisahiro Ishijma, Akiko Hagiwara, Shizu Takahashi, Henook A.M. Ngonyani, Eleuter Samky</w:t>
            </w:r>
            <w:r>
              <w:rPr>
                <w:rFonts w:ascii="Garamond" w:hAnsi="Garamond"/>
                <w:lang w:val="en-AU"/>
              </w:rPr>
              <w:t>)</w:t>
            </w:r>
          </w:p>
          <w:p w:rsidR="00693A7F" w:rsidRPr="00693A7F" w:rsidRDefault="00693A7F" w:rsidP="00693A7F">
            <w:pPr>
              <w:pStyle w:val="ListParagraph"/>
              <w:numPr>
                <w:ilvl w:val="0"/>
                <w:numId w:val="14"/>
              </w:numPr>
              <w:rPr>
                <w:rFonts w:ascii="Garamond" w:hAnsi="Garamond"/>
                <w:lang w:val="en-AU"/>
              </w:rPr>
            </w:pPr>
            <w:r w:rsidRPr="00693A7F">
              <w:rPr>
                <w:rFonts w:ascii="Garamond" w:hAnsi="Garamond"/>
                <w:lang w:val="en-AU"/>
              </w:rPr>
              <w:t xml:space="preserve">Beyond utilization: measuring </w:t>
            </w:r>
            <w:r w:rsidRPr="00E84EC1">
              <w:rPr>
                <w:rFonts w:ascii="Garamond" w:hAnsi="Garamond"/>
                <w:b/>
                <w:lang w:val="en-AU"/>
              </w:rPr>
              <w:t>effective coverage of obstetric care</w:t>
            </w:r>
            <w:r w:rsidRPr="00693A7F">
              <w:rPr>
                <w:rFonts w:ascii="Garamond" w:hAnsi="Garamond"/>
                <w:lang w:val="en-AU"/>
              </w:rPr>
              <w:t xml:space="preserve"> along the quality cascade (Elysia Larson, Daniel Vail, Godfrey M Mbaruku, Redempta Mbatia, Margaret E Kruk</w:t>
            </w:r>
            <w:r>
              <w:rPr>
                <w:rFonts w:ascii="Garamond" w:hAnsi="Garamond"/>
                <w:lang w:val="en-AU"/>
              </w:rPr>
              <w:t>)</w:t>
            </w:r>
          </w:p>
          <w:p w:rsidR="00693A7F" w:rsidRPr="00693A7F" w:rsidRDefault="00693A7F" w:rsidP="00693A7F">
            <w:pPr>
              <w:pStyle w:val="ListParagraph"/>
              <w:numPr>
                <w:ilvl w:val="0"/>
                <w:numId w:val="14"/>
              </w:numPr>
              <w:rPr>
                <w:rFonts w:ascii="Garamond" w:hAnsi="Garamond"/>
                <w:lang w:val="en-AU"/>
              </w:rPr>
            </w:pPr>
            <w:r w:rsidRPr="00693A7F">
              <w:rPr>
                <w:rFonts w:ascii="Garamond" w:hAnsi="Garamond"/>
                <w:lang w:val="en-AU"/>
              </w:rPr>
              <w:t xml:space="preserve">Are the </w:t>
            </w:r>
            <w:r w:rsidRPr="00E84EC1">
              <w:rPr>
                <w:rFonts w:ascii="Garamond" w:hAnsi="Garamond"/>
                <w:b/>
                <w:lang w:val="en-AU"/>
              </w:rPr>
              <w:t>registry data</w:t>
            </w:r>
            <w:r w:rsidRPr="00693A7F">
              <w:rPr>
                <w:rFonts w:ascii="Garamond" w:hAnsi="Garamond"/>
                <w:lang w:val="en-AU"/>
              </w:rPr>
              <w:t xml:space="preserve"> reliable? An audit of a regional trauma registry in the Netherlands (E</w:t>
            </w:r>
            <w:r>
              <w:rPr>
                <w:rFonts w:ascii="Garamond" w:hAnsi="Garamond"/>
                <w:lang w:val="en-AU"/>
              </w:rPr>
              <w:t xml:space="preserve"> </w:t>
            </w:r>
            <w:r w:rsidRPr="00693A7F">
              <w:rPr>
                <w:rFonts w:ascii="Garamond" w:hAnsi="Garamond"/>
                <w:lang w:val="en-AU"/>
              </w:rPr>
              <w:t>E Horton, P Krijnen, H</w:t>
            </w:r>
            <w:r>
              <w:rPr>
                <w:rFonts w:ascii="Garamond" w:hAnsi="Garamond"/>
                <w:lang w:val="en-AU"/>
              </w:rPr>
              <w:t xml:space="preserve"> </w:t>
            </w:r>
            <w:r w:rsidRPr="00693A7F">
              <w:rPr>
                <w:rFonts w:ascii="Garamond" w:hAnsi="Garamond"/>
                <w:lang w:val="en-AU"/>
              </w:rPr>
              <w:t>M</w:t>
            </w:r>
            <w:r>
              <w:rPr>
                <w:rFonts w:ascii="Garamond" w:hAnsi="Garamond"/>
                <w:lang w:val="en-AU"/>
              </w:rPr>
              <w:t xml:space="preserve"> </w:t>
            </w:r>
            <w:r w:rsidRPr="00693A7F">
              <w:rPr>
                <w:rFonts w:ascii="Garamond" w:hAnsi="Garamond"/>
                <w:lang w:val="en-AU"/>
              </w:rPr>
              <w:t>Molenaar, I</w:t>
            </w:r>
            <w:r>
              <w:rPr>
                <w:rFonts w:ascii="Garamond" w:hAnsi="Garamond"/>
                <w:lang w:val="en-AU"/>
              </w:rPr>
              <w:t xml:space="preserve"> </w:t>
            </w:r>
            <w:r w:rsidRPr="00693A7F">
              <w:rPr>
                <w:rFonts w:ascii="Garamond" w:hAnsi="Garamond"/>
                <w:lang w:val="en-AU"/>
              </w:rPr>
              <w:t>B Schipper on behalf of</w:t>
            </w:r>
            <w:r>
              <w:rPr>
                <w:rFonts w:ascii="Garamond" w:hAnsi="Garamond"/>
                <w:lang w:val="en-AU"/>
              </w:rPr>
              <w:t xml:space="preserve"> </w:t>
            </w:r>
            <w:r w:rsidRPr="00693A7F">
              <w:rPr>
                <w:rFonts w:ascii="Garamond" w:hAnsi="Garamond"/>
                <w:lang w:val="en-AU"/>
              </w:rPr>
              <w:t>On behalf of the Trauma West Research Group</w:t>
            </w:r>
            <w:r>
              <w:rPr>
                <w:rFonts w:ascii="Garamond" w:hAnsi="Garamond"/>
                <w:lang w:val="en-AU"/>
              </w:rPr>
              <w:t>)</w:t>
            </w:r>
          </w:p>
          <w:p w:rsidR="00EE191E" w:rsidRPr="000972CA" w:rsidRDefault="00693A7F" w:rsidP="001C6360">
            <w:pPr>
              <w:pStyle w:val="ListParagraph"/>
              <w:numPr>
                <w:ilvl w:val="0"/>
                <w:numId w:val="14"/>
              </w:numPr>
              <w:rPr>
                <w:rFonts w:ascii="Garamond" w:hAnsi="Garamond"/>
                <w:lang w:val="en-AU"/>
              </w:rPr>
            </w:pPr>
            <w:r w:rsidRPr="00E84EC1">
              <w:rPr>
                <w:rFonts w:ascii="Garamond" w:hAnsi="Garamond"/>
                <w:lang w:val="en-AU"/>
              </w:rPr>
              <w:t xml:space="preserve">Underlying influence of perception of </w:t>
            </w:r>
            <w:r w:rsidRPr="00E84EC1">
              <w:rPr>
                <w:rFonts w:ascii="Garamond" w:hAnsi="Garamond"/>
                <w:b/>
                <w:lang w:val="en-AU"/>
              </w:rPr>
              <w:t xml:space="preserve">management leadership </w:t>
            </w:r>
            <w:r w:rsidRPr="00E84EC1">
              <w:rPr>
                <w:rFonts w:ascii="Garamond" w:hAnsi="Garamond"/>
                <w:lang w:val="en-AU"/>
              </w:rPr>
              <w:t>on</w:t>
            </w:r>
            <w:r w:rsidRPr="00E84EC1">
              <w:rPr>
                <w:rFonts w:ascii="Garamond" w:hAnsi="Garamond"/>
                <w:b/>
                <w:lang w:val="en-AU"/>
              </w:rPr>
              <w:t xml:space="preserve"> patient safety climate</w:t>
            </w:r>
            <w:r w:rsidRPr="00E84EC1">
              <w:rPr>
                <w:rFonts w:ascii="Garamond" w:hAnsi="Garamond"/>
                <w:lang w:val="en-AU"/>
              </w:rPr>
              <w:t xml:space="preserve"> in healthcare organizations – A mediation analysis approach </w:t>
            </w:r>
            <w:r w:rsidR="00E84EC1" w:rsidRPr="00E84EC1">
              <w:rPr>
                <w:rFonts w:ascii="Garamond" w:hAnsi="Garamond"/>
                <w:lang w:val="en-AU"/>
              </w:rPr>
              <w:t>(</w:t>
            </w:r>
            <w:r w:rsidRPr="00E84EC1">
              <w:rPr>
                <w:rFonts w:ascii="Garamond" w:hAnsi="Garamond"/>
                <w:lang w:val="en-AU"/>
              </w:rPr>
              <w:t>Shao-Jen Weng, Seung-Hwan Kim, Chieh-Liang Wu</w:t>
            </w:r>
            <w:r w:rsidR="00E84EC1">
              <w:rPr>
                <w:rFonts w:ascii="Garamond" w:hAnsi="Garamond"/>
                <w:lang w:val="en-AU"/>
              </w:rPr>
              <w:t>)</w:t>
            </w:r>
          </w:p>
        </w:tc>
      </w:tr>
    </w:tbl>
    <w:p w:rsidR="006F2F21" w:rsidRPr="000972CA" w:rsidRDefault="006F2F21" w:rsidP="006F2F21">
      <w:pPr>
        <w:rPr>
          <w:rFonts w:ascii="Garamond" w:hAnsi="Garamond"/>
          <w:lang w:val="en-AU"/>
        </w:rPr>
      </w:pPr>
    </w:p>
    <w:p w:rsidR="006F2F21" w:rsidRPr="000972CA" w:rsidRDefault="006F2F21" w:rsidP="00025ED6">
      <w:pPr>
        <w:keepLines/>
        <w:autoSpaceDE w:val="0"/>
        <w:autoSpaceDN w:val="0"/>
        <w:adjustRightInd w:val="0"/>
        <w:rPr>
          <w:rFonts w:ascii="Garamond" w:hAnsi="Garamond"/>
          <w:lang w:val="en-AU"/>
        </w:rPr>
      </w:pPr>
    </w:p>
    <w:p w:rsidR="00B02F6E" w:rsidRPr="000972CA" w:rsidRDefault="00B02F6E" w:rsidP="001C6360">
      <w:pPr>
        <w:keepNext/>
        <w:rPr>
          <w:rFonts w:ascii="Garamond" w:hAnsi="Garamond"/>
          <w:b/>
          <w:lang w:val="en-AU"/>
        </w:rPr>
      </w:pPr>
      <w:r w:rsidRPr="000972CA">
        <w:rPr>
          <w:rFonts w:ascii="Garamond" w:hAnsi="Garamond"/>
          <w:b/>
          <w:lang w:val="en-AU"/>
        </w:rPr>
        <w:t>Online resources</w:t>
      </w:r>
    </w:p>
    <w:p w:rsidR="00BB12F9" w:rsidRPr="000972CA" w:rsidRDefault="00BB12F9" w:rsidP="001C6360">
      <w:pPr>
        <w:keepNext/>
        <w:rPr>
          <w:rFonts w:ascii="Garamond" w:hAnsi="Garamond"/>
          <w:i/>
          <w:lang w:val="en-AU"/>
        </w:rPr>
      </w:pPr>
    </w:p>
    <w:p w:rsidR="00EF2ABD" w:rsidRPr="000972CA" w:rsidRDefault="00EF2ABD" w:rsidP="00EF2ABD">
      <w:pPr>
        <w:keepNext/>
        <w:keepLines/>
        <w:rPr>
          <w:rFonts w:ascii="Garamond" w:hAnsi="Garamond"/>
          <w:i/>
          <w:lang w:val="en-AU"/>
        </w:rPr>
      </w:pPr>
      <w:r w:rsidRPr="000972CA">
        <w:rPr>
          <w:rFonts w:ascii="Garamond" w:hAnsi="Garamond"/>
          <w:i/>
          <w:lang w:val="en-AU"/>
        </w:rPr>
        <w:t>[UK] NICE Guidelines and Quality Standards</w:t>
      </w:r>
    </w:p>
    <w:p w:rsidR="00EF2ABD" w:rsidRPr="000972CA" w:rsidRDefault="003C6FFA" w:rsidP="00EF2ABD">
      <w:pPr>
        <w:keepNext/>
        <w:keepLines/>
        <w:rPr>
          <w:rFonts w:ascii="Garamond" w:hAnsi="Garamond"/>
          <w:u w:val="single"/>
          <w:lang w:val="en-AU"/>
        </w:rPr>
      </w:pPr>
      <w:hyperlink r:id="rId35" w:history="1">
        <w:r w:rsidR="00EF2ABD" w:rsidRPr="000972CA">
          <w:rPr>
            <w:rStyle w:val="Hyperlink"/>
            <w:rFonts w:ascii="Garamond" w:hAnsi="Garamond"/>
            <w:lang w:val="en-AU"/>
          </w:rPr>
          <w:t>http://www.nice.org.uk</w:t>
        </w:r>
      </w:hyperlink>
    </w:p>
    <w:p w:rsidR="00EF2ABD" w:rsidRPr="000972CA" w:rsidRDefault="00EF2ABD" w:rsidP="00EF2ABD">
      <w:pPr>
        <w:keepNext/>
        <w:keepLines/>
        <w:rPr>
          <w:rFonts w:ascii="Garamond" w:hAnsi="Garamond"/>
          <w:lang w:val="en-AU"/>
        </w:rPr>
      </w:pPr>
      <w:r w:rsidRPr="000972CA">
        <w:rPr>
          <w:rFonts w:ascii="Garamond" w:hAnsi="Garamond"/>
          <w:lang w:val="en-AU"/>
        </w:rPr>
        <w:t>The UK’s National Institute for Health and Care Excellence (NICE) has published new (or updated) guidelines and quality standards. The latest updates are:</w:t>
      </w:r>
    </w:p>
    <w:p w:rsidR="00BA7F94" w:rsidRPr="008775DF" w:rsidRDefault="00E84EC1" w:rsidP="00E84EC1">
      <w:pPr>
        <w:pStyle w:val="ListParagraph"/>
        <w:keepLines/>
        <w:numPr>
          <w:ilvl w:val="0"/>
          <w:numId w:val="14"/>
        </w:numPr>
        <w:rPr>
          <w:rStyle w:val="Hyperlink"/>
          <w:rFonts w:ascii="Garamond" w:hAnsi="Garamond"/>
          <w:color w:val="auto"/>
          <w:u w:val="none"/>
          <w:lang w:val="en-AU"/>
        </w:rPr>
      </w:pPr>
      <w:r>
        <w:rPr>
          <w:rFonts w:ascii="Garamond" w:hAnsi="Garamond"/>
          <w:lang w:val="en-AU"/>
        </w:rPr>
        <w:t xml:space="preserve">NICE Guideline NG60 </w:t>
      </w:r>
      <w:r w:rsidRPr="00E84EC1">
        <w:rPr>
          <w:rFonts w:ascii="Garamond" w:hAnsi="Garamond"/>
          <w:b/>
          <w:i/>
          <w:lang w:val="en-AU"/>
        </w:rPr>
        <w:t>HIV testing</w:t>
      </w:r>
      <w:r w:rsidRPr="00E84EC1">
        <w:rPr>
          <w:rFonts w:ascii="Garamond" w:hAnsi="Garamond"/>
          <w:i/>
          <w:lang w:val="en-AU"/>
        </w:rPr>
        <w:t xml:space="preserve">: increasing uptake among people who may have undiagnosed HIV </w:t>
      </w:r>
      <w:hyperlink r:id="rId36" w:history="1">
        <w:r w:rsidRPr="007C321B">
          <w:rPr>
            <w:rStyle w:val="Hyperlink"/>
            <w:rFonts w:ascii="Garamond" w:hAnsi="Garamond"/>
            <w:lang w:val="en-AU"/>
          </w:rPr>
          <w:t>https://www.nice.org.uk/guidance/ng60</w:t>
        </w:r>
      </w:hyperlink>
    </w:p>
    <w:p w:rsidR="008775DF" w:rsidRDefault="008775DF" w:rsidP="008775DF">
      <w:pPr>
        <w:pStyle w:val="ListParagraph"/>
        <w:keepLines/>
        <w:numPr>
          <w:ilvl w:val="0"/>
          <w:numId w:val="14"/>
        </w:numPr>
        <w:rPr>
          <w:rFonts w:ascii="Garamond" w:hAnsi="Garamond"/>
          <w:lang w:val="en-AU"/>
        </w:rPr>
      </w:pPr>
      <w:r>
        <w:rPr>
          <w:rFonts w:ascii="Garamond" w:hAnsi="Garamond"/>
          <w:lang w:val="en-AU"/>
        </w:rPr>
        <w:t xml:space="preserve">NICE Guideline NG61 </w:t>
      </w:r>
      <w:r w:rsidRPr="00900231">
        <w:rPr>
          <w:rFonts w:ascii="Garamond" w:hAnsi="Garamond"/>
          <w:b/>
          <w:i/>
          <w:lang w:val="en-AU"/>
        </w:rPr>
        <w:t>End of life care</w:t>
      </w:r>
      <w:r w:rsidRPr="008775DF">
        <w:rPr>
          <w:rFonts w:ascii="Garamond" w:hAnsi="Garamond"/>
          <w:i/>
          <w:lang w:val="en-AU"/>
        </w:rPr>
        <w:t xml:space="preserve"> for infants, children and young people with life-limiting conditions: planning and management</w:t>
      </w:r>
      <w:r>
        <w:rPr>
          <w:rFonts w:ascii="Garamond" w:hAnsi="Garamond"/>
          <w:lang w:val="en-AU"/>
        </w:rPr>
        <w:t xml:space="preserve"> </w:t>
      </w:r>
      <w:hyperlink r:id="rId37" w:history="1">
        <w:r w:rsidRPr="00080831">
          <w:rPr>
            <w:rStyle w:val="Hyperlink"/>
            <w:rFonts w:ascii="Garamond" w:hAnsi="Garamond"/>
            <w:lang w:val="en-AU"/>
          </w:rPr>
          <w:t>https://www.nice.org.uk/guidance/ng61</w:t>
        </w:r>
      </w:hyperlink>
    </w:p>
    <w:p w:rsidR="00E84EC1" w:rsidRDefault="00E84EC1" w:rsidP="00E84EC1">
      <w:pPr>
        <w:pStyle w:val="ListParagraph"/>
        <w:keepLines/>
        <w:numPr>
          <w:ilvl w:val="0"/>
          <w:numId w:val="14"/>
        </w:numPr>
        <w:rPr>
          <w:rFonts w:ascii="Garamond" w:hAnsi="Garamond"/>
          <w:lang w:val="en-AU"/>
        </w:rPr>
      </w:pPr>
      <w:r>
        <w:rPr>
          <w:rFonts w:ascii="Garamond" w:hAnsi="Garamond"/>
          <w:lang w:val="en-AU"/>
        </w:rPr>
        <w:t xml:space="preserve">NICE Quality Standard QS137 </w:t>
      </w:r>
      <w:r w:rsidRPr="00E84EC1">
        <w:rPr>
          <w:rFonts w:ascii="Garamond" w:hAnsi="Garamond"/>
          <w:b/>
          <w:i/>
          <w:lang w:val="en-AU"/>
        </w:rPr>
        <w:t>Mental wellbeing</w:t>
      </w:r>
      <w:r w:rsidRPr="00E84EC1">
        <w:rPr>
          <w:rFonts w:ascii="Garamond" w:hAnsi="Garamond"/>
          <w:i/>
          <w:lang w:val="en-AU"/>
        </w:rPr>
        <w:t xml:space="preserve"> and </w:t>
      </w:r>
      <w:r w:rsidRPr="00E84EC1">
        <w:rPr>
          <w:rFonts w:ascii="Garamond" w:hAnsi="Garamond"/>
          <w:b/>
          <w:i/>
          <w:lang w:val="en-AU"/>
        </w:rPr>
        <w:t>independence</w:t>
      </w:r>
      <w:r w:rsidRPr="00E84EC1">
        <w:rPr>
          <w:rFonts w:ascii="Garamond" w:hAnsi="Garamond"/>
          <w:i/>
          <w:lang w:val="en-AU"/>
        </w:rPr>
        <w:t xml:space="preserve"> for older people</w:t>
      </w:r>
      <w:r>
        <w:rPr>
          <w:rFonts w:ascii="Garamond" w:hAnsi="Garamond"/>
          <w:lang w:val="en-AU"/>
        </w:rPr>
        <w:t xml:space="preserve"> </w:t>
      </w:r>
      <w:hyperlink r:id="rId38" w:history="1">
        <w:r w:rsidRPr="007C321B">
          <w:rPr>
            <w:rStyle w:val="Hyperlink"/>
            <w:rFonts w:ascii="Garamond" w:hAnsi="Garamond"/>
            <w:lang w:val="en-AU"/>
          </w:rPr>
          <w:t>https://www.nice.org.uk/guidance/qs137</w:t>
        </w:r>
      </w:hyperlink>
    </w:p>
    <w:p w:rsidR="00BE23AC" w:rsidRDefault="00BE23AC" w:rsidP="00F114E2">
      <w:pPr>
        <w:rPr>
          <w:rFonts w:ascii="Garamond" w:hAnsi="Garamond"/>
          <w:i/>
          <w:lang w:val="en-AU"/>
        </w:rPr>
      </w:pPr>
    </w:p>
    <w:p w:rsidR="00C157DE" w:rsidRDefault="009E66F3" w:rsidP="00F114E2">
      <w:pPr>
        <w:rPr>
          <w:rFonts w:ascii="Garamond" w:hAnsi="Garamond"/>
          <w:i/>
          <w:lang w:val="en-AU"/>
        </w:rPr>
      </w:pPr>
      <w:r w:rsidRPr="000972CA">
        <w:rPr>
          <w:rFonts w:ascii="Garamond" w:hAnsi="Garamond"/>
          <w:i/>
          <w:lang w:val="en-AU"/>
        </w:rPr>
        <w:t>[USA]</w:t>
      </w:r>
      <w:r>
        <w:rPr>
          <w:rFonts w:ascii="Garamond" w:hAnsi="Garamond"/>
          <w:i/>
          <w:lang w:val="en-AU"/>
        </w:rPr>
        <w:t xml:space="preserve"> </w:t>
      </w:r>
      <w:r w:rsidRPr="009E66F3">
        <w:rPr>
          <w:rFonts w:ascii="Garamond" w:hAnsi="Garamond"/>
          <w:i/>
          <w:lang w:val="en-AU"/>
        </w:rPr>
        <w:t>How a Digital Health Advisor Could Help High-Need, High-Cost Patients and Their Caregivers</w:t>
      </w:r>
    </w:p>
    <w:p w:rsidR="009E66F3" w:rsidRDefault="003C6FFA" w:rsidP="00F114E2">
      <w:pPr>
        <w:rPr>
          <w:rFonts w:ascii="Garamond" w:hAnsi="Garamond"/>
          <w:lang w:val="en-AU"/>
        </w:rPr>
      </w:pPr>
      <w:hyperlink r:id="rId39" w:history="1">
        <w:r w:rsidR="009E66F3" w:rsidRPr="009E66F3">
          <w:rPr>
            <w:rStyle w:val="Hyperlink"/>
            <w:rFonts w:ascii="Garamond" w:hAnsi="Garamond"/>
            <w:lang w:val="en-AU"/>
          </w:rPr>
          <w:t>http://www.commonwealthfund.org/publications/blog/2016/dec/digital-health-advisor</w:t>
        </w:r>
      </w:hyperlink>
    </w:p>
    <w:p w:rsidR="00C42F54" w:rsidRPr="009E66F3" w:rsidRDefault="003C6FFA" w:rsidP="00F114E2">
      <w:pPr>
        <w:rPr>
          <w:rFonts w:ascii="Garamond" w:hAnsi="Garamond"/>
          <w:lang w:val="en-AU"/>
        </w:rPr>
      </w:pPr>
      <w:hyperlink r:id="rId40" w:history="1">
        <w:r w:rsidR="00C42F54" w:rsidRPr="00DA1BF5">
          <w:rPr>
            <w:rStyle w:val="Hyperlink"/>
            <w:rFonts w:ascii="Garamond" w:hAnsi="Garamond"/>
            <w:lang w:val="en-AU"/>
          </w:rPr>
          <w:t>http://www.sagehealthadvisor.com/</w:t>
        </w:r>
      </w:hyperlink>
    </w:p>
    <w:p w:rsidR="009E66F3" w:rsidRPr="009E66F3" w:rsidRDefault="009E66F3" w:rsidP="00F114E2">
      <w:pPr>
        <w:rPr>
          <w:rFonts w:ascii="Garamond" w:hAnsi="Garamond"/>
          <w:lang w:val="en-AU"/>
        </w:rPr>
      </w:pPr>
      <w:r w:rsidRPr="009E66F3">
        <w:rPr>
          <w:rFonts w:ascii="Garamond" w:hAnsi="Garamond"/>
          <w:lang w:val="en-AU"/>
        </w:rPr>
        <w:t>Th</w:t>
      </w:r>
      <w:r>
        <w:rPr>
          <w:rFonts w:ascii="Garamond" w:hAnsi="Garamond"/>
          <w:lang w:val="en-AU"/>
        </w:rPr>
        <w:t>is blog from the Commonwealth F</w:t>
      </w:r>
      <w:r w:rsidRPr="009E66F3">
        <w:rPr>
          <w:rFonts w:ascii="Garamond" w:hAnsi="Garamond"/>
          <w:lang w:val="en-AU"/>
        </w:rPr>
        <w:t>u</w:t>
      </w:r>
      <w:r>
        <w:rPr>
          <w:rFonts w:ascii="Garamond" w:hAnsi="Garamond"/>
          <w:lang w:val="en-AU"/>
        </w:rPr>
        <w:t>n</w:t>
      </w:r>
      <w:r w:rsidRPr="009E66F3">
        <w:rPr>
          <w:rFonts w:ascii="Garamond" w:hAnsi="Garamond"/>
          <w:lang w:val="en-AU"/>
        </w:rPr>
        <w:t xml:space="preserve">d </w:t>
      </w:r>
      <w:r>
        <w:rPr>
          <w:rFonts w:ascii="Garamond" w:hAnsi="Garamond"/>
          <w:lang w:val="en-AU"/>
        </w:rPr>
        <w:t xml:space="preserve">describes a prototype Digital Health Advisor (DHA) that the Fund has commissioned. Starting with work </w:t>
      </w:r>
      <w:r w:rsidRPr="009E66F3">
        <w:rPr>
          <w:rFonts w:ascii="Garamond" w:hAnsi="Garamond"/>
          <w:lang w:val="en-AU"/>
        </w:rPr>
        <w:t>to understand the needs of those who could benefit most from a DHA</w:t>
      </w:r>
      <w:r w:rsidR="00BE23AC">
        <w:rPr>
          <w:rFonts w:ascii="Garamond" w:hAnsi="Garamond"/>
          <w:lang w:val="en-AU"/>
        </w:rPr>
        <w:t xml:space="preserve"> —</w:t>
      </w:r>
      <w:r w:rsidRPr="009E66F3">
        <w:rPr>
          <w:rFonts w:ascii="Garamond" w:hAnsi="Garamond"/>
          <w:lang w:val="en-AU"/>
        </w:rPr>
        <w:t xml:space="preserve"> people with multiple chronic conditions, the frail elderly, and their caregivers</w:t>
      </w:r>
      <w:r>
        <w:rPr>
          <w:rFonts w:ascii="Garamond" w:hAnsi="Garamond"/>
          <w:lang w:val="en-AU"/>
        </w:rPr>
        <w:t xml:space="preserve"> </w:t>
      </w:r>
      <w:r w:rsidR="00BE23AC">
        <w:rPr>
          <w:rFonts w:ascii="Garamond" w:hAnsi="Garamond"/>
          <w:lang w:val="en-AU"/>
        </w:rPr>
        <w:t xml:space="preserve">— </w:t>
      </w:r>
      <w:r>
        <w:rPr>
          <w:rFonts w:ascii="Garamond" w:hAnsi="Garamond"/>
          <w:lang w:val="en-AU"/>
        </w:rPr>
        <w:t xml:space="preserve">the design group </w:t>
      </w:r>
      <w:r w:rsidRPr="009E66F3">
        <w:rPr>
          <w:rFonts w:ascii="Garamond" w:hAnsi="Garamond"/>
          <w:lang w:val="en-AU"/>
        </w:rPr>
        <w:t>examined how digital tools might serve those needs. The team of researchers, designers, and st</w:t>
      </w:r>
      <w:r>
        <w:rPr>
          <w:rFonts w:ascii="Garamond" w:hAnsi="Garamond"/>
          <w:lang w:val="en-AU"/>
        </w:rPr>
        <w:t>rategists followed a human-cent</w:t>
      </w:r>
      <w:r w:rsidRPr="009E66F3">
        <w:rPr>
          <w:rFonts w:ascii="Garamond" w:hAnsi="Garamond"/>
          <w:lang w:val="en-AU"/>
        </w:rPr>
        <w:t xml:space="preserve">red design approach to elicit the </w:t>
      </w:r>
      <w:r>
        <w:rPr>
          <w:rFonts w:ascii="Garamond" w:hAnsi="Garamond"/>
          <w:lang w:val="en-AU"/>
        </w:rPr>
        <w:t xml:space="preserve">possible </w:t>
      </w:r>
      <w:r w:rsidRPr="009E66F3">
        <w:rPr>
          <w:rFonts w:ascii="Garamond" w:hAnsi="Garamond"/>
          <w:lang w:val="en-AU"/>
        </w:rPr>
        <w:t xml:space="preserve">needs </w:t>
      </w:r>
      <w:r>
        <w:rPr>
          <w:rFonts w:ascii="Garamond" w:hAnsi="Garamond"/>
          <w:lang w:val="en-AU"/>
        </w:rPr>
        <w:t xml:space="preserve">and </w:t>
      </w:r>
      <w:r w:rsidRPr="009E66F3">
        <w:rPr>
          <w:rFonts w:ascii="Garamond" w:hAnsi="Garamond"/>
          <w:lang w:val="en-AU"/>
        </w:rPr>
        <w:t>used that information to create a DHA prototype, called Sage</w:t>
      </w:r>
      <w:r>
        <w:rPr>
          <w:rFonts w:ascii="Garamond" w:hAnsi="Garamond"/>
          <w:lang w:val="en-AU"/>
        </w:rPr>
        <w:t xml:space="preserve">. The blog post describes the process and the prototype and how the different patients and carers might use the tool on their smartphone. </w:t>
      </w:r>
      <w:r w:rsidRPr="009E66F3">
        <w:rPr>
          <w:rFonts w:ascii="Garamond" w:hAnsi="Garamond"/>
          <w:lang w:val="en-AU"/>
        </w:rPr>
        <w:t>The</w:t>
      </w:r>
      <w:r>
        <w:rPr>
          <w:rFonts w:ascii="Garamond" w:hAnsi="Garamond"/>
          <w:lang w:val="en-AU"/>
        </w:rPr>
        <w:t xml:space="preserve"> blog describes how the Sage </w:t>
      </w:r>
      <w:r w:rsidRPr="009E66F3">
        <w:rPr>
          <w:rFonts w:ascii="Garamond" w:hAnsi="Garamond"/>
          <w:lang w:val="en-AU"/>
        </w:rPr>
        <w:t>prototype</w:t>
      </w:r>
      <w:r>
        <w:rPr>
          <w:rFonts w:ascii="Garamond" w:hAnsi="Garamond"/>
          <w:lang w:val="en-AU"/>
        </w:rPr>
        <w:t xml:space="preserve"> “</w:t>
      </w:r>
      <w:r w:rsidRPr="009E66F3">
        <w:rPr>
          <w:rFonts w:ascii="Garamond" w:hAnsi="Garamond"/>
          <w:lang w:val="en-AU"/>
        </w:rPr>
        <w:t xml:space="preserve">makes the DHA vision tangible for developers, policymakers, and users and demonstrates how a digital tool could be organized in a way that might be attractive to potential users. As envisioned, the DHA would include four types of functionality: offering advice and information, tracking health indicators, providing a care journal and other features to enable patients and caregivers to create a </w:t>
      </w:r>
      <w:r>
        <w:rPr>
          <w:rFonts w:ascii="Garamond" w:hAnsi="Garamond"/>
          <w:lang w:val="en-AU"/>
        </w:rPr>
        <w:t>‘</w:t>
      </w:r>
      <w:r w:rsidRPr="009E66F3">
        <w:rPr>
          <w:rFonts w:ascii="Garamond" w:hAnsi="Garamond"/>
          <w:lang w:val="en-AU"/>
        </w:rPr>
        <w:t>holistic picture</w:t>
      </w:r>
      <w:r>
        <w:rPr>
          <w:rFonts w:ascii="Garamond" w:hAnsi="Garamond"/>
          <w:lang w:val="en-AU"/>
        </w:rPr>
        <w:t>’</w:t>
      </w:r>
      <w:r w:rsidRPr="009E66F3">
        <w:rPr>
          <w:rFonts w:ascii="Garamond" w:hAnsi="Garamond"/>
          <w:lang w:val="en-AU"/>
        </w:rPr>
        <w:t xml:space="preserve"> of their situation, and helping individuals communicate with their care teams and coordinate care.</w:t>
      </w:r>
      <w:r>
        <w:rPr>
          <w:rFonts w:ascii="Garamond" w:hAnsi="Garamond"/>
          <w:lang w:val="en-AU"/>
        </w:rPr>
        <w:t>”</w:t>
      </w:r>
    </w:p>
    <w:p w:rsidR="009E66F3" w:rsidRDefault="009E66F3" w:rsidP="00F114E2">
      <w:pPr>
        <w:rPr>
          <w:rFonts w:ascii="Garamond" w:hAnsi="Garamond"/>
          <w:i/>
          <w:lang w:val="en-AU"/>
        </w:rPr>
      </w:pPr>
    </w:p>
    <w:p w:rsidR="00B47E3A" w:rsidRPr="00D542B7" w:rsidRDefault="00D542B7" w:rsidP="008775DF">
      <w:pPr>
        <w:keepNext/>
        <w:keepLines/>
        <w:rPr>
          <w:rFonts w:ascii="Garamond" w:hAnsi="Garamond"/>
          <w:i/>
          <w:lang w:val="en-AU"/>
        </w:rPr>
      </w:pPr>
      <w:r w:rsidRPr="00D542B7">
        <w:rPr>
          <w:rFonts w:ascii="Garamond" w:hAnsi="Garamond"/>
          <w:i/>
          <w:lang w:val="en-AU"/>
        </w:rPr>
        <w:lastRenderedPageBreak/>
        <w:t>[UK] Managing recovery from concussion</w:t>
      </w:r>
    </w:p>
    <w:p w:rsidR="00D542B7" w:rsidRDefault="003C6FFA" w:rsidP="008775DF">
      <w:pPr>
        <w:keepNext/>
        <w:keepLines/>
        <w:rPr>
          <w:rFonts w:ascii="Garamond" w:hAnsi="Garamond"/>
          <w:lang w:val="en-AU"/>
        </w:rPr>
      </w:pPr>
      <w:hyperlink r:id="rId41" w:history="1">
        <w:r w:rsidR="00D542B7" w:rsidRPr="00934F36">
          <w:rPr>
            <w:rStyle w:val="Hyperlink"/>
            <w:rFonts w:ascii="Garamond" w:hAnsi="Garamond"/>
            <w:lang w:val="en-AU"/>
          </w:rPr>
          <w:t>http://www.bmj.com/content/bmj/suppl/2016/11/16/bmj.i5629.DC1/broj033990infgraph.ww1_default.pdf</w:t>
        </w:r>
      </w:hyperlink>
    </w:p>
    <w:p w:rsidR="00D542B7" w:rsidRDefault="00D542B7" w:rsidP="008775DF">
      <w:pPr>
        <w:keepNext/>
        <w:keepLines/>
        <w:rPr>
          <w:rFonts w:ascii="Garamond" w:hAnsi="Garamond"/>
          <w:lang w:val="en-AU"/>
        </w:rPr>
      </w:pPr>
      <w:proofErr w:type="gramStart"/>
      <w:r>
        <w:rPr>
          <w:rFonts w:ascii="Garamond" w:hAnsi="Garamond"/>
          <w:lang w:val="en-AU"/>
        </w:rPr>
        <w:t xml:space="preserve">Infographic from the </w:t>
      </w:r>
      <w:r w:rsidRPr="00D542B7">
        <w:rPr>
          <w:rFonts w:ascii="Garamond" w:hAnsi="Garamond"/>
          <w:i/>
          <w:lang w:val="en-AU"/>
        </w:rPr>
        <w:t>BMJ</w:t>
      </w:r>
      <w:r>
        <w:rPr>
          <w:rFonts w:ascii="Garamond" w:hAnsi="Garamond"/>
          <w:i/>
          <w:lang w:val="en-AU"/>
        </w:rPr>
        <w:t xml:space="preserve"> </w:t>
      </w:r>
      <w:r>
        <w:rPr>
          <w:rFonts w:ascii="Garamond" w:hAnsi="Garamond"/>
          <w:lang w:val="en-AU"/>
        </w:rPr>
        <w:t>on safe reco</w:t>
      </w:r>
      <w:r w:rsidRPr="00D542B7">
        <w:rPr>
          <w:rFonts w:ascii="Garamond" w:hAnsi="Garamond"/>
          <w:lang w:val="en-AU"/>
        </w:rPr>
        <w:t>ver</w:t>
      </w:r>
      <w:r>
        <w:rPr>
          <w:rFonts w:ascii="Garamond" w:hAnsi="Garamond"/>
          <w:lang w:val="en-AU"/>
        </w:rPr>
        <w:t>y</w:t>
      </w:r>
      <w:r w:rsidRPr="00D542B7">
        <w:rPr>
          <w:rFonts w:ascii="Garamond" w:hAnsi="Garamond"/>
          <w:lang w:val="en-AU"/>
        </w:rPr>
        <w:t xml:space="preserve"> from concussion</w:t>
      </w:r>
      <w:r>
        <w:rPr>
          <w:rFonts w:ascii="Garamond" w:hAnsi="Garamond"/>
          <w:lang w:val="en-AU"/>
        </w:rPr>
        <w:t>.</w:t>
      </w:r>
      <w:proofErr w:type="gramEnd"/>
    </w:p>
    <w:p w:rsidR="00D542B7" w:rsidRDefault="00D542B7" w:rsidP="00B47E3A">
      <w:pPr>
        <w:keepLines/>
        <w:rPr>
          <w:rFonts w:ascii="Garamond" w:hAnsi="Garamond"/>
          <w:lang w:val="en-AU"/>
        </w:rPr>
      </w:pPr>
      <w:r>
        <w:rPr>
          <w:rFonts w:ascii="Garamond" w:hAnsi="Garamond"/>
          <w:lang w:val="en-AU"/>
        </w:rPr>
        <w:object w:dxaOrig="7860" w:dyaOrig="10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28.5pt" o:ole="">
            <v:imagedata r:id="rId42" o:title=""/>
          </v:shape>
          <o:OLEObject Type="Embed" ProgID="Acrobat.Document.11" ShapeID="_x0000_i1025" DrawAspect="Content" ObjectID="_1542794090" r:id="rId43"/>
        </w:object>
      </w:r>
    </w:p>
    <w:p w:rsidR="00D542B7" w:rsidRDefault="00D542B7" w:rsidP="00B47E3A">
      <w:pPr>
        <w:keepLines/>
        <w:rPr>
          <w:rFonts w:ascii="Garamond" w:hAnsi="Garamond"/>
          <w:lang w:val="en-AU"/>
        </w:rPr>
      </w:pPr>
    </w:p>
    <w:p w:rsidR="005367E0" w:rsidRDefault="005367E0" w:rsidP="005367E0">
      <w:pPr>
        <w:keepNext/>
        <w:keepLines/>
        <w:rPr>
          <w:rFonts w:ascii="Garamond" w:hAnsi="Garamond"/>
          <w:i/>
          <w:lang w:val="en-AU"/>
        </w:rPr>
      </w:pPr>
      <w:r>
        <w:rPr>
          <w:rFonts w:ascii="Garamond" w:hAnsi="Garamond"/>
          <w:i/>
          <w:lang w:val="en-AU"/>
        </w:rPr>
        <w:lastRenderedPageBreak/>
        <w:t xml:space="preserve">[UK] </w:t>
      </w:r>
      <w:r w:rsidRPr="00A830B8">
        <w:rPr>
          <w:rFonts w:ascii="Garamond" w:hAnsi="Garamond"/>
          <w:i/>
          <w:lang w:val="en-AU"/>
        </w:rPr>
        <w:t>Dental antimicrobial stewardship: toolkit</w:t>
      </w:r>
    </w:p>
    <w:p w:rsidR="005367E0" w:rsidRDefault="005367E0" w:rsidP="005367E0">
      <w:pPr>
        <w:keepNext/>
        <w:keepLines/>
        <w:rPr>
          <w:rFonts w:ascii="Garamond" w:hAnsi="Garamond"/>
          <w:lang w:val="en-AU"/>
        </w:rPr>
      </w:pPr>
      <w:hyperlink r:id="rId44" w:history="1">
        <w:r w:rsidRPr="000F0F2B">
          <w:rPr>
            <w:rStyle w:val="Hyperlink"/>
            <w:rFonts w:ascii="Garamond" w:hAnsi="Garamond"/>
            <w:lang w:val="en-AU"/>
          </w:rPr>
          <w:t>https://www.gov.uk/guidance/dental-antimicrobial-stewardship-toolkit</w:t>
        </w:r>
      </w:hyperlink>
    </w:p>
    <w:p w:rsidR="005367E0" w:rsidRDefault="005367E0" w:rsidP="005367E0">
      <w:pPr>
        <w:keepNext/>
        <w:keepLines/>
        <w:rPr>
          <w:rFonts w:ascii="Garamond" w:hAnsi="Garamond"/>
          <w:lang w:val="en-AU"/>
        </w:rPr>
      </w:pPr>
      <w:r w:rsidRPr="00A830B8">
        <w:rPr>
          <w:rFonts w:ascii="Garamond" w:hAnsi="Garamond"/>
          <w:lang w:val="en-AU"/>
        </w:rPr>
        <w:t xml:space="preserve">Public Health England </w:t>
      </w:r>
      <w:r>
        <w:rPr>
          <w:rFonts w:ascii="Garamond" w:hAnsi="Garamond"/>
          <w:lang w:val="en-AU"/>
        </w:rPr>
        <w:t xml:space="preserve">has </w:t>
      </w:r>
      <w:r w:rsidRPr="00A830B8">
        <w:rPr>
          <w:rFonts w:ascii="Garamond" w:hAnsi="Garamond"/>
          <w:lang w:val="en-AU"/>
        </w:rPr>
        <w:t xml:space="preserve">released </w:t>
      </w:r>
      <w:r>
        <w:rPr>
          <w:rFonts w:ascii="Garamond" w:hAnsi="Garamond"/>
          <w:lang w:val="en-AU"/>
        </w:rPr>
        <w:t xml:space="preserve">this </w:t>
      </w:r>
      <w:r w:rsidRPr="00A830B8">
        <w:rPr>
          <w:rFonts w:ascii="Garamond" w:hAnsi="Garamond"/>
          <w:lang w:val="en-AU"/>
        </w:rPr>
        <w:t>toolkit</w:t>
      </w:r>
      <w:r>
        <w:rPr>
          <w:rFonts w:ascii="Garamond" w:hAnsi="Garamond"/>
          <w:lang w:val="en-AU"/>
        </w:rPr>
        <w:t xml:space="preserve"> providing </w:t>
      </w:r>
      <w:r w:rsidRPr="00A830B8">
        <w:rPr>
          <w:rFonts w:ascii="Garamond" w:hAnsi="Garamond"/>
          <w:lang w:val="en-AU"/>
        </w:rPr>
        <w:t>guidance, educational modules, and an audit tool</w:t>
      </w:r>
      <w:r>
        <w:rPr>
          <w:rFonts w:ascii="Garamond" w:hAnsi="Garamond"/>
          <w:lang w:val="en-AU"/>
        </w:rPr>
        <w:t xml:space="preserve">. </w:t>
      </w:r>
      <w:r w:rsidRPr="00A830B8">
        <w:rPr>
          <w:rFonts w:ascii="Garamond" w:hAnsi="Garamond"/>
          <w:lang w:val="en-AU"/>
        </w:rPr>
        <w:t>The toolkit aims to influence prescribers and patients attitudes to enable optimal antibiotic prescribing.</w:t>
      </w:r>
    </w:p>
    <w:p w:rsidR="005367E0" w:rsidRDefault="005367E0" w:rsidP="005367E0">
      <w:pPr>
        <w:rPr>
          <w:rFonts w:ascii="Garamond" w:hAnsi="Garamond"/>
          <w:i/>
          <w:lang w:val="en-AU"/>
        </w:rPr>
      </w:pPr>
    </w:p>
    <w:p w:rsidR="005367E0" w:rsidRPr="000972CA" w:rsidRDefault="005367E0" w:rsidP="005367E0">
      <w:pPr>
        <w:rPr>
          <w:rFonts w:ascii="Garamond" w:hAnsi="Garamond"/>
          <w:lang w:val="en-AU" w:eastAsia="en-AU"/>
        </w:rPr>
      </w:pPr>
      <w:r w:rsidRPr="000972CA">
        <w:rPr>
          <w:rFonts w:ascii="Garamond" w:hAnsi="Garamond"/>
          <w:lang w:val="en-AU" w:eastAsia="en-AU"/>
        </w:rPr>
        <w:t xml:space="preserve">For information about the Commission’s work on healthcare associated infection, </w:t>
      </w:r>
      <w:r>
        <w:rPr>
          <w:rFonts w:ascii="Garamond" w:hAnsi="Garamond"/>
          <w:lang w:val="en-AU" w:eastAsia="en-AU"/>
        </w:rPr>
        <w:t xml:space="preserve">including antimicrobial stewardship, </w:t>
      </w:r>
      <w:r w:rsidRPr="000972CA">
        <w:rPr>
          <w:rFonts w:ascii="Garamond" w:hAnsi="Garamond"/>
          <w:lang w:val="en-AU" w:eastAsia="en-AU"/>
        </w:rPr>
        <w:t xml:space="preserve">see </w:t>
      </w:r>
      <w:hyperlink r:id="rId45" w:history="1">
        <w:r w:rsidRPr="000972CA">
          <w:rPr>
            <w:rStyle w:val="Hyperlink"/>
            <w:rFonts w:ascii="Garamond" w:hAnsi="Garamond"/>
            <w:lang w:val="en-AU" w:eastAsia="en-AU"/>
          </w:rPr>
          <w:t>www.safetyandquality.gov.au/our-work/healthcare-associated-infection/</w:t>
        </w:r>
      </w:hyperlink>
    </w:p>
    <w:p w:rsidR="005367E0" w:rsidRDefault="005367E0" w:rsidP="005367E0">
      <w:pPr>
        <w:rPr>
          <w:rFonts w:ascii="Garamond" w:hAnsi="Garamond"/>
          <w:i/>
          <w:lang w:val="en-AU"/>
        </w:rPr>
      </w:pPr>
    </w:p>
    <w:p w:rsidR="005367E0" w:rsidRPr="00B47E3A" w:rsidRDefault="005367E0" w:rsidP="00B47E3A">
      <w:pPr>
        <w:keepLines/>
        <w:rPr>
          <w:rFonts w:ascii="Garamond" w:hAnsi="Garamond"/>
          <w:lang w:val="en-AU"/>
        </w:rPr>
      </w:pPr>
    </w:p>
    <w:p w:rsidR="00B02F6E" w:rsidRPr="000972CA" w:rsidRDefault="00B02F6E" w:rsidP="00B02F6E">
      <w:pPr>
        <w:keepNext/>
        <w:pBdr>
          <w:top w:val="single" w:sz="4" w:space="1" w:color="auto"/>
        </w:pBdr>
        <w:rPr>
          <w:rFonts w:ascii="Garamond" w:hAnsi="Garamond"/>
          <w:b/>
          <w:lang w:val="en-AU"/>
        </w:rPr>
      </w:pPr>
      <w:r w:rsidRPr="000972CA">
        <w:rPr>
          <w:rFonts w:ascii="Garamond" w:hAnsi="Garamond"/>
          <w:b/>
          <w:lang w:val="en-AU"/>
        </w:rPr>
        <w:t>Disclaimer</w:t>
      </w:r>
    </w:p>
    <w:p w:rsidR="00B02F6E" w:rsidRPr="000972CA" w:rsidRDefault="00B02F6E" w:rsidP="00B17406">
      <w:pPr>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p>
    <w:sectPr w:rsidR="00B02F6E" w:rsidRPr="000972C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C9" w:rsidRDefault="00DA3FC9">
      <w:r>
        <w:separator/>
      </w:r>
    </w:p>
  </w:endnote>
  <w:endnote w:type="continuationSeparator" w:id="0">
    <w:p w:rsidR="00DA3FC9" w:rsidRDefault="00DA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72B26">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BA7F94">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72B26">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A7F94">
      <w:rPr>
        <w:rFonts w:ascii="Garamond" w:hAnsi="Garamond"/>
      </w:rPr>
      <w:t xml:space="preserve"> Issue 303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C9" w:rsidRDefault="00DA3FC9">
      <w:r>
        <w:separator/>
      </w:r>
    </w:p>
  </w:footnote>
  <w:footnote w:type="continuationSeparator" w:id="0">
    <w:p w:rsidR="00DA3FC9" w:rsidRDefault="00DA3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32686"/>
    <w:multiLevelType w:val="hybridMultilevel"/>
    <w:tmpl w:val="37A0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54096D"/>
    <w:multiLevelType w:val="hybridMultilevel"/>
    <w:tmpl w:val="8896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A22197"/>
    <w:multiLevelType w:val="hybridMultilevel"/>
    <w:tmpl w:val="9AAC2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FB2A1D"/>
    <w:multiLevelType w:val="hybridMultilevel"/>
    <w:tmpl w:val="939E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2F253C"/>
    <w:multiLevelType w:val="hybridMultilevel"/>
    <w:tmpl w:val="0DB6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1B6105"/>
    <w:multiLevelType w:val="hybridMultilevel"/>
    <w:tmpl w:val="6FE6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EE1DCE"/>
    <w:multiLevelType w:val="hybridMultilevel"/>
    <w:tmpl w:val="5DB4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1C0513"/>
    <w:multiLevelType w:val="hybridMultilevel"/>
    <w:tmpl w:val="BE0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2"/>
  </w:num>
  <w:num w:numId="15">
    <w:abstractNumId w:val="37"/>
  </w:num>
  <w:num w:numId="16">
    <w:abstractNumId w:val="36"/>
  </w:num>
  <w:num w:numId="17">
    <w:abstractNumId w:val="29"/>
  </w:num>
  <w:num w:numId="18">
    <w:abstractNumId w:val="24"/>
  </w:num>
  <w:num w:numId="19">
    <w:abstractNumId w:val="31"/>
  </w:num>
  <w:num w:numId="20">
    <w:abstractNumId w:val="11"/>
  </w:num>
  <w:num w:numId="21">
    <w:abstractNumId w:val="17"/>
  </w:num>
  <w:num w:numId="22">
    <w:abstractNumId w:val="23"/>
  </w:num>
  <w:num w:numId="23">
    <w:abstractNumId w:val="30"/>
  </w:num>
  <w:num w:numId="24">
    <w:abstractNumId w:val="14"/>
  </w:num>
  <w:num w:numId="25">
    <w:abstractNumId w:val="20"/>
  </w:num>
  <w:num w:numId="26">
    <w:abstractNumId w:val="15"/>
  </w:num>
  <w:num w:numId="27">
    <w:abstractNumId w:val="19"/>
  </w:num>
  <w:num w:numId="28">
    <w:abstractNumId w:val="10"/>
  </w:num>
  <w:num w:numId="29">
    <w:abstractNumId w:val="16"/>
  </w:num>
  <w:num w:numId="30">
    <w:abstractNumId w:val="18"/>
  </w:num>
  <w:num w:numId="31">
    <w:abstractNumId w:val="33"/>
  </w:num>
  <w:num w:numId="32">
    <w:abstractNumId w:val="12"/>
  </w:num>
  <w:num w:numId="33">
    <w:abstractNumId w:val="26"/>
  </w:num>
  <w:num w:numId="34">
    <w:abstractNumId w:val="25"/>
  </w:num>
  <w:num w:numId="35">
    <w:abstractNumId w:val="34"/>
  </w:num>
  <w:num w:numId="36">
    <w:abstractNumId w:val="32"/>
  </w:num>
  <w:num w:numId="37">
    <w:abstractNumId w:val="28"/>
  </w:num>
  <w:num w:numId="3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43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609D"/>
    <w:rsid w:val="00DD63DE"/>
    <w:rsid w:val="00DD6897"/>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E0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patient-and-consumer-centred-care/" TargetMode="External"/><Relationship Id="rId26" Type="http://schemas.openxmlformats.org/officeDocument/2006/relationships/hyperlink" Target="http://www.safetyandquality.gov.au/our-work/healthcare-associated-infection/" TargetMode="External"/><Relationship Id="rId39" Type="http://schemas.openxmlformats.org/officeDocument/2006/relationships/hyperlink" Target="http://www.commonwealthfund.org/publications/blog/2016/dec/digital-health-advisor" TargetMode="External"/><Relationship Id="rId3" Type="http://schemas.openxmlformats.org/officeDocument/2006/relationships/styles" Target="styles.xml"/><Relationship Id="rId21" Type="http://schemas.openxmlformats.org/officeDocument/2006/relationships/hyperlink" Target="https://www.gov.uk/government/publications/english-surveillance-programme-antimicrobial-utilisation-and-resistance-espaur-report" TargetMode="External"/><Relationship Id="rId34" Type="http://schemas.openxmlformats.org/officeDocument/2006/relationships/hyperlink" Target="http://intqhc.oxfordjournals.org/content/early/recent?papetoc" TargetMode="External"/><Relationship Id="rId42" Type="http://schemas.openxmlformats.org/officeDocument/2006/relationships/image" Target="media/image2.emf"/><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longwoods.com/publications/books/24716" TargetMode="External"/><Relationship Id="rId25" Type="http://schemas.openxmlformats.org/officeDocument/2006/relationships/hyperlink" Target="http://dx.doi.org/10.1001/jamainternmed.2016.6610" TargetMode="External"/><Relationship Id="rId33" Type="http://schemas.openxmlformats.org/officeDocument/2006/relationships/hyperlink" Target="http://qualitysafety.bmj.com/content/early/recent" TargetMode="External"/><Relationship Id="rId38" Type="http://schemas.openxmlformats.org/officeDocument/2006/relationships/hyperlink" Target="https://www.nice.org.uk/guidance/qs13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crinc.com/getting-the-board-on-board-what-your-board-needs-to-know-about-quality-and-patient-safety-third-edition/" TargetMode="External"/><Relationship Id="rId20" Type="http://schemas.openxmlformats.org/officeDocument/2006/relationships/hyperlink" Target="http://www.nhscc.org/latest-news/5466/" TargetMode="External"/><Relationship Id="rId29" Type="http://schemas.openxmlformats.org/officeDocument/2006/relationships/hyperlink" Target="http://dx.doi.org/10.1001/jamainternmed.2016.6233" TargetMode="External"/><Relationship Id="rId41" Type="http://schemas.openxmlformats.org/officeDocument/2006/relationships/hyperlink" Target="http://www.bmj.com/content/bmj/suppl/2016/11/16/bmj.i5629.DC1/broj033990infgraph.ww1_defaul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health.org.uk/publication/challenge-and-potential-whole-system-flow" TargetMode="External"/><Relationship Id="rId32" Type="http://schemas.openxmlformats.org/officeDocument/2006/relationships/hyperlink" Target="http://content.healthaffairs.org/content/35/12.toc" TargetMode="External"/><Relationship Id="rId37" Type="http://schemas.openxmlformats.org/officeDocument/2006/relationships/hyperlink" Target="https://www.nice.org.uk/guidance/ng61" TargetMode="External"/><Relationship Id="rId40" Type="http://schemas.openxmlformats.org/officeDocument/2006/relationships/hyperlink" Target="http://www.sagehealthadvisor.com/" TargetMode="External"/><Relationship Id="rId45" Type="http://schemas.openxmlformats.org/officeDocument/2006/relationships/hyperlink" Target="http://www.safetyandquality.gov.au/our-work/healthcare-associated-infection/"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healthcare-associated-infection/" TargetMode="External"/><Relationship Id="rId28" Type="http://schemas.openxmlformats.org/officeDocument/2006/relationships/hyperlink" Target="http://www.safetyandquality.gov.au/our-work/medication-safety/" TargetMode="External"/><Relationship Id="rId36" Type="http://schemas.openxmlformats.org/officeDocument/2006/relationships/hyperlink" Target="https://www.nice.org.uk/guidance/ng60" TargetMode="External"/><Relationship Id="rId49"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information-strategy/clinical-quality-registries/" TargetMode="External"/><Relationship Id="rId31" Type="http://schemas.openxmlformats.org/officeDocument/2006/relationships/hyperlink" Target="http://dx.doi.org/10.1056/NEJMsa022615" TargetMode="External"/><Relationship Id="rId44" Type="http://schemas.openxmlformats.org/officeDocument/2006/relationships/hyperlink" Target="https://www.gov.uk/guidance/dental-antimicrobial-stewardship-toolki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safetyandquality.gov.au/antimicrobial-use-and-resistance-in-australia/" TargetMode="External"/><Relationship Id="rId27" Type="http://schemas.openxmlformats.org/officeDocument/2006/relationships/hyperlink" Target="http://dx.doi.org/10.1111/jgs.14683" TargetMode="External"/><Relationship Id="rId30" Type="http://schemas.openxmlformats.org/officeDocument/2006/relationships/hyperlink" Target="http://dx.doi.org/10.1001/jamainternmed.2016.6217" TargetMode="External"/><Relationship Id="rId35" Type="http://schemas.openxmlformats.org/officeDocument/2006/relationships/hyperlink" Target="http://www.nice.org.uk" TargetMode="External"/><Relationship Id="rId43" Type="http://schemas.openxmlformats.org/officeDocument/2006/relationships/oleObject" Target="embeddings/oleObject1.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C7B7-B7AC-4FE8-8B9E-98745D37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3360</Words>
  <Characters>21441</Characters>
  <Application>Microsoft Office Word</Application>
  <DocSecurity>0</DocSecurity>
  <Lines>487</Lines>
  <Paragraphs>231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24570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2016-12-09T02:08:00Z</dcterms:created>
  <dcterms:modified xsi:type="dcterms:W3CDTF">2016-12-09T02:08:00Z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