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7A47A8" w:rsidRDefault="00824B99" w:rsidP="00597B4F">
      <w:pPr>
        <w:pStyle w:val="Heading1"/>
        <w:ind w:left="1440" w:hanging="1440"/>
        <w:jc w:val="both"/>
        <w:rPr>
          <w:rFonts w:ascii="Bookman Old Style" w:hAnsi="Bookman Old Style"/>
          <w:sz w:val="48"/>
          <w:szCs w:val="48"/>
          <w:lang w:val="en-AU"/>
        </w:rPr>
      </w:pPr>
      <w:bookmarkStart w:id="0" w:name="_GoBack"/>
      <w:bookmarkEnd w:id="0"/>
      <w:r w:rsidRPr="007A47A8">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9C6306E" wp14:editId="233CD696">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7A47A8">
        <w:rPr>
          <w:rFonts w:ascii="Bookman Old Style" w:hAnsi="Bookman Old Style"/>
          <w:sz w:val="48"/>
          <w:szCs w:val="48"/>
          <w:lang w:val="en-AU"/>
        </w:rPr>
        <w:t>On the Radar</w:t>
      </w:r>
    </w:p>
    <w:p w:rsidR="00B160EF" w:rsidRPr="007A47A8" w:rsidRDefault="00715F47" w:rsidP="00B160EF">
      <w:pPr>
        <w:rPr>
          <w:rFonts w:ascii="Garamond" w:hAnsi="Garamond"/>
          <w:color w:val="000000"/>
          <w:lang w:val="en-AU"/>
        </w:rPr>
      </w:pPr>
      <w:r w:rsidRPr="007A47A8">
        <w:rPr>
          <w:rFonts w:ascii="Garamond" w:hAnsi="Garamond"/>
          <w:color w:val="000000"/>
          <w:lang w:val="en-AU"/>
        </w:rPr>
        <w:t xml:space="preserve">Issue </w:t>
      </w:r>
      <w:r w:rsidR="00D50A60">
        <w:rPr>
          <w:rFonts w:ascii="Garamond" w:hAnsi="Garamond"/>
          <w:color w:val="000000"/>
          <w:lang w:val="en-AU"/>
        </w:rPr>
        <w:t>306</w:t>
      </w:r>
    </w:p>
    <w:p w:rsidR="00755242" w:rsidRPr="007A47A8" w:rsidRDefault="00D50A60" w:rsidP="00B160EF">
      <w:pPr>
        <w:rPr>
          <w:rFonts w:ascii="Garamond" w:hAnsi="Garamond"/>
          <w:lang w:val="en-AU"/>
        </w:rPr>
      </w:pPr>
      <w:r>
        <w:rPr>
          <w:rFonts w:ascii="Garamond" w:hAnsi="Garamond"/>
          <w:lang w:val="en-AU"/>
        </w:rPr>
        <w:t>16</w:t>
      </w:r>
      <w:r w:rsidR="00F74A58" w:rsidRPr="007A47A8">
        <w:rPr>
          <w:rFonts w:ascii="Garamond" w:hAnsi="Garamond"/>
          <w:lang w:val="en-AU"/>
        </w:rPr>
        <w:t xml:space="preserve"> January</w:t>
      </w:r>
      <w:r w:rsidR="00650ACA" w:rsidRPr="007A47A8">
        <w:rPr>
          <w:rFonts w:ascii="Garamond" w:hAnsi="Garamond"/>
          <w:lang w:val="en-AU"/>
        </w:rPr>
        <w:t xml:space="preserve"> </w:t>
      </w:r>
      <w:r w:rsidR="00F74A58" w:rsidRPr="007A47A8">
        <w:rPr>
          <w:rFonts w:ascii="Garamond" w:hAnsi="Garamond"/>
          <w:lang w:val="en-AU"/>
        </w:rPr>
        <w:t>2017</w:t>
      </w:r>
    </w:p>
    <w:p w:rsidR="00566895" w:rsidRPr="007A47A8" w:rsidRDefault="00566895" w:rsidP="00B160EF">
      <w:pPr>
        <w:rPr>
          <w:rFonts w:ascii="Garamond" w:hAnsi="Garamond"/>
          <w:lang w:val="en-AU"/>
        </w:rPr>
      </w:pPr>
    </w:p>
    <w:p w:rsidR="00B160EF" w:rsidRPr="007A47A8" w:rsidRDefault="00B160EF" w:rsidP="00B160EF">
      <w:pPr>
        <w:rPr>
          <w:rFonts w:ascii="Garamond" w:hAnsi="Garamond"/>
          <w:b/>
          <w:lang w:val="en-AU"/>
        </w:rPr>
      </w:pPr>
      <w:r w:rsidRPr="007A47A8">
        <w:rPr>
          <w:rFonts w:ascii="Garamond" w:hAnsi="Garamond"/>
          <w:i/>
          <w:lang w:val="en-AU"/>
        </w:rPr>
        <w:t>On the Radar</w:t>
      </w:r>
      <w:r w:rsidRPr="007A47A8">
        <w:rPr>
          <w:rFonts w:ascii="Garamond" w:hAnsi="Garamond"/>
          <w:lang w:val="en-AU"/>
        </w:rPr>
        <w:t xml:space="preserve"> is a summary of some of the recent publications in </w:t>
      </w:r>
      <w:r w:rsidR="000025DB" w:rsidRPr="007A47A8">
        <w:rPr>
          <w:rFonts w:ascii="Garamond" w:hAnsi="Garamond"/>
          <w:lang w:val="en-AU"/>
        </w:rPr>
        <w:t>the</w:t>
      </w:r>
      <w:r w:rsidRPr="007A47A8">
        <w:rPr>
          <w:rFonts w:ascii="Garamond" w:hAnsi="Garamond"/>
          <w:lang w:val="en-AU"/>
        </w:rPr>
        <w:t xml:space="preserve"> areas of safety and quality in health care. Inclusion in this document is not an endorsement or recommendation of any publication or provider.</w:t>
      </w:r>
      <w:r w:rsidR="00594E21" w:rsidRPr="007A47A8">
        <w:rPr>
          <w:rFonts w:ascii="Garamond" w:hAnsi="Garamond"/>
          <w:lang w:val="en-AU"/>
        </w:rPr>
        <w:t xml:space="preserve"> </w:t>
      </w:r>
      <w:r w:rsidRPr="007A47A8">
        <w:rPr>
          <w:rFonts w:ascii="Garamond" w:hAnsi="Garamond"/>
          <w:lang w:val="en-AU"/>
        </w:rPr>
        <w:t>Access to particular documents may depend on whether they are Open Access or not, and/or your individual or institutional access to subscription sites/services.</w:t>
      </w:r>
      <w:r w:rsidR="00F460A7" w:rsidRPr="007A47A8">
        <w:rPr>
          <w:rFonts w:ascii="Garamond" w:hAnsi="Garamond"/>
          <w:lang w:val="en-AU"/>
        </w:rPr>
        <w:t xml:space="preserve"> Material that may require subscription is included as it is considered relevant.</w:t>
      </w:r>
    </w:p>
    <w:p w:rsidR="00B160EF" w:rsidRPr="007A47A8" w:rsidRDefault="00B160EF" w:rsidP="00B160EF">
      <w:pPr>
        <w:rPr>
          <w:rFonts w:ascii="Garamond" w:hAnsi="Garamond"/>
          <w:lang w:val="en-AU"/>
        </w:rPr>
      </w:pPr>
    </w:p>
    <w:p w:rsidR="00230D83" w:rsidRPr="007A47A8" w:rsidRDefault="00B160EF" w:rsidP="0045757F">
      <w:pPr>
        <w:autoSpaceDE w:val="0"/>
        <w:rPr>
          <w:rFonts w:ascii="Garamond" w:hAnsi="Garamond"/>
          <w:lang w:val="en-AU"/>
        </w:rPr>
      </w:pPr>
      <w:r w:rsidRPr="007A47A8">
        <w:rPr>
          <w:rFonts w:ascii="Garamond" w:hAnsi="Garamond"/>
          <w:i/>
          <w:lang w:val="en-AU"/>
        </w:rPr>
        <w:t>On the Radar</w:t>
      </w:r>
      <w:r w:rsidRPr="007A47A8">
        <w:rPr>
          <w:rFonts w:ascii="Garamond" w:hAnsi="Garamond"/>
          <w:lang w:val="en-AU"/>
        </w:rPr>
        <w:t xml:space="preserve"> is available </w:t>
      </w:r>
      <w:r w:rsidR="003D1E7A" w:rsidRPr="007A47A8">
        <w:rPr>
          <w:rFonts w:ascii="Garamond" w:hAnsi="Garamond"/>
          <w:lang w:val="en-AU"/>
        </w:rPr>
        <w:t xml:space="preserve">online, </w:t>
      </w:r>
      <w:r w:rsidRPr="007A47A8">
        <w:rPr>
          <w:rFonts w:ascii="Garamond" w:hAnsi="Garamond"/>
          <w:lang w:val="en-AU"/>
        </w:rPr>
        <w:t xml:space="preserve">via email or as a PDF </w:t>
      </w:r>
      <w:r w:rsidR="006F34BB" w:rsidRPr="007A47A8">
        <w:rPr>
          <w:rFonts w:ascii="Garamond" w:hAnsi="Garamond"/>
          <w:lang w:val="en-AU"/>
        </w:rPr>
        <w:t xml:space="preserve">or Word </w:t>
      </w:r>
      <w:r w:rsidRPr="007A47A8">
        <w:rPr>
          <w:rFonts w:ascii="Garamond" w:hAnsi="Garamond"/>
          <w:lang w:val="en-AU"/>
        </w:rPr>
        <w:t xml:space="preserve">document from </w:t>
      </w:r>
      <w:hyperlink r:id="rId10" w:history="1">
        <w:r w:rsidR="00230D83" w:rsidRPr="007A47A8">
          <w:rPr>
            <w:rStyle w:val="Hyperlink"/>
            <w:rFonts w:ascii="Garamond" w:hAnsi="Garamond"/>
            <w:lang w:val="en-AU"/>
          </w:rPr>
          <w:t>http://www.safetyandquality.gov.au/publications-resources/on-the-radar/</w:t>
        </w:r>
      </w:hyperlink>
    </w:p>
    <w:p w:rsidR="0090536C" w:rsidRPr="007A47A8" w:rsidRDefault="0090536C" w:rsidP="0045757F">
      <w:pPr>
        <w:autoSpaceDE w:val="0"/>
        <w:rPr>
          <w:rFonts w:ascii="Garamond" w:hAnsi="Garamond"/>
          <w:lang w:val="en-AU"/>
        </w:rPr>
      </w:pPr>
    </w:p>
    <w:p w:rsidR="00B160EF" w:rsidRPr="007A47A8" w:rsidRDefault="00B160EF" w:rsidP="0045757F">
      <w:pPr>
        <w:autoSpaceDE w:val="0"/>
        <w:rPr>
          <w:rFonts w:ascii="Garamond" w:hAnsi="Garamond"/>
          <w:lang w:val="en-AU"/>
        </w:rPr>
      </w:pPr>
      <w:r w:rsidRPr="007A47A8">
        <w:rPr>
          <w:rFonts w:ascii="Garamond" w:hAnsi="Garamond"/>
          <w:lang w:val="en-AU"/>
        </w:rPr>
        <w:t xml:space="preserve">If you would like to receive </w:t>
      </w:r>
      <w:r w:rsidRPr="007A47A8">
        <w:rPr>
          <w:rFonts w:ascii="Garamond" w:hAnsi="Garamond"/>
          <w:i/>
          <w:lang w:val="en-AU"/>
        </w:rPr>
        <w:t>On the Radar</w:t>
      </w:r>
      <w:r w:rsidRPr="007A47A8">
        <w:rPr>
          <w:rFonts w:ascii="Garamond" w:hAnsi="Garamond"/>
          <w:lang w:val="en-AU"/>
        </w:rPr>
        <w:t xml:space="preserve"> via email</w:t>
      </w:r>
      <w:r w:rsidR="003D7B9E" w:rsidRPr="007A47A8">
        <w:rPr>
          <w:rFonts w:ascii="Garamond" w:hAnsi="Garamond"/>
          <w:lang w:val="en-AU"/>
        </w:rPr>
        <w:t>, you can</w:t>
      </w:r>
      <w:r w:rsidR="00F24F60" w:rsidRPr="007A47A8">
        <w:rPr>
          <w:rFonts w:ascii="Garamond" w:hAnsi="Garamond"/>
          <w:lang w:val="en-AU"/>
        </w:rPr>
        <w:t xml:space="preserve"> subscribe on our website </w:t>
      </w:r>
      <w:hyperlink r:id="rId11" w:history="1">
        <w:r w:rsidR="00F24F60" w:rsidRPr="007A47A8">
          <w:rPr>
            <w:rStyle w:val="Hyperlink"/>
            <w:rFonts w:ascii="Garamond" w:hAnsi="Garamond"/>
            <w:lang w:val="en-AU"/>
          </w:rPr>
          <w:t>http://www.safetyandquality.gov.au/</w:t>
        </w:r>
      </w:hyperlink>
      <w:r w:rsidR="003D7B9E" w:rsidRPr="007A47A8">
        <w:rPr>
          <w:rFonts w:ascii="Garamond" w:hAnsi="Garamond"/>
          <w:lang w:val="en-AU"/>
        </w:rPr>
        <w:t xml:space="preserve"> or by emailing us at </w:t>
      </w:r>
      <w:r w:rsidR="003D7B9E" w:rsidRPr="007A47A8">
        <w:rPr>
          <w:rFonts w:ascii="Garamond" w:hAnsi="Garamond" w:cs="ZWAdobeF"/>
          <w:sz w:val="2"/>
          <w:szCs w:val="2"/>
          <w:lang w:val="en-AU"/>
        </w:rPr>
        <w:t>H</w:t>
      </w:r>
      <w:hyperlink r:id="rId12" w:history="1">
        <w:r w:rsidR="003D7B9E" w:rsidRPr="007A47A8">
          <w:rPr>
            <w:rFonts w:ascii="Garamond" w:hAnsi="Garamond" w:cs="ZWAdobeF"/>
            <w:sz w:val="2"/>
            <w:szCs w:val="2"/>
            <w:lang w:val="en-AU"/>
          </w:rPr>
          <w:t>U</w:t>
        </w:r>
        <w:r w:rsidR="003D7B9E" w:rsidRPr="007A47A8">
          <w:rPr>
            <w:rStyle w:val="Hyperlink"/>
            <w:rFonts w:ascii="Garamond" w:hAnsi="Garamond"/>
            <w:lang w:val="en-AU"/>
          </w:rPr>
          <w:t>mail@safetyandquality.gov.au</w:t>
        </w:r>
        <w:r w:rsidR="003D7B9E" w:rsidRPr="007A47A8">
          <w:rPr>
            <w:rStyle w:val="Hyperlink"/>
            <w:rFonts w:ascii="Garamond" w:hAnsi="Garamond" w:cs="ZWAdobeF"/>
            <w:color w:val="auto"/>
            <w:sz w:val="2"/>
            <w:szCs w:val="2"/>
            <w:u w:val="none"/>
            <w:lang w:val="en-AU"/>
          </w:rPr>
          <w:t>U</w:t>
        </w:r>
      </w:hyperlink>
      <w:r w:rsidR="003D7B9E" w:rsidRPr="007A47A8">
        <w:rPr>
          <w:rFonts w:ascii="Garamond" w:hAnsi="Garamond"/>
          <w:lang w:val="en-AU"/>
        </w:rPr>
        <w:t xml:space="preserve">. </w:t>
      </w:r>
      <w:r w:rsidR="00E51D23" w:rsidRPr="007A47A8">
        <w:rPr>
          <w:rFonts w:ascii="Garamond" w:hAnsi="Garamond"/>
          <w:lang w:val="en-AU"/>
        </w:rPr>
        <w:br/>
      </w:r>
      <w:r w:rsidR="003D7B9E" w:rsidRPr="007A47A8">
        <w:rPr>
          <w:rFonts w:ascii="Garamond" w:hAnsi="Garamond"/>
          <w:lang w:val="en-AU"/>
        </w:rPr>
        <w:t xml:space="preserve">You can also send feedback and comments to </w:t>
      </w:r>
      <w:r w:rsidR="003D7B9E" w:rsidRPr="007A47A8">
        <w:rPr>
          <w:rFonts w:ascii="Garamond" w:hAnsi="Garamond" w:cs="ZWAdobeF"/>
          <w:sz w:val="2"/>
          <w:szCs w:val="2"/>
          <w:lang w:val="en-AU"/>
        </w:rPr>
        <w:t>H</w:t>
      </w:r>
      <w:hyperlink r:id="rId13" w:history="1">
        <w:r w:rsidR="003D7B9E" w:rsidRPr="007A47A8">
          <w:rPr>
            <w:rFonts w:ascii="Garamond" w:hAnsi="Garamond" w:cs="ZWAdobeF"/>
            <w:sz w:val="2"/>
            <w:szCs w:val="2"/>
            <w:lang w:val="en-AU"/>
          </w:rPr>
          <w:t>U</w:t>
        </w:r>
        <w:r w:rsidR="003D7B9E" w:rsidRPr="007A47A8">
          <w:rPr>
            <w:rStyle w:val="Hyperlink"/>
            <w:rFonts w:ascii="Garamond" w:hAnsi="Garamond"/>
            <w:lang w:val="en-AU"/>
          </w:rPr>
          <w:t>mail@safetyandquality.gov.au</w:t>
        </w:r>
        <w:r w:rsidR="003D7B9E" w:rsidRPr="007A47A8">
          <w:rPr>
            <w:rStyle w:val="Hyperlink"/>
            <w:rFonts w:ascii="Garamond" w:hAnsi="Garamond" w:cs="ZWAdobeF"/>
            <w:color w:val="auto"/>
            <w:sz w:val="2"/>
            <w:szCs w:val="2"/>
            <w:u w:val="none"/>
            <w:lang w:val="en-AU"/>
          </w:rPr>
          <w:t>U</w:t>
        </w:r>
      </w:hyperlink>
      <w:r w:rsidR="003D7B9E" w:rsidRPr="007A47A8">
        <w:rPr>
          <w:rFonts w:ascii="Garamond" w:hAnsi="Garamond"/>
          <w:lang w:val="en-AU"/>
        </w:rPr>
        <w:t>.</w:t>
      </w:r>
    </w:p>
    <w:p w:rsidR="00B160EF" w:rsidRPr="007A47A8" w:rsidRDefault="00B160EF" w:rsidP="00837FC4">
      <w:pPr>
        <w:tabs>
          <w:tab w:val="left" w:pos="7773"/>
        </w:tabs>
        <w:rPr>
          <w:rFonts w:ascii="Garamond" w:hAnsi="Garamond"/>
          <w:lang w:val="en-AU"/>
        </w:rPr>
      </w:pPr>
    </w:p>
    <w:p w:rsidR="00837FC4" w:rsidRPr="007A47A8" w:rsidRDefault="00B160EF" w:rsidP="004554DB">
      <w:pPr>
        <w:autoSpaceDE w:val="0"/>
        <w:rPr>
          <w:rFonts w:ascii="Garamond" w:hAnsi="Garamond"/>
          <w:lang w:val="en-AU"/>
        </w:rPr>
      </w:pPr>
      <w:bookmarkStart w:id="1" w:name="OLE_LINK1"/>
      <w:r w:rsidRPr="007A47A8">
        <w:rPr>
          <w:rFonts w:ascii="Garamond" w:hAnsi="Garamond"/>
          <w:lang w:val="en-AU"/>
        </w:rPr>
        <w:t xml:space="preserve">For information about the Commission and its programs and publications, please visit </w:t>
      </w:r>
      <w:hyperlink r:id="rId14" w:history="1">
        <w:r w:rsidR="00837FC4" w:rsidRPr="007A47A8">
          <w:rPr>
            <w:rStyle w:val="Hyperlink"/>
            <w:rFonts w:ascii="Garamond" w:hAnsi="Garamond"/>
            <w:lang w:val="en-AU"/>
          </w:rPr>
          <w:t>http://www.safetyandquality.gov.au</w:t>
        </w:r>
      </w:hyperlink>
    </w:p>
    <w:p w:rsidR="0054703F" w:rsidRPr="007A47A8" w:rsidRDefault="004554DB" w:rsidP="004554DB">
      <w:pPr>
        <w:autoSpaceDE w:val="0"/>
        <w:rPr>
          <w:rFonts w:ascii="Garamond" w:hAnsi="Garamond"/>
          <w:lang w:val="en-AU"/>
        </w:rPr>
      </w:pPr>
      <w:r w:rsidRPr="007A47A8">
        <w:rPr>
          <w:rFonts w:ascii="Garamond" w:hAnsi="Garamond"/>
          <w:lang w:val="en-AU"/>
        </w:rPr>
        <w:t>You can also follow us on Twitter @ACSQHC.</w:t>
      </w:r>
    </w:p>
    <w:p w:rsidR="00210235" w:rsidRPr="007A47A8" w:rsidRDefault="00210235" w:rsidP="00210235">
      <w:pPr>
        <w:keepNext/>
        <w:pBdr>
          <w:top w:val="single" w:sz="4" w:space="1" w:color="auto"/>
        </w:pBdr>
        <w:rPr>
          <w:rFonts w:ascii="Garamond" w:hAnsi="Garamond"/>
          <w:b/>
          <w:lang w:val="en-AU"/>
        </w:rPr>
      </w:pPr>
      <w:r w:rsidRPr="007A47A8">
        <w:rPr>
          <w:rFonts w:ascii="Garamond" w:hAnsi="Garamond"/>
          <w:b/>
          <w:lang w:val="en-AU"/>
        </w:rPr>
        <w:t>On the Radar</w:t>
      </w:r>
    </w:p>
    <w:p w:rsidR="00340157" w:rsidRPr="007A47A8" w:rsidRDefault="00340157" w:rsidP="00210235">
      <w:pPr>
        <w:keepNext/>
        <w:pBdr>
          <w:top w:val="single" w:sz="4" w:space="1" w:color="auto"/>
        </w:pBdr>
        <w:rPr>
          <w:rFonts w:ascii="Garamond" w:hAnsi="Garamond"/>
          <w:bCs/>
          <w:lang w:val="en-AU"/>
        </w:rPr>
      </w:pPr>
      <w:r w:rsidRPr="007A47A8">
        <w:rPr>
          <w:rFonts w:ascii="Garamond" w:hAnsi="Garamond"/>
          <w:bCs/>
          <w:lang w:val="en-AU"/>
        </w:rPr>
        <w:t xml:space="preserve">Editor: </w:t>
      </w:r>
      <w:r w:rsidR="00C8085B" w:rsidRPr="007A47A8">
        <w:rPr>
          <w:rFonts w:ascii="Garamond" w:hAnsi="Garamond"/>
          <w:bCs/>
          <w:lang w:val="en-AU"/>
        </w:rPr>
        <w:t xml:space="preserve">Dr </w:t>
      </w:r>
      <w:r w:rsidRPr="007A47A8">
        <w:rPr>
          <w:rFonts w:ascii="Garamond" w:hAnsi="Garamond"/>
          <w:bCs/>
          <w:lang w:val="en-AU"/>
        </w:rPr>
        <w:t xml:space="preserve">Niall Johnson </w:t>
      </w:r>
      <w:hyperlink r:id="rId15" w:history="1">
        <w:r w:rsidRPr="007A47A8">
          <w:rPr>
            <w:rStyle w:val="Hyperlink"/>
            <w:rFonts w:ascii="Garamond" w:hAnsi="Garamond"/>
            <w:bCs/>
            <w:lang w:val="en-AU"/>
          </w:rPr>
          <w:t>niall.johnson@safetyandquality.gov.au</w:t>
        </w:r>
      </w:hyperlink>
    </w:p>
    <w:p w:rsidR="009A35BE" w:rsidRPr="007A47A8" w:rsidRDefault="00210235" w:rsidP="00A8296D">
      <w:pPr>
        <w:keepNext/>
        <w:pBdr>
          <w:top w:val="single" w:sz="4" w:space="1" w:color="auto"/>
        </w:pBdr>
        <w:rPr>
          <w:rFonts w:ascii="Garamond" w:hAnsi="Garamond"/>
          <w:shd w:val="clear" w:color="auto" w:fill="FFFFFF"/>
          <w:lang w:val="en-AU"/>
        </w:rPr>
      </w:pPr>
      <w:r w:rsidRPr="007A47A8">
        <w:rPr>
          <w:rFonts w:ascii="Garamond" w:hAnsi="Garamond"/>
          <w:bCs/>
          <w:lang w:val="en-AU"/>
        </w:rPr>
        <w:t xml:space="preserve">Contributors: </w:t>
      </w:r>
      <w:r w:rsidR="0056339A" w:rsidRPr="007A47A8">
        <w:rPr>
          <w:rFonts w:ascii="Garamond" w:hAnsi="Garamond"/>
          <w:bCs/>
          <w:lang w:val="en-AU"/>
        </w:rPr>
        <w:t>Niall Johnson</w:t>
      </w:r>
      <w:bookmarkEnd w:id="1"/>
    </w:p>
    <w:p w:rsidR="00C928C2" w:rsidRPr="007A47A8" w:rsidRDefault="00C928C2" w:rsidP="00691DE3">
      <w:pPr>
        <w:keepLines/>
        <w:autoSpaceDE w:val="0"/>
        <w:autoSpaceDN w:val="0"/>
        <w:adjustRightInd w:val="0"/>
        <w:rPr>
          <w:rFonts w:ascii="Garamond" w:hAnsi="Garamond"/>
          <w:lang w:val="en-AU"/>
        </w:rPr>
      </w:pPr>
    </w:p>
    <w:p w:rsidR="007D7A6D" w:rsidRPr="007A47A8" w:rsidRDefault="007D7A6D" w:rsidP="004F47AC">
      <w:pPr>
        <w:keepNext/>
        <w:keepLines/>
        <w:autoSpaceDE w:val="0"/>
        <w:autoSpaceDN w:val="0"/>
        <w:adjustRightInd w:val="0"/>
        <w:rPr>
          <w:rFonts w:ascii="Garamond" w:hAnsi="Garamond"/>
          <w:b/>
          <w:lang w:val="en-AU"/>
        </w:rPr>
      </w:pPr>
      <w:r w:rsidRPr="007A47A8">
        <w:rPr>
          <w:rFonts w:ascii="Garamond" w:hAnsi="Garamond"/>
          <w:b/>
          <w:lang w:val="en-AU"/>
        </w:rPr>
        <w:t>Reports</w:t>
      </w:r>
    </w:p>
    <w:p w:rsidR="00732505" w:rsidRPr="007A47A8" w:rsidRDefault="00732505" w:rsidP="007D7A6D">
      <w:pPr>
        <w:keepNext/>
        <w:keepLines/>
        <w:autoSpaceDE w:val="0"/>
        <w:autoSpaceDN w:val="0"/>
        <w:adjustRightInd w:val="0"/>
        <w:rPr>
          <w:rFonts w:ascii="Garamond" w:hAnsi="Garamond"/>
          <w:i/>
          <w:lang w:val="en-AU"/>
        </w:rPr>
      </w:pPr>
    </w:p>
    <w:p w:rsidR="000A17FA" w:rsidRPr="000A17FA" w:rsidRDefault="000A17FA" w:rsidP="000A17FA">
      <w:pPr>
        <w:keepNext/>
        <w:keepLines/>
        <w:autoSpaceDE w:val="0"/>
        <w:autoSpaceDN w:val="0"/>
        <w:adjustRightInd w:val="0"/>
        <w:rPr>
          <w:rFonts w:ascii="Garamond" w:hAnsi="Garamond"/>
          <w:i/>
          <w:lang w:val="en-AU"/>
        </w:rPr>
      </w:pPr>
      <w:r w:rsidRPr="000A17FA">
        <w:rPr>
          <w:rFonts w:ascii="Garamond" w:hAnsi="Garamond"/>
          <w:i/>
          <w:lang w:val="en-AU"/>
        </w:rPr>
        <w:t>Technical Series on Safer Primary Care</w:t>
      </w:r>
    </w:p>
    <w:p w:rsidR="000A17FA" w:rsidRPr="007A47A8" w:rsidRDefault="0036203F" w:rsidP="000A17FA">
      <w:pPr>
        <w:keepNext/>
        <w:keepLines/>
        <w:autoSpaceDE w:val="0"/>
        <w:autoSpaceDN w:val="0"/>
        <w:adjustRightInd w:val="0"/>
        <w:rPr>
          <w:rFonts w:ascii="Garamond" w:hAnsi="Garamond"/>
          <w:lang w:val="en-AU"/>
        </w:rPr>
      </w:pPr>
      <w:r>
        <w:rPr>
          <w:rFonts w:ascii="Garamond" w:hAnsi="Garamond"/>
          <w:lang w:val="en-AU"/>
        </w:rPr>
        <w:t>Geneva: World Health Organization</w:t>
      </w:r>
    </w:p>
    <w:tbl>
      <w:tblPr>
        <w:tblStyle w:val="TableGrid"/>
        <w:tblW w:w="0" w:type="auto"/>
        <w:tblInd w:w="288" w:type="dxa"/>
        <w:tblLayout w:type="fixed"/>
        <w:tblLook w:val="01E0" w:firstRow="1" w:lastRow="1" w:firstColumn="1" w:lastColumn="1" w:noHBand="0" w:noVBand="0"/>
      </w:tblPr>
      <w:tblGrid>
        <w:gridCol w:w="1080"/>
        <w:gridCol w:w="8280"/>
      </w:tblGrid>
      <w:tr w:rsidR="000A17FA" w:rsidRPr="007A47A8" w:rsidTr="00C71234">
        <w:tc>
          <w:tcPr>
            <w:tcW w:w="1080" w:type="dxa"/>
            <w:tcBorders>
              <w:top w:val="single" w:sz="4" w:space="0" w:color="auto"/>
              <w:left w:val="single" w:sz="4" w:space="0" w:color="auto"/>
              <w:bottom w:val="single" w:sz="4" w:space="0" w:color="auto"/>
              <w:right w:val="single" w:sz="4" w:space="0" w:color="auto"/>
            </w:tcBorders>
            <w:vAlign w:val="center"/>
          </w:tcPr>
          <w:p w:rsidR="000A17FA" w:rsidRPr="007A47A8" w:rsidRDefault="000A17FA" w:rsidP="00C71234">
            <w:pPr>
              <w:rPr>
                <w:rStyle w:val="Hyperlink"/>
                <w:rFonts w:ascii="Garamond" w:hAnsi="Garamond"/>
                <w:lang w:val="en-AU"/>
              </w:rPr>
            </w:pPr>
            <w:r w:rsidRPr="007A47A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A17FA" w:rsidRPr="007A47A8" w:rsidRDefault="009A5FAE" w:rsidP="000A17FA">
            <w:pPr>
              <w:rPr>
                <w:rStyle w:val="Hyperlink"/>
                <w:rFonts w:ascii="Garamond" w:hAnsi="Garamond"/>
                <w:color w:val="auto"/>
                <w:u w:val="none"/>
                <w:lang w:val="en-AU"/>
              </w:rPr>
            </w:pPr>
            <w:hyperlink r:id="rId16" w:history="1">
              <w:r w:rsidR="000A17FA" w:rsidRPr="00292BC8">
                <w:rPr>
                  <w:rStyle w:val="Hyperlink"/>
                  <w:rFonts w:ascii="Garamond" w:hAnsi="Garamond"/>
                  <w:lang w:val="en-AU"/>
                </w:rPr>
                <w:t>http://www.who.int/patientsafety/topics/primary-care/technical_series/en/</w:t>
              </w:r>
            </w:hyperlink>
          </w:p>
        </w:tc>
      </w:tr>
      <w:tr w:rsidR="000A17FA" w:rsidRPr="007A47A8" w:rsidTr="00C71234">
        <w:tc>
          <w:tcPr>
            <w:tcW w:w="1080" w:type="dxa"/>
            <w:tcBorders>
              <w:top w:val="single" w:sz="4" w:space="0" w:color="auto"/>
              <w:left w:val="single" w:sz="4" w:space="0" w:color="auto"/>
              <w:bottom w:val="single" w:sz="4" w:space="0" w:color="auto"/>
              <w:right w:val="single" w:sz="4" w:space="0" w:color="auto"/>
            </w:tcBorders>
            <w:vAlign w:val="center"/>
          </w:tcPr>
          <w:p w:rsidR="000A17FA" w:rsidRPr="007A47A8" w:rsidRDefault="000A17FA" w:rsidP="00C71234">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6203F" w:rsidRPr="0036203F" w:rsidRDefault="0036203F" w:rsidP="0036203F">
            <w:pPr>
              <w:rPr>
                <w:rStyle w:val="Hyperlink"/>
                <w:rFonts w:ascii="Garamond" w:hAnsi="Garamond"/>
                <w:color w:val="auto"/>
                <w:u w:val="none"/>
                <w:lang w:val="en-AU"/>
              </w:rPr>
            </w:pPr>
            <w:r>
              <w:rPr>
                <w:rStyle w:val="Hyperlink"/>
                <w:rFonts w:ascii="Garamond" w:hAnsi="Garamond"/>
                <w:color w:val="auto"/>
                <w:u w:val="none"/>
                <w:lang w:val="en-AU"/>
              </w:rPr>
              <w:t>The World Health Organization has produced t</w:t>
            </w:r>
            <w:r w:rsidRPr="0036203F">
              <w:rPr>
                <w:rStyle w:val="Hyperlink"/>
                <w:rFonts w:ascii="Garamond" w:hAnsi="Garamond"/>
                <w:color w:val="auto"/>
                <w:u w:val="none"/>
                <w:lang w:val="en-AU"/>
              </w:rPr>
              <w:t xml:space="preserve">he Technical Series on Safer Primary Care </w:t>
            </w:r>
            <w:r>
              <w:rPr>
                <w:rStyle w:val="Hyperlink"/>
                <w:rFonts w:ascii="Garamond" w:hAnsi="Garamond"/>
                <w:color w:val="auto"/>
                <w:u w:val="none"/>
                <w:lang w:val="en-AU"/>
              </w:rPr>
              <w:t xml:space="preserve">– </w:t>
            </w:r>
            <w:r w:rsidRPr="0036203F">
              <w:rPr>
                <w:rStyle w:val="Hyperlink"/>
                <w:rFonts w:ascii="Garamond" w:hAnsi="Garamond"/>
                <w:color w:val="auto"/>
                <w:u w:val="none"/>
                <w:lang w:val="en-AU"/>
              </w:rPr>
              <w:t xml:space="preserve">a series of nine </w:t>
            </w:r>
            <w:r>
              <w:rPr>
                <w:rStyle w:val="Hyperlink"/>
                <w:rFonts w:ascii="Garamond" w:hAnsi="Garamond"/>
                <w:color w:val="auto"/>
                <w:u w:val="none"/>
                <w:lang w:val="en-AU"/>
              </w:rPr>
              <w:t xml:space="preserve">short </w:t>
            </w:r>
            <w:r w:rsidRPr="0036203F">
              <w:rPr>
                <w:rStyle w:val="Hyperlink"/>
                <w:rFonts w:ascii="Garamond" w:hAnsi="Garamond"/>
                <w:color w:val="auto"/>
                <w:u w:val="none"/>
                <w:lang w:val="en-AU"/>
              </w:rPr>
              <w:t>monographs</w:t>
            </w:r>
            <w:r>
              <w:rPr>
                <w:rStyle w:val="Hyperlink"/>
                <w:rFonts w:ascii="Garamond" w:hAnsi="Garamond"/>
                <w:color w:val="auto"/>
                <w:u w:val="none"/>
                <w:lang w:val="en-AU"/>
              </w:rPr>
              <w:t xml:space="preserve"> exploring</w:t>
            </w:r>
            <w:r w:rsidRPr="0036203F">
              <w:rPr>
                <w:rStyle w:val="Hyperlink"/>
                <w:rFonts w:ascii="Garamond" w:hAnsi="Garamond"/>
                <w:color w:val="auto"/>
                <w:u w:val="none"/>
                <w:lang w:val="en-AU"/>
              </w:rPr>
              <w:t xml:space="preserve"> the magnitude and nature of harm in the primary care setting from </w:t>
            </w:r>
            <w:r>
              <w:rPr>
                <w:rStyle w:val="Hyperlink"/>
                <w:rFonts w:ascii="Garamond" w:hAnsi="Garamond"/>
                <w:color w:val="auto"/>
                <w:u w:val="none"/>
                <w:lang w:val="en-AU"/>
              </w:rPr>
              <w:t xml:space="preserve">various perspective. </w:t>
            </w:r>
            <w:r w:rsidRPr="0036203F">
              <w:rPr>
                <w:rStyle w:val="Hyperlink"/>
                <w:rFonts w:ascii="Garamond" w:hAnsi="Garamond"/>
                <w:color w:val="auto"/>
                <w:u w:val="none"/>
                <w:lang w:val="en-AU"/>
              </w:rPr>
              <w:t>Each monograph describes the scope, approach, potential solutions, practical next steps, concluding remarks, and then provides links to online toolkits and manuals to provide practical suggestions for countries and organizations that have committed to moving forward this agenda.</w:t>
            </w:r>
          </w:p>
          <w:p w:rsidR="000A17FA" w:rsidRDefault="0036203F" w:rsidP="0036203F">
            <w:pPr>
              <w:rPr>
                <w:rStyle w:val="Hyperlink"/>
                <w:rFonts w:ascii="Garamond" w:hAnsi="Garamond"/>
                <w:color w:val="auto"/>
                <w:u w:val="none"/>
                <w:lang w:val="en-AU"/>
              </w:rPr>
            </w:pPr>
            <w:r>
              <w:rPr>
                <w:rStyle w:val="Hyperlink"/>
                <w:rFonts w:ascii="Garamond" w:hAnsi="Garamond"/>
                <w:color w:val="auto"/>
                <w:u w:val="none"/>
                <w:lang w:val="en-AU"/>
              </w:rPr>
              <w:t>The nine monographs cover:</w:t>
            </w:r>
          </w:p>
          <w:p w:rsidR="0036203F" w:rsidRPr="0036203F" w:rsidRDefault="0036203F" w:rsidP="0036203F">
            <w:pPr>
              <w:pStyle w:val="ListParagraph"/>
              <w:numPr>
                <w:ilvl w:val="0"/>
                <w:numId w:val="48"/>
              </w:numPr>
              <w:rPr>
                <w:rStyle w:val="Hyperlink"/>
                <w:rFonts w:ascii="Garamond" w:hAnsi="Garamond"/>
                <w:color w:val="auto"/>
                <w:u w:val="none"/>
                <w:lang w:val="en-AU"/>
              </w:rPr>
            </w:pPr>
            <w:r w:rsidRPr="0036203F">
              <w:rPr>
                <w:rStyle w:val="Hyperlink"/>
                <w:rFonts w:ascii="Garamond" w:hAnsi="Garamond"/>
                <w:color w:val="auto"/>
                <w:u w:val="none"/>
                <w:lang w:val="en-AU"/>
              </w:rPr>
              <w:t>Patient engagement</w:t>
            </w:r>
          </w:p>
          <w:p w:rsidR="0036203F" w:rsidRPr="0036203F" w:rsidRDefault="0036203F" w:rsidP="0036203F">
            <w:pPr>
              <w:pStyle w:val="ListParagraph"/>
              <w:numPr>
                <w:ilvl w:val="0"/>
                <w:numId w:val="48"/>
              </w:numPr>
              <w:rPr>
                <w:rStyle w:val="Hyperlink"/>
                <w:rFonts w:ascii="Garamond" w:hAnsi="Garamond"/>
                <w:color w:val="auto"/>
                <w:u w:val="none"/>
                <w:lang w:val="en-AU"/>
              </w:rPr>
            </w:pPr>
            <w:r w:rsidRPr="0036203F">
              <w:rPr>
                <w:rStyle w:val="Hyperlink"/>
                <w:rFonts w:ascii="Garamond" w:hAnsi="Garamond"/>
                <w:color w:val="auto"/>
                <w:u w:val="none"/>
                <w:lang w:val="en-AU"/>
              </w:rPr>
              <w:t>Education and training</w:t>
            </w:r>
          </w:p>
          <w:p w:rsidR="0036203F" w:rsidRPr="0036203F" w:rsidRDefault="0036203F" w:rsidP="0036203F">
            <w:pPr>
              <w:pStyle w:val="ListParagraph"/>
              <w:numPr>
                <w:ilvl w:val="0"/>
                <w:numId w:val="48"/>
              </w:numPr>
              <w:rPr>
                <w:rStyle w:val="Hyperlink"/>
                <w:rFonts w:ascii="Garamond" w:hAnsi="Garamond"/>
                <w:color w:val="auto"/>
                <w:u w:val="none"/>
                <w:lang w:val="en-AU"/>
              </w:rPr>
            </w:pPr>
            <w:r w:rsidRPr="0036203F">
              <w:rPr>
                <w:rStyle w:val="Hyperlink"/>
                <w:rFonts w:ascii="Garamond" w:hAnsi="Garamond"/>
                <w:color w:val="auto"/>
                <w:u w:val="none"/>
                <w:lang w:val="en-AU"/>
              </w:rPr>
              <w:t>Human factors</w:t>
            </w:r>
          </w:p>
          <w:p w:rsidR="0036203F" w:rsidRPr="0036203F" w:rsidRDefault="0036203F" w:rsidP="0036203F">
            <w:pPr>
              <w:pStyle w:val="ListParagraph"/>
              <w:numPr>
                <w:ilvl w:val="0"/>
                <w:numId w:val="48"/>
              </w:numPr>
              <w:rPr>
                <w:rStyle w:val="Hyperlink"/>
                <w:rFonts w:ascii="Garamond" w:hAnsi="Garamond"/>
                <w:color w:val="auto"/>
                <w:u w:val="none"/>
                <w:lang w:val="en-AU"/>
              </w:rPr>
            </w:pPr>
            <w:r w:rsidRPr="0036203F">
              <w:rPr>
                <w:rStyle w:val="Hyperlink"/>
                <w:rFonts w:ascii="Garamond" w:hAnsi="Garamond"/>
                <w:color w:val="auto"/>
                <w:u w:val="none"/>
                <w:lang w:val="en-AU"/>
              </w:rPr>
              <w:t>Administrative errors</w:t>
            </w:r>
          </w:p>
          <w:p w:rsidR="0036203F" w:rsidRPr="0036203F" w:rsidRDefault="0036203F" w:rsidP="0036203F">
            <w:pPr>
              <w:pStyle w:val="ListParagraph"/>
              <w:numPr>
                <w:ilvl w:val="0"/>
                <w:numId w:val="48"/>
              </w:numPr>
              <w:rPr>
                <w:rStyle w:val="Hyperlink"/>
                <w:rFonts w:ascii="Garamond" w:hAnsi="Garamond"/>
                <w:color w:val="auto"/>
                <w:u w:val="none"/>
                <w:lang w:val="en-AU"/>
              </w:rPr>
            </w:pPr>
            <w:r w:rsidRPr="0036203F">
              <w:rPr>
                <w:rStyle w:val="Hyperlink"/>
                <w:rFonts w:ascii="Garamond" w:hAnsi="Garamond"/>
                <w:color w:val="auto"/>
                <w:u w:val="none"/>
                <w:lang w:val="en-AU"/>
              </w:rPr>
              <w:t>Diagnostic errors</w:t>
            </w:r>
          </w:p>
          <w:p w:rsidR="0036203F" w:rsidRPr="0036203F" w:rsidRDefault="0036203F" w:rsidP="0036203F">
            <w:pPr>
              <w:pStyle w:val="ListParagraph"/>
              <w:numPr>
                <w:ilvl w:val="0"/>
                <w:numId w:val="48"/>
              </w:numPr>
              <w:rPr>
                <w:rStyle w:val="Hyperlink"/>
                <w:rFonts w:ascii="Garamond" w:hAnsi="Garamond"/>
                <w:color w:val="auto"/>
                <w:u w:val="none"/>
                <w:lang w:val="en-AU"/>
              </w:rPr>
            </w:pPr>
            <w:r w:rsidRPr="0036203F">
              <w:rPr>
                <w:rStyle w:val="Hyperlink"/>
                <w:rFonts w:ascii="Garamond" w:hAnsi="Garamond"/>
                <w:color w:val="auto"/>
                <w:u w:val="none"/>
                <w:lang w:val="en-AU"/>
              </w:rPr>
              <w:t>Medication errors</w:t>
            </w:r>
          </w:p>
          <w:p w:rsidR="0036203F" w:rsidRPr="0036203F" w:rsidRDefault="0036203F" w:rsidP="0036203F">
            <w:pPr>
              <w:pStyle w:val="ListParagraph"/>
              <w:numPr>
                <w:ilvl w:val="0"/>
                <w:numId w:val="48"/>
              </w:numPr>
              <w:rPr>
                <w:rStyle w:val="Hyperlink"/>
                <w:rFonts w:ascii="Garamond" w:hAnsi="Garamond"/>
                <w:color w:val="auto"/>
                <w:u w:val="none"/>
                <w:lang w:val="en-AU"/>
              </w:rPr>
            </w:pPr>
            <w:r w:rsidRPr="0036203F">
              <w:rPr>
                <w:rStyle w:val="Hyperlink"/>
                <w:rFonts w:ascii="Garamond" w:hAnsi="Garamond"/>
                <w:color w:val="auto"/>
                <w:u w:val="none"/>
                <w:lang w:val="en-AU"/>
              </w:rPr>
              <w:t>Multimorbidity</w:t>
            </w:r>
          </w:p>
          <w:p w:rsidR="0036203F" w:rsidRPr="0036203F" w:rsidRDefault="0036203F" w:rsidP="0036203F">
            <w:pPr>
              <w:pStyle w:val="ListParagraph"/>
              <w:numPr>
                <w:ilvl w:val="0"/>
                <w:numId w:val="48"/>
              </w:numPr>
              <w:rPr>
                <w:rStyle w:val="Hyperlink"/>
                <w:rFonts w:ascii="Garamond" w:hAnsi="Garamond"/>
                <w:color w:val="auto"/>
                <w:u w:val="none"/>
                <w:lang w:val="en-AU"/>
              </w:rPr>
            </w:pPr>
            <w:r w:rsidRPr="0036203F">
              <w:rPr>
                <w:rStyle w:val="Hyperlink"/>
                <w:rFonts w:ascii="Garamond" w:hAnsi="Garamond"/>
                <w:color w:val="auto"/>
                <w:u w:val="none"/>
                <w:lang w:val="en-AU"/>
              </w:rPr>
              <w:t>Transitions of care</w:t>
            </w:r>
          </w:p>
          <w:p w:rsidR="0036203F" w:rsidRPr="0036203F" w:rsidRDefault="0036203F" w:rsidP="0036203F">
            <w:pPr>
              <w:pStyle w:val="ListParagraph"/>
              <w:numPr>
                <w:ilvl w:val="0"/>
                <w:numId w:val="48"/>
              </w:numPr>
              <w:rPr>
                <w:rStyle w:val="Hyperlink"/>
                <w:rFonts w:ascii="Garamond" w:hAnsi="Garamond"/>
                <w:color w:val="auto"/>
                <w:u w:val="none"/>
                <w:lang w:val="en-AU"/>
              </w:rPr>
            </w:pPr>
            <w:r w:rsidRPr="0036203F">
              <w:rPr>
                <w:rStyle w:val="Hyperlink"/>
                <w:rFonts w:ascii="Garamond" w:hAnsi="Garamond"/>
                <w:color w:val="auto"/>
                <w:u w:val="none"/>
                <w:lang w:val="en-AU"/>
              </w:rPr>
              <w:t>Electronic tools</w:t>
            </w:r>
            <w:r>
              <w:rPr>
                <w:rStyle w:val="Hyperlink"/>
                <w:rFonts w:ascii="Garamond" w:hAnsi="Garamond"/>
                <w:color w:val="auto"/>
                <w:u w:val="none"/>
                <w:lang w:val="en-AU"/>
              </w:rPr>
              <w:t>.</w:t>
            </w:r>
          </w:p>
        </w:tc>
      </w:tr>
    </w:tbl>
    <w:p w:rsidR="00156D91" w:rsidRPr="00156D91" w:rsidRDefault="00156D91" w:rsidP="00156D91">
      <w:pPr>
        <w:keepNext/>
        <w:keepLines/>
        <w:autoSpaceDE w:val="0"/>
        <w:autoSpaceDN w:val="0"/>
        <w:adjustRightInd w:val="0"/>
        <w:rPr>
          <w:rFonts w:ascii="Garamond" w:hAnsi="Garamond"/>
          <w:i/>
          <w:lang w:val="en-AU"/>
        </w:rPr>
      </w:pPr>
      <w:r w:rsidRPr="00156D91">
        <w:rPr>
          <w:rFonts w:ascii="Garamond" w:hAnsi="Garamond"/>
          <w:i/>
          <w:lang w:val="en-AU"/>
        </w:rPr>
        <w:lastRenderedPageBreak/>
        <w:t>Tackling Wasteful Spending on Health</w:t>
      </w:r>
    </w:p>
    <w:p w:rsidR="00156D91" w:rsidRDefault="00156D91" w:rsidP="00B93783">
      <w:pPr>
        <w:keepNext/>
        <w:keepLines/>
        <w:autoSpaceDE w:val="0"/>
        <w:autoSpaceDN w:val="0"/>
        <w:adjustRightInd w:val="0"/>
        <w:rPr>
          <w:rFonts w:ascii="Garamond" w:hAnsi="Garamond"/>
          <w:lang w:val="en-AU"/>
        </w:rPr>
      </w:pPr>
      <w:r w:rsidRPr="00156D91">
        <w:rPr>
          <w:rFonts w:ascii="Garamond" w:hAnsi="Garamond"/>
          <w:lang w:val="en-AU"/>
        </w:rPr>
        <w:t>OECD</w:t>
      </w:r>
    </w:p>
    <w:p w:rsidR="00B93783" w:rsidRPr="007A47A8" w:rsidRDefault="0036203F" w:rsidP="00B93783">
      <w:pPr>
        <w:keepNext/>
        <w:keepLines/>
        <w:autoSpaceDE w:val="0"/>
        <w:autoSpaceDN w:val="0"/>
        <w:adjustRightInd w:val="0"/>
        <w:rPr>
          <w:rFonts w:ascii="Garamond" w:hAnsi="Garamond"/>
          <w:lang w:val="en-AU"/>
        </w:rPr>
      </w:pPr>
      <w:r>
        <w:rPr>
          <w:rFonts w:ascii="Garamond" w:hAnsi="Garamond"/>
          <w:lang w:val="en-AU"/>
        </w:rPr>
        <w:t xml:space="preserve">Paris: </w:t>
      </w:r>
      <w:r w:rsidR="00156D91" w:rsidRPr="00156D91">
        <w:rPr>
          <w:rFonts w:ascii="Garamond" w:hAnsi="Garamond"/>
          <w:lang w:val="en-AU"/>
        </w:rPr>
        <w:t>OECD Publishing; 2017.</w:t>
      </w:r>
      <w:r w:rsidR="0019425E">
        <w:rPr>
          <w:rFonts w:ascii="Garamond" w:hAnsi="Garamond"/>
          <w:lang w:val="en-AU"/>
        </w:rPr>
        <w:t xml:space="preserve"> 306p.</w:t>
      </w:r>
    </w:p>
    <w:tbl>
      <w:tblPr>
        <w:tblStyle w:val="TableGrid"/>
        <w:tblW w:w="0" w:type="auto"/>
        <w:tblInd w:w="288" w:type="dxa"/>
        <w:tblLayout w:type="fixed"/>
        <w:tblLook w:val="01E0" w:firstRow="1" w:lastRow="1" w:firstColumn="1" w:lastColumn="1" w:noHBand="0" w:noVBand="0"/>
      </w:tblPr>
      <w:tblGrid>
        <w:gridCol w:w="1080"/>
        <w:gridCol w:w="8280"/>
      </w:tblGrid>
      <w:tr w:rsidR="002B14D7" w:rsidRPr="007A47A8" w:rsidTr="00BC740C">
        <w:tc>
          <w:tcPr>
            <w:tcW w:w="1080" w:type="dxa"/>
            <w:tcBorders>
              <w:top w:val="single" w:sz="4" w:space="0" w:color="auto"/>
              <w:left w:val="single" w:sz="4" w:space="0" w:color="auto"/>
              <w:bottom w:val="single" w:sz="4" w:space="0" w:color="auto"/>
              <w:right w:val="single" w:sz="4" w:space="0" w:color="auto"/>
            </w:tcBorders>
            <w:vAlign w:val="center"/>
          </w:tcPr>
          <w:p w:rsidR="002B14D7" w:rsidRPr="007A47A8" w:rsidRDefault="00156D91" w:rsidP="00BC740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56D91" w:rsidRPr="007A47A8" w:rsidRDefault="009A5FAE" w:rsidP="00156D91">
            <w:pPr>
              <w:rPr>
                <w:rStyle w:val="Hyperlink"/>
                <w:rFonts w:ascii="Garamond" w:hAnsi="Garamond"/>
                <w:color w:val="auto"/>
                <w:u w:val="none"/>
                <w:lang w:val="en-AU"/>
              </w:rPr>
            </w:pPr>
            <w:hyperlink r:id="rId17" w:history="1">
              <w:r w:rsidR="00156D91" w:rsidRPr="000D3BC7">
                <w:rPr>
                  <w:rStyle w:val="Hyperlink"/>
                  <w:rFonts w:ascii="Garamond" w:hAnsi="Garamond"/>
                  <w:lang w:val="en-AU"/>
                </w:rPr>
                <w:t>http://dx.doi.org/10.1787/9789264266414-en</w:t>
              </w:r>
            </w:hyperlink>
          </w:p>
        </w:tc>
      </w:tr>
      <w:tr w:rsidR="008D5DBA" w:rsidRPr="007A47A8" w:rsidTr="00BC740C">
        <w:tc>
          <w:tcPr>
            <w:tcW w:w="1080" w:type="dxa"/>
            <w:tcBorders>
              <w:top w:val="single" w:sz="4" w:space="0" w:color="auto"/>
              <w:left w:val="single" w:sz="4" w:space="0" w:color="auto"/>
              <w:bottom w:val="single" w:sz="4" w:space="0" w:color="auto"/>
              <w:right w:val="single" w:sz="4" w:space="0" w:color="auto"/>
            </w:tcBorders>
            <w:vAlign w:val="center"/>
          </w:tcPr>
          <w:p w:rsidR="008D5DBA" w:rsidRDefault="008D5DBA" w:rsidP="00BC740C">
            <w:pPr>
              <w:rPr>
                <w:rFonts w:ascii="Garamond" w:hAnsi="Garamond"/>
                <w:lang w:val="en-AU"/>
              </w:rPr>
            </w:pPr>
            <w:r>
              <w:rPr>
                <w:rFonts w:ascii="Garamond" w:hAnsi="Garamond"/>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8D5DBA" w:rsidRDefault="008D5DBA" w:rsidP="00156D91">
            <w:pPr>
              <w:rPr>
                <w:rStyle w:val="Hyperlink"/>
                <w:rFonts w:ascii="Garamond" w:hAnsi="Garamond"/>
                <w:color w:val="auto"/>
                <w:u w:val="none"/>
                <w:lang w:val="en-AU"/>
              </w:rPr>
            </w:pPr>
            <w:r>
              <w:rPr>
                <w:rStyle w:val="Hyperlink"/>
                <w:rFonts w:ascii="Garamond" w:hAnsi="Garamond"/>
                <w:color w:val="auto"/>
                <w:u w:val="none"/>
                <w:lang w:val="en-AU"/>
              </w:rPr>
              <w:t>D17-955</w:t>
            </w:r>
          </w:p>
        </w:tc>
      </w:tr>
      <w:tr w:rsidR="002B14D7" w:rsidRPr="007A47A8" w:rsidTr="00BC740C">
        <w:tc>
          <w:tcPr>
            <w:tcW w:w="1080" w:type="dxa"/>
            <w:tcBorders>
              <w:top w:val="single" w:sz="4" w:space="0" w:color="auto"/>
              <w:left w:val="single" w:sz="4" w:space="0" w:color="auto"/>
              <w:bottom w:val="single" w:sz="4" w:space="0" w:color="auto"/>
              <w:right w:val="single" w:sz="4" w:space="0" w:color="auto"/>
            </w:tcBorders>
            <w:vAlign w:val="center"/>
          </w:tcPr>
          <w:p w:rsidR="002B14D7" w:rsidRPr="007A47A8" w:rsidRDefault="002B14D7" w:rsidP="00BC740C">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56D91" w:rsidRDefault="00156D91" w:rsidP="00156D91">
            <w:pPr>
              <w:rPr>
                <w:rStyle w:val="Hyperlink"/>
                <w:rFonts w:ascii="Garamond" w:hAnsi="Garamond"/>
                <w:color w:val="auto"/>
                <w:u w:val="none"/>
                <w:lang w:val="en-AU"/>
              </w:rPr>
            </w:pPr>
            <w:r>
              <w:rPr>
                <w:rStyle w:val="Hyperlink"/>
                <w:rFonts w:ascii="Garamond" w:hAnsi="Garamond"/>
                <w:color w:val="auto"/>
                <w:u w:val="none"/>
                <w:lang w:val="en-AU"/>
              </w:rPr>
              <w:t xml:space="preserve">The topics of appropriateness, overuse/underuse, </w:t>
            </w:r>
            <w:r w:rsidR="007F1977">
              <w:rPr>
                <w:rStyle w:val="Hyperlink"/>
                <w:rFonts w:ascii="Garamond" w:hAnsi="Garamond"/>
                <w:color w:val="auto"/>
                <w:u w:val="none"/>
                <w:lang w:val="en-AU"/>
              </w:rPr>
              <w:t xml:space="preserve">value </w:t>
            </w:r>
            <w:r>
              <w:rPr>
                <w:rStyle w:val="Hyperlink"/>
                <w:rFonts w:ascii="Garamond" w:hAnsi="Garamond"/>
                <w:color w:val="auto"/>
                <w:u w:val="none"/>
                <w:lang w:val="en-AU"/>
              </w:rPr>
              <w:t xml:space="preserve">and waste can be considered to have some degree of overlap. This is reflected in, among other things, this new report from the OECD. </w:t>
            </w:r>
          </w:p>
          <w:p w:rsidR="0036203F" w:rsidRPr="0036203F" w:rsidRDefault="0036203F" w:rsidP="0036203F">
            <w:pPr>
              <w:rPr>
                <w:rStyle w:val="Hyperlink"/>
                <w:rFonts w:ascii="Garamond" w:hAnsi="Garamond"/>
                <w:color w:val="auto"/>
                <w:u w:val="none"/>
                <w:lang w:val="en-AU"/>
              </w:rPr>
            </w:pPr>
            <w:r>
              <w:rPr>
                <w:rStyle w:val="Hyperlink"/>
                <w:rFonts w:ascii="Garamond" w:hAnsi="Garamond"/>
                <w:color w:val="auto"/>
                <w:u w:val="none"/>
                <w:lang w:val="en-AU"/>
              </w:rPr>
              <w:t>In the report’s foreword it is noted that “</w:t>
            </w:r>
            <w:r w:rsidRPr="0036203F">
              <w:rPr>
                <w:rStyle w:val="Hyperlink"/>
                <w:rFonts w:ascii="Garamond" w:hAnsi="Garamond"/>
                <w:color w:val="auto"/>
                <w:u w:val="none"/>
                <w:lang w:val="en-AU"/>
              </w:rPr>
              <w:t>it is alarming that around one</w:t>
            </w:r>
            <w:r>
              <w:rPr>
                <w:rStyle w:val="Hyperlink"/>
                <w:rFonts w:ascii="Garamond" w:hAnsi="Garamond"/>
                <w:color w:val="auto"/>
                <w:u w:val="none"/>
                <w:lang w:val="en-AU"/>
              </w:rPr>
              <w:t>-</w:t>
            </w:r>
            <w:r w:rsidRPr="0036203F">
              <w:rPr>
                <w:rStyle w:val="Hyperlink"/>
                <w:rFonts w:ascii="Garamond" w:hAnsi="Garamond"/>
                <w:color w:val="auto"/>
                <w:u w:val="none"/>
                <w:lang w:val="en-AU"/>
              </w:rPr>
              <w:t>fifth</w:t>
            </w:r>
            <w:r>
              <w:rPr>
                <w:rStyle w:val="Hyperlink"/>
                <w:rFonts w:ascii="Garamond" w:hAnsi="Garamond"/>
                <w:color w:val="auto"/>
                <w:u w:val="none"/>
                <w:lang w:val="en-AU"/>
              </w:rPr>
              <w:t xml:space="preserve"> </w:t>
            </w:r>
            <w:r w:rsidRPr="0036203F">
              <w:rPr>
                <w:rStyle w:val="Hyperlink"/>
                <w:rFonts w:ascii="Garamond" w:hAnsi="Garamond"/>
                <w:color w:val="auto"/>
                <w:u w:val="none"/>
                <w:lang w:val="en-AU"/>
              </w:rPr>
              <w:t>of health expenditure makes no or minimal contribution to good health outcomes. Put in other</w:t>
            </w:r>
            <w:r>
              <w:rPr>
                <w:rStyle w:val="Hyperlink"/>
                <w:rFonts w:ascii="Garamond" w:hAnsi="Garamond"/>
                <w:color w:val="auto"/>
                <w:u w:val="none"/>
                <w:lang w:val="en-AU"/>
              </w:rPr>
              <w:t xml:space="preserve"> </w:t>
            </w:r>
            <w:r w:rsidRPr="0036203F">
              <w:rPr>
                <w:rStyle w:val="Hyperlink"/>
                <w:rFonts w:ascii="Garamond" w:hAnsi="Garamond"/>
                <w:color w:val="auto"/>
                <w:u w:val="none"/>
                <w:lang w:val="en-AU"/>
              </w:rPr>
              <w:t>words, governments could spend significantly less on health care and still improve patients’ health.</w:t>
            </w:r>
            <w:r w:rsidR="008B2A13">
              <w:rPr>
                <w:rStyle w:val="Hyperlink"/>
                <w:rFonts w:ascii="Garamond" w:hAnsi="Garamond"/>
                <w:color w:val="auto"/>
                <w:u w:val="none"/>
                <w:lang w:val="en-AU"/>
              </w:rPr>
              <w:t xml:space="preserve"> </w:t>
            </w:r>
            <w:r w:rsidRPr="0036203F">
              <w:rPr>
                <w:rStyle w:val="Hyperlink"/>
                <w:rFonts w:ascii="Garamond" w:hAnsi="Garamond"/>
                <w:color w:val="auto"/>
                <w:u w:val="none"/>
                <w:lang w:val="en-AU"/>
              </w:rPr>
              <w:t>Efforts to improve the efficiency of health spending at the margin are no longer good enough.</w:t>
            </w:r>
          </w:p>
          <w:p w:rsidR="0036203F" w:rsidRDefault="0036203F" w:rsidP="0036203F">
            <w:pPr>
              <w:rPr>
                <w:rStyle w:val="Hyperlink"/>
                <w:rFonts w:ascii="Garamond" w:hAnsi="Garamond"/>
                <w:color w:val="auto"/>
                <w:u w:val="none"/>
                <w:lang w:val="en-AU"/>
              </w:rPr>
            </w:pPr>
            <w:r w:rsidRPr="0036203F">
              <w:rPr>
                <w:rStyle w:val="Hyperlink"/>
                <w:rFonts w:ascii="Garamond" w:hAnsi="Garamond"/>
                <w:color w:val="auto"/>
                <w:u w:val="none"/>
                <w:lang w:val="en-AU"/>
              </w:rPr>
              <w:t>This report suggests that policy makers can make smarter use of health care budgets and cut</w:t>
            </w:r>
            <w:r>
              <w:rPr>
                <w:rStyle w:val="Hyperlink"/>
                <w:rFonts w:ascii="Garamond" w:hAnsi="Garamond"/>
                <w:color w:val="auto"/>
                <w:u w:val="none"/>
                <w:lang w:val="en-AU"/>
              </w:rPr>
              <w:t xml:space="preserve"> </w:t>
            </w:r>
            <w:r w:rsidRPr="0036203F">
              <w:rPr>
                <w:rStyle w:val="Hyperlink"/>
                <w:rFonts w:ascii="Garamond" w:hAnsi="Garamond"/>
                <w:color w:val="auto"/>
                <w:u w:val="none"/>
                <w:lang w:val="en-AU"/>
              </w:rPr>
              <w:t>waste with surgical precision, while improving patients’ health. Actions to tackle waste are needed</w:t>
            </w:r>
            <w:r>
              <w:rPr>
                <w:rStyle w:val="Hyperlink"/>
                <w:rFonts w:ascii="Garamond" w:hAnsi="Garamond"/>
                <w:color w:val="auto"/>
                <w:u w:val="none"/>
                <w:lang w:val="en-AU"/>
              </w:rPr>
              <w:t xml:space="preserve"> </w:t>
            </w:r>
            <w:r w:rsidRPr="0036203F">
              <w:rPr>
                <w:rStyle w:val="Hyperlink"/>
                <w:rFonts w:ascii="Garamond" w:hAnsi="Garamond"/>
                <w:color w:val="auto"/>
                <w:u w:val="none"/>
                <w:lang w:val="en-AU"/>
              </w:rPr>
              <w:t>in the delivery of care, in the management of health services, and in the governance of health care</w:t>
            </w:r>
            <w:r>
              <w:rPr>
                <w:rStyle w:val="Hyperlink"/>
                <w:rFonts w:ascii="Garamond" w:hAnsi="Garamond"/>
                <w:color w:val="auto"/>
                <w:u w:val="none"/>
                <w:lang w:val="en-AU"/>
              </w:rPr>
              <w:t xml:space="preserve"> </w:t>
            </w:r>
            <w:r w:rsidRPr="0036203F">
              <w:rPr>
                <w:rStyle w:val="Hyperlink"/>
                <w:rFonts w:ascii="Garamond" w:hAnsi="Garamond"/>
                <w:color w:val="auto"/>
                <w:u w:val="none"/>
                <w:lang w:val="en-AU"/>
              </w:rPr>
              <w:t>systems. Strategies include stopping spending on actions that do not result in value – for example,</w:t>
            </w:r>
            <w:r>
              <w:rPr>
                <w:rStyle w:val="Hyperlink"/>
                <w:rFonts w:ascii="Garamond" w:hAnsi="Garamond"/>
                <w:color w:val="auto"/>
                <w:u w:val="none"/>
                <w:lang w:val="en-AU"/>
              </w:rPr>
              <w:t xml:space="preserve"> </w:t>
            </w:r>
            <w:r w:rsidRPr="0036203F">
              <w:rPr>
                <w:rStyle w:val="Hyperlink"/>
                <w:rFonts w:ascii="Garamond" w:hAnsi="Garamond"/>
                <w:color w:val="auto"/>
                <w:u w:val="none"/>
                <w:lang w:val="en-AU"/>
              </w:rPr>
              <w:t>unnecessary surgeries and clinical procedures. Swapping inputs or changing approaches when</w:t>
            </w:r>
            <w:r>
              <w:rPr>
                <w:rStyle w:val="Hyperlink"/>
                <w:rFonts w:ascii="Garamond" w:hAnsi="Garamond"/>
                <w:color w:val="auto"/>
                <w:u w:val="none"/>
                <w:lang w:val="en-AU"/>
              </w:rPr>
              <w:t xml:space="preserve"> </w:t>
            </w:r>
            <w:r w:rsidRPr="0036203F">
              <w:rPr>
                <w:rStyle w:val="Hyperlink"/>
                <w:rFonts w:ascii="Garamond" w:hAnsi="Garamond"/>
                <w:color w:val="auto"/>
                <w:u w:val="none"/>
                <w:lang w:val="en-AU"/>
              </w:rPr>
              <w:t>equivalent but less pricy alternatives of equal value exist are valid strategies, too – for example,</w:t>
            </w:r>
            <w:r>
              <w:rPr>
                <w:rStyle w:val="Hyperlink"/>
                <w:rFonts w:ascii="Garamond" w:hAnsi="Garamond"/>
                <w:color w:val="auto"/>
                <w:u w:val="none"/>
                <w:lang w:val="en-AU"/>
              </w:rPr>
              <w:t xml:space="preserve"> </w:t>
            </w:r>
            <w:r w:rsidRPr="0036203F">
              <w:rPr>
                <w:rStyle w:val="Hyperlink"/>
                <w:rFonts w:ascii="Garamond" w:hAnsi="Garamond"/>
                <w:color w:val="auto"/>
                <w:u w:val="none"/>
                <w:lang w:val="en-AU"/>
              </w:rPr>
              <w:t>encouraging the use of generic drugs, developing advanced roles for nurses, or ensuring that patients</w:t>
            </w:r>
            <w:r>
              <w:rPr>
                <w:rStyle w:val="Hyperlink"/>
                <w:rFonts w:ascii="Garamond" w:hAnsi="Garamond"/>
                <w:color w:val="auto"/>
                <w:u w:val="none"/>
                <w:lang w:val="en-AU"/>
              </w:rPr>
              <w:t xml:space="preserve"> </w:t>
            </w:r>
            <w:r w:rsidRPr="0036203F">
              <w:rPr>
                <w:rStyle w:val="Hyperlink"/>
                <w:rFonts w:ascii="Garamond" w:hAnsi="Garamond"/>
                <w:color w:val="auto"/>
                <w:u w:val="none"/>
                <w:lang w:val="en-AU"/>
              </w:rPr>
              <w:t>who do not require hospital care are treated in less resource-consuming settings.</w:t>
            </w:r>
            <w:r>
              <w:rPr>
                <w:rStyle w:val="Hyperlink"/>
                <w:rFonts w:ascii="Garamond" w:hAnsi="Garamond"/>
                <w:color w:val="auto"/>
                <w:u w:val="none"/>
                <w:lang w:val="en-AU"/>
              </w:rPr>
              <w:t>”</w:t>
            </w:r>
          </w:p>
          <w:p w:rsidR="00B93783" w:rsidRPr="007A47A8" w:rsidRDefault="000D0F62" w:rsidP="000D0F62">
            <w:pPr>
              <w:rPr>
                <w:rStyle w:val="Hyperlink"/>
                <w:rFonts w:ascii="Garamond" w:hAnsi="Garamond"/>
                <w:color w:val="auto"/>
                <w:u w:val="none"/>
                <w:lang w:val="en-AU"/>
              </w:rPr>
            </w:pPr>
            <w:r>
              <w:rPr>
                <w:rStyle w:val="Hyperlink"/>
                <w:rFonts w:ascii="Garamond" w:hAnsi="Garamond"/>
                <w:color w:val="auto"/>
                <w:u w:val="none"/>
                <w:lang w:val="en-AU"/>
              </w:rPr>
              <w:t>In addition to the more obvious waste of money and resources, w</w:t>
            </w:r>
            <w:r w:rsidR="00156D91">
              <w:rPr>
                <w:rStyle w:val="Hyperlink"/>
                <w:rFonts w:ascii="Garamond" w:hAnsi="Garamond"/>
                <w:color w:val="auto"/>
                <w:u w:val="none"/>
                <w:lang w:val="en-AU"/>
              </w:rPr>
              <w:t>aste and overuse also have an opportunity cost in that those resources cannot be used for other patients.</w:t>
            </w:r>
          </w:p>
        </w:tc>
      </w:tr>
    </w:tbl>
    <w:p w:rsidR="0036203F" w:rsidRDefault="0036203F" w:rsidP="00EC6EAB">
      <w:pPr>
        <w:keepNext/>
        <w:keepLines/>
        <w:autoSpaceDE w:val="0"/>
        <w:autoSpaceDN w:val="0"/>
        <w:adjustRightInd w:val="0"/>
        <w:rPr>
          <w:rFonts w:ascii="Garamond" w:hAnsi="Garamond"/>
          <w:i/>
          <w:lang w:val="en-AU"/>
        </w:rPr>
      </w:pPr>
    </w:p>
    <w:p w:rsidR="000D0F62" w:rsidRPr="008267CF" w:rsidRDefault="000D0F62" w:rsidP="000D0F62">
      <w:pPr>
        <w:keepNext/>
        <w:rPr>
          <w:rFonts w:ascii="Garamond" w:hAnsi="Garamond"/>
          <w:i/>
          <w:lang w:val="en-AU"/>
        </w:rPr>
      </w:pPr>
      <w:r w:rsidRPr="00E81D01">
        <w:rPr>
          <w:rFonts w:ascii="Garamond" w:hAnsi="Garamond"/>
          <w:i/>
          <w:lang w:val="en-AU"/>
        </w:rPr>
        <w:t>Improving end-of-life care in Australia</w:t>
      </w:r>
    </w:p>
    <w:p w:rsidR="000D0F62" w:rsidRPr="008267CF" w:rsidRDefault="000D0F62" w:rsidP="000D0F62">
      <w:pPr>
        <w:keepNext/>
        <w:rPr>
          <w:rFonts w:ascii="Garamond" w:hAnsi="Garamond"/>
          <w:lang w:val="en-AU"/>
        </w:rPr>
      </w:pPr>
      <w:r w:rsidRPr="008267CF">
        <w:rPr>
          <w:rFonts w:ascii="Garamond" w:hAnsi="Garamond"/>
          <w:lang w:val="en-AU"/>
        </w:rPr>
        <w:t>Deeble Institute Evidence Brief No 1</w:t>
      </w:r>
      <w:r>
        <w:rPr>
          <w:rFonts w:ascii="Garamond" w:hAnsi="Garamond"/>
          <w:lang w:val="en-AU"/>
        </w:rPr>
        <w:t>9</w:t>
      </w:r>
    </w:p>
    <w:p w:rsidR="000D0F62" w:rsidRDefault="000D0F62" w:rsidP="000D0F62">
      <w:pPr>
        <w:keepNext/>
        <w:rPr>
          <w:rFonts w:ascii="Garamond" w:hAnsi="Garamond"/>
          <w:lang w:val="en-AU"/>
        </w:rPr>
      </w:pPr>
      <w:r w:rsidRPr="00E81D01">
        <w:rPr>
          <w:rFonts w:ascii="Garamond" w:hAnsi="Garamond"/>
          <w:lang w:val="en-AU"/>
        </w:rPr>
        <w:t>Jones A, Silk K</w:t>
      </w:r>
    </w:p>
    <w:p w:rsidR="000D0F62" w:rsidRPr="008267CF" w:rsidRDefault="000D0F62" w:rsidP="000D0F62">
      <w:pPr>
        <w:keepNext/>
        <w:rPr>
          <w:rFonts w:ascii="Garamond" w:hAnsi="Garamond"/>
          <w:lang w:val="en-AU"/>
        </w:rPr>
      </w:pPr>
      <w:r w:rsidRPr="008267CF">
        <w:rPr>
          <w:rFonts w:ascii="Garamond" w:hAnsi="Garamond"/>
          <w:lang w:val="en-AU"/>
        </w:rPr>
        <w:t>Canberra: Australian Healthcare and Hospitals Association; 201</w:t>
      </w:r>
      <w:r>
        <w:rPr>
          <w:rFonts w:ascii="Garamond" w:hAnsi="Garamond"/>
          <w:lang w:val="en-AU"/>
        </w:rPr>
        <w:t>6. p. 15</w:t>
      </w:r>
      <w:r w:rsidRPr="008267CF">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D0F62" w:rsidRPr="008267CF" w:rsidTr="00C71234">
        <w:tc>
          <w:tcPr>
            <w:tcW w:w="1080" w:type="dxa"/>
            <w:tcBorders>
              <w:top w:val="single" w:sz="4" w:space="0" w:color="auto"/>
              <w:left w:val="single" w:sz="4" w:space="0" w:color="auto"/>
              <w:bottom w:val="single" w:sz="4" w:space="0" w:color="auto"/>
              <w:right w:val="single" w:sz="4" w:space="0" w:color="auto"/>
            </w:tcBorders>
            <w:vAlign w:val="center"/>
          </w:tcPr>
          <w:p w:rsidR="000D0F62" w:rsidRPr="008267CF" w:rsidRDefault="000D0F62" w:rsidP="00C71234">
            <w:pPr>
              <w:rPr>
                <w:rStyle w:val="Hyperlink"/>
                <w:rFonts w:ascii="Garamond" w:hAnsi="Garamond"/>
                <w:lang w:val="en-AU"/>
              </w:rPr>
            </w:pPr>
            <w:r w:rsidRPr="008267C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D0F62" w:rsidRPr="008267CF" w:rsidRDefault="009A5FAE" w:rsidP="00C71234">
            <w:pPr>
              <w:shd w:val="clear" w:color="auto" w:fill="FFFFFF"/>
              <w:rPr>
                <w:rStyle w:val="Hyperlink"/>
                <w:rFonts w:ascii="Garamond" w:hAnsi="Garamond"/>
                <w:color w:val="auto"/>
                <w:u w:val="none"/>
                <w:lang w:val="en-AU"/>
              </w:rPr>
            </w:pPr>
            <w:hyperlink r:id="rId18" w:history="1">
              <w:r w:rsidR="000D0F62" w:rsidRPr="00292BC8">
                <w:rPr>
                  <w:rStyle w:val="Hyperlink"/>
                  <w:rFonts w:ascii="Garamond" w:hAnsi="Garamond"/>
                  <w:lang w:val="en-AU"/>
                </w:rPr>
                <w:t>https://ahha.asn.au/publication/issue-briefs/improving-end-life-care-australia</w:t>
              </w:r>
            </w:hyperlink>
          </w:p>
        </w:tc>
      </w:tr>
      <w:tr w:rsidR="000D0F62" w:rsidRPr="008267CF" w:rsidTr="00C71234">
        <w:tc>
          <w:tcPr>
            <w:tcW w:w="1080" w:type="dxa"/>
            <w:tcBorders>
              <w:top w:val="single" w:sz="4" w:space="0" w:color="auto"/>
              <w:left w:val="single" w:sz="4" w:space="0" w:color="auto"/>
              <w:bottom w:val="single" w:sz="4" w:space="0" w:color="auto"/>
              <w:right w:val="single" w:sz="4" w:space="0" w:color="auto"/>
            </w:tcBorders>
            <w:vAlign w:val="center"/>
          </w:tcPr>
          <w:p w:rsidR="000D0F62" w:rsidRPr="008267CF" w:rsidRDefault="000D0F62" w:rsidP="00C71234">
            <w:pPr>
              <w:rPr>
                <w:rFonts w:ascii="Garamond" w:hAnsi="Garamond"/>
                <w:lang w:val="en-AU" w:eastAsia="en-AU"/>
              </w:rPr>
            </w:pPr>
            <w:r w:rsidRPr="008267CF">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D0F62" w:rsidRPr="00071D44" w:rsidRDefault="000D0F62" w:rsidP="00C71234">
            <w:pPr>
              <w:rPr>
                <w:rFonts w:ascii="Garamond" w:hAnsi="Garamond"/>
                <w:lang w:val="en-AU" w:eastAsia="en-AU"/>
              </w:rPr>
            </w:pPr>
            <w:r w:rsidRPr="008267CF">
              <w:rPr>
                <w:rFonts w:ascii="Garamond" w:hAnsi="Garamond"/>
                <w:lang w:val="en-AU" w:eastAsia="en-AU"/>
              </w:rPr>
              <w:t xml:space="preserve">This </w:t>
            </w:r>
            <w:r>
              <w:rPr>
                <w:rFonts w:ascii="Garamond" w:hAnsi="Garamond"/>
                <w:lang w:val="en-AU" w:eastAsia="en-AU"/>
              </w:rPr>
              <w:t>evidence</w:t>
            </w:r>
            <w:r w:rsidRPr="008267CF">
              <w:rPr>
                <w:rFonts w:ascii="Garamond" w:hAnsi="Garamond"/>
                <w:lang w:val="en-AU" w:eastAsia="en-AU"/>
              </w:rPr>
              <w:t xml:space="preserve"> brief from the Deeble Institute </w:t>
            </w:r>
            <w:r>
              <w:rPr>
                <w:rFonts w:ascii="Garamond" w:hAnsi="Garamond"/>
                <w:lang w:val="en-AU" w:eastAsia="en-AU"/>
              </w:rPr>
              <w:t xml:space="preserve">seeks to </w:t>
            </w:r>
            <w:r w:rsidRPr="00071D44">
              <w:rPr>
                <w:rFonts w:ascii="Garamond" w:hAnsi="Garamond"/>
                <w:lang w:val="en-AU" w:eastAsia="en-AU"/>
              </w:rPr>
              <w:t xml:space="preserve">raise awareness of the issues that surround end of life care and provide recommendations to further conversations among consumers and all sectors of the health system including: </w:t>
            </w:r>
          </w:p>
          <w:p w:rsidR="000D0F62" w:rsidRPr="00071D44" w:rsidRDefault="000D0F62" w:rsidP="00C71234">
            <w:pPr>
              <w:pStyle w:val="ListParagraph"/>
              <w:numPr>
                <w:ilvl w:val="0"/>
                <w:numId w:val="47"/>
              </w:numPr>
              <w:rPr>
                <w:rFonts w:ascii="Garamond" w:hAnsi="Garamond"/>
                <w:lang w:val="en-AU" w:eastAsia="en-AU"/>
              </w:rPr>
            </w:pPr>
            <w:r w:rsidRPr="00071D44">
              <w:rPr>
                <w:rFonts w:ascii="Garamond" w:hAnsi="Garamond"/>
                <w:lang w:val="en-AU" w:eastAsia="en-AU"/>
              </w:rPr>
              <w:t>Education about end of life care options for medical professionals</w:t>
            </w:r>
          </w:p>
          <w:p w:rsidR="000D0F62" w:rsidRPr="00071D44" w:rsidRDefault="000D0F62" w:rsidP="00C71234">
            <w:pPr>
              <w:pStyle w:val="ListParagraph"/>
              <w:numPr>
                <w:ilvl w:val="0"/>
                <w:numId w:val="47"/>
              </w:numPr>
              <w:rPr>
                <w:rFonts w:ascii="Garamond" w:hAnsi="Garamond"/>
                <w:lang w:val="en-AU" w:eastAsia="en-AU"/>
              </w:rPr>
            </w:pPr>
            <w:r w:rsidRPr="00071D44">
              <w:rPr>
                <w:rFonts w:ascii="Garamond" w:hAnsi="Garamond"/>
                <w:lang w:val="en-AU" w:eastAsia="en-AU"/>
              </w:rPr>
              <w:t>Conversations around preferences when nearing end of life, and underst</w:t>
            </w:r>
            <w:r>
              <w:rPr>
                <w:rFonts w:ascii="Garamond" w:hAnsi="Garamond"/>
                <w:lang w:val="en-AU" w:eastAsia="en-AU"/>
              </w:rPr>
              <w:t>anding when care becomes futile</w:t>
            </w:r>
          </w:p>
          <w:p w:rsidR="000D0F62" w:rsidRPr="00071D44" w:rsidRDefault="000D0F62" w:rsidP="00C71234">
            <w:pPr>
              <w:pStyle w:val="ListParagraph"/>
              <w:numPr>
                <w:ilvl w:val="0"/>
                <w:numId w:val="47"/>
              </w:numPr>
              <w:rPr>
                <w:rFonts w:ascii="Garamond" w:hAnsi="Garamond"/>
                <w:lang w:val="en-AU" w:eastAsia="en-AU"/>
              </w:rPr>
            </w:pPr>
            <w:r w:rsidRPr="00071D44">
              <w:rPr>
                <w:rFonts w:ascii="Garamond" w:hAnsi="Garamond"/>
                <w:lang w:val="en-AU" w:eastAsia="en-AU"/>
              </w:rPr>
              <w:t xml:space="preserve">Improved capacity to identify people who will </w:t>
            </w:r>
            <w:r>
              <w:rPr>
                <w:rFonts w:ascii="Garamond" w:hAnsi="Garamond"/>
                <w:lang w:val="en-AU" w:eastAsia="en-AU"/>
              </w:rPr>
              <w:t>die in the short to medium term</w:t>
            </w:r>
          </w:p>
          <w:p w:rsidR="000D0F62" w:rsidRPr="00071D44" w:rsidRDefault="000D0F62" w:rsidP="00C71234">
            <w:pPr>
              <w:pStyle w:val="ListParagraph"/>
              <w:numPr>
                <w:ilvl w:val="0"/>
                <w:numId w:val="47"/>
              </w:numPr>
              <w:rPr>
                <w:rFonts w:ascii="Garamond" w:hAnsi="Garamond"/>
                <w:lang w:val="en-AU" w:eastAsia="en-AU"/>
              </w:rPr>
            </w:pPr>
            <w:r w:rsidRPr="00071D44">
              <w:rPr>
                <w:rFonts w:ascii="Garamond" w:hAnsi="Garamond"/>
                <w:lang w:val="en-AU" w:eastAsia="en-AU"/>
              </w:rPr>
              <w:t>A nationally consistent legislative framework to support end of life decision-making, including harm</w:t>
            </w:r>
            <w:r>
              <w:rPr>
                <w:rFonts w:ascii="Garamond" w:hAnsi="Garamond"/>
                <w:lang w:val="en-AU" w:eastAsia="en-AU"/>
              </w:rPr>
              <w:t>onisation of advance care plans</w:t>
            </w:r>
          </w:p>
          <w:p w:rsidR="000D0F62" w:rsidRPr="00071D44" w:rsidRDefault="000D0F62" w:rsidP="00C71234">
            <w:pPr>
              <w:pStyle w:val="ListParagraph"/>
              <w:numPr>
                <w:ilvl w:val="0"/>
                <w:numId w:val="47"/>
              </w:numPr>
              <w:rPr>
                <w:rFonts w:ascii="Garamond" w:hAnsi="Garamond"/>
                <w:lang w:val="en-AU" w:eastAsia="en-AU"/>
              </w:rPr>
            </w:pPr>
            <w:r w:rsidRPr="00071D44">
              <w:rPr>
                <w:rFonts w:ascii="Garamond" w:hAnsi="Garamond"/>
                <w:lang w:val="en-AU" w:eastAsia="en-AU"/>
              </w:rPr>
              <w:t xml:space="preserve">Enhanced integration of advance care planning documents in My Health Record with primary, hospital </w:t>
            </w:r>
            <w:r>
              <w:rPr>
                <w:rFonts w:ascii="Garamond" w:hAnsi="Garamond"/>
                <w:lang w:val="en-AU" w:eastAsia="en-AU"/>
              </w:rPr>
              <w:t>and community health IT systems</w:t>
            </w:r>
          </w:p>
          <w:p w:rsidR="000D0F62" w:rsidRPr="00071D44" w:rsidRDefault="000D0F62" w:rsidP="00C71234">
            <w:pPr>
              <w:pStyle w:val="ListParagraph"/>
              <w:numPr>
                <w:ilvl w:val="0"/>
                <w:numId w:val="47"/>
              </w:numPr>
              <w:rPr>
                <w:rFonts w:ascii="Garamond" w:hAnsi="Garamond"/>
                <w:lang w:val="en-AU" w:eastAsia="en-AU"/>
              </w:rPr>
            </w:pPr>
            <w:r w:rsidRPr="00071D44">
              <w:rPr>
                <w:rFonts w:ascii="Garamond" w:hAnsi="Garamond"/>
                <w:lang w:val="en-AU" w:eastAsia="en-AU"/>
              </w:rPr>
              <w:t>Improved access to end of life</w:t>
            </w:r>
            <w:r>
              <w:rPr>
                <w:rFonts w:ascii="Garamond" w:hAnsi="Garamond"/>
                <w:lang w:val="en-AU" w:eastAsia="en-AU"/>
              </w:rPr>
              <w:t xml:space="preserve"> care in multiple care settings</w:t>
            </w:r>
          </w:p>
          <w:p w:rsidR="000D0F62" w:rsidRPr="00071D44" w:rsidRDefault="000D0F62" w:rsidP="00C71234">
            <w:pPr>
              <w:pStyle w:val="ListParagraph"/>
              <w:numPr>
                <w:ilvl w:val="0"/>
                <w:numId w:val="47"/>
              </w:numPr>
              <w:rPr>
                <w:rFonts w:ascii="Garamond" w:hAnsi="Garamond"/>
                <w:lang w:val="en-AU" w:eastAsia="en-AU"/>
              </w:rPr>
            </w:pPr>
            <w:r w:rsidRPr="00071D44">
              <w:rPr>
                <w:rFonts w:ascii="Garamond" w:hAnsi="Garamond"/>
                <w:lang w:val="en-AU" w:eastAsia="en-AU"/>
              </w:rPr>
              <w:t>Public awareness programs that promote and support EOL conversations.</w:t>
            </w:r>
          </w:p>
        </w:tc>
      </w:tr>
    </w:tbl>
    <w:p w:rsidR="000D0F62" w:rsidRPr="008267CF" w:rsidRDefault="000D0F62" w:rsidP="000D0F62">
      <w:pPr>
        <w:autoSpaceDE w:val="0"/>
        <w:autoSpaceDN w:val="0"/>
        <w:adjustRightInd w:val="0"/>
        <w:rPr>
          <w:rFonts w:ascii="Garamond" w:hAnsi="Garamond"/>
          <w:lang w:val="en-AU" w:eastAsia="en-AU"/>
        </w:rPr>
      </w:pPr>
    </w:p>
    <w:p w:rsidR="000D0F62" w:rsidRPr="008267CF" w:rsidRDefault="000D0F62" w:rsidP="000D0F62">
      <w:pPr>
        <w:autoSpaceDE w:val="0"/>
        <w:autoSpaceDN w:val="0"/>
        <w:adjustRightInd w:val="0"/>
        <w:rPr>
          <w:rFonts w:ascii="Garamond" w:hAnsi="Garamond"/>
          <w:lang w:val="en-AU" w:eastAsia="en-AU"/>
        </w:rPr>
      </w:pPr>
      <w:r w:rsidRPr="008267CF">
        <w:rPr>
          <w:rFonts w:ascii="Garamond" w:hAnsi="Garamond"/>
          <w:lang w:val="en-AU" w:eastAsia="en-AU"/>
        </w:rPr>
        <w:t xml:space="preserve">For information on the Commission’s work on </w:t>
      </w:r>
      <w:r>
        <w:rPr>
          <w:rFonts w:ascii="Garamond" w:hAnsi="Garamond"/>
          <w:lang w:val="en-AU" w:eastAsia="en-AU"/>
        </w:rPr>
        <w:t xml:space="preserve">end of life care, see </w:t>
      </w:r>
      <w:hyperlink r:id="rId19" w:history="1">
        <w:r w:rsidRPr="00292BC8">
          <w:rPr>
            <w:rStyle w:val="Hyperlink"/>
            <w:rFonts w:ascii="Garamond" w:hAnsi="Garamond"/>
            <w:lang w:val="en-AU" w:eastAsia="en-AU"/>
          </w:rPr>
          <w:t>https://www.safetyandquality.gov.au/our-work/end-of-life-care-in-acute-hospitals/</w:t>
        </w:r>
      </w:hyperlink>
    </w:p>
    <w:p w:rsidR="000D0F62" w:rsidRDefault="000D0F62" w:rsidP="000D0F62">
      <w:pPr>
        <w:rPr>
          <w:rFonts w:ascii="Garamond" w:hAnsi="Garamond"/>
          <w:lang w:val="en-AU"/>
        </w:rPr>
      </w:pPr>
    </w:p>
    <w:p w:rsidR="00EC6EAB" w:rsidRPr="00EC6EAB" w:rsidRDefault="00EC6EAB" w:rsidP="00EC6EAB">
      <w:pPr>
        <w:keepNext/>
        <w:keepLines/>
        <w:autoSpaceDE w:val="0"/>
        <w:autoSpaceDN w:val="0"/>
        <w:adjustRightInd w:val="0"/>
        <w:rPr>
          <w:rFonts w:ascii="Garamond" w:hAnsi="Garamond"/>
          <w:i/>
          <w:lang w:val="en-AU"/>
        </w:rPr>
      </w:pPr>
      <w:r w:rsidRPr="00EC6EAB">
        <w:rPr>
          <w:rFonts w:ascii="Garamond" w:hAnsi="Garamond"/>
          <w:i/>
          <w:lang w:val="en-AU"/>
        </w:rPr>
        <w:lastRenderedPageBreak/>
        <w:t>ParkinsonNet: An Innovative Dutch Approach to Patient-Centered Care for a Degenerative Disease</w:t>
      </w:r>
    </w:p>
    <w:p w:rsidR="00EC6EAB" w:rsidRDefault="00EC6EAB" w:rsidP="00EC6EAB">
      <w:pPr>
        <w:keepNext/>
        <w:keepLines/>
        <w:autoSpaceDE w:val="0"/>
        <w:autoSpaceDN w:val="0"/>
        <w:adjustRightInd w:val="0"/>
        <w:rPr>
          <w:rFonts w:ascii="Garamond" w:hAnsi="Garamond"/>
          <w:lang w:val="en-AU"/>
        </w:rPr>
      </w:pPr>
      <w:r w:rsidRPr="00EC6EAB">
        <w:rPr>
          <w:rFonts w:ascii="Garamond" w:hAnsi="Garamond"/>
          <w:lang w:val="en-AU"/>
        </w:rPr>
        <w:t>Gray BH, Sarnak DO, Tanke M</w:t>
      </w:r>
    </w:p>
    <w:p w:rsidR="00EC6EAB" w:rsidRPr="007A47A8" w:rsidRDefault="00EC6EAB" w:rsidP="00EC6EAB">
      <w:pPr>
        <w:keepNext/>
        <w:keepLines/>
        <w:autoSpaceDE w:val="0"/>
        <w:autoSpaceDN w:val="0"/>
        <w:adjustRightInd w:val="0"/>
        <w:rPr>
          <w:rFonts w:ascii="Garamond" w:hAnsi="Garamond"/>
          <w:lang w:val="en-AU"/>
        </w:rPr>
      </w:pPr>
      <w:r w:rsidRPr="00EC6EAB">
        <w:rPr>
          <w:rFonts w:ascii="Garamond" w:hAnsi="Garamond"/>
          <w:lang w:val="en-AU"/>
        </w:rPr>
        <w:t>New York: The Commonwealth Fund; 2016.</w:t>
      </w:r>
    </w:p>
    <w:tbl>
      <w:tblPr>
        <w:tblStyle w:val="TableGrid"/>
        <w:tblW w:w="0" w:type="auto"/>
        <w:tblInd w:w="288" w:type="dxa"/>
        <w:tblLayout w:type="fixed"/>
        <w:tblLook w:val="01E0" w:firstRow="1" w:lastRow="1" w:firstColumn="1" w:lastColumn="1" w:noHBand="0" w:noVBand="0"/>
      </w:tblPr>
      <w:tblGrid>
        <w:gridCol w:w="1080"/>
        <w:gridCol w:w="8280"/>
      </w:tblGrid>
      <w:tr w:rsidR="00EC6EAB" w:rsidRPr="007A47A8" w:rsidTr="003437B0">
        <w:tc>
          <w:tcPr>
            <w:tcW w:w="1080" w:type="dxa"/>
            <w:tcBorders>
              <w:top w:val="single" w:sz="4" w:space="0" w:color="auto"/>
              <w:left w:val="single" w:sz="4" w:space="0" w:color="auto"/>
              <w:bottom w:val="single" w:sz="4" w:space="0" w:color="auto"/>
              <w:right w:val="single" w:sz="4" w:space="0" w:color="auto"/>
            </w:tcBorders>
            <w:vAlign w:val="center"/>
          </w:tcPr>
          <w:p w:rsidR="00EC6EAB" w:rsidRPr="007A47A8" w:rsidRDefault="00EC6EAB" w:rsidP="003437B0">
            <w:pPr>
              <w:rPr>
                <w:rStyle w:val="Hyperlink"/>
                <w:rFonts w:ascii="Garamond" w:hAnsi="Garamond"/>
                <w:lang w:val="en-AU"/>
              </w:rPr>
            </w:pPr>
            <w:r w:rsidRPr="007A47A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C6EAB" w:rsidRPr="007A47A8" w:rsidRDefault="009A5FAE" w:rsidP="003437B0">
            <w:pPr>
              <w:rPr>
                <w:rStyle w:val="Hyperlink"/>
                <w:rFonts w:ascii="Garamond" w:hAnsi="Garamond"/>
                <w:color w:val="auto"/>
                <w:u w:val="none"/>
                <w:lang w:val="en-AU"/>
              </w:rPr>
            </w:pPr>
            <w:hyperlink r:id="rId20" w:history="1">
              <w:r w:rsidR="00EC6EAB" w:rsidRPr="000D3BC7">
                <w:rPr>
                  <w:rStyle w:val="Hyperlink"/>
                  <w:rFonts w:ascii="Garamond" w:hAnsi="Garamond"/>
                  <w:lang w:val="en-AU"/>
                </w:rPr>
                <w:t>http://www.commonwealthfund.org/publications/case-studies/2016/dec/parkinsonnet</w:t>
              </w:r>
            </w:hyperlink>
          </w:p>
        </w:tc>
      </w:tr>
      <w:tr w:rsidR="00EC6EAB" w:rsidRPr="007A47A8" w:rsidTr="003437B0">
        <w:tc>
          <w:tcPr>
            <w:tcW w:w="1080" w:type="dxa"/>
            <w:tcBorders>
              <w:top w:val="single" w:sz="4" w:space="0" w:color="auto"/>
              <w:left w:val="single" w:sz="4" w:space="0" w:color="auto"/>
              <w:bottom w:val="single" w:sz="4" w:space="0" w:color="auto"/>
              <w:right w:val="single" w:sz="4" w:space="0" w:color="auto"/>
            </w:tcBorders>
            <w:vAlign w:val="center"/>
          </w:tcPr>
          <w:p w:rsidR="00EC6EAB" w:rsidRPr="007A47A8" w:rsidRDefault="00EC6EAB" w:rsidP="003437B0">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C6EAB" w:rsidRDefault="00EC6EAB" w:rsidP="00EC6EAB">
            <w:pPr>
              <w:rPr>
                <w:rStyle w:val="Hyperlink"/>
                <w:rFonts w:ascii="Garamond" w:hAnsi="Garamond"/>
                <w:color w:val="auto"/>
                <w:u w:val="none"/>
                <w:lang w:val="en-AU"/>
              </w:rPr>
            </w:pPr>
            <w:r>
              <w:rPr>
                <w:rStyle w:val="Hyperlink"/>
                <w:rFonts w:ascii="Garamond" w:hAnsi="Garamond"/>
                <w:color w:val="auto"/>
                <w:u w:val="none"/>
                <w:lang w:val="en-AU"/>
              </w:rPr>
              <w:t xml:space="preserve">This Commonwealth Fund case study </w:t>
            </w:r>
            <w:r w:rsidRPr="00EC6EAB">
              <w:rPr>
                <w:rStyle w:val="Hyperlink"/>
                <w:rFonts w:ascii="Garamond" w:hAnsi="Garamond"/>
                <w:color w:val="auto"/>
                <w:u w:val="none"/>
                <w:lang w:val="en-AU"/>
              </w:rPr>
              <w:t xml:space="preserve">profiles a </w:t>
            </w:r>
            <w:r>
              <w:rPr>
                <w:rStyle w:val="Hyperlink"/>
                <w:rFonts w:ascii="Garamond" w:hAnsi="Garamond"/>
                <w:color w:val="auto"/>
                <w:u w:val="none"/>
                <w:lang w:val="en-AU"/>
              </w:rPr>
              <w:t xml:space="preserve">Parkinson’s disease </w:t>
            </w:r>
            <w:r w:rsidRPr="00EC6EAB">
              <w:rPr>
                <w:rStyle w:val="Hyperlink"/>
                <w:rFonts w:ascii="Garamond" w:hAnsi="Garamond"/>
                <w:color w:val="auto"/>
                <w:u w:val="none"/>
                <w:lang w:val="en-AU"/>
              </w:rPr>
              <w:t>program in the Netherlands that’s been shown to improve quality of life, as well as lower treatment costs.</w:t>
            </w:r>
            <w:r>
              <w:rPr>
                <w:rStyle w:val="Hyperlink"/>
                <w:rFonts w:ascii="Garamond" w:hAnsi="Garamond"/>
                <w:color w:val="auto"/>
                <w:u w:val="none"/>
                <w:lang w:val="en-AU"/>
              </w:rPr>
              <w:t xml:space="preserve"> The </w:t>
            </w:r>
            <w:r w:rsidRPr="00EC6EAB">
              <w:rPr>
                <w:rStyle w:val="Hyperlink"/>
                <w:rFonts w:ascii="Garamond" w:hAnsi="Garamond"/>
                <w:color w:val="auto"/>
                <w:u w:val="none"/>
                <w:lang w:val="en-AU"/>
              </w:rPr>
              <w:t xml:space="preserve">program, called ParkinsonNet, </w:t>
            </w:r>
            <w:r>
              <w:rPr>
                <w:rStyle w:val="Hyperlink"/>
                <w:rFonts w:ascii="Garamond" w:hAnsi="Garamond"/>
                <w:color w:val="auto"/>
                <w:u w:val="none"/>
                <w:lang w:val="en-AU"/>
              </w:rPr>
              <w:t xml:space="preserve">stresses </w:t>
            </w:r>
            <w:r w:rsidRPr="00EC6EAB">
              <w:rPr>
                <w:rStyle w:val="Hyperlink"/>
                <w:rFonts w:ascii="Garamond" w:hAnsi="Garamond"/>
                <w:color w:val="auto"/>
                <w:u w:val="none"/>
                <w:lang w:val="en-AU"/>
              </w:rPr>
              <w:t xml:space="preserve">guideline-based care provided in the home and community by networks of multidisciplinary professionals, including neurologists, pharmacists, and physical, occupational, speech, and sex therapists. </w:t>
            </w:r>
            <w:r>
              <w:rPr>
                <w:rStyle w:val="Hyperlink"/>
                <w:rFonts w:ascii="Garamond" w:hAnsi="Garamond"/>
                <w:color w:val="auto"/>
                <w:u w:val="none"/>
                <w:lang w:val="en-AU"/>
              </w:rPr>
              <w:t xml:space="preserve">The program </w:t>
            </w:r>
            <w:r w:rsidRPr="00EC6EAB">
              <w:rPr>
                <w:rStyle w:val="Hyperlink"/>
                <w:rFonts w:ascii="Garamond" w:hAnsi="Garamond"/>
                <w:color w:val="auto"/>
                <w:u w:val="none"/>
                <w:lang w:val="en-AU"/>
              </w:rPr>
              <w:t xml:space="preserve">is </w:t>
            </w:r>
            <w:r>
              <w:rPr>
                <w:rStyle w:val="Hyperlink"/>
                <w:rFonts w:ascii="Garamond" w:hAnsi="Garamond"/>
                <w:color w:val="auto"/>
                <w:u w:val="none"/>
                <w:lang w:val="en-AU"/>
              </w:rPr>
              <w:t xml:space="preserve">built around </w:t>
            </w:r>
            <w:r w:rsidRPr="00EC6EAB">
              <w:rPr>
                <w:rStyle w:val="Hyperlink"/>
                <w:rFonts w:ascii="Garamond" w:hAnsi="Garamond"/>
                <w:color w:val="auto"/>
                <w:u w:val="none"/>
                <w:lang w:val="en-AU"/>
              </w:rPr>
              <w:t xml:space="preserve">a web-based platform </w:t>
            </w:r>
            <w:r>
              <w:rPr>
                <w:rStyle w:val="Hyperlink"/>
                <w:rFonts w:ascii="Garamond" w:hAnsi="Garamond"/>
                <w:color w:val="auto"/>
                <w:u w:val="none"/>
                <w:lang w:val="en-AU"/>
              </w:rPr>
              <w:t xml:space="preserve">that provides patients with </w:t>
            </w:r>
            <w:r w:rsidRPr="00EC6EAB">
              <w:rPr>
                <w:rStyle w:val="Hyperlink"/>
                <w:rFonts w:ascii="Garamond" w:hAnsi="Garamond"/>
                <w:color w:val="auto"/>
                <w:u w:val="none"/>
                <w:lang w:val="en-AU"/>
              </w:rPr>
              <w:t xml:space="preserve">information about the disease and treatment options, </w:t>
            </w:r>
            <w:r>
              <w:rPr>
                <w:rStyle w:val="Hyperlink"/>
                <w:rFonts w:ascii="Garamond" w:hAnsi="Garamond"/>
                <w:color w:val="auto"/>
                <w:u w:val="none"/>
                <w:lang w:val="en-AU"/>
              </w:rPr>
              <w:t xml:space="preserve">and allows them to </w:t>
            </w:r>
            <w:r w:rsidRPr="00EC6EAB">
              <w:rPr>
                <w:rStyle w:val="Hyperlink"/>
                <w:rFonts w:ascii="Garamond" w:hAnsi="Garamond"/>
                <w:color w:val="auto"/>
                <w:u w:val="none"/>
                <w:lang w:val="en-AU"/>
              </w:rPr>
              <w:t>participate in online communities and provide feedback on their care.</w:t>
            </w:r>
          </w:p>
          <w:p w:rsidR="00EC6EAB" w:rsidRPr="007A47A8" w:rsidRDefault="00EC6EAB" w:rsidP="00EC6EAB">
            <w:pPr>
              <w:rPr>
                <w:rStyle w:val="Hyperlink"/>
                <w:rFonts w:ascii="Garamond" w:hAnsi="Garamond"/>
                <w:color w:val="auto"/>
                <w:u w:val="none"/>
                <w:lang w:val="en-AU"/>
              </w:rPr>
            </w:pPr>
            <w:r>
              <w:rPr>
                <w:rFonts w:ascii="Garamond" w:hAnsi="Garamond"/>
                <w:noProof/>
                <w:lang w:val="en-AU" w:eastAsia="en-AU"/>
              </w:rPr>
              <w:drawing>
                <wp:inline distT="0" distB="0" distL="0" distR="0">
                  <wp:extent cx="5114925" cy="4133850"/>
                  <wp:effectExtent l="0" t="0" r="9525" b="0"/>
                  <wp:docPr id="1" name="Picture 1" descr="\\central.health\dfsuserenv\Users\User_07\johnni\Desktop\Parkinson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ParkinsonNe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4925" cy="4133850"/>
                          </a:xfrm>
                          <a:prstGeom prst="rect">
                            <a:avLst/>
                          </a:prstGeom>
                          <a:noFill/>
                          <a:ln>
                            <a:noFill/>
                          </a:ln>
                        </pic:spPr>
                      </pic:pic>
                    </a:graphicData>
                  </a:graphic>
                </wp:inline>
              </w:drawing>
            </w:r>
          </w:p>
        </w:tc>
      </w:tr>
    </w:tbl>
    <w:p w:rsidR="00EC6EAB" w:rsidRPr="007A47A8" w:rsidRDefault="00EC6EAB" w:rsidP="00EC6EAB">
      <w:pPr>
        <w:rPr>
          <w:rFonts w:ascii="Garamond" w:hAnsi="Garamond"/>
          <w:lang w:val="en-AU"/>
        </w:rPr>
      </w:pPr>
    </w:p>
    <w:p w:rsidR="00D50A60" w:rsidRPr="007A47A8" w:rsidRDefault="00D50A60" w:rsidP="002B14D7">
      <w:pPr>
        <w:rPr>
          <w:rFonts w:ascii="Garamond" w:hAnsi="Garamond"/>
          <w:lang w:val="en-AU"/>
        </w:rPr>
      </w:pPr>
    </w:p>
    <w:p w:rsidR="00BF1006" w:rsidRPr="007A47A8" w:rsidRDefault="005F52C2" w:rsidP="004F47AC">
      <w:pPr>
        <w:keepNext/>
        <w:keepLines/>
        <w:autoSpaceDE w:val="0"/>
        <w:autoSpaceDN w:val="0"/>
        <w:adjustRightInd w:val="0"/>
        <w:rPr>
          <w:rFonts w:ascii="Garamond" w:hAnsi="Garamond"/>
          <w:b/>
          <w:lang w:val="en-AU"/>
        </w:rPr>
      </w:pPr>
      <w:r w:rsidRPr="007A47A8">
        <w:rPr>
          <w:rFonts w:ascii="Garamond" w:hAnsi="Garamond"/>
          <w:b/>
          <w:lang w:val="en-AU"/>
        </w:rPr>
        <w:t>Journal articles</w:t>
      </w:r>
    </w:p>
    <w:p w:rsidR="00732505" w:rsidRDefault="00732505" w:rsidP="000972CA">
      <w:pPr>
        <w:rPr>
          <w:rFonts w:ascii="Garamond" w:hAnsi="Garamond"/>
          <w:lang w:val="en-AU"/>
        </w:rPr>
      </w:pPr>
    </w:p>
    <w:p w:rsidR="003247E1" w:rsidRPr="003247E1" w:rsidRDefault="003247E1" w:rsidP="000972CA">
      <w:pPr>
        <w:rPr>
          <w:rFonts w:ascii="Garamond" w:hAnsi="Garamond"/>
          <w:i/>
          <w:lang w:val="en-AU"/>
        </w:rPr>
      </w:pPr>
      <w:r w:rsidRPr="003247E1">
        <w:rPr>
          <w:rFonts w:ascii="Garamond" w:hAnsi="Garamond"/>
          <w:i/>
          <w:lang w:val="en-AU"/>
        </w:rPr>
        <w:t>Right Care</w:t>
      </w:r>
    </w:p>
    <w:p w:rsidR="003247E1" w:rsidRPr="007A47A8" w:rsidRDefault="003247E1" w:rsidP="000972CA">
      <w:pPr>
        <w:rPr>
          <w:rFonts w:ascii="Garamond" w:hAnsi="Garamond"/>
          <w:lang w:val="en-AU"/>
        </w:rPr>
      </w:pPr>
      <w:r>
        <w:rPr>
          <w:rFonts w:ascii="Garamond" w:hAnsi="Garamond"/>
          <w:lang w:val="en-AU"/>
        </w:rPr>
        <w:t>The Lancet</w:t>
      </w:r>
    </w:p>
    <w:tbl>
      <w:tblPr>
        <w:tblStyle w:val="TableGrid"/>
        <w:tblW w:w="0" w:type="auto"/>
        <w:tblInd w:w="288" w:type="dxa"/>
        <w:tblLayout w:type="fixed"/>
        <w:tblLook w:val="01E0" w:firstRow="1" w:lastRow="1" w:firstColumn="1" w:lastColumn="1" w:noHBand="0" w:noVBand="0"/>
      </w:tblPr>
      <w:tblGrid>
        <w:gridCol w:w="1080"/>
        <w:gridCol w:w="8280"/>
      </w:tblGrid>
      <w:tr w:rsidR="000972CA" w:rsidRPr="007A47A8"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7A47A8" w:rsidRDefault="00767C15" w:rsidP="00344E7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32505" w:rsidRPr="007A47A8" w:rsidRDefault="009A5FAE" w:rsidP="00B170EB">
            <w:pPr>
              <w:rPr>
                <w:rStyle w:val="Hyperlink"/>
                <w:rFonts w:ascii="Garamond" w:hAnsi="Garamond"/>
                <w:color w:val="auto"/>
                <w:u w:val="none"/>
                <w:lang w:val="en-AU"/>
              </w:rPr>
            </w:pPr>
            <w:hyperlink r:id="rId22" w:history="1">
              <w:r w:rsidR="00767C15" w:rsidRPr="00D573A7">
                <w:rPr>
                  <w:rStyle w:val="Hyperlink"/>
                  <w:rFonts w:ascii="Garamond" w:hAnsi="Garamond"/>
                  <w:lang w:val="en-AU"/>
                </w:rPr>
                <w:t>http://www.thelancet.com/series/right-care</w:t>
              </w:r>
            </w:hyperlink>
            <w:r w:rsidR="00767C15">
              <w:rPr>
                <w:rStyle w:val="Hyperlink"/>
                <w:rFonts w:ascii="Garamond" w:hAnsi="Garamond"/>
                <w:color w:val="auto"/>
                <w:u w:val="none"/>
                <w:lang w:val="en-AU"/>
              </w:rPr>
              <w:t xml:space="preserve"> </w:t>
            </w:r>
          </w:p>
        </w:tc>
      </w:tr>
      <w:tr w:rsidR="000972CA" w:rsidRPr="007A47A8"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7A47A8" w:rsidRDefault="000972CA" w:rsidP="00344E74">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9348A" w:rsidRDefault="00767C15" w:rsidP="00767C15">
            <w:pPr>
              <w:rPr>
                <w:rFonts w:ascii="Garamond" w:hAnsi="Garamond"/>
                <w:lang w:val="en-AU"/>
              </w:rPr>
            </w:pPr>
            <w:r>
              <w:rPr>
                <w:rFonts w:ascii="Garamond" w:hAnsi="Garamond"/>
                <w:lang w:val="en-AU"/>
              </w:rPr>
              <w:t xml:space="preserve">The British medical journal </w:t>
            </w:r>
            <w:r w:rsidRPr="00767C15">
              <w:rPr>
                <w:rFonts w:ascii="Garamond" w:hAnsi="Garamond"/>
                <w:i/>
                <w:lang w:val="en-AU"/>
              </w:rPr>
              <w:t>The Lancet</w:t>
            </w:r>
            <w:r>
              <w:rPr>
                <w:rFonts w:ascii="Garamond" w:hAnsi="Garamond"/>
                <w:lang w:val="en-AU"/>
              </w:rPr>
              <w:t xml:space="preserve"> publishes occasional ‘series’ that focus on a specific area or topic. The latest is on ‘right care’. The journal describes the series thus:</w:t>
            </w:r>
          </w:p>
          <w:p w:rsidR="00767C15" w:rsidRPr="008C23F6" w:rsidRDefault="00767C15" w:rsidP="00767C15">
            <w:pPr>
              <w:rPr>
                <w:lang w:val="en-AU"/>
              </w:rPr>
            </w:pPr>
            <w:r w:rsidRPr="008C23F6">
              <w:rPr>
                <w:lang w:val="en-AU"/>
              </w:rPr>
              <w:t xml:space="preserve">Many countries struggle with the question about sustainability, fairness, and equity of their health systems. With the focus firmly on universal health coverage as a central part to the UN Sustainable Development Goals, there is an opportunity to examine how to achieve optimum access to, and delivery of, health care and services. Underuse and overuse of medical and health services exist side-by-side </w:t>
            </w:r>
            <w:r w:rsidRPr="008C23F6">
              <w:rPr>
                <w:lang w:val="en-AU"/>
              </w:rPr>
              <w:lastRenderedPageBreak/>
              <w:t>with poor outcomes for health and wellbeing. This Series of four papers and accompanying comments examines the extent of overuse and underuse worldwide, highlights the drivers of inappropriate care, and provides a framework to begin to address overuse and underuse together to achieve the right care for health and wellbeing. The authors argue that achieving the right care is both an urgent task and an enormous opportunity.</w:t>
            </w:r>
          </w:p>
          <w:p w:rsidR="00767C15" w:rsidRDefault="00767C15" w:rsidP="00767C15">
            <w:pPr>
              <w:rPr>
                <w:rFonts w:ascii="Garamond" w:hAnsi="Garamond"/>
                <w:lang w:val="en-AU"/>
              </w:rPr>
            </w:pPr>
            <w:r>
              <w:rPr>
                <w:rFonts w:ascii="Garamond" w:hAnsi="Garamond"/>
                <w:lang w:val="en-AU"/>
              </w:rPr>
              <w:t>Articles in the series include:</w:t>
            </w:r>
          </w:p>
          <w:p w:rsidR="00767C15" w:rsidRPr="00767C15" w:rsidRDefault="00767C15" w:rsidP="003247E1">
            <w:pPr>
              <w:pStyle w:val="ListParagraph"/>
              <w:numPr>
                <w:ilvl w:val="0"/>
                <w:numId w:val="45"/>
              </w:numPr>
              <w:rPr>
                <w:rFonts w:ascii="Garamond" w:hAnsi="Garamond"/>
                <w:lang w:val="en-AU"/>
              </w:rPr>
            </w:pPr>
            <w:r w:rsidRPr="00767C15">
              <w:rPr>
                <w:rFonts w:ascii="Garamond" w:hAnsi="Garamond"/>
                <w:lang w:val="en-AU"/>
              </w:rPr>
              <w:t xml:space="preserve">From universal health coverage to </w:t>
            </w:r>
            <w:r w:rsidRPr="00767C15">
              <w:rPr>
                <w:rFonts w:ascii="Garamond" w:hAnsi="Garamond"/>
                <w:b/>
                <w:lang w:val="en-AU"/>
              </w:rPr>
              <w:t>right care</w:t>
            </w:r>
            <w:r w:rsidRPr="00767C15">
              <w:rPr>
                <w:rFonts w:ascii="Garamond" w:hAnsi="Garamond"/>
                <w:lang w:val="en-AU"/>
              </w:rPr>
              <w:t xml:space="preserve"> for health (Sabine Kleinert, Richard Horton</w:t>
            </w:r>
            <w:r>
              <w:rPr>
                <w:rFonts w:ascii="Garamond" w:hAnsi="Garamond"/>
                <w:lang w:val="en-AU"/>
              </w:rPr>
              <w:t>)</w:t>
            </w:r>
            <w:r w:rsidR="003247E1">
              <w:rPr>
                <w:rFonts w:ascii="Garamond" w:hAnsi="Garamond"/>
                <w:lang w:val="en-AU"/>
              </w:rPr>
              <w:t xml:space="preserve"> </w:t>
            </w:r>
            <w:hyperlink r:id="rId23" w:history="1">
              <w:r w:rsidR="003247E1" w:rsidRPr="00292BC8">
                <w:rPr>
                  <w:rStyle w:val="Hyperlink"/>
                  <w:rFonts w:ascii="Garamond" w:hAnsi="Garamond"/>
                  <w:lang w:val="en-AU"/>
                </w:rPr>
                <w:t>http://dx.doi.org/10.1016/s0140-6736(16)32588-0</w:t>
              </w:r>
            </w:hyperlink>
          </w:p>
          <w:p w:rsidR="00767C15" w:rsidRPr="00767C15" w:rsidRDefault="00767C15" w:rsidP="003247E1">
            <w:pPr>
              <w:pStyle w:val="ListParagraph"/>
              <w:numPr>
                <w:ilvl w:val="0"/>
                <w:numId w:val="45"/>
              </w:numPr>
              <w:rPr>
                <w:rFonts w:ascii="Garamond" w:hAnsi="Garamond"/>
                <w:lang w:val="en-AU"/>
              </w:rPr>
            </w:pPr>
            <w:r w:rsidRPr="00767C15">
              <w:rPr>
                <w:rFonts w:ascii="Garamond" w:hAnsi="Garamond"/>
                <w:b/>
                <w:lang w:val="en-AU"/>
              </w:rPr>
              <w:t>Avoiding overuse</w:t>
            </w:r>
            <w:r w:rsidRPr="00767C15">
              <w:rPr>
                <w:rFonts w:ascii="Garamond" w:hAnsi="Garamond"/>
                <w:lang w:val="en-AU"/>
              </w:rPr>
              <w:t>—the next quality frontier (Donald M Berwick</w:t>
            </w:r>
            <w:r>
              <w:rPr>
                <w:rFonts w:ascii="Garamond" w:hAnsi="Garamond"/>
                <w:lang w:val="en-AU"/>
              </w:rPr>
              <w:t>)</w:t>
            </w:r>
            <w:r w:rsidR="003247E1">
              <w:rPr>
                <w:rFonts w:ascii="Garamond" w:hAnsi="Garamond"/>
                <w:lang w:val="en-AU"/>
              </w:rPr>
              <w:t xml:space="preserve"> </w:t>
            </w:r>
            <w:hyperlink r:id="rId24" w:history="1">
              <w:r w:rsidR="003247E1" w:rsidRPr="00292BC8">
                <w:rPr>
                  <w:rStyle w:val="Hyperlink"/>
                  <w:rFonts w:ascii="Garamond" w:hAnsi="Garamond"/>
                  <w:lang w:val="en-AU"/>
                </w:rPr>
                <w:t>http://dx.doi.org/10.1016/s0140-6736(16)32570-3</w:t>
              </w:r>
            </w:hyperlink>
            <w:r w:rsidR="003247E1">
              <w:rPr>
                <w:rFonts w:ascii="Garamond" w:hAnsi="Garamond"/>
                <w:lang w:val="en-AU"/>
              </w:rPr>
              <w:t xml:space="preserve"> </w:t>
            </w:r>
          </w:p>
          <w:p w:rsidR="00767C15" w:rsidRPr="00767C15" w:rsidRDefault="00767C15" w:rsidP="003247E1">
            <w:pPr>
              <w:pStyle w:val="ListParagraph"/>
              <w:numPr>
                <w:ilvl w:val="0"/>
                <w:numId w:val="45"/>
              </w:numPr>
              <w:rPr>
                <w:rFonts w:ascii="Garamond" w:hAnsi="Garamond"/>
                <w:lang w:val="en-AU"/>
              </w:rPr>
            </w:pPr>
            <w:r w:rsidRPr="00767C15">
              <w:rPr>
                <w:rFonts w:ascii="Garamond" w:hAnsi="Garamond"/>
                <w:b/>
                <w:lang w:val="en-AU"/>
              </w:rPr>
              <w:t>Addressing overuse and underuse</w:t>
            </w:r>
            <w:r w:rsidRPr="00767C15">
              <w:rPr>
                <w:rFonts w:ascii="Garamond" w:hAnsi="Garamond"/>
                <w:lang w:val="en-AU"/>
              </w:rPr>
              <w:t xml:space="preserve"> around the world (Vikas Saini, Shannon Brownlee, Adam G Elshaug, Paul Glasziou, Iona Heath</w:t>
            </w:r>
            <w:r>
              <w:rPr>
                <w:rFonts w:ascii="Garamond" w:hAnsi="Garamond"/>
                <w:lang w:val="en-AU"/>
              </w:rPr>
              <w:t>)</w:t>
            </w:r>
            <w:r w:rsidR="003247E1">
              <w:rPr>
                <w:rFonts w:ascii="Garamond" w:hAnsi="Garamond"/>
                <w:lang w:val="en-AU"/>
              </w:rPr>
              <w:t xml:space="preserve"> </w:t>
            </w:r>
            <w:hyperlink r:id="rId25" w:history="1">
              <w:r w:rsidR="003247E1" w:rsidRPr="00292BC8">
                <w:rPr>
                  <w:rStyle w:val="Hyperlink"/>
                  <w:rFonts w:ascii="Garamond" w:hAnsi="Garamond"/>
                  <w:lang w:val="en-AU"/>
                </w:rPr>
                <w:t>http://dx.doi.org/10.1016/s0140-6736(16)32573-9</w:t>
              </w:r>
            </w:hyperlink>
          </w:p>
          <w:p w:rsidR="00767C15" w:rsidRPr="00767C15" w:rsidRDefault="00767C15" w:rsidP="003247E1">
            <w:pPr>
              <w:pStyle w:val="ListParagraph"/>
              <w:numPr>
                <w:ilvl w:val="0"/>
                <w:numId w:val="45"/>
              </w:numPr>
              <w:rPr>
                <w:rFonts w:ascii="Garamond" w:hAnsi="Garamond"/>
                <w:lang w:val="en-AU"/>
              </w:rPr>
            </w:pPr>
            <w:r w:rsidRPr="00767C15">
              <w:rPr>
                <w:rFonts w:ascii="Garamond" w:hAnsi="Garamond"/>
                <w:b/>
                <w:lang w:val="en-AU"/>
              </w:rPr>
              <w:t>Evidence for overuse</w:t>
            </w:r>
            <w:r w:rsidRPr="00767C15">
              <w:rPr>
                <w:rFonts w:ascii="Garamond" w:hAnsi="Garamond"/>
                <w:lang w:val="en-AU"/>
              </w:rPr>
              <w:t xml:space="preserve"> of medical services around the world (Shannon Brownlee, Kalipso Chalkidou, Jenny Doust, Adam G Elshaug, Paul Glasziou, Iona Heath, Somil Nagpal, Vikas Saini, Divya Srivastava, Kelsey Chalmers, Deborah Korenstein</w:t>
            </w:r>
            <w:r>
              <w:rPr>
                <w:rFonts w:ascii="Garamond" w:hAnsi="Garamond"/>
                <w:lang w:val="en-AU"/>
              </w:rPr>
              <w:t>)</w:t>
            </w:r>
            <w:r w:rsidR="003247E1">
              <w:rPr>
                <w:rFonts w:ascii="Garamond" w:hAnsi="Garamond"/>
                <w:lang w:val="en-AU"/>
              </w:rPr>
              <w:t xml:space="preserve"> </w:t>
            </w:r>
            <w:hyperlink r:id="rId26" w:history="1">
              <w:r w:rsidR="003247E1" w:rsidRPr="00292BC8">
                <w:rPr>
                  <w:rStyle w:val="Hyperlink"/>
                  <w:rFonts w:ascii="Garamond" w:hAnsi="Garamond"/>
                  <w:lang w:val="en-AU"/>
                </w:rPr>
                <w:t>http://dx.doi.org/10.1016/s0140-6736(16)32585-5</w:t>
              </w:r>
            </w:hyperlink>
          </w:p>
          <w:p w:rsidR="00767C15" w:rsidRPr="00767C15" w:rsidRDefault="00767C15" w:rsidP="003247E1">
            <w:pPr>
              <w:pStyle w:val="ListParagraph"/>
              <w:numPr>
                <w:ilvl w:val="0"/>
                <w:numId w:val="45"/>
              </w:numPr>
              <w:rPr>
                <w:rFonts w:ascii="Garamond" w:hAnsi="Garamond"/>
                <w:lang w:val="en-AU"/>
              </w:rPr>
            </w:pPr>
            <w:r w:rsidRPr="00767C15">
              <w:rPr>
                <w:rFonts w:ascii="Garamond" w:hAnsi="Garamond"/>
                <w:b/>
                <w:lang w:val="en-AU"/>
              </w:rPr>
              <w:t>Evidence for underuse</w:t>
            </w:r>
            <w:r w:rsidRPr="00767C15">
              <w:rPr>
                <w:rFonts w:ascii="Garamond" w:hAnsi="Garamond"/>
                <w:lang w:val="en-AU"/>
              </w:rPr>
              <w:t xml:space="preserve"> of effective medical services around the world (Paul Glasziou, Sharon Straus, Shannon Brownlee, Lyndal Trevena, Leonila Dans, Gordon Guyatt, Adam G Elshaug, Robert Janett, Vikas Saini</w:t>
            </w:r>
            <w:r>
              <w:rPr>
                <w:rFonts w:ascii="Garamond" w:hAnsi="Garamond"/>
                <w:lang w:val="en-AU"/>
              </w:rPr>
              <w:t>)</w:t>
            </w:r>
            <w:r w:rsidR="003247E1">
              <w:rPr>
                <w:rFonts w:ascii="Garamond" w:hAnsi="Garamond"/>
                <w:lang w:val="en-AU"/>
              </w:rPr>
              <w:t xml:space="preserve"> </w:t>
            </w:r>
            <w:hyperlink r:id="rId27" w:history="1">
              <w:r w:rsidR="003247E1" w:rsidRPr="00292BC8">
                <w:rPr>
                  <w:rStyle w:val="Hyperlink"/>
                  <w:rFonts w:ascii="Garamond" w:hAnsi="Garamond"/>
                  <w:lang w:val="en-AU"/>
                </w:rPr>
                <w:t>http://dx.doi.org/10.1016/s0140-6736(16)30946-1</w:t>
              </w:r>
            </w:hyperlink>
          </w:p>
          <w:p w:rsidR="00767C15" w:rsidRPr="00767C15" w:rsidRDefault="00767C15" w:rsidP="003247E1">
            <w:pPr>
              <w:pStyle w:val="ListParagraph"/>
              <w:numPr>
                <w:ilvl w:val="0"/>
                <w:numId w:val="45"/>
              </w:numPr>
              <w:rPr>
                <w:rFonts w:ascii="Garamond" w:hAnsi="Garamond"/>
                <w:lang w:val="en-AU"/>
              </w:rPr>
            </w:pPr>
            <w:r w:rsidRPr="00767C15">
              <w:rPr>
                <w:rFonts w:ascii="Garamond" w:hAnsi="Garamond"/>
                <w:lang w:val="en-AU"/>
              </w:rPr>
              <w:t xml:space="preserve">Drivers of </w:t>
            </w:r>
            <w:r w:rsidRPr="00767C15">
              <w:rPr>
                <w:rFonts w:ascii="Garamond" w:hAnsi="Garamond"/>
                <w:b/>
                <w:lang w:val="en-AU"/>
              </w:rPr>
              <w:t>poor medical care</w:t>
            </w:r>
            <w:r w:rsidRPr="00767C15">
              <w:rPr>
                <w:rFonts w:ascii="Garamond" w:hAnsi="Garamond"/>
                <w:lang w:val="en-AU"/>
              </w:rPr>
              <w:t xml:space="preserve"> (Vikas Saini, Sandra Garcia-Armesto, David Klemperer, Valerie Paris, Adam G Elshaug, Shannon Brownlee, John P A Ioannidis, Elliott S Fisher</w:t>
            </w:r>
            <w:r>
              <w:rPr>
                <w:rFonts w:ascii="Garamond" w:hAnsi="Garamond"/>
                <w:lang w:val="en-AU"/>
              </w:rPr>
              <w:t>)</w:t>
            </w:r>
            <w:r w:rsidR="003247E1">
              <w:rPr>
                <w:rFonts w:ascii="Garamond" w:hAnsi="Garamond"/>
                <w:lang w:val="en-AU"/>
              </w:rPr>
              <w:t xml:space="preserve"> </w:t>
            </w:r>
            <w:hyperlink r:id="rId28" w:history="1">
              <w:r w:rsidR="003247E1" w:rsidRPr="00292BC8">
                <w:rPr>
                  <w:rStyle w:val="Hyperlink"/>
                  <w:rFonts w:ascii="Garamond" w:hAnsi="Garamond"/>
                  <w:lang w:val="en-AU"/>
                </w:rPr>
                <w:t>http://dx.doi.org/10.1016/s0140-6736(16)30947-3</w:t>
              </w:r>
            </w:hyperlink>
          </w:p>
          <w:p w:rsidR="00767C15" w:rsidRPr="00767C15" w:rsidRDefault="00767C15" w:rsidP="003247E1">
            <w:pPr>
              <w:pStyle w:val="ListParagraph"/>
              <w:numPr>
                <w:ilvl w:val="0"/>
                <w:numId w:val="45"/>
              </w:numPr>
              <w:rPr>
                <w:rFonts w:ascii="Garamond" w:hAnsi="Garamond"/>
                <w:lang w:val="en-AU"/>
              </w:rPr>
            </w:pPr>
            <w:r w:rsidRPr="00767C15">
              <w:rPr>
                <w:rFonts w:ascii="Garamond" w:hAnsi="Garamond"/>
                <w:lang w:val="en-AU"/>
              </w:rPr>
              <w:t xml:space="preserve">Levers for </w:t>
            </w:r>
            <w:r w:rsidRPr="00767C15">
              <w:rPr>
                <w:rFonts w:ascii="Garamond" w:hAnsi="Garamond"/>
                <w:b/>
                <w:lang w:val="en-AU"/>
              </w:rPr>
              <w:t>addressing medical underuse and overuse</w:t>
            </w:r>
            <w:r w:rsidRPr="00767C15">
              <w:rPr>
                <w:rFonts w:ascii="Garamond" w:hAnsi="Garamond"/>
                <w:lang w:val="en-AU"/>
              </w:rPr>
              <w:t xml:space="preserve">: achieving </w:t>
            </w:r>
            <w:r w:rsidRPr="00767C15">
              <w:rPr>
                <w:rFonts w:ascii="Garamond" w:hAnsi="Garamond"/>
                <w:b/>
                <w:lang w:val="en-AU"/>
              </w:rPr>
              <w:t>high-value health care</w:t>
            </w:r>
            <w:r>
              <w:rPr>
                <w:rFonts w:ascii="Garamond" w:hAnsi="Garamond"/>
                <w:lang w:val="en-AU"/>
              </w:rPr>
              <w:t xml:space="preserve"> (</w:t>
            </w:r>
            <w:r w:rsidRPr="00767C15">
              <w:rPr>
                <w:rFonts w:ascii="Garamond" w:hAnsi="Garamond"/>
                <w:lang w:val="en-AU"/>
              </w:rPr>
              <w:t>Adam G Elshaug, Meredith B Rosenthal, John N Lavis, Shannon Brownlee, Harald Schmidt, Somil Nagpal, Peter Littlejohns, Divya Srivastava, Sean Tunis, Vikas Saini</w:t>
            </w:r>
            <w:r>
              <w:rPr>
                <w:rFonts w:ascii="Garamond" w:hAnsi="Garamond"/>
                <w:lang w:val="en-AU"/>
              </w:rPr>
              <w:t>)</w:t>
            </w:r>
            <w:r w:rsidR="003247E1">
              <w:rPr>
                <w:rFonts w:ascii="Garamond" w:hAnsi="Garamond"/>
                <w:lang w:val="en-AU"/>
              </w:rPr>
              <w:t xml:space="preserve"> </w:t>
            </w:r>
            <w:r w:rsidR="003247E1">
              <w:rPr>
                <w:rFonts w:ascii="Garamond" w:hAnsi="Garamond"/>
                <w:lang w:val="en-AU"/>
              </w:rPr>
              <w:br/>
            </w:r>
            <w:hyperlink r:id="rId29" w:history="1">
              <w:r w:rsidR="003247E1" w:rsidRPr="00292BC8">
                <w:rPr>
                  <w:rStyle w:val="Hyperlink"/>
                  <w:rFonts w:ascii="Garamond" w:hAnsi="Garamond"/>
                  <w:lang w:val="en-AU"/>
                </w:rPr>
                <w:t>http://dx.doi.org/10.1016/S0140-6736(16)32586-7</w:t>
              </w:r>
            </w:hyperlink>
            <w:r w:rsidR="003247E1">
              <w:rPr>
                <w:rFonts w:ascii="Garamond" w:hAnsi="Garamond"/>
                <w:lang w:val="en-AU"/>
              </w:rPr>
              <w:t xml:space="preserve"> </w:t>
            </w:r>
          </w:p>
        </w:tc>
      </w:tr>
    </w:tbl>
    <w:p w:rsidR="00AC5352" w:rsidRDefault="00AC5352" w:rsidP="00FA47B5">
      <w:pPr>
        <w:rPr>
          <w:rFonts w:ascii="Garamond" w:hAnsi="Garamond"/>
          <w:lang w:val="en-AU" w:eastAsia="en-AU"/>
        </w:rPr>
      </w:pPr>
    </w:p>
    <w:p w:rsidR="00D50A60" w:rsidRPr="008C23F6" w:rsidRDefault="00156D91" w:rsidP="00156D91">
      <w:pPr>
        <w:rPr>
          <w:rFonts w:ascii="Garamond" w:hAnsi="Garamond"/>
          <w:i/>
          <w:lang w:val="en-AU"/>
        </w:rPr>
      </w:pPr>
      <w:r w:rsidRPr="008C23F6">
        <w:rPr>
          <w:rFonts w:ascii="Garamond" w:hAnsi="Garamond"/>
          <w:i/>
          <w:lang w:val="en-AU"/>
        </w:rPr>
        <w:t>Clinicians’ Expectations of the Benefits and Harms of Treatments, Screening, and Tests: A Systematic Review</w:t>
      </w:r>
    </w:p>
    <w:p w:rsidR="00B92EB4" w:rsidRDefault="00B92EB4" w:rsidP="00156D91">
      <w:pPr>
        <w:rPr>
          <w:rFonts w:ascii="Garamond" w:hAnsi="Garamond"/>
          <w:lang w:val="en-AU"/>
        </w:rPr>
      </w:pPr>
      <w:r w:rsidRPr="00B92EB4">
        <w:rPr>
          <w:rFonts w:ascii="Garamond" w:hAnsi="Garamond"/>
          <w:lang w:val="en-AU"/>
        </w:rPr>
        <w:t>Hoffmann TC, Del Mar C</w:t>
      </w:r>
    </w:p>
    <w:p w:rsidR="00156D91" w:rsidRPr="007A47A8" w:rsidRDefault="00B92EB4" w:rsidP="00156D91">
      <w:pPr>
        <w:rPr>
          <w:rFonts w:ascii="Garamond" w:hAnsi="Garamond"/>
          <w:lang w:val="en-AU"/>
        </w:rPr>
      </w:pPr>
      <w:r w:rsidRPr="00B92EB4">
        <w:rPr>
          <w:rFonts w:ascii="Garamond" w:hAnsi="Garamond"/>
          <w:lang w:val="en-AU"/>
        </w:rPr>
        <w:t>JAMA Internal Medicine. 2017</w:t>
      </w:r>
      <w:r>
        <w:rPr>
          <w:rFonts w:ascii="Garamond" w:hAnsi="Garamond"/>
          <w:lang w:val="en-AU"/>
        </w:rPr>
        <w:t xml:space="preserve"> [epub]</w:t>
      </w:r>
      <w:r w:rsidRPr="00B92EB4">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50A60" w:rsidRPr="007A47A8" w:rsidTr="009413AB">
        <w:tc>
          <w:tcPr>
            <w:tcW w:w="1080" w:type="dxa"/>
            <w:tcBorders>
              <w:top w:val="single" w:sz="4" w:space="0" w:color="auto"/>
              <w:left w:val="single" w:sz="4" w:space="0" w:color="auto"/>
              <w:bottom w:val="single" w:sz="4" w:space="0" w:color="auto"/>
              <w:right w:val="single" w:sz="4" w:space="0" w:color="auto"/>
            </w:tcBorders>
            <w:vAlign w:val="center"/>
          </w:tcPr>
          <w:p w:rsidR="00D50A60" w:rsidRPr="007A47A8" w:rsidRDefault="00D50A60" w:rsidP="009413AB">
            <w:pPr>
              <w:rPr>
                <w:rStyle w:val="Hyperlink"/>
                <w:rFonts w:ascii="Garamond" w:hAnsi="Garamond"/>
                <w:lang w:val="en-AU"/>
              </w:rPr>
            </w:pPr>
            <w:r w:rsidRPr="007A47A8">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50A60" w:rsidRPr="007A47A8" w:rsidRDefault="009A5FAE" w:rsidP="009413AB">
            <w:pPr>
              <w:rPr>
                <w:rStyle w:val="Hyperlink"/>
                <w:rFonts w:ascii="Garamond" w:hAnsi="Garamond"/>
                <w:color w:val="auto"/>
                <w:u w:val="none"/>
                <w:lang w:val="en-AU"/>
              </w:rPr>
            </w:pPr>
            <w:hyperlink r:id="rId30" w:history="1">
              <w:r w:rsidR="00B92EB4" w:rsidRPr="000D3BC7">
                <w:rPr>
                  <w:rStyle w:val="Hyperlink"/>
                  <w:rFonts w:ascii="Garamond" w:hAnsi="Garamond"/>
                  <w:lang w:val="en-AU"/>
                </w:rPr>
                <w:t>http://dx.doi.org/10.1001/jamainternmed.2016.8254</w:t>
              </w:r>
            </w:hyperlink>
          </w:p>
        </w:tc>
      </w:tr>
      <w:tr w:rsidR="00D50A60" w:rsidRPr="007A47A8" w:rsidTr="009413AB">
        <w:tc>
          <w:tcPr>
            <w:tcW w:w="1080" w:type="dxa"/>
            <w:tcBorders>
              <w:top w:val="single" w:sz="4" w:space="0" w:color="auto"/>
              <w:left w:val="single" w:sz="4" w:space="0" w:color="auto"/>
              <w:bottom w:val="single" w:sz="4" w:space="0" w:color="auto"/>
              <w:right w:val="single" w:sz="4" w:space="0" w:color="auto"/>
            </w:tcBorders>
            <w:vAlign w:val="center"/>
          </w:tcPr>
          <w:p w:rsidR="00D50A60" w:rsidRPr="007A47A8" w:rsidRDefault="00D50A60" w:rsidP="009413AB">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247E1" w:rsidRDefault="00156D91" w:rsidP="008C23F6">
            <w:pPr>
              <w:rPr>
                <w:rFonts w:ascii="Garamond" w:hAnsi="Garamond"/>
                <w:lang w:val="en-AU"/>
              </w:rPr>
            </w:pPr>
            <w:r>
              <w:rPr>
                <w:rFonts w:ascii="Garamond" w:hAnsi="Garamond"/>
                <w:lang w:val="en-AU"/>
              </w:rPr>
              <w:t xml:space="preserve">In the drive for appropriate care there is an assumption that clinicians have good knowledge and </w:t>
            </w:r>
            <w:r w:rsidRPr="00156D91">
              <w:rPr>
                <w:rFonts w:ascii="Garamond" w:hAnsi="Garamond"/>
                <w:lang w:val="en-AU"/>
              </w:rPr>
              <w:t xml:space="preserve">expectations of the benefits and harms of </w:t>
            </w:r>
            <w:r>
              <w:rPr>
                <w:rFonts w:ascii="Garamond" w:hAnsi="Garamond"/>
                <w:lang w:val="en-AU"/>
              </w:rPr>
              <w:t xml:space="preserve">the various </w:t>
            </w:r>
            <w:r w:rsidRPr="00156D91">
              <w:rPr>
                <w:rFonts w:ascii="Garamond" w:hAnsi="Garamond"/>
                <w:lang w:val="en-AU"/>
              </w:rPr>
              <w:t>treatments</w:t>
            </w:r>
            <w:r>
              <w:rPr>
                <w:rFonts w:ascii="Garamond" w:hAnsi="Garamond"/>
                <w:lang w:val="en-AU"/>
              </w:rPr>
              <w:t>, diagnostics</w:t>
            </w:r>
            <w:r w:rsidRPr="00156D91">
              <w:rPr>
                <w:rFonts w:ascii="Garamond" w:hAnsi="Garamond"/>
                <w:lang w:val="en-AU"/>
              </w:rPr>
              <w:t xml:space="preserve">, </w:t>
            </w:r>
            <w:r>
              <w:rPr>
                <w:rFonts w:ascii="Garamond" w:hAnsi="Garamond"/>
                <w:lang w:val="en-AU"/>
              </w:rPr>
              <w:t>etc.</w:t>
            </w:r>
            <w:r w:rsidR="008C23F6">
              <w:rPr>
                <w:rFonts w:ascii="Garamond" w:hAnsi="Garamond"/>
                <w:lang w:val="en-AU"/>
              </w:rPr>
              <w:t xml:space="preserve"> This study problematizes that assumption. Clinicians’ knowledge logically influences the care they deliver and their patients receive.</w:t>
            </w:r>
            <w:r>
              <w:rPr>
                <w:rFonts w:ascii="Garamond" w:hAnsi="Garamond"/>
                <w:lang w:val="en-AU"/>
              </w:rPr>
              <w:t xml:space="preserve"> </w:t>
            </w:r>
          </w:p>
          <w:p w:rsidR="00156D91" w:rsidRPr="007A47A8" w:rsidRDefault="008C23F6" w:rsidP="008C23F6">
            <w:pPr>
              <w:rPr>
                <w:rFonts w:ascii="Garamond" w:hAnsi="Garamond"/>
                <w:lang w:val="en-AU"/>
              </w:rPr>
            </w:pPr>
            <w:r>
              <w:rPr>
                <w:rFonts w:ascii="Garamond" w:hAnsi="Garamond"/>
                <w:lang w:val="en-AU"/>
              </w:rPr>
              <w:t>Describing a</w:t>
            </w:r>
            <w:r>
              <w:t xml:space="preserve"> </w:t>
            </w:r>
            <w:r w:rsidRPr="008C23F6">
              <w:rPr>
                <w:rFonts w:ascii="Garamond" w:hAnsi="Garamond"/>
                <w:lang w:val="en-AU"/>
              </w:rPr>
              <w:t xml:space="preserve">systematic review of 48 studies </w:t>
            </w:r>
            <w:r>
              <w:rPr>
                <w:rFonts w:ascii="Garamond" w:hAnsi="Garamond"/>
                <w:lang w:val="en-AU"/>
              </w:rPr>
              <w:t xml:space="preserve">covering </w:t>
            </w:r>
            <w:r w:rsidRPr="008C23F6">
              <w:rPr>
                <w:rFonts w:ascii="Garamond" w:hAnsi="Garamond"/>
                <w:lang w:val="en-AU"/>
              </w:rPr>
              <w:t>13</w:t>
            </w:r>
            <w:r>
              <w:rPr>
                <w:rFonts w:ascii="Garamond" w:hAnsi="Garamond"/>
                <w:lang w:val="en-AU"/>
              </w:rPr>
              <w:t>,</w:t>
            </w:r>
            <w:r w:rsidRPr="008C23F6">
              <w:rPr>
                <w:rFonts w:ascii="Garamond" w:hAnsi="Garamond"/>
                <w:lang w:val="en-AU"/>
              </w:rPr>
              <w:t>011 clinicians</w:t>
            </w:r>
            <w:r>
              <w:rPr>
                <w:rFonts w:ascii="Garamond" w:hAnsi="Garamond"/>
                <w:lang w:val="en-AU"/>
              </w:rPr>
              <w:t xml:space="preserve"> the authors of this paper report that </w:t>
            </w:r>
            <w:r w:rsidRPr="008C23F6">
              <w:rPr>
                <w:rFonts w:ascii="Garamond" w:hAnsi="Garamond"/>
                <w:lang w:val="en-AU"/>
              </w:rPr>
              <w:t xml:space="preserve">most participants correctly estimated </w:t>
            </w:r>
            <w:r>
              <w:rPr>
                <w:rFonts w:ascii="Garamond" w:hAnsi="Garamond"/>
                <w:lang w:val="en-AU"/>
              </w:rPr>
              <w:t xml:space="preserve">just </w:t>
            </w:r>
            <w:r w:rsidRPr="008C23F6">
              <w:rPr>
                <w:rFonts w:ascii="Garamond" w:hAnsi="Garamond"/>
                <w:lang w:val="en-AU"/>
              </w:rPr>
              <w:t xml:space="preserve">13% of the 69 harm expectation outcomes and 11% of the 28 benefit expectations. </w:t>
            </w:r>
            <w:r>
              <w:rPr>
                <w:rFonts w:ascii="Garamond" w:hAnsi="Garamond"/>
                <w:lang w:val="en-AU"/>
              </w:rPr>
              <w:t>Further, t</w:t>
            </w:r>
            <w:r w:rsidRPr="008C23F6">
              <w:rPr>
                <w:rFonts w:ascii="Garamond" w:hAnsi="Garamond"/>
                <w:lang w:val="en-AU"/>
              </w:rPr>
              <w:t xml:space="preserve">he </w:t>
            </w:r>
            <w:r>
              <w:rPr>
                <w:rFonts w:ascii="Garamond" w:hAnsi="Garamond"/>
                <w:lang w:val="en-AU"/>
              </w:rPr>
              <w:t>“</w:t>
            </w:r>
            <w:r w:rsidRPr="008C23F6">
              <w:rPr>
                <w:rFonts w:ascii="Garamond" w:hAnsi="Garamond"/>
                <w:lang w:val="en-AU"/>
              </w:rPr>
              <w:t>majority of participants overestimated benefit for 32% of outcomes, underestimated benefit for 9%, underestimated harm for 34%, and overestimated harm for 5% of outcomes.</w:t>
            </w:r>
            <w:r>
              <w:rPr>
                <w:rFonts w:ascii="Garamond" w:hAnsi="Garamond"/>
                <w:lang w:val="en-AU"/>
              </w:rPr>
              <w:t>” These figures led the authors to conclude that “</w:t>
            </w:r>
            <w:r w:rsidRPr="008C23F6">
              <w:rPr>
                <w:rFonts w:ascii="Garamond" w:hAnsi="Garamond"/>
                <w:lang w:val="en-AU"/>
              </w:rPr>
              <w:t>Clinicians rarely had accurate expectations of benefits or harms, with inaccuracies in both directions, but more often underestimated harms and overestimated benefits.</w:t>
            </w:r>
            <w:r>
              <w:rPr>
                <w:rFonts w:ascii="Garamond" w:hAnsi="Garamond"/>
                <w:lang w:val="en-AU"/>
              </w:rPr>
              <w:t xml:space="preserve">” As is noted, </w:t>
            </w:r>
            <w:r w:rsidR="00DB4128">
              <w:rPr>
                <w:rFonts w:ascii="Garamond" w:hAnsi="Garamond"/>
                <w:lang w:val="en-AU"/>
              </w:rPr>
              <w:t>“</w:t>
            </w:r>
            <w:r w:rsidR="00DB4128" w:rsidRPr="00DB4128">
              <w:rPr>
                <w:rFonts w:ascii="Garamond" w:hAnsi="Garamond"/>
                <w:lang w:val="en-AU"/>
              </w:rPr>
              <w:t>If the benefits and harms are not known or communicated, effective interventions may be underused, low value interventions overused and patients' informed decision making hampered.</w:t>
            </w:r>
            <w:r w:rsidR="00DB4128">
              <w:rPr>
                <w:rFonts w:ascii="Garamond" w:hAnsi="Garamond"/>
                <w:lang w:val="en-AU"/>
              </w:rPr>
              <w:t>”</w:t>
            </w:r>
          </w:p>
        </w:tc>
      </w:tr>
    </w:tbl>
    <w:p w:rsidR="00D50A60" w:rsidRPr="007A47A8" w:rsidRDefault="00D50A60" w:rsidP="00D50A60">
      <w:pPr>
        <w:rPr>
          <w:rFonts w:ascii="Garamond" w:hAnsi="Garamond"/>
          <w:lang w:val="en-AU" w:eastAsia="en-AU"/>
        </w:rPr>
      </w:pPr>
    </w:p>
    <w:p w:rsidR="00B02F6E" w:rsidRPr="007A47A8" w:rsidRDefault="00B02F6E" w:rsidP="00BE027C">
      <w:pPr>
        <w:keepNext/>
        <w:rPr>
          <w:rFonts w:ascii="Garamond" w:hAnsi="Garamond"/>
          <w:lang w:val="en-AU"/>
        </w:rPr>
      </w:pPr>
      <w:r w:rsidRPr="007A47A8">
        <w:rPr>
          <w:rFonts w:ascii="Garamond" w:hAnsi="Garamond"/>
          <w:i/>
          <w:lang w:val="en-AU"/>
        </w:rPr>
        <w:lastRenderedPageBreak/>
        <w:t xml:space="preserve">BMJ Quality and Safety </w:t>
      </w:r>
      <w:r w:rsidRPr="007A47A8">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7A47A8"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7A47A8" w:rsidRDefault="00B02F6E" w:rsidP="00BE027C">
            <w:pPr>
              <w:keepNext/>
              <w:rPr>
                <w:rFonts w:ascii="Garamond" w:hAnsi="Garamond"/>
                <w:lang w:val="en-AU"/>
              </w:rPr>
            </w:pPr>
            <w:r w:rsidRPr="007A47A8">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7A47A8" w:rsidRDefault="009A5FAE" w:rsidP="00BE027C">
            <w:pPr>
              <w:keepNext/>
              <w:rPr>
                <w:rFonts w:ascii="Garamond" w:hAnsi="Garamond"/>
                <w:lang w:val="en-AU"/>
              </w:rPr>
            </w:pPr>
            <w:hyperlink r:id="rId31" w:history="1">
              <w:r w:rsidR="00B02F6E" w:rsidRPr="007A47A8">
                <w:rPr>
                  <w:rStyle w:val="Hyperlink"/>
                  <w:rFonts w:ascii="Garamond" w:hAnsi="Garamond"/>
                  <w:lang w:val="en-AU"/>
                </w:rPr>
                <w:t>http://qualitysafety.bmj.com/content/early/recent</w:t>
              </w:r>
            </w:hyperlink>
          </w:p>
        </w:tc>
      </w:tr>
      <w:tr w:rsidR="00B02F6E" w:rsidRPr="007A47A8"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7A47A8" w:rsidRDefault="00B02F6E" w:rsidP="00B47D6E">
            <w:pPr>
              <w:rPr>
                <w:rFonts w:ascii="Garamond" w:hAnsi="Garamond"/>
                <w:lang w:val="en-AU"/>
              </w:rPr>
            </w:pPr>
            <w:r w:rsidRPr="007A47A8">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7A47A8" w:rsidRDefault="00B02F6E" w:rsidP="00B47D6E">
            <w:pPr>
              <w:rPr>
                <w:rFonts w:ascii="Garamond" w:hAnsi="Garamond"/>
                <w:lang w:val="en-AU"/>
              </w:rPr>
            </w:pPr>
            <w:r w:rsidRPr="007A47A8">
              <w:rPr>
                <w:rFonts w:ascii="Garamond" w:hAnsi="Garamond"/>
                <w:i/>
                <w:lang w:val="en-AU"/>
              </w:rPr>
              <w:t>BMJ Quality and Safety</w:t>
            </w:r>
            <w:r w:rsidRPr="007A47A8">
              <w:rPr>
                <w:rFonts w:ascii="Garamond" w:hAnsi="Garamond"/>
                <w:lang w:val="en-AU"/>
              </w:rPr>
              <w:t xml:space="preserve"> has published a number of ‘online first’ articles, including:</w:t>
            </w:r>
          </w:p>
          <w:p w:rsidR="00E42D07" w:rsidRDefault="009859DC" w:rsidP="009859DC">
            <w:pPr>
              <w:pStyle w:val="ListParagraph"/>
              <w:numPr>
                <w:ilvl w:val="0"/>
                <w:numId w:val="14"/>
              </w:numPr>
              <w:rPr>
                <w:rFonts w:ascii="Garamond" w:hAnsi="Garamond"/>
                <w:lang w:val="en-AU"/>
              </w:rPr>
            </w:pPr>
            <w:r w:rsidRPr="009859DC">
              <w:rPr>
                <w:rFonts w:ascii="Garamond" w:hAnsi="Garamond"/>
                <w:lang w:val="en-AU"/>
              </w:rPr>
              <w:t xml:space="preserve">Combining qualitative and quantitative operational research methods to inform </w:t>
            </w:r>
            <w:r w:rsidRPr="009859DC">
              <w:rPr>
                <w:rFonts w:ascii="Garamond" w:hAnsi="Garamond"/>
                <w:b/>
                <w:lang w:val="en-AU"/>
              </w:rPr>
              <w:t>quality improvement</w:t>
            </w:r>
            <w:r w:rsidRPr="009859DC">
              <w:rPr>
                <w:rFonts w:ascii="Garamond" w:hAnsi="Garamond"/>
                <w:lang w:val="en-AU"/>
              </w:rPr>
              <w:t xml:space="preserve"> in pathways that span </w:t>
            </w:r>
            <w:r w:rsidRPr="009859DC">
              <w:rPr>
                <w:rFonts w:ascii="Garamond" w:hAnsi="Garamond"/>
                <w:b/>
                <w:lang w:val="en-AU"/>
              </w:rPr>
              <w:t>multiple settings</w:t>
            </w:r>
            <w:r w:rsidRPr="009859DC">
              <w:rPr>
                <w:rFonts w:ascii="Garamond" w:hAnsi="Garamond"/>
                <w:lang w:val="en-AU"/>
              </w:rPr>
              <w:t xml:space="preserve"> </w:t>
            </w:r>
            <w:r>
              <w:rPr>
                <w:rFonts w:ascii="Garamond" w:hAnsi="Garamond"/>
                <w:lang w:val="en-AU"/>
              </w:rPr>
              <w:t>(</w:t>
            </w:r>
            <w:r w:rsidRPr="009859DC">
              <w:rPr>
                <w:rFonts w:ascii="Garamond" w:hAnsi="Garamond"/>
                <w:lang w:val="en-AU"/>
              </w:rPr>
              <w:t>Sonya Crowe, Katherine Brown, Jenifer Tregay, Jo Wray, Rachel Knowles, Deborah A Ridout, Catherine Bull, Martin Utley</w:t>
            </w:r>
            <w:r>
              <w:rPr>
                <w:rFonts w:ascii="Garamond" w:hAnsi="Garamond"/>
                <w:lang w:val="en-AU"/>
              </w:rPr>
              <w:t>)</w:t>
            </w:r>
          </w:p>
          <w:p w:rsidR="00567BA3" w:rsidRPr="007A47A8" w:rsidRDefault="00567BA3" w:rsidP="00567BA3">
            <w:pPr>
              <w:pStyle w:val="ListParagraph"/>
              <w:numPr>
                <w:ilvl w:val="0"/>
                <w:numId w:val="14"/>
              </w:numPr>
              <w:rPr>
                <w:rFonts w:ascii="Garamond" w:hAnsi="Garamond"/>
                <w:lang w:val="en-AU"/>
              </w:rPr>
            </w:pPr>
            <w:r w:rsidRPr="00567BA3">
              <w:rPr>
                <w:rFonts w:ascii="Garamond" w:hAnsi="Garamond"/>
                <w:lang w:val="en-AU"/>
              </w:rPr>
              <w:t xml:space="preserve">Modifying </w:t>
            </w:r>
            <w:r w:rsidRPr="00567BA3">
              <w:rPr>
                <w:rFonts w:ascii="Garamond" w:hAnsi="Garamond"/>
                <w:b/>
                <w:lang w:val="en-AU"/>
              </w:rPr>
              <w:t>head nurse messages</w:t>
            </w:r>
            <w:r w:rsidRPr="00567BA3">
              <w:rPr>
                <w:rFonts w:ascii="Garamond" w:hAnsi="Garamond"/>
                <w:lang w:val="en-AU"/>
              </w:rPr>
              <w:t xml:space="preserve"> during daily conversations as leverage for </w:t>
            </w:r>
            <w:r w:rsidRPr="00567BA3">
              <w:rPr>
                <w:rFonts w:ascii="Garamond" w:hAnsi="Garamond"/>
                <w:b/>
                <w:lang w:val="en-AU"/>
              </w:rPr>
              <w:t>safety climate improvement</w:t>
            </w:r>
            <w:r w:rsidRPr="00567BA3">
              <w:rPr>
                <w:rFonts w:ascii="Garamond" w:hAnsi="Garamond"/>
                <w:lang w:val="en-AU"/>
              </w:rPr>
              <w:t>: a randomised field experiment</w:t>
            </w:r>
            <w:r>
              <w:rPr>
                <w:rFonts w:ascii="Garamond" w:hAnsi="Garamond"/>
                <w:lang w:val="en-AU"/>
              </w:rPr>
              <w:t xml:space="preserve"> (</w:t>
            </w:r>
            <w:r w:rsidRPr="00567BA3">
              <w:rPr>
                <w:rFonts w:ascii="Garamond" w:hAnsi="Garamond"/>
                <w:lang w:val="en-AU"/>
              </w:rPr>
              <w:t>Dov Zohar, Yaron T Werber, Ronen Marom, Bruria Curlau, Orna Blondheim</w:t>
            </w:r>
            <w:r>
              <w:rPr>
                <w:rFonts w:ascii="Garamond" w:hAnsi="Garamond"/>
                <w:lang w:val="en-AU"/>
              </w:rPr>
              <w:t>)</w:t>
            </w:r>
          </w:p>
        </w:tc>
      </w:tr>
    </w:tbl>
    <w:p w:rsidR="00380808" w:rsidRPr="007A47A8" w:rsidRDefault="00380808" w:rsidP="00025ED6">
      <w:pPr>
        <w:keepLines/>
        <w:autoSpaceDE w:val="0"/>
        <w:autoSpaceDN w:val="0"/>
        <w:adjustRightInd w:val="0"/>
        <w:rPr>
          <w:rFonts w:ascii="Garamond" w:hAnsi="Garamond"/>
          <w:lang w:val="en-AU"/>
        </w:rPr>
      </w:pPr>
    </w:p>
    <w:p w:rsidR="006F2F21" w:rsidRPr="007A47A8" w:rsidRDefault="006F2F21" w:rsidP="006F2F21">
      <w:pPr>
        <w:keepNext/>
        <w:rPr>
          <w:rFonts w:ascii="Garamond" w:hAnsi="Garamond"/>
          <w:lang w:val="en-AU"/>
        </w:rPr>
      </w:pPr>
      <w:r w:rsidRPr="007A47A8">
        <w:rPr>
          <w:rFonts w:ascii="Garamond" w:hAnsi="Garamond"/>
          <w:i/>
          <w:lang w:val="en-AU"/>
        </w:rPr>
        <w:t xml:space="preserve">International Journal for Quality in Health Care </w:t>
      </w:r>
      <w:r w:rsidRPr="007A47A8">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6F2F21" w:rsidRPr="007A47A8"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7A47A8" w:rsidRDefault="006F2F21" w:rsidP="003B2C28">
            <w:pPr>
              <w:keepNext/>
              <w:rPr>
                <w:rFonts w:ascii="Garamond" w:hAnsi="Garamond"/>
                <w:lang w:val="en-AU"/>
              </w:rPr>
            </w:pPr>
            <w:r w:rsidRPr="007A47A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7A47A8" w:rsidRDefault="009A5FAE" w:rsidP="003B2C28">
            <w:pPr>
              <w:keepNext/>
              <w:rPr>
                <w:rFonts w:ascii="Garamond" w:hAnsi="Garamond"/>
                <w:lang w:val="en-AU"/>
              </w:rPr>
            </w:pPr>
            <w:hyperlink r:id="rId32" w:history="1">
              <w:r w:rsidR="006F2F21" w:rsidRPr="007A47A8">
                <w:rPr>
                  <w:rStyle w:val="Hyperlink"/>
                  <w:rFonts w:ascii="Garamond" w:hAnsi="Garamond"/>
                  <w:lang w:val="en-AU"/>
                </w:rPr>
                <w:t>http://intqhc.oxfordjournals.org/content/early/recent?papetoc</w:t>
              </w:r>
            </w:hyperlink>
          </w:p>
        </w:tc>
      </w:tr>
      <w:tr w:rsidR="006F2F21" w:rsidRPr="007A47A8"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7A47A8" w:rsidRDefault="006F2F21" w:rsidP="003B2C28">
            <w:pPr>
              <w:rPr>
                <w:rFonts w:ascii="Garamond" w:hAnsi="Garamond"/>
                <w:lang w:val="en-AU"/>
              </w:rPr>
            </w:pPr>
            <w:r w:rsidRPr="007A47A8">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7A47A8" w:rsidRDefault="006F2F21" w:rsidP="003B2C28">
            <w:pPr>
              <w:rPr>
                <w:rFonts w:ascii="Garamond" w:hAnsi="Garamond"/>
                <w:lang w:val="en-AU"/>
              </w:rPr>
            </w:pPr>
            <w:r w:rsidRPr="007A47A8">
              <w:rPr>
                <w:rFonts w:ascii="Garamond" w:hAnsi="Garamond"/>
                <w:i/>
                <w:lang w:val="en-AU"/>
              </w:rPr>
              <w:t xml:space="preserve">International Journal for Quality in Health Care </w:t>
            </w:r>
            <w:r w:rsidRPr="007A47A8">
              <w:rPr>
                <w:rFonts w:ascii="Garamond" w:hAnsi="Garamond"/>
                <w:lang w:val="en-AU"/>
              </w:rPr>
              <w:t>has published a number of ‘online first’ articles, including:</w:t>
            </w:r>
          </w:p>
          <w:p w:rsidR="00A569A5" w:rsidRPr="00A569A5" w:rsidRDefault="00A569A5" w:rsidP="00A569A5">
            <w:pPr>
              <w:pStyle w:val="ListParagraph"/>
              <w:numPr>
                <w:ilvl w:val="0"/>
                <w:numId w:val="14"/>
              </w:numPr>
              <w:rPr>
                <w:rFonts w:ascii="Garamond" w:hAnsi="Garamond"/>
                <w:lang w:val="en-AU"/>
              </w:rPr>
            </w:pPr>
            <w:r w:rsidRPr="00A569A5">
              <w:rPr>
                <w:rFonts w:ascii="Garamond" w:hAnsi="Garamond"/>
                <w:lang w:val="en-AU"/>
              </w:rPr>
              <w:t xml:space="preserve">Assessing </w:t>
            </w:r>
            <w:r w:rsidRPr="00A569A5">
              <w:rPr>
                <w:rFonts w:ascii="Garamond" w:hAnsi="Garamond"/>
                <w:b/>
                <w:lang w:val="en-AU"/>
              </w:rPr>
              <w:t>patient safety culture</w:t>
            </w:r>
            <w:r w:rsidRPr="00A569A5">
              <w:rPr>
                <w:rFonts w:ascii="Garamond" w:hAnsi="Garamond"/>
                <w:lang w:val="en-AU"/>
              </w:rPr>
              <w:t xml:space="preserve"> in Tunisian operating rooms: A multicenter study (Manel Mallouli, Mohamed Ayoub Tlili, Wiem Aouicha, Mohamed Ben Rejeb, Chekib Zedini, Amrani Salwa, Ali Mtiraoui, Mohamed Ben Dhiab, Thouraya Ajmi</w:t>
            </w:r>
            <w:r>
              <w:rPr>
                <w:rFonts w:ascii="Garamond" w:hAnsi="Garamond"/>
                <w:lang w:val="en-AU"/>
              </w:rPr>
              <w:t>)</w:t>
            </w:r>
          </w:p>
          <w:p w:rsidR="00EE191E" w:rsidRDefault="00A569A5" w:rsidP="00A569A5">
            <w:pPr>
              <w:pStyle w:val="ListParagraph"/>
              <w:numPr>
                <w:ilvl w:val="0"/>
                <w:numId w:val="14"/>
              </w:numPr>
              <w:rPr>
                <w:rFonts w:ascii="Garamond" w:hAnsi="Garamond"/>
                <w:lang w:val="en-AU"/>
              </w:rPr>
            </w:pPr>
            <w:r w:rsidRPr="00A569A5">
              <w:rPr>
                <w:rFonts w:ascii="Garamond" w:hAnsi="Garamond"/>
                <w:lang w:val="en-AU"/>
              </w:rPr>
              <w:t xml:space="preserve">Comparability of </w:t>
            </w:r>
            <w:r w:rsidRPr="00A569A5">
              <w:rPr>
                <w:rFonts w:ascii="Garamond" w:hAnsi="Garamond"/>
                <w:b/>
                <w:lang w:val="en-AU"/>
              </w:rPr>
              <w:t>health service use by veterans</w:t>
            </w:r>
            <w:r w:rsidRPr="00A569A5">
              <w:rPr>
                <w:rFonts w:ascii="Garamond" w:hAnsi="Garamond"/>
                <w:lang w:val="en-AU"/>
              </w:rPr>
              <w:t xml:space="preserve"> with multisymptom illness and those with chronic diseases </w:t>
            </w:r>
            <w:r>
              <w:rPr>
                <w:rFonts w:ascii="Garamond" w:hAnsi="Garamond"/>
                <w:lang w:val="en-AU"/>
              </w:rPr>
              <w:t>(</w:t>
            </w:r>
            <w:r w:rsidRPr="00A569A5">
              <w:rPr>
                <w:rFonts w:ascii="Garamond" w:hAnsi="Garamond"/>
                <w:lang w:val="en-AU"/>
              </w:rPr>
              <w:t>Stella M Gwini, Andrew B. Forbes, Malcolm R. Sim, Helen L Kelsall</w:t>
            </w:r>
            <w:r>
              <w:rPr>
                <w:rFonts w:ascii="Garamond" w:hAnsi="Garamond"/>
                <w:lang w:val="en-AU"/>
              </w:rPr>
              <w:t>)</w:t>
            </w:r>
          </w:p>
          <w:p w:rsidR="00567BA3" w:rsidRPr="007A47A8" w:rsidRDefault="00567BA3" w:rsidP="00567BA3">
            <w:pPr>
              <w:pStyle w:val="ListParagraph"/>
              <w:numPr>
                <w:ilvl w:val="0"/>
                <w:numId w:val="14"/>
              </w:numPr>
              <w:rPr>
                <w:rFonts w:ascii="Garamond" w:hAnsi="Garamond"/>
                <w:lang w:val="en-AU"/>
              </w:rPr>
            </w:pPr>
            <w:r w:rsidRPr="00567BA3">
              <w:rPr>
                <w:rFonts w:ascii="Garamond" w:hAnsi="Garamond"/>
                <w:lang w:val="en-AU"/>
              </w:rPr>
              <w:t xml:space="preserve">Healthcare </w:t>
            </w:r>
            <w:r w:rsidRPr="00567BA3">
              <w:rPr>
                <w:rFonts w:ascii="Garamond" w:hAnsi="Garamond"/>
                <w:b/>
                <w:lang w:val="en-AU"/>
              </w:rPr>
              <w:t>resource utilization</w:t>
            </w:r>
            <w:r w:rsidRPr="00567BA3">
              <w:rPr>
                <w:rFonts w:ascii="Garamond" w:hAnsi="Garamond"/>
                <w:lang w:val="en-AU"/>
              </w:rPr>
              <w:t xml:space="preserve"> and </w:t>
            </w:r>
            <w:r w:rsidRPr="00567BA3">
              <w:rPr>
                <w:rFonts w:ascii="Garamond" w:hAnsi="Garamond"/>
                <w:b/>
                <w:lang w:val="en-AU"/>
              </w:rPr>
              <w:t>clinical outcomes</w:t>
            </w:r>
            <w:r w:rsidRPr="00567BA3">
              <w:rPr>
                <w:rFonts w:ascii="Garamond" w:hAnsi="Garamond"/>
                <w:lang w:val="en-AU"/>
              </w:rPr>
              <w:t xml:space="preserve"> associated with acute care and inpatient rehabilitation of </w:t>
            </w:r>
            <w:r w:rsidRPr="00567BA3">
              <w:rPr>
                <w:rFonts w:ascii="Garamond" w:hAnsi="Garamond"/>
                <w:b/>
                <w:lang w:val="en-AU"/>
              </w:rPr>
              <w:t>stroke patients</w:t>
            </w:r>
            <w:r w:rsidRPr="00567BA3">
              <w:rPr>
                <w:rFonts w:ascii="Garamond" w:hAnsi="Garamond"/>
                <w:lang w:val="en-AU"/>
              </w:rPr>
              <w:t xml:space="preserve"> in Japan</w:t>
            </w:r>
            <w:r>
              <w:rPr>
                <w:rFonts w:ascii="Garamond" w:hAnsi="Garamond"/>
                <w:lang w:val="en-AU"/>
              </w:rPr>
              <w:t xml:space="preserve"> (</w:t>
            </w:r>
            <w:r w:rsidRPr="00567BA3">
              <w:rPr>
                <w:rFonts w:ascii="Garamond" w:hAnsi="Garamond"/>
                <w:lang w:val="en-AU"/>
              </w:rPr>
              <w:t>Kyoko Murata</w:t>
            </w:r>
            <w:r>
              <w:rPr>
                <w:rFonts w:ascii="Garamond" w:hAnsi="Garamond"/>
                <w:lang w:val="en-AU"/>
              </w:rPr>
              <w:t>,</w:t>
            </w:r>
            <w:r w:rsidRPr="00567BA3">
              <w:rPr>
                <w:rFonts w:ascii="Garamond" w:hAnsi="Garamond"/>
                <w:lang w:val="en-AU"/>
              </w:rPr>
              <w:t xml:space="preserve"> Shiro Hinotsu</w:t>
            </w:r>
            <w:r>
              <w:rPr>
                <w:rFonts w:ascii="Garamond" w:hAnsi="Garamond"/>
                <w:lang w:val="en-AU"/>
              </w:rPr>
              <w:t>,</w:t>
            </w:r>
            <w:r w:rsidRPr="00567BA3">
              <w:rPr>
                <w:rFonts w:ascii="Garamond" w:hAnsi="Garamond"/>
                <w:lang w:val="en-AU"/>
              </w:rPr>
              <w:t xml:space="preserve"> Nobutake Sadamasa</w:t>
            </w:r>
            <w:r>
              <w:rPr>
                <w:rFonts w:ascii="Garamond" w:hAnsi="Garamond"/>
                <w:lang w:val="en-AU"/>
              </w:rPr>
              <w:t>,</w:t>
            </w:r>
            <w:r w:rsidRPr="00567BA3">
              <w:rPr>
                <w:rFonts w:ascii="Garamond" w:hAnsi="Garamond"/>
                <w:lang w:val="en-AU"/>
              </w:rPr>
              <w:t xml:space="preserve"> Kazumichi Yoshida</w:t>
            </w:r>
            <w:r>
              <w:rPr>
                <w:rFonts w:ascii="Garamond" w:hAnsi="Garamond"/>
                <w:lang w:val="en-AU"/>
              </w:rPr>
              <w:t>,</w:t>
            </w:r>
            <w:r w:rsidRPr="00567BA3">
              <w:rPr>
                <w:rFonts w:ascii="Garamond" w:hAnsi="Garamond"/>
                <w:lang w:val="en-AU"/>
              </w:rPr>
              <w:t xml:space="preserve"> Sen Yamagata Shoji Asari</w:t>
            </w:r>
            <w:r>
              <w:rPr>
                <w:rFonts w:ascii="Garamond" w:hAnsi="Garamond"/>
                <w:lang w:val="en-AU"/>
              </w:rPr>
              <w:t>,</w:t>
            </w:r>
            <w:r w:rsidRPr="00567BA3">
              <w:rPr>
                <w:rFonts w:ascii="Garamond" w:hAnsi="Garamond"/>
                <w:lang w:val="en-AU"/>
              </w:rPr>
              <w:t xml:space="preserve"> Susumu Miyamoto</w:t>
            </w:r>
            <w:r>
              <w:rPr>
                <w:rFonts w:ascii="Garamond" w:hAnsi="Garamond"/>
                <w:lang w:val="en-AU"/>
              </w:rPr>
              <w:t>,</w:t>
            </w:r>
            <w:r w:rsidRPr="00567BA3">
              <w:rPr>
                <w:rFonts w:ascii="Garamond" w:hAnsi="Garamond"/>
                <w:lang w:val="en-AU"/>
              </w:rPr>
              <w:t xml:space="preserve"> Koji Kawakami</w:t>
            </w:r>
            <w:r>
              <w:rPr>
                <w:rFonts w:ascii="Garamond" w:hAnsi="Garamond"/>
                <w:lang w:val="en-AU"/>
              </w:rPr>
              <w:t>)</w:t>
            </w:r>
          </w:p>
        </w:tc>
      </w:tr>
    </w:tbl>
    <w:p w:rsidR="006F2F21" w:rsidRPr="007A47A8" w:rsidRDefault="006F2F21" w:rsidP="006F2F21">
      <w:pPr>
        <w:rPr>
          <w:rFonts w:ascii="Garamond" w:hAnsi="Garamond"/>
          <w:lang w:val="en-AU"/>
        </w:rPr>
      </w:pPr>
    </w:p>
    <w:p w:rsidR="006F2F21" w:rsidRPr="007A47A8" w:rsidRDefault="006F2F21" w:rsidP="00025ED6">
      <w:pPr>
        <w:keepLines/>
        <w:autoSpaceDE w:val="0"/>
        <w:autoSpaceDN w:val="0"/>
        <w:adjustRightInd w:val="0"/>
        <w:rPr>
          <w:rFonts w:ascii="Garamond" w:hAnsi="Garamond"/>
          <w:lang w:val="en-AU"/>
        </w:rPr>
      </w:pPr>
    </w:p>
    <w:p w:rsidR="00B02F6E" w:rsidRPr="007A47A8" w:rsidRDefault="00B02F6E" w:rsidP="001C6360">
      <w:pPr>
        <w:keepNext/>
        <w:rPr>
          <w:rFonts w:ascii="Garamond" w:hAnsi="Garamond"/>
          <w:b/>
          <w:lang w:val="en-AU"/>
        </w:rPr>
      </w:pPr>
      <w:r w:rsidRPr="007A47A8">
        <w:rPr>
          <w:rFonts w:ascii="Garamond" w:hAnsi="Garamond"/>
          <w:b/>
          <w:lang w:val="en-AU"/>
        </w:rPr>
        <w:t>Online resources</w:t>
      </w:r>
    </w:p>
    <w:p w:rsidR="00BB12F9" w:rsidRDefault="00BB12F9" w:rsidP="001C6360">
      <w:pPr>
        <w:keepNext/>
        <w:rPr>
          <w:rFonts w:ascii="Garamond" w:hAnsi="Garamond"/>
          <w:i/>
          <w:lang w:val="en-AU"/>
        </w:rPr>
      </w:pPr>
    </w:p>
    <w:p w:rsidR="00567BA3" w:rsidRPr="003247E1" w:rsidRDefault="00567BA3" w:rsidP="00567BA3">
      <w:pPr>
        <w:keepNext/>
        <w:rPr>
          <w:rFonts w:ascii="Garamond" w:hAnsi="Garamond"/>
          <w:i/>
          <w:lang w:val="en-AU"/>
        </w:rPr>
      </w:pPr>
      <w:r w:rsidRPr="003247E1">
        <w:rPr>
          <w:rFonts w:ascii="Garamond" w:hAnsi="Garamond"/>
          <w:i/>
          <w:lang w:val="en-AU"/>
        </w:rPr>
        <w:t>[USA] Patient Safety Primers</w:t>
      </w:r>
    </w:p>
    <w:p w:rsidR="00567BA3" w:rsidRPr="003247E1" w:rsidRDefault="009A5FAE" w:rsidP="00567BA3">
      <w:pPr>
        <w:keepNext/>
        <w:rPr>
          <w:rFonts w:ascii="Garamond" w:hAnsi="Garamond"/>
          <w:lang w:val="en-AU"/>
        </w:rPr>
      </w:pPr>
      <w:hyperlink r:id="rId33" w:history="1">
        <w:r w:rsidR="00567BA3" w:rsidRPr="003247E1">
          <w:rPr>
            <w:rStyle w:val="Hyperlink"/>
            <w:rFonts w:ascii="Garamond" w:hAnsi="Garamond"/>
            <w:lang w:val="en-AU"/>
          </w:rPr>
          <w:t>https://psnet.ahrq.gov/primers/</w:t>
        </w:r>
      </w:hyperlink>
    </w:p>
    <w:p w:rsidR="00567BA3" w:rsidRPr="003247E1" w:rsidRDefault="00567BA3" w:rsidP="00567BA3">
      <w:pPr>
        <w:keepNext/>
        <w:rPr>
          <w:rFonts w:ascii="Garamond" w:hAnsi="Garamond"/>
          <w:lang w:val="en-AU"/>
        </w:rPr>
      </w:pPr>
      <w:r w:rsidRPr="003247E1">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567BA3" w:rsidRPr="003247E1" w:rsidRDefault="00567BA3" w:rsidP="00567BA3">
      <w:pPr>
        <w:pStyle w:val="ListParagraph"/>
        <w:keepNext/>
        <w:numPr>
          <w:ilvl w:val="0"/>
          <w:numId w:val="46"/>
        </w:numPr>
        <w:rPr>
          <w:rFonts w:ascii="Garamond" w:hAnsi="Garamond"/>
          <w:lang w:val="en-AU"/>
        </w:rPr>
      </w:pPr>
      <w:r w:rsidRPr="003247E1">
        <w:rPr>
          <w:rFonts w:ascii="Garamond" w:hAnsi="Garamond"/>
          <w:b/>
          <w:i/>
          <w:lang w:val="en-AU"/>
        </w:rPr>
        <w:t>Safety in Long-term Care</w:t>
      </w:r>
      <w:r w:rsidRPr="003247E1">
        <w:rPr>
          <w:rFonts w:ascii="Garamond" w:hAnsi="Garamond"/>
          <w:lang w:val="en-AU"/>
        </w:rPr>
        <w:t xml:space="preserve"> Many people require care in skilled nursing facilities, inpatient rehabilitation facilities, or long-term acute care hospitals, often after an acute hospitalization. Data indicates that more than 20% of patients in these settings experience an adverse event during their stay. </w:t>
      </w:r>
      <w:hyperlink r:id="rId34" w:history="1">
        <w:r w:rsidRPr="003247E1">
          <w:rPr>
            <w:rStyle w:val="Hyperlink"/>
            <w:rFonts w:ascii="Garamond" w:hAnsi="Garamond"/>
            <w:lang w:val="en-AU"/>
          </w:rPr>
          <w:t>https://psnet.ahrq.gov/primers/primer/39</w:t>
        </w:r>
      </w:hyperlink>
    </w:p>
    <w:p w:rsidR="00567BA3" w:rsidRPr="003247E1" w:rsidRDefault="00567BA3" w:rsidP="00567BA3">
      <w:pPr>
        <w:pStyle w:val="ListParagraph"/>
        <w:keepNext/>
        <w:numPr>
          <w:ilvl w:val="0"/>
          <w:numId w:val="46"/>
        </w:numPr>
        <w:rPr>
          <w:rFonts w:ascii="Garamond" w:hAnsi="Garamond"/>
          <w:lang w:val="en-AU"/>
        </w:rPr>
      </w:pPr>
      <w:r w:rsidRPr="003247E1">
        <w:rPr>
          <w:rFonts w:ascii="Garamond" w:hAnsi="Garamond"/>
          <w:b/>
          <w:i/>
          <w:lang w:val="en-AU"/>
        </w:rPr>
        <w:t>Failure to Rescue</w:t>
      </w:r>
      <w:r w:rsidRPr="003247E1">
        <w:rPr>
          <w:rFonts w:ascii="Garamond" w:hAnsi="Garamond"/>
          <w:lang w:val="en-AU"/>
        </w:rPr>
        <w:t xml:space="preserve"> Failure to rescue is both a concept and a measure of hospital quality and safety. The concept captures the idea that systems should be able to rapidly identify and treat complications when they occur, while the measure has been defined as the inability to prevent death after a complication develops. </w:t>
      </w:r>
      <w:hyperlink r:id="rId35" w:history="1">
        <w:r w:rsidRPr="003247E1">
          <w:rPr>
            <w:rStyle w:val="Hyperlink"/>
            <w:rFonts w:ascii="Garamond" w:hAnsi="Garamond"/>
            <w:lang w:val="en-AU"/>
          </w:rPr>
          <w:t>https://psnet.ahrq.gov/primers/primer/38</w:t>
        </w:r>
      </w:hyperlink>
    </w:p>
    <w:p w:rsidR="00567BA3" w:rsidRPr="003247E1" w:rsidRDefault="00567BA3" w:rsidP="00567BA3">
      <w:pPr>
        <w:keepNext/>
        <w:rPr>
          <w:rFonts w:ascii="Garamond" w:hAnsi="Garamond"/>
          <w:lang w:val="en-AU"/>
        </w:rPr>
      </w:pPr>
    </w:p>
    <w:p w:rsidR="00567BA3" w:rsidRPr="003247E1" w:rsidRDefault="00567BA3" w:rsidP="00567BA3">
      <w:pPr>
        <w:keepNext/>
        <w:rPr>
          <w:rFonts w:ascii="Garamond" w:hAnsi="Garamond"/>
          <w:lang w:val="en-AU" w:eastAsia="en-AU"/>
        </w:rPr>
      </w:pPr>
      <w:r w:rsidRPr="003247E1">
        <w:rPr>
          <w:rFonts w:ascii="Garamond" w:hAnsi="Garamond"/>
          <w:lang w:val="en-AU" w:eastAsia="en-AU"/>
        </w:rPr>
        <w:t xml:space="preserve">For information about the Commission’s work on recognising and responding to clinical deterioration, see </w:t>
      </w:r>
      <w:hyperlink r:id="rId36" w:history="1">
        <w:r w:rsidRPr="003247E1">
          <w:rPr>
            <w:rStyle w:val="Hyperlink"/>
            <w:rFonts w:ascii="Garamond" w:hAnsi="Garamond"/>
            <w:lang w:val="en-AU" w:eastAsia="en-AU"/>
          </w:rPr>
          <w:t>https://www.safetyandquality.gov.au/our-work/recognising-and-responding-to-clinical-deterioration/</w:t>
        </w:r>
      </w:hyperlink>
    </w:p>
    <w:p w:rsidR="00567BA3" w:rsidRPr="003247E1" w:rsidRDefault="00567BA3" w:rsidP="003247E1">
      <w:pPr>
        <w:rPr>
          <w:rFonts w:ascii="Garamond" w:hAnsi="Garamond"/>
          <w:lang w:val="en-AU"/>
        </w:rPr>
      </w:pPr>
    </w:p>
    <w:p w:rsidR="003247E1" w:rsidRPr="003247E1" w:rsidRDefault="003247E1" w:rsidP="003247E1">
      <w:pPr>
        <w:keepNext/>
        <w:keepLines/>
        <w:rPr>
          <w:rFonts w:ascii="Garamond" w:hAnsi="Garamond"/>
          <w:i/>
          <w:lang w:val="en-AU"/>
        </w:rPr>
      </w:pPr>
      <w:r w:rsidRPr="003247E1">
        <w:rPr>
          <w:rFonts w:ascii="Garamond" w:hAnsi="Garamond"/>
          <w:i/>
          <w:lang w:val="en-AU"/>
        </w:rPr>
        <w:lastRenderedPageBreak/>
        <w:t>[UK] NICE Guidelines and Quality Standards</w:t>
      </w:r>
    </w:p>
    <w:p w:rsidR="003247E1" w:rsidRPr="003247E1" w:rsidRDefault="009A5FAE" w:rsidP="003247E1">
      <w:pPr>
        <w:keepNext/>
        <w:keepLines/>
        <w:rPr>
          <w:rFonts w:ascii="Garamond" w:hAnsi="Garamond"/>
          <w:u w:val="single"/>
          <w:lang w:val="en-AU"/>
        </w:rPr>
      </w:pPr>
      <w:hyperlink r:id="rId37" w:history="1">
        <w:r w:rsidR="003247E1" w:rsidRPr="003247E1">
          <w:rPr>
            <w:rStyle w:val="Hyperlink"/>
            <w:rFonts w:ascii="Garamond" w:hAnsi="Garamond"/>
            <w:lang w:val="en-AU"/>
          </w:rPr>
          <w:t>http://www.nice.org.uk</w:t>
        </w:r>
      </w:hyperlink>
    </w:p>
    <w:p w:rsidR="003247E1" w:rsidRPr="003247E1" w:rsidRDefault="003247E1" w:rsidP="003247E1">
      <w:pPr>
        <w:keepNext/>
        <w:keepLines/>
        <w:rPr>
          <w:rFonts w:ascii="Garamond" w:hAnsi="Garamond"/>
          <w:lang w:val="en-AU"/>
        </w:rPr>
      </w:pPr>
      <w:r w:rsidRPr="003247E1">
        <w:rPr>
          <w:rFonts w:ascii="Garamond" w:hAnsi="Garamond"/>
          <w:lang w:val="en-AU"/>
        </w:rPr>
        <w:t>The UK’s National Institute for Health and Care Excellence (NICE) has published new (or updated) guidelines and quality standards. The latest updates are:</w:t>
      </w:r>
    </w:p>
    <w:p w:rsidR="003247E1" w:rsidRPr="003247E1" w:rsidRDefault="003247E1" w:rsidP="003247E1">
      <w:pPr>
        <w:pStyle w:val="ListParagraph"/>
        <w:keepLines/>
        <w:numPr>
          <w:ilvl w:val="0"/>
          <w:numId w:val="14"/>
        </w:numPr>
        <w:rPr>
          <w:rFonts w:ascii="Garamond" w:hAnsi="Garamond"/>
          <w:lang w:val="en-AU"/>
        </w:rPr>
      </w:pPr>
      <w:r w:rsidRPr="003247E1">
        <w:rPr>
          <w:rFonts w:ascii="Garamond" w:hAnsi="Garamond"/>
          <w:lang w:val="en-AU"/>
        </w:rPr>
        <w:t xml:space="preserve">Quality Standard QS141 </w:t>
      </w:r>
      <w:r w:rsidRPr="003247E1">
        <w:rPr>
          <w:rFonts w:ascii="Garamond" w:hAnsi="Garamond"/>
          <w:b/>
          <w:i/>
          <w:lang w:val="en-AU"/>
        </w:rPr>
        <w:t>Tuberculosis</w:t>
      </w:r>
      <w:r w:rsidRPr="003247E1">
        <w:rPr>
          <w:rFonts w:ascii="Garamond" w:hAnsi="Garamond"/>
          <w:lang w:val="en-AU"/>
        </w:rPr>
        <w:t xml:space="preserve"> </w:t>
      </w:r>
      <w:hyperlink r:id="rId38" w:history="1">
        <w:r w:rsidRPr="003247E1">
          <w:rPr>
            <w:rStyle w:val="Hyperlink"/>
            <w:rFonts w:ascii="Garamond" w:hAnsi="Garamond"/>
            <w:lang w:val="en-AU"/>
          </w:rPr>
          <w:t>https://www.nice.org.uk/guidance/qs141</w:t>
        </w:r>
      </w:hyperlink>
    </w:p>
    <w:p w:rsidR="003247E1" w:rsidRPr="003247E1" w:rsidRDefault="003247E1" w:rsidP="003247E1">
      <w:pPr>
        <w:pStyle w:val="ListParagraph"/>
        <w:keepLines/>
        <w:numPr>
          <w:ilvl w:val="0"/>
          <w:numId w:val="14"/>
        </w:numPr>
        <w:rPr>
          <w:rFonts w:ascii="Garamond" w:hAnsi="Garamond"/>
          <w:lang w:val="en-AU"/>
        </w:rPr>
      </w:pPr>
      <w:r w:rsidRPr="003247E1">
        <w:rPr>
          <w:rFonts w:ascii="Garamond" w:hAnsi="Garamond"/>
          <w:lang w:val="en-AU"/>
        </w:rPr>
        <w:t xml:space="preserve">Quality Standard QS142 </w:t>
      </w:r>
      <w:r w:rsidRPr="003247E1">
        <w:rPr>
          <w:rFonts w:ascii="Garamond" w:hAnsi="Garamond"/>
          <w:b/>
          <w:i/>
          <w:lang w:val="en-AU"/>
        </w:rPr>
        <w:t>Learning disabilities</w:t>
      </w:r>
      <w:r w:rsidRPr="003247E1">
        <w:rPr>
          <w:rFonts w:ascii="Garamond" w:hAnsi="Garamond"/>
          <w:i/>
          <w:lang w:val="en-AU"/>
        </w:rPr>
        <w:t>: identifying and managing mental health problems</w:t>
      </w:r>
      <w:r w:rsidRPr="003247E1">
        <w:rPr>
          <w:rFonts w:ascii="Garamond" w:hAnsi="Garamond"/>
          <w:lang w:val="en-AU"/>
        </w:rPr>
        <w:t xml:space="preserve"> </w:t>
      </w:r>
      <w:hyperlink r:id="rId39" w:history="1">
        <w:r w:rsidRPr="003247E1">
          <w:rPr>
            <w:rStyle w:val="Hyperlink"/>
            <w:rFonts w:ascii="Garamond" w:hAnsi="Garamond"/>
            <w:lang w:val="en-AU"/>
          </w:rPr>
          <w:t>https://www.nice.org.uk/guidance/qs142</w:t>
        </w:r>
      </w:hyperlink>
    </w:p>
    <w:p w:rsidR="003247E1" w:rsidRPr="003247E1" w:rsidRDefault="003247E1" w:rsidP="003247E1">
      <w:pPr>
        <w:keepLines/>
        <w:rPr>
          <w:rFonts w:ascii="Garamond" w:hAnsi="Garamond"/>
          <w:lang w:val="en-AU"/>
        </w:rPr>
      </w:pPr>
    </w:p>
    <w:p w:rsidR="00501A37" w:rsidRPr="007A47A8" w:rsidRDefault="00501A37" w:rsidP="00B47E3A">
      <w:pPr>
        <w:keepLines/>
        <w:rPr>
          <w:rFonts w:ascii="Garamond" w:hAnsi="Garamond"/>
          <w:lang w:val="en-AU"/>
        </w:rPr>
      </w:pPr>
    </w:p>
    <w:p w:rsidR="00B02F6E" w:rsidRPr="007A47A8" w:rsidRDefault="00B02F6E" w:rsidP="00B02F6E">
      <w:pPr>
        <w:keepNext/>
        <w:pBdr>
          <w:top w:val="single" w:sz="4" w:space="1" w:color="auto"/>
        </w:pBdr>
        <w:rPr>
          <w:rFonts w:ascii="Garamond" w:hAnsi="Garamond"/>
          <w:b/>
          <w:lang w:val="en-AU"/>
        </w:rPr>
      </w:pPr>
      <w:r w:rsidRPr="007A47A8">
        <w:rPr>
          <w:rFonts w:ascii="Garamond" w:hAnsi="Garamond"/>
          <w:b/>
          <w:lang w:val="en-AU"/>
        </w:rPr>
        <w:t>Disclaimer</w:t>
      </w:r>
    </w:p>
    <w:p w:rsidR="00B02F6E" w:rsidRPr="007A47A8" w:rsidRDefault="00B02F6E" w:rsidP="00B17406">
      <w:pPr>
        <w:rPr>
          <w:rFonts w:ascii="Garamond" w:hAnsi="Garamond"/>
          <w:lang w:val="en-AU"/>
        </w:rPr>
      </w:pPr>
      <w:r w:rsidRPr="007A47A8">
        <w:rPr>
          <w:rFonts w:ascii="Garamond" w:hAnsi="Garamond"/>
          <w:i/>
          <w:lang w:val="en-AU"/>
        </w:rPr>
        <w:t>On the Radar</w:t>
      </w:r>
      <w:r w:rsidRPr="007A47A8">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7A47A8">
        <w:rPr>
          <w:rFonts w:ascii="Garamond" w:hAnsi="Garamond"/>
          <w:lang w:val="en-AU"/>
        </w:rPr>
        <w:fldChar w:fldCharType="begin"/>
      </w:r>
      <w:r w:rsidRPr="007A47A8">
        <w:rPr>
          <w:rFonts w:ascii="Garamond" w:hAnsi="Garamond"/>
          <w:lang w:val="en-AU"/>
        </w:rPr>
        <w:instrText xml:space="preserve"> ADDIN </w:instrText>
      </w:r>
      <w:r w:rsidRPr="007A47A8">
        <w:rPr>
          <w:rFonts w:ascii="Garamond" w:hAnsi="Garamond"/>
          <w:lang w:val="en-AU"/>
        </w:rPr>
        <w:fldChar w:fldCharType="end"/>
      </w:r>
      <w:r w:rsidRPr="007A47A8">
        <w:rPr>
          <w:rFonts w:ascii="Garamond" w:hAnsi="Garamond"/>
          <w:lang w:val="en-AU"/>
        </w:rPr>
        <w:fldChar w:fldCharType="begin"/>
      </w:r>
      <w:r w:rsidRPr="007A47A8">
        <w:rPr>
          <w:rFonts w:ascii="Garamond" w:hAnsi="Garamond"/>
          <w:lang w:val="en-AU"/>
        </w:rPr>
        <w:instrText xml:space="preserve"> ADDIN </w:instrText>
      </w:r>
      <w:r w:rsidRPr="007A47A8">
        <w:rPr>
          <w:rFonts w:ascii="Garamond" w:hAnsi="Garamond"/>
          <w:lang w:val="en-AU"/>
        </w:rPr>
        <w:fldChar w:fldCharType="end"/>
      </w:r>
    </w:p>
    <w:sectPr w:rsidR="00B02F6E" w:rsidRPr="007A47A8"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B2D" w:rsidRDefault="00B60B2D">
      <w:r>
        <w:separator/>
      </w:r>
    </w:p>
  </w:endnote>
  <w:endnote w:type="continuationSeparator" w:id="0">
    <w:p w:rsidR="00B60B2D" w:rsidRDefault="00B6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A5FAE">
      <w:rPr>
        <w:rStyle w:val="PageNumber"/>
        <w:noProof/>
      </w:rPr>
      <w:t>2</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30</w:t>
    </w:r>
    <w:r w:rsidR="00D50A60">
      <w:rPr>
        <w:rFonts w:ascii="Garamond" w:hAnsi="Garamond"/>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9A5FAE">
      <w:rPr>
        <w:rStyle w:val="PageNumber"/>
        <w:rFonts w:ascii="Garamond" w:hAnsi="Garamond"/>
        <w:noProof/>
      </w:rPr>
      <w:t>1</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D50A60">
      <w:rPr>
        <w:rFonts w:ascii="Garamond" w:hAnsi="Garamond"/>
      </w:rPr>
      <w:t xml:space="preserve"> Issue 306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B2D" w:rsidRDefault="00B60B2D">
      <w:r>
        <w:separator/>
      </w:r>
    </w:p>
  </w:footnote>
  <w:footnote w:type="continuationSeparator" w:id="0">
    <w:p w:rsidR="00B60B2D" w:rsidRDefault="00B60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32718E"/>
    <w:multiLevelType w:val="hybridMultilevel"/>
    <w:tmpl w:val="60D40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EC347C"/>
    <w:multiLevelType w:val="hybridMultilevel"/>
    <w:tmpl w:val="9312B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32686"/>
    <w:multiLevelType w:val="hybridMultilevel"/>
    <w:tmpl w:val="37A06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54096D"/>
    <w:multiLevelType w:val="hybridMultilevel"/>
    <w:tmpl w:val="88965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6F27B97"/>
    <w:multiLevelType w:val="hybridMultilevel"/>
    <w:tmpl w:val="24622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AB2C5E"/>
    <w:multiLevelType w:val="hybridMultilevel"/>
    <w:tmpl w:val="841E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553DCE"/>
    <w:multiLevelType w:val="hybridMultilevel"/>
    <w:tmpl w:val="94227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02678AB"/>
    <w:multiLevelType w:val="hybridMultilevel"/>
    <w:tmpl w:val="1B14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1091101"/>
    <w:multiLevelType w:val="hybridMultilevel"/>
    <w:tmpl w:val="190EB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1C07F81"/>
    <w:multiLevelType w:val="hybridMultilevel"/>
    <w:tmpl w:val="7EB4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FE1EED"/>
    <w:multiLevelType w:val="hybridMultilevel"/>
    <w:tmpl w:val="3E28F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FA22197"/>
    <w:multiLevelType w:val="hybridMultilevel"/>
    <w:tmpl w:val="9AAC26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3F16674"/>
    <w:multiLevelType w:val="hybridMultilevel"/>
    <w:tmpl w:val="498E19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5A13298"/>
    <w:multiLevelType w:val="hybridMultilevel"/>
    <w:tmpl w:val="489E2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297F46"/>
    <w:multiLevelType w:val="hybridMultilevel"/>
    <w:tmpl w:val="F6105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BF63F5"/>
    <w:multiLevelType w:val="hybridMultilevel"/>
    <w:tmpl w:val="3CE8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4D849B8"/>
    <w:multiLevelType w:val="hybridMultilevel"/>
    <w:tmpl w:val="A6FE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7FB2A1D"/>
    <w:multiLevelType w:val="hybridMultilevel"/>
    <w:tmpl w:val="939E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22F253C"/>
    <w:multiLevelType w:val="hybridMultilevel"/>
    <w:tmpl w:val="0DB6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FF2D1E"/>
    <w:multiLevelType w:val="hybridMultilevel"/>
    <w:tmpl w:val="16645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B1B6105"/>
    <w:multiLevelType w:val="hybridMultilevel"/>
    <w:tmpl w:val="6FE63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E4B3E5D"/>
    <w:multiLevelType w:val="hybridMultilevel"/>
    <w:tmpl w:val="6464E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02D7672"/>
    <w:multiLevelType w:val="hybridMultilevel"/>
    <w:tmpl w:val="97809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4486C1D"/>
    <w:multiLevelType w:val="hybridMultilevel"/>
    <w:tmpl w:val="AE0EC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5EE1DCE"/>
    <w:multiLevelType w:val="hybridMultilevel"/>
    <w:tmpl w:val="5DB4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61C0513"/>
    <w:multiLevelType w:val="hybridMultilevel"/>
    <w:tmpl w:val="BE08CF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59C3445"/>
    <w:multiLevelType w:val="hybridMultilevel"/>
    <w:tmpl w:val="E96A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7932614"/>
    <w:multiLevelType w:val="hybridMultilevel"/>
    <w:tmpl w:val="0D3E5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4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29"/>
  </w:num>
  <w:num w:numId="15">
    <w:abstractNumId w:val="47"/>
  </w:num>
  <w:num w:numId="16">
    <w:abstractNumId w:val="45"/>
  </w:num>
  <w:num w:numId="17">
    <w:abstractNumId w:val="37"/>
  </w:num>
  <w:num w:numId="18">
    <w:abstractNumId w:val="31"/>
  </w:num>
  <w:num w:numId="19">
    <w:abstractNumId w:val="40"/>
  </w:num>
  <w:num w:numId="20">
    <w:abstractNumId w:val="11"/>
  </w:num>
  <w:num w:numId="21">
    <w:abstractNumId w:val="23"/>
  </w:num>
  <w:num w:numId="22">
    <w:abstractNumId w:val="30"/>
  </w:num>
  <w:num w:numId="23">
    <w:abstractNumId w:val="38"/>
  </w:num>
  <w:num w:numId="24">
    <w:abstractNumId w:val="18"/>
  </w:num>
  <w:num w:numId="25">
    <w:abstractNumId w:val="27"/>
  </w:num>
  <w:num w:numId="26">
    <w:abstractNumId w:val="19"/>
  </w:num>
  <w:num w:numId="27">
    <w:abstractNumId w:val="25"/>
  </w:num>
  <w:num w:numId="28">
    <w:abstractNumId w:val="10"/>
  </w:num>
  <w:num w:numId="29">
    <w:abstractNumId w:val="20"/>
  </w:num>
  <w:num w:numId="30">
    <w:abstractNumId w:val="24"/>
  </w:num>
  <w:num w:numId="31">
    <w:abstractNumId w:val="42"/>
  </w:num>
  <w:num w:numId="32">
    <w:abstractNumId w:val="12"/>
  </w:num>
  <w:num w:numId="33">
    <w:abstractNumId w:val="33"/>
  </w:num>
  <w:num w:numId="34">
    <w:abstractNumId w:val="32"/>
  </w:num>
  <w:num w:numId="35">
    <w:abstractNumId w:val="43"/>
  </w:num>
  <w:num w:numId="36">
    <w:abstractNumId w:val="41"/>
  </w:num>
  <w:num w:numId="37">
    <w:abstractNumId w:val="36"/>
  </w:num>
  <w:num w:numId="38">
    <w:abstractNumId w:val="14"/>
  </w:num>
  <w:num w:numId="39">
    <w:abstractNumId w:val="39"/>
  </w:num>
  <w:num w:numId="40">
    <w:abstractNumId w:val="13"/>
  </w:num>
  <w:num w:numId="41">
    <w:abstractNumId w:val="15"/>
  </w:num>
  <w:num w:numId="42">
    <w:abstractNumId w:val="46"/>
  </w:num>
  <w:num w:numId="43">
    <w:abstractNumId w:val="35"/>
  </w:num>
  <w:num w:numId="44">
    <w:abstractNumId w:val="17"/>
  </w:num>
  <w:num w:numId="45">
    <w:abstractNumId w:val="21"/>
  </w:num>
  <w:num w:numId="46">
    <w:abstractNumId w:val="16"/>
  </w:num>
  <w:num w:numId="47">
    <w:abstractNumId w:val="22"/>
  </w:num>
  <w:num w:numId="48">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5016"/>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47E1"/>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97"/>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CB5"/>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95A"/>
    <w:rsid w:val="007F2B8A"/>
    <w:rsid w:val="007F30DB"/>
    <w:rsid w:val="007F3507"/>
    <w:rsid w:val="007F353F"/>
    <w:rsid w:val="007F3BFD"/>
    <w:rsid w:val="007F3CE3"/>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33B"/>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5FAE"/>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9EC"/>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ahha.asn.au/publication/issue-briefs/improving-end-life-care-australia" TargetMode="External"/><Relationship Id="rId26" Type="http://schemas.openxmlformats.org/officeDocument/2006/relationships/hyperlink" Target="http://dx.doi.org/10.1016/s0140-6736(16)32585-5" TargetMode="External"/><Relationship Id="rId39" Type="http://schemas.openxmlformats.org/officeDocument/2006/relationships/hyperlink" Target="https://www.nice.org.uk/guidance/qs142"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psnet.ahrq.gov/primers/primer/39"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dx.doi.org/10.1787/9789264266414-en" TargetMode="External"/><Relationship Id="rId25" Type="http://schemas.openxmlformats.org/officeDocument/2006/relationships/hyperlink" Target="http://dx.doi.org/10.1016/s0140-6736(16)32573-9" TargetMode="External"/><Relationship Id="rId33" Type="http://schemas.openxmlformats.org/officeDocument/2006/relationships/hyperlink" Target="https://psnet.ahrq.gov/primers/" TargetMode="External"/><Relationship Id="rId38" Type="http://schemas.openxmlformats.org/officeDocument/2006/relationships/hyperlink" Target="https://www.nice.org.uk/guidance/qs141" TargetMode="External"/><Relationship Id="rId2" Type="http://schemas.openxmlformats.org/officeDocument/2006/relationships/numbering" Target="numbering.xml"/><Relationship Id="rId16" Type="http://schemas.openxmlformats.org/officeDocument/2006/relationships/hyperlink" Target="http://www.who.int/patientsafety/topics/primary-care/technical_series/en/" TargetMode="External"/><Relationship Id="rId20" Type="http://schemas.openxmlformats.org/officeDocument/2006/relationships/hyperlink" Target="http://www.commonwealthfund.org/publications/case-studies/2016/dec/parkinsonnet" TargetMode="External"/><Relationship Id="rId29" Type="http://schemas.openxmlformats.org/officeDocument/2006/relationships/hyperlink" Target="http://dx.doi.org/10.1016/S0140-6736(16)32586-7"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016/s0140-6736(16)32570-3" TargetMode="External"/><Relationship Id="rId32" Type="http://schemas.openxmlformats.org/officeDocument/2006/relationships/hyperlink" Target="http://intqhc.oxfordjournals.org/content/early/recent?papetoc" TargetMode="External"/><Relationship Id="rId37" Type="http://schemas.openxmlformats.org/officeDocument/2006/relationships/hyperlink" Target="http://www.nice.org.uk"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016/s0140-6736(16)32588-0" TargetMode="External"/><Relationship Id="rId28" Type="http://schemas.openxmlformats.org/officeDocument/2006/relationships/hyperlink" Target="http://dx.doi.org/10.1016/s0140-6736(16)30947-3" TargetMode="External"/><Relationship Id="rId36" Type="http://schemas.openxmlformats.org/officeDocument/2006/relationships/hyperlink" Target="https://www.safetyandquality.gov.au/our-work/recognising-and-responding-to-clinical-deterioration/"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safetyandquality.gov.au/our-work/end-of-life-care-in-acute-hospitals/" TargetMode="External"/><Relationship Id="rId31" Type="http://schemas.openxmlformats.org/officeDocument/2006/relationships/hyperlink" Target="http://qualitysafety.bmj.com/content/early/rec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thelancet.com/series/right-care" TargetMode="External"/><Relationship Id="rId27" Type="http://schemas.openxmlformats.org/officeDocument/2006/relationships/hyperlink" Target="http://dx.doi.org/10.1016/s0140-6736(16)30946-1" TargetMode="External"/><Relationship Id="rId30" Type="http://schemas.openxmlformats.org/officeDocument/2006/relationships/hyperlink" Target="http://dx.doi.org/10.1001/jamainternmed.2016.8254" TargetMode="External"/><Relationship Id="rId35" Type="http://schemas.openxmlformats.org/officeDocument/2006/relationships/hyperlink" Target="https://psnet.ahrq.gov/primers/primer/38"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1AE2C-A4ED-4886-86BD-D2C9EADE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2335</Words>
  <Characters>13310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15614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2017-01-06T00:23:00Z</cp:lastPrinted>
  <dcterms:created xsi:type="dcterms:W3CDTF">2017-01-13T03:50:00Z</dcterms:created>
  <dcterms:modified xsi:type="dcterms:W3CDTF">2017-01-13T03:50:00Z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