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bookmarkStart w:id="0" w:name="_GoBack"/>
      <w:bookmarkEnd w:id="0"/>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6150E9">
        <w:rPr>
          <w:rFonts w:ascii="Garamond" w:hAnsi="Garamond"/>
          <w:color w:val="000000"/>
          <w:lang w:val="en-AU"/>
        </w:rPr>
        <w:t>308</w:t>
      </w:r>
    </w:p>
    <w:p w:rsidR="00755242" w:rsidRPr="00160029" w:rsidRDefault="00E70553" w:rsidP="00B160EF">
      <w:pPr>
        <w:rPr>
          <w:rFonts w:ascii="Garamond" w:hAnsi="Garamond"/>
          <w:lang w:val="en-AU"/>
        </w:rPr>
      </w:pPr>
      <w:r w:rsidRPr="00160029">
        <w:rPr>
          <w:rFonts w:ascii="Garamond" w:hAnsi="Garamond"/>
          <w:lang w:val="en-AU"/>
        </w:rPr>
        <w:t>3</w:t>
      </w:r>
      <w:r w:rsidR="006150E9">
        <w:rPr>
          <w:rFonts w:ascii="Garamond" w:hAnsi="Garamond"/>
          <w:lang w:val="en-AU"/>
        </w:rPr>
        <w:t>0</w:t>
      </w:r>
      <w:r w:rsidR="00F74A58" w:rsidRPr="00160029">
        <w:rPr>
          <w:rFonts w:ascii="Garamond" w:hAnsi="Garamond"/>
          <w:lang w:val="en-AU"/>
        </w:rPr>
        <w:t xml:space="preserve"> January</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1"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1"/>
    </w:p>
    <w:p w:rsidR="0059425E" w:rsidRPr="00160029" w:rsidRDefault="0059425E" w:rsidP="00691DE3">
      <w:pPr>
        <w:keepLines/>
        <w:autoSpaceDE w:val="0"/>
        <w:autoSpaceDN w:val="0"/>
        <w:adjustRightInd w:val="0"/>
        <w:rPr>
          <w:rFonts w:ascii="Garamond" w:hAnsi="Garamond"/>
          <w:lang w:val="en-AU"/>
        </w:rPr>
      </w:pPr>
    </w:p>
    <w:p w:rsidR="00BF1006" w:rsidRPr="00160029" w:rsidRDefault="005F52C2" w:rsidP="000D0AC4">
      <w:pPr>
        <w:keepNext/>
        <w:rPr>
          <w:rFonts w:ascii="Garamond" w:hAnsi="Garamond"/>
          <w:b/>
          <w:lang w:val="en-AU"/>
        </w:rPr>
      </w:pPr>
      <w:r w:rsidRPr="00160029">
        <w:rPr>
          <w:rFonts w:ascii="Garamond" w:hAnsi="Garamond"/>
          <w:b/>
          <w:lang w:val="en-AU"/>
        </w:rPr>
        <w:t>Journal articles</w:t>
      </w:r>
    </w:p>
    <w:p w:rsidR="00732505" w:rsidRPr="00160029" w:rsidRDefault="00732505" w:rsidP="000D0AC4">
      <w:pPr>
        <w:keepNext/>
        <w:rPr>
          <w:rFonts w:ascii="Garamond" w:hAnsi="Garamond"/>
          <w:lang w:val="en-AU"/>
        </w:rPr>
      </w:pPr>
    </w:p>
    <w:p w:rsidR="00CB2F25" w:rsidRPr="00CB2F25" w:rsidRDefault="00CB2F25" w:rsidP="00CB2F25">
      <w:pPr>
        <w:keepNext/>
        <w:rPr>
          <w:rFonts w:ascii="Garamond" w:hAnsi="Garamond"/>
          <w:i/>
          <w:lang w:val="en-AU"/>
        </w:rPr>
      </w:pPr>
      <w:r w:rsidRPr="00CB2F25">
        <w:rPr>
          <w:rFonts w:ascii="Garamond" w:hAnsi="Garamond"/>
          <w:i/>
          <w:lang w:val="en-AU"/>
        </w:rPr>
        <w:t>Patient Safety Incidents Involving Sick Children in Primary Care in England and Wales: A Mixed Methods Analysis</w:t>
      </w:r>
    </w:p>
    <w:p w:rsidR="00CB2F25" w:rsidRDefault="00CB2F25" w:rsidP="000D0AC4">
      <w:pPr>
        <w:keepNext/>
        <w:rPr>
          <w:rFonts w:ascii="Garamond" w:hAnsi="Garamond"/>
          <w:lang w:val="en-AU"/>
        </w:rPr>
      </w:pPr>
      <w:r w:rsidRPr="00CB2F25">
        <w:rPr>
          <w:rFonts w:ascii="Garamond" w:hAnsi="Garamond"/>
          <w:lang w:val="en-AU"/>
        </w:rPr>
        <w:t>Rees P, Edwards A, Powell C, Hibbert P, Williams H, Makeham M, et al</w:t>
      </w:r>
    </w:p>
    <w:p w:rsidR="000D0AC4" w:rsidRPr="00160029" w:rsidRDefault="00CB2F25" w:rsidP="000D0AC4">
      <w:pPr>
        <w:keepNext/>
        <w:rPr>
          <w:rFonts w:ascii="Garamond" w:hAnsi="Garamond"/>
          <w:lang w:val="en-AU"/>
        </w:rPr>
      </w:pPr>
      <w:r w:rsidRPr="00CB2F25">
        <w:rPr>
          <w:rFonts w:ascii="Garamond" w:hAnsi="Garamond"/>
          <w:lang w:val="en-AU"/>
        </w:rPr>
        <w:t>PLoS Medicine. 2017;14(1):e1002217.</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D0AC4" w:rsidP="00344E74">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D0AC4" w:rsidRDefault="00301FD0" w:rsidP="000D0AC4">
            <w:pPr>
              <w:rPr>
                <w:rStyle w:val="Hyperlink"/>
                <w:rFonts w:ascii="Garamond" w:hAnsi="Garamond"/>
                <w:color w:val="auto"/>
                <w:u w:val="none"/>
                <w:lang w:val="en-AU"/>
              </w:rPr>
            </w:pPr>
            <w:hyperlink r:id="rId16" w:history="1">
              <w:r w:rsidR="00CB2F25" w:rsidRPr="00B03004">
                <w:rPr>
                  <w:rStyle w:val="Hyperlink"/>
                  <w:rFonts w:ascii="Garamond" w:hAnsi="Garamond"/>
                  <w:lang w:val="en-AU"/>
                </w:rPr>
                <w:t>http://dx.doi.org/10.1371/journal.pmed.1002217</w:t>
              </w:r>
            </w:hyperlink>
          </w:p>
          <w:p w:rsidR="00CB2F25" w:rsidRPr="00160029" w:rsidRDefault="00301FD0" w:rsidP="000D0AC4">
            <w:pPr>
              <w:rPr>
                <w:rStyle w:val="Hyperlink"/>
                <w:rFonts w:ascii="Garamond" w:hAnsi="Garamond"/>
                <w:color w:val="auto"/>
                <w:u w:val="none"/>
                <w:lang w:val="en-AU"/>
              </w:rPr>
            </w:pPr>
            <w:hyperlink r:id="rId17" w:history="1">
              <w:r w:rsidR="00CB2F25" w:rsidRPr="00B03004">
                <w:rPr>
                  <w:rStyle w:val="Hyperlink"/>
                  <w:rFonts w:ascii="Garamond" w:hAnsi="Garamond"/>
                  <w:lang w:val="en-AU"/>
                </w:rPr>
                <w:t>http://journals.plos.org/plosmedicine/article?id=10.1371/journal.pmed.1002217</w:t>
              </w:r>
            </w:hyperlink>
          </w:p>
        </w:tc>
      </w:tr>
      <w:tr w:rsidR="000972CA" w:rsidRPr="00160029"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160029" w:rsidRDefault="000972CA" w:rsidP="00344E74">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7C15" w:rsidRDefault="004A61D8" w:rsidP="004A61D8">
            <w:pPr>
              <w:rPr>
                <w:rFonts w:ascii="Garamond" w:hAnsi="Garamond"/>
                <w:lang w:val="en-AU"/>
              </w:rPr>
            </w:pPr>
            <w:r>
              <w:rPr>
                <w:rFonts w:ascii="Garamond" w:hAnsi="Garamond"/>
                <w:lang w:val="en-AU"/>
              </w:rPr>
              <w:t xml:space="preserve">Paper reporting on a study that used </w:t>
            </w:r>
            <w:r w:rsidRPr="004A61D8">
              <w:rPr>
                <w:rFonts w:ascii="Garamond" w:hAnsi="Garamond"/>
                <w:lang w:val="en-AU"/>
              </w:rPr>
              <w:t xml:space="preserve">England and Wales’ National Reporting and Learning System </w:t>
            </w:r>
            <w:r>
              <w:rPr>
                <w:rFonts w:ascii="Garamond" w:hAnsi="Garamond"/>
                <w:lang w:val="en-AU"/>
              </w:rPr>
              <w:t xml:space="preserve">to examine the </w:t>
            </w:r>
            <w:r w:rsidRPr="004A61D8">
              <w:rPr>
                <w:rFonts w:ascii="Garamond" w:hAnsi="Garamond"/>
                <w:lang w:val="en-AU"/>
              </w:rPr>
              <w:t>reports of primary care patient safety incidents involving sick children</w:t>
            </w:r>
            <w:r w:rsidR="00714DD7">
              <w:rPr>
                <w:rFonts w:ascii="Garamond" w:hAnsi="Garamond"/>
                <w:lang w:val="en-AU"/>
              </w:rPr>
              <w:t xml:space="preserve">. The study looked at incidents reported in the period </w:t>
            </w:r>
            <w:r w:rsidR="00714DD7" w:rsidRPr="00714DD7">
              <w:rPr>
                <w:rFonts w:ascii="Garamond" w:hAnsi="Garamond"/>
                <w:lang w:val="en-AU"/>
              </w:rPr>
              <w:t>1 January 2005 and 1 December 2013</w:t>
            </w:r>
            <w:r w:rsidR="00714DD7">
              <w:rPr>
                <w:rFonts w:ascii="Garamond" w:hAnsi="Garamond"/>
                <w:lang w:val="en-AU"/>
              </w:rPr>
              <w:t xml:space="preserve"> (the authors note under-reporting as a limitation).</w:t>
            </w:r>
          </w:p>
          <w:p w:rsidR="00714DD7" w:rsidRDefault="00714DD7" w:rsidP="00714DD7">
            <w:pPr>
              <w:rPr>
                <w:rFonts w:ascii="Garamond" w:hAnsi="Garamond"/>
                <w:lang w:val="en-AU"/>
              </w:rPr>
            </w:pPr>
            <w:r>
              <w:rPr>
                <w:rFonts w:ascii="Garamond" w:hAnsi="Garamond"/>
                <w:lang w:val="en-AU"/>
              </w:rPr>
              <w:t xml:space="preserve">The analysis identified 2,178 reports covering 2,191 safety incidents involving children in primary care. Of these, </w:t>
            </w:r>
            <w:r w:rsidRPr="00714DD7">
              <w:rPr>
                <w:rFonts w:ascii="Garamond" w:hAnsi="Garamond"/>
                <w:b/>
                <w:lang w:val="en-AU"/>
              </w:rPr>
              <w:t>30%</w:t>
            </w:r>
            <w:r>
              <w:rPr>
                <w:rFonts w:ascii="Garamond" w:hAnsi="Garamond"/>
                <w:lang w:val="en-AU"/>
              </w:rPr>
              <w:t xml:space="preserve"> were deemed </w:t>
            </w:r>
            <w:r w:rsidRPr="00714DD7">
              <w:rPr>
                <w:rFonts w:ascii="Garamond" w:hAnsi="Garamond"/>
                <w:b/>
                <w:lang w:val="en-AU"/>
              </w:rPr>
              <w:t>harmful</w:t>
            </w:r>
            <w:r>
              <w:rPr>
                <w:rFonts w:ascii="Garamond" w:hAnsi="Garamond"/>
                <w:lang w:val="en-AU"/>
              </w:rPr>
              <w:t xml:space="preserve"> and included 12 deaths and 41 cases of severe harm. The authors report that “</w:t>
            </w:r>
            <w:r w:rsidRPr="00714DD7">
              <w:rPr>
                <w:rFonts w:ascii="Garamond" w:hAnsi="Garamond"/>
                <w:lang w:val="en-AU"/>
              </w:rPr>
              <w:t>children involved in these incidents had respiratory conditions (n = 387; 18%), injuries (n = 289; 13%), nonspecific signs and symptoms, e.g., fever (n = 281; 13%), and gastrointestinal or genitourinary conditions (n = 268; 12%), among others.</w:t>
            </w:r>
            <w:r>
              <w:rPr>
                <w:rFonts w:ascii="Garamond" w:hAnsi="Garamond"/>
                <w:lang w:val="en-AU"/>
              </w:rPr>
              <w:t>”</w:t>
            </w:r>
          </w:p>
          <w:p w:rsidR="00714DD7" w:rsidRPr="00160029" w:rsidRDefault="00714DD7" w:rsidP="00714DD7">
            <w:pPr>
              <w:rPr>
                <w:rFonts w:ascii="Garamond" w:hAnsi="Garamond"/>
                <w:lang w:val="en-AU"/>
              </w:rPr>
            </w:pPr>
            <w:r>
              <w:rPr>
                <w:rFonts w:ascii="Garamond" w:hAnsi="Garamond"/>
                <w:lang w:val="en-AU"/>
              </w:rPr>
              <w:t>The authors suggest that “</w:t>
            </w:r>
            <w:r w:rsidRPr="00714DD7">
              <w:rPr>
                <w:rFonts w:ascii="Garamond" w:hAnsi="Garamond"/>
                <w:lang w:val="en-AU"/>
              </w:rPr>
              <w:t xml:space="preserve">Priority areas for improvement included safer systems for </w:t>
            </w:r>
            <w:r w:rsidRPr="00714DD7">
              <w:rPr>
                <w:rFonts w:ascii="Garamond" w:hAnsi="Garamond"/>
                <w:b/>
                <w:lang w:val="en-AU"/>
              </w:rPr>
              <w:t>medication provision</w:t>
            </w:r>
            <w:r w:rsidRPr="00714DD7">
              <w:rPr>
                <w:rFonts w:ascii="Garamond" w:hAnsi="Garamond"/>
                <w:lang w:val="en-AU"/>
              </w:rPr>
              <w:t xml:space="preserve"> in community pharmacies; </w:t>
            </w:r>
            <w:r w:rsidRPr="00714DD7">
              <w:rPr>
                <w:rFonts w:ascii="Garamond" w:hAnsi="Garamond"/>
                <w:b/>
                <w:lang w:val="en-AU"/>
              </w:rPr>
              <w:t>triage processes</w:t>
            </w:r>
            <w:r w:rsidRPr="00714DD7">
              <w:rPr>
                <w:rFonts w:ascii="Garamond" w:hAnsi="Garamond"/>
                <w:lang w:val="en-AU"/>
              </w:rPr>
              <w:t xml:space="preserve"> to enable effective and timely assessment, diagnosis, and referral of acutely sick children attending out-of-hours services; and </w:t>
            </w:r>
            <w:r w:rsidRPr="00714DD7">
              <w:rPr>
                <w:rFonts w:ascii="Garamond" w:hAnsi="Garamond"/>
                <w:b/>
                <w:lang w:val="en-AU"/>
              </w:rPr>
              <w:t>enhanced communication</w:t>
            </w:r>
            <w:r w:rsidRPr="00714DD7">
              <w:rPr>
                <w:rFonts w:ascii="Garamond" w:hAnsi="Garamond"/>
                <w:lang w:val="en-AU"/>
              </w:rPr>
              <w:t xml:space="preserve"> for robust safety netting between professionals and parents.</w:t>
            </w:r>
            <w:r>
              <w:rPr>
                <w:rFonts w:ascii="Garamond" w:hAnsi="Garamond"/>
                <w:lang w:val="en-AU"/>
              </w:rPr>
              <w:t>”</w:t>
            </w:r>
          </w:p>
        </w:tc>
      </w:tr>
    </w:tbl>
    <w:p w:rsidR="00DE7FF6" w:rsidRPr="00DE7FF6" w:rsidRDefault="00DE7FF6" w:rsidP="00DE7FF6">
      <w:pPr>
        <w:keepNext/>
        <w:rPr>
          <w:rFonts w:ascii="Garamond" w:hAnsi="Garamond"/>
          <w:i/>
          <w:lang w:val="en-AU"/>
        </w:rPr>
      </w:pPr>
      <w:r w:rsidRPr="00DE7FF6">
        <w:rPr>
          <w:rFonts w:ascii="Garamond" w:hAnsi="Garamond"/>
          <w:i/>
          <w:lang w:val="en-AU"/>
        </w:rPr>
        <w:lastRenderedPageBreak/>
        <w:t>Management of sepsis and septic shock</w:t>
      </w:r>
    </w:p>
    <w:p w:rsidR="00DE7FF6" w:rsidRDefault="00DE7FF6" w:rsidP="006150E9">
      <w:pPr>
        <w:keepNext/>
        <w:rPr>
          <w:rFonts w:ascii="Garamond" w:hAnsi="Garamond"/>
          <w:lang w:val="en-AU"/>
        </w:rPr>
      </w:pPr>
      <w:r w:rsidRPr="00DE7FF6">
        <w:rPr>
          <w:rFonts w:ascii="Garamond" w:hAnsi="Garamond"/>
          <w:lang w:val="en-AU"/>
        </w:rPr>
        <w:t>Howell MD, Davis AM</w:t>
      </w:r>
    </w:p>
    <w:p w:rsidR="006150E9" w:rsidRPr="00160029" w:rsidRDefault="00DE7FF6" w:rsidP="006150E9">
      <w:pPr>
        <w:keepNext/>
        <w:rPr>
          <w:rFonts w:ascii="Garamond" w:hAnsi="Garamond"/>
          <w:lang w:val="en-AU"/>
        </w:rPr>
      </w:pPr>
      <w:r w:rsidRPr="00DE7FF6">
        <w:rPr>
          <w:rFonts w:ascii="Garamond" w:hAnsi="Garamond"/>
          <w:lang w:val="en-AU"/>
        </w:rPr>
        <w:t>Journal of the American Medical Association. 2017.</w:t>
      </w:r>
    </w:p>
    <w:tbl>
      <w:tblPr>
        <w:tblStyle w:val="TableGrid"/>
        <w:tblW w:w="0" w:type="auto"/>
        <w:tblInd w:w="288" w:type="dxa"/>
        <w:tblLayout w:type="fixed"/>
        <w:tblLook w:val="01E0" w:firstRow="1" w:lastRow="1" w:firstColumn="1" w:lastColumn="1" w:noHBand="0" w:noVBand="0"/>
      </w:tblPr>
      <w:tblGrid>
        <w:gridCol w:w="1080"/>
        <w:gridCol w:w="8280"/>
      </w:tblGrid>
      <w:tr w:rsidR="006150E9" w:rsidRPr="00160029" w:rsidTr="001220FB">
        <w:tc>
          <w:tcPr>
            <w:tcW w:w="1080" w:type="dxa"/>
            <w:tcBorders>
              <w:top w:val="single" w:sz="4" w:space="0" w:color="auto"/>
              <w:left w:val="single" w:sz="4" w:space="0" w:color="auto"/>
              <w:bottom w:val="single" w:sz="4" w:space="0" w:color="auto"/>
              <w:right w:val="single" w:sz="4" w:space="0" w:color="auto"/>
            </w:tcBorders>
            <w:vAlign w:val="center"/>
          </w:tcPr>
          <w:p w:rsidR="006150E9" w:rsidRPr="00160029" w:rsidRDefault="006150E9" w:rsidP="001220FB">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150E9" w:rsidRPr="00160029" w:rsidRDefault="00301FD0" w:rsidP="001220FB">
            <w:pPr>
              <w:rPr>
                <w:rStyle w:val="Hyperlink"/>
                <w:rFonts w:ascii="Garamond" w:hAnsi="Garamond"/>
                <w:color w:val="auto"/>
                <w:u w:val="none"/>
                <w:lang w:val="en-AU"/>
              </w:rPr>
            </w:pPr>
            <w:hyperlink r:id="rId18" w:history="1">
              <w:r w:rsidR="00DE7FF6" w:rsidRPr="00C26B06">
                <w:rPr>
                  <w:rStyle w:val="Hyperlink"/>
                  <w:rFonts w:ascii="Garamond" w:hAnsi="Garamond"/>
                  <w:lang w:val="en-AU"/>
                </w:rPr>
                <w:t>http://dx.doi.org/10.1001/jama.2017.0131</w:t>
              </w:r>
            </w:hyperlink>
          </w:p>
        </w:tc>
      </w:tr>
      <w:tr w:rsidR="006150E9" w:rsidRPr="00160029" w:rsidTr="001220FB">
        <w:tc>
          <w:tcPr>
            <w:tcW w:w="1080" w:type="dxa"/>
            <w:tcBorders>
              <w:top w:val="single" w:sz="4" w:space="0" w:color="auto"/>
              <w:left w:val="single" w:sz="4" w:space="0" w:color="auto"/>
              <w:bottom w:val="single" w:sz="4" w:space="0" w:color="auto"/>
              <w:right w:val="single" w:sz="4" w:space="0" w:color="auto"/>
            </w:tcBorders>
            <w:vAlign w:val="center"/>
          </w:tcPr>
          <w:p w:rsidR="006150E9" w:rsidRPr="00160029" w:rsidRDefault="006150E9" w:rsidP="001220FB">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50E9" w:rsidRDefault="00C67352" w:rsidP="00C67352">
            <w:pPr>
              <w:rPr>
                <w:rFonts w:ascii="Garamond" w:hAnsi="Garamond"/>
                <w:lang w:val="en-AU"/>
              </w:rPr>
            </w:pPr>
            <w:r>
              <w:rPr>
                <w:rFonts w:ascii="Garamond" w:hAnsi="Garamond"/>
                <w:lang w:val="en-AU"/>
              </w:rPr>
              <w:t>Paper provi</w:t>
            </w:r>
            <w:r w:rsidR="005E2246">
              <w:rPr>
                <w:rFonts w:ascii="Garamond" w:hAnsi="Garamond"/>
                <w:lang w:val="en-AU"/>
              </w:rPr>
              <w:t>di</w:t>
            </w:r>
            <w:r>
              <w:rPr>
                <w:rFonts w:ascii="Garamond" w:hAnsi="Garamond"/>
                <w:lang w:val="en-AU"/>
              </w:rPr>
              <w:t xml:space="preserve">ng a synopsis of the recently updated </w:t>
            </w:r>
            <w:r w:rsidRPr="00C67352">
              <w:rPr>
                <w:rFonts w:ascii="Garamond" w:hAnsi="Garamond"/>
                <w:i/>
                <w:lang w:val="en-AU"/>
              </w:rPr>
              <w:t>International Guidelines for Management of Sepsis and Septic Shock</w:t>
            </w:r>
            <w:r>
              <w:rPr>
                <w:rFonts w:ascii="Garamond" w:hAnsi="Garamond"/>
                <w:i/>
                <w:lang w:val="en-AU"/>
              </w:rPr>
              <w:t xml:space="preserve"> </w:t>
            </w:r>
            <w:r w:rsidRPr="00C67352">
              <w:rPr>
                <w:rFonts w:ascii="Garamond" w:hAnsi="Garamond"/>
                <w:lang w:val="en-AU"/>
              </w:rPr>
              <w:t>that has been developed by the Surviving Sepsis Campaign (SSC), Society of Critical Care Medicine (SCCM), and European Society of Intensive Care Medicine (ESICM).</w:t>
            </w:r>
            <w:r>
              <w:rPr>
                <w:rFonts w:ascii="Garamond" w:hAnsi="Garamond"/>
                <w:lang w:val="en-AU"/>
              </w:rPr>
              <w:t xml:space="preserve"> The major recommendations include:</w:t>
            </w:r>
          </w:p>
          <w:p w:rsidR="00C67352" w:rsidRPr="00C67352" w:rsidRDefault="00C67352" w:rsidP="00C67352">
            <w:pPr>
              <w:pStyle w:val="ListParagraph"/>
              <w:numPr>
                <w:ilvl w:val="0"/>
                <w:numId w:val="20"/>
              </w:numPr>
              <w:rPr>
                <w:rFonts w:ascii="Garamond" w:hAnsi="Garamond"/>
                <w:lang w:val="en-AU"/>
              </w:rPr>
            </w:pPr>
            <w:r w:rsidRPr="00C67352">
              <w:rPr>
                <w:rFonts w:ascii="Garamond" w:hAnsi="Garamond"/>
                <w:lang w:val="en-AU"/>
              </w:rPr>
              <w:t>Managing infection:</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Antibiotics: Administer broad-spectrum intravenous antimicrobials for all likely pathogens within 1 hour after sepsis recognition (strong recommendation; moderate quality of evidence [QOE]).</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Source control: Obtain anatomic source control as rapidly as is practical (best practice statement [BPS]).</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Antibiotic stewardship: Assess patients daily for deescalation of antimicrobials; narrow therapy based on cultures and/or clinical improvement (BPS).</w:t>
            </w:r>
          </w:p>
          <w:p w:rsidR="00C67352" w:rsidRPr="00C67352" w:rsidRDefault="00C67352" w:rsidP="00C67352">
            <w:pPr>
              <w:pStyle w:val="ListParagraph"/>
              <w:numPr>
                <w:ilvl w:val="0"/>
                <w:numId w:val="20"/>
              </w:numPr>
              <w:rPr>
                <w:rFonts w:ascii="Garamond" w:hAnsi="Garamond"/>
                <w:lang w:val="en-AU"/>
              </w:rPr>
            </w:pPr>
            <w:r w:rsidRPr="00C67352">
              <w:rPr>
                <w:rFonts w:ascii="Garamond" w:hAnsi="Garamond"/>
                <w:lang w:val="en-AU"/>
              </w:rPr>
              <w:t>Managing resuscitation:</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Fluids: For patients with sepsis-induced hypoperfusion, provide 30 mL/kg of intravenous crystalloid within 3 hours (strong recommendation; low QOE) with additional fluid based on frequent reassessment (BPS), preferentially using dynamic variables to assess fluid responsiveness (weak recommendation; low QOE).</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Resuscitation targets: For patients with septic shock requiring vasopressors, target a mean arterial pressure (MAP) of 65 mm Hg (strong recommendation; moderate QOE).</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Vasopressors: Use norepinephrine as a first-choice vasopressor (strong recommendation; moderate QOE).</w:t>
            </w:r>
          </w:p>
          <w:p w:rsidR="00C67352" w:rsidRPr="00C67352" w:rsidRDefault="00C67352" w:rsidP="00C67352">
            <w:pPr>
              <w:pStyle w:val="ListParagraph"/>
              <w:numPr>
                <w:ilvl w:val="0"/>
                <w:numId w:val="20"/>
              </w:numPr>
              <w:rPr>
                <w:rFonts w:ascii="Garamond" w:hAnsi="Garamond"/>
                <w:lang w:val="en-AU"/>
              </w:rPr>
            </w:pPr>
            <w:r w:rsidRPr="00C67352">
              <w:rPr>
                <w:rFonts w:ascii="Garamond" w:hAnsi="Garamond"/>
                <w:lang w:val="en-AU"/>
              </w:rPr>
              <w:t>Mechanical ventilation in patients with sepsis-related ARDS:</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Target a tidal volume of 6 mL/kg of predicted body weight (strong recommendation; high QOE) and a plateau pressure of ≤30 cm H2O (strong recommendation; moderate QOE).</w:t>
            </w:r>
          </w:p>
          <w:p w:rsidR="00C67352" w:rsidRPr="00C67352" w:rsidRDefault="00C67352" w:rsidP="00C67352">
            <w:pPr>
              <w:pStyle w:val="ListParagraph"/>
              <w:numPr>
                <w:ilvl w:val="0"/>
                <w:numId w:val="20"/>
              </w:numPr>
              <w:rPr>
                <w:rFonts w:ascii="Garamond" w:hAnsi="Garamond"/>
                <w:lang w:val="en-AU"/>
              </w:rPr>
            </w:pPr>
            <w:r w:rsidRPr="00C67352">
              <w:rPr>
                <w:rFonts w:ascii="Garamond" w:hAnsi="Garamond"/>
                <w:lang w:val="en-AU"/>
              </w:rPr>
              <w:t>Formal improvement programs:</w:t>
            </w:r>
          </w:p>
          <w:p w:rsidR="00C67352" w:rsidRPr="00C67352" w:rsidRDefault="00C67352" w:rsidP="00C67352">
            <w:pPr>
              <w:pStyle w:val="ListParagraph"/>
              <w:numPr>
                <w:ilvl w:val="1"/>
                <w:numId w:val="20"/>
              </w:numPr>
              <w:rPr>
                <w:rFonts w:ascii="Garamond" w:hAnsi="Garamond"/>
                <w:lang w:val="en-AU"/>
              </w:rPr>
            </w:pPr>
            <w:r w:rsidRPr="00C67352">
              <w:rPr>
                <w:rFonts w:ascii="Garamond" w:hAnsi="Garamond"/>
                <w:lang w:val="en-AU"/>
              </w:rPr>
              <w:t>Hospitals and health systems should implement programs to improve sepsis care that include sepsis screening (BPS).</w:t>
            </w:r>
          </w:p>
        </w:tc>
      </w:tr>
    </w:tbl>
    <w:p w:rsidR="006150E9" w:rsidRPr="00160029" w:rsidRDefault="006150E9" w:rsidP="006150E9">
      <w:pPr>
        <w:rPr>
          <w:rFonts w:ascii="Garamond" w:hAnsi="Garamond"/>
          <w:lang w:val="en-AU" w:eastAsia="en-AU"/>
        </w:rPr>
      </w:pPr>
    </w:p>
    <w:p w:rsidR="00714DD7" w:rsidRPr="00B07C71" w:rsidRDefault="00714DD7" w:rsidP="00714DD7">
      <w:pPr>
        <w:rPr>
          <w:rFonts w:ascii="Garamond" w:hAnsi="Garamond"/>
          <w:i/>
          <w:lang w:val="en-AU" w:eastAsia="en-AU"/>
        </w:rPr>
      </w:pPr>
      <w:r w:rsidRPr="00B07C71">
        <w:rPr>
          <w:rFonts w:ascii="Garamond" w:hAnsi="Garamond"/>
          <w:i/>
          <w:lang w:val="en-AU" w:eastAsia="en-AU"/>
        </w:rPr>
        <w:t>Handoffs: Transitions of Care for Children in the Emergency Department</w:t>
      </w:r>
    </w:p>
    <w:p w:rsidR="00714DD7" w:rsidRDefault="00714DD7" w:rsidP="00714DD7">
      <w:pPr>
        <w:rPr>
          <w:rFonts w:ascii="Garamond" w:hAnsi="Garamond"/>
          <w:lang w:val="en-AU" w:eastAsia="en-AU"/>
        </w:rPr>
      </w:pPr>
      <w:r w:rsidRPr="00B07C71">
        <w:rPr>
          <w:rFonts w:ascii="Garamond" w:hAnsi="Garamond"/>
          <w:lang w:val="en-AU" w:eastAsia="en-AU"/>
        </w:rPr>
        <w:t>Shook JE, Chun TH, Conners GP, Conway EE, Dudley NC, Fuchs SM, et al</w:t>
      </w:r>
    </w:p>
    <w:p w:rsidR="00714DD7" w:rsidRDefault="00714DD7" w:rsidP="00714DD7">
      <w:pPr>
        <w:rPr>
          <w:rFonts w:ascii="Garamond" w:hAnsi="Garamond"/>
          <w:lang w:val="en-AU" w:eastAsia="en-AU"/>
        </w:rPr>
      </w:pPr>
      <w:r w:rsidRPr="00B07C71">
        <w:rPr>
          <w:rFonts w:ascii="Garamond" w:hAnsi="Garamond"/>
          <w:lang w:val="en-AU" w:eastAsia="en-AU"/>
        </w:rPr>
        <w:t>Pediatrics. 2016;138(5).</w:t>
      </w:r>
    </w:p>
    <w:p w:rsidR="00714DD7" w:rsidRPr="00160029" w:rsidRDefault="00714DD7" w:rsidP="00714DD7">
      <w:pPr>
        <w:rPr>
          <w:rFonts w:ascii="Garamond" w:hAnsi="Garamond"/>
          <w:lang w:val="en-AU" w:eastAsia="en-AU"/>
        </w:rPr>
      </w:pPr>
    </w:p>
    <w:p w:rsidR="00714DD7" w:rsidRPr="00DE7FF6" w:rsidRDefault="00714DD7" w:rsidP="00714DD7">
      <w:pPr>
        <w:keepNext/>
        <w:rPr>
          <w:rFonts w:ascii="Garamond" w:hAnsi="Garamond"/>
          <w:i/>
          <w:lang w:val="en-AU"/>
        </w:rPr>
      </w:pPr>
      <w:r w:rsidRPr="00DE7FF6">
        <w:rPr>
          <w:rFonts w:ascii="Garamond" w:hAnsi="Garamond"/>
          <w:i/>
          <w:lang w:val="en-AU"/>
        </w:rPr>
        <w:t>Standardization of Inpatient Handoff Communication</w:t>
      </w:r>
    </w:p>
    <w:p w:rsidR="00714DD7" w:rsidRDefault="00714DD7" w:rsidP="00714DD7">
      <w:pPr>
        <w:keepNext/>
        <w:rPr>
          <w:rFonts w:ascii="Garamond" w:hAnsi="Garamond"/>
          <w:lang w:val="en-AU"/>
        </w:rPr>
      </w:pPr>
      <w:r w:rsidRPr="00DE7FF6">
        <w:rPr>
          <w:rFonts w:ascii="Garamond" w:hAnsi="Garamond"/>
          <w:lang w:val="en-AU"/>
        </w:rPr>
        <w:t>Jewell JA, Percelay JM, Hill VL, Preuschoff CK, Rauch DA, Salerno RA</w:t>
      </w:r>
    </w:p>
    <w:p w:rsidR="00714DD7" w:rsidRPr="00160029" w:rsidRDefault="00714DD7" w:rsidP="00714DD7">
      <w:pPr>
        <w:keepNext/>
        <w:rPr>
          <w:rFonts w:ascii="Garamond" w:hAnsi="Garamond"/>
          <w:lang w:val="en-AU"/>
        </w:rPr>
      </w:pPr>
      <w:r w:rsidRPr="00DE7FF6">
        <w:rPr>
          <w:rFonts w:ascii="Garamond" w:hAnsi="Garamond"/>
          <w:lang w:val="en-AU"/>
        </w:rPr>
        <w:t>Pediatrics. 2016;138(5).</w:t>
      </w:r>
    </w:p>
    <w:tbl>
      <w:tblPr>
        <w:tblStyle w:val="TableGrid"/>
        <w:tblW w:w="0" w:type="auto"/>
        <w:tblInd w:w="288" w:type="dxa"/>
        <w:tblLayout w:type="fixed"/>
        <w:tblLook w:val="01E0" w:firstRow="1" w:lastRow="1" w:firstColumn="1" w:lastColumn="1" w:noHBand="0" w:noVBand="0"/>
      </w:tblPr>
      <w:tblGrid>
        <w:gridCol w:w="1080"/>
        <w:gridCol w:w="8280"/>
      </w:tblGrid>
      <w:tr w:rsidR="00714DD7" w:rsidRPr="00160029" w:rsidTr="001220DE">
        <w:tc>
          <w:tcPr>
            <w:tcW w:w="1080" w:type="dxa"/>
            <w:tcBorders>
              <w:top w:val="single" w:sz="4" w:space="0" w:color="auto"/>
              <w:left w:val="single" w:sz="4" w:space="0" w:color="auto"/>
              <w:bottom w:val="single" w:sz="4" w:space="0" w:color="auto"/>
              <w:right w:val="single" w:sz="4" w:space="0" w:color="auto"/>
            </w:tcBorders>
            <w:vAlign w:val="center"/>
          </w:tcPr>
          <w:p w:rsidR="00714DD7" w:rsidRPr="00160029" w:rsidRDefault="00714DD7" w:rsidP="001220DE">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4DD7" w:rsidRDefault="00714DD7" w:rsidP="001220DE">
            <w:pPr>
              <w:rPr>
                <w:rFonts w:ascii="Garamond" w:hAnsi="Garamond"/>
              </w:rPr>
            </w:pPr>
            <w:r>
              <w:rPr>
                <w:rFonts w:ascii="Garamond" w:hAnsi="Garamond"/>
              </w:rPr>
              <w:t xml:space="preserve">Shook et al </w:t>
            </w:r>
            <w:hyperlink r:id="rId19" w:history="1">
              <w:r w:rsidRPr="000875FA">
                <w:rPr>
                  <w:rStyle w:val="Hyperlink"/>
                  <w:rFonts w:ascii="Garamond" w:hAnsi="Garamond"/>
                </w:rPr>
                <w:t>https://doi.org/10.1542/peds.2016-2680</w:t>
              </w:r>
            </w:hyperlink>
          </w:p>
          <w:p w:rsidR="00714DD7" w:rsidRPr="00B07C71" w:rsidRDefault="00714DD7" w:rsidP="001220DE">
            <w:pPr>
              <w:rPr>
                <w:rStyle w:val="Hyperlink"/>
                <w:rFonts w:ascii="Garamond" w:hAnsi="Garamond"/>
                <w:color w:val="auto"/>
                <w:u w:val="none"/>
                <w:lang w:val="en-AU"/>
              </w:rPr>
            </w:pPr>
            <w:r w:rsidRPr="00B07C71">
              <w:rPr>
                <w:rFonts w:ascii="Garamond" w:hAnsi="Garamond"/>
              </w:rPr>
              <w:t xml:space="preserve">Jewell et al </w:t>
            </w:r>
            <w:hyperlink r:id="rId20" w:history="1">
              <w:r w:rsidRPr="00B07C71">
                <w:rPr>
                  <w:rStyle w:val="Hyperlink"/>
                  <w:rFonts w:ascii="Garamond" w:hAnsi="Garamond"/>
                  <w:lang w:val="en-AU"/>
                </w:rPr>
                <w:t>https://doi.org/10.1542/peds.2016-2681</w:t>
              </w:r>
            </w:hyperlink>
          </w:p>
        </w:tc>
      </w:tr>
      <w:tr w:rsidR="00714DD7" w:rsidRPr="00160029" w:rsidTr="001220DE">
        <w:tc>
          <w:tcPr>
            <w:tcW w:w="1080" w:type="dxa"/>
            <w:tcBorders>
              <w:top w:val="single" w:sz="4" w:space="0" w:color="auto"/>
              <w:left w:val="single" w:sz="4" w:space="0" w:color="auto"/>
              <w:bottom w:val="single" w:sz="4" w:space="0" w:color="auto"/>
              <w:right w:val="single" w:sz="4" w:space="0" w:color="auto"/>
            </w:tcBorders>
            <w:vAlign w:val="center"/>
          </w:tcPr>
          <w:p w:rsidR="00714DD7" w:rsidRPr="00160029" w:rsidRDefault="00714DD7" w:rsidP="001220DE">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14DD7" w:rsidRDefault="00714DD7" w:rsidP="001220DE">
            <w:pPr>
              <w:rPr>
                <w:rFonts w:ascii="Garamond" w:hAnsi="Garamond"/>
                <w:lang w:val="en-AU"/>
              </w:rPr>
            </w:pPr>
            <w:r>
              <w:rPr>
                <w:rFonts w:ascii="Garamond" w:hAnsi="Garamond"/>
                <w:lang w:val="en-AU"/>
              </w:rPr>
              <w:t xml:space="preserve">A pair of papers discussing the importance of clear, accurate and timely communication at transitions of care (often termed handovers or handoffs). </w:t>
            </w:r>
          </w:p>
          <w:p w:rsidR="00714DD7" w:rsidRDefault="00714DD7" w:rsidP="001220DE">
            <w:pPr>
              <w:rPr>
                <w:rFonts w:ascii="Garamond" w:hAnsi="Garamond"/>
                <w:lang w:val="en-AU"/>
              </w:rPr>
            </w:pPr>
            <w:r>
              <w:rPr>
                <w:rFonts w:ascii="Garamond" w:hAnsi="Garamond"/>
                <w:lang w:val="en-AU"/>
              </w:rPr>
              <w:t>Shook et al is a</w:t>
            </w:r>
            <w:r w:rsidRPr="00C67352">
              <w:rPr>
                <w:rFonts w:ascii="Garamond" w:hAnsi="Garamond"/>
                <w:lang w:val="en-AU"/>
              </w:rPr>
              <w:t xml:space="preserve"> policy statement from the Committee on Pediatric Emergency Medicine of the American Academy of Pediatrics, the Pediatric Emergency Medicine Committee of the American College of Emergency Physicians, and the Pediatric Committee of the Emergency Nurses Association</w:t>
            </w:r>
            <w:r>
              <w:rPr>
                <w:rFonts w:ascii="Garamond" w:hAnsi="Garamond"/>
                <w:lang w:val="en-AU"/>
              </w:rPr>
              <w:t>.</w:t>
            </w:r>
          </w:p>
          <w:p w:rsidR="00714DD7" w:rsidRDefault="00714DD7" w:rsidP="001220DE">
            <w:pPr>
              <w:rPr>
                <w:rFonts w:ascii="Garamond" w:hAnsi="Garamond"/>
                <w:lang w:val="en-AU"/>
              </w:rPr>
            </w:pPr>
            <w:r>
              <w:rPr>
                <w:rFonts w:ascii="Garamond" w:hAnsi="Garamond"/>
                <w:lang w:val="en-AU"/>
              </w:rPr>
              <w:lastRenderedPageBreak/>
              <w:t>The paper also covers t</w:t>
            </w:r>
            <w:r w:rsidRPr="004A61D8">
              <w:rPr>
                <w:rFonts w:ascii="Garamond" w:hAnsi="Garamond"/>
                <w:lang w:val="en-AU"/>
              </w:rPr>
              <w:t xml:space="preserve">he rationale for structuring </w:t>
            </w:r>
            <w:r>
              <w:rPr>
                <w:rFonts w:ascii="Garamond" w:hAnsi="Garamond"/>
                <w:lang w:val="en-AU"/>
              </w:rPr>
              <w:t>transitions</w:t>
            </w:r>
            <w:r w:rsidRPr="004A61D8">
              <w:rPr>
                <w:rFonts w:ascii="Garamond" w:hAnsi="Garamond"/>
                <w:lang w:val="en-AU"/>
              </w:rPr>
              <w:t xml:space="preserve">, </w:t>
            </w:r>
            <w:r>
              <w:rPr>
                <w:rFonts w:ascii="Garamond" w:hAnsi="Garamond"/>
                <w:lang w:val="en-AU"/>
              </w:rPr>
              <w:t xml:space="preserve">particularly around </w:t>
            </w:r>
            <w:r w:rsidRPr="004A61D8">
              <w:rPr>
                <w:rFonts w:ascii="Garamond" w:hAnsi="Garamond"/>
                <w:lang w:val="en-AU"/>
              </w:rPr>
              <w:t xml:space="preserve">the care of children in the emergency setting, </w:t>
            </w:r>
            <w:r>
              <w:rPr>
                <w:rFonts w:ascii="Garamond" w:hAnsi="Garamond"/>
                <w:lang w:val="en-AU"/>
              </w:rPr>
              <w:t xml:space="preserve">various </w:t>
            </w:r>
            <w:r w:rsidRPr="004A61D8">
              <w:rPr>
                <w:rFonts w:ascii="Garamond" w:hAnsi="Garamond"/>
                <w:lang w:val="en-AU"/>
              </w:rPr>
              <w:t>strategies, along with resources for educating health care providers</w:t>
            </w:r>
            <w:r>
              <w:rPr>
                <w:rFonts w:ascii="Garamond" w:hAnsi="Garamond"/>
                <w:lang w:val="en-AU"/>
              </w:rPr>
              <w:t>, and r</w:t>
            </w:r>
            <w:r w:rsidRPr="004A61D8">
              <w:rPr>
                <w:rFonts w:ascii="Garamond" w:hAnsi="Garamond"/>
                <w:lang w:val="en-AU"/>
              </w:rPr>
              <w:t>ecommendations for development, education, and implementation of transition models</w:t>
            </w:r>
            <w:r>
              <w:rPr>
                <w:rFonts w:ascii="Garamond" w:hAnsi="Garamond"/>
                <w:lang w:val="en-AU"/>
              </w:rPr>
              <w:t>.</w:t>
            </w:r>
          </w:p>
          <w:p w:rsidR="00714DD7" w:rsidRPr="00160029" w:rsidRDefault="00714DD7" w:rsidP="001220DE">
            <w:pPr>
              <w:rPr>
                <w:rFonts w:ascii="Garamond" w:hAnsi="Garamond"/>
                <w:lang w:val="en-AU"/>
              </w:rPr>
            </w:pPr>
            <w:r>
              <w:rPr>
                <w:rFonts w:ascii="Garamond" w:hAnsi="Garamond"/>
                <w:lang w:val="en-AU"/>
              </w:rPr>
              <w:t>Jewell et al provide further details on ways to improve handovers, including by standardis</w:t>
            </w:r>
            <w:r w:rsidRPr="004A61D8">
              <w:rPr>
                <w:rFonts w:ascii="Garamond" w:hAnsi="Garamond"/>
                <w:lang w:val="en-AU"/>
              </w:rPr>
              <w:t>ing content</w:t>
            </w:r>
            <w:r>
              <w:rPr>
                <w:rFonts w:ascii="Garamond" w:hAnsi="Garamond"/>
                <w:lang w:val="en-AU"/>
              </w:rPr>
              <w:t>/approaches</w:t>
            </w:r>
            <w:r w:rsidRPr="004A61D8">
              <w:rPr>
                <w:rFonts w:ascii="Garamond" w:hAnsi="Garamond"/>
                <w:lang w:val="en-AU"/>
              </w:rPr>
              <w:t xml:space="preserve">, dedicating certain locations and time periods </w:t>
            </w:r>
            <w:r>
              <w:rPr>
                <w:rFonts w:ascii="Garamond" w:hAnsi="Garamond"/>
                <w:lang w:val="en-AU"/>
              </w:rPr>
              <w:t xml:space="preserve">so as </w:t>
            </w:r>
            <w:r w:rsidRPr="004A61D8">
              <w:rPr>
                <w:rFonts w:ascii="Garamond" w:hAnsi="Garamond"/>
                <w:lang w:val="en-AU"/>
              </w:rPr>
              <w:t xml:space="preserve">to reduce interruptions, and using technological resources to </w:t>
            </w:r>
            <w:r>
              <w:rPr>
                <w:rFonts w:ascii="Garamond" w:hAnsi="Garamond"/>
                <w:lang w:val="en-AU"/>
              </w:rPr>
              <w:t xml:space="preserve">improve the </w:t>
            </w:r>
            <w:r w:rsidRPr="004A61D8">
              <w:rPr>
                <w:rFonts w:ascii="Garamond" w:hAnsi="Garamond"/>
                <w:lang w:val="en-AU"/>
              </w:rPr>
              <w:t>accuracy of hando</w:t>
            </w:r>
            <w:r>
              <w:rPr>
                <w:rFonts w:ascii="Garamond" w:hAnsi="Garamond"/>
                <w:lang w:val="en-AU"/>
              </w:rPr>
              <w:t xml:space="preserve">ver </w:t>
            </w:r>
            <w:r w:rsidRPr="004A61D8">
              <w:rPr>
                <w:rFonts w:ascii="Garamond" w:hAnsi="Garamond"/>
                <w:lang w:val="en-AU"/>
              </w:rPr>
              <w:t>information</w:t>
            </w:r>
          </w:p>
        </w:tc>
      </w:tr>
    </w:tbl>
    <w:p w:rsidR="00714DD7" w:rsidRDefault="00714DD7" w:rsidP="00714DD7">
      <w:pPr>
        <w:rPr>
          <w:rFonts w:ascii="Garamond" w:hAnsi="Garamond"/>
          <w:lang w:val="en-AU" w:eastAsia="en-AU"/>
        </w:rPr>
      </w:pPr>
    </w:p>
    <w:p w:rsidR="00714DD7" w:rsidRDefault="00714DD7" w:rsidP="00714DD7">
      <w:pPr>
        <w:rPr>
          <w:rFonts w:ascii="Garamond" w:hAnsi="Garamond"/>
          <w:lang w:val="en-AU" w:eastAsia="en-AU"/>
        </w:rPr>
      </w:pPr>
      <w:r w:rsidRPr="00160029">
        <w:rPr>
          <w:rFonts w:ascii="Garamond" w:hAnsi="Garamond"/>
          <w:lang w:val="en-AU" w:eastAsia="en-AU"/>
        </w:rPr>
        <w:t>For information about the Commission’s work on</w:t>
      </w:r>
      <w:r>
        <w:rPr>
          <w:rFonts w:ascii="Garamond" w:hAnsi="Garamond"/>
          <w:lang w:val="en-AU" w:eastAsia="en-AU"/>
        </w:rPr>
        <w:t xml:space="preserve"> clinical communications, including handover, see </w:t>
      </w:r>
      <w:hyperlink r:id="rId21" w:history="1">
        <w:r w:rsidRPr="000875FA">
          <w:rPr>
            <w:rStyle w:val="Hyperlink"/>
            <w:rFonts w:ascii="Garamond" w:hAnsi="Garamond"/>
            <w:lang w:val="en-AU" w:eastAsia="en-AU"/>
          </w:rPr>
          <w:t>https://www.safetyandquality.gov.au/our-work/clinical-communications/</w:t>
        </w:r>
      </w:hyperlink>
    </w:p>
    <w:p w:rsidR="00714DD7" w:rsidRPr="00160029" w:rsidRDefault="00714DD7"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Default="00BB12F9" w:rsidP="001C6360">
      <w:pPr>
        <w:keepNext/>
        <w:rPr>
          <w:rFonts w:ascii="Garamond" w:hAnsi="Garamond"/>
          <w:i/>
          <w:lang w:val="en-AU"/>
        </w:rPr>
      </w:pPr>
    </w:p>
    <w:p w:rsidR="00315EDE" w:rsidRDefault="00315EDE" w:rsidP="00315EDE">
      <w:pPr>
        <w:keepNext/>
        <w:rPr>
          <w:rFonts w:ascii="Garamond" w:hAnsi="Garamond"/>
          <w:i/>
          <w:lang w:val="en-AU"/>
        </w:rPr>
      </w:pPr>
      <w:r w:rsidRPr="00F643B2">
        <w:rPr>
          <w:rFonts w:ascii="Garamond" w:hAnsi="Garamond"/>
          <w:i/>
          <w:lang w:val="en-AU"/>
        </w:rPr>
        <w:t>Medical Devices Safety Update</w:t>
      </w:r>
    </w:p>
    <w:p w:rsidR="00315EDE" w:rsidRDefault="00301FD0" w:rsidP="00315EDE">
      <w:pPr>
        <w:keepNext/>
        <w:rPr>
          <w:rFonts w:ascii="Garamond" w:hAnsi="Garamond"/>
          <w:lang w:val="en-AU"/>
        </w:rPr>
      </w:pPr>
      <w:hyperlink r:id="rId22" w:history="1">
        <w:r w:rsidR="00315EDE" w:rsidRPr="0080253B">
          <w:rPr>
            <w:rStyle w:val="Hyperlink"/>
            <w:rFonts w:ascii="Garamond" w:hAnsi="Garamond"/>
            <w:lang w:val="en-AU"/>
          </w:rPr>
          <w:t>http://www.tga.gov.au/publication-issue/medical-devices-safety-update-volume-5-number-1-january-2017</w:t>
        </w:r>
      </w:hyperlink>
    </w:p>
    <w:p w:rsidR="00315EDE" w:rsidRPr="00315EDE" w:rsidRDefault="00315EDE" w:rsidP="00315EDE">
      <w:pPr>
        <w:keepNext/>
        <w:rPr>
          <w:rFonts w:ascii="Garamond" w:hAnsi="Garamond"/>
          <w:lang w:val="en-AU"/>
        </w:rPr>
      </w:pPr>
      <w:r w:rsidRPr="00315EDE">
        <w:rPr>
          <w:rFonts w:ascii="Garamond" w:hAnsi="Garamond"/>
          <w:lang w:val="en-AU"/>
        </w:rPr>
        <w:t>Volume 5, Number 1, January 2017</w:t>
      </w:r>
    </w:p>
    <w:p w:rsidR="00315EDE" w:rsidRPr="00F643B2" w:rsidRDefault="00315EDE" w:rsidP="00315EDE">
      <w:pPr>
        <w:rPr>
          <w:rFonts w:ascii="Garamond" w:hAnsi="Garamond"/>
          <w:lang w:val="en-AU"/>
        </w:rPr>
      </w:pPr>
      <w:r w:rsidRPr="00F643B2">
        <w:rPr>
          <w:rFonts w:ascii="Garamond" w:hAnsi="Garamond"/>
          <w:lang w:val="en-AU"/>
        </w:rPr>
        <w:t>The Therapeutic Goods Administration (TGA) has released the latest edition of its medical device safety bulletin. Topics covered in this issue include:</w:t>
      </w:r>
    </w:p>
    <w:p w:rsidR="00315EDE" w:rsidRPr="00315EDE" w:rsidRDefault="00315EDE" w:rsidP="00315EDE">
      <w:pPr>
        <w:pStyle w:val="ListParagraph"/>
        <w:numPr>
          <w:ilvl w:val="0"/>
          <w:numId w:val="19"/>
        </w:numPr>
        <w:rPr>
          <w:rFonts w:ascii="Garamond" w:hAnsi="Garamond"/>
          <w:lang w:val="en-AU"/>
        </w:rPr>
      </w:pPr>
      <w:r w:rsidRPr="00315EDE">
        <w:rPr>
          <w:rFonts w:ascii="Garamond" w:hAnsi="Garamond"/>
          <w:lang w:val="en-AU"/>
        </w:rPr>
        <w:t xml:space="preserve">TGA encourages formal strategies for </w:t>
      </w:r>
      <w:r w:rsidRPr="00315EDE">
        <w:rPr>
          <w:rFonts w:ascii="Garamond" w:hAnsi="Garamond"/>
          <w:b/>
          <w:lang w:val="en-AU"/>
        </w:rPr>
        <w:t>inferior vena cava filter removal</w:t>
      </w:r>
    </w:p>
    <w:p w:rsidR="00315EDE" w:rsidRPr="00315EDE" w:rsidRDefault="00315EDE" w:rsidP="00315EDE">
      <w:pPr>
        <w:pStyle w:val="ListParagraph"/>
        <w:numPr>
          <w:ilvl w:val="0"/>
          <w:numId w:val="19"/>
        </w:numPr>
        <w:rPr>
          <w:rFonts w:ascii="Garamond" w:hAnsi="Garamond"/>
          <w:lang w:val="en-AU"/>
        </w:rPr>
      </w:pPr>
      <w:r w:rsidRPr="00315EDE">
        <w:rPr>
          <w:rFonts w:ascii="Garamond" w:hAnsi="Garamond"/>
          <w:lang w:val="en-AU"/>
        </w:rPr>
        <w:t xml:space="preserve">ECRI lists </w:t>
      </w:r>
      <w:r w:rsidRPr="00315EDE">
        <w:rPr>
          <w:rFonts w:ascii="Garamond" w:hAnsi="Garamond"/>
          <w:b/>
          <w:lang w:val="en-AU"/>
        </w:rPr>
        <w:t>infusion errors</w:t>
      </w:r>
      <w:r w:rsidRPr="00315EDE">
        <w:rPr>
          <w:rFonts w:ascii="Garamond" w:hAnsi="Garamond"/>
          <w:lang w:val="en-AU"/>
        </w:rPr>
        <w:t xml:space="preserve"> as top 2017 hazard</w:t>
      </w:r>
      <w:r w:rsidR="00B00D7C">
        <w:rPr>
          <w:rFonts w:ascii="Garamond" w:hAnsi="Garamond"/>
          <w:lang w:val="en-AU"/>
        </w:rPr>
        <w:t xml:space="preserve"> (The full list was included in </w:t>
      </w:r>
      <w:r w:rsidR="00B00D7C" w:rsidRPr="00B00D7C">
        <w:rPr>
          <w:rFonts w:ascii="Garamond" w:hAnsi="Garamond"/>
          <w:i/>
          <w:lang w:val="en-AU"/>
        </w:rPr>
        <w:t>On the Radar</w:t>
      </w:r>
      <w:r w:rsidR="00B00D7C">
        <w:rPr>
          <w:rFonts w:ascii="Garamond" w:hAnsi="Garamond"/>
          <w:lang w:val="en-AU"/>
        </w:rPr>
        <w:t xml:space="preserve"> Issue #300)</w:t>
      </w:r>
    </w:p>
    <w:p w:rsidR="00315EDE" w:rsidRPr="00F643B2" w:rsidRDefault="00315EDE" w:rsidP="00315EDE">
      <w:pPr>
        <w:pStyle w:val="ListParagraph"/>
        <w:numPr>
          <w:ilvl w:val="0"/>
          <w:numId w:val="19"/>
        </w:numPr>
        <w:rPr>
          <w:rFonts w:ascii="Garamond" w:hAnsi="Garamond"/>
          <w:lang w:val="en-AU"/>
        </w:rPr>
      </w:pPr>
      <w:r w:rsidRPr="00F643B2">
        <w:rPr>
          <w:rFonts w:ascii="Garamond" w:hAnsi="Garamond"/>
          <w:b/>
          <w:lang w:val="en-AU"/>
        </w:rPr>
        <w:t>Recent safety alerts</w:t>
      </w:r>
      <w:r w:rsidRPr="00F643B2">
        <w:rPr>
          <w:rFonts w:ascii="Garamond" w:hAnsi="Garamond"/>
          <w:lang w:val="en-AU"/>
        </w:rPr>
        <w:t>.</w:t>
      </w:r>
    </w:p>
    <w:p w:rsidR="00315EDE" w:rsidRPr="00315EDE" w:rsidRDefault="00315EDE" w:rsidP="00315EDE">
      <w:pPr>
        <w:rPr>
          <w:rFonts w:ascii="Garamond" w:hAnsi="Garamond"/>
          <w:lang w:val="en-AU"/>
        </w:rPr>
      </w:pPr>
    </w:p>
    <w:p w:rsidR="006834B0" w:rsidRDefault="006834B0" w:rsidP="006834B0">
      <w:pPr>
        <w:keepNext/>
        <w:rPr>
          <w:rFonts w:ascii="Garamond" w:hAnsi="Garamond"/>
          <w:i/>
          <w:lang w:val="en-AU"/>
        </w:rPr>
      </w:pPr>
      <w:r>
        <w:rPr>
          <w:rFonts w:ascii="Garamond" w:hAnsi="Garamond"/>
          <w:i/>
          <w:lang w:val="en-AU"/>
        </w:rPr>
        <w:t xml:space="preserve">Future Leaders </w:t>
      </w:r>
      <w:r w:rsidRPr="003B7584">
        <w:rPr>
          <w:rFonts w:ascii="Garamond" w:hAnsi="Garamond"/>
          <w:i/>
          <w:lang w:val="en-AU"/>
        </w:rPr>
        <w:t>Communiqué</w:t>
      </w:r>
    </w:p>
    <w:p w:rsidR="006834B0" w:rsidRDefault="006834B0" w:rsidP="006834B0">
      <w:pPr>
        <w:keepNext/>
        <w:rPr>
          <w:rFonts w:ascii="Garamond" w:hAnsi="Garamond"/>
          <w:lang w:val="en-AU"/>
        </w:rPr>
      </w:pPr>
      <w:r>
        <w:rPr>
          <w:rFonts w:ascii="Garamond" w:hAnsi="Garamond"/>
          <w:lang w:val="en-AU"/>
        </w:rPr>
        <w:t>Victorian Institute of Forensic Medicine</w:t>
      </w:r>
    </w:p>
    <w:p w:rsidR="006834B0" w:rsidRDefault="006834B0" w:rsidP="006834B0">
      <w:pPr>
        <w:keepNext/>
        <w:rPr>
          <w:rFonts w:ascii="Garamond" w:hAnsi="Garamond"/>
          <w:lang w:val="en-AU"/>
        </w:rPr>
      </w:pPr>
      <w:r w:rsidRPr="006834B0">
        <w:rPr>
          <w:rFonts w:ascii="Garamond" w:hAnsi="Garamond"/>
          <w:lang w:val="en-AU"/>
        </w:rPr>
        <w:t>V</w:t>
      </w:r>
      <w:r>
        <w:rPr>
          <w:rFonts w:ascii="Garamond" w:hAnsi="Garamond"/>
          <w:lang w:val="en-AU"/>
        </w:rPr>
        <w:t xml:space="preserve">olume 2 Issue 1 </w:t>
      </w:r>
      <w:r w:rsidRPr="006834B0">
        <w:rPr>
          <w:rFonts w:ascii="Garamond" w:hAnsi="Garamond"/>
          <w:lang w:val="en-AU"/>
        </w:rPr>
        <w:t>January 2017</w:t>
      </w:r>
    </w:p>
    <w:p w:rsidR="006834B0" w:rsidRDefault="00301FD0" w:rsidP="006834B0">
      <w:pPr>
        <w:keepNext/>
        <w:rPr>
          <w:rFonts w:ascii="Garamond" w:hAnsi="Garamond"/>
          <w:lang w:val="en-AU"/>
        </w:rPr>
      </w:pPr>
      <w:hyperlink r:id="rId23" w:history="1">
        <w:r w:rsidR="006834B0" w:rsidRPr="00C26B06">
          <w:rPr>
            <w:rStyle w:val="Hyperlink"/>
            <w:rFonts w:ascii="Garamond" w:hAnsi="Garamond"/>
            <w:lang w:val="en-AU"/>
          </w:rPr>
          <w:t>http://www.vifmcommuniques.org/?p=4844</w:t>
        </w:r>
      </w:hyperlink>
    </w:p>
    <w:p w:rsidR="006834B0" w:rsidRDefault="006834B0" w:rsidP="006834B0">
      <w:pPr>
        <w:keepNext/>
        <w:rPr>
          <w:rFonts w:ascii="Garamond" w:hAnsi="Garamond"/>
          <w:lang w:val="en-AU"/>
        </w:rPr>
      </w:pPr>
      <w:r>
        <w:rPr>
          <w:rFonts w:ascii="Garamond" w:hAnsi="Garamond"/>
          <w:lang w:val="en-AU"/>
        </w:rPr>
        <w:t xml:space="preserve">From the team behind the </w:t>
      </w:r>
      <w:r w:rsidRPr="00507C0D">
        <w:rPr>
          <w:rFonts w:ascii="Garamond" w:hAnsi="Garamond"/>
          <w:i/>
          <w:lang w:val="en-AU"/>
        </w:rPr>
        <w:t xml:space="preserve">Clinical </w:t>
      </w:r>
      <w:r w:rsidRPr="003B7584">
        <w:rPr>
          <w:rFonts w:ascii="Garamond" w:hAnsi="Garamond"/>
          <w:i/>
          <w:lang w:val="en-AU"/>
        </w:rPr>
        <w:t>Communiqué</w:t>
      </w:r>
      <w:r>
        <w:rPr>
          <w:rFonts w:ascii="Garamond" w:hAnsi="Garamond"/>
          <w:i/>
          <w:lang w:val="en-AU"/>
        </w:rPr>
        <w:t xml:space="preserve"> </w:t>
      </w:r>
      <w:r>
        <w:rPr>
          <w:rFonts w:ascii="Garamond" w:hAnsi="Garamond"/>
          <w:lang w:val="en-AU"/>
        </w:rPr>
        <w:t xml:space="preserve">, this is the second issue of their latest publication, </w:t>
      </w:r>
      <w:r w:rsidRPr="00507C0D">
        <w:rPr>
          <w:rFonts w:ascii="Garamond" w:hAnsi="Garamond"/>
          <w:i/>
          <w:lang w:val="en-AU"/>
        </w:rPr>
        <w:t>The Future Leaders Communiqué</w:t>
      </w:r>
      <w:r>
        <w:rPr>
          <w:rFonts w:ascii="Garamond" w:hAnsi="Garamond"/>
          <w:lang w:val="en-AU"/>
        </w:rPr>
        <w:t xml:space="preserve">. This issue </w:t>
      </w:r>
      <w:r w:rsidR="00680546">
        <w:rPr>
          <w:rFonts w:ascii="Garamond" w:hAnsi="Garamond"/>
          <w:lang w:val="en-AU"/>
        </w:rPr>
        <w:t xml:space="preserve">is based around the case of a patient who care was in the hands of numerous clinicians from various specialities but for whom the symptoms were not reconciled and led to a missed diagnosis. This issue </w:t>
      </w:r>
      <w:r>
        <w:rPr>
          <w:rFonts w:ascii="Garamond" w:hAnsi="Garamond"/>
          <w:lang w:val="en-AU"/>
        </w:rPr>
        <w:t xml:space="preserve">includes a </w:t>
      </w:r>
      <w:r w:rsidRPr="006834B0">
        <w:rPr>
          <w:rFonts w:ascii="Garamond" w:hAnsi="Garamond"/>
          <w:lang w:val="en-AU"/>
        </w:rPr>
        <w:t xml:space="preserve">reflective editorial about </w:t>
      </w:r>
      <w:r>
        <w:rPr>
          <w:rFonts w:ascii="Garamond" w:hAnsi="Garamond"/>
          <w:lang w:val="en-AU"/>
        </w:rPr>
        <w:t xml:space="preserve">a young doctor’s </w:t>
      </w:r>
      <w:r w:rsidRPr="006834B0">
        <w:rPr>
          <w:rFonts w:ascii="Garamond" w:hAnsi="Garamond"/>
          <w:lang w:val="en-AU"/>
        </w:rPr>
        <w:t>experiences around the issue of</w:t>
      </w:r>
      <w:r>
        <w:rPr>
          <w:rFonts w:ascii="Garamond" w:hAnsi="Garamond"/>
          <w:lang w:val="en-AU"/>
        </w:rPr>
        <w:t xml:space="preserve"> </w:t>
      </w:r>
      <w:r w:rsidRPr="006834B0">
        <w:rPr>
          <w:rFonts w:ascii="Garamond" w:hAnsi="Garamond"/>
          <w:lang w:val="en-AU"/>
        </w:rPr>
        <w:t>missed diagnoses and the dangers of</w:t>
      </w:r>
      <w:r>
        <w:rPr>
          <w:rFonts w:ascii="Garamond" w:hAnsi="Garamond"/>
          <w:lang w:val="en-AU"/>
        </w:rPr>
        <w:t xml:space="preserve"> </w:t>
      </w:r>
      <w:r w:rsidRPr="006834B0">
        <w:rPr>
          <w:rFonts w:ascii="Garamond" w:hAnsi="Garamond"/>
          <w:lang w:val="en-AU"/>
        </w:rPr>
        <w:t>making assumptions.</w:t>
      </w:r>
      <w:r>
        <w:rPr>
          <w:rFonts w:ascii="Garamond" w:hAnsi="Garamond"/>
          <w:lang w:val="en-AU"/>
        </w:rPr>
        <w:t xml:space="preserve"> It also includes an </w:t>
      </w:r>
      <w:r w:rsidRPr="006834B0">
        <w:rPr>
          <w:rFonts w:ascii="Garamond" w:hAnsi="Garamond"/>
          <w:lang w:val="en-AU"/>
        </w:rPr>
        <w:t>expert</w:t>
      </w:r>
      <w:r w:rsidR="00714DD7">
        <w:rPr>
          <w:rFonts w:ascii="Garamond" w:hAnsi="Garamond"/>
          <w:lang w:val="en-AU"/>
        </w:rPr>
        <w:t xml:space="preserve"> </w:t>
      </w:r>
      <w:r w:rsidRPr="006834B0">
        <w:rPr>
          <w:rFonts w:ascii="Garamond" w:hAnsi="Garamond"/>
          <w:lang w:val="en-AU"/>
        </w:rPr>
        <w:t>commentary from Professor Daniel</w:t>
      </w:r>
      <w:r>
        <w:rPr>
          <w:rFonts w:ascii="Garamond" w:hAnsi="Garamond"/>
          <w:lang w:val="en-AU"/>
        </w:rPr>
        <w:t xml:space="preserve"> </w:t>
      </w:r>
      <w:r w:rsidRPr="006834B0">
        <w:rPr>
          <w:rFonts w:ascii="Garamond" w:hAnsi="Garamond"/>
          <w:lang w:val="en-AU"/>
        </w:rPr>
        <w:t xml:space="preserve">O’Connor, </w:t>
      </w:r>
      <w:r>
        <w:rPr>
          <w:rFonts w:ascii="Garamond" w:hAnsi="Garamond"/>
          <w:lang w:val="en-AU"/>
        </w:rPr>
        <w:t xml:space="preserve">the Victorian </w:t>
      </w:r>
      <w:r w:rsidRPr="006834B0">
        <w:rPr>
          <w:rFonts w:ascii="Garamond" w:hAnsi="Garamond"/>
          <w:lang w:val="en-AU"/>
        </w:rPr>
        <w:t>Deputy Chief Psychiatrist,</w:t>
      </w:r>
      <w:r>
        <w:rPr>
          <w:rFonts w:ascii="Garamond" w:hAnsi="Garamond"/>
          <w:lang w:val="en-AU"/>
        </w:rPr>
        <w:t xml:space="preserve"> </w:t>
      </w:r>
      <w:r w:rsidRPr="006834B0">
        <w:rPr>
          <w:rFonts w:ascii="Garamond" w:hAnsi="Garamond"/>
          <w:lang w:val="en-AU"/>
        </w:rPr>
        <w:t>Aged Persons Mental Health</w:t>
      </w:r>
      <w:r>
        <w:rPr>
          <w:rFonts w:ascii="Garamond" w:hAnsi="Garamond"/>
          <w:lang w:val="en-AU"/>
        </w:rPr>
        <w:t xml:space="preserve"> offering </w:t>
      </w:r>
      <w:r w:rsidRPr="006834B0">
        <w:rPr>
          <w:rFonts w:ascii="Garamond" w:hAnsi="Garamond"/>
          <w:lang w:val="en-AU"/>
        </w:rPr>
        <w:t xml:space="preserve">insights </w:t>
      </w:r>
      <w:r>
        <w:rPr>
          <w:rFonts w:ascii="Garamond" w:hAnsi="Garamond"/>
          <w:lang w:val="en-AU"/>
        </w:rPr>
        <w:t xml:space="preserve">into </w:t>
      </w:r>
      <w:r w:rsidRPr="006834B0">
        <w:rPr>
          <w:rFonts w:ascii="Garamond" w:hAnsi="Garamond"/>
          <w:lang w:val="en-AU"/>
        </w:rPr>
        <w:t>the management of</w:t>
      </w:r>
      <w:r>
        <w:rPr>
          <w:rFonts w:ascii="Garamond" w:hAnsi="Garamond"/>
          <w:lang w:val="en-AU"/>
        </w:rPr>
        <w:t xml:space="preserve"> vulnerable patients.</w:t>
      </w:r>
    </w:p>
    <w:p w:rsidR="006834B0" w:rsidRDefault="006834B0" w:rsidP="00315EDE">
      <w:pPr>
        <w:rPr>
          <w:rFonts w:ascii="Garamond" w:hAnsi="Garamond"/>
          <w:i/>
          <w:lang w:val="en-AU"/>
        </w:rPr>
      </w:pPr>
    </w:p>
    <w:p w:rsidR="00854705" w:rsidRDefault="00854705" w:rsidP="001C6360">
      <w:pPr>
        <w:keepNext/>
        <w:rPr>
          <w:rFonts w:ascii="Garamond" w:hAnsi="Garamond"/>
          <w:i/>
          <w:lang w:val="en-AU"/>
        </w:rPr>
      </w:pPr>
      <w:r>
        <w:rPr>
          <w:rFonts w:ascii="Garamond" w:hAnsi="Garamond"/>
          <w:i/>
          <w:lang w:val="en-AU"/>
        </w:rPr>
        <w:t xml:space="preserve">[USA] </w:t>
      </w:r>
      <w:r w:rsidRPr="00854705">
        <w:rPr>
          <w:rFonts w:ascii="Garamond" w:hAnsi="Garamond"/>
          <w:i/>
          <w:lang w:val="en-AU"/>
        </w:rPr>
        <w:t>Toolkit to Improve Safety for Mechanically Ventilated Patients</w:t>
      </w:r>
    </w:p>
    <w:p w:rsidR="00854705" w:rsidRDefault="00301FD0" w:rsidP="00854705">
      <w:pPr>
        <w:keepNext/>
        <w:rPr>
          <w:rFonts w:ascii="Garamond" w:hAnsi="Garamond"/>
          <w:lang w:val="en-AU"/>
        </w:rPr>
      </w:pPr>
      <w:hyperlink r:id="rId24" w:history="1">
        <w:r w:rsidR="00854705" w:rsidRPr="00C26B06">
          <w:rPr>
            <w:rStyle w:val="Hyperlink"/>
            <w:rFonts w:ascii="Garamond" w:hAnsi="Garamond"/>
            <w:lang w:val="en-AU"/>
          </w:rPr>
          <w:t>https://www.ahrq.gov/professionals/quality-patient-safety/hais/tools/mvp/index.html</w:t>
        </w:r>
      </w:hyperlink>
    </w:p>
    <w:p w:rsidR="00854705" w:rsidRPr="00854705" w:rsidRDefault="00854705" w:rsidP="00854705">
      <w:pPr>
        <w:keepNext/>
        <w:rPr>
          <w:rFonts w:ascii="Garamond" w:hAnsi="Garamond"/>
          <w:lang w:val="en-AU"/>
        </w:rPr>
      </w:pPr>
      <w:r>
        <w:rPr>
          <w:rFonts w:ascii="Garamond" w:hAnsi="Garamond"/>
          <w:lang w:val="en-AU"/>
        </w:rPr>
        <w:t xml:space="preserve">The US Agency for Healthcare Research and Quality (AHRQ) has </w:t>
      </w:r>
      <w:r w:rsidRPr="00854705">
        <w:rPr>
          <w:rFonts w:ascii="Garamond" w:hAnsi="Garamond"/>
          <w:lang w:val="en-AU"/>
        </w:rPr>
        <w:t>releas</w:t>
      </w:r>
      <w:r>
        <w:rPr>
          <w:rFonts w:ascii="Garamond" w:hAnsi="Garamond"/>
          <w:lang w:val="en-AU"/>
        </w:rPr>
        <w:t xml:space="preserve">ed its </w:t>
      </w:r>
      <w:r w:rsidRPr="00854705">
        <w:rPr>
          <w:rFonts w:ascii="Garamond" w:hAnsi="Garamond"/>
          <w:i/>
          <w:lang w:val="en-AU"/>
        </w:rPr>
        <w:t>Toolkit to Improve Safety for Mechanically Ventilated Patients</w:t>
      </w:r>
      <w:r w:rsidRPr="00854705">
        <w:rPr>
          <w:rFonts w:ascii="Garamond" w:hAnsi="Garamond"/>
          <w:lang w:val="en-AU"/>
        </w:rPr>
        <w:t>. The toolkit was developed to help hospitals make care safer for patients in intensive care units (ICUs) who are mechanically ventilated. The toolkit is web</w:t>
      </w:r>
      <w:r>
        <w:rPr>
          <w:rFonts w:ascii="Garamond" w:hAnsi="Garamond"/>
          <w:lang w:val="en-AU"/>
        </w:rPr>
        <w:t>-</w:t>
      </w:r>
      <w:r w:rsidRPr="00854705">
        <w:rPr>
          <w:rFonts w:ascii="Garamond" w:hAnsi="Garamond"/>
          <w:lang w:val="en-AU"/>
        </w:rPr>
        <w:t xml:space="preserve">based and </w:t>
      </w:r>
      <w:r>
        <w:rPr>
          <w:rFonts w:ascii="Garamond" w:hAnsi="Garamond"/>
          <w:lang w:val="en-AU"/>
        </w:rPr>
        <w:t xml:space="preserve">has been </w:t>
      </w:r>
      <w:r w:rsidRPr="00854705">
        <w:rPr>
          <w:rFonts w:ascii="Garamond" w:hAnsi="Garamond"/>
          <w:lang w:val="en-AU"/>
        </w:rPr>
        <w:t xml:space="preserve">field tested. It offers technical bundles, literature reviews, sample protocols, and other resources to help ICU staff: </w:t>
      </w:r>
    </w:p>
    <w:p w:rsidR="00854705" w:rsidRPr="00854705" w:rsidRDefault="00854705" w:rsidP="00854705">
      <w:pPr>
        <w:pStyle w:val="ListParagraph"/>
        <w:keepNext/>
        <w:numPr>
          <w:ilvl w:val="0"/>
          <w:numId w:val="14"/>
        </w:numPr>
        <w:rPr>
          <w:rFonts w:ascii="Garamond" w:hAnsi="Garamond"/>
          <w:lang w:val="en-AU"/>
        </w:rPr>
      </w:pPr>
      <w:r w:rsidRPr="00854705">
        <w:rPr>
          <w:rFonts w:ascii="Garamond" w:hAnsi="Garamond"/>
          <w:lang w:val="en-AU"/>
        </w:rPr>
        <w:t>Use the best recommended daily care processes at the bedside</w:t>
      </w:r>
    </w:p>
    <w:p w:rsidR="00854705" w:rsidRPr="00854705" w:rsidRDefault="00854705" w:rsidP="00854705">
      <w:pPr>
        <w:pStyle w:val="ListParagraph"/>
        <w:keepNext/>
        <w:numPr>
          <w:ilvl w:val="0"/>
          <w:numId w:val="14"/>
        </w:numPr>
        <w:rPr>
          <w:rFonts w:ascii="Garamond" w:hAnsi="Garamond"/>
          <w:lang w:val="en-AU"/>
        </w:rPr>
      </w:pPr>
      <w:r w:rsidRPr="00854705">
        <w:rPr>
          <w:rFonts w:ascii="Garamond" w:hAnsi="Garamond"/>
          <w:lang w:val="en-AU"/>
        </w:rPr>
        <w:t xml:space="preserve">Support patient mobility as soon as clinically possible to speed healing and reduce complications </w:t>
      </w:r>
    </w:p>
    <w:p w:rsidR="00854705" w:rsidRPr="00854705" w:rsidRDefault="00854705" w:rsidP="00854705">
      <w:pPr>
        <w:pStyle w:val="ListParagraph"/>
        <w:keepNext/>
        <w:numPr>
          <w:ilvl w:val="0"/>
          <w:numId w:val="14"/>
        </w:numPr>
        <w:rPr>
          <w:rFonts w:ascii="Garamond" w:hAnsi="Garamond"/>
          <w:lang w:val="en-AU"/>
        </w:rPr>
      </w:pPr>
      <w:r w:rsidRPr="00854705">
        <w:rPr>
          <w:rFonts w:ascii="Garamond" w:hAnsi="Garamond"/>
          <w:lang w:val="en-AU"/>
        </w:rPr>
        <w:t>Apply Low Tidal Volume Ventilation practices to reduce potential complications.</w:t>
      </w:r>
    </w:p>
    <w:p w:rsidR="00854705" w:rsidRPr="00854705" w:rsidRDefault="00854705" w:rsidP="00315EDE">
      <w:pPr>
        <w:rPr>
          <w:rFonts w:ascii="Garamond" w:hAnsi="Garamond"/>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lastRenderedPageBreak/>
        <w:t>[UK] NICE Guidelines and Quality Standards</w:t>
      </w:r>
    </w:p>
    <w:p w:rsidR="006150E9" w:rsidRPr="00160029" w:rsidRDefault="00301FD0" w:rsidP="006150E9">
      <w:pPr>
        <w:keepNext/>
        <w:keepLines/>
        <w:rPr>
          <w:rFonts w:ascii="Garamond" w:hAnsi="Garamond"/>
          <w:u w:val="single"/>
          <w:lang w:val="en-AU"/>
        </w:rPr>
      </w:pPr>
      <w:hyperlink r:id="rId25" w:history="1">
        <w:r w:rsidR="006150E9" w:rsidRPr="00160029">
          <w:rPr>
            <w:rStyle w:val="Hyperlink"/>
            <w:rFonts w:ascii="Garamond" w:hAnsi="Garamond"/>
            <w:lang w:val="en-AU"/>
          </w:rPr>
          <w:t>http://www.nice.org.uk</w:t>
        </w:r>
      </w:hyperlink>
    </w:p>
    <w:p w:rsidR="006150E9" w:rsidRPr="0016002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6150E9" w:rsidRDefault="009347C0" w:rsidP="009347C0">
      <w:pPr>
        <w:pStyle w:val="ListParagraph"/>
        <w:keepLines/>
        <w:numPr>
          <w:ilvl w:val="0"/>
          <w:numId w:val="14"/>
        </w:numPr>
        <w:rPr>
          <w:rFonts w:ascii="Garamond" w:hAnsi="Garamond"/>
          <w:lang w:val="en-AU"/>
        </w:rPr>
      </w:pPr>
      <w:r>
        <w:rPr>
          <w:rFonts w:ascii="Garamond" w:hAnsi="Garamond"/>
          <w:lang w:val="en-AU"/>
        </w:rPr>
        <w:t xml:space="preserve">NICE Guideline NG62 </w:t>
      </w:r>
      <w:r w:rsidRPr="009347C0">
        <w:rPr>
          <w:rFonts w:ascii="Garamond" w:hAnsi="Garamond"/>
          <w:b/>
          <w:i/>
          <w:lang w:val="en-AU"/>
        </w:rPr>
        <w:t>Cerebral palsy</w:t>
      </w:r>
      <w:r w:rsidRPr="009347C0">
        <w:rPr>
          <w:rFonts w:ascii="Garamond" w:hAnsi="Garamond"/>
          <w:i/>
          <w:lang w:val="en-AU"/>
        </w:rPr>
        <w:t xml:space="preserve"> in under 25s: assessment and management</w:t>
      </w:r>
      <w:r>
        <w:rPr>
          <w:rFonts w:ascii="Garamond" w:hAnsi="Garamond"/>
          <w:lang w:val="en-AU"/>
        </w:rPr>
        <w:t xml:space="preserve">  </w:t>
      </w:r>
      <w:hyperlink r:id="rId26" w:history="1">
        <w:r w:rsidRPr="0080253B">
          <w:rPr>
            <w:rStyle w:val="Hyperlink"/>
            <w:rFonts w:ascii="Garamond" w:hAnsi="Garamond"/>
            <w:lang w:val="en-AU"/>
          </w:rPr>
          <w:t>https://www.nice.org.uk/guidance/ng62</w:t>
        </w:r>
      </w:hyperlink>
    </w:p>
    <w:p w:rsidR="009347C0" w:rsidRDefault="009347C0" w:rsidP="009347C0">
      <w:pPr>
        <w:pStyle w:val="ListParagraph"/>
        <w:keepLines/>
        <w:numPr>
          <w:ilvl w:val="0"/>
          <w:numId w:val="14"/>
        </w:numPr>
        <w:rPr>
          <w:rFonts w:ascii="Garamond" w:hAnsi="Garamond"/>
          <w:lang w:val="en-AU"/>
        </w:rPr>
      </w:pPr>
      <w:r>
        <w:rPr>
          <w:rFonts w:ascii="Garamond" w:hAnsi="Garamond"/>
          <w:lang w:val="en-AU"/>
        </w:rPr>
        <w:t xml:space="preserve">NICE Guideline NG63 </w:t>
      </w:r>
      <w:r w:rsidRPr="009347C0">
        <w:rPr>
          <w:rFonts w:ascii="Garamond" w:hAnsi="Garamond"/>
          <w:b/>
          <w:i/>
          <w:lang w:val="en-AU"/>
        </w:rPr>
        <w:t>Antimicrobial stewardship</w:t>
      </w:r>
      <w:r w:rsidRPr="009347C0">
        <w:rPr>
          <w:rFonts w:ascii="Garamond" w:hAnsi="Garamond"/>
          <w:i/>
          <w:lang w:val="en-AU"/>
        </w:rPr>
        <w:t>: changing risk-related behaviours in the general population</w:t>
      </w:r>
      <w:r>
        <w:rPr>
          <w:rFonts w:ascii="Garamond" w:hAnsi="Garamond"/>
          <w:lang w:val="en-AU"/>
        </w:rPr>
        <w:t xml:space="preserve"> </w:t>
      </w:r>
      <w:hyperlink r:id="rId27" w:history="1">
        <w:r w:rsidRPr="0080253B">
          <w:rPr>
            <w:rStyle w:val="Hyperlink"/>
            <w:rFonts w:ascii="Garamond" w:hAnsi="Garamond"/>
            <w:lang w:val="en-AU"/>
          </w:rPr>
          <w:t>https://www.nice.org.uk/guidance/ng63</w:t>
        </w:r>
      </w:hyperlink>
    </w:p>
    <w:p w:rsidR="006150E9" w:rsidRPr="00160029" w:rsidRDefault="006150E9" w:rsidP="00315EDE">
      <w:pPr>
        <w:rPr>
          <w:rFonts w:ascii="Garamond" w:hAnsi="Garamond"/>
          <w:lang w:val="en-AU"/>
        </w:rPr>
      </w:pPr>
    </w:p>
    <w:p w:rsidR="00D83DB6" w:rsidRPr="00160029" w:rsidRDefault="00D83DB6"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76" w:rsidRDefault="00425F76">
      <w:r>
        <w:separator/>
      </w:r>
    </w:p>
  </w:endnote>
  <w:endnote w:type="continuationSeparator" w:id="0">
    <w:p w:rsidR="00425F76" w:rsidRDefault="0042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01FD0">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6150E9">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01FD0">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76" w:rsidRDefault="00425F76">
      <w:r>
        <w:separator/>
      </w:r>
    </w:p>
  </w:footnote>
  <w:footnote w:type="continuationSeparator" w:id="0">
    <w:p w:rsidR="00425F76" w:rsidRDefault="00425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01D0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9"/>
  </w:num>
  <w:num w:numId="16">
    <w:abstractNumId w:val="16"/>
  </w:num>
  <w:num w:numId="17">
    <w:abstractNumId w:val="12"/>
  </w:num>
  <w:num w:numId="18">
    <w:abstractNumId w:val="10"/>
  </w:num>
  <w:num w:numId="19">
    <w:abstractNumId w:val="18"/>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1FD0"/>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1/jama.2017.0131" TargetMode="External"/><Relationship Id="rId26" Type="http://schemas.openxmlformats.org/officeDocument/2006/relationships/hyperlink" Target="https://www.nice.org.uk/guidance/ng62" TargetMode="External"/><Relationship Id="rId3" Type="http://schemas.openxmlformats.org/officeDocument/2006/relationships/styles" Target="styles.xml"/><Relationship Id="rId21" Type="http://schemas.openxmlformats.org/officeDocument/2006/relationships/hyperlink" Target="https://www.safetyandquality.gov.au/our-work/clinical-communication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journals.plos.org/plosmedicine/article?id=10.1371/journal.pmed.1002217" TargetMode="External"/><Relationship Id="rId25" Type="http://schemas.openxmlformats.org/officeDocument/2006/relationships/hyperlink" Target="http://www.nice.org.uk" TargetMode="External"/><Relationship Id="rId2" Type="http://schemas.openxmlformats.org/officeDocument/2006/relationships/numbering" Target="numbering.xml"/><Relationship Id="rId16" Type="http://schemas.openxmlformats.org/officeDocument/2006/relationships/hyperlink" Target="http://dx.doi.org/10.1371/journal.pmed.1002217" TargetMode="External"/><Relationship Id="rId20" Type="http://schemas.openxmlformats.org/officeDocument/2006/relationships/hyperlink" Target="https://doi.org/10.1542/peds.2016-268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ahrq.gov/professionals/quality-patient-safety/hais/tools/mvp/index.html"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vifmcommuniques.org/?p=4844" TargetMode="External"/><Relationship Id="rId28"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doi.org/10.1542/peds.2016-268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tga.gov.au/publication-issue/medical-devices-safety-update-volume-5-number-1-january-2017" TargetMode="External"/><Relationship Id="rId27" Type="http://schemas.openxmlformats.org/officeDocument/2006/relationships/hyperlink" Target="https://www.nice.org.uk/guidance/ng6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AEA1-A782-4910-9263-FC7BEA64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10641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2017-01-06T00:23:00Z</cp:lastPrinted>
  <dcterms:created xsi:type="dcterms:W3CDTF">2017-01-27T02:11:00Z</dcterms:created>
  <dcterms:modified xsi:type="dcterms:W3CDTF">2017-01-27T02:11:00Z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